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8AFD6">
      <w:pPr>
        <w:ind w:firstLine="560"/>
        <w:rPr>
          <w:rFonts w:hint="eastAsia" w:ascii="宋体" w:hAnsi="宋体" w:eastAsia="宋体" w:cs="宋体"/>
          <w:color w:val="000000" w:themeColor="text1"/>
          <w:highlight w:val="none"/>
          <w14:textFill>
            <w14:solidFill>
              <w14:schemeClr w14:val="tx1"/>
            </w14:solidFill>
          </w14:textFill>
        </w:rPr>
      </w:pPr>
    </w:p>
    <w:p w14:paraId="42CE7464">
      <w:pPr>
        <w:ind w:firstLine="560"/>
        <w:rPr>
          <w:rFonts w:hint="eastAsia" w:ascii="宋体" w:hAnsi="宋体" w:eastAsia="宋体" w:cs="宋体"/>
          <w:color w:val="000000" w:themeColor="text1"/>
          <w:highlight w:val="none"/>
          <w14:textFill>
            <w14:solidFill>
              <w14:schemeClr w14:val="tx1"/>
            </w14:solidFill>
          </w14:textFill>
        </w:rPr>
      </w:pPr>
    </w:p>
    <w:p w14:paraId="0553FD65">
      <w:pPr>
        <w:pStyle w:val="21"/>
        <w:rPr>
          <w:rFonts w:hint="eastAsia" w:ascii="宋体" w:hAnsi="宋体" w:eastAsia="宋体" w:cs="宋体"/>
          <w:b/>
          <w:bCs/>
          <w:color w:val="000000" w:themeColor="text1"/>
          <w:sz w:val="48"/>
          <w:szCs w:val="48"/>
          <w:highlight w:val="none"/>
          <w:lang w:eastAsia="zh-CN"/>
          <w14:textFill>
            <w14:solidFill>
              <w14:schemeClr w14:val="tx1"/>
            </w14:solidFill>
          </w14:textFill>
        </w:rPr>
      </w:pPr>
      <w:r>
        <w:rPr>
          <w:rFonts w:hint="eastAsia" w:ascii="宋体" w:hAnsi="宋体" w:eastAsia="宋体" w:cs="宋体"/>
          <w:b/>
          <w:bCs/>
          <w:color w:val="000000" w:themeColor="text1"/>
          <w:sz w:val="48"/>
          <w:szCs w:val="48"/>
          <w:highlight w:val="none"/>
          <w:lang w:eastAsia="zh-CN"/>
          <w14:textFill>
            <w14:solidFill>
              <w14:schemeClr w14:val="tx1"/>
            </w14:solidFill>
          </w14:textFill>
        </w:rPr>
        <w:t>云南水利水电职业学院校史馆建设项目</w:t>
      </w:r>
    </w:p>
    <w:p w14:paraId="022CAFBC">
      <w:pPr>
        <w:ind w:firstLine="560"/>
        <w:rPr>
          <w:rFonts w:hint="eastAsia" w:ascii="宋体" w:hAnsi="宋体" w:eastAsia="宋体" w:cs="宋体"/>
          <w:color w:val="000000" w:themeColor="text1"/>
          <w:highlight w:val="none"/>
          <w14:textFill>
            <w14:solidFill>
              <w14:schemeClr w14:val="tx1"/>
            </w14:solidFill>
          </w14:textFill>
        </w:rPr>
      </w:pPr>
    </w:p>
    <w:p w14:paraId="075E80F0">
      <w:pPr>
        <w:ind w:firstLine="560"/>
        <w:rPr>
          <w:rFonts w:hint="eastAsia" w:ascii="宋体" w:hAnsi="宋体" w:eastAsia="宋体" w:cs="宋体"/>
          <w:color w:val="000000" w:themeColor="text1"/>
          <w:highlight w:val="none"/>
          <w14:textFill>
            <w14:solidFill>
              <w14:schemeClr w14:val="tx1"/>
            </w14:solidFill>
          </w14:textFill>
        </w:rPr>
      </w:pPr>
    </w:p>
    <w:p w14:paraId="4F852F29">
      <w:pPr>
        <w:ind w:firstLine="560"/>
        <w:rPr>
          <w:rFonts w:hint="eastAsia" w:ascii="宋体" w:hAnsi="宋体" w:eastAsia="宋体" w:cs="宋体"/>
          <w:color w:val="000000" w:themeColor="text1"/>
          <w:highlight w:val="none"/>
          <w14:textFill>
            <w14:solidFill>
              <w14:schemeClr w14:val="tx1"/>
            </w14:solidFill>
          </w14:textFill>
        </w:rPr>
      </w:pPr>
    </w:p>
    <w:p w14:paraId="436F1CAA">
      <w:pPr>
        <w:ind w:firstLine="560"/>
        <w:rPr>
          <w:rFonts w:hint="eastAsia" w:ascii="宋体" w:hAnsi="宋体" w:eastAsia="宋体" w:cs="宋体"/>
          <w:color w:val="000000" w:themeColor="text1"/>
          <w:highlight w:val="none"/>
          <w14:textFill>
            <w14:solidFill>
              <w14:schemeClr w14:val="tx1"/>
            </w14:solidFill>
          </w14:textFill>
        </w:rPr>
      </w:pPr>
    </w:p>
    <w:p w14:paraId="18AB7C14">
      <w:pPr>
        <w:ind w:firstLine="560"/>
        <w:rPr>
          <w:rFonts w:hint="eastAsia" w:ascii="宋体" w:hAnsi="宋体" w:eastAsia="宋体" w:cs="宋体"/>
          <w:color w:val="000000" w:themeColor="text1"/>
          <w:highlight w:val="none"/>
          <w14:textFill>
            <w14:solidFill>
              <w14:schemeClr w14:val="tx1"/>
            </w14:solidFill>
          </w14:textFill>
        </w:rPr>
      </w:pPr>
    </w:p>
    <w:p w14:paraId="05C3C856">
      <w:pPr>
        <w:pStyle w:val="21"/>
        <w:rPr>
          <w:rFonts w:hint="eastAsia" w:ascii="宋体" w:hAnsi="宋体" w:eastAsia="宋体" w:cs="宋体"/>
          <w:b/>
          <w:bCs/>
          <w:color w:val="000000" w:themeColor="text1"/>
          <w:sz w:val="96"/>
          <w:szCs w:val="96"/>
          <w:highlight w:val="none"/>
          <w14:textFill>
            <w14:solidFill>
              <w14:schemeClr w14:val="tx1"/>
            </w14:solidFill>
          </w14:textFill>
        </w:rPr>
      </w:pPr>
      <w:r>
        <w:rPr>
          <w:rFonts w:hint="eastAsia" w:ascii="宋体" w:hAnsi="宋体" w:eastAsia="宋体" w:cs="宋体"/>
          <w:b/>
          <w:bCs/>
          <w:color w:val="000000" w:themeColor="text1"/>
          <w:sz w:val="96"/>
          <w:szCs w:val="96"/>
          <w:highlight w:val="none"/>
          <w14:textFill>
            <w14:solidFill>
              <w14:schemeClr w14:val="tx1"/>
            </w14:solidFill>
          </w14:textFill>
        </w:rPr>
        <w:t>竞争性磋商文件</w:t>
      </w:r>
    </w:p>
    <w:p w14:paraId="42E94024">
      <w:pPr>
        <w:pStyle w:val="2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项目编号：</w:t>
      </w:r>
      <w:r>
        <w:rPr>
          <w:rFonts w:hint="eastAsia" w:ascii="宋体" w:hAnsi="宋体" w:eastAsia="宋体" w:cs="宋体"/>
          <w:color w:val="000000" w:themeColor="text1"/>
          <w:highlight w:val="none"/>
          <w:lang w:eastAsia="zh-CN"/>
          <w14:textFill>
            <w14:solidFill>
              <w14:schemeClr w14:val="tx1"/>
            </w14:solidFill>
          </w14:textFill>
        </w:rPr>
        <w:t>云赛招字2025-183</w:t>
      </w:r>
      <w:r>
        <w:rPr>
          <w:rFonts w:hint="eastAsia" w:ascii="宋体" w:hAnsi="宋体" w:eastAsia="宋体" w:cs="宋体"/>
          <w:color w:val="000000" w:themeColor="text1"/>
          <w:highlight w:val="none"/>
          <w14:textFill>
            <w14:solidFill>
              <w14:schemeClr w14:val="tx1"/>
            </w14:solidFill>
          </w14:textFill>
        </w:rPr>
        <w:t xml:space="preserve"> </w:t>
      </w:r>
    </w:p>
    <w:p w14:paraId="094E8810">
      <w:pPr>
        <w:ind w:firstLine="560"/>
        <w:rPr>
          <w:rFonts w:hint="eastAsia" w:ascii="宋体" w:hAnsi="宋体" w:eastAsia="宋体" w:cs="宋体"/>
          <w:color w:val="000000" w:themeColor="text1"/>
          <w:highlight w:val="none"/>
          <w14:textFill>
            <w14:solidFill>
              <w14:schemeClr w14:val="tx1"/>
            </w14:solidFill>
          </w14:textFill>
        </w:rPr>
      </w:pPr>
    </w:p>
    <w:p w14:paraId="24C67F44">
      <w:pPr>
        <w:ind w:firstLine="560"/>
        <w:rPr>
          <w:rFonts w:hint="eastAsia" w:ascii="宋体" w:hAnsi="宋体" w:eastAsia="宋体" w:cs="宋体"/>
          <w:color w:val="000000" w:themeColor="text1"/>
          <w:highlight w:val="none"/>
          <w14:textFill>
            <w14:solidFill>
              <w14:schemeClr w14:val="tx1"/>
            </w14:solidFill>
          </w14:textFill>
        </w:rPr>
      </w:pPr>
    </w:p>
    <w:p w14:paraId="6E0D290B">
      <w:pPr>
        <w:ind w:firstLine="560"/>
        <w:rPr>
          <w:rFonts w:hint="eastAsia" w:ascii="宋体" w:hAnsi="宋体" w:eastAsia="宋体" w:cs="宋体"/>
          <w:color w:val="000000" w:themeColor="text1"/>
          <w:highlight w:val="none"/>
          <w14:textFill>
            <w14:solidFill>
              <w14:schemeClr w14:val="tx1"/>
            </w14:solidFill>
          </w14:textFill>
        </w:rPr>
      </w:pPr>
    </w:p>
    <w:p w14:paraId="09EC86EE">
      <w:pPr>
        <w:ind w:firstLine="560"/>
        <w:rPr>
          <w:rFonts w:hint="eastAsia" w:ascii="宋体" w:hAnsi="宋体" w:eastAsia="宋体" w:cs="宋体"/>
          <w:color w:val="000000" w:themeColor="text1"/>
          <w:highlight w:val="none"/>
          <w14:textFill>
            <w14:solidFill>
              <w14:schemeClr w14:val="tx1"/>
            </w14:solidFill>
          </w14:textFill>
        </w:rPr>
      </w:pPr>
    </w:p>
    <w:p w14:paraId="52011CB8">
      <w:pPr>
        <w:ind w:firstLine="560"/>
        <w:rPr>
          <w:rFonts w:hint="eastAsia" w:ascii="宋体" w:hAnsi="宋体" w:eastAsia="宋体" w:cs="宋体"/>
          <w:color w:val="000000" w:themeColor="text1"/>
          <w:highlight w:val="none"/>
          <w14:textFill>
            <w14:solidFill>
              <w14:schemeClr w14:val="tx1"/>
            </w14:solidFill>
          </w14:textFill>
        </w:rPr>
      </w:pPr>
    </w:p>
    <w:p w14:paraId="0FB7AAE5">
      <w:pPr>
        <w:ind w:firstLine="560"/>
        <w:rPr>
          <w:rFonts w:hint="eastAsia" w:ascii="宋体" w:hAnsi="宋体" w:eastAsia="宋体" w:cs="宋体"/>
          <w:color w:val="000000" w:themeColor="text1"/>
          <w:highlight w:val="none"/>
          <w14:textFill>
            <w14:solidFill>
              <w14:schemeClr w14:val="tx1"/>
            </w14:solidFill>
          </w14:textFill>
        </w:rPr>
      </w:pPr>
    </w:p>
    <w:p w14:paraId="3B4189F6">
      <w:pPr>
        <w:pStyle w:val="14"/>
        <w:rPr>
          <w:rFonts w:hint="eastAsia"/>
          <w:color w:val="000000" w:themeColor="text1"/>
          <w:highlight w:val="none"/>
          <w14:textFill>
            <w14:solidFill>
              <w14:schemeClr w14:val="tx1"/>
            </w14:solidFill>
          </w14:textFill>
        </w:rPr>
      </w:pPr>
    </w:p>
    <w:p w14:paraId="1423C3D3">
      <w:pPr>
        <w:pStyle w:val="11"/>
        <w:ind w:firstLine="420"/>
        <w:rPr>
          <w:rFonts w:hint="eastAsia" w:ascii="宋体" w:hAnsi="宋体" w:eastAsia="宋体" w:cs="宋体"/>
          <w:color w:val="000000" w:themeColor="text1"/>
          <w:highlight w:val="none"/>
          <w14:textFill>
            <w14:solidFill>
              <w14:schemeClr w14:val="tx1"/>
            </w14:solidFill>
          </w14:textFill>
        </w:rPr>
      </w:pPr>
    </w:p>
    <w:p w14:paraId="3B1C24B5">
      <w:pPr>
        <w:ind w:firstLine="560"/>
        <w:rPr>
          <w:rFonts w:hint="eastAsia" w:ascii="宋体" w:hAnsi="宋体" w:eastAsia="宋体" w:cs="宋体"/>
          <w:color w:val="000000" w:themeColor="text1"/>
          <w:highlight w:val="none"/>
          <w14:textFill>
            <w14:solidFill>
              <w14:schemeClr w14:val="tx1"/>
            </w14:solidFill>
          </w14:textFill>
        </w:rPr>
      </w:pPr>
    </w:p>
    <w:p w14:paraId="41B9104A">
      <w:pPr>
        <w:pStyle w:val="21"/>
        <w:ind w:firstLine="1285" w:firstLineChars="400"/>
        <w:jc w:val="both"/>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采   购   人：云南水利水电职业学院</w:t>
      </w:r>
    </w:p>
    <w:p w14:paraId="73B2CD3B">
      <w:pPr>
        <w:pStyle w:val="21"/>
        <w:ind w:firstLine="1285" w:firstLineChars="400"/>
        <w:jc w:val="both"/>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采购代理机构：云南赛林工程管理咨询有限公司</w:t>
      </w:r>
    </w:p>
    <w:p w14:paraId="2D785548">
      <w:pPr>
        <w:pStyle w:val="21"/>
        <w:ind w:firstLine="1285" w:firstLineChars="400"/>
        <w:jc w:val="both"/>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日期：2025年</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10</w:t>
      </w:r>
      <w:r>
        <w:rPr>
          <w:rFonts w:hint="eastAsia" w:ascii="宋体" w:hAnsi="宋体" w:eastAsia="宋体" w:cs="宋体"/>
          <w:b/>
          <w:bCs/>
          <w:color w:val="000000" w:themeColor="text1"/>
          <w:sz w:val="32"/>
          <w:szCs w:val="32"/>
          <w:highlight w:val="none"/>
          <w14:textFill>
            <w14:solidFill>
              <w14:schemeClr w14:val="tx1"/>
            </w14:solidFill>
          </w14:textFill>
        </w:rPr>
        <w:t>月</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31</w:t>
      </w:r>
      <w:r>
        <w:rPr>
          <w:rFonts w:hint="eastAsia" w:ascii="宋体" w:hAnsi="宋体" w:eastAsia="宋体" w:cs="宋体"/>
          <w:b/>
          <w:bCs/>
          <w:color w:val="000000" w:themeColor="text1"/>
          <w:sz w:val="32"/>
          <w:szCs w:val="32"/>
          <w:highlight w:val="none"/>
          <w14:textFill>
            <w14:solidFill>
              <w14:schemeClr w14:val="tx1"/>
            </w14:solidFill>
          </w14:textFill>
        </w:rPr>
        <w:t>日</w:t>
      </w:r>
    </w:p>
    <w:p w14:paraId="7C6C86F1">
      <w:pPr>
        <w:ind w:firstLine="0" w:firstLineChars="0"/>
        <w:jc w:val="center"/>
        <w:rPr>
          <w:rFonts w:hint="eastAsia" w:ascii="宋体" w:hAnsi="宋体" w:eastAsia="宋体" w:cs="宋体"/>
          <w:b/>
          <w:bCs/>
          <w:color w:val="000000" w:themeColor="text1"/>
          <w:sz w:val="36"/>
          <w:szCs w:val="36"/>
          <w:highlight w:val="none"/>
          <w14:textFill>
            <w14:solidFill>
              <w14:schemeClr w14:val="tx1"/>
            </w14:solidFill>
          </w14:textFill>
        </w:rPr>
        <w:sectPr>
          <w:headerReference r:id="rId5" w:type="default"/>
          <w:footerReference r:id="rId6" w:type="default"/>
          <w:pgSz w:w="11906" w:h="16838"/>
          <w:pgMar w:top="1440" w:right="1080" w:bottom="1440" w:left="1080" w:header="851" w:footer="992" w:gutter="0"/>
          <w:pgNumType w:fmt="numberInDash" w:start="1"/>
          <w:cols w:space="425" w:num="1"/>
          <w:docGrid w:type="lines" w:linePitch="312" w:charSpace="0"/>
        </w:sectPr>
      </w:pPr>
    </w:p>
    <w:p w14:paraId="6A81B8F2">
      <w:pPr>
        <w:ind w:firstLine="0" w:firstLineChars="0"/>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温馨提示</w:t>
      </w:r>
    </w:p>
    <w:p w14:paraId="0DA0FD40">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本项目为全流程电子化的政府采购项目，供应商应提前熟悉“政采云”相关投标程序，提前在自有场地配置可音视频通话（带摄像头及话筒的计算机）的稳定网络环境，并按“政采云”开标大厅中的提示完成开标活动。</w:t>
      </w:r>
    </w:p>
    <w:p w14:paraId="742031DA">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2、请各供应商认真阅读本项目提供的关于“政采云”的相关办理及操作流程，以免影响投标。</w:t>
      </w:r>
    </w:p>
    <w:p w14:paraId="12255B7A">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3、投标期间，如有技术问题可致电“政采云”进行咨询。</w:t>
      </w:r>
    </w:p>
    <w:p w14:paraId="3E3324B9">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政采云技术支持电话：95763（客服热线）。</w:t>
      </w:r>
    </w:p>
    <w:p w14:paraId="4B149909">
      <w:pPr>
        <w:ind w:firstLine="0" w:firstLineChars="0"/>
        <w:rPr>
          <w:rFonts w:hint="eastAsia" w:ascii="宋体" w:hAnsi="宋体" w:eastAsia="宋体" w:cs="宋体"/>
          <w:color w:val="000000" w:themeColor="text1"/>
          <w:sz w:val="21"/>
          <w:highlight w:val="none"/>
          <w14:textFill>
            <w14:solidFill>
              <w14:schemeClr w14:val="tx1"/>
            </w14:solidFill>
          </w14:textFill>
        </w:rPr>
        <w:sectPr>
          <w:footerReference r:id="rId7" w:type="default"/>
          <w:pgSz w:w="11906" w:h="16838"/>
          <w:pgMar w:top="1440" w:right="1080" w:bottom="1440" w:left="1080" w:header="851" w:footer="992" w:gutter="0"/>
          <w:pgNumType w:fmt="numberInDash" w:start="1"/>
          <w:cols w:space="425" w:num="1"/>
          <w:docGrid w:type="lines" w:linePitch="312" w:charSpace="0"/>
        </w:sectPr>
      </w:pPr>
    </w:p>
    <w:p w14:paraId="703FC136">
      <w:pPr>
        <w:spacing w:line="240" w:lineRule="auto"/>
        <w:ind w:firstLine="0" w:firstLineChars="0"/>
        <w:jc w:val="center"/>
        <w:rPr>
          <w:rFonts w:hint="eastAsia" w:ascii="宋体" w:hAnsi="宋体" w:eastAsia="宋体" w:cs="宋体"/>
          <w:b/>
          <w:bCs/>
          <w:color w:val="000000" w:themeColor="text1"/>
          <w:sz w:val="40"/>
          <w:szCs w:val="40"/>
          <w:highlight w:val="none"/>
          <w14:textFill>
            <w14:solidFill>
              <w14:schemeClr w14:val="tx1"/>
            </w14:solidFill>
          </w14:textFill>
        </w:rPr>
      </w:pPr>
      <w:bookmarkStart w:id="0" w:name="_Hlk130458318"/>
      <w:r>
        <w:rPr>
          <w:rFonts w:hint="eastAsia" w:ascii="宋体" w:hAnsi="宋体" w:eastAsia="宋体" w:cs="宋体"/>
          <w:b/>
          <w:bCs/>
          <w:color w:val="000000" w:themeColor="text1"/>
          <w:sz w:val="40"/>
          <w:szCs w:val="40"/>
          <w:highlight w:val="none"/>
          <w14:textFill>
            <w14:solidFill>
              <w14:schemeClr w14:val="tx1"/>
            </w14:solidFill>
          </w14:textFill>
        </w:rPr>
        <w:t>目 录</w:t>
      </w:r>
    </w:p>
    <w:p w14:paraId="3AC8EB86">
      <w:pPr>
        <w:pStyle w:val="26"/>
        <w:tabs>
          <w:tab w:val="right" w:leader="dot" w:pos="9746"/>
        </w:tabs>
        <w:spacing w:line="240" w:lineRule="auto"/>
        <w:ind w:left="0" w:leftChars="0" w:firstLine="0" w:firstLineChars="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val="0"/>
          <w:caps w:val="0"/>
          <w:color w:val="000000" w:themeColor="text1"/>
          <w:sz w:val="24"/>
          <w:szCs w:val="24"/>
          <w:highlight w:val="none"/>
          <w14:textFill>
            <w14:solidFill>
              <w14:schemeClr w14:val="tx1"/>
            </w14:solidFill>
          </w14:textFill>
        </w:rPr>
        <w:fldChar w:fldCharType="begin"/>
      </w:r>
      <w:r>
        <w:rPr>
          <w:rFonts w:hint="eastAsia" w:ascii="宋体" w:hAnsi="宋体" w:eastAsia="宋体" w:cs="宋体"/>
          <w:bCs w:val="0"/>
          <w:caps w:val="0"/>
          <w:color w:val="000000" w:themeColor="text1"/>
          <w:sz w:val="24"/>
          <w:szCs w:val="24"/>
          <w:highlight w:val="none"/>
          <w14:textFill>
            <w14:solidFill>
              <w14:schemeClr w14:val="tx1"/>
            </w14:solidFill>
          </w14:textFill>
        </w:rPr>
        <w:instrText xml:space="preserve">TOC \o "1-3" \h \u </w:instrText>
      </w:r>
      <w:r>
        <w:rPr>
          <w:rFonts w:hint="eastAsia" w:ascii="宋体" w:hAnsi="宋体" w:eastAsia="宋体" w:cs="宋体"/>
          <w:bCs w:val="0"/>
          <w:caps w:val="0"/>
          <w:color w:val="000000" w:themeColor="text1"/>
          <w:sz w:val="24"/>
          <w:szCs w:val="24"/>
          <w:highlight w:val="none"/>
          <w14:textFill>
            <w14:solidFill>
              <w14:schemeClr w14:val="tx1"/>
            </w14:solidFill>
          </w14:textFill>
        </w:rPr>
        <w:fldChar w:fldCharType="separate"/>
      </w:r>
      <w:r>
        <w:rPr>
          <w:rFonts w:hint="eastAsia" w:ascii="宋体" w:hAnsi="宋体" w:eastAsia="宋体" w:cs="宋体"/>
          <w:bCs w:val="0"/>
          <w:cap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caps w:val="0"/>
          <w:color w:val="000000" w:themeColor="text1"/>
          <w:sz w:val="32"/>
          <w:szCs w:val="32"/>
          <w:highlight w:val="none"/>
          <w14:textFill>
            <w14:solidFill>
              <w14:schemeClr w14:val="tx1"/>
            </w14:solidFill>
          </w14:textFill>
        </w:rPr>
        <w:instrText xml:space="preserve"> HYPERLINK \l _Toc26498 </w:instrText>
      </w:r>
      <w:r>
        <w:rPr>
          <w:rFonts w:hint="eastAsia" w:ascii="宋体" w:hAnsi="宋体" w:eastAsia="宋体" w:cs="宋体"/>
          <w:bCs w:val="0"/>
          <w:caps w:val="0"/>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第一章 竞争性磋商公告</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_Toc26498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bCs w:val="0"/>
          <w:caps w:val="0"/>
          <w:color w:val="000000" w:themeColor="text1"/>
          <w:sz w:val="32"/>
          <w:szCs w:val="32"/>
          <w:highlight w:val="none"/>
          <w14:textFill>
            <w14:solidFill>
              <w14:schemeClr w14:val="tx1"/>
            </w14:solidFill>
          </w14:textFill>
        </w:rPr>
        <w:fldChar w:fldCharType="end"/>
      </w:r>
    </w:p>
    <w:p w14:paraId="61932335">
      <w:pPr>
        <w:pStyle w:val="26"/>
        <w:tabs>
          <w:tab w:val="right" w:leader="dot" w:pos="9746"/>
        </w:tabs>
        <w:spacing w:line="240" w:lineRule="auto"/>
        <w:ind w:left="0" w:leftChars="0" w:firstLine="0" w:firstLineChars="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color w:val="000000" w:themeColor="text1"/>
          <w:sz w:val="32"/>
          <w:szCs w:val="32"/>
          <w:highlight w:val="none"/>
          <w14:textFill>
            <w14:solidFill>
              <w14:schemeClr w14:val="tx1"/>
            </w14:solidFill>
          </w14:textFill>
        </w:rPr>
        <w:instrText xml:space="preserve"> HYPERLINK \l _Toc19929 </w:instrText>
      </w:r>
      <w:r>
        <w:rPr>
          <w:rFonts w:hint="eastAsia" w:ascii="宋体" w:hAnsi="宋体" w:eastAsia="宋体" w:cs="宋体"/>
          <w:bCs w:val="0"/>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第二章 供应商须知</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_Toc19929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8</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p>
    <w:p w14:paraId="017A2451">
      <w:pPr>
        <w:pStyle w:val="26"/>
        <w:tabs>
          <w:tab w:val="right" w:leader="dot" w:pos="9746"/>
        </w:tabs>
        <w:spacing w:line="240" w:lineRule="auto"/>
        <w:ind w:left="0" w:leftChars="0" w:firstLine="0" w:firstLineChars="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color w:val="000000" w:themeColor="text1"/>
          <w:sz w:val="32"/>
          <w:szCs w:val="32"/>
          <w:highlight w:val="none"/>
          <w14:textFill>
            <w14:solidFill>
              <w14:schemeClr w14:val="tx1"/>
            </w14:solidFill>
          </w14:textFill>
        </w:rPr>
        <w:instrText xml:space="preserve"> HYPERLINK \l _Toc16918 </w:instrText>
      </w:r>
      <w:r>
        <w:rPr>
          <w:rFonts w:hint="eastAsia" w:ascii="宋体" w:hAnsi="宋体" w:eastAsia="宋体" w:cs="宋体"/>
          <w:bCs w:val="0"/>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第三章 采购需求</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_Toc16918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32</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p>
    <w:p w14:paraId="097232E1">
      <w:pPr>
        <w:pStyle w:val="26"/>
        <w:tabs>
          <w:tab w:val="right" w:leader="dot" w:pos="9746"/>
        </w:tabs>
        <w:spacing w:line="240" w:lineRule="auto"/>
        <w:ind w:left="0" w:leftChars="0" w:firstLine="0" w:firstLineChars="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color w:val="000000" w:themeColor="text1"/>
          <w:sz w:val="32"/>
          <w:szCs w:val="32"/>
          <w:highlight w:val="none"/>
          <w14:textFill>
            <w14:solidFill>
              <w14:schemeClr w14:val="tx1"/>
            </w14:solidFill>
          </w14:textFill>
        </w:rPr>
        <w:instrText xml:space="preserve"> HYPERLINK \l _Toc27664 </w:instrText>
      </w:r>
      <w:r>
        <w:rPr>
          <w:rFonts w:hint="eastAsia" w:ascii="宋体" w:hAnsi="宋体" w:eastAsia="宋体" w:cs="宋体"/>
          <w:bCs w:val="0"/>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第四章 评审方法、程序及标准</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_Toc27664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41</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p>
    <w:p w14:paraId="5BE9FA9C">
      <w:pPr>
        <w:pStyle w:val="26"/>
        <w:tabs>
          <w:tab w:val="right" w:leader="dot" w:pos="9746"/>
        </w:tabs>
        <w:spacing w:line="240" w:lineRule="auto"/>
        <w:ind w:left="0" w:leftChars="0" w:firstLine="0" w:firstLineChars="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color w:val="000000" w:themeColor="text1"/>
          <w:sz w:val="32"/>
          <w:szCs w:val="32"/>
          <w:highlight w:val="none"/>
          <w14:textFill>
            <w14:solidFill>
              <w14:schemeClr w14:val="tx1"/>
            </w14:solidFill>
          </w14:textFill>
        </w:rPr>
        <w:instrText xml:space="preserve"> HYPERLINK \l _Toc13023 </w:instrText>
      </w:r>
      <w:r>
        <w:rPr>
          <w:rFonts w:hint="eastAsia" w:ascii="宋体" w:hAnsi="宋体" w:eastAsia="宋体" w:cs="宋体"/>
          <w:bCs w:val="0"/>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第五章 合同书主要条款及样式</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_Toc13023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53</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p>
    <w:p w14:paraId="1AD30195">
      <w:pPr>
        <w:pStyle w:val="26"/>
        <w:tabs>
          <w:tab w:val="right" w:leader="dot" w:pos="9746"/>
        </w:tabs>
        <w:spacing w:line="240" w:lineRule="auto"/>
        <w:ind w:left="0" w:leftChars="0" w:firstLine="0" w:firstLineChars="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color w:val="000000" w:themeColor="text1"/>
          <w:sz w:val="32"/>
          <w:szCs w:val="32"/>
          <w:highlight w:val="none"/>
          <w14:textFill>
            <w14:solidFill>
              <w14:schemeClr w14:val="tx1"/>
            </w14:solidFill>
          </w14:textFill>
        </w:rPr>
        <w:instrText xml:space="preserve"> HYPERLINK \l _Toc24303 </w:instrText>
      </w:r>
      <w:r>
        <w:rPr>
          <w:rFonts w:hint="eastAsia" w:ascii="宋体" w:hAnsi="宋体" w:eastAsia="宋体" w:cs="宋体"/>
          <w:bCs w:val="0"/>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第六章 响应文件的格式</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_Toc24303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180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p>
    <w:p w14:paraId="555F83CE">
      <w:pPr>
        <w:rPr>
          <w:rFonts w:hint="eastAsia" w:ascii="宋体" w:hAnsi="宋体" w:eastAsia="宋体" w:cs="宋体"/>
          <w:color w:val="000000" w:themeColor="text1"/>
          <w:highlight w:val="none"/>
          <w14:textFill>
            <w14:solidFill>
              <w14:schemeClr w14:val="tx1"/>
            </w14:solidFill>
          </w14:textFill>
        </w:rPr>
        <w:sectPr>
          <w:headerReference r:id="rId8" w:type="default"/>
          <w:footerReference r:id="rId9" w:type="default"/>
          <w:pgSz w:w="11906" w:h="16838"/>
          <w:pgMar w:top="1440" w:right="1080" w:bottom="1440" w:left="1080" w:header="850" w:footer="992" w:gutter="0"/>
          <w:pgNumType w:start="1"/>
          <w:cols w:space="0" w:num="1"/>
          <w:docGrid w:type="lines" w:linePitch="389" w:charSpace="0"/>
        </w:sectPr>
      </w:pPr>
    </w:p>
    <w:p w14:paraId="32E84798">
      <w:pPr>
        <w:rPr>
          <w:rFonts w:hint="eastAsia" w:ascii="宋体" w:hAnsi="宋体" w:eastAsia="宋体" w:cs="宋体"/>
          <w:color w:val="000000" w:themeColor="text1"/>
          <w:highlight w:val="none"/>
          <w14:textFill>
            <w14:solidFill>
              <w14:schemeClr w14:val="tx1"/>
            </w14:solidFill>
          </w14:textFill>
        </w:rPr>
      </w:pPr>
    </w:p>
    <w:p w14:paraId="09DF53C5">
      <w:pPr>
        <w:pStyle w:val="2"/>
        <w:ind w:firstLine="883"/>
        <w:rPr>
          <w:rStyle w:val="51"/>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Cs w:val="0"/>
          <w:color w:val="000000" w:themeColor="text1"/>
          <w:szCs w:val="24"/>
          <w:highlight w:val="none"/>
          <w14:textFill>
            <w14:solidFill>
              <w14:schemeClr w14:val="tx1"/>
            </w14:solidFill>
          </w14:textFill>
        </w:rPr>
        <w:fldChar w:fldCharType="end"/>
      </w:r>
      <w:bookmarkStart w:id="1" w:name="_Toc25475"/>
      <w:bookmarkStart w:id="2" w:name="_Toc393784369"/>
      <w:bookmarkStart w:id="3" w:name="_Toc26498"/>
      <w:r>
        <w:rPr>
          <w:rStyle w:val="51"/>
          <w:rFonts w:hint="eastAsia" w:ascii="宋体" w:hAnsi="宋体" w:eastAsia="宋体" w:cs="宋体"/>
          <w:b/>
          <w:bCs/>
          <w:color w:val="000000" w:themeColor="text1"/>
          <w:highlight w:val="none"/>
          <w14:textFill>
            <w14:solidFill>
              <w14:schemeClr w14:val="tx1"/>
            </w14:solidFill>
          </w14:textFill>
        </w:rPr>
        <w:t xml:space="preserve">第一章 </w:t>
      </w:r>
      <w:bookmarkEnd w:id="1"/>
      <w:bookmarkEnd w:id="2"/>
      <w:r>
        <w:rPr>
          <w:rStyle w:val="51"/>
          <w:rFonts w:hint="eastAsia" w:ascii="宋体" w:hAnsi="宋体" w:eastAsia="宋体" w:cs="宋体"/>
          <w:b/>
          <w:bCs/>
          <w:color w:val="000000" w:themeColor="text1"/>
          <w:highlight w:val="none"/>
          <w14:textFill>
            <w14:solidFill>
              <w14:schemeClr w14:val="tx1"/>
            </w14:solidFill>
          </w14:textFill>
        </w:rPr>
        <w:t>竞争性磋商公告</w:t>
      </w:r>
      <w:bookmarkEnd w:id="3"/>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18" w:space="0"/>
          <w:insideV w:val="single" w:color="auto" w:sz="18" w:space="0"/>
        </w:tblBorders>
        <w:tblLayout w:type="autofit"/>
        <w:tblCellMar>
          <w:top w:w="0" w:type="dxa"/>
          <w:left w:w="108" w:type="dxa"/>
          <w:bottom w:w="0" w:type="dxa"/>
          <w:right w:w="108" w:type="dxa"/>
        </w:tblCellMar>
      </w:tblPr>
      <w:tblGrid>
        <w:gridCol w:w="9958"/>
      </w:tblGrid>
      <w:tr w14:paraId="3EB93506">
        <w:tblPrEx>
          <w:tblBorders>
            <w:top w:val="single" w:color="auto" w:sz="4" w:space="0"/>
            <w:left w:val="single" w:color="auto" w:sz="4" w:space="0"/>
            <w:bottom w:val="single" w:color="auto" w:sz="4" w:space="0"/>
            <w:right w:val="single" w:color="auto" w:sz="4" w:space="0"/>
            <w:insideH w:val="single" w:color="auto" w:sz="18" w:space="0"/>
            <w:insideV w:val="single" w:color="auto" w:sz="18" w:space="0"/>
          </w:tblBorders>
          <w:tblCellMar>
            <w:top w:w="0" w:type="dxa"/>
            <w:left w:w="108" w:type="dxa"/>
            <w:bottom w:w="0" w:type="dxa"/>
            <w:right w:w="108" w:type="dxa"/>
          </w:tblCellMar>
        </w:tblPrEx>
        <w:trPr>
          <w:trHeight w:val="1016" w:hRule="atLeast"/>
          <w:jc w:val="center"/>
        </w:trPr>
        <w:tc>
          <w:tcPr>
            <w:tcW w:w="5000" w:type="pct"/>
          </w:tcPr>
          <w:p w14:paraId="579D759F">
            <w:pPr>
              <w:spacing w:line="240" w:lineRule="auto"/>
              <w:ind w:firstLine="0" w:firstLineChars="0"/>
              <w:rPr>
                <w:rFonts w:hint="eastAsia" w:ascii="宋体" w:hAnsi="宋体" w:eastAsia="宋体" w:cs="宋体"/>
                <w:b/>
                <w:bCs/>
                <w:color w:val="000000" w:themeColor="text1"/>
                <w:sz w:val="22"/>
                <w:szCs w:val="22"/>
                <w:highlight w:val="none"/>
                <w14:textFill>
                  <w14:solidFill>
                    <w14:schemeClr w14:val="tx1"/>
                  </w14:solidFill>
                </w14:textFill>
              </w:rPr>
            </w:pPr>
            <w:bookmarkStart w:id="4" w:name="_Toc4160"/>
            <w:bookmarkStart w:id="5" w:name="_Toc2771"/>
            <w:bookmarkStart w:id="6" w:name="_Toc5588"/>
            <w:bookmarkStart w:id="7" w:name="_Toc4460"/>
            <w:bookmarkStart w:id="8" w:name="_Toc16612"/>
            <w:bookmarkStart w:id="9" w:name="_Toc19079"/>
            <w:bookmarkStart w:id="10" w:name="_Toc29654"/>
            <w:bookmarkStart w:id="11" w:name="_Toc11416"/>
            <w:bookmarkStart w:id="12" w:name="_Toc15275"/>
            <w:bookmarkStart w:id="13" w:name="_Toc49935287"/>
            <w:bookmarkStart w:id="14" w:name="_Toc17591"/>
            <w:bookmarkStart w:id="15" w:name="_Toc15684"/>
            <w:bookmarkStart w:id="16" w:name="_Toc4891"/>
            <w:bookmarkStart w:id="17" w:name="_Toc44576552"/>
            <w:bookmarkStart w:id="18" w:name="_Toc1974"/>
            <w:r>
              <w:rPr>
                <w:rFonts w:hint="eastAsia" w:ascii="宋体" w:hAnsi="宋体" w:eastAsia="宋体" w:cs="宋体"/>
                <w:b/>
                <w:bCs/>
                <w:color w:val="000000" w:themeColor="text1"/>
                <w:sz w:val="22"/>
                <w:szCs w:val="22"/>
                <w:highlight w:val="none"/>
                <w14:textFill>
                  <w14:solidFill>
                    <w14:schemeClr w14:val="tx1"/>
                  </w14:solidFill>
                </w14:textFill>
              </w:rPr>
              <w:t>项目概况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4EB6326C">
            <w:pPr>
              <w:spacing w:line="240" w:lineRule="auto"/>
              <w:ind w:firstLine="44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eastAsia="zh-CN"/>
                <w14:textFill>
                  <w14:solidFill>
                    <w14:schemeClr w14:val="tx1"/>
                  </w14:solidFill>
                </w14:textFill>
              </w:rPr>
              <w:t>云南水利水电职业学院校史馆建设项目</w:t>
            </w:r>
            <w:r>
              <w:rPr>
                <w:rFonts w:hint="eastAsia" w:ascii="宋体" w:hAnsi="宋体" w:eastAsia="宋体" w:cs="宋体"/>
                <w:color w:val="000000" w:themeColor="text1"/>
                <w:sz w:val="22"/>
                <w:szCs w:val="22"/>
                <w:highlight w:val="none"/>
                <w14:textFill>
                  <w14:solidFill>
                    <w14:schemeClr w14:val="tx1"/>
                  </w14:solidFill>
                </w14:textFill>
              </w:rPr>
              <w:t>的潜在供应商应在</w:t>
            </w:r>
            <w:r>
              <w:rPr>
                <w:rFonts w:hint="eastAsia" w:ascii="宋体" w:hAnsi="宋体" w:eastAsia="宋体" w:cs="宋体"/>
                <w:b/>
                <w:bCs/>
                <w:color w:val="000000" w:themeColor="text1"/>
                <w:sz w:val="22"/>
                <w:szCs w:val="22"/>
                <w:highlight w:val="none"/>
                <w14:textFill>
                  <w14:solidFill>
                    <w14:schemeClr w14:val="tx1"/>
                  </w14:solidFill>
                </w14:textFill>
              </w:rPr>
              <w:t>“政采云”平台（https://www.zcygov.cn/）</w:t>
            </w:r>
            <w:r>
              <w:rPr>
                <w:rFonts w:hint="eastAsia" w:ascii="宋体" w:hAnsi="宋体" w:eastAsia="宋体" w:cs="宋体"/>
                <w:color w:val="000000" w:themeColor="text1"/>
                <w:sz w:val="22"/>
                <w:szCs w:val="22"/>
                <w:highlight w:val="none"/>
                <w14:textFill>
                  <w14:solidFill>
                    <w14:schemeClr w14:val="tx1"/>
                  </w14:solidFill>
                </w14:textFill>
              </w:rPr>
              <w:t>获取竞争性磋商文件，并于</w:t>
            </w:r>
            <w:r>
              <w:rPr>
                <w:rFonts w:hint="eastAsia" w:ascii="宋体" w:hAnsi="宋体" w:eastAsia="宋体" w:cs="宋体"/>
                <w:b/>
                <w:bCs/>
                <w:color w:val="000000" w:themeColor="text1"/>
                <w:sz w:val="22"/>
                <w:szCs w:val="22"/>
                <w:highlight w:val="none"/>
                <w14:textFill>
                  <w14:solidFill>
                    <w14:schemeClr w14:val="tx1"/>
                  </w14:solidFill>
                </w14:textFill>
              </w:rPr>
              <w:t>2025-</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11</w:t>
            </w:r>
            <w:r>
              <w:rPr>
                <w:rFonts w:hint="eastAsia" w:ascii="宋体" w:hAnsi="宋体" w:eastAsia="宋体" w:cs="宋体"/>
                <w:b/>
                <w:bCs/>
                <w:color w:val="000000" w:themeColor="text1"/>
                <w:sz w:val="22"/>
                <w:szCs w:val="22"/>
                <w:highlight w:val="none"/>
                <w14:textFill>
                  <w14:solidFill>
                    <w14:schemeClr w14:val="tx1"/>
                  </w14:solidFill>
                </w14:textFill>
              </w:rPr>
              <w:t>-</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14</w:t>
            </w:r>
            <w:r>
              <w:rPr>
                <w:rFonts w:hint="eastAsia" w:ascii="宋体" w:hAnsi="宋体" w:eastAsia="宋体" w:cs="宋体"/>
                <w:b/>
                <w:bCs/>
                <w:color w:val="000000" w:themeColor="text1"/>
                <w:sz w:val="22"/>
                <w:szCs w:val="22"/>
                <w:highlight w:val="none"/>
                <w14:textFill>
                  <w14:solidFill>
                    <w14:schemeClr w14:val="tx1"/>
                  </w14:solidFill>
                </w14:textFill>
              </w:rPr>
              <w:t xml:space="preserve"> 09:</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0</w:t>
            </w:r>
            <w:r>
              <w:rPr>
                <w:rFonts w:hint="eastAsia" w:ascii="宋体" w:hAnsi="宋体" w:eastAsia="宋体" w:cs="宋体"/>
                <w:b/>
                <w:bCs/>
                <w:color w:val="000000" w:themeColor="text1"/>
                <w:sz w:val="22"/>
                <w:szCs w:val="22"/>
                <w:highlight w:val="none"/>
                <w14:textFill>
                  <w14:solidFill>
                    <w14:schemeClr w14:val="tx1"/>
                  </w14:solidFill>
                </w14:textFill>
              </w:rPr>
              <w:t>0（北京时间）</w:t>
            </w:r>
            <w:r>
              <w:rPr>
                <w:rFonts w:hint="eastAsia" w:ascii="宋体" w:hAnsi="宋体" w:eastAsia="宋体" w:cs="宋体"/>
                <w:color w:val="000000" w:themeColor="text1"/>
                <w:sz w:val="22"/>
                <w:szCs w:val="22"/>
                <w:highlight w:val="none"/>
                <w14:textFill>
                  <w14:solidFill>
                    <w14:schemeClr w14:val="tx1"/>
                  </w14:solidFill>
                </w14:textFill>
              </w:rPr>
              <w:t>前网上递交响应文件。</w:t>
            </w:r>
          </w:p>
        </w:tc>
      </w:tr>
    </w:tbl>
    <w:p w14:paraId="6233EE36">
      <w:pPr>
        <w:pStyle w:val="3"/>
        <w:ind w:firstLine="643"/>
        <w:jc w:val="left"/>
        <w:rPr>
          <w:rFonts w:hint="eastAsia" w:ascii="宋体" w:hAnsi="宋体" w:eastAsia="宋体" w:cs="宋体"/>
          <w:color w:val="000000" w:themeColor="text1"/>
          <w:highlight w:val="none"/>
          <w14:textFill>
            <w14:solidFill>
              <w14:schemeClr w14:val="tx1"/>
            </w14:solidFill>
          </w14:textFill>
        </w:rPr>
      </w:pPr>
      <w:bookmarkStart w:id="19" w:name="_Toc21783"/>
      <w:bookmarkStart w:id="20" w:name="_Toc7292"/>
      <w:bookmarkStart w:id="21" w:name="_Toc188239554"/>
      <w:bookmarkStart w:id="22" w:name="_Toc1664816033"/>
      <w:bookmarkStart w:id="23" w:name="_Toc29983"/>
      <w:bookmarkStart w:id="24" w:name="_Toc8779"/>
      <w:bookmarkStart w:id="25" w:name="_Toc9959"/>
      <w:r>
        <w:rPr>
          <w:rFonts w:hint="eastAsia" w:ascii="宋体" w:hAnsi="宋体" w:eastAsia="宋体" w:cs="宋体"/>
          <w:color w:val="000000" w:themeColor="text1"/>
          <w:highlight w:val="none"/>
          <w14:textFill>
            <w14:solidFill>
              <w14:schemeClr w14:val="tx1"/>
            </w14:solidFill>
          </w14:textFill>
        </w:rPr>
        <w:t>一、项目基本情况</w:t>
      </w:r>
      <w:bookmarkEnd w:id="19"/>
      <w:bookmarkEnd w:id="20"/>
      <w:bookmarkEnd w:id="21"/>
      <w:bookmarkEnd w:id="22"/>
      <w:bookmarkEnd w:id="23"/>
      <w:bookmarkEnd w:id="24"/>
      <w:bookmarkEnd w:id="25"/>
    </w:p>
    <w:p w14:paraId="7D466EF2">
      <w:pPr>
        <w:shd w:val="clea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项目编号：</w:t>
      </w:r>
      <w:r>
        <w:rPr>
          <w:rFonts w:hint="eastAsia" w:ascii="宋体" w:hAnsi="宋体" w:eastAsia="宋体" w:cs="宋体"/>
          <w:color w:val="000000" w:themeColor="text1"/>
          <w:highlight w:val="none"/>
          <w:lang w:eastAsia="zh-CN"/>
          <w14:textFill>
            <w14:solidFill>
              <w14:schemeClr w14:val="tx1"/>
            </w14:solidFill>
          </w14:textFill>
        </w:rPr>
        <w:t>云赛招字2025-183</w:t>
      </w:r>
      <w:r>
        <w:rPr>
          <w:rFonts w:hint="eastAsia" w:ascii="宋体" w:hAnsi="宋体" w:eastAsia="宋体" w:cs="宋体"/>
          <w:color w:val="000000" w:themeColor="text1"/>
          <w:highlight w:val="none"/>
          <w14:textFill>
            <w14:solidFill>
              <w14:schemeClr w14:val="tx1"/>
            </w14:solidFill>
          </w14:textFill>
        </w:rPr>
        <w:tab/>
      </w:r>
    </w:p>
    <w:p w14:paraId="121B383F">
      <w:pPr>
        <w:shd w:val="clear"/>
        <w:ind w:firstLine="562"/>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项目名称：</w:t>
      </w:r>
      <w:r>
        <w:rPr>
          <w:rFonts w:hint="eastAsia" w:ascii="宋体" w:hAnsi="宋体" w:eastAsia="宋体" w:cs="宋体"/>
          <w:color w:val="000000" w:themeColor="text1"/>
          <w:highlight w:val="none"/>
          <w:lang w:eastAsia="zh-CN"/>
          <w14:textFill>
            <w14:solidFill>
              <w14:schemeClr w14:val="tx1"/>
            </w14:solidFill>
          </w14:textFill>
        </w:rPr>
        <w:t>云南水利水电职业学院校史馆建设项目</w:t>
      </w:r>
    </w:p>
    <w:p w14:paraId="394985F4">
      <w:pPr>
        <w:shd w:val="clea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采购方式：</w:t>
      </w:r>
      <w:r>
        <w:rPr>
          <w:rFonts w:hint="eastAsia" w:ascii="宋体" w:hAnsi="宋体" w:eastAsia="宋体" w:cs="宋体"/>
          <w:color w:val="000000" w:themeColor="text1"/>
          <w:highlight w:val="none"/>
          <w14:textFill>
            <w14:solidFill>
              <w14:schemeClr w14:val="tx1"/>
            </w14:solidFill>
          </w14:textFill>
        </w:rPr>
        <w:t>竞争性磋商</w:t>
      </w:r>
    </w:p>
    <w:p w14:paraId="54A4BCE7">
      <w:pPr>
        <w:shd w:val="clear"/>
        <w:ind w:firstLine="562"/>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预算金额：</w:t>
      </w:r>
      <w:r>
        <w:rPr>
          <w:rFonts w:hint="eastAsia" w:ascii="宋体" w:hAnsi="宋体" w:eastAsia="宋体" w:cs="宋体"/>
          <w:color w:val="000000" w:themeColor="text1"/>
          <w:highlight w:val="none"/>
          <w:lang w:eastAsia="zh-CN"/>
          <w14:textFill>
            <w14:solidFill>
              <w14:schemeClr w14:val="tx1"/>
            </w14:solidFill>
          </w14:textFill>
        </w:rPr>
        <w:t>358</w:t>
      </w:r>
      <w:r>
        <w:rPr>
          <w:rFonts w:hint="eastAsia" w:ascii="宋体" w:hAnsi="宋体" w:eastAsia="宋体" w:cs="宋体"/>
          <w:color w:val="000000" w:themeColor="text1"/>
          <w:highlight w:val="none"/>
          <w:lang w:val="en-US" w:eastAsia="zh-CN"/>
          <w14:textFill>
            <w14:solidFill>
              <w14:schemeClr w14:val="tx1"/>
            </w14:solidFill>
          </w14:textFill>
        </w:rPr>
        <w:t>.00</w:t>
      </w:r>
      <w:r>
        <w:rPr>
          <w:rFonts w:hint="eastAsia" w:ascii="宋体" w:hAnsi="宋体" w:eastAsia="宋体" w:cs="宋体"/>
          <w:color w:val="000000" w:themeColor="text1"/>
          <w:highlight w:val="none"/>
          <w:lang w:eastAsia="zh-CN"/>
          <w14:textFill>
            <w14:solidFill>
              <w14:schemeClr w14:val="tx1"/>
            </w14:solidFill>
          </w14:textFill>
        </w:rPr>
        <w:t>万元</w:t>
      </w:r>
    </w:p>
    <w:p w14:paraId="4EEFCCE6">
      <w:pPr>
        <w:shd w:val="clea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最高限价：</w:t>
      </w:r>
      <w:r>
        <w:rPr>
          <w:rFonts w:hint="eastAsia" w:ascii="宋体" w:hAnsi="宋体" w:eastAsia="宋体" w:cs="宋体"/>
          <w:color w:val="000000" w:themeColor="text1"/>
          <w:highlight w:val="none"/>
          <w:lang w:eastAsia="zh-CN"/>
          <w14:textFill>
            <w14:solidFill>
              <w14:schemeClr w14:val="tx1"/>
            </w14:solidFill>
          </w14:textFill>
        </w:rPr>
        <w:t>358</w:t>
      </w:r>
      <w:r>
        <w:rPr>
          <w:rFonts w:hint="eastAsia" w:ascii="宋体" w:hAnsi="宋体" w:eastAsia="宋体" w:cs="宋体"/>
          <w:color w:val="000000" w:themeColor="text1"/>
          <w:highlight w:val="none"/>
          <w:lang w:val="en-US" w:eastAsia="zh-CN"/>
          <w14:textFill>
            <w14:solidFill>
              <w14:schemeClr w14:val="tx1"/>
            </w14:solidFill>
          </w14:textFill>
        </w:rPr>
        <w:t>.00</w:t>
      </w:r>
      <w:r>
        <w:rPr>
          <w:rFonts w:hint="eastAsia" w:ascii="宋体" w:hAnsi="宋体" w:eastAsia="宋体" w:cs="宋体"/>
          <w:color w:val="000000" w:themeColor="text1"/>
          <w:highlight w:val="none"/>
          <w:lang w:eastAsia="zh-CN"/>
          <w14:textFill>
            <w14:solidFill>
              <w14:schemeClr w14:val="tx1"/>
            </w14:solidFill>
          </w14:textFill>
        </w:rPr>
        <w:t>万元（</w:t>
      </w:r>
      <w:r>
        <w:rPr>
          <w:rFonts w:hint="eastAsia" w:ascii="宋体" w:hAnsi="宋体" w:eastAsia="宋体" w:cs="宋体"/>
          <w:color w:val="000000" w:themeColor="text1"/>
          <w:highlight w:val="none"/>
          <w:lang w:val="en-US" w:eastAsia="zh-CN"/>
          <w14:textFill>
            <w14:solidFill>
              <w14:schemeClr w14:val="tx1"/>
            </w14:solidFill>
          </w14:textFill>
        </w:rPr>
        <w:t>其中设计部分为15.00万元（设计部分费用以固定总价方式进行报价）），施工部分343.00万元（施工部分费用以固定下浮率方式进行报价）</w:t>
      </w:r>
      <w:r>
        <w:rPr>
          <w:rFonts w:hint="eastAsia" w:ascii="宋体" w:hAnsi="宋体" w:eastAsia="宋体" w:cs="宋体"/>
          <w:color w:val="000000" w:themeColor="text1"/>
          <w:highlight w:val="none"/>
          <w:lang w:eastAsia="zh-CN"/>
          <w14:textFill>
            <w14:solidFill>
              <w14:schemeClr w14:val="tx1"/>
            </w14:solidFill>
          </w14:textFill>
        </w:rPr>
        <w:t>）</w:t>
      </w:r>
    </w:p>
    <w:p w14:paraId="6037CBF5">
      <w:pPr>
        <w:numPr>
          <w:ilvl w:val="0"/>
          <w:numId w:val="0"/>
        </w:numPr>
        <w:shd w:val="clear"/>
        <w:ind w:firstLine="562" w:firstLineChars="20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采购需求：</w:t>
      </w:r>
      <w:bookmarkStart w:id="26" w:name="_Hlk123133413"/>
      <w:bookmarkStart w:id="27" w:name="_Hlk112749551"/>
      <w:bookmarkStart w:id="28" w:name="_Hlk90388652"/>
      <w:r>
        <w:rPr>
          <w:rFonts w:hint="eastAsia" w:ascii="宋体" w:hAnsi="宋体" w:eastAsia="宋体" w:cs="宋体"/>
          <w:color w:val="000000" w:themeColor="text1"/>
          <w:highlight w:val="none"/>
          <w:lang w:val="en-US" w:eastAsia="zh-CN"/>
          <w14:textFill>
            <w14:solidFill>
              <w14:schemeClr w14:val="tx1"/>
            </w14:solidFill>
          </w14:textFill>
        </w:rPr>
        <w:t>完成云南水利水电职业学院校史馆建设项目范围内的设计、施工工作，具体内容为：方案设计、效果图设计、施工图深化设计、布展实施方案、布展装饰施工、空调改造、定制展项设计制作、电气设备安装、展览专用展柜设计制作、定制声光电展项、运营智能化管理、线上全景展览和零星配套设施等，具体包含但不限于：（1）展陈大纲内容策划、表现形式设计；（2）建筑内部展陈空间整体规划、空间设计；平面内容设计；（设计图纸具体包括但不限于分区图、流线图、鸟瞰图、各功能空间效果图、平立面设计图、各专项设计深化图、施工图等）；（3）展陈区域布展所需的专业展柜、展架（托）设计制作、文字标识平面设计制作、导览导视系统设计制作、维护、质保；（4）展品装饰、雕塑、油画、场景等定制艺术展项的设计、制作、采购、布展、维护、质保；（5）校史馆、临展区等功能空间的整体布展施工包括原场地拆除、隔墙搭建、墙面、吊顶、地面装饰布展；配套电气设施安装；空调改造；施工预算；维护、质保；（6）零星配套设施采购、安装、维护、质保；</w:t>
      </w:r>
    </w:p>
    <w:p w14:paraId="7821590D">
      <w:pPr>
        <w:numPr>
          <w:ilvl w:val="0"/>
          <w:numId w:val="0"/>
        </w:numPr>
        <w:shd w:val="clear"/>
        <w:ind w:firstLine="560" w:firstLineChars="20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注：最终以采购人确认的实施范围为准（采购人保留调整以上工作范围的权利，成交人须无条件予以配合且不得据此提出任何索赔或其他费用的要求）。</w:t>
      </w:r>
    </w:p>
    <w:bookmarkEnd w:id="26"/>
    <w:bookmarkEnd w:id="27"/>
    <w:bookmarkEnd w:id="28"/>
    <w:p w14:paraId="38E7F0DB">
      <w:pPr>
        <w:numPr>
          <w:ilvl w:val="0"/>
          <w:numId w:val="0"/>
        </w:numPr>
        <w:shd w:val="clear"/>
        <w:ind w:firstLine="562" w:firstLineChars="20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合同履行期限：</w:t>
      </w:r>
      <w:r>
        <w:rPr>
          <w:rFonts w:hint="eastAsia" w:ascii="宋体" w:hAnsi="宋体" w:eastAsia="宋体" w:cs="宋体"/>
          <w:color w:val="000000" w:themeColor="text1"/>
          <w:highlight w:val="none"/>
          <w:lang w:val="en-US" w:eastAsia="zh-CN"/>
          <w14:textFill>
            <w14:solidFill>
              <w14:schemeClr w14:val="tx1"/>
            </w14:solidFill>
          </w14:textFill>
        </w:rPr>
        <w:t>合同签订之日起105日历天内完工并验收完成（其中：设计周期15日历天，施工工期90日历天）。</w:t>
      </w:r>
    </w:p>
    <w:p w14:paraId="390E17AF">
      <w:pPr>
        <w:shd w:val="clear"/>
        <w:spacing w:line="360" w:lineRule="auto"/>
        <w:ind w:firstLine="56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本项目接受</w:t>
      </w:r>
      <w:r>
        <w:rPr>
          <w:rFonts w:hint="eastAsia" w:ascii="宋体" w:hAnsi="宋体" w:eastAsia="宋体" w:cs="宋体"/>
          <w:b/>
          <w:bCs/>
          <w:color w:val="000000" w:themeColor="text1"/>
          <w:highlight w:val="none"/>
          <w:lang w:eastAsia="zh-CN"/>
          <w14:textFill>
            <w14:solidFill>
              <w14:schemeClr w14:val="tx1"/>
            </w14:solidFill>
          </w14:textFill>
        </w:rPr>
        <w:t>联合体</w:t>
      </w:r>
      <w:r>
        <w:rPr>
          <w:rFonts w:hint="eastAsia" w:ascii="宋体" w:hAnsi="宋体" w:eastAsia="宋体" w:cs="宋体"/>
          <w:b/>
          <w:bCs/>
          <w:color w:val="000000" w:themeColor="text1"/>
          <w:highlight w:val="none"/>
          <w:lang w:val="en-US" w:eastAsia="zh-CN"/>
          <w14:textFill>
            <w14:solidFill>
              <w14:schemeClr w14:val="tx1"/>
            </w14:solidFill>
          </w14:textFill>
        </w:rPr>
        <w:t>投标</w:t>
      </w:r>
      <w:r>
        <w:rPr>
          <w:rFonts w:hint="eastAsia" w:ascii="宋体" w:hAnsi="宋体" w:eastAsia="宋体" w:cs="宋体"/>
          <w:b/>
          <w:bCs/>
          <w:color w:val="000000" w:themeColor="text1"/>
          <w:highlight w:val="none"/>
          <w14:textFill>
            <w14:solidFill>
              <w14:schemeClr w14:val="tx1"/>
            </w14:solidFill>
          </w14:textFill>
        </w:rPr>
        <w:t>。</w:t>
      </w:r>
      <w:bookmarkStart w:id="29" w:name="_Toc2143365981"/>
      <w:bookmarkStart w:id="30" w:name="_Toc14285"/>
      <w:bookmarkStart w:id="31" w:name="_Toc27086"/>
      <w:bookmarkStart w:id="32" w:name="_Toc12036"/>
      <w:bookmarkStart w:id="33" w:name="_Toc11925"/>
      <w:bookmarkStart w:id="34" w:name="_Toc1661178617"/>
      <w:r>
        <w:rPr>
          <w:rFonts w:hint="eastAsia" w:ascii="宋体" w:hAnsi="宋体" w:eastAsia="宋体" w:cs="宋体"/>
          <w:b w:val="0"/>
          <w:bCs w:val="0"/>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lang w:val="en-US" w:eastAsia="zh-CN"/>
          <w14:textFill>
            <w14:solidFill>
              <w14:schemeClr w14:val="tx1"/>
            </w14:solidFill>
          </w14:textFill>
        </w:rPr>
        <w:t>若为联合体参加磋商的，应满足下列要求：（1）联合体各方应签订联合体协议书，明确约定各方拟承担的工作和责任，并将联合体协议书一并递交采购人，</w:t>
      </w:r>
      <w:r>
        <w:rPr>
          <w:rFonts w:hint="eastAsia" w:ascii="宋体" w:hAnsi="宋体" w:eastAsia="宋体" w:cs="宋体"/>
          <w:b/>
          <w:bCs/>
          <w:color w:val="000000" w:themeColor="text1"/>
          <w:highlight w:val="none"/>
          <w:lang w:val="en-US" w:eastAsia="zh-CN"/>
          <w14:textFill>
            <w14:solidFill>
              <w14:schemeClr w14:val="tx1"/>
            </w14:solidFill>
          </w14:textFill>
        </w:rPr>
        <w:t>联合体牵头人可以为施工总承包方或者设计方</w:t>
      </w:r>
      <w:r>
        <w:rPr>
          <w:rFonts w:hint="eastAsia" w:ascii="宋体" w:hAnsi="宋体" w:eastAsia="宋体" w:cs="宋体"/>
          <w:color w:val="000000" w:themeColor="text1"/>
          <w:highlight w:val="none"/>
          <w:lang w:val="en-US" w:eastAsia="zh-CN"/>
          <w14:textFill>
            <w14:solidFill>
              <w14:schemeClr w14:val="tx1"/>
            </w14:solidFill>
          </w14:textFill>
        </w:rPr>
        <w:t>；（2）响应文件及成交后签署的合同协议书对联合体各方均具有法律约束力;（3）联合体成交后，联合体各方应当共同与采购人签订合同，为履行合同向采购人承担连带责任;（4）由同一专业的单位组成的联合体，按照资质等级较低的单位确定资质等级;（5）联合体投标的，以联合体中牵头人名义递交的投标保证金，对联合体各成员具有约束。（6）一家独立法人公司只能参加一个联合体，并且不得再以自己的名义单独参加本项目投标。</w:t>
      </w:r>
    </w:p>
    <w:p w14:paraId="3BBCD119">
      <w:pPr>
        <w:pStyle w:val="3"/>
        <w:shd w:val="clear"/>
        <w:ind w:firstLine="643"/>
        <w:jc w:val="left"/>
        <w:rPr>
          <w:rFonts w:hint="eastAsia" w:ascii="宋体" w:hAnsi="宋体" w:eastAsia="宋体" w:cs="宋体"/>
          <w:color w:val="000000" w:themeColor="text1"/>
          <w:highlight w:val="none"/>
          <w14:textFill>
            <w14:solidFill>
              <w14:schemeClr w14:val="tx1"/>
            </w14:solidFill>
          </w14:textFill>
        </w:rPr>
      </w:pPr>
      <w:bookmarkStart w:id="35" w:name="_Toc28528"/>
      <w:bookmarkStart w:id="36" w:name="_Toc16477"/>
      <w:bookmarkStart w:id="37" w:name="_Toc18235"/>
      <w:r>
        <w:rPr>
          <w:rFonts w:hint="eastAsia" w:ascii="宋体" w:hAnsi="宋体" w:eastAsia="宋体" w:cs="宋体"/>
          <w:color w:val="000000" w:themeColor="text1"/>
          <w:highlight w:val="none"/>
          <w14:textFill>
            <w14:solidFill>
              <w14:schemeClr w14:val="tx1"/>
            </w14:solidFill>
          </w14:textFill>
        </w:rPr>
        <w:t>二、申请人的资格要求</w:t>
      </w:r>
      <w:bookmarkEnd w:id="29"/>
      <w:bookmarkEnd w:id="30"/>
      <w:bookmarkEnd w:id="31"/>
      <w:bookmarkEnd w:id="32"/>
      <w:bookmarkEnd w:id="33"/>
      <w:bookmarkEnd w:id="34"/>
      <w:bookmarkEnd w:id="35"/>
      <w:bookmarkEnd w:id="36"/>
      <w:bookmarkEnd w:id="37"/>
    </w:p>
    <w:p w14:paraId="55AE8A31">
      <w:pPr>
        <w:pStyle w:val="4"/>
        <w:shd w:val="clear"/>
        <w:ind w:firstLine="562"/>
        <w:rPr>
          <w:rFonts w:hint="eastAsia" w:ascii="宋体" w:hAnsi="宋体" w:eastAsia="宋体" w:cs="宋体"/>
          <w:color w:val="000000" w:themeColor="text1"/>
          <w:highlight w:val="none"/>
          <w14:textFill>
            <w14:solidFill>
              <w14:schemeClr w14:val="tx1"/>
            </w14:solidFill>
          </w14:textFill>
        </w:rPr>
      </w:pPr>
      <w:bookmarkStart w:id="38" w:name="_Toc8299"/>
      <w:bookmarkStart w:id="39" w:name="_Toc8255"/>
      <w:bookmarkStart w:id="40" w:name="_Toc30602"/>
      <w:r>
        <w:rPr>
          <w:rFonts w:hint="eastAsia" w:ascii="宋体" w:hAnsi="宋体" w:eastAsia="宋体" w:cs="宋体"/>
          <w:color w:val="000000" w:themeColor="text1"/>
          <w:highlight w:val="none"/>
          <w14:textFill>
            <w14:solidFill>
              <w14:schemeClr w14:val="tx1"/>
            </w14:solidFill>
          </w14:textFill>
        </w:rPr>
        <w:t>1.满足《中华人民共和国政府采购法》第二十二条规定，提供以下材料：</w:t>
      </w:r>
      <w:bookmarkEnd w:id="38"/>
      <w:bookmarkEnd w:id="39"/>
      <w:bookmarkEnd w:id="40"/>
    </w:p>
    <w:p w14:paraId="23F85909">
      <w:pPr>
        <w:shd w:val="clea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 具有独立承担民事责任的能力：供应商提供法人或者其他组织的营业执照等证明文件或自然人的身份证明原件扫描件（或复印件）；</w:t>
      </w:r>
    </w:p>
    <w:p w14:paraId="097C82F1">
      <w:pPr>
        <w:shd w:val="clea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 具有良好的商业信誉和健全的财务会计制度：供应商提供2024年度经审计的财务报告（财务报告须包括“四表一注”，即：资产负债表、利润表、现金流量表、所有者权益变动表及其附注；经审计的财务报告须有注册会计师统一监管平台所赋验证码，如财务报告未赋验证码，供应商应同时提共出具报告的会计师事务所盖章的情况说明，说明中应明确未赋码原因；若供应商成立时间不足1年，可提供自成立之日起至今的财务报告或财务状况说明）</w:t>
      </w:r>
      <w:r>
        <w:rPr>
          <w:rFonts w:hint="eastAsia" w:ascii="宋体" w:hAnsi="宋体" w:eastAsia="宋体" w:cs="宋体"/>
          <w:b/>
          <w:bCs/>
          <w:color w:val="000000" w:themeColor="text1"/>
          <w:highlight w:val="none"/>
          <w14:textFill>
            <w14:solidFill>
              <w14:schemeClr w14:val="tx1"/>
            </w14:solidFill>
          </w14:textFill>
        </w:rPr>
        <w:t>或</w:t>
      </w:r>
      <w:r>
        <w:rPr>
          <w:rFonts w:hint="eastAsia" w:ascii="宋体" w:hAnsi="宋体" w:eastAsia="宋体" w:cs="宋体"/>
          <w:color w:val="000000" w:themeColor="text1"/>
          <w:highlight w:val="none"/>
          <w14:textFill>
            <w14:solidFill>
              <w14:schemeClr w14:val="tx1"/>
            </w14:solidFill>
          </w14:textFill>
        </w:rPr>
        <w:t>提供近三个月内其基本开户银行出具的资信证明</w:t>
      </w:r>
      <w:r>
        <w:rPr>
          <w:rFonts w:hint="eastAsia" w:ascii="宋体" w:hAnsi="宋体" w:eastAsia="宋体" w:cs="宋体"/>
          <w:b/>
          <w:bCs/>
          <w:color w:val="000000" w:themeColor="text1"/>
          <w:highlight w:val="none"/>
          <w14:textFill>
            <w14:solidFill>
              <w14:schemeClr w14:val="tx1"/>
            </w14:solidFill>
          </w14:textFill>
        </w:rPr>
        <w:t>或</w:t>
      </w:r>
      <w:r>
        <w:rPr>
          <w:rFonts w:hint="eastAsia" w:ascii="宋体" w:hAnsi="宋体" w:eastAsia="宋体" w:cs="宋体"/>
          <w:color w:val="000000" w:themeColor="text1"/>
          <w:highlight w:val="none"/>
          <w14:textFill>
            <w14:solidFill>
              <w14:schemeClr w14:val="tx1"/>
            </w14:solidFill>
          </w14:textFill>
        </w:rPr>
        <w:t>提供财政部门认可的政府采购专业担保机构出具的投标担保函（但须同时提供专业担保机构经财政部门认可的证明文件）的原件扫描件（或复印件）；</w:t>
      </w:r>
    </w:p>
    <w:p w14:paraId="08B814C5">
      <w:pPr>
        <w:shd w:val="clea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 具有履行合同所必需的设备和专业技术能力：供应商提供具有履行合同所必需的设备和专业技术能力的书面声明；</w:t>
      </w:r>
    </w:p>
    <w:p w14:paraId="19018C68">
      <w:pPr>
        <w:shd w:val="clea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1.4 依法缴纳税收和社会保障资金的相关材料：供应商提供在响应文件提交截止时间前12个月内任意1个月的依法缴纳税收</w:t>
      </w:r>
      <w:r>
        <w:rPr>
          <w:rFonts w:hint="eastAsia" w:ascii="宋体" w:hAnsi="宋体" w:eastAsia="宋体" w:cs="宋体"/>
          <w:b/>
          <w:bCs/>
          <w:color w:val="000000" w:themeColor="text1"/>
          <w:highlight w:val="none"/>
          <w14:textFill>
            <w14:solidFill>
              <w14:schemeClr w14:val="tx1"/>
            </w14:solidFill>
          </w14:textFill>
        </w:rPr>
        <w:t>和</w:t>
      </w:r>
      <w:r>
        <w:rPr>
          <w:rFonts w:hint="eastAsia" w:ascii="宋体" w:hAnsi="宋体" w:eastAsia="宋体" w:cs="宋体"/>
          <w:color w:val="000000" w:themeColor="text1"/>
          <w:highlight w:val="none"/>
          <w14:textFill>
            <w14:solidFill>
              <w14:schemeClr w14:val="tx1"/>
            </w14:solidFill>
          </w14:textFill>
        </w:rPr>
        <w:t>依法缴纳社会保障资金的证明材料（供应商成立时间不足1个月的，提供相关情况说明；依法免税或不需要缴纳社会保障资金的供应商，应提供相应文件证明其依法免税或不需要缴纳社会保障资金）的原件扫描件（或复印件）；</w:t>
      </w:r>
    </w:p>
    <w:p w14:paraId="6B742627">
      <w:pPr>
        <w:shd w:val="clea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1.5 参加政府采购活动前三年内，在经营活动中没有重大违法记录（重大违法记录指供应商因违法经营受到刑事处罚或者责令停产停业、吊销许可证或者执照、较大数额罚款等行政处罚）：供应商提供参加政府采购活动前三年内，在经营活动中没有重大违法记录的书面声明；供应商成立不足3年的，提供自成立以来在经营活动中没有重大违法记录的书面声明；</w:t>
      </w:r>
    </w:p>
    <w:p w14:paraId="61E8A518">
      <w:pPr>
        <w:shd w:val="clea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 符合法律、行政法规规定的其他条件：供应商提供符合法律、行政法规规定的其他条件的书面声明。</w:t>
      </w:r>
    </w:p>
    <w:p w14:paraId="35127E88">
      <w:pPr>
        <w:pStyle w:val="4"/>
        <w:shd w:val="clear"/>
        <w:ind w:firstLine="562"/>
        <w:rPr>
          <w:rFonts w:hint="eastAsia" w:ascii="宋体" w:hAnsi="宋体" w:eastAsia="宋体" w:cs="宋体"/>
          <w:color w:val="000000" w:themeColor="text1"/>
          <w:highlight w:val="none"/>
          <w14:textFill>
            <w14:solidFill>
              <w14:schemeClr w14:val="tx1"/>
            </w14:solidFill>
          </w14:textFill>
        </w:rPr>
      </w:pPr>
      <w:bookmarkStart w:id="41" w:name="_Toc7772"/>
      <w:bookmarkStart w:id="42" w:name="_Toc9880"/>
      <w:bookmarkStart w:id="43" w:name="_Toc28806"/>
      <w:r>
        <w:rPr>
          <w:rFonts w:hint="eastAsia" w:ascii="宋体" w:hAnsi="宋体" w:eastAsia="宋体" w:cs="宋体"/>
          <w:color w:val="000000" w:themeColor="text1"/>
          <w:highlight w:val="none"/>
          <w14:textFill>
            <w14:solidFill>
              <w14:schemeClr w14:val="tx1"/>
            </w14:solidFill>
          </w14:textFill>
        </w:rPr>
        <w:t>2.落实政府采购政策需满足的资格要求：</w:t>
      </w:r>
      <w:bookmarkEnd w:id="41"/>
      <w:bookmarkEnd w:id="42"/>
      <w:bookmarkEnd w:id="43"/>
    </w:p>
    <w:p w14:paraId="3957FC4D">
      <w:pPr>
        <w:shd w:val="clea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云南水利水电职业学院校史馆建设项目</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专门面向中小企业采购</w:t>
      </w:r>
      <w:r>
        <w:rPr>
          <w:rFonts w:hint="eastAsia" w:ascii="宋体" w:hAnsi="宋体" w:eastAsia="宋体" w:cs="宋体"/>
          <w:color w:val="000000" w:themeColor="text1"/>
          <w:highlight w:val="none"/>
          <w14:textFill>
            <w14:solidFill>
              <w14:schemeClr w14:val="tx1"/>
            </w14:solidFill>
          </w14:textFill>
        </w:rPr>
        <w:t>;</w:t>
      </w:r>
    </w:p>
    <w:p w14:paraId="3A7B33CA">
      <w:pPr>
        <w:pStyle w:val="4"/>
        <w:shd w:val="clear"/>
        <w:ind w:firstLine="562"/>
        <w:rPr>
          <w:rFonts w:hint="eastAsia" w:ascii="宋体" w:hAnsi="宋体" w:eastAsia="宋体" w:cs="宋体"/>
          <w:color w:val="000000" w:themeColor="text1"/>
          <w:highlight w:val="none"/>
          <w14:textFill>
            <w14:solidFill>
              <w14:schemeClr w14:val="tx1"/>
            </w14:solidFill>
          </w14:textFill>
        </w:rPr>
      </w:pPr>
      <w:bookmarkStart w:id="44" w:name="_Toc8463"/>
      <w:bookmarkStart w:id="45" w:name="_Toc8172"/>
      <w:bookmarkStart w:id="46" w:name="_Toc21797"/>
      <w:r>
        <w:rPr>
          <w:rFonts w:hint="eastAsia" w:ascii="宋体" w:hAnsi="宋体" w:eastAsia="宋体" w:cs="宋体"/>
          <w:color w:val="000000" w:themeColor="text1"/>
          <w:highlight w:val="none"/>
          <w14:textFill>
            <w14:solidFill>
              <w14:schemeClr w14:val="tx1"/>
            </w14:solidFill>
          </w14:textFill>
        </w:rPr>
        <w:t>3.本项目的特定资格要求：</w:t>
      </w:r>
      <w:bookmarkEnd w:id="44"/>
      <w:bookmarkEnd w:id="45"/>
      <w:bookmarkEnd w:id="46"/>
    </w:p>
    <w:p w14:paraId="2196280B">
      <w:pPr>
        <w:shd w:val="clear"/>
        <w:ind w:firstLine="56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 </w:t>
      </w: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须同时具备以下</w:t>
      </w:r>
      <w:r>
        <w:rPr>
          <w:rFonts w:hint="eastAsia" w:ascii="宋体" w:hAnsi="宋体" w:eastAsia="宋体" w:cs="宋体"/>
          <w:color w:val="000000" w:themeColor="text1"/>
          <w:highlight w:val="none"/>
          <w:lang w:val="en-US" w:eastAsia="zh-CN"/>
          <w14:textFill>
            <w14:solidFill>
              <w14:schemeClr w14:val="tx1"/>
            </w14:solidFill>
          </w14:textFill>
        </w:rPr>
        <w:t>（1）、（2）</w:t>
      </w:r>
      <w:r>
        <w:rPr>
          <w:rFonts w:hint="eastAsia" w:ascii="宋体" w:hAnsi="宋体" w:eastAsia="宋体" w:cs="宋体"/>
          <w:color w:val="000000" w:themeColor="text1"/>
          <w:highlight w:val="none"/>
          <w14:textFill>
            <w14:solidFill>
              <w14:schemeClr w14:val="tx1"/>
            </w14:solidFill>
          </w14:textFill>
        </w:rPr>
        <w:t>资质</w:t>
      </w:r>
      <w:r>
        <w:rPr>
          <w:rFonts w:hint="eastAsia" w:ascii="宋体" w:hAnsi="宋体" w:eastAsia="宋体" w:cs="宋体"/>
          <w:color w:val="000000" w:themeColor="text1"/>
          <w:highlight w:val="none"/>
          <w:lang w:eastAsia="zh-CN"/>
          <w14:textFill>
            <w14:solidFill>
              <w14:schemeClr w14:val="tx1"/>
            </w14:solidFill>
          </w14:textFill>
        </w:rPr>
        <w:t>，资质证书处于有效期内：</w:t>
      </w:r>
    </w:p>
    <w:p w14:paraId="09B70022">
      <w:pPr>
        <w:shd w:val="clear"/>
        <w:ind w:firstLine="56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（1）具备建设行政主管部门核发的工程设计综合甲级资质或建筑行业（建筑工程）专业乙级及以上资质或建筑装饰工程设计专项乙级及以上资质；</w:t>
      </w:r>
    </w:p>
    <w:p w14:paraId="09A99E08">
      <w:pPr>
        <w:shd w:val="clear"/>
        <w:ind w:firstLine="56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（2）具备建设行政主管部门颁发的建筑工程施工总承包三级及以上资质或建筑装修装饰工程专业承包二级及以上资质，且具备安全生产许可证。</w:t>
      </w:r>
    </w:p>
    <w:p w14:paraId="72A6BA9D">
      <w:pPr>
        <w:shd w:val="clear"/>
        <w:ind w:firstLine="560"/>
        <w:jc w:val="both"/>
        <w:rPr>
          <w:rFonts w:hint="eastAsia" w:ascii="宋体" w:hAnsi="宋体" w:eastAsia="宋体" w:cs="宋体"/>
          <w:color w:val="000000" w:themeColor="text1"/>
          <w:highlight w:val="none"/>
          <w:lang w:val="en-US" w:eastAsia="zh-CN"/>
          <w14:textFill>
            <w14:solidFill>
              <w14:schemeClr w14:val="tx1"/>
            </w14:solidFill>
          </w14:textFill>
        </w:rPr>
      </w:pPr>
      <w:bookmarkStart w:id="47" w:name="_Toc12180"/>
      <w:r>
        <w:rPr>
          <w:rFonts w:hint="eastAsia" w:ascii="宋体" w:hAnsi="宋体" w:eastAsia="宋体" w:cs="宋体"/>
          <w:color w:val="000000" w:themeColor="text1"/>
          <w:highlight w:val="none"/>
          <w:lang w:val="en-US" w:eastAsia="zh-CN"/>
          <w14:textFill>
            <w14:solidFill>
              <w14:schemeClr w14:val="tx1"/>
            </w14:solidFill>
          </w14:textFill>
        </w:rPr>
        <w:t>注：提供资质证书及安全生产许可证扫描件，未在有效期内的应提供行政主管部门的证明文件。</w:t>
      </w:r>
      <w:bookmarkEnd w:id="47"/>
    </w:p>
    <w:p w14:paraId="61B3D039">
      <w:pPr>
        <w:shd w:val="clear"/>
        <w:ind w:firstLine="56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3.2 拟派往本项目的人员资格</w:t>
      </w:r>
    </w:p>
    <w:p w14:paraId="4AAAFA9F">
      <w:pPr>
        <w:shd w:val="clear"/>
        <w:ind w:firstLine="56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（1）设计项目负责人：具有中级及以上专业技术职称证书，为供应商单位正式员工，提供证书和其在供应商单位参加社会保险证明资料的扫描件。</w:t>
      </w:r>
    </w:p>
    <w:p w14:paraId="1B64FC49">
      <w:pPr>
        <w:shd w:val="clear"/>
        <w:ind w:firstLine="56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施工项目负责人：具有二级及以上注册建造师执业资格证书（建筑工程专业），并取得住建部门颁发或核发的有效B类安全生产考核合格证书，为供应商单位正式员工，提供证书和其在供应商单位参加社会保险证明资料的扫描件；不得同时在两个或者两个以上工程项目担任施工项目负责人，且不得兼任本项目设计项目负责人，提供承诺书。</w:t>
      </w:r>
    </w:p>
    <w:p w14:paraId="4DF4FC48">
      <w:pPr>
        <w:shd w:val="clea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 xml:space="preserve"> 单位负责人为同一人或者存在直接控股、管理关系的不同供应商，不得参加同一合同项下的政府采购活动；为本项目提供整体设计、规范编制或者项目管理、监理、检测等服务的供应商，不得再参加本项目的采购活动；提供书面声明；</w:t>
      </w:r>
    </w:p>
    <w:p w14:paraId="40ECCD3C">
      <w:pPr>
        <w:bidi w:val="0"/>
        <w:spacing w:line="360" w:lineRule="auto"/>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 xml:space="preserve"> 列入失信被执行人或重大税收违法失信主体或政府采购严重违法失信行为记录名单的供应商，不得参加政府采购活动。</w:t>
      </w:r>
    </w:p>
    <w:p w14:paraId="0DFC28D1">
      <w:pPr>
        <w:pStyle w:val="3"/>
        <w:ind w:firstLine="643"/>
        <w:jc w:val="left"/>
        <w:rPr>
          <w:rFonts w:hint="eastAsia" w:ascii="宋体" w:hAnsi="宋体" w:eastAsia="宋体" w:cs="宋体"/>
          <w:color w:val="000000" w:themeColor="text1"/>
          <w:highlight w:val="none"/>
          <w14:textFill>
            <w14:solidFill>
              <w14:schemeClr w14:val="tx1"/>
            </w14:solidFill>
          </w14:textFill>
        </w:rPr>
      </w:pPr>
      <w:bookmarkStart w:id="48" w:name="_Toc23915"/>
      <w:bookmarkStart w:id="49" w:name="_Toc1408410239"/>
      <w:bookmarkStart w:id="50" w:name="_Toc28227"/>
      <w:bookmarkStart w:id="51" w:name="_Toc26263"/>
      <w:bookmarkStart w:id="52" w:name="_Toc26628"/>
      <w:bookmarkStart w:id="53" w:name="_Toc19612"/>
      <w:bookmarkStart w:id="54" w:name="_Toc23520"/>
      <w:bookmarkStart w:id="55" w:name="_Toc1740061850"/>
      <w:bookmarkStart w:id="56" w:name="_Toc1045"/>
      <w:r>
        <w:rPr>
          <w:rFonts w:hint="eastAsia" w:ascii="宋体" w:hAnsi="宋体" w:eastAsia="宋体" w:cs="宋体"/>
          <w:color w:val="000000" w:themeColor="text1"/>
          <w:highlight w:val="none"/>
          <w14:textFill>
            <w14:solidFill>
              <w14:schemeClr w14:val="tx1"/>
            </w14:solidFill>
          </w14:textFill>
        </w:rPr>
        <w:t>三、获取</w:t>
      </w:r>
      <w:bookmarkEnd w:id="48"/>
      <w:bookmarkEnd w:id="49"/>
      <w:bookmarkEnd w:id="50"/>
      <w:bookmarkEnd w:id="51"/>
      <w:bookmarkEnd w:id="52"/>
      <w:bookmarkEnd w:id="53"/>
      <w:bookmarkEnd w:id="54"/>
      <w:bookmarkEnd w:id="55"/>
      <w:r>
        <w:rPr>
          <w:rFonts w:hint="eastAsia" w:ascii="宋体" w:hAnsi="宋体" w:eastAsia="宋体" w:cs="宋体"/>
          <w:color w:val="000000" w:themeColor="text1"/>
          <w:highlight w:val="none"/>
          <w14:textFill>
            <w14:solidFill>
              <w14:schemeClr w14:val="tx1"/>
            </w14:solidFill>
          </w14:textFill>
        </w:rPr>
        <w:t>竞争性磋商文件</w:t>
      </w:r>
      <w:bookmarkEnd w:id="56"/>
    </w:p>
    <w:p w14:paraId="1DB6A575">
      <w:pPr>
        <w:ind w:firstLine="562"/>
        <w:rPr>
          <w:rFonts w:hint="eastAsia" w:ascii="宋体" w:hAnsi="宋体" w:eastAsia="宋体" w:cs="宋体"/>
          <w:color w:val="000000" w:themeColor="text1"/>
          <w:highlight w:val="none"/>
          <w14:textFill>
            <w14:solidFill>
              <w14:schemeClr w14:val="tx1"/>
            </w14:solidFill>
          </w14:textFill>
        </w:rPr>
      </w:pPr>
      <w:bookmarkStart w:id="57" w:name="_Toc9785"/>
      <w:bookmarkStart w:id="58" w:name="_Toc34993907"/>
      <w:r>
        <w:rPr>
          <w:rFonts w:hint="eastAsia" w:ascii="宋体" w:hAnsi="宋体" w:eastAsia="宋体" w:cs="宋体"/>
          <w:b/>
          <w:bCs/>
          <w:color w:val="000000" w:themeColor="text1"/>
          <w:highlight w:val="none"/>
          <w14:textFill>
            <w14:solidFill>
              <w14:schemeClr w14:val="tx1"/>
            </w14:solidFill>
          </w14:textFill>
        </w:rPr>
        <w:t>时间：</w:t>
      </w:r>
      <w:r>
        <w:rPr>
          <w:rFonts w:hint="eastAsia" w:ascii="宋体" w:hAnsi="宋体" w:eastAsia="宋体" w:cs="宋体"/>
          <w:color w:val="000000" w:themeColor="text1"/>
          <w:highlight w:val="none"/>
          <w14:textFill>
            <w14:solidFill>
              <w14:schemeClr w14:val="tx1"/>
            </w14:solidFill>
          </w14:textFill>
        </w:rPr>
        <w:t>2025-</w:t>
      </w:r>
      <w:r>
        <w:rPr>
          <w:rFonts w:hint="eastAsia" w:ascii="宋体" w:hAnsi="宋体" w:eastAsia="宋体" w:cs="宋体"/>
          <w:color w:val="000000" w:themeColor="text1"/>
          <w:highlight w:val="none"/>
          <w:lang w:val="en-US" w:eastAsia="zh-CN"/>
          <w14:textFill>
            <w14:solidFill>
              <w14:schemeClr w14:val="tx1"/>
            </w14:solidFill>
          </w14:textFill>
        </w:rPr>
        <w:t>11-03</w:t>
      </w:r>
      <w:r>
        <w:rPr>
          <w:rFonts w:hint="eastAsia" w:ascii="宋体" w:hAnsi="宋体" w:eastAsia="宋体" w:cs="宋体"/>
          <w:color w:val="000000" w:themeColor="text1"/>
          <w:highlight w:val="none"/>
          <w14:textFill>
            <w14:solidFill>
              <w14:schemeClr w14:val="tx1"/>
            </w14:solidFill>
          </w14:textFill>
        </w:rPr>
        <w:t>至2025-</w:t>
      </w:r>
      <w:r>
        <w:rPr>
          <w:rFonts w:hint="eastAsia" w:ascii="宋体" w:hAnsi="宋体" w:eastAsia="宋体" w:cs="宋体"/>
          <w:color w:val="000000" w:themeColor="text1"/>
          <w:highlight w:val="none"/>
          <w:lang w:val="en-US" w:eastAsia="zh-CN"/>
          <w14:textFill>
            <w14:solidFill>
              <w14:schemeClr w14:val="tx1"/>
            </w14:solidFill>
          </w14:textFill>
        </w:rPr>
        <w:t>11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14:textFill>
            <w14:solidFill>
              <w14:schemeClr w14:val="tx1"/>
            </w14:solidFill>
          </w14:textFill>
        </w:rPr>
        <w:t>，每天上午06:00至12:00，下午12:00至23:59（北京时间，法定节假日除外）。</w:t>
      </w:r>
    </w:p>
    <w:p w14:paraId="02F63095">
      <w:pPr>
        <w:ind w:firstLine="562"/>
        <w:rPr>
          <w:rFonts w:hint="eastAsia" w:ascii="宋体" w:hAnsi="宋体" w:eastAsia="宋体" w:cs="宋体"/>
          <w:color w:val="000000" w:themeColor="text1"/>
          <w:highlight w:val="none"/>
          <w14:textFill>
            <w14:solidFill>
              <w14:schemeClr w14:val="tx1"/>
            </w14:solidFill>
          </w14:textFill>
        </w:rPr>
      </w:pPr>
      <w:bookmarkStart w:id="59" w:name="_Toc30947"/>
      <w:r>
        <w:rPr>
          <w:rFonts w:hint="eastAsia" w:ascii="宋体" w:hAnsi="宋体" w:eastAsia="宋体" w:cs="宋体"/>
          <w:b/>
          <w:bCs/>
          <w:color w:val="000000" w:themeColor="text1"/>
          <w:highlight w:val="none"/>
          <w14:textFill>
            <w14:solidFill>
              <w14:schemeClr w14:val="tx1"/>
            </w14:solidFill>
          </w14:textFill>
        </w:rPr>
        <w:t>地点：</w:t>
      </w:r>
      <w:r>
        <w:rPr>
          <w:rFonts w:hint="eastAsia" w:ascii="宋体" w:hAnsi="宋体" w:eastAsia="宋体" w:cs="宋体"/>
          <w:color w:val="000000" w:themeColor="text1"/>
          <w:highlight w:val="none"/>
          <w14:textFill>
            <w14:solidFill>
              <w14:schemeClr w14:val="tx1"/>
            </w14:solidFill>
          </w14:textFill>
        </w:rPr>
        <w:t>“政采云”平台（https://www.zcygov.cn/）线上获取。</w:t>
      </w:r>
    </w:p>
    <w:p w14:paraId="39B264A6">
      <w:p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方式：</w:t>
      </w:r>
      <w:r>
        <w:rPr>
          <w:rFonts w:hint="eastAsia" w:ascii="宋体" w:hAnsi="宋体" w:eastAsia="宋体" w:cs="宋体"/>
          <w:color w:val="000000" w:themeColor="text1"/>
          <w:highlight w:val="none"/>
          <w14:textFill>
            <w14:solidFill>
              <w14:schemeClr w14:val="tx1"/>
            </w14:solidFill>
          </w14:textFill>
        </w:rPr>
        <w:t>（1）1.凡有意参加投标者，须在政采云平台办理数字证书（CA），并在政采云绑定数字证书（CA）后线上获取竞争性磋商文件及其它采购资料。CA申领链接：https://middle.zcygov.cn/ca/apply/list?_app_=zcy.sys，CA申领后需登陆政采云平台完成数字证书（CA）绑定才可以使用，数字证书（CA）详见其办理流程。（2）按上述要求获取文件的供应商视为合法获取了本项目竞争性磋商文件，具备本项目的投标资格。</w:t>
      </w:r>
    </w:p>
    <w:p w14:paraId="0BCC07B5">
      <w:p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售价（元）：</w:t>
      </w:r>
      <w:r>
        <w:rPr>
          <w:rFonts w:hint="eastAsia" w:ascii="宋体" w:hAnsi="宋体" w:eastAsia="宋体" w:cs="宋体"/>
          <w:color w:val="000000" w:themeColor="text1"/>
          <w:highlight w:val="none"/>
          <w14:textFill>
            <w14:solidFill>
              <w14:schemeClr w14:val="tx1"/>
            </w14:solidFill>
          </w14:textFill>
        </w:rPr>
        <w:t>0</w:t>
      </w:r>
    </w:p>
    <w:p w14:paraId="2D50553D">
      <w:pPr>
        <w:pStyle w:val="3"/>
        <w:ind w:firstLine="643"/>
        <w:jc w:val="left"/>
        <w:rPr>
          <w:rFonts w:hint="eastAsia" w:ascii="宋体" w:hAnsi="宋体" w:eastAsia="宋体" w:cs="宋体"/>
          <w:color w:val="000000" w:themeColor="text1"/>
          <w:highlight w:val="none"/>
          <w14:textFill>
            <w14:solidFill>
              <w14:schemeClr w14:val="tx1"/>
            </w14:solidFill>
          </w14:textFill>
        </w:rPr>
      </w:pPr>
      <w:bookmarkStart w:id="60" w:name="_Toc2608"/>
      <w:bookmarkStart w:id="61" w:name="_Toc1406610286"/>
      <w:bookmarkStart w:id="62" w:name="_Toc1592369441"/>
      <w:bookmarkStart w:id="63" w:name="_Toc2357"/>
      <w:bookmarkStart w:id="64" w:name="_Toc11414"/>
      <w:bookmarkStart w:id="65" w:name="_Toc13044"/>
      <w:bookmarkStart w:id="66" w:name="_Toc27881"/>
      <w:r>
        <w:rPr>
          <w:rFonts w:hint="eastAsia" w:ascii="宋体" w:hAnsi="宋体" w:eastAsia="宋体" w:cs="宋体"/>
          <w:color w:val="000000" w:themeColor="text1"/>
          <w:highlight w:val="none"/>
          <w14:textFill>
            <w14:solidFill>
              <w14:schemeClr w14:val="tx1"/>
            </w14:solidFill>
          </w14:textFill>
        </w:rPr>
        <w:t>四、</w:t>
      </w:r>
      <w:bookmarkEnd w:id="57"/>
      <w:bookmarkEnd w:id="59"/>
      <w:bookmarkEnd w:id="60"/>
      <w:bookmarkEnd w:id="61"/>
      <w:bookmarkEnd w:id="62"/>
      <w:bookmarkEnd w:id="63"/>
      <w:r>
        <w:rPr>
          <w:rFonts w:hint="eastAsia" w:ascii="宋体" w:hAnsi="宋体" w:eastAsia="宋体" w:cs="宋体"/>
          <w:color w:val="000000" w:themeColor="text1"/>
          <w:highlight w:val="none"/>
          <w14:textFill>
            <w14:solidFill>
              <w14:schemeClr w14:val="tx1"/>
            </w14:solidFill>
          </w14:textFill>
        </w:rPr>
        <w:t>响应文件提交</w:t>
      </w:r>
      <w:bookmarkEnd w:id="64"/>
      <w:bookmarkEnd w:id="65"/>
      <w:bookmarkEnd w:id="66"/>
    </w:p>
    <w:bookmarkEnd w:id="58"/>
    <w:p w14:paraId="7DE2DE9F">
      <w:pPr>
        <w:ind w:firstLine="562"/>
        <w:rPr>
          <w:rFonts w:hint="eastAsia" w:ascii="宋体" w:hAnsi="宋体" w:eastAsia="宋体" w:cs="宋体"/>
          <w:color w:val="000000" w:themeColor="text1"/>
          <w:highlight w:val="none"/>
          <w14:textFill>
            <w14:solidFill>
              <w14:schemeClr w14:val="tx1"/>
            </w14:solidFill>
          </w14:textFill>
        </w:rPr>
      </w:pPr>
      <w:bookmarkStart w:id="67" w:name="_Toc22328"/>
      <w:bookmarkStart w:id="68" w:name="_Toc3847"/>
      <w:bookmarkStart w:id="69" w:name="_Toc14534"/>
      <w:bookmarkStart w:id="70" w:name="_Toc21948"/>
      <w:bookmarkStart w:id="71" w:name="_Toc16661"/>
      <w:bookmarkStart w:id="72" w:name="_Toc304998755"/>
      <w:bookmarkStart w:id="73" w:name="_Toc34993909"/>
      <w:r>
        <w:rPr>
          <w:rFonts w:hint="eastAsia" w:ascii="宋体" w:hAnsi="宋体" w:eastAsia="宋体" w:cs="宋体"/>
          <w:b/>
          <w:bCs/>
          <w:color w:val="000000" w:themeColor="text1"/>
          <w:highlight w:val="none"/>
          <w14:textFill>
            <w14:solidFill>
              <w14:schemeClr w14:val="tx1"/>
            </w14:solidFill>
          </w14:textFill>
        </w:rPr>
        <w:t>截止时间：</w:t>
      </w:r>
      <w:r>
        <w:rPr>
          <w:rFonts w:hint="eastAsia" w:ascii="宋体" w:hAnsi="宋体" w:eastAsia="宋体" w:cs="宋体"/>
          <w:color w:val="000000" w:themeColor="text1"/>
          <w:highlight w:val="none"/>
          <w14:textFill>
            <w14:solidFill>
              <w14:schemeClr w14:val="tx1"/>
            </w14:solidFill>
          </w14:textFill>
        </w:rPr>
        <w:t>2025-</w:t>
      </w:r>
      <w:r>
        <w:rPr>
          <w:rFonts w:hint="eastAsia" w:ascii="宋体" w:hAnsi="宋体" w:eastAsia="宋体" w:cs="宋体"/>
          <w:color w:val="000000" w:themeColor="text1"/>
          <w:highlight w:val="none"/>
          <w:lang w:val="en-US" w:eastAsia="zh-CN"/>
          <w14:textFill>
            <w14:solidFill>
              <w14:schemeClr w14:val="tx1"/>
            </w14:solidFill>
          </w14:textFill>
        </w:rPr>
        <w:t>11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14</w:t>
      </w:r>
      <w:r>
        <w:rPr>
          <w:rFonts w:hint="eastAsia" w:ascii="宋体" w:hAnsi="宋体" w:eastAsia="宋体" w:cs="宋体"/>
          <w:color w:val="000000" w:themeColor="text1"/>
          <w:highlight w:val="none"/>
          <w14:textFill>
            <w14:solidFill>
              <w14:schemeClr w14:val="tx1"/>
            </w14:solidFill>
          </w14:textFill>
        </w:rPr>
        <w:t xml:space="preserve"> 09:</w:t>
      </w:r>
      <w:r>
        <w:rPr>
          <w:rFonts w:hint="eastAsia" w:ascii="宋体" w:hAnsi="宋体" w:eastAsia="宋体" w:cs="宋体"/>
          <w:color w:val="000000" w:themeColor="text1"/>
          <w:highlight w:val="none"/>
          <w:lang w:val="en-US" w:eastAsia="zh-CN"/>
          <w14:textFill>
            <w14:solidFill>
              <w14:schemeClr w14:val="tx1"/>
            </w14:solidFill>
          </w14:textFill>
        </w:rPr>
        <w:t>0</w:t>
      </w:r>
      <w:r>
        <w:rPr>
          <w:rFonts w:hint="eastAsia" w:ascii="宋体" w:hAnsi="宋体" w:eastAsia="宋体" w:cs="宋体"/>
          <w:color w:val="000000" w:themeColor="text1"/>
          <w:highlight w:val="none"/>
          <w14:textFill>
            <w14:solidFill>
              <w14:schemeClr w14:val="tx1"/>
            </w14:solidFill>
          </w14:textFill>
        </w:rPr>
        <w:t>0（北京时间）</w:t>
      </w:r>
    </w:p>
    <w:bookmarkEnd w:id="67"/>
    <w:bookmarkEnd w:id="68"/>
    <w:bookmarkEnd w:id="69"/>
    <w:bookmarkEnd w:id="70"/>
    <w:bookmarkEnd w:id="71"/>
    <w:p w14:paraId="03837553">
      <w:pPr>
        <w:ind w:firstLine="562"/>
        <w:rPr>
          <w:rFonts w:hint="eastAsia" w:ascii="宋体" w:hAnsi="宋体" w:eastAsia="宋体" w:cs="宋体"/>
          <w:color w:val="000000" w:themeColor="text1"/>
          <w:highlight w:val="none"/>
          <w14:textFill>
            <w14:solidFill>
              <w14:schemeClr w14:val="tx1"/>
            </w14:solidFill>
          </w14:textFill>
        </w:rPr>
      </w:pPr>
      <w:bookmarkStart w:id="74" w:name="_Toc27321"/>
      <w:r>
        <w:rPr>
          <w:rFonts w:hint="eastAsia" w:ascii="宋体" w:hAnsi="宋体" w:eastAsia="宋体" w:cs="宋体"/>
          <w:b/>
          <w:bCs/>
          <w:color w:val="000000" w:themeColor="text1"/>
          <w:highlight w:val="none"/>
          <w14:textFill>
            <w14:solidFill>
              <w14:schemeClr w14:val="tx1"/>
            </w14:solidFill>
          </w14:textFill>
        </w:rPr>
        <w:t>地点：</w:t>
      </w:r>
      <w:r>
        <w:rPr>
          <w:rFonts w:hint="eastAsia" w:ascii="宋体" w:hAnsi="宋体" w:eastAsia="宋体" w:cs="宋体"/>
          <w:color w:val="000000" w:themeColor="text1"/>
          <w:highlight w:val="none"/>
          <w14:textFill>
            <w14:solidFill>
              <w14:schemeClr w14:val="tx1"/>
            </w14:solidFill>
          </w14:textFill>
        </w:rPr>
        <w:t>（1）响应文件提交方式：本项目通过“政采云”平台（https://www.zcygov.cn/）实行在线电子投标，供应商应先安装“政采云电子交易客户端”（请自行前往“政采云”平台进行下载），并按照本项目竞争性磋商文件和“政采云”平台的要求编制、加密后在提交响应文件截止时间前通过网络上传至“政采云”平台，供应商在“政采云”平台提交电子版响应文件时，请填写参加远程采购活动经办人联系方式。（2）为确保网上操作合法、有效和安全，请供应商确保在电子投标过程中能够对相关数据电文进行加密和使用电子签章，妥善保管 CA 数字证书并使用有效的 CA 数字证书参与整个采购活动。</w:t>
      </w:r>
    </w:p>
    <w:p w14:paraId="6538927E">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供应商应当在响应文件提交截止时间前完成电子响应文件的上传、递交，响应文件提交截止时间前可以补充、修改或者撤回响应文件。补充或者修改响应文件的，应当先行撤回原文件，补充、修改后重新上传、递交。提交响应文件截止时间前未完成上传、递交的，视为撤回响应文件。响应文件提交截止时间以后上传递交的响应文件的，“政采云”平台将予以拒收。</w:t>
      </w:r>
    </w:p>
    <w:p w14:paraId="4658E575">
      <w:p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CA 证书在线解密：</w:t>
      </w:r>
      <w:r>
        <w:rPr>
          <w:rFonts w:hint="eastAsia" w:ascii="宋体" w:hAnsi="宋体" w:eastAsia="宋体" w:cs="宋体"/>
          <w:color w:val="000000" w:themeColor="text1"/>
          <w:highlight w:val="none"/>
          <w14:textFill>
            <w14:solidFill>
              <w14:schemeClr w14:val="tx1"/>
            </w14:solidFill>
          </w14:textFill>
        </w:rPr>
        <w:t>响应文件开启时，须要供应商登录“政采云”平台电子开标大厅按规定时间对加密的响应文件进行解密，否则后果自负。</w:t>
      </w:r>
    </w:p>
    <w:p w14:paraId="5B6792BE">
      <w:pPr>
        <w:pStyle w:val="3"/>
        <w:ind w:firstLine="643"/>
        <w:jc w:val="left"/>
        <w:rPr>
          <w:rFonts w:hint="eastAsia" w:ascii="宋体" w:hAnsi="宋体" w:eastAsia="宋体" w:cs="宋体"/>
          <w:color w:val="000000" w:themeColor="text1"/>
          <w:highlight w:val="none"/>
          <w14:textFill>
            <w14:solidFill>
              <w14:schemeClr w14:val="tx1"/>
            </w14:solidFill>
          </w14:textFill>
        </w:rPr>
      </w:pPr>
      <w:bookmarkStart w:id="75" w:name="_Toc30248"/>
      <w:bookmarkStart w:id="76" w:name="_Toc28913"/>
      <w:bookmarkStart w:id="77" w:name="_Toc16064"/>
      <w:bookmarkStart w:id="78" w:name="_Toc1920248947"/>
      <w:bookmarkStart w:id="79" w:name="_Toc70633150"/>
      <w:r>
        <w:rPr>
          <w:rFonts w:hint="eastAsia" w:ascii="宋体" w:hAnsi="宋体" w:eastAsia="宋体" w:cs="宋体"/>
          <w:color w:val="000000" w:themeColor="text1"/>
          <w:highlight w:val="none"/>
          <w14:textFill>
            <w14:solidFill>
              <w14:schemeClr w14:val="tx1"/>
            </w14:solidFill>
          </w14:textFill>
        </w:rPr>
        <w:t>五、开启</w:t>
      </w:r>
      <w:bookmarkEnd w:id="75"/>
      <w:bookmarkEnd w:id="76"/>
      <w:bookmarkEnd w:id="77"/>
    </w:p>
    <w:p w14:paraId="2F7569AD">
      <w:p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时间：</w:t>
      </w:r>
      <w:r>
        <w:rPr>
          <w:rFonts w:hint="eastAsia" w:ascii="宋体" w:hAnsi="宋体" w:eastAsia="宋体" w:cs="宋体"/>
          <w:color w:val="000000" w:themeColor="text1"/>
          <w:highlight w:val="none"/>
          <w14:textFill>
            <w14:solidFill>
              <w14:schemeClr w14:val="tx1"/>
            </w14:solidFill>
          </w14:textFill>
        </w:rPr>
        <w:t>2025-</w:t>
      </w:r>
      <w:r>
        <w:rPr>
          <w:rFonts w:hint="eastAsia" w:ascii="宋体" w:hAnsi="宋体" w:eastAsia="宋体" w:cs="宋体"/>
          <w:color w:val="000000" w:themeColor="text1"/>
          <w:highlight w:val="none"/>
          <w:lang w:val="en-US" w:eastAsia="zh-CN"/>
          <w14:textFill>
            <w14:solidFill>
              <w14:schemeClr w14:val="tx1"/>
            </w14:solidFill>
          </w14:textFill>
        </w:rPr>
        <w:t>11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14</w:t>
      </w:r>
      <w:r>
        <w:rPr>
          <w:rFonts w:hint="eastAsia" w:ascii="宋体" w:hAnsi="宋体" w:eastAsia="宋体" w:cs="宋体"/>
          <w:color w:val="000000" w:themeColor="text1"/>
          <w:highlight w:val="none"/>
          <w14:textFill>
            <w14:solidFill>
              <w14:schemeClr w14:val="tx1"/>
            </w14:solidFill>
          </w14:textFill>
        </w:rPr>
        <w:t xml:space="preserve"> 09:</w:t>
      </w:r>
      <w:r>
        <w:rPr>
          <w:rFonts w:hint="eastAsia" w:ascii="宋体" w:hAnsi="宋体" w:eastAsia="宋体" w:cs="宋体"/>
          <w:color w:val="000000" w:themeColor="text1"/>
          <w:highlight w:val="none"/>
          <w:lang w:val="en-US" w:eastAsia="zh-CN"/>
          <w14:textFill>
            <w14:solidFill>
              <w14:schemeClr w14:val="tx1"/>
            </w14:solidFill>
          </w14:textFill>
        </w:rPr>
        <w:t>0</w:t>
      </w:r>
      <w:r>
        <w:rPr>
          <w:rFonts w:hint="eastAsia" w:ascii="宋体" w:hAnsi="宋体" w:eastAsia="宋体" w:cs="宋体"/>
          <w:color w:val="000000" w:themeColor="text1"/>
          <w:highlight w:val="none"/>
          <w14:textFill>
            <w14:solidFill>
              <w14:schemeClr w14:val="tx1"/>
            </w14:solidFill>
          </w14:textFill>
        </w:rPr>
        <w:t>0（北京时间）</w:t>
      </w:r>
    </w:p>
    <w:p w14:paraId="4663E5D8">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地点：</w:t>
      </w:r>
      <w:r>
        <w:rPr>
          <w:rFonts w:hint="eastAsia" w:ascii="宋体" w:hAnsi="宋体" w:eastAsia="宋体" w:cs="宋体"/>
          <w:color w:val="000000" w:themeColor="text1"/>
          <w:highlight w:val="none"/>
          <w14:textFill>
            <w14:solidFill>
              <w14:schemeClr w14:val="tx1"/>
            </w14:solidFill>
          </w14:textFill>
        </w:rPr>
        <w:t>云南赛林工程管理咨询有限公司开标室</w:t>
      </w:r>
    </w:p>
    <w:p w14:paraId="01755AB3">
      <w:pPr>
        <w:pStyle w:val="3"/>
        <w:tabs>
          <w:tab w:val="left" w:pos="1021"/>
        </w:tabs>
        <w:ind w:firstLine="643"/>
        <w:jc w:val="left"/>
        <w:rPr>
          <w:rFonts w:hint="eastAsia" w:ascii="宋体" w:hAnsi="宋体" w:eastAsia="宋体" w:cs="宋体"/>
          <w:color w:val="000000" w:themeColor="text1"/>
          <w:highlight w:val="none"/>
          <w14:textFill>
            <w14:solidFill>
              <w14:schemeClr w14:val="tx1"/>
            </w14:solidFill>
          </w14:textFill>
        </w:rPr>
      </w:pPr>
      <w:bookmarkStart w:id="80" w:name="_Toc8155"/>
      <w:bookmarkStart w:id="81" w:name="_Toc1363"/>
      <w:bookmarkStart w:id="82" w:name="_Toc24898"/>
      <w:r>
        <w:rPr>
          <w:rFonts w:hint="eastAsia" w:ascii="宋体" w:hAnsi="宋体" w:eastAsia="宋体" w:cs="宋体"/>
          <w:color w:val="000000" w:themeColor="text1"/>
          <w:highlight w:val="none"/>
          <w14:textFill>
            <w14:solidFill>
              <w14:schemeClr w14:val="tx1"/>
            </w14:solidFill>
          </w14:textFill>
        </w:rPr>
        <w:t>六、公告期限</w:t>
      </w:r>
      <w:bookmarkEnd w:id="78"/>
      <w:bookmarkEnd w:id="79"/>
      <w:bookmarkEnd w:id="80"/>
      <w:bookmarkEnd w:id="81"/>
      <w:bookmarkEnd w:id="82"/>
    </w:p>
    <w:p w14:paraId="0E254698">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自本公告发布之日起5个工作日。</w:t>
      </w:r>
    </w:p>
    <w:p w14:paraId="4711E639">
      <w:pPr>
        <w:pStyle w:val="3"/>
        <w:tabs>
          <w:tab w:val="left" w:pos="1021"/>
        </w:tabs>
        <w:ind w:firstLine="643"/>
        <w:jc w:val="left"/>
        <w:rPr>
          <w:rFonts w:hint="eastAsia" w:ascii="宋体" w:hAnsi="宋体" w:eastAsia="宋体" w:cs="宋体"/>
          <w:color w:val="000000" w:themeColor="text1"/>
          <w:highlight w:val="none"/>
          <w14:textFill>
            <w14:solidFill>
              <w14:schemeClr w14:val="tx1"/>
            </w14:solidFill>
          </w14:textFill>
        </w:rPr>
      </w:pPr>
      <w:bookmarkStart w:id="83" w:name="_Toc9301"/>
      <w:bookmarkStart w:id="84" w:name="_Toc595267189"/>
      <w:bookmarkStart w:id="85" w:name="_Toc15979"/>
      <w:bookmarkStart w:id="86" w:name="_Toc2078"/>
      <w:bookmarkStart w:id="87" w:name="_Toc1032849129"/>
      <w:r>
        <w:rPr>
          <w:rFonts w:hint="eastAsia" w:ascii="宋体" w:hAnsi="宋体" w:eastAsia="宋体" w:cs="宋体"/>
          <w:color w:val="000000" w:themeColor="text1"/>
          <w:highlight w:val="none"/>
          <w14:textFill>
            <w14:solidFill>
              <w14:schemeClr w14:val="tx1"/>
            </w14:solidFill>
          </w14:textFill>
        </w:rPr>
        <w:t>七、其他补充事宜</w:t>
      </w:r>
      <w:bookmarkEnd w:id="83"/>
      <w:bookmarkEnd w:id="84"/>
      <w:bookmarkEnd w:id="85"/>
      <w:bookmarkEnd w:id="86"/>
      <w:bookmarkEnd w:id="87"/>
    </w:p>
    <w:p w14:paraId="14B9F61C">
      <w:p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开标方式：</w:t>
      </w:r>
      <w:r>
        <w:rPr>
          <w:rFonts w:hint="eastAsia" w:ascii="宋体" w:hAnsi="宋体" w:eastAsia="宋体" w:cs="宋体"/>
          <w:color w:val="000000" w:themeColor="text1"/>
          <w:highlight w:val="none"/>
          <w14:textFill>
            <w14:solidFill>
              <w14:schemeClr w14:val="tx1"/>
            </w14:solidFill>
          </w14:textFill>
        </w:rPr>
        <w:t>网上开标</w:t>
      </w:r>
    </w:p>
    <w:p w14:paraId="3D23406D">
      <w:p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是否需要缴纳投标保证金：</w:t>
      </w:r>
      <w:r>
        <w:rPr>
          <w:rFonts w:hint="eastAsia" w:ascii="宋体" w:hAnsi="宋体" w:eastAsia="宋体" w:cs="宋体"/>
          <w:color w:val="000000" w:themeColor="text1"/>
          <w:highlight w:val="none"/>
          <w14:textFill>
            <w14:solidFill>
              <w14:schemeClr w14:val="tx1"/>
            </w14:solidFill>
          </w14:textFill>
        </w:rPr>
        <w:t>是</w:t>
      </w:r>
    </w:p>
    <w:p w14:paraId="0C6B6E8A">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云南水利水电职业学院校史馆建设项目</w:t>
      </w:r>
      <w:r>
        <w:rPr>
          <w:rFonts w:hint="eastAsia" w:ascii="宋体" w:hAnsi="宋体" w:eastAsia="宋体" w:cs="宋体"/>
          <w:color w:val="000000" w:themeColor="text1"/>
          <w:highlight w:val="none"/>
          <w14:textFill>
            <w14:solidFill>
              <w14:schemeClr w14:val="tx1"/>
            </w14:solidFill>
          </w14:textFill>
        </w:rPr>
        <w:t>:</w:t>
      </w:r>
    </w:p>
    <w:p w14:paraId="107C6EEA">
      <w:p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保证金金额：</w:t>
      </w:r>
      <w:r>
        <w:rPr>
          <w:rFonts w:hint="eastAsia" w:ascii="宋体" w:hAnsi="宋体" w:eastAsia="宋体" w:cs="宋体"/>
          <w:color w:val="000000" w:themeColor="text1"/>
          <w:highlight w:val="none"/>
          <w:lang w:val="en-US" w:eastAsia="zh-CN"/>
          <w14:textFill>
            <w14:solidFill>
              <w14:schemeClr w14:val="tx1"/>
            </w14:solidFill>
          </w14:textFill>
        </w:rPr>
        <w:t>70000</w:t>
      </w:r>
      <w:r>
        <w:rPr>
          <w:rFonts w:hint="eastAsia" w:ascii="宋体" w:hAnsi="宋体" w:eastAsia="宋体" w:cs="宋体"/>
          <w:color w:val="000000" w:themeColor="text1"/>
          <w:highlight w:val="none"/>
          <w14:textFill>
            <w14:solidFill>
              <w14:schemeClr w14:val="tx1"/>
            </w14:solidFill>
          </w14:textFill>
        </w:rPr>
        <w:t>.00（元）</w:t>
      </w:r>
    </w:p>
    <w:p w14:paraId="10B7C520">
      <w:p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保证金缴纳方式：</w:t>
      </w:r>
      <w:r>
        <w:rPr>
          <w:rFonts w:hint="eastAsia" w:ascii="宋体" w:hAnsi="宋体" w:eastAsia="宋体" w:cs="宋体"/>
          <w:color w:val="000000" w:themeColor="text1"/>
          <w:highlight w:val="none"/>
          <w14:textFill>
            <w14:solidFill>
              <w14:schemeClr w14:val="tx1"/>
            </w14:solidFill>
          </w14:textFill>
        </w:rPr>
        <w:t>支票、汇票、本票、保函、保险、银行转账、网银、电汇等其它非现金形式</w:t>
      </w:r>
    </w:p>
    <w:p w14:paraId="7512265A">
      <w:p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保证金缴纳截止时间：</w:t>
      </w:r>
      <w:r>
        <w:rPr>
          <w:rFonts w:hint="eastAsia" w:ascii="宋体" w:hAnsi="宋体" w:eastAsia="宋体" w:cs="宋体"/>
          <w:color w:val="000000" w:themeColor="text1"/>
          <w:highlight w:val="none"/>
          <w14:textFill>
            <w14:solidFill>
              <w14:schemeClr w14:val="tx1"/>
            </w14:solidFill>
          </w14:textFill>
        </w:rPr>
        <w:t>2025-</w:t>
      </w:r>
      <w:r>
        <w:rPr>
          <w:rFonts w:hint="eastAsia" w:ascii="宋体" w:hAnsi="宋体" w:eastAsia="宋体" w:cs="宋体"/>
          <w:color w:val="000000" w:themeColor="text1"/>
          <w:highlight w:val="none"/>
          <w:lang w:val="en-US" w:eastAsia="zh-CN"/>
          <w14:textFill>
            <w14:solidFill>
              <w14:schemeClr w14:val="tx1"/>
            </w14:solidFill>
          </w14:textFill>
        </w:rPr>
        <w:t>11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14</w:t>
      </w:r>
      <w:r>
        <w:rPr>
          <w:rFonts w:hint="eastAsia" w:ascii="宋体" w:hAnsi="宋体" w:eastAsia="宋体" w:cs="宋体"/>
          <w:color w:val="000000" w:themeColor="text1"/>
          <w:highlight w:val="none"/>
          <w14:textFill>
            <w14:solidFill>
              <w14:schemeClr w14:val="tx1"/>
            </w14:solidFill>
          </w14:textFill>
        </w:rPr>
        <w:t xml:space="preserve"> 09:</w:t>
      </w:r>
      <w:r>
        <w:rPr>
          <w:rFonts w:hint="eastAsia" w:ascii="宋体" w:hAnsi="宋体" w:eastAsia="宋体" w:cs="宋体"/>
          <w:color w:val="000000" w:themeColor="text1"/>
          <w:highlight w:val="none"/>
          <w:lang w:val="en-US" w:eastAsia="zh-CN"/>
          <w14:textFill>
            <w14:solidFill>
              <w14:schemeClr w14:val="tx1"/>
            </w14:solidFill>
          </w14:textFill>
        </w:rPr>
        <w:t>0</w:t>
      </w:r>
      <w:r>
        <w:rPr>
          <w:rFonts w:hint="eastAsia" w:ascii="宋体" w:hAnsi="宋体" w:eastAsia="宋体" w:cs="宋体"/>
          <w:color w:val="000000" w:themeColor="text1"/>
          <w:highlight w:val="none"/>
          <w14:textFill>
            <w14:solidFill>
              <w14:schemeClr w14:val="tx1"/>
            </w14:solidFill>
          </w14:textFill>
        </w:rPr>
        <w:t>0</w:t>
      </w:r>
    </w:p>
    <w:p w14:paraId="545640B5">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其他：</w:t>
      </w:r>
    </w:p>
    <w:p w14:paraId="0BFD3CE5">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1.项目需要落实的采购政策：节约能源、保护环境、扶持不发达地区和少数民族地区、促进中小企业发展等政府采购政策。</w:t>
      </w:r>
    </w:p>
    <w:p w14:paraId="0D15C834">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2.采购公告、成交公告均在云南省政府采购网（http://www.ccgp-yunnan.gov.cn/）发布，采购人和代理机构对其他网站或媒体转载的公告及公告内容不承担任何责任。</w:t>
      </w:r>
    </w:p>
    <w:p w14:paraId="17AE3069">
      <w:pPr>
        <w:pStyle w:val="3"/>
        <w:tabs>
          <w:tab w:val="left" w:pos="1021"/>
        </w:tabs>
        <w:ind w:firstLine="643"/>
        <w:rPr>
          <w:rFonts w:hint="eastAsia" w:ascii="宋体" w:hAnsi="宋体" w:eastAsia="宋体" w:cs="宋体"/>
          <w:color w:val="000000" w:themeColor="text1"/>
          <w:highlight w:val="none"/>
          <w14:textFill>
            <w14:solidFill>
              <w14:schemeClr w14:val="tx1"/>
            </w14:solidFill>
          </w14:textFill>
        </w:rPr>
      </w:pPr>
      <w:bookmarkStart w:id="88" w:name="_Toc28418"/>
      <w:bookmarkStart w:id="89" w:name="_Toc9471"/>
      <w:bookmarkStart w:id="90" w:name="_Toc341674156"/>
      <w:bookmarkStart w:id="91" w:name="_Toc29007"/>
      <w:bookmarkStart w:id="92" w:name="_Toc1260970209"/>
      <w:r>
        <w:rPr>
          <w:rFonts w:hint="eastAsia" w:ascii="宋体" w:hAnsi="宋体" w:eastAsia="宋体" w:cs="宋体"/>
          <w:color w:val="000000" w:themeColor="text1"/>
          <w:highlight w:val="none"/>
          <w14:textFill>
            <w14:solidFill>
              <w14:schemeClr w14:val="tx1"/>
            </w14:solidFill>
          </w14:textFill>
        </w:rPr>
        <w:t>八、凡对本次采购提出询问，请按以下方式联系</w:t>
      </w:r>
      <w:bookmarkEnd w:id="88"/>
      <w:bookmarkEnd w:id="89"/>
      <w:bookmarkEnd w:id="90"/>
      <w:bookmarkEnd w:id="91"/>
      <w:bookmarkEnd w:id="92"/>
    </w:p>
    <w:p w14:paraId="1083E47E">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1.采购人信息</w:t>
      </w:r>
    </w:p>
    <w:p w14:paraId="2EE18007">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名称：云南水利水电职业学院</w:t>
      </w:r>
    </w:p>
    <w:p w14:paraId="1BF9669C">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地址：昆明市富民县永定街道办事处</w:t>
      </w:r>
    </w:p>
    <w:p w14:paraId="49E22EE3">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2.采购代理机构信息</w:t>
      </w:r>
    </w:p>
    <w:p w14:paraId="052D877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名称：云南赛林工程管理咨询有限公司</w:t>
      </w:r>
    </w:p>
    <w:p w14:paraId="3EB3BC1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地址：云南民族村昆明故城9幢二楼</w:t>
      </w:r>
    </w:p>
    <w:p w14:paraId="1044D8D1">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3.项目联系方式</w:t>
      </w:r>
    </w:p>
    <w:p w14:paraId="3C3E7E73">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项目联系人：许明鑫（采购人），杨楠、尹天平、周顶轮、赵诚、胡春丽（采购代理）</w:t>
      </w:r>
    </w:p>
    <w:p w14:paraId="4485E847">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　话：18742069368（采购人）、0871-63181513（采购代理机构）</w:t>
      </w:r>
    </w:p>
    <w:p w14:paraId="602CD836">
      <w:pPr>
        <w:pStyle w:val="2"/>
        <w:ind w:firstLine="88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93" w:name="_Toc19929"/>
      <w:bookmarkStart w:id="94" w:name="_Toc155185867"/>
      <w:bookmarkStart w:id="95" w:name="_Toc163492819"/>
      <w:bookmarkStart w:id="96" w:name="_Toc31457"/>
      <w:bookmarkStart w:id="97" w:name="_Toc31240"/>
      <w:r>
        <w:rPr>
          <w:rFonts w:hint="eastAsia" w:ascii="宋体" w:hAnsi="宋体" w:eastAsia="宋体" w:cs="宋体"/>
          <w:color w:val="000000" w:themeColor="text1"/>
          <w:highlight w:val="none"/>
          <w14:textFill>
            <w14:solidFill>
              <w14:schemeClr w14:val="tx1"/>
            </w14:solidFill>
          </w14:textFill>
        </w:rPr>
        <w:t>第二章 供应商须知</w:t>
      </w:r>
      <w:bookmarkEnd w:id="93"/>
    </w:p>
    <w:bookmarkEnd w:id="94"/>
    <w:bookmarkEnd w:id="95"/>
    <w:p w14:paraId="336F8974">
      <w:pPr>
        <w:pStyle w:val="3"/>
        <w:ind w:firstLine="643"/>
        <w:rPr>
          <w:rFonts w:hint="eastAsia" w:ascii="宋体" w:hAnsi="宋体" w:eastAsia="宋体" w:cs="宋体"/>
          <w:color w:val="000000" w:themeColor="text1"/>
          <w:highlight w:val="none"/>
          <w14:textFill>
            <w14:solidFill>
              <w14:schemeClr w14:val="tx1"/>
            </w14:solidFill>
          </w14:textFill>
        </w:rPr>
      </w:pPr>
      <w:bookmarkStart w:id="98" w:name="_Toc1904255807"/>
      <w:bookmarkStart w:id="99" w:name="_Toc155185868"/>
      <w:bookmarkStart w:id="100" w:name="_Toc24369"/>
      <w:bookmarkStart w:id="101" w:name="_Toc741800790"/>
      <w:bookmarkStart w:id="102" w:name="_Toc163492820"/>
      <w:bookmarkStart w:id="103" w:name="_Toc1663"/>
      <w:r>
        <w:rPr>
          <w:rFonts w:hint="eastAsia" w:ascii="宋体" w:hAnsi="宋体" w:eastAsia="宋体" w:cs="宋体"/>
          <w:color w:val="000000" w:themeColor="text1"/>
          <w:highlight w:val="none"/>
          <w14:textFill>
            <w14:solidFill>
              <w14:schemeClr w14:val="tx1"/>
            </w14:solidFill>
          </w14:textFill>
        </w:rPr>
        <w:t>一、供应商须知前附表</w:t>
      </w:r>
      <w:bookmarkEnd w:id="98"/>
      <w:bookmarkEnd w:id="99"/>
      <w:bookmarkEnd w:id="100"/>
      <w:bookmarkEnd w:id="101"/>
      <w:bookmarkEnd w:id="102"/>
      <w:bookmarkEnd w:id="103"/>
    </w:p>
    <w:p w14:paraId="58F8E7F4">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供应商应仔细阅读本竞争性磋商文件的第二章“供应商须知”，下面所列资料是对“供应商须知”的具体补充和说明。如有矛盾，应以本表为准。</w:t>
      </w:r>
    </w:p>
    <w:tbl>
      <w:tblPr>
        <w:tblStyle w:val="35"/>
        <w:tblW w:w="4961"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57" w:type="dxa"/>
          <w:left w:w="108" w:type="dxa"/>
          <w:bottom w:w="57" w:type="dxa"/>
          <w:right w:w="108" w:type="dxa"/>
        </w:tblCellMar>
      </w:tblPr>
      <w:tblGrid>
        <w:gridCol w:w="968"/>
        <w:gridCol w:w="2333"/>
        <w:gridCol w:w="6583"/>
      </w:tblGrid>
      <w:tr w14:paraId="720A1B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90" w:hRule="atLeast"/>
          <w:tblHeader/>
        </w:trPr>
        <w:tc>
          <w:tcPr>
            <w:tcW w:w="490"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5FE75A0C">
            <w:pPr>
              <w:pStyle w:val="21"/>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条款号</w:t>
            </w:r>
          </w:p>
        </w:tc>
        <w:tc>
          <w:tcPr>
            <w:tcW w:w="1180"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49767977">
            <w:pPr>
              <w:pStyle w:val="21"/>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条款名称</w:t>
            </w:r>
          </w:p>
        </w:tc>
        <w:tc>
          <w:tcPr>
            <w:tcW w:w="3328"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611EB4C7">
            <w:pPr>
              <w:pStyle w:val="21"/>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内  容</w:t>
            </w:r>
          </w:p>
        </w:tc>
      </w:tr>
      <w:tr w14:paraId="6E8759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4" w:hRule="atLeast"/>
        </w:trPr>
        <w:tc>
          <w:tcPr>
            <w:tcW w:w="490" w:type="pct"/>
            <w:tcBorders>
              <w:top w:val="single" w:color="auto" w:sz="4" w:space="0"/>
            </w:tcBorders>
            <w:shd w:val="clear" w:color="auto" w:fill="auto"/>
            <w:vAlign w:val="center"/>
          </w:tcPr>
          <w:p w14:paraId="08C8E6A1">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w:t>
            </w:r>
          </w:p>
        </w:tc>
        <w:tc>
          <w:tcPr>
            <w:tcW w:w="1180" w:type="pct"/>
            <w:tcBorders>
              <w:top w:val="single" w:color="auto" w:sz="4" w:space="0"/>
            </w:tcBorders>
            <w:shd w:val="clear" w:color="auto" w:fill="auto"/>
            <w:vAlign w:val="center"/>
          </w:tcPr>
          <w:p w14:paraId="1E445D2C">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w:t>
            </w:r>
          </w:p>
        </w:tc>
        <w:tc>
          <w:tcPr>
            <w:tcW w:w="3328" w:type="pct"/>
            <w:tcBorders>
              <w:top w:val="single" w:color="auto" w:sz="4" w:space="0"/>
            </w:tcBorders>
            <w:shd w:val="clear" w:color="auto" w:fill="auto"/>
            <w:vAlign w:val="center"/>
          </w:tcPr>
          <w:p w14:paraId="3FB71AAE">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云南水利水电职业学院  </w:t>
            </w:r>
          </w:p>
        </w:tc>
      </w:tr>
      <w:tr w14:paraId="243C3F7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598D1072">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w:t>
            </w:r>
          </w:p>
        </w:tc>
        <w:tc>
          <w:tcPr>
            <w:tcW w:w="1180" w:type="pct"/>
            <w:shd w:val="clear" w:color="auto" w:fill="auto"/>
            <w:vAlign w:val="center"/>
          </w:tcPr>
          <w:p w14:paraId="13BCD2BD">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采购代理机构</w:t>
            </w:r>
          </w:p>
        </w:tc>
        <w:tc>
          <w:tcPr>
            <w:tcW w:w="3328" w:type="pct"/>
            <w:shd w:val="clear" w:color="auto" w:fill="auto"/>
            <w:vAlign w:val="center"/>
          </w:tcPr>
          <w:p w14:paraId="4DED50A9">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云南赛林工程管理咨询有限公司  </w:t>
            </w:r>
          </w:p>
        </w:tc>
      </w:tr>
      <w:tr w14:paraId="1E7EADC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365C3497">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w:t>
            </w:r>
          </w:p>
        </w:tc>
        <w:tc>
          <w:tcPr>
            <w:tcW w:w="1180" w:type="pct"/>
            <w:shd w:val="clear" w:color="auto" w:fill="auto"/>
            <w:vAlign w:val="center"/>
          </w:tcPr>
          <w:p w14:paraId="0A5A55B5">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监督管理部门</w:t>
            </w:r>
          </w:p>
        </w:tc>
        <w:tc>
          <w:tcPr>
            <w:tcW w:w="3328" w:type="pct"/>
            <w:shd w:val="clear" w:color="auto" w:fill="auto"/>
            <w:vAlign w:val="center"/>
          </w:tcPr>
          <w:p w14:paraId="4696B3DB">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云南省财政厅政府采购管理处（0871-63956099）</w:t>
            </w:r>
          </w:p>
        </w:tc>
      </w:tr>
      <w:tr w14:paraId="7459B4F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7CDC8CBE">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w:t>
            </w:r>
          </w:p>
        </w:tc>
        <w:tc>
          <w:tcPr>
            <w:tcW w:w="1180" w:type="pct"/>
            <w:shd w:val="clear" w:color="auto" w:fill="auto"/>
            <w:vAlign w:val="center"/>
          </w:tcPr>
          <w:p w14:paraId="341047BD">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p>
        </w:tc>
        <w:tc>
          <w:tcPr>
            <w:tcW w:w="3328" w:type="pct"/>
            <w:shd w:val="clear" w:color="auto" w:fill="auto"/>
            <w:vAlign w:val="center"/>
          </w:tcPr>
          <w:p w14:paraId="6F9CFB18">
            <w:pPr>
              <w:pStyle w:val="21"/>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云南水利水电职业学院校史馆建设项目</w:t>
            </w:r>
          </w:p>
        </w:tc>
      </w:tr>
      <w:tr w14:paraId="387AAC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23" w:hRule="atLeast"/>
        </w:trPr>
        <w:tc>
          <w:tcPr>
            <w:tcW w:w="490" w:type="pct"/>
            <w:shd w:val="clear" w:color="auto" w:fill="auto"/>
            <w:vAlign w:val="center"/>
          </w:tcPr>
          <w:p w14:paraId="30803B47">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w:t>
            </w:r>
          </w:p>
        </w:tc>
        <w:tc>
          <w:tcPr>
            <w:tcW w:w="1180" w:type="pct"/>
            <w:shd w:val="clear" w:color="auto" w:fill="auto"/>
            <w:vAlign w:val="center"/>
          </w:tcPr>
          <w:p w14:paraId="426EDAA6">
            <w:pPr>
              <w:pStyle w:val="21"/>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建设地点</w:t>
            </w:r>
          </w:p>
        </w:tc>
        <w:tc>
          <w:tcPr>
            <w:tcW w:w="3328" w:type="pct"/>
            <w:shd w:val="clear" w:color="auto" w:fill="auto"/>
            <w:vAlign w:val="center"/>
          </w:tcPr>
          <w:p w14:paraId="31C6F390">
            <w:pPr>
              <w:pStyle w:val="21"/>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云南水利水电职业学院富民校区</w:t>
            </w:r>
            <w:r>
              <w:rPr>
                <w:rFonts w:hint="eastAsia" w:ascii="宋体" w:hAnsi="宋体" w:eastAsia="宋体" w:cs="宋体"/>
                <w:color w:val="000000" w:themeColor="text1"/>
                <w:sz w:val="24"/>
                <w:szCs w:val="24"/>
                <w:highlight w:val="none"/>
                <w:lang w:val="en-US" w:eastAsia="zh-CN"/>
                <w14:textFill>
                  <w14:solidFill>
                    <w14:schemeClr w14:val="tx1"/>
                  </w14:solidFill>
                </w14:textFill>
              </w:rPr>
              <w:t>图书馆内</w:t>
            </w:r>
          </w:p>
        </w:tc>
      </w:tr>
      <w:tr w14:paraId="6DA19EF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55313A19">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w:t>
            </w:r>
          </w:p>
        </w:tc>
        <w:tc>
          <w:tcPr>
            <w:tcW w:w="1180" w:type="pct"/>
            <w:shd w:val="clear" w:color="auto" w:fill="auto"/>
            <w:vAlign w:val="center"/>
          </w:tcPr>
          <w:p w14:paraId="5C8EC465">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采购需求</w:t>
            </w:r>
          </w:p>
        </w:tc>
        <w:tc>
          <w:tcPr>
            <w:tcW w:w="3328" w:type="pct"/>
            <w:shd w:val="clear" w:color="auto" w:fill="auto"/>
            <w:vAlign w:val="center"/>
          </w:tcPr>
          <w:p w14:paraId="6C11456F">
            <w:pPr>
              <w:pStyle w:val="21"/>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详见“第一章 竞争性磋商公告”</w:t>
            </w:r>
          </w:p>
        </w:tc>
      </w:tr>
      <w:tr w14:paraId="666247C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6C5D7739">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w:t>
            </w:r>
          </w:p>
        </w:tc>
        <w:tc>
          <w:tcPr>
            <w:tcW w:w="1180" w:type="pct"/>
            <w:shd w:val="clear" w:color="auto" w:fill="auto"/>
            <w:vAlign w:val="center"/>
          </w:tcPr>
          <w:p w14:paraId="58B3B6C6">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质量标准</w:t>
            </w:r>
          </w:p>
        </w:tc>
        <w:tc>
          <w:tcPr>
            <w:tcW w:w="3328" w:type="pct"/>
            <w:shd w:val="clear" w:color="auto" w:fill="auto"/>
            <w:vAlign w:val="center"/>
          </w:tcPr>
          <w:p w14:paraId="0AE4FD6D">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设计质量标准：</w:t>
            </w:r>
            <w:r>
              <w:rPr>
                <w:rFonts w:hint="eastAsia" w:ascii="宋体" w:hAnsi="宋体" w:eastAsia="宋体" w:cs="宋体"/>
                <w:color w:val="000000" w:themeColor="text1"/>
                <w:sz w:val="24"/>
                <w:szCs w:val="24"/>
                <w:highlight w:val="none"/>
                <w14:textFill>
                  <w14:solidFill>
                    <w14:schemeClr w14:val="tx1"/>
                  </w14:solidFill>
                </w14:textFill>
              </w:rPr>
              <w:t>设计成果须严格执行《建设工程质量管理条例》、《建设工程勘察设计管理条例》和国家强制性标准条文，满足现行的建筑工程建设标准、设计规范（规程）和规定的设计文件编制的深度及</w:t>
            </w:r>
            <w:r>
              <w:rPr>
                <w:rFonts w:hint="eastAsia" w:ascii="宋体" w:hAnsi="宋体" w:eastAsia="宋体" w:cs="宋体"/>
                <w:color w:val="000000" w:themeColor="text1"/>
                <w:sz w:val="24"/>
                <w:szCs w:val="24"/>
                <w:highlight w:val="none"/>
                <w:lang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要求，所有设计成果文件均必须通过审批及审查。</w:t>
            </w:r>
          </w:p>
          <w:p w14:paraId="41CFE1C0">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施工质量标准：</w:t>
            </w:r>
            <w:r>
              <w:rPr>
                <w:rFonts w:hint="eastAsia" w:ascii="宋体" w:hAnsi="宋体" w:eastAsia="宋体" w:cs="宋体"/>
                <w:color w:val="000000" w:themeColor="text1"/>
                <w:sz w:val="24"/>
                <w:szCs w:val="24"/>
                <w:highlight w:val="none"/>
                <w14:textFill>
                  <w14:solidFill>
                    <w14:schemeClr w14:val="tx1"/>
                  </w14:solidFill>
                </w14:textFill>
              </w:rPr>
              <w:t>工程质量符合《建筑工程施工质量统一验收标准》（GB50300-2013）和《云南省建筑工程施工质量验收统一规程》(DJB53/T-23-2014）等国家、行业及地方现行相关标准及规范要求，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并</w:t>
            </w:r>
            <w:r>
              <w:rPr>
                <w:rFonts w:hint="eastAsia" w:ascii="宋体" w:hAnsi="宋体" w:eastAsia="宋体" w:cs="宋体"/>
                <w:color w:val="000000" w:themeColor="text1"/>
                <w:sz w:val="24"/>
                <w:szCs w:val="24"/>
                <w:highlight w:val="none"/>
                <w14:textFill>
                  <w14:solidFill>
                    <w14:schemeClr w14:val="tx1"/>
                  </w14:solidFill>
                </w14:textFill>
              </w:rPr>
              <w:t>确保一次通过相关部门的验收。</w:t>
            </w:r>
          </w:p>
        </w:tc>
      </w:tr>
      <w:tr w14:paraId="2700BE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467E8DC5">
            <w:pPr>
              <w:pStyle w:val="2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2.9</w:t>
            </w:r>
          </w:p>
        </w:tc>
        <w:tc>
          <w:tcPr>
            <w:tcW w:w="1180" w:type="pct"/>
            <w:shd w:val="clear" w:color="auto" w:fill="auto"/>
            <w:vAlign w:val="center"/>
          </w:tcPr>
          <w:p w14:paraId="0D7C2203">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合同履行期限</w:t>
            </w:r>
          </w:p>
        </w:tc>
        <w:tc>
          <w:tcPr>
            <w:tcW w:w="3328" w:type="pct"/>
            <w:shd w:val="clear" w:color="auto" w:fill="auto"/>
            <w:vAlign w:val="center"/>
          </w:tcPr>
          <w:p w14:paraId="7CF096BC">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合同签订之日起105日历天内完工并验收完成（其中：设计周期15日历天，施工工期90日历天）。</w:t>
            </w:r>
          </w:p>
        </w:tc>
      </w:tr>
      <w:tr w14:paraId="765798F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63684215">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w:t>
            </w:r>
          </w:p>
        </w:tc>
        <w:tc>
          <w:tcPr>
            <w:tcW w:w="1180" w:type="pct"/>
            <w:shd w:val="clear" w:color="auto" w:fill="auto"/>
            <w:vAlign w:val="center"/>
          </w:tcPr>
          <w:p w14:paraId="31BC0C0D">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资金来源</w:t>
            </w:r>
          </w:p>
        </w:tc>
        <w:tc>
          <w:tcPr>
            <w:tcW w:w="3328" w:type="pct"/>
            <w:shd w:val="clear" w:color="auto" w:fill="auto"/>
            <w:vAlign w:val="center"/>
          </w:tcPr>
          <w:p w14:paraId="16272232">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财政性资金</w:t>
            </w:r>
          </w:p>
        </w:tc>
      </w:tr>
      <w:tr w14:paraId="39520B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19948D3C">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w:t>
            </w:r>
          </w:p>
        </w:tc>
        <w:tc>
          <w:tcPr>
            <w:tcW w:w="1180" w:type="pct"/>
            <w:shd w:val="clear" w:color="auto" w:fill="auto"/>
            <w:vAlign w:val="center"/>
          </w:tcPr>
          <w:p w14:paraId="72FAE52D">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供应商资格要求</w:t>
            </w:r>
          </w:p>
        </w:tc>
        <w:tc>
          <w:tcPr>
            <w:tcW w:w="3328" w:type="pct"/>
            <w:shd w:val="clear" w:color="auto" w:fill="auto"/>
            <w:vAlign w:val="center"/>
          </w:tcPr>
          <w:p w14:paraId="1E36D9E6">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详见第一章“竞争性磋商公告”</w:t>
            </w:r>
          </w:p>
        </w:tc>
      </w:tr>
      <w:tr w14:paraId="5D55A08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1B8CF0EC">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w:t>
            </w:r>
          </w:p>
        </w:tc>
        <w:tc>
          <w:tcPr>
            <w:tcW w:w="1180" w:type="pct"/>
            <w:shd w:val="clear" w:color="auto" w:fill="auto"/>
            <w:vAlign w:val="center"/>
          </w:tcPr>
          <w:p w14:paraId="09035A8A">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是否接受联合体</w:t>
            </w:r>
          </w:p>
          <w:p w14:paraId="60B51A93">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参加磋商</w:t>
            </w:r>
          </w:p>
        </w:tc>
        <w:tc>
          <w:tcPr>
            <w:tcW w:w="3328" w:type="pct"/>
            <w:shd w:val="clear" w:color="auto" w:fill="auto"/>
            <w:vAlign w:val="center"/>
          </w:tcPr>
          <w:p w14:paraId="30739631">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详见第一章“竞争性磋商公告”</w:t>
            </w:r>
          </w:p>
        </w:tc>
      </w:tr>
      <w:tr w14:paraId="177334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38FB5260">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w:t>
            </w:r>
          </w:p>
        </w:tc>
        <w:tc>
          <w:tcPr>
            <w:tcW w:w="1180" w:type="pct"/>
            <w:shd w:val="clear" w:color="auto" w:fill="auto"/>
            <w:vAlign w:val="center"/>
          </w:tcPr>
          <w:p w14:paraId="1C93FABA">
            <w:pPr>
              <w:pStyle w:val="21"/>
              <w:rPr>
                <w:rFonts w:hint="eastAsia" w:ascii="宋体" w:hAnsi="宋体" w:eastAsia="宋体" w:cs="宋体"/>
                <w:color w:val="000000" w:themeColor="text1"/>
                <w:sz w:val="24"/>
                <w:szCs w:val="24"/>
                <w:highlight w:val="none"/>
                <w14:textFill>
                  <w14:solidFill>
                    <w14:schemeClr w14:val="tx1"/>
                  </w14:solidFill>
                </w14:textFill>
              </w:rPr>
            </w:pPr>
            <w:bookmarkStart w:id="104" w:name="_Hlk143529175"/>
            <w:r>
              <w:rPr>
                <w:rFonts w:hint="eastAsia" w:ascii="宋体" w:hAnsi="宋体" w:eastAsia="宋体" w:cs="宋体"/>
                <w:color w:val="000000" w:themeColor="text1"/>
                <w:sz w:val="24"/>
                <w:szCs w:val="24"/>
                <w:highlight w:val="none"/>
                <w14:textFill>
                  <w14:solidFill>
                    <w14:schemeClr w14:val="tx1"/>
                  </w14:solidFill>
                </w14:textFill>
              </w:rPr>
              <w:t>现场考察和答疑会</w:t>
            </w:r>
            <w:bookmarkEnd w:id="104"/>
          </w:p>
        </w:tc>
        <w:tc>
          <w:tcPr>
            <w:tcW w:w="3328" w:type="pct"/>
            <w:shd w:val="clear" w:color="auto" w:fill="auto"/>
            <w:vAlign w:val="center"/>
          </w:tcPr>
          <w:p w14:paraId="740680D7">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FE"/>
            </w:r>
            <w:r>
              <w:rPr>
                <w:rFonts w:hint="eastAsia" w:ascii="宋体" w:hAnsi="宋体" w:eastAsia="宋体" w:cs="宋体"/>
                <w:color w:val="000000" w:themeColor="text1"/>
                <w:sz w:val="24"/>
                <w:szCs w:val="24"/>
                <w:highlight w:val="none"/>
                <w14:textFill>
                  <w14:solidFill>
                    <w14:schemeClr w14:val="tx1"/>
                  </w14:solidFill>
                </w14:textFill>
              </w:rPr>
              <w:t>不组织</w:t>
            </w:r>
          </w:p>
          <w:p w14:paraId="3889BF0D">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14:textFill>
                  <w14:solidFill>
                    <w14:schemeClr w14:val="tx1"/>
                  </w14:solidFill>
                </w14:textFill>
              </w:rPr>
              <w:t>组织</w:t>
            </w:r>
          </w:p>
        </w:tc>
      </w:tr>
      <w:tr w14:paraId="2A3438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39BDAFEF">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1180" w:type="pct"/>
            <w:shd w:val="clear" w:color="auto" w:fill="auto"/>
            <w:vAlign w:val="center"/>
          </w:tcPr>
          <w:p w14:paraId="3D132949">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成交后分包</w:t>
            </w:r>
          </w:p>
        </w:tc>
        <w:tc>
          <w:tcPr>
            <w:tcW w:w="3328" w:type="pct"/>
            <w:shd w:val="clear" w:color="auto" w:fill="auto"/>
            <w:vAlign w:val="center"/>
          </w:tcPr>
          <w:p w14:paraId="2323979C">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本项目的非主体、非关键性工作是否允许分包：</w:t>
            </w:r>
          </w:p>
          <w:p w14:paraId="277BF718">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FE"/>
            </w:r>
            <w:r>
              <w:rPr>
                <w:rFonts w:hint="eastAsia" w:ascii="宋体" w:hAnsi="宋体" w:eastAsia="宋体" w:cs="宋体"/>
                <w:color w:val="000000" w:themeColor="text1"/>
                <w:sz w:val="24"/>
                <w:szCs w:val="24"/>
                <w:highlight w:val="none"/>
                <w14:textFill>
                  <w14:solidFill>
                    <w14:schemeClr w14:val="tx1"/>
                  </w14:solidFill>
                </w14:textFill>
              </w:rPr>
              <w:t>不允许</w:t>
            </w:r>
          </w:p>
          <w:p w14:paraId="59C308C4">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14:textFill>
                  <w14:solidFill>
                    <w14:schemeClr w14:val="tx1"/>
                  </w14:solidFill>
                </w14:textFill>
              </w:rPr>
              <w:t>允许</w:t>
            </w:r>
          </w:p>
        </w:tc>
      </w:tr>
      <w:tr w14:paraId="3691D35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3059CCD6">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11.6</w:t>
            </w:r>
          </w:p>
        </w:tc>
        <w:tc>
          <w:tcPr>
            <w:tcW w:w="1180" w:type="pct"/>
            <w:shd w:val="clear" w:color="auto" w:fill="auto"/>
            <w:vAlign w:val="center"/>
          </w:tcPr>
          <w:p w14:paraId="001403D7">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政府采购交易系统联系方式</w:t>
            </w:r>
          </w:p>
        </w:tc>
        <w:tc>
          <w:tcPr>
            <w:tcW w:w="3328" w:type="pct"/>
            <w:shd w:val="clear" w:color="auto" w:fill="auto"/>
            <w:vAlign w:val="center"/>
          </w:tcPr>
          <w:p w14:paraId="1AE3F745">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政采云技术支持电话：95763（客服热线）</w:t>
            </w:r>
          </w:p>
        </w:tc>
      </w:tr>
      <w:tr w14:paraId="6E8D52F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13652D03">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w:t>
            </w:r>
          </w:p>
        </w:tc>
        <w:tc>
          <w:tcPr>
            <w:tcW w:w="1180" w:type="pct"/>
            <w:shd w:val="clear" w:color="auto" w:fill="auto"/>
            <w:vAlign w:val="center"/>
          </w:tcPr>
          <w:p w14:paraId="2B7C8A5B">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提出询问方式</w:t>
            </w:r>
          </w:p>
        </w:tc>
        <w:tc>
          <w:tcPr>
            <w:tcW w:w="3328" w:type="pct"/>
            <w:shd w:val="clear" w:color="auto" w:fill="auto"/>
            <w:vAlign w:val="center"/>
          </w:tcPr>
          <w:p w14:paraId="63D49CB9">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对政府采购活动事项有疑问的，可以向采购人或采购代理机构提出询问，采购人或者采购代理机构在接到询问后的3个工作日内对供应商依法提出的询问作出答复，但答复的内容不涉及商业秘密。询问联系电话：0871-63181513。</w:t>
            </w:r>
          </w:p>
        </w:tc>
      </w:tr>
      <w:tr w14:paraId="33121C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3EB51EA2">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p>
        </w:tc>
        <w:tc>
          <w:tcPr>
            <w:tcW w:w="1180" w:type="pct"/>
            <w:shd w:val="clear" w:color="auto" w:fill="auto"/>
            <w:vAlign w:val="center"/>
          </w:tcPr>
          <w:p w14:paraId="4564F036">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报价</w:t>
            </w:r>
          </w:p>
        </w:tc>
        <w:tc>
          <w:tcPr>
            <w:tcW w:w="3328" w:type="pct"/>
            <w:shd w:val="clear" w:color="auto" w:fill="auto"/>
            <w:vAlign w:val="center"/>
          </w:tcPr>
          <w:p w14:paraId="742085C6">
            <w:pPr>
              <w:pStyle w:val="21"/>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（一）</w:t>
            </w:r>
            <w:r>
              <w:rPr>
                <w:rFonts w:hint="eastAsia" w:ascii="宋体" w:hAnsi="宋体" w:eastAsia="宋体" w:cs="宋体"/>
                <w:b/>
                <w:bCs/>
                <w:color w:val="000000" w:themeColor="text1"/>
                <w:sz w:val="24"/>
                <w:szCs w:val="24"/>
                <w:highlight w:val="none"/>
                <w14:textFill>
                  <w14:solidFill>
                    <w14:schemeClr w14:val="tx1"/>
                  </w14:solidFill>
                </w14:textFill>
              </w:rPr>
              <w:t>设计报价：</w:t>
            </w:r>
          </w:p>
          <w:p w14:paraId="5CC72A54">
            <w:pPr>
              <w:pStyle w:val="21"/>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（1）报价方式：</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设计部分费用为人民币___元</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w:t>
            </w:r>
          </w:p>
          <w:p w14:paraId="2CE0211A">
            <w:pPr>
              <w:pStyle w:val="21"/>
              <w:jc w:val="left"/>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（2）设计部分最高限价：</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150000.00元</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w:t>
            </w:r>
          </w:p>
          <w:p w14:paraId="78A831D3">
            <w:pPr>
              <w:pStyle w:val="21"/>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说明：本设计费为</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固定总价包干</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；供应商报价不得超过最高限价，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否则按响应文件无效处理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6663ABE7">
            <w:pPr>
              <w:pStyle w:val="21"/>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（二）</w:t>
            </w:r>
            <w:r>
              <w:rPr>
                <w:rFonts w:hint="eastAsia" w:ascii="宋体" w:hAnsi="宋体" w:eastAsia="宋体" w:cs="宋体"/>
                <w:b/>
                <w:bCs/>
                <w:color w:val="000000" w:themeColor="text1"/>
                <w:sz w:val="24"/>
                <w:szCs w:val="24"/>
                <w:highlight w:val="none"/>
                <w14:textFill>
                  <w14:solidFill>
                    <w14:schemeClr w14:val="tx1"/>
                  </w14:solidFill>
                </w14:textFill>
              </w:rPr>
              <w:t>施工报价：</w:t>
            </w:r>
          </w:p>
          <w:p w14:paraId="61987E74">
            <w:pPr>
              <w:pStyle w:val="21"/>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（1）报价方式：</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施工部分费用为固定下浮   %</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2A0A8DA8">
            <w:pPr>
              <w:pStyle w:val="21"/>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（2）施工部分最高限价：</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固定下浮0%（说明：采购人可填报的有效磋商报价为固定下浮0-100%，否则按响应文件无效处理）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749CBBF8">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说明：项目承包人应按《建设工程工程量清单计价标准》(GB/T 50500-2024)及配套定额和云南省现行计价、调价文件等相关配套计价文件，以综合单价的形式进行组价编制本项目施工预算（按编制施工预算时不下浮，结算时以施工成交固定下浮率下浮，其中施工安全文明措施费、规费、税金按国家标准执行），施工图预算主材材料价使用乙方进场施工当月昆明市《价格指导》为依据进行组价，昆明市《价格指导》中没有对应材料单价时，材料价格参照云南省建设工程材料及设备《价格信息》执行，云南省建设工程材料及设备《价格信息》中也没有对应材料单价的，以发包人、承包人、监理人、第三方造价咨询单位共同询价后的材料价为准，并经发包人审核后作为中间支付的依据。项目承包人需将施工图预算报送至发包人委托的第三方造价咨询单位进行审核，发包人保留对严重不平衡及不合理的施工预算报价进行调整的权利，项目承包人不服从其调整的，本项目合同自动失效。结算时，工程费用以第三方审计机构审定的工程结算价为准。最终工程结算价=经审定的工程结算价*（1-成交时的下浮率）。</w:t>
            </w:r>
          </w:p>
        </w:tc>
      </w:tr>
      <w:tr w14:paraId="21FE7B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490" w:type="pct"/>
            <w:shd w:val="clear" w:color="auto" w:fill="auto"/>
            <w:vAlign w:val="center"/>
          </w:tcPr>
          <w:p w14:paraId="58EC7D46">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w:t>
            </w:r>
          </w:p>
        </w:tc>
        <w:tc>
          <w:tcPr>
            <w:tcW w:w="1180" w:type="pct"/>
            <w:shd w:val="clear" w:color="auto" w:fill="auto"/>
            <w:vAlign w:val="center"/>
          </w:tcPr>
          <w:p w14:paraId="038EC3B8">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响应文件有效期</w:t>
            </w:r>
          </w:p>
        </w:tc>
        <w:tc>
          <w:tcPr>
            <w:tcW w:w="3328" w:type="pct"/>
            <w:shd w:val="clear" w:color="auto" w:fill="auto"/>
            <w:vAlign w:val="center"/>
          </w:tcPr>
          <w:p w14:paraId="16F722CB">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提交响应文件截止之日起90日历天</w:t>
            </w:r>
          </w:p>
        </w:tc>
      </w:tr>
      <w:tr w14:paraId="617DD3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3AC24E47">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w:t>
            </w:r>
          </w:p>
        </w:tc>
        <w:tc>
          <w:tcPr>
            <w:tcW w:w="1180" w:type="pct"/>
            <w:shd w:val="clear" w:color="auto" w:fill="auto"/>
            <w:vAlign w:val="center"/>
          </w:tcPr>
          <w:p w14:paraId="4B41BD01">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投标保证金</w:t>
            </w:r>
          </w:p>
        </w:tc>
        <w:tc>
          <w:tcPr>
            <w:tcW w:w="3328" w:type="pct"/>
            <w:shd w:val="clear" w:color="auto" w:fill="auto"/>
            <w:vAlign w:val="center"/>
          </w:tcPr>
          <w:p w14:paraId="33FCA695">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一、本项目投标保证金提交形式包括：</w:t>
            </w:r>
            <w:r>
              <w:rPr>
                <w:rFonts w:hint="eastAsia" w:ascii="宋体" w:hAnsi="宋体" w:eastAsia="宋体" w:cs="宋体"/>
                <w:b/>
                <w:bCs/>
                <w:color w:val="000000" w:themeColor="text1"/>
                <w:sz w:val="24"/>
                <w:szCs w:val="24"/>
                <w:highlight w:val="none"/>
                <w:u w:val="single"/>
                <w14:textFill>
                  <w14:solidFill>
                    <w14:schemeClr w14:val="tx1"/>
                  </w14:solidFill>
                </w14:textFill>
              </w:rPr>
              <w:t>支票、汇票、本票、保函、保证保险、银行转账、网银、电汇等其它非现金形式</w:t>
            </w:r>
            <w:r>
              <w:rPr>
                <w:rFonts w:hint="eastAsia" w:ascii="宋体" w:hAnsi="宋体" w:eastAsia="宋体" w:cs="宋体"/>
                <w:color w:val="000000" w:themeColor="text1"/>
                <w:sz w:val="24"/>
                <w:szCs w:val="24"/>
                <w:highlight w:val="none"/>
                <w14:textFill>
                  <w14:solidFill>
                    <w14:schemeClr w14:val="tx1"/>
                  </w14:solidFill>
                </w14:textFill>
              </w:rPr>
              <w:t>。</w:t>
            </w:r>
          </w:p>
          <w:p w14:paraId="7E8F6616">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二、投标保证金金额：</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70000</w:t>
            </w:r>
            <w:r>
              <w:rPr>
                <w:rFonts w:hint="eastAsia" w:ascii="宋体" w:hAnsi="宋体" w:eastAsia="宋体" w:cs="宋体"/>
                <w:b/>
                <w:bCs/>
                <w:color w:val="000000" w:themeColor="text1"/>
                <w:sz w:val="24"/>
                <w:szCs w:val="24"/>
                <w:highlight w:val="none"/>
                <w:u w:val="single"/>
                <w14:textFill>
                  <w14:solidFill>
                    <w14:schemeClr w14:val="tx1"/>
                  </w14:solidFill>
                </w14:textFill>
              </w:rPr>
              <w:t>.00元</w:t>
            </w:r>
          </w:p>
          <w:p w14:paraId="5E4C5087">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三、供应商通过</w:t>
            </w:r>
            <w:r>
              <w:rPr>
                <w:rFonts w:hint="eastAsia" w:ascii="宋体" w:hAnsi="宋体" w:eastAsia="宋体" w:cs="宋体"/>
                <w:b/>
                <w:bCs/>
                <w:color w:val="000000" w:themeColor="text1"/>
                <w:sz w:val="24"/>
                <w:szCs w:val="24"/>
                <w:highlight w:val="none"/>
                <w:u w:val="single"/>
                <w14:textFill>
                  <w14:solidFill>
                    <w14:schemeClr w14:val="tx1"/>
                  </w14:solidFill>
                </w14:textFill>
              </w:rPr>
              <w:t>银行转账、网银、电汇</w:t>
            </w:r>
            <w:r>
              <w:rPr>
                <w:rFonts w:hint="eastAsia" w:ascii="宋体" w:hAnsi="宋体" w:eastAsia="宋体" w:cs="宋体"/>
                <w:color w:val="000000" w:themeColor="text1"/>
                <w:sz w:val="24"/>
                <w:szCs w:val="24"/>
                <w:highlight w:val="none"/>
                <w14:textFill>
                  <w14:solidFill>
                    <w14:schemeClr w14:val="tx1"/>
                  </w14:solidFill>
                </w14:textFill>
              </w:rPr>
              <w:t>形式提交投标保证金的，投标保证金应当从供应商基本账户转出：</w:t>
            </w:r>
          </w:p>
          <w:p w14:paraId="30BA32AC">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转入账户名称：</w:t>
            </w:r>
            <w:r>
              <w:rPr>
                <w:rFonts w:hint="eastAsia" w:ascii="宋体" w:hAnsi="宋体" w:eastAsia="宋体" w:cs="宋体"/>
                <w:b/>
                <w:bCs/>
                <w:color w:val="000000" w:themeColor="text1"/>
                <w:sz w:val="24"/>
                <w:szCs w:val="24"/>
                <w:highlight w:val="none"/>
                <w:u w:val="single"/>
                <w14:textFill>
                  <w14:solidFill>
                    <w14:schemeClr w14:val="tx1"/>
                  </w14:solidFill>
                </w14:textFill>
              </w:rPr>
              <w:t>云南赛林工程管理咨询有限公司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7236ABFA">
            <w:pPr>
              <w:pStyle w:val="21"/>
              <w:jc w:val="left"/>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账号：</w:t>
            </w:r>
            <w:r>
              <w:rPr>
                <w:rFonts w:hint="eastAsia" w:ascii="宋体" w:hAnsi="宋体" w:eastAsia="宋体" w:cs="宋体"/>
                <w:b/>
                <w:bCs/>
                <w:color w:val="000000" w:themeColor="text1"/>
                <w:sz w:val="24"/>
                <w:szCs w:val="24"/>
                <w:highlight w:val="none"/>
                <w:u w:val="single"/>
                <w14:textFill>
                  <w14:solidFill>
                    <w14:schemeClr w14:val="tx1"/>
                  </w14:solidFill>
                </w14:textFill>
              </w:rPr>
              <w:t>53001945041051006403</w:t>
            </w:r>
          </w:p>
          <w:p w14:paraId="36707834">
            <w:pPr>
              <w:pStyle w:val="21"/>
              <w:jc w:val="left"/>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w:t>
            </w:r>
            <w:r>
              <w:rPr>
                <w:rFonts w:hint="eastAsia" w:ascii="宋体" w:hAnsi="宋体" w:eastAsia="宋体" w:cs="宋体"/>
                <w:b/>
                <w:bCs/>
                <w:color w:val="000000" w:themeColor="text1"/>
                <w:sz w:val="24"/>
                <w:szCs w:val="24"/>
                <w:highlight w:val="none"/>
                <w:u w:val="single"/>
                <w14:textFill>
                  <w14:solidFill>
                    <w14:schemeClr w14:val="tx1"/>
                  </w14:solidFill>
                </w14:textFill>
              </w:rPr>
              <w:t>中国建设银行昆明滇池国家旅游度假区支行</w:t>
            </w:r>
          </w:p>
          <w:p w14:paraId="13C02967">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投标保证金的提交时间：</w:t>
            </w:r>
            <w:r>
              <w:rPr>
                <w:rFonts w:hint="eastAsia" w:ascii="宋体" w:hAnsi="宋体" w:eastAsia="宋体" w:cs="宋体"/>
                <w:b/>
                <w:bCs/>
                <w:color w:val="000000" w:themeColor="text1"/>
                <w:sz w:val="24"/>
                <w:szCs w:val="24"/>
                <w:highlight w:val="none"/>
                <w:u w:val="single"/>
                <w14:textFill>
                  <w14:solidFill>
                    <w14:schemeClr w14:val="tx1"/>
                  </w14:solidFill>
                </w14:textFill>
              </w:rPr>
              <w:t>保证金到账截止时间为</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响应文件</w:t>
            </w:r>
            <w:r>
              <w:rPr>
                <w:rFonts w:hint="eastAsia" w:ascii="宋体" w:hAnsi="宋体" w:eastAsia="宋体" w:cs="宋体"/>
                <w:b/>
                <w:bCs/>
                <w:color w:val="000000" w:themeColor="text1"/>
                <w:sz w:val="24"/>
                <w:szCs w:val="24"/>
                <w:highlight w:val="none"/>
                <w:u w:val="single"/>
                <w14:textFill>
                  <w14:solidFill>
                    <w14:schemeClr w14:val="tx1"/>
                  </w14:solidFill>
                </w14:textFill>
              </w:rPr>
              <w:t>提交截止时间，到账时间以实际到达转入账户时间为准，未按时到账的保证金视为未提交投标保证金</w:t>
            </w:r>
            <w:r>
              <w:rPr>
                <w:rFonts w:hint="eastAsia" w:ascii="宋体" w:hAnsi="宋体" w:eastAsia="宋体" w:cs="宋体"/>
                <w:color w:val="000000" w:themeColor="text1"/>
                <w:sz w:val="24"/>
                <w:szCs w:val="24"/>
                <w:highlight w:val="none"/>
                <w14:textFill>
                  <w14:solidFill>
                    <w14:schemeClr w14:val="tx1"/>
                  </w14:solidFill>
                </w14:textFill>
              </w:rPr>
              <w:t>。</w:t>
            </w:r>
          </w:p>
          <w:p w14:paraId="4E0104F9">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保证金提交的程序：同一项目下两个及以上标段的，供应商应按标段分别提交保证金。</w:t>
            </w:r>
          </w:p>
          <w:p w14:paraId="182892E9">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四、采用</w:t>
            </w:r>
            <w:r>
              <w:rPr>
                <w:rFonts w:hint="eastAsia" w:ascii="宋体" w:hAnsi="宋体" w:eastAsia="宋体" w:cs="宋体"/>
                <w:b/>
                <w:bCs/>
                <w:color w:val="000000" w:themeColor="text1"/>
                <w:sz w:val="24"/>
                <w:szCs w:val="24"/>
                <w:highlight w:val="none"/>
                <w:u w:val="single"/>
                <w14:textFill>
                  <w14:solidFill>
                    <w14:schemeClr w14:val="tx1"/>
                  </w14:solidFill>
                </w14:textFill>
              </w:rPr>
              <w:t>支票、汇票、本票</w:t>
            </w:r>
            <w:r>
              <w:rPr>
                <w:rFonts w:hint="eastAsia" w:ascii="宋体" w:hAnsi="宋体" w:eastAsia="宋体" w:cs="宋体"/>
                <w:color w:val="000000" w:themeColor="text1"/>
                <w:sz w:val="24"/>
                <w:szCs w:val="24"/>
                <w:highlight w:val="none"/>
                <w14:textFill>
                  <w14:solidFill>
                    <w14:schemeClr w14:val="tx1"/>
                  </w14:solidFill>
                </w14:textFill>
              </w:rPr>
              <w:t>形式提交投标保证金的，投标保证金应当从供应商基本账户交纳至：</w:t>
            </w:r>
          </w:p>
          <w:p w14:paraId="6798AEF0">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开户名称：</w:t>
            </w:r>
            <w:r>
              <w:rPr>
                <w:rFonts w:hint="eastAsia" w:ascii="宋体" w:hAnsi="宋体" w:eastAsia="宋体" w:cs="宋体"/>
                <w:b/>
                <w:bCs/>
                <w:color w:val="000000" w:themeColor="text1"/>
                <w:sz w:val="24"/>
                <w:szCs w:val="24"/>
                <w:highlight w:val="none"/>
                <w:u w:val="single"/>
                <w14:textFill>
                  <w14:solidFill>
                    <w14:schemeClr w14:val="tx1"/>
                  </w14:solidFill>
                </w14:textFill>
              </w:rPr>
              <w:t>云南赛林工程管理咨询有限公司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677C132A">
            <w:pPr>
              <w:pStyle w:val="21"/>
              <w:jc w:val="left"/>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账号：</w:t>
            </w:r>
            <w:r>
              <w:rPr>
                <w:rFonts w:hint="eastAsia" w:ascii="宋体" w:hAnsi="宋体" w:eastAsia="宋体" w:cs="宋体"/>
                <w:b/>
                <w:bCs/>
                <w:color w:val="000000" w:themeColor="text1"/>
                <w:sz w:val="24"/>
                <w:szCs w:val="24"/>
                <w:highlight w:val="none"/>
                <w:u w:val="single"/>
                <w14:textFill>
                  <w14:solidFill>
                    <w14:schemeClr w14:val="tx1"/>
                  </w14:solidFill>
                </w14:textFill>
              </w:rPr>
              <w:t>53001945041051006403</w:t>
            </w:r>
          </w:p>
          <w:p w14:paraId="1DF81444">
            <w:pPr>
              <w:pStyle w:val="21"/>
              <w:jc w:val="left"/>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w:t>
            </w:r>
            <w:r>
              <w:rPr>
                <w:rFonts w:hint="eastAsia" w:ascii="宋体" w:hAnsi="宋体" w:eastAsia="宋体" w:cs="宋体"/>
                <w:b/>
                <w:bCs/>
                <w:color w:val="000000" w:themeColor="text1"/>
                <w:sz w:val="24"/>
                <w:szCs w:val="24"/>
                <w:highlight w:val="none"/>
                <w:u w:val="single"/>
                <w14:textFill>
                  <w14:solidFill>
                    <w14:schemeClr w14:val="tx1"/>
                  </w14:solidFill>
                </w14:textFill>
              </w:rPr>
              <w:t>中国建设银行昆明滇池国家旅游度假区支行</w:t>
            </w:r>
          </w:p>
          <w:p w14:paraId="512E3EA8">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保证金提交的时间和程序：</w:t>
            </w:r>
            <w:r>
              <w:rPr>
                <w:rFonts w:hint="eastAsia" w:ascii="宋体" w:hAnsi="宋体" w:eastAsia="宋体" w:cs="宋体"/>
                <w:b/>
                <w:bCs/>
                <w:color w:val="000000" w:themeColor="text1"/>
                <w:sz w:val="24"/>
                <w:szCs w:val="24"/>
                <w:highlight w:val="none"/>
                <w:u w:val="single"/>
                <w14:textFill>
                  <w14:solidFill>
                    <w14:schemeClr w14:val="tx1"/>
                  </w14:solidFill>
                </w14:textFill>
              </w:rPr>
              <w:t>支票、汇票、本票的相关有效凭证（原件）必须在提交</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响应文件</w:t>
            </w:r>
            <w:r>
              <w:rPr>
                <w:rFonts w:hint="eastAsia" w:ascii="宋体" w:hAnsi="宋体" w:eastAsia="宋体" w:cs="宋体"/>
                <w:b/>
                <w:bCs/>
                <w:color w:val="000000" w:themeColor="text1"/>
                <w:sz w:val="24"/>
                <w:szCs w:val="24"/>
                <w:highlight w:val="none"/>
                <w:u w:val="single"/>
                <w14:textFill>
                  <w14:solidFill>
                    <w14:schemeClr w14:val="tx1"/>
                  </w14:solidFill>
                </w14:textFill>
              </w:rPr>
              <w:t>截止时间前递交至采购代理机构（云南民族村昆明故城9幢二楼）财务室，未按时递交的视为未提交投标保证金。递交时间：法定工作日上午9：00-12：00、下午13：30-17：00</w:t>
            </w:r>
            <w:r>
              <w:rPr>
                <w:rFonts w:hint="eastAsia" w:ascii="宋体" w:hAnsi="宋体" w:eastAsia="宋体" w:cs="宋体"/>
                <w:color w:val="000000" w:themeColor="text1"/>
                <w:sz w:val="24"/>
                <w:szCs w:val="24"/>
                <w:highlight w:val="none"/>
                <w14:textFill>
                  <w14:solidFill>
                    <w14:schemeClr w14:val="tx1"/>
                  </w14:solidFill>
                </w14:textFill>
              </w:rPr>
              <w:t>。</w:t>
            </w:r>
          </w:p>
          <w:p w14:paraId="76269795">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五、供应商以保</w:t>
            </w:r>
            <w:r>
              <w:rPr>
                <w:rFonts w:hint="eastAsia" w:ascii="宋体" w:hAnsi="宋体" w:eastAsia="宋体" w:cs="宋体"/>
                <w:b/>
                <w:bCs/>
                <w:color w:val="000000" w:themeColor="text1"/>
                <w:sz w:val="24"/>
                <w:szCs w:val="24"/>
                <w:highlight w:val="none"/>
                <w:u w:val="single"/>
                <w14:textFill>
                  <w14:solidFill>
                    <w14:schemeClr w14:val="tx1"/>
                  </w14:solidFill>
                </w14:textFill>
              </w:rPr>
              <w:t>函、保证保险</w:t>
            </w:r>
            <w:r>
              <w:rPr>
                <w:rFonts w:hint="eastAsia" w:ascii="宋体" w:hAnsi="宋体" w:eastAsia="宋体" w:cs="宋体"/>
                <w:color w:val="000000" w:themeColor="text1"/>
                <w:sz w:val="24"/>
                <w:szCs w:val="24"/>
                <w:highlight w:val="none"/>
                <w14:textFill>
                  <w14:solidFill>
                    <w14:schemeClr w14:val="tx1"/>
                  </w14:solidFill>
                </w14:textFill>
              </w:rPr>
              <w:t>等非现金形式提交保证金的：</w:t>
            </w:r>
          </w:p>
          <w:p w14:paraId="41922631">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1.保函、保证保险等非现金形式申请人必须是供应商，受益人必须是采购人；</w:t>
            </w:r>
          </w:p>
          <w:p w14:paraId="1ECFF168">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2.保函、保证保险等非现金形式必须正确填写受益人和申请人的全称，并与</w:t>
            </w:r>
            <w:r>
              <w:rPr>
                <w:rFonts w:hint="eastAsia" w:ascii="宋体" w:hAnsi="宋体" w:eastAsia="宋体" w:cs="宋体"/>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color w:val="000000" w:themeColor="text1"/>
                <w:sz w:val="24"/>
                <w:szCs w:val="24"/>
                <w:highlight w:val="none"/>
                <w14:textFill>
                  <w14:solidFill>
                    <w14:schemeClr w14:val="tx1"/>
                  </w14:solidFill>
                </w14:textFill>
              </w:rPr>
              <w:t>规定的名称相一致。</w:t>
            </w:r>
          </w:p>
          <w:p w14:paraId="2A6CE0D3">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3.保证金提交的时间和程序：</w:t>
            </w:r>
            <w:r>
              <w:rPr>
                <w:rFonts w:hint="eastAsia" w:ascii="宋体" w:hAnsi="宋体" w:eastAsia="宋体" w:cs="宋体"/>
                <w:b/>
                <w:bCs/>
                <w:color w:val="000000" w:themeColor="text1"/>
                <w:sz w:val="24"/>
                <w:szCs w:val="24"/>
                <w:highlight w:val="none"/>
                <w:u w:val="single"/>
                <w14:textFill>
                  <w14:solidFill>
                    <w14:schemeClr w14:val="tx1"/>
                  </w14:solidFill>
                </w14:textFill>
              </w:rPr>
              <w:t>保函原件或保证保险原件（或复印件）必须在提交</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响应文件</w:t>
            </w:r>
            <w:r>
              <w:rPr>
                <w:rFonts w:hint="eastAsia" w:ascii="宋体" w:hAnsi="宋体" w:eastAsia="宋体" w:cs="宋体"/>
                <w:b/>
                <w:bCs/>
                <w:color w:val="000000" w:themeColor="text1"/>
                <w:sz w:val="24"/>
                <w:szCs w:val="24"/>
                <w:highlight w:val="none"/>
                <w:u w:val="single"/>
                <w14:textFill>
                  <w14:solidFill>
                    <w14:schemeClr w14:val="tx1"/>
                  </w14:solidFill>
                </w14:textFill>
              </w:rPr>
              <w:t>截止时间前递交至采购代理机构（云南民族村昆明故城9幢二楼）财务室，未按时递交的视为未提交投标保证金。递交时间：法定工作日上午9：00-12：00、下午13：30-17：00</w:t>
            </w:r>
            <w:r>
              <w:rPr>
                <w:rFonts w:hint="eastAsia" w:ascii="宋体" w:hAnsi="宋体" w:eastAsia="宋体" w:cs="宋体"/>
                <w:color w:val="000000" w:themeColor="text1"/>
                <w:sz w:val="24"/>
                <w:szCs w:val="24"/>
                <w:highlight w:val="none"/>
                <w14:textFill>
                  <w14:solidFill>
                    <w14:schemeClr w14:val="tx1"/>
                  </w14:solidFill>
                </w14:textFill>
              </w:rPr>
              <w:t>。</w:t>
            </w:r>
          </w:p>
          <w:p w14:paraId="2DF9C16A">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六、开标时，采购人或委托的代理机构在现场公开保证金提交的情况。</w:t>
            </w:r>
          </w:p>
        </w:tc>
      </w:tr>
      <w:tr w14:paraId="759E5CF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91" w:hRule="atLeast"/>
        </w:trPr>
        <w:tc>
          <w:tcPr>
            <w:tcW w:w="490" w:type="pct"/>
            <w:shd w:val="clear" w:color="auto" w:fill="auto"/>
            <w:vAlign w:val="center"/>
          </w:tcPr>
          <w:p w14:paraId="331F277B">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w:t>
            </w:r>
          </w:p>
        </w:tc>
        <w:tc>
          <w:tcPr>
            <w:tcW w:w="1180" w:type="pct"/>
            <w:shd w:val="clear" w:color="auto" w:fill="auto"/>
            <w:vAlign w:val="center"/>
          </w:tcPr>
          <w:p w14:paraId="4D3A679C">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响应文件签署规定</w:t>
            </w:r>
          </w:p>
        </w:tc>
        <w:tc>
          <w:tcPr>
            <w:tcW w:w="3328" w:type="pct"/>
            <w:shd w:val="clear" w:color="auto" w:fill="auto"/>
            <w:vAlign w:val="center"/>
          </w:tcPr>
          <w:p w14:paraId="54A5A1EA">
            <w:pPr>
              <w:pStyle w:val="21"/>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响应文件全部采用电子文档，响应文件所附证书证件均为原件扫描件，上传的响应文件必须使用“政采云投标客户端”制作，并按照“第六章 响应文件的格式”进行单位和个人数字证书电子签章及电子签名。在需要电子签章的地方进行电子签章及电子签名，无需逐页电子签章及电子签名。</w:t>
            </w:r>
          </w:p>
          <w:p w14:paraId="71416A77">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注：响应文件格式中《中小企业声明函》、《监狱企业证明文件》、《残疾人福利性单位声明函》，非此类单位或本次采购不涉及的供应商，无需进行填写及电子签章。</w:t>
            </w:r>
          </w:p>
        </w:tc>
      </w:tr>
      <w:tr w14:paraId="1D16E97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160" w:hRule="atLeast"/>
        </w:trPr>
        <w:tc>
          <w:tcPr>
            <w:tcW w:w="490" w:type="pct"/>
            <w:shd w:val="clear" w:color="auto" w:fill="auto"/>
            <w:vAlign w:val="center"/>
          </w:tcPr>
          <w:p w14:paraId="5761C580">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18.2</w:t>
            </w:r>
          </w:p>
        </w:tc>
        <w:tc>
          <w:tcPr>
            <w:tcW w:w="1180" w:type="pct"/>
            <w:shd w:val="clear" w:color="auto" w:fill="auto"/>
            <w:vAlign w:val="center"/>
          </w:tcPr>
          <w:p w14:paraId="5CE2A1E1">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响应文件的上传规定</w:t>
            </w:r>
          </w:p>
        </w:tc>
        <w:tc>
          <w:tcPr>
            <w:tcW w:w="3328" w:type="pct"/>
            <w:shd w:val="clear" w:color="auto" w:fill="auto"/>
            <w:vAlign w:val="center"/>
          </w:tcPr>
          <w:p w14:paraId="7D692188">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（1）电子响应文件应使用“政采云”平台（https://www.zcygov.cn/）中下载的政采云电子投标客户端制作，并进行电子签章及加密后上传至“政采云”平台。</w:t>
            </w:r>
          </w:p>
          <w:p w14:paraId="453854B8">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（2）如供应商提交的电子标书不符合（1）要求或开标时无法读取导入或解密，其响应文件将不予受理。</w:t>
            </w:r>
          </w:p>
        </w:tc>
      </w:tr>
      <w:tr w14:paraId="73F473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48" w:hRule="atLeast"/>
        </w:trPr>
        <w:tc>
          <w:tcPr>
            <w:tcW w:w="490" w:type="pct"/>
            <w:shd w:val="clear" w:color="auto" w:fill="auto"/>
            <w:vAlign w:val="center"/>
          </w:tcPr>
          <w:p w14:paraId="130847AA">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20.1</w:t>
            </w:r>
          </w:p>
        </w:tc>
        <w:tc>
          <w:tcPr>
            <w:tcW w:w="1180" w:type="pct"/>
            <w:shd w:val="clear" w:color="auto" w:fill="auto"/>
            <w:vAlign w:val="center"/>
          </w:tcPr>
          <w:p w14:paraId="3FB203C6">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提交响应文件截止时间</w:t>
            </w:r>
          </w:p>
        </w:tc>
        <w:tc>
          <w:tcPr>
            <w:tcW w:w="3328" w:type="pct"/>
            <w:shd w:val="clear" w:color="auto" w:fill="auto"/>
            <w:vAlign w:val="center"/>
          </w:tcPr>
          <w:p w14:paraId="2B47938E">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详见第一章“竞争性磋商公告”</w:t>
            </w:r>
          </w:p>
        </w:tc>
      </w:tr>
      <w:tr w14:paraId="2C1971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34" w:hRule="atLeast"/>
        </w:trPr>
        <w:tc>
          <w:tcPr>
            <w:tcW w:w="490" w:type="pct"/>
            <w:shd w:val="clear" w:color="auto" w:fill="auto"/>
            <w:vAlign w:val="center"/>
          </w:tcPr>
          <w:p w14:paraId="03F23401">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20.2</w:t>
            </w:r>
          </w:p>
        </w:tc>
        <w:tc>
          <w:tcPr>
            <w:tcW w:w="1180" w:type="pct"/>
            <w:shd w:val="clear" w:color="auto" w:fill="auto"/>
            <w:vAlign w:val="center"/>
          </w:tcPr>
          <w:p w14:paraId="7DC1AAA7">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递交响应文件地点</w:t>
            </w:r>
          </w:p>
        </w:tc>
        <w:tc>
          <w:tcPr>
            <w:tcW w:w="3328" w:type="pct"/>
            <w:shd w:val="clear" w:color="auto" w:fill="auto"/>
            <w:vAlign w:val="center"/>
          </w:tcPr>
          <w:p w14:paraId="09BCD3E3">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详见第一章“竞争性磋商公告”</w:t>
            </w:r>
          </w:p>
        </w:tc>
      </w:tr>
      <w:tr w14:paraId="5009B28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08" w:hRule="atLeast"/>
        </w:trPr>
        <w:tc>
          <w:tcPr>
            <w:tcW w:w="490" w:type="pct"/>
            <w:shd w:val="clear" w:color="auto" w:fill="auto"/>
            <w:vAlign w:val="center"/>
          </w:tcPr>
          <w:p w14:paraId="673074A1">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23.1</w:t>
            </w:r>
          </w:p>
        </w:tc>
        <w:tc>
          <w:tcPr>
            <w:tcW w:w="1180" w:type="pct"/>
            <w:shd w:val="clear" w:color="auto" w:fill="auto"/>
            <w:vAlign w:val="center"/>
          </w:tcPr>
          <w:p w14:paraId="48F7418B">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实物样品</w:t>
            </w:r>
          </w:p>
        </w:tc>
        <w:tc>
          <w:tcPr>
            <w:tcW w:w="3328" w:type="pct"/>
            <w:shd w:val="clear" w:color="auto" w:fill="auto"/>
            <w:vAlign w:val="center"/>
          </w:tcPr>
          <w:p w14:paraId="509A5167">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FE"/>
            </w:r>
            <w:r>
              <w:rPr>
                <w:rFonts w:hint="eastAsia" w:ascii="宋体" w:hAnsi="宋体" w:eastAsia="宋体" w:cs="宋体"/>
                <w:color w:val="000000" w:themeColor="text1"/>
                <w:sz w:val="24"/>
                <w:szCs w:val="24"/>
                <w:highlight w:val="none"/>
                <w14:textFill>
                  <w14:solidFill>
                    <w14:schemeClr w14:val="tx1"/>
                  </w14:solidFill>
                </w14:textFill>
              </w:rPr>
              <w:t>不提供</w:t>
            </w:r>
          </w:p>
          <w:p w14:paraId="4B31C970">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14:textFill>
                  <w14:solidFill>
                    <w14:schemeClr w14:val="tx1"/>
                  </w14:solidFill>
                </w14:textFill>
              </w:rPr>
              <w:t>提供</w:t>
            </w:r>
          </w:p>
        </w:tc>
      </w:tr>
      <w:tr w14:paraId="44CD9C3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1F1344B5">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w:t>
            </w:r>
          </w:p>
        </w:tc>
        <w:tc>
          <w:tcPr>
            <w:tcW w:w="1180" w:type="pct"/>
            <w:shd w:val="clear" w:color="auto" w:fill="auto"/>
            <w:vAlign w:val="center"/>
          </w:tcPr>
          <w:p w14:paraId="413F8ECC">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项目演示</w:t>
            </w:r>
          </w:p>
        </w:tc>
        <w:tc>
          <w:tcPr>
            <w:tcW w:w="3328" w:type="pct"/>
            <w:shd w:val="clear" w:color="auto" w:fill="auto"/>
            <w:vAlign w:val="center"/>
          </w:tcPr>
          <w:p w14:paraId="3E56070B">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FE"/>
            </w:r>
            <w:r>
              <w:rPr>
                <w:rFonts w:hint="eastAsia" w:ascii="宋体" w:hAnsi="宋体" w:eastAsia="宋体" w:cs="宋体"/>
                <w:color w:val="000000" w:themeColor="text1"/>
                <w:sz w:val="24"/>
                <w:szCs w:val="24"/>
                <w:highlight w:val="none"/>
                <w14:textFill>
                  <w14:solidFill>
                    <w14:schemeClr w14:val="tx1"/>
                  </w14:solidFill>
                </w14:textFill>
              </w:rPr>
              <w:t>不进行</w:t>
            </w:r>
          </w:p>
          <w:p w14:paraId="05591029">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14:textFill>
                  <w14:solidFill>
                    <w14:schemeClr w14:val="tx1"/>
                  </w14:solidFill>
                </w14:textFill>
              </w:rPr>
              <w:t>进行</w:t>
            </w:r>
          </w:p>
        </w:tc>
      </w:tr>
      <w:tr w14:paraId="7C90B37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1EEF6B23">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w:t>
            </w:r>
          </w:p>
        </w:tc>
        <w:tc>
          <w:tcPr>
            <w:tcW w:w="1180" w:type="pct"/>
            <w:shd w:val="clear" w:color="auto" w:fill="auto"/>
            <w:vAlign w:val="center"/>
          </w:tcPr>
          <w:p w14:paraId="61EDE02D">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开启时间和地点</w:t>
            </w:r>
          </w:p>
        </w:tc>
        <w:tc>
          <w:tcPr>
            <w:tcW w:w="3328" w:type="pct"/>
            <w:shd w:val="clear" w:color="auto" w:fill="auto"/>
            <w:vAlign w:val="center"/>
          </w:tcPr>
          <w:p w14:paraId="7DBDFC9B">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详见第一章“竞争性磋商公告”</w:t>
            </w:r>
          </w:p>
        </w:tc>
      </w:tr>
      <w:tr w14:paraId="4A421F0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5642422F">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w:t>
            </w:r>
          </w:p>
        </w:tc>
        <w:tc>
          <w:tcPr>
            <w:tcW w:w="1180" w:type="pct"/>
            <w:shd w:val="clear" w:color="auto" w:fill="auto"/>
            <w:vAlign w:val="center"/>
          </w:tcPr>
          <w:p w14:paraId="46F1F072">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解密响应文件的时限</w:t>
            </w:r>
          </w:p>
        </w:tc>
        <w:tc>
          <w:tcPr>
            <w:tcW w:w="3328" w:type="pct"/>
            <w:shd w:val="clear" w:color="auto" w:fill="auto"/>
            <w:vAlign w:val="center"/>
          </w:tcPr>
          <w:p w14:paraId="4AA22A6B">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30分钟，若遇到系统异常情况，采购代理机构须经监督人员同意后可延长解密时间。</w:t>
            </w:r>
          </w:p>
        </w:tc>
      </w:tr>
      <w:tr w14:paraId="6719913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65ACB59E">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30.2</w:t>
            </w:r>
          </w:p>
        </w:tc>
        <w:tc>
          <w:tcPr>
            <w:tcW w:w="1180" w:type="pct"/>
            <w:shd w:val="clear" w:color="auto" w:fill="auto"/>
            <w:vAlign w:val="center"/>
          </w:tcPr>
          <w:p w14:paraId="2DC04E15">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推荐成交候选人</w:t>
            </w:r>
          </w:p>
        </w:tc>
        <w:tc>
          <w:tcPr>
            <w:tcW w:w="3328" w:type="pct"/>
            <w:shd w:val="clear" w:color="auto" w:fill="auto"/>
            <w:vAlign w:val="center"/>
          </w:tcPr>
          <w:p w14:paraId="458053BF">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成交候选人数量：3家</w:t>
            </w:r>
          </w:p>
        </w:tc>
      </w:tr>
      <w:tr w14:paraId="33479D6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5AE5BC9B">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w:t>
            </w:r>
          </w:p>
        </w:tc>
        <w:tc>
          <w:tcPr>
            <w:tcW w:w="1180" w:type="pct"/>
            <w:shd w:val="clear" w:color="auto" w:fill="auto"/>
            <w:vAlign w:val="center"/>
          </w:tcPr>
          <w:p w14:paraId="3A817248">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确定成交人</w:t>
            </w:r>
          </w:p>
        </w:tc>
        <w:tc>
          <w:tcPr>
            <w:tcW w:w="3328" w:type="pct"/>
            <w:shd w:val="clear" w:color="auto" w:fill="auto"/>
            <w:vAlign w:val="center"/>
          </w:tcPr>
          <w:p w14:paraId="130A042F">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FE"/>
            </w:r>
            <w:r>
              <w:rPr>
                <w:rFonts w:hint="eastAsia" w:ascii="宋体" w:hAnsi="宋体" w:eastAsia="宋体" w:cs="宋体"/>
                <w:color w:val="000000" w:themeColor="text1"/>
                <w:sz w:val="24"/>
                <w:szCs w:val="24"/>
                <w:highlight w:val="none"/>
                <w14:textFill>
                  <w14:solidFill>
                    <w14:schemeClr w14:val="tx1"/>
                  </w14:solidFill>
                </w14:textFill>
              </w:rPr>
              <w:t>采购人按评审报告中推荐的成交候选人排序确定成交人。</w:t>
            </w:r>
          </w:p>
          <w:p w14:paraId="024F3241">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14:textFill>
                  <w14:solidFill>
                    <w14:schemeClr w14:val="tx1"/>
                  </w14:solidFill>
                </w14:textFill>
              </w:rPr>
              <w:t>采购人委托磋商小组直接确定成交人。</w:t>
            </w:r>
          </w:p>
        </w:tc>
      </w:tr>
      <w:tr w14:paraId="6F7B3E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5D6EAF05">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w:t>
            </w:r>
          </w:p>
        </w:tc>
        <w:tc>
          <w:tcPr>
            <w:tcW w:w="1180" w:type="pct"/>
            <w:shd w:val="clear" w:color="auto" w:fill="auto"/>
            <w:vAlign w:val="center"/>
          </w:tcPr>
          <w:p w14:paraId="7A3D368B">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成交结果公告</w:t>
            </w:r>
          </w:p>
        </w:tc>
        <w:tc>
          <w:tcPr>
            <w:tcW w:w="3328" w:type="pct"/>
            <w:shd w:val="clear" w:color="auto" w:fill="auto"/>
            <w:vAlign w:val="center"/>
          </w:tcPr>
          <w:p w14:paraId="196269A3">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公告媒介：云南省政府采购网（http://www.ccgp-yunnan.gov.cn/）</w:t>
            </w:r>
          </w:p>
        </w:tc>
      </w:tr>
      <w:tr w14:paraId="3A781A3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66197563">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34.1</w:t>
            </w:r>
          </w:p>
        </w:tc>
        <w:tc>
          <w:tcPr>
            <w:tcW w:w="1180" w:type="pct"/>
            <w:shd w:val="clear" w:color="auto" w:fill="auto"/>
            <w:vAlign w:val="center"/>
          </w:tcPr>
          <w:p w14:paraId="79B93C7D">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履约保证金</w:t>
            </w:r>
          </w:p>
        </w:tc>
        <w:tc>
          <w:tcPr>
            <w:tcW w:w="3328" w:type="pct"/>
            <w:shd w:val="clear" w:color="auto" w:fill="auto"/>
            <w:vAlign w:val="center"/>
          </w:tcPr>
          <w:p w14:paraId="10373BC7">
            <w:pPr>
              <w:ind w:firstLine="0" w:firstLineChars="0"/>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履约担保的方式及期限:</w:t>
            </w:r>
            <w:r>
              <w:rPr>
                <w:rFonts w:hint="eastAsia" w:ascii="宋体" w:hAnsi="宋体" w:eastAsia="宋体" w:cs="宋体"/>
                <w:b/>
                <w:bCs/>
                <w:color w:val="000000" w:themeColor="text1"/>
                <w:sz w:val="24"/>
                <w:szCs w:val="24"/>
                <w:highlight w:val="none"/>
                <w:u w:val="single"/>
                <w14:textFill>
                  <w14:solidFill>
                    <w14:schemeClr w14:val="tx1"/>
                  </w14:solidFill>
                </w14:textFill>
              </w:rPr>
              <w:t>网上银行转账</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single"/>
                <w14:textFill>
                  <w14:solidFill>
                    <w14:schemeClr w14:val="tx1"/>
                  </w14:solidFill>
                </w14:textFill>
              </w:rPr>
              <w:t>保函</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single"/>
                <w14:textFill>
                  <w14:solidFill>
                    <w14:schemeClr w14:val="tx1"/>
                  </w14:solidFill>
                </w14:textFill>
              </w:rPr>
              <w:t>支票</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single"/>
                <w14:textFill>
                  <w14:solidFill>
                    <w14:schemeClr w14:val="tx1"/>
                  </w14:solidFill>
                </w14:textFill>
              </w:rPr>
              <w:t>汇票</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w:t>
            </w:r>
          </w:p>
          <w:p w14:paraId="52528C55">
            <w:pPr>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本票</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等形式</w:t>
            </w:r>
            <w:r>
              <w:rPr>
                <w:rFonts w:hint="eastAsia" w:ascii="宋体" w:hAnsi="宋体" w:eastAsia="宋体" w:cs="宋体"/>
                <w:b/>
                <w:bCs/>
                <w:color w:val="000000" w:themeColor="text1"/>
                <w:sz w:val="24"/>
                <w:szCs w:val="24"/>
                <w:highlight w:val="none"/>
                <w:u w:val="single"/>
                <w14:textFill>
                  <w14:solidFill>
                    <w14:schemeClr w14:val="tx1"/>
                  </w14:solidFill>
                </w14:textFill>
              </w:rPr>
              <w:t>(合同签订之日起</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u w:val="single"/>
                <w14:textFill>
                  <w14:solidFill>
                    <w14:schemeClr w14:val="tx1"/>
                  </w14:solidFill>
                </w14:textFill>
              </w:rPr>
              <w:t>个工作日内提供)。</w:t>
            </w:r>
          </w:p>
          <w:p w14:paraId="43DE7BB6">
            <w:pPr>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金额:</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合同金额的5%</w:t>
            </w:r>
            <w:r>
              <w:rPr>
                <w:rFonts w:hint="eastAsia" w:ascii="宋体" w:hAnsi="宋体" w:eastAsia="宋体" w:cs="宋体"/>
                <w:b/>
                <w:bCs/>
                <w:color w:val="000000" w:themeColor="text1"/>
                <w:sz w:val="24"/>
                <w:szCs w:val="24"/>
                <w:highlight w:val="none"/>
                <w:u w:val="single"/>
                <w14:textFill>
                  <w14:solidFill>
                    <w14:schemeClr w14:val="tx1"/>
                  </w14:solidFill>
                </w14:textFill>
              </w:rPr>
              <w:t>。</w:t>
            </w:r>
          </w:p>
          <w:p w14:paraId="493CBEFF">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期限:</w:t>
            </w:r>
            <w:r>
              <w:rPr>
                <w:rFonts w:hint="eastAsia" w:ascii="宋体" w:hAnsi="宋体" w:eastAsia="宋体" w:cs="宋体"/>
                <w:b/>
                <w:bCs/>
                <w:color w:val="000000" w:themeColor="text1"/>
                <w:sz w:val="24"/>
                <w:szCs w:val="24"/>
                <w:highlight w:val="none"/>
                <w:u w:val="single"/>
                <w14:textFill>
                  <w14:solidFill>
                    <w14:schemeClr w14:val="tx1"/>
                  </w14:solidFill>
                </w14:textFill>
              </w:rPr>
              <w:t>承包人保证其履约担保在发包人竣工验收合格前一直有效，因承包人原因导致工期延长的，继续提供履约担保，所增加的费用由承包人承担。</w:t>
            </w:r>
          </w:p>
        </w:tc>
      </w:tr>
      <w:tr w14:paraId="13EF6D4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2C92D187">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39.1</w:t>
            </w:r>
          </w:p>
        </w:tc>
        <w:tc>
          <w:tcPr>
            <w:tcW w:w="1180" w:type="pct"/>
            <w:shd w:val="clear" w:color="auto" w:fill="auto"/>
            <w:vAlign w:val="center"/>
          </w:tcPr>
          <w:p w14:paraId="177CF333">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成交服务费收取方式和标准</w:t>
            </w:r>
          </w:p>
        </w:tc>
        <w:tc>
          <w:tcPr>
            <w:tcW w:w="3328" w:type="pct"/>
            <w:shd w:val="clear" w:color="auto" w:fill="auto"/>
            <w:vAlign w:val="center"/>
          </w:tcPr>
          <w:p w14:paraId="2F8AA61F">
            <w:pPr>
              <w:pStyle w:val="21"/>
              <w:ind w:firstLine="480"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成交服务费费根据采购人和采购代理机构签署的委托代理协议书约定：</w:t>
            </w:r>
            <w:r>
              <w:rPr>
                <w:rFonts w:hint="eastAsia" w:ascii="宋体" w:hAnsi="宋体" w:eastAsia="宋体" w:cs="宋体"/>
                <w:color w:val="000000" w:themeColor="text1"/>
                <w:sz w:val="24"/>
                <w:szCs w:val="24"/>
                <w:highlight w:val="none"/>
                <w:lang w:val="zh-CN"/>
                <w14:textFill>
                  <w14:solidFill>
                    <w14:schemeClr w14:val="tx1"/>
                  </w14:solidFill>
                </w14:textFill>
              </w:rPr>
              <w:t>按照云南省建设工程招标投标行业协会关于印发《云南省建设工程招标代理服务收费参考意见》的通知（云建招协〔2024〕58号）规定的计费标准为基础下浮</w:t>
            </w:r>
            <w:r>
              <w:rPr>
                <w:rFonts w:hint="eastAsia" w:ascii="宋体" w:hAnsi="宋体" w:eastAsia="宋体" w:cs="宋体"/>
                <w:color w:val="000000" w:themeColor="text1"/>
                <w:sz w:val="24"/>
                <w:szCs w:val="24"/>
                <w:highlight w:val="none"/>
                <w14:textFill>
                  <w14:solidFill>
                    <w14:schemeClr w14:val="tx1"/>
                  </w14:solidFill>
                </w14:textFill>
              </w:rPr>
              <w:t>20%收取，由</w:t>
            </w:r>
            <w:r>
              <w:rPr>
                <w:rFonts w:hint="eastAsia" w:ascii="宋体" w:hAnsi="宋体" w:eastAsia="宋体" w:cs="宋体"/>
                <w:color w:val="000000" w:themeColor="text1"/>
                <w:sz w:val="24"/>
                <w:szCs w:val="24"/>
                <w:highlight w:val="none"/>
                <w:lang w:eastAsia="zh-CN"/>
                <w14:textFill>
                  <w14:solidFill>
                    <w14:schemeClr w14:val="tx1"/>
                  </w14:solidFill>
                </w14:textFill>
              </w:rPr>
              <w:t>成交人</w:t>
            </w:r>
            <w:r>
              <w:rPr>
                <w:rFonts w:hint="eastAsia" w:ascii="宋体" w:hAnsi="宋体" w:eastAsia="宋体" w:cs="宋体"/>
                <w:color w:val="000000" w:themeColor="text1"/>
                <w:sz w:val="24"/>
                <w:szCs w:val="24"/>
                <w:highlight w:val="none"/>
                <w14:textFill>
                  <w14:solidFill>
                    <w14:schemeClr w14:val="tx1"/>
                  </w14:solidFill>
                </w14:textFill>
              </w:rPr>
              <w:t>在领取</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通知书前向采购代理机构缴纳。</w:t>
            </w:r>
          </w:p>
          <w:p w14:paraId="7513CEBF">
            <w:pPr>
              <w:pStyle w:val="21"/>
              <w:ind w:firstLine="482" w:firstLineChars="200"/>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注：请各供应商在进行报价时充分考虑此部分费用，该项费用包含在报价中但不单独列项。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若为联合体参加磋商，由联合体牵头人负责向采购代理机构缴纳。</w:t>
            </w:r>
          </w:p>
        </w:tc>
      </w:tr>
      <w:tr w14:paraId="05C5AE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633FE1E1">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42.1</w:t>
            </w:r>
          </w:p>
        </w:tc>
        <w:tc>
          <w:tcPr>
            <w:tcW w:w="1180" w:type="pct"/>
            <w:shd w:val="clear" w:color="auto" w:fill="auto"/>
            <w:vAlign w:val="center"/>
          </w:tcPr>
          <w:p w14:paraId="24C97192">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是否接受进口产品</w:t>
            </w:r>
          </w:p>
        </w:tc>
        <w:tc>
          <w:tcPr>
            <w:tcW w:w="3328" w:type="pct"/>
            <w:shd w:val="clear" w:color="auto" w:fill="auto"/>
            <w:vAlign w:val="center"/>
          </w:tcPr>
          <w:p w14:paraId="5F16B90A">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FE"/>
            </w:r>
            <w:r>
              <w:rPr>
                <w:rFonts w:hint="eastAsia" w:ascii="宋体" w:hAnsi="宋体" w:eastAsia="宋体" w:cs="宋体"/>
                <w:color w:val="000000" w:themeColor="text1"/>
                <w:sz w:val="24"/>
                <w:szCs w:val="24"/>
                <w:highlight w:val="none"/>
                <w14:textFill>
                  <w14:solidFill>
                    <w14:schemeClr w14:val="tx1"/>
                  </w14:solidFill>
                </w14:textFill>
              </w:rPr>
              <w:t xml:space="preserve">不接受 </w:t>
            </w:r>
            <w:r>
              <w:rPr>
                <w:rFonts w:hint="eastAsia" w:ascii="宋体" w:hAnsi="宋体" w:eastAsia="宋体" w:cs="宋体"/>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lang w:val="zh-CN"/>
                <w14:textFill>
                  <w14:solidFill>
                    <w14:schemeClr w14:val="tx1"/>
                  </w14:solidFill>
                </w14:textFill>
              </w:rPr>
              <w:t>接受</w:t>
            </w:r>
          </w:p>
        </w:tc>
      </w:tr>
      <w:tr w14:paraId="7F565F6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shd w:val="clear" w:color="auto" w:fill="auto"/>
            <w:vAlign w:val="center"/>
          </w:tcPr>
          <w:p w14:paraId="0BB1B330">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43.1</w:t>
            </w:r>
          </w:p>
        </w:tc>
        <w:tc>
          <w:tcPr>
            <w:tcW w:w="1180" w:type="pct"/>
            <w:shd w:val="clear" w:color="auto" w:fill="auto"/>
            <w:vAlign w:val="center"/>
          </w:tcPr>
          <w:p w14:paraId="3B33E2D9">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支持中小企业政策</w:t>
            </w:r>
          </w:p>
        </w:tc>
        <w:tc>
          <w:tcPr>
            <w:tcW w:w="3328" w:type="pct"/>
            <w:shd w:val="clear" w:color="auto" w:fill="auto"/>
            <w:vAlign w:val="center"/>
          </w:tcPr>
          <w:p w14:paraId="50927154">
            <w:pPr>
              <w:pStyle w:val="21"/>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sym w:font="Wingdings" w:char="00FE"/>
            </w:r>
            <w:r>
              <w:rPr>
                <w:rFonts w:hint="eastAsia" w:ascii="宋体" w:hAnsi="宋体" w:eastAsia="宋体" w:cs="宋体"/>
                <w:b/>
                <w:bCs/>
                <w:color w:val="000000" w:themeColor="text1"/>
                <w:sz w:val="24"/>
                <w:szCs w:val="24"/>
                <w:highlight w:val="none"/>
                <w14:textFill>
                  <w14:solidFill>
                    <w14:schemeClr w14:val="tx1"/>
                  </w14:solidFill>
                </w14:textFill>
              </w:rPr>
              <w:t>属于专门面向中小企业的项目</w:t>
            </w:r>
            <w:r>
              <w:rPr>
                <w:rFonts w:hint="eastAsia" w:ascii="宋体" w:hAnsi="宋体" w:eastAsia="宋体" w:cs="宋体"/>
                <w:color w:val="000000" w:themeColor="text1"/>
                <w:sz w:val="24"/>
                <w:szCs w:val="24"/>
                <w:highlight w:val="none"/>
                <w:lang w:eastAsia="zh-CN"/>
                <w14:textFill>
                  <w14:solidFill>
                    <w14:schemeClr w14:val="tx1"/>
                  </w14:solidFill>
                </w14:textFill>
              </w:rPr>
              <w:t>：评审时不再进行价格扣除。</w:t>
            </w:r>
          </w:p>
          <w:p w14:paraId="212B4283">
            <w:pPr>
              <w:pStyle w:val="21"/>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sym w:font="Wingdings" w:char="00A8"/>
            </w:r>
            <w:r>
              <w:rPr>
                <w:rFonts w:hint="eastAsia" w:ascii="宋体" w:hAnsi="宋体" w:eastAsia="宋体" w:cs="宋体"/>
                <w:b w:val="0"/>
                <w:bCs w:val="0"/>
                <w:color w:val="000000" w:themeColor="text1"/>
                <w:sz w:val="24"/>
                <w:szCs w:val="24"/>
                <w:highlight w:val="none"/>
                <w14:textFill>
                  <w14:solidFill>
                    <w14:schemeClr w14:val="tx1"/>
                  </w14:solidFill>
                </w14:textFill>
              </w:rPr>
              <w:t>不属于专门面向中小企业的项目</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694BBEA2">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（1）对于未预留份额专门面向中小企业采购的采购项目，以及预留份额项目中的非预留部分采购包，对小微企业报价给予比例扣除，价格扣除比例为：</w:t>
            </w:r>
            <w:r>
              <w:rPr>
                <w:rFonts w:hint="eastAsia" w:ascii="宋体" w:hAnsi="宋体" w:eastAsia="宋体" w:cs="宋体"/>
                <w:b/>
                <w:bCs/>
                <w:color w:val="000000" w:themeColor="text1"/>
                <w:sz w:val="24"/>
                <w:szCs w:val="24"/>
                <w:highlight w:val="none"/>
                <w:u w:val="single"/>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p>
          <w:p w14:paraId="19DD4317">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b/>
                <w:bCs/>
                <w:color w:val="000000" w:themeColor="text1"/>
                <w:sz w:val="24"/>
                <w:szCs w:val="24"/>
                <w:highlight w:val="none"/>
                <w:u w:val="single"/>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以上的，对联合体或者大中型企业的报价给予比例扣除，价格扣除比例为：</w:t>
            </w:r>
            <w:r>
              <w:rPr>
                <w:rFonts w:hint="eastAsia" w:ascii="宋体" w:hAnsi="宋体" w:eastAsia="宋体" w:cs="宋体"/>
                <w:b/>
                <w:bCs/>
                <w:color w:val="000000" w:themeColor="text1"/>
                <w:sz w:val="24"/>
                <w:szCs w:val="24"/>
                <w:highlight w:val="none"/>
                <w:u w:val="single"/>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；【如适用</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w:t>
            </w:r>
            <w:r>
              <w:rPr>
                <w:rFonts w:hint="eastAsia" w:ascii="宋体" w:hAnsi="宋体" w:eastAsia="宋体" w:cs="宋体"/>
                <w:color w:val="000000" w:themeColor="text1"/>
                <w:sz w:val="24"/>
                <w:szCs w:val="24"/>
                <w:highlight w:val="none"/>
                <w14:textFill>
                  <w14:solidFill>
                    <w14:schemeClr w14:val="tx1"/>
                  </w14:solidFill>
                </w14:textFill>
              </w:rPr>
              <w:t>】</w:t>
            </w:r>
          </w:p>
          <w:p w14:paraId="586394F5">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（3）本次采购标的名称对应的中小企业划分标准所属行业：详见“第三章 采购需求”。中小企业应当提供《中小企业声明函》（详见本竞争性磋商文件第六章 响应文件的格式），否则在评审时不享受上述评审优惠。</w:t>
            </w:r>
          </w:p>
        </w:tc>
      </w:tr>
      <w:tr w14:paraId="45777E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490" w:type="pct"/>
            <w:tcBorders>
              <w:right w:val="single" w:color="auto" w:sz="4" w:space="0"/>
            </w:tcBorders>
            <w:shd w:val="clear" w:color="auto" w:fill="auto"/>
            <w:vAlign w:val="center"/>
          </w:tcPr>
          <w:p w14:paraId="2F9701E8">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45.1</w:t>
            </w:r>
          </w:p>
        </w:tc>
        <w:tc>
          <w:tcPr>
            <w:tcW w:w="1180" w:type="pct"/>
            <w:tcBorders>
              <w:right w:val="single" w:color="auto" w:sz="4" w:space="0"/>
            </w:tcBorders>
            <w:shd w:val="clear" w:color="auto" w:fill="auto"/>
            <w:vAlign w:val="center"/>
          </w:tcPr>
          <w:p w14:paraId="4F30F520">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需要补充的其他</w:t>
            </w:r>
          </w:p>
          <w:p w14:paraId="2438B048">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内容</w:t>
            </w:r>
          </w:p>
        </w:tc>
        <w:tc>
          <w:tcPr>
            <w:tcW w:w="3328" w:type="pct"/>
            <w:tcBorders>
              <w:left w:val="single" w:color="auto" w:sz="4" w:space="0"/>
            </w:tcBorders>
            <w:shd w:val="clear" w:color="auto" w:fill="auto"/>
            <w:vAlign w:val="center"/>
          </w:tcPr>
          <w:p w14:paraId="0D064AFD">
            <w:pPr>
              <w:pStyle w:val="21"/>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竞争性磋商文件中所有带★要求均为实质性要求，响应文件须满足或优于竞争性磋商文件中带“★”条款的要求，否则按照磋商申请无效处理。</w:t>
            </w:r>
          </w:p>
        </w:tc>
      </w:tr>
      <w:tr w14:paraId="6843B1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000" w:type="pct"/>
            <w:gridSpan w:val="3"/>
            <w:shd w:val="clear" w:color="auto" w:fill="auto"/>
            <w:vAlign w:val="center"/>
          </w:tcPr>
          <w:p w14:paraId="143C4C31">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竞争性磋商文件所称的“以上”、“以下”、“内”、“以内”，包括本数；所称的“不足”，不包括本数。2.本表是对供应商须知的具体补充和修改，如有矛盾，均以本资料表为准。标记☑的选项意为适用于本项目，标记□的选项意为不适用于本项目。</w:t>
            </w:r>
          </w:p>
        </w:tc>
      </w:tr>
    </w:tbl>
    <w:p w14:paraId="080D4E1B">
      <w:pPr>
        <w:ind w:firstLine="560"/>
        <w:rPr>
          <w:rFonts w:hint="eastAsia" w:ascii="宋体" w:hAnsi="宋体" w:eastAsia="宋体" w:cs="宋体"/>
          <w:color w:val="000000" w:themeColor="text1"/>
          <w:highlight w:val="none"/>
          <w14:textFill>
            <w14:solidFill>
              <w14:schemeClr w14:val="tx1"/>
            </w14:solidFill>
          </w14:textFill>
        </w:rPr>
      </w:pPr>
      <w:bookmarkStart w:id="105" w:name="_Toc1845967751"/>
      <w:bookmarkStart w:id="106" w:name="_Toc163492821"/>
      <w:bookmarkStart w:id="107" w:name="_Toc155185869"/>
      <w:bookmarkStart w:id="108" w:name="_Toc1641666494"/>
      <w:r>
        <w:rPr>
          <w:rFonts w:hint="eastAsia" w:ascii="宋体" w:hAnsi="宋体" w:eastAsia="宋体" w:cs="宋体"/>
          <w:color w:val="000000" w:themeColor="text1"/>
          <w:highlight w:val="none"/>
          <w14:textFill>
            <w14:solidFill>
              <w14:schemeClr w14:val="tx1"/>
            </w14:solidFill>
          </w14:textFill>
        </w:rPr>
        <w:br w:type="page"/>
      </w:r>
    </w:p>
    <w:p w14:paraId="017A0B19">
      <w:pPr>
        <w:pStyle w:val="3"/>
        <w:ind w:firstLine="643"/>
        <w:rPr>
          <w:rFonts w:hint="eastAsia" w:ascii="宋体" w:hAnsi="宋体" w:eastAsia="宋体" w:cs="宋体"/>
          <w:color w:val="000000" w:themeColor="text1"/>
          <w:highlight w:val="none"/>
          <w14:textFill>
            <w14:solidFill>
              <w14:schemeClr w14:val="tx1"/>
            </w14:solidFill>
          </w14:textFill>
        </w:rPr>
      </w:pPr>
      <w:bookmarkStart w:id="109" w:name="_Toc11154"/>
      <w:bookmarkStart w:id="110" w:name="_Toc25222"/>
      <w:r>
        <w:rPr>
          <w:rFonts w:hint="eastAsia" w:ascii="宋体" w:hAnsi="宋体" w:eastAsia="宋体" w:cs="宋体"/>
          <w:color w:val="000000" w:themeColor="text1"/>
          <w:highlight w:val="none"/>
          <w14:textFill>
            <w14:solidFill>
              <w14:schemeClr w14:val="tx1"/>
            </w14:solidFill>
          </w14:textFill>
        </w:rPr>
        <w:t>二、供应商须知</w:t>
      </w:r>
      <w:bookmarkEnd w:id="105"/>
      <w:bookmarkEnd w:id="106"/>
      <w:bookmarkEnd w:id="107"/>
      <w:bookmarkEnd w:id="108"/>
      <w:bookmarkEnd w:id="109"/>
      <w:bookmarkEnd w:id="110"/>
    </w:p>
    <w:p w14:paraId="420874C8">
      <w:pPr>
        <w:pStyle w:val="4"/>
        <w:ind w:firstLine="562"/>
        <w:rPr>
          <w:rFonts w:hint="eastAsia" w:ascii="宋体" w:hAnsi="宋体" w:eastAsia="宋体" w:cs="宋体"/>
          <w:color w:val="000000" w:themeColor="text1"/>
          <w:highlight w:val="none"/>
          <w14:textFill>
            <w14:solidFill>
              <w14:schemeClr w14:val="tx1"/>
            </w14:solidFill>
          </w14:textFill>
        </w:rPr>
      </w:pPr>
      <w:bookmarkStart w:id="111" w:name="_Toc519467643"/>
      <w:bookmarkStart w:id="112" w:name="_Toc12191"/>
      <w:bookmarkStart w:id="113" w:name="_Toc163492822"/>
      <w:bookmarkStart w:id="114" w:name="_Toc155185870"/>
      <w:bookmarkStart w:id="115" w:name="_Toc19839"/>
      <w:bookmarkStart w:id="116" w:name="_Toc869452300"/>
      <w:bookmarkStart w:id="117" w:name="_Toc26668"/>
      <w:bookmarkStart w:id="118" w:name="_Toc21867"/>
      <w:r>
        <w:rPr>
          <w:rFonts w:hint="eastAsia" w:ascii="宋体" w:hAnsi="宋体" w:eastAsia="宋体" w:cs="宋体"/>
          <w:color w:val="000000" w:themeColor="text1"/>
          <w:highlight w:val="none"/>
          <w14:textFill>
            <w14:solidFill>
              <w14:schemeClr w14:val="tx1"/>
            </w14:solidFill>
          </w14:textFill>
        </w:rPr>
        <w:t>（一）总则</w:t>
      </w:r>
      <w:bookmarkEnd w:id="111"/>
      <w:bookmarkEnd w:id="112"/>
      <w:bookmarkEnd w:id="113"/>
      <w:bookmarkEnd w:id="114"/>
      <w:bookmarkEnd w:id="115"/>
      <w:bookmarkEnd w:id="116"/>
      <w:bookmarkEnd w:id="117"/>
      <w:bookmarkEnd w:id="118"/>
    </w:p>
    <w:p w14:paraId="5974E70F">
      <w:pPr>
        <w:pStyle w:val="5"/>
        <w:ind w:firstLine="562"/>
        <w:rPr>
          <w:rFonts w:hint="eastAsia" w:ascii="宋体" w:hAnsi="宋体" w:eastAsia="宋体" w:cs="宋体"/>
          <w:color w:val="000000" w:themeColor="text1"/>
          <w:highlight w:val="none"/>
          <w14:textFill>
            <w14:solidFill>
              <w14:schemeClr w14:val="tx1"/>
            </w14:solidFill>
          </w14:textFill>
        </w:rPr>
      </w:pPr>
      <w:bookmarkStart w:id="119" w:name="_Toc109897532"/>
      <w:bookmarkStart w:id="120" w:name="_Toc109900050"/>
      <w:bookmarkStart w:id="121" w:name="_Toc109899631"/>
      <w:bookmarkStart w:id="122" w:name="_Toc155095689"/>
      <w:bookmarkStart w:id="123" w:name="_Toc163492823"/>
      <w:bookmarkStart w:id="124" w:name="_Toc109900469"/>
      <w:bookmarkStart w:id="125" w:name="_Toc31233"/>
      <w:r>
        <w:rPr>
          <w:rFonts w:hint="eastAsia" w:ascii="宋体" w:hAnsi="宋体" w:eastAsia="宋体" w:cs="宋体"/>
          <w:color w:val="000000" w:themeColor="text1"/>
          <w:highlight w:val="none"/>
          <w14:textFill>
            <w14:solidFill>
              <w14:schemeClr w14:val="tx1"/>
            </w14:solidFill>
          </w14:textFill>
        </w:rPr>
        <w:t>1.适用范围</w:t>
      </w:r>
      <w:bookmarkEnd w:id="119"/>
      <w:bookmarkEnd w:id="120"/>
      <w:bookmarkEnd w:id="121"/>
      <w:bookmarkEnd w:id="122"/>
      <w:bookmarkEnd w:id="123"/>
      <w:bookmarkEnd w:id="124"/>
      <w:bookmarkEnd w:id="125"/>
    </w:p>
    <w:p w14:paraId="74D11DE9">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 本竞争性磋商文件仅适用于本次竞争性磋商中所述项目的采购活动。</w:t>
      </w:r>
    </w:p>
    <w:p w14:paraId="15757054">
      <w:pPr>
        <w:pStyle w:val="5"/>
        <w:ind w:firstLine="562"/>
        <w:rPr>
          <w:rFonts w:hint="eastAsia" w:ascii="宋体" w:hAnsi="宋体" w:eastAsia="宋体" w:cs="宋体"/>
          <w:color w:val="000000" w:themeColor="text1"/>
          <w:highlight w:val="none"/>
          <w14:textFill>
            <w14:solidFill>
              <w14:schemeClr w14:val="tx1"/>
            </w14:solidFill>
          </w14:textFill>
        </w:rPr>
      </w:pPr>
      <w:bookmarkStart w:id="126" w:name="_Toc163492824"/>
      <w:r>
        <w:rPr>
          <w:rFonts w:hint="eastAsia" w:ascii="宋体" w:hAnsi="宋体" w:eastAsia="宋体" w:cs="宋体"/>
          <w:color w:val="000000" w:themeColor="text1"/>
          <w:highlight w:val="none"/>
          <w14:textFill>
            <w14:solidFill>
              <w14:schemeClr w14:val="tx1"/>
            </w14:solidFill>
          </w14:textFill>
        </w:rPr>
        <w:t>2.基本定义</w:t>
      </w:r>
      <w:bookmarkEnd w:id="126"/>
    </w:p>
    <w:p w14:paraId="55630395">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 根据《中华人民共和国政府采购法》及其实施条例等有关法律、法规和规章的规定，制定本竞争性磋商文件。</w:t>
      </w:r>
    </w:p>
    <w:p w14:paraId="528D4664">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 采购人：见“供应商须知前附表”。</w:t>
      </w:r>
    </w:p>
    <w:p w14:paraId="10D24D50">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2.3 采购代理机构：见“供应商须知前附表”。</w:t>
      </w:r>
    </w:p>
    <w:p w14:paraId="6EECA783">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2.4 政府采购监督管理部门：见“供应商须知前附表”。</w:t>
      </w:r>
    </w:p>
    <w:p w14:paraId="07E3484D">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 项目名称：见“供应商须知前附表”。</w:t>
      </w:r>
    </w:p>
    <w:p w14:paraId="35596141">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2.6 项目地点：见“供应商须知前附表”。</w:t>
      </w:r>
    </w:p>
    <w:p w14:paraId="40F4C5B1">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2.7 采购需求：见“供应商须知前附表”。</w:t>
      </w:r>
    </w:p>
    <w:p w14:paraId="0950F14B">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2.8 质量要求：见“供应商须知前附表”</w:t>
      </w:r>
      <w:bookmarkStart w:id="127" w:name="_Toc163492825"/>
      <w:bookmarkStart w:id="128" w:name="_Toc140132758"/>
      <w:r>
        <w:rPr>
          <w:rFonts w:hint="eastAsia" w:ascii="宋体" w:hAnsi="宋体" w:eastAsia="宋体" w:cs="宋体"/>
          <w:color w:val="000000" w:themeColor="text1"/>
          <w:highlight w:val="none"/>
          <w14:textFill>
            <w14:solidFill>
              <w14:schemeClr w14:val="tx1"/>
            </w14:solidFill>
          </w14:textFill>
        </w:rPr>
        <w:t>。</w:t>
      </w:r>
    </w:p>
    <w:p w14:paraId="335D1C04">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2.9</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合同履行期限：见“供应商须知前附表”。</w:t>
      </w:r>
    </w:p>
    <w:p w14:paraId="0145837F">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3.资金来源</w:t>
      </w:r>
      <w:bookmarkEnd w:id="127"/>
      <w:bookmarkEnd w:id="128"/>
    </w:p>
    <w:p w14:paraId="62D249EB">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资金来源：见“供应商须知前附表”。</w:t>
      </w:r>
    </w:p>
    <w:p w14:paraId="386AB1B6">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29" w:name="_Toc140132760"/>
      <w:bookmarkStart w:id="130" w:name="_Toc163492826"/>
      <w:r>
        <w:rPr>
          <w:rFonts w:hint="eastAsia" w:ascii="宋体" w:hAnsi="宋体" w:eastAsia="宋体" w:cs="宋体"/>
          <w:color w:val="000000" w:themeColor="text1"/>
          <w:highlight w:val="none"/>
          <w14:textFill>
            <w14:solidFill>
              <w14:schemeClr w14:val="tx1"/>
            </w14:solidFill>
          </w14:textFill>
        </w:rPr>
        <w:t>4.供应商资格要求</w:t>
      </w:r>
      <w:bookmarkEnd w:id="129"/>
      <w:bookmarkEnd w:id="130"/>
    </w:p>
    <w:p w14:paraId="7030634A">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供应商资格要求：见“供应商须知前附表”；</w:t>
      </w:r>
    </w:p>
    <w:p w14:paraId="0B5DF55D">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4.2</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“供应商须知前附表”规定接受</w:t>
      </w:r>
      <w:r>
        <w:rPr>
          <w:rFonts w:hint="eastAsia" w:ascii="宋体" w:hAnsi="宋体" w:eastAsia="宋体" w:cs="宋体"/>
          <w:color w:val="000000" w:themeColor="text1"/>
          <w:highlight w:val="none"/>
          <w:lang w:eastAsia="zh-CN"/>
          <w14:textFill>
            <w14:solidFill>
              <w14:schemeClr w14:val="tx1"/>
            </w14:solidFill>
          </w14:textFill>
        </w:rPr>
        <w:t>联合体磋商</w:t>
      </w:r>
      <w:r>
        <w:rPr>
          <w:rFonts w:hint="eastAsia" w:ascii="宋体" w:hAnsi="宋体" w:eastAsia="宋体" w:cs="宋体"/>
          <w:color w:val="000000" w:themeColor="text1"/>
          <w:highlight w:val="none"/>
          <w14:textFill>
            <w14:solidFill>
              <w14:schemeClr w14:val="tx1"/>
            </w14:solidFill>
          </w14:textFill>
        </w:rPr>
        <w:t xml:space="preserve">的，还应遵守以下规定： </w:t>
      </w:r>
    </w:p>
    <w:p w14:paraId="2E9A9E6B">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（1）联合体各方应按竞争性磋商文件提供的格式签订联合体协议书，明确联合体牵头人和各方权利义务；</w:t>
      </w:r>
    </w:p>
    <w:p w14:paraId="7CBC3A19">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（2）由同一专业的单位组成的联合体，按照资质等级较低的单位确定资质等级；</w:t>
      </w:r>
    </w:p>
    <w:p w14:paraId="5C0DB902">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（3）联合体各方不得再以自己名义单独或参加其他联合体在本</w:t>
      </w:r>
      <w:r>
        <w:rPr>
          <w:rFonts w:hint="eastAsia" w:ascii="宋体" w:hAnsi="宋体" w:eastAsia="宋体" w:cs="宋体"/>
          <w:color w:val="000000" w:themeColor="text1"/>
          <w:highlight w:val="none"/>
          <w:lang w:val="en-US"/>
          <w14:textFill>
            <w14:solidFill>
              <w14:schemeClr w14:val="tx1"/>
            </w14:solidFill>
          </w14:textFill>
        </w:rPr>
        <w:t>采购</w:t>
      </w:r>
      <w:r>
        <w:rPr>
          <w:rFonts w:hint="eastAsia" w:ascii="宋体" w:hAnsi="宋体" w:eastAsia="宋体" w:cs="宋体"/>
          <w:color w:val="000000" w:themeColor="text1"/>
          <w:highlight w:val="none"/>
          <w14:textFill>
            <w14:solidFill>
              <w14:schemeClr w14:val="tx1"/>
            </w14:solidFill>
          </w14:textFill>
        </w:rPr>
        <w:t>项目中磋商申请。</w:t>
      </w:r>
    </w:p>
    <w:p w14:paraId="157F592C">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31" w:name="_Toc163492827"/>
      <w:r>
        <w:rPr>
          <w:rFonts w:hint="eastAsia" w:ascii="宋体" w:hAnsi="宋体" w:eastAsia="宋体" w:cs="宋体"/>
          <w:color w:val="000000" w:themeColor="text1"/>
          <w:highlight w:val="none"/>
          <w14:textFill>
            <w14:solidFill>
              <w14:schemeClr w14:val="tx1"/>
            </w14:solidFill>
          </w14:textFill>
        </w:rPr>
        <w:t>5.费用承担</w:t>
      </w:r>
      <w:bookmarkEnd w:id="131"/>
    </w:p>
    <w:p w14:paraId="518C9F7C">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不论磋商申请的结果如何，供应商应承担所有与准备和参加磋商申请有关的费用。</w:t>
      </w:r>
    </w:p>
    <w:p w14:paraId="1ACF4239">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32" w:name="_Toc140132761"/>
      <w:bookmarkStart w:id="133" w:name="_Toc163492828"/>
      <w:r>
        <w:rPr>
          <w:rFonts w:hint="eastAsia" w:ascii="宋体" w:hAnsi="宋体" w:eastAsia="宋体" w:cs="宋体"/>
          <w:color w:val="000000" w:themeColor="text1"/>
          <w:highlight w:val="none"/>
          <w14:textFill>
            <w14:solidFill>
              <w14:schemeClr w14:val="tx1"/>
            </w14:solidFill>
          </w14:textFill>
        </w:rPr>
        <w:t>6.保密</w:t>
      </w:r>
      <w:bookmarkEnd w:id="132"/>
      <w:bookmarkEnd w:id="133"/>
    </w:p>
    <w:p w14:paraId="1C2C46F2">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参与磋商活动的各方应对竞争性磋商文件和响应文件中的商业和技术等秘密保密，否则应承担相应的法律责任。 </w:t>
      </w:r>
    </w:p>
    <w:p w14:paraId="69AA7B44">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34" w:name="_Toc140132762"/>
      <w:bookmarkStart w:id="135" w:name="_Toc163492829"/>
      <w:r>
        <w:rPr>
          <w:rFonts w:hint="eastAsia" w:ascii="宋体" w:hAnsi="宋体" w:eastAsia="宋体" w:cs="宋体"/>
          <w:color w:val="000000" w:themeColor="text1"/>
          <w:highlight w:val="none"/>
          <w14:textFill>
            <w14:solidFill>
              <w14:schemeClr w14:val="tx1"/>
            </w14:solidFill>
          </w14:textFill>
        </w:rPr>
        <w:t>7.语言文字</w:t>
      </w:r>
      <w:bookmarkEnd w:id="134"/>
      <w:bookmarkEnd w:id="135"/>
    </w:p>
    <w:p w14:paraId="4C47D93D">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响应文件使用的语言文字为中文。专用术语使用外文的，应附有中文注释。</w:t>
      </w:r>
    </w:p>
    <w:p w14:paraId="7B65C476">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36" w:name="_Toc140132763"/>
      <w:bookmarkStart w:id="137" w:name="_Toc163492830"/>
      <w:r>
        <w:rPr>
          <w:rFonts w:hint="eastAsia" w:ascii="宋体" w:hAnsi="宋体" w:eastAsia="宋体" w:cs="宋体"/>
          <w:color w:val="000000" w:themeColor="text1"/>
          <w:highlight w:val="none"/>
          <w14:textFill>
            <w14:solidFill>
              <w14:schemeClr w14:val="tx1"/>
            </w14:solidFill>
          </w14:textFill>
        </w:rPr>
        <w:t>8.计量单位</w:t>
      </w:r>
      <w:bookmarkEnd w:id="136"/>
      <w:bookmarkEnd w:id="137"/>
    </w:p>
    <w:p w14:paraId="0A2ED1C4">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8.1所有计量均采用中华人民共和国法定计量单位。</w:t>
      </w:r>
    </w:p>
    <w:p w14:paraId="4131F916">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38" w:name="_Toc163492831"/>
      <w:bookmarkStart w:id="139" w:name="_Toc140132764"/>
      <w:r>
        <w:rPr>
          <w:rFonts w:hint="eastAsia" w:ascii="宋体" w:hAnsi="宋体" w:eastAsia="宋体" w:cs="宋体"/>
          <w:color w:val="000000" w:themeColor="text1"/>
          <w:highlight w:val="none"/>
          <w14:textFill>
            <w14:solidFill>
              <w14:schemeClr w14:val="tx1"/>
            </w14:solidFill>
          </w14:textFill>
        </w:rPr>
        <w:t>9.现场考察和答疑会</w:t>
      </w:r>
      <w:bookmarkEnd w:id="138"/>
      <w:bookmarkEnd w:id="139"/>
    </w:p>
    <w:p w14:paraId="352D9344">
      <w:pPr>
        <w:pStyle w:val="50"/>
        <w:ind w:firstLine="560"/>
        <w:rPr>
          <w:rFonts w:hint="eastAsia" w:ascii="宋体" w:hAnsi="宋体" w:eastAsia="宋体" w:cs="宋体"/>
          <w:color w:val="000000" w:themeColor="text1"/>
          <w:highlight w:val="none"/>
          <w14:textFill>
            <w14:solidFill>
              <w14:schemeClr w14:val="tx1"/>
            </w14:solidFill>
          </w14:textFill>
        </w:rPr>
      </w:pPr>
      <w:bookmarkStart w:id="140" w:name="_Hlk143529198"/>
      <w:r>
        <w:rPr>
          <w:rFonts w:hint="eastAsia" w:ascii="宋体" w:hAnsi="宋体" w:eastAsia="宋体" w:cs="宋体"/>
          <w:color w:val="000000" w:themeColor="text1"/>
          <w:highlight w:val="none"/>
          <w14:textFill>
            <w14:solidFill>
              <w14:schemeClr w14:val="tx1"/>
            </w14:solidFill>
          </w14:textFill>
        </w:rPr>
        <w:t xml:space="preserve">9.1 “供应商须知前附表”规定组织现场考察的，采购代理机构按“供应商须知前附表”规定的时间、地点组织供应商项目现场考察。 </w:t>
      </w:r>
    </w:p>
    <w:p w14:paraId="30775C1D">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9.2 供应商现场考察发生的费用自理。</w:t>
      </w:r>
    </w:p>
    <w:p w14:paraId="6E159827">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9.3 在现场考察中，因供应商自身原因发生的人员伤亡和财产损失，由供应商自行负责。</w:t>
      </w:r>
    </w:p>
    <w:p w14:paraId="4D7B0548">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9.4 采购人在现场考察中介绍的项目场地和相关的周边环境情况，仅供供应商在编制响应文件时参考，采购人和采购代理机构不对供应商据此作出的判断和决策负责。</w:t>
      </w:r>
    </w:p>
    <w:p w14:paraId="03867167">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9.5 “供应商须知前附表”规定召开答疑会的，采购代理机构按“供应商须知前附表”规定的时间和地点召开答疑会，澄清供应商提出的问题。</w:t>
      </w:r>
    </w:p>
    <w:bookmarkEnd w:id="140"/>
    <w:p w14:paraId="57B93284">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41" w:name="_Toc163492832"/>
      <w:bookmarkStart w:id="142" w:name="_Toc140132765"/>
      <w:r>
        <w:rPr>
          <w:rFonts w:hint="eastAsia" w:ascii="宋体" w:hAnsi="宋体" w:eastAsia="宋体" w:cs="宋体"/>
          <w:color w:val="000000" w:themeColor="text1"/>
          <w:highlight w:val="none"/>
          <w14:textFill>
            <w14:solidFill>
              <w14:schemeClr w14:val="tx1"/>
            </w14:solidFill>
          </w14:textFill>
        </w:rPr>
        <w:t>10.成交后分包</w:t>
      </w:r>
      <w:bookmarkEnd w:id="141"/>
      <w:bookmarkEnd w:id="142"/>
    </w:p>
    <w:p w14:paraId="76D3D155">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10.1 “供应商须知前附表”规定允许分包的，供应商应当遵守其分包规定。</w:t>
      </w:r>
    </w:p>
    <w:p w14:paraId="3712B2D9">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10.2 供应商未遵守竞争性磋商文件分包规定的，其</w:t>
      </w:r>
      <w:r>
        <w:rPr>
          <w:rFonts w:hint="eastAsia" w:ascii="宋体" w:hAnsi="宋体" w:eastAsia="宋体" w:cs="宋体"/>
          <w:b/>
          <w:bCs/>
          <w:color w:val="000000" w:themeColor="text1"/>
          <w:highlight w:val="none"/>
          <w14:textFill>
            <w14:solidFill>
              <w14:schemeClr w14:val="tx1"/>
            </w14:solidFill>
          </w14:textFill>
        </w:rPr>
        <w:t>磋商申请无效</w:t>
      </w:r>
      <w:r>
        <w:rPr>
          <w:rFonts w:hint="eastAsia" w:ascii="宋体" w:hAnsi="宋体" w:eastAsia="宋体" w:cs="宋体"/>
          <w:color w:val="000000" w:themeColor="text1"/>
          <w:highlight w:val="none"/>
          <w14:textFill>
            <w14:solidFill>
              <w14:schemeClr w14:val="tx1"/>
            </w14:solidFill>
          </w14:textFill>
        </w:rPr>
        <w:t>。分包规定见“供应商须知前附表”。</w:t>
      </w:r>
    </w:p>
    <w:p w14:paraId="63640A2B">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43" w:name="_Toc163492833"/>
      <w:bookmarkStart w:id="144" w:name="_Toc155185858"/>
      <w:bookmarkStart w:id="145" w:name="_Toc155185871"/>
      <w:r>
        <w:rPr>
          <w:rFonts w:hint="eastAsia" w:ascii="宋体" w:hAnsi="宋体" w:eastAsia="宋体" w:cs="宋体"/>
          <w:color w:val="000000" w:themeColor="text1"/>
          <w:highlight w:val="none"/>
          <w14:textFill>
            <w14:solidFill>
              <w14:schemeClr w14:val="tx1"/>
            </w14:solidFill>
          </w14:textFill>
        </w:rPr>
        <w:t>11.电子投标说明</w:t>
      </w:r>
      <w:bookmarkEnd w:id="143"/>
      <w:bookmarkEnd w:id="144"/>
    </w:p>
    <w:p w14:paraId="0FE6FD93">
      <w:pPr>
        <w:ind w:firstLine="560"/>
        <w:rPr>
          <w:rFonts w:hint="eastAsia" w:ascii="宋体" w:hAnsi="宋体" w:eastAsia="宋体" w:cs="宋体"/>
          <w:color w:val="000000" w:themeColor="text1"/>
          <w:highlight w:val="none"/>
          <w14:textFill>
            <w14:solidFill>
              <w14:schemeClr w14:val="tx1"/>
            </w14:solidFill>
          </w14:textFill>
        </w:rPr>
      </w:pPr>
      <w:bookmarkStart w:id="146" w:name="_Toc163492834"/>
      <w:bookmarkStart w:id="147" w:name="_Toc13916"/>
      <w:r>
        <w:rPr>
          <w:rFonts w:hint="eastAsia" w:ascii="宋体" w:hAnsi="宋体" w:eastAsia="宋体" w:cs="宋体"/>
          <w:color w:val="000000" w:themeColor="text1"/>
          <w:highlight w:val="none"/>
          <w14:textFill>
            <w14:solidFill>
              <w14:schemeClr w14:val="tx1"/>
            </w14:solidFill>
          </w14:textFill>
        </w:rPr>
        <w:t>11.1 为确保信息的及时性和准确性，澄清或修改的内容将在云南省政府采购网（http://www.ccgp-yunnan.gov.cn/）上以更正公告的形式发布。潜在供应商需密切关注该网站，及时查看并下载相关更正公告。若因潜在供应商未能及时查看或下载相关更正公告，而导致的一切后果，将由潜在供应商自行承担；</w:t>
      </w:r>
    </w:p>
    <w:p w14:paraId="2B9A9DBC">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 制作电子响应文件需要数字证书（简称“CA”）和电子签章，请供应商及时办理数字证书及电子签章，并完成数字证书绑定；</w:t>
      </w:r>
    </w:p>
    <w:p w14:paraId="65A20B03">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 数字证书及电子签章必须是在“政采云”平台中实现了互联互通对接的产品。办理地点详见“政采云”平台。</w:t>
      </w:r>
    </w:p>
    <w:p w14:paraId="148D6A81">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 本竞争性磋商文件中电子化采购的有关概念：</w:t>
      </w:r>
    </w:p>
    <w:p w14:paraId="103B865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（1）电子签名：指运用电子密码技术，在数据电文中以电子形式所含，用于识别签名人（法人或自然人）身份并表明签名人认可其中内容的数据。</w:t>
      </w:r>
    </w:p>
    <w:p w14:paraId="569EA421">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（2）电子印章：指模拟在纸质文件上加盖传统实物印章的外观和方式进行电子签名的形式。</w:t>
      </w:r>
    </w:p>
    <w:p w14:paraId="1F0B79FB">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（3）数字证书（简称“CA”）：经过有关部门认可的电子认证服务机构基于 PKI 技术签发、认证和管理的数字证书。CA 证书具有数据电文交换中身份识别、电子签名、加密解密等功能。</w:t>
      </w:r>
    </w:p>
    <w:p w14:paraId="16534C8E">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（4）政采云投标客户端：供应商可在“政采云”平台中下载使用。</w:t>
      </w:r>
    </w:p>
    <w:p w14:paraId="14ACAA2C">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11.5 电子交易系统咨询：供应商应当充分考虑到电子投标可能会发生的各种问题和风险，特别是响应文件签署、提交等问题，无特殊情况。</w:t>
      </w:r>
    </w:p>
    <w:p w14:paraId="3F091182">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11.6 政府采购交易系统联系方式详见“供应商须知前附表”。</w:t>
      </w:r>
    </w:p>
    <w:p w14:paraId="59F1728E">
      <w:pPr>
        <w:pStyle w:val="4"/>
        <w:ind w:firstLine="562"/>
        <w:rPr>
          <w:rFonts w:hint="eastAsia" w:ascii="宋体" w:hAnsi="宋体" w:eastAsia="宋体" w:cs="宋体"/>
          <w:color w:val="000000" w:themeColor="text1"/>
          <w:highlight w:val="none"/>
          <w14:textFill>
            <w14:solidFill>
              <w14:schemeClr w14:val="tx1"/>
            </w14:solidFill>
          </w14:textFill>
        </w:rPr>
      </w:pPr>
      <w:bookmarkStart w:id="148" w:name="_Toc525446305"/>
      <w:bookmarkStart w:id="149" w:name="_Toc680"/>
      <w:bookmarkStart w:id="150" w:name="_Toc7640"/>
      <w:bookmarkStart w:id="151" w:name="_Toc1687727081"/>
      <w:bookmarkStart w:id="152" w:name="_Toc2941"/>
      <w:r>
        <w:rPr>
          <w:rFonts w:hint="eastAsia" w:ascii="宋体" w:hAnsi="宋体" w:eastAsia="宋体" w:cs="宋体"/>
          <w:color w:val="000000" w:themeColor="text1"/>
          <w:highlight w:val="none"/>
          <w14:textFill>
            <w14:solidFill>
              <w14:schemeClr w14:val="tx1"/>
            </w14:solidFill>
          </w14:textFill>
        </w:rPr>
        <w:t>（二）</w:t>
      </w:r>
      <w:bookmarkEnd w:id="145"/>
      <w:bookmarkEnd w:id="146"/>
      <w:bookmarkEnd w:id="147"/>
      <w:bookmarkEnd w:id="148"/>
      <w:bookmarkEnd w:id="149"/>
      <w:bookmarkEnd w:id="150"/>
      <w:bookmarkEnd w:id="151"/>
      <w:r>
        <w:rPr>
          <w:rFonts w:hint="eastAsia" w:ascii="宋体" w:hAnsi="宋体" w:eastAsia="宋体" w:cs="宋体"/>
          <w:color w:val="000000" w:themeColor="text1"/>
          <w:highlight w:val="none"/>
          <w14:textFill>
            <w14:solidFill>
              <w14:schemeClr w14:val="tx1"/>
            </w14:solidFill>
          </w14:textFill>
        </w:rPr>
        <w:t>竞争性磋商文件</w:t>
      </w:r>
      <w:bookmarkEnd w:id="152"/>
    </w:p>
    <w:p w14:paraId="1EC4929F">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53" w:name="_Toc163492835"/>
      <w:bookmarkStart w:id="154" w:name="_Toc140132768"/>
      <w:r>
        <w:rPr>
          <w:rFonts w:hint="eastAsia" w:ascii="宋体" w:hAnsi="宋体" w:eastAsia="宋体" w:cs="宋体"/>
          <w:color w:val="000000" w:themeColor="text1"/>
          <w:highlight w:val="none"/>
          <w14:textFill>
            <w14:solidFill>
              <w14:schemeClr w14:val="tx1"/>
            </w14:solidFill>
          </w14:textFill>
        </w:rPr>
        <w:t>12.竞争性磋商文件的组成</w:t>
      </w:r>
      <w:bookmarkEnd w:id="153"/>
      <w:bookmarkEnd w:id="154"/>
    </w:p>
    <w:p w14:paraId="763999DA">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12.1 本竞争性磋商文件包括下列文件及根据本章第9款、第13款对竞争性磋商文件所作的澄清或者修改。</w:t>
      </w:r>
    </w:p>
    <w:p w14:paraId="1AD033F6">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第一章 竞争性磋商公告</w:t>
      </w:r>
    </w:p>
    <w:p w14:paraId="40663045">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第二章 供应商须知</w:t>
      </w:r>
    </w:p>
    <w:p w14:paraId="2B56A0FB">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第三章 采购需求</w:t>
      </w:r>
    </w:p>
    <w:p w14:paraId="356A95D3">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第四章 资格审查方法及标准</w:t>
      </w:r>
    </w:p>
    <w:p w14:paraId="550294EB">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第五章 评审办法及标准</w:t>
      </w:r>
    </w:p>
    <w:p w14:paraId="5F17F055">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第六章 合同主要条款及样式</w:t>
      </w:r>
    </w:p>
    <w:p w14:paraId="346BDB79">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第六章 响应文件的格式</w:t>
      </w:r>
    </w:p>
    <w:p w14:paraId="28CF8EB2">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55" w:name="_Toc140132769"/>
      <w:bookmarkStart w:id="156" w:name="_Toc163492836"/>
      <w:r>
        <w:rPr>
          <w:rFonts w:hint="eastAsia" w:ascii="宋体" w:hAnsi="宋体" w:eastAsia="宋体" w:cs="宋体"/>
          <w:color w:val="000000" w:themeColor="text1"/>
          <w:highlight w:val="none"/>
          <w14:textFill>
            <w14:solidFill>
              <w14:schemeClr w14:val="tx1"/>
            </w14:solidFill>
          </w14:textFill>
        </w:rPr>
        <w:t>13.竞争性磋商文件的询问、澄清或者修改</w:t>
      </w:r>
      <w:bookmarkEnd w:id="155"/>
      <w:bookmarkEnd w:id="156"/>
    </w:p>
    <w:p w14:paraId="3DA1FF0F">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13.1 供应商对采购项目有疑问的，可以按照“供应商须知前附表”中的规定提出询问。采购人或采购代理机构将在收到询问后依法予以答复。对竞争性磋商文件询问的答复，在必要时将以澄清形式推送给每个获取竞争性磋商文件的潜在供应商(答复中不包括问题的来源)。</w:t>
      </w:r>
    </w:p>
    <w:p w14:paraId="0AC2A55D">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13.2 采购人或者采购代理机构可以对已发出的竞争性磋商文件进行必要的澄清或者修改。</w:t>
      </w:r>
      <w:r>
        <w:rPr>
          <w:rFonts w:hint="eastAsia" w:ascii="宋体" w:hAnsi="宋体" w:eastAsia="宋体" w:cs="宋体"/>
          <w:color w:val="000000" w:themeColor="text1"/>
          <w:highlight w:val="none"/>
          <w14:textFill>
            <w14:solidFill>
              <w14:schemeClr w14:val="tx1"/>
            </w14:solidFill>
          </w14:textFill>
        </w:rPr>
        <w:t>澄清或修改的内容为竞争性磋商文件的组成部分，并对所有获取竞争性磋商文件的潜在供应商具有约束力。</w:t>
      </w:r>
    </w:p>
    <w:p w14:paraId="684E9C20">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13.3 竞争性磋商文件的澄清或者修改以书面形式发给所有领取竞争性磋商文件的供应商，但不包括问题的来源。澄清或者修改的内容可能影响响应文件编制的，采购人或者采购代理机构应当在提交首次响应文件截止时间至少5日前，以书面形式通知所有获取竞争性磋商文件的潜在供应商；不足5日的，采购人或者采购代理机构应当顺延提交响应文件的截止时间。</w:t>
      </w:r>
    </w:p>
    <w:p w14:paraId="2AC8726F">
      <w:pPr>
        <w:pStyle w:val="50"/>
        <w:ind w:firstLine="560"/>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13.4 </w:t>
      </w:r>
      <w:r>
        <w:rPr>
          <w:rFonts w:hint="eastAsia" w:ascii="宋体" w:hAnsi="宋体" w:eastAsia="宋体" w:cs="宋体"/>
          <w:color w:val="000000" w:themeColor="text1"/>
          <w:szCs w:val="24"/>
          <w:highlight w:val="none"/>
          <w14:textFill>
            <w14:solidFill>
              <w14:schemeClr w14:val="tx1"/>
            </w14:solidFill>
          </w14:textFill>
        </w:rPr>
        <w:t>本</w:t>
      </w:r>
      <w:r>
        <w:rPr>
          <w:rFonts w:hint="eastAsia" w:ascii="宋体" w:hAnsi="宋体" w:eastAsia="宋体" w:cs="宋体"/>
          <w:color w:val="000000" w:themeColor="text1"/>
          <w:szCs w:val="24"/>
          <w:highlight w:val="none"/>
          <w:lang w:val="en-US"/>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供应商须知</w:t>
      </w:r>
      <w:r>
        <w:rPr>
          <w:rFonts w:hint="eastAsia" w:ascii="宋体" w:hAnsi="宋体" w:eastAsia="宋体" w:cs="宋体"/>
          <w:color w:val="000000" w:themeColor="text1"/>
          <w:szCs w:val="24"/>
          <w:highlight w:val="none"/>
          <w:lang w:val="en-US"/>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所称</w:t>
      </w:r>
      <w:r>
        <w:rPr>
          <w:rFonts w:hint="eastAsia" w:ascii="宋体" w:hAnsi="宋体" w:eastAsia="宋体" w:cs="宋体"/>
          <w:color w:val="000000" w:themeColor="text1"/>
          <w:szCs w:val="24"/>
          <w:highlight w:val="none"/>
          <w:lang w:val="en-US"/>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书面形式</w:t>
      </w:r>
      <w:r>
        <w:rPr>
          <w:rFonts w:hint="eastAsia" w:ascii="宋体" w:hAnsi="宋体" w:eastAsia="宋体" w:cs="宋体"/>
          <w:color w:val="000000" w:themeColor="text1"/>
          <w:szCs w:val="24"/>
          <w:highlight w:val="none"/>
          <w:lang w:val="en-US"/>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包括</w:t>
      </w:r>
      <w:r>
        <w:rPr>
          <w:rFonts w:hint="eastAsia" w:ascii="宋体" w:hAnsi="宋体" w:eastAsia="宋体" w:cs="宋体"/>
          <w:color w:val="000000" w:themeColor="text1"/>
          <w:highlight w:val="none"/>
          <w:lang w:val="en-US"/>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政采云</w:t>
      </w:r>
      <w:r>
        <w:rPr>
          <w:rFonts w:hint="eastAsia" w:ascii="宋体" w:hAnsi="宋体" w:eastAsia="宋体" w:cs="宋体"/>
          <w:color w:val="000000" w:themeColor="text1"/>
          <w:highlight w:val="none"/>
          <w:lang w:val="en-US"/>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平台</w:t>
      </w:r>
      <w:r>
        <w:rPr>
          <w:rFonts w:hint="eastAsia" w:ascii="宋体" w:hAnsi="宋体" w:eastAsia="宋体" w:cs="宋体"/>
          <w:color w:val="000000" w:themeColor="text1"/>
          <w:highlight w:val="none"/>
          <w:lang w:val="en-US"/>
          <w14:textFill>
            <w14:solidFill>
              <w14:schemeClr w14:val="tx1"/>
            </w14:solidFill>
          </w14:textFill>
        </w:rPr>
        <w:t>的</w:t>
      </w:r>
      <w:r>
        <w:rPr>
          <w:rFonts w:hint="eastAsia" w:ascii="宋体" w:hAnsi="宋体" w:eastAsia="宋体" w:cs="宋体"/>
          <w:color w:val="000000" w:themeColor="text1"/>
          <w:highlight w:val="none"/>
          <w14:textFill>
            <w14:solidFill>
              <w14:schemeClr w14:val="tx1"/>
            </w14:solidFill>
          </w14:textFill>
        </w:rPr>
        <w:t>系统消息、云南省政府采购网</w:t>
      </w:r>
      <w:r>
        <w:rPr>
          <w:rFonts w:hint="eastAsia" w:ascii="宋体" w:hAnsi="宋体" w:eastAsia="宋体" w:cs="宋体"/>
          <w:color w:val="000000" w:themeColor="text1"/>
          <w:highlight w:val="none"/>
          <w:lang w:val="en-US"/>
          <w14:textFill>
            <w14:solidFill>
              <w14:schemeClr w14:val="tx1"/>
            </w14:solidFill>
          </w14:textFill>
        </w:rPr>
        <w:t>（http://www.ccgp-yunnan.gov.cn/）</w:t>
      </w:r>
      <w:r>
        <w:rPr>
          <w:rFonts w:hint="eastAsia" w:ascii="宋体" w:hAnsi="宋体" w:eastAsia="宋体" w:cs="宋体"/>
          <w:color w:val="000000" w:themeColor="text1"/>
          <w:highlight w:val="none"/>
          <w14:textFill>
            <w14:solidFill>
              <w14:schemeClr w14:val="tx1"/>
            </w14:solidFill>
          </w14:textFill>
        </w:rPr>
        <w:t>中发布的公告。</w:t>
      </w:r>
    </w:p>
    <w:p w14:paraId="66DADAFF">
      <w:pPr>
        <w:pStyle w:val="4"/>
        <w:ind w:firstLine="562"/>
        <w:rPr>
          <w:rFonts w:hint="eastAsia" w:ascii="宋体" w:hAnsi="宋体" w:eastAsia="宋体" w:cs="宋体"/>
          <w:color w:val="000000" w:themeColor="text1"/>
          <w:highlight w:val="none"/>
          <w14:textFill>
            <w14:solidFill>
              <w14:schemeClr w14:val="tx1"/>
            </w14:solidFill>
          </w14:textFill>
        </w:rPr>
      </w:pPr>
      <w:bookmarkStart w:id="157" w:name="_Toc323801700"/>
      <w:bookmarkStart w:id="158" w:name="_Toc708563518"/>
      <w:bookmarkStart w:id="159" w:name="_Toc163492837"/>
      <w:bookmarkStart w:id="160" w:name="_Toc155185872"/>
      <w:bookmarkStart w:id="161" w:name="_Toc3317"/>
      <w:bookmarkStart w:id="162" w:name="_Toc32535"/>
      <w:bookmarkStart w:id="163" w:name="_Toc5395"/>
      <w:bookmarkStart w:id="164" w:name="_Toc7215"/>
      <w:r>
        <w:rPr>
          <w:rFonts w:hint="eastAsia" w:ascii="宋体" w:hAnsi="宋体" w:eastAsia="宋体" w:cs="宋体"/>
          <w:color w:val="000000" w:themeColor="text1"/>
          <w:highlight w:val="none"/>
          <w14:textFill>
            <w14:solidFill>
              <w14:schemeClr w14:val="tx1"/>
            </w14:solidFill>
          </w14:textFill>
        </w:rPr>
        <w:t>（三）</w:t>
      </w:r>
      <w:bookmarkEnd w:id="157"/>
      <w:bookmarkEnd w:id="158"/>
      <w:bookmarkEnd w:id="159"/>
      <w:bookmarkEnd w:id="160"/>
      <w:bookmarkEnd w:id="161"/>
      <w:r>
        <w:rPr>
          <w:rFonts w:hint="eastAsia" w:ascii="宋体" w:hAnsi="宋体" w:eastAsia="宋体" w:cs="宋体"/>
          <w:color w:val="000000" w:themeColor="text1"/>
          <w:highlight w:val="none"/>
          <w14:textFill>
            <w14:solidFill>
              <w14:schemeClr w14:val="tx1"/>
            </w14:solidFill>
          </w14:textFill>
        </w:rPr>
        <w:t>响应文件</w:t>
      </w:r>
      <w:bookmarkEnd w:id="162"/>
      <w:bookmarkEnd w:id="163"/>
      <w:bookmarkEnd w:id="164"/>
    </w:p>
    <w:p w14:paraId="75105E32">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65" w:name="_Toc163492838"/>
      <w:r>
        <w:rPr>
          <w:rFonts w:hint="eastAsia" w:ascii="宋体" w:hAnsi="宋体" w:eastAsia="宋体" w:cs="宋体"/>
          <w:color w:val="000000" w:themeColor="text1"/>
          <w:highlight w:val="none"/>
          <w14:textFill>
            <w14:solidFill>
              <w14:schemeClr w14:val="tx1"/>
            </w14:solidFill>
          </w14:textFill>
        </w:rPr>
        <w:t>14.响应文件的组成</w:t>
      </w:r>
      <w:bookmarkEnd w:id="165"/>
    </w:p>
    <w:p w14:paraId="0FFAA425">
      <w:pPr>
        <w:ind w:firstLine="560"/>
        <w:rPr>
          <w:rFonts w:hint="eastAsia" w:ascii="宋体" w:hAnsi="宋体" w:eastAsia="宋体" w:cs="宋体"/>
          <w:color w:val="000000" w:themeColor="text1"/>
          <w:highlight w:val="none"/>
          <w14:textFill>
            <w14:solidFill>
              <w14:schemeClr w14:val="tx1"/>
            </w14:solidFill>
          </w14:textFill>
        </w:rPr>
      </w:pPr>
      <w:bookmarkStart w:id="166" w:name="_Toc163492839"/>
      <w:bookmarkStart w:id="167" w:name="_Toc140132772"/>
      <w:r>
        <w:rPr>
          <w:rFonts w:hint="eastAsia" w:ascii="宋体" w:hAnsi="宋体" w:eastAsia="宋体" w:cs="宋体"/>
          <w:color w:val="000000" w:themeColor="text1"/>
          <w:highlight w:val="none"/>
          <w14:textFill>
            <w14:solidFill>
              <w14:schemeClr w14:val="tx1"/>
            </w14:solidFill>
          </w14:textFill>
        </w:rPr>
        <w:t>14.1 供应商应当按照竞争性磋商文件的要求编制响应文件。响应文件的部分格式要求见第六章 响应文件的格式。</w:t>
      </w:r>
    </w:p>
    <w:p w14:paraId="1D77DC36">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15.</w:t>
      </w:r>
      <w:bookmarkEnd w:id="166"/>
      <w:bookmarkEnd w:id="167"/>
      <w:r>
        <w:rPr>
          <w:rFonts w:hint="eastAsia" w:ascii="宋体" w:hAnsi="宋体" w:eastAsia="宋体" w:cs="宋体"/>
          <w:color w:val="000000" w:themeColor="text1"/>
          <w:highlight w:val="none"/>
          <w14:textFill>
            <w14:solidFill>
              <w14:schemeClr w14:val="tx1"/>
            </w14:solidFill>
          </w14:textFill>
        </w:rPr>
        <w:t>报价</w:t>
      </w:r>
    </w:p>
    <w:p w14:paraId="1A47C302">
      <w:pPr>
        <w:ind w:firstLine="560"/>
        <w:rPr>
          <w:rFonts w:hint="eastAsia" w:ascii="宋体" w:hAnsi="宋体" w:eastAsia="宋体" w:cs="宋体"/>
          <w:snapToGrid w:val="0"/>
          <w:color w:val="000000" w:themeColor="text1"/>
          <w:szCs w:val="24"/>
          <w:highlight w:val="none"/>
          <w:lang w:val="zh-CN"/>
          <w14:textFill>
            <w14:solidFill>
              <w14:schemeClr w14:val="tx1"/>
            </w14:solidFill>
          </w14:textFill>
        </w:rPr>
      </w:pPr>
      <w:r>
        <w:rPr>
          <w:rFonts w:hint="eastAsia" w:ascii="宋体" w:hAnsi="宋体" w:eastAsia="宋体" w:cs="宋体"/>
          <w:snapToGrid w:val="0"/>
          <w:color w:val="000000" w:themeColor="text1"/>
          <w:szCs w:val="24"/>
          <w:highlight w:val="none"/>
          <w14:textFill>
            <w14:solidFill>
              <w14:schemeClr w14:val="tx1"/>
            </w14:solidFill>
          </w14:textFill>
        </w:rPr>
        <w:t xml:space="preserve">15.1 </w:t>
      </w:r>
      <w:r>
        <w:rPr>
          <w:rFonts w:hint="eastAsia" w:ascii="宋体" w:hAnsi="宋体" w:eastAsia="宋体" w:cs="宋体"/>
          <w:snapToGrid w:val="0"/>
          <w:color w:val="000000" w:themeColor="text1"/>
          <w:szCs w:val="24"/>
          <w:highlight w:val="none"/>
          <w:lang w:val="zh-CN"/>
          <w14:textFill>
            <w14:solidFill>
              <w14:schemeClr w14:val="tx1"/>
            </w14:solidFill>
          </w14:textFill>
        </w:rPr>
        <w:t>供应商的报价均应以人民币进行报价。</w:t>
      </w:r>
    </w:p>
    <w:p w14:paraId="4E10F0D4">
      <w:pPr>
        <w:ind w:firstLine="560"/>
        <w:rPr>
          <w:rFonts w:hint="eastAsia" w:ascii="宋体" w:hAnsi="宋体" w:eastAsia="宋体" w:cs="宋体"/>
          <w:snapToGrid w:val="0"/>
          <w:color w:val="000000" w:themeColor="text1"/>
          <w:szCs w:val="24"/>
          <w:highlight w:val="none"/>
          <w14:textFill>
            <w14:solidFill>
              <w14:schemeClr w14:val="tx1"/>
            </w14:solidFill>
          </w14:textFill>
        </w:rPr>
      </w:pPr>
      <w:r>
        <w:rPr>
          <w:rFonts w:hint="eastAsia" w:ascii="宋体" w:hAnsi="宋体" w:eastAsia="宋体" w:cs="宋体"/>
          <w:snapToGrid w:val="0"/>
          <w:color w:val="000000" w:themeColor="text1"/>
          <w:szCs w:val="24"/>
          <w:highlight w:val="none"/>
          <w14:textFill>
            <w14:solidFill>
              <w14:schemeClr w14:val="tx1"/>
            </w14:solidFill>
          </w14:textFill>
        </w:rPr>
        <w:t>15.2 供应商应按照本竞争性磋商文件规定的报价方式进行报价，具体报价方式见“供应商须知前附表”。报价中不得包含竞争性磋商文件要求以外的内容，否则，在评审时不予核减。报价中也不得遗漏竞争性磋商文件所要求的内容，否则，其</w:t>
      </w:r>
      <w:r>
        <w:rPr>
          <w:rFonts w:hint="eastAsia" w:ascii="宋体" w:hAnsi="宋体" w:eastAsia="宋体" w:cs="宋体"/>
          <w:b/>
          <w:bCs/>
          <w:snapToGrid w:val="0"/>
          <w:color w:val="000000" w:themeColor="text1"/>
          <w:szCs w:val="24"/>
          <w:highlight w:val="none"/>
          <w14:textFill>
            <w14:solidFill>
              <w14:schemeClr w14:val="tx1"/>
            </w14:solidFill>
          </w14:textFill>
        </w:rPr>
        <w:t>磋商申请无效</w:t>
      </w:r>
      <w:r>
        <w:rPr>
          <w:rFonts w:hint="eastAsia" w:ascii="宋体" w:hAnsi="宋体" w:eastAsia="宋体" w:cs="宋体"/>
          <w:snapToGrid w:val="0"/>
          <w:color w:val="000000" w:themeColor="text1"/>
          <w:szCs w:val="24"/>
          <w:highlight w:val="none"/>
          <w14:textFill>
            <w14:solidFill>
              <w14:schemeClr w14:val="tx1"/>
            </w14:solidFill>
          </w14:textFill>
        </w:rPr>
        <w:t>。</w:t>
      </w:r>
    </w:p>
    <w:p w14:paraId="7AF3CB54">
      <w:pPr>
        <w:ind w:firstLine="560"/>
        <w:rPr>
          <w:rFonts w:hint="eastAsia" w:ascii="宋体" w:hAnsi="宋体" w:eastAsia="宋体" w:cs="宋体"/>
          <w:snapToGrid w:val="0"/>
          <w:color w:val="000000" w:themeColor="text1"/>
          <w:szCs w:val="24"/>
          <w:highlight w:val="none"/>
          <w:lang w:val="zh-CN"/>
          <w14:textFill>
            <w14:solidFill>
              <w14:schemeClr w14:val="tx1"/>
            </w14:solidFill>
          </w14:textFill>
        </w:rPr>
      </w:pPr>
      <w:r>
        <w:rPr>
          <w:rFonts w:hint="eastAsia" w:ascii="宋体" w:hAnsi="宋体" w:eastAsia="宋体" w:cs="宋体"/>
          <w:snapToGrid w:val="0"/>
          <w:color w:val="000000" w:themeColor="text1"/>
          <w:szCs w:val="24"/>
          <w:highlight w:val="none"/>
          <w14:textFill>
            <w14:solidFill>
              <w14:schemeClr w14:val="tx1"/>
            </w14:solidFill>
          </w14:textFill>
        </w:rPr>
        <w:t xml:space="preserve">15.3 </w:t>
      </w:r>
      <w:r>
        <w:rPr>
          <w:rFonts w:hint="eastAsia" w:ascii="宋体" w:hAnsi="宋体" w:eastAsia="宋体" w:cs="宋体"/>
          <w:snapToGrid w:val="0"/>
          <w:color w:val="000000" w:themeColor="text1"/>
          <w:szCs w:val="24"/>
          <w:highlight w:val="none"/>
          <w:lang w:val="zh-CN"/>
          <w14:textFill>
            <w14:solidFill>
              <w14:schemeClr w14:val="tx1"/>
            </w14:solidFill>
          </w14:textFill>
        </w:rPr>
        <w:t>供应商应根据本竞争性磋商文件的规定和要求、市场价格水平及其走势、供应商的管理水平、供应商的方案和由这些因素决定的供应商之于本项目的成本水平等提出自己的报价。报价应合理，并包含完成本竞争性磋商文件采购需求全部内容的所有费用，所有根据本竞争性磋商文件或其它原因应由供应商支付的税款和其他应交纳的费用都应包括在供应商提交的报价中。</w:t>
      </w:r>
    </w:p>
    <w:p w14:paraId="75CC5F4E">
      <w:pPr>
        <w:ind w:firstLine="560"/>
        <w:rPr>
          <w:rFonts w:hint="eastAsia" w:ascii="宋体" w:hAnsi="宋体" w:eastAsia="宋体" w:cs="宋体"/>
          <w:snapToGrid w:val="0"/>
          <w:color w:val="000000" w:themeColor="text1"/>
          <w:szCs w:val="24"/>
          <w:highlight w:val="none"/>
          <w14:textFill>
            <w14:solidFill>
              <w14:schemeClr w14:val="tx1"/>
            </w14:solidFill>
          </w14:textFill>
        </w:rPr>
      </w:pPr>
      <w:r>
        <w:rPr>
          <w:rFonts w:hint="eastAsia" w:ascii="宋体" w:hAnsi="宋体" w:eastAsia="宋体" w:cs="宋体"/>
          <w:snapToGrid w:val="0"/>
          <w:color w:val="000000" w:themeColor="text1"/>
          <w:szCs w:val="24"/>
          <w:highlight w:val="none"/>
          <w14:textFill>
            <w14:solidFill>
              <w14:schemeClr w14:val="tx1"/>
            </w14:solidFill>
          </w14:textFill>
        </w:rPr>
        <w:t>15.4 供应商在响应文件中注明免费的项目将视为包含在报价中。</w:t>
      </w:r>
    </w:p>
    <w:p w14:paraId="3C71350A">
      <w:pPr>
        <w:ind w:firstLine="560"/>
        <w:rPr>
          <w:rFonts w:hint="eastAsia" w:ascii="宋体" w:hAnsi="宋体" w:eastAsia="宋体" w:cs="宋体"/>
          <w:snapToGrid w:val="0"/>
          <w:color w:val="000000" w:themeColor="text1"/>
          <w:szCs w:val="24"/>
          <w:highlight w:val="none"/>
          <w14:textFill>
            <w14:solidFill>
              <w14:schemeClr w14:val="tx1"/>
            </w14:solidFill>
          </w14:textFill>
        </w:rPr>
      </w:pPr>
      <w:r>
        <w:rPr>
          <w:rFonts w:hint="eastAsia" w:ascii="宋体" w:hAnsi="宋体" w:eastAsia="宋体" w:cs="宋体"/>
          <w:snapToGrid w:val="0"/>
          <w:color w:val="000000" w:themeColor="text1"/>
          <w:szCs w:val="24"/>
          <w:highlight w:val="none"/>
          <w14:textFill>
            <w14:solidFill>
              <w14:schemeClr w14:val="tx1"/>
            </w14:solidFill>
          </w14:textFill>
        </w:rPr>
        <w:t>15.5 每一种采购内容只允许有一个报价，否则其</w:t>
      </w:r>
      <w:r>
        <w:rPr>
          <w:rFonts w:hint="eastAsia" w:ascii="宋体" w:hAnsi="宋体" w:eastAsia="宋体" w:cs="宋体"/>
          <w:b/>
          <w:bCs/>
          <w:snapToGrid w:val="0"/>
          <w:color w:val="000000" w:themeColor="text1"/>
          <w:szCs w:val="24"/>
          <w:highlight w:val="none"/>
          <w14:textFill>
            <w14:solidFill>
              <w14:schemeClr w14:val="tx1"/>
            </w14:solidFill>
          </w14:textFill>
        </w:rPr>
        <w:t>磋商申请无效</w:t>
      </w:r>
      <w:r>
        <w:rPr>
          <w:rFonts w:hint="eastAsia" w:ascii="宋体" w:hAnsi="宋体" w:eastAsia="宋体" w:cs="宋体"/>
          <w:snapToGrid w:val="0"/>
          <w:color w:val="000000" w:themeColor="text1"/>
          <w:szCs w:val="24"/>
          <w:highlight w:val="none"/>
          <w14:textFill>
            <w14:solidFill>
              <w14:schemeClr w14:val="tx1"/>
            </w14:solidFill>
          </w14:textFill>
        </w:rPr>
        <w:t>。</w:t>
      </w:r>
    </w:p>
    <w:p w14:paraId="5E0C844B">
      <w:pPr>
        <w:ind w:firstLine="562"/>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15.6 报价不得超过“</w:t>
      </w:r>
      <w:r>
        <w:rPr>
          <w:rFonts w:hint="eastAsia" w:ascii="宋体" w:hAnsi="宋体" w:eastAsia="宋体" w:cs="宋体"/>
          <w:b/>
          <w:bCs/>
          <w:color w:val="000000" w:themeColor="text1"/>
          <w:szCs w:val="24"/>
          <w:highlight w:val="none"/>
          <w:lang w:val="en-US" w:eastAsia="zh-CN"/>
          <w14:textFill>
            <w14:solidFill>
              <w14:schemeClr w14:val="tx1"/>
            </w14:solidFill>
          </w14:textFill>
        </w:rPr>
        <w:t>磋商文件</w:t>
      </w:r>
      <w:r>
        <w:rPr>
          <w:rFonts w:hint="eastAsia" w:ascii="宋体" w:hAnsi="宋体" w:eastAsia="宋体" w:cs="宋体"/>
          <w:b/>
          <w:bCs/>
          <w:color w:val="000000" w:themeColor="text1"/>
          <w:szCs w:val="24"/>
          <w:highlight w:val="none"/>
          <w14:textFill>
            <w14:solidFill>
              <w14:schemeClr w14:val="tx1"/>
            </w14:solidFill>
          </w14:textFill>
        </w:rPr>
        <w:t>”中规定的最高限价，否则磋商小组将否决其磋商申请。</w:t>
      </w:r>
    </w:p>
    <w:p w14:paraId="213C0BE9">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68" w:name="_Toc163492840"/>
      <w:bookmarkStart w:id="169" w:name="_Toc140132773"/>
      <w:r>
        <w:rPr>
          <w:rFonts w:hint="eastAsia" w:ascii="宋体" w:hAnsi="宋体" w:eastAsia="宋体" w:cs="宋体"/>
          <w:color w:val="000000" w:themeColor="text1"/>
          <w:highlight w:val="none"/>
          <w14:textFill>
            <w14:solidFill>
              <w14:schemeClr w14:val="tx1"/>
            </w14:solidFill>
          </w14:textFill>
        </w:rPr>
        <w:t>16.</w:t>
      </w:r>
      <w:bookmarkEnd w:id="168"/>
      <w:bookmarkEnd w:id="169"/>
      <w:r>
        <w:rPr>
          <w:rFonts w:hint="eastAsia" w:ascii="宋体" w:hAnsi="宋体" w:eastAsia="宋体" w:cs="宋体"/>
          <w:color w:val="000000" w:themeColor="text1"/>
          <w:highlight w:val="none"/>
          <w14:textFill>
            <w14:solidFill>
              <w14:schemeClr w14:val="tx1"/>
            </w14:solidFill>
          </w14:textFill>
        </w:rPr>
        <w:t>响应文件有效期</w:t>
      </w:r>
    </w:p>
    <w:p w14:paraId="17A1BB3F">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16.1 </w:t>
      </w:r>
      <w:r>
        <w:rPr>
          <w:rFonts w:hint="eastAsia" w:ascii="宋体" w:hAnsi="宋体" w:eastAsia="宋体" w:cs="宋体"/>
          <w:color w:val="000000" w:themeColor="text1"/>
          <w:kern w:val="0"/>
          <w:szCs w:val="21"/>
          <w:highlight w:val="none"/>
          <w:lang w:val="en"/>
          <w14:textFill>
            <w14:solidFill>
              <w14:schemeClr w14:val="tx1"/>
            </w14:solidFill>
          </w14:textFill>
        </w:rPr>
        <w:t>响应文件有效期</w:t>
      </w:r>
      <w:r>
        <w:rPr>
          <w:rFonts w:hint="eastAsia" w:ascii="宋体" w:hAnsi="宋体" w:eastAsia="宋体" w:cs="宋体"/>
          <w:color w:val="000000" w:themeColor="text1"/>
          <w:szCs w:val="24"/>
          <w:highlight w:val="none"/>
          <w14:textFill>
            <w14:solidFill>
              <w14:schemeClr w14:val="tx1"/>
            </w14:solidFill>
          </w14:textFill>
        </w:rPr>
        <w:t>见“供应商须知前附表”，供应商承诺的响应文件有效期不足的，其响应文件将被视为</w:t>
      </w:r>
      <w:r>
        <w:rPr>
          <w:rFonts w:hint="eastAsia" w:ascii="宋体" w:hAnsi="宋体" w:eastAsia="宋体" w:cs="宋体"/>
          <w:b/>
          <w:bCs/>
          <w:color w:val="000000" w:themeColor="text1"/>
          <w:szCs w:val="24"/>
          <w:highlight w:val="none"/>
          <w14:textFill>
            <w14:solidFill>
              <w14:schemeClr w14:val="tx1"/>
            </w14:solidFill>
          </w14:textFill>
        </w:rPr>
        <w:t>磋商申请无效</w:t>
      </w:r>
      <w:r>
        <w:rPr>
          <w:rFonts w:hint="eastAsia" w:ascii="宋体" w:hAnsi="宋体" w:eastAsia="宋体" w:cs="宋体"/>
          <w:color w:val="000000" w:themeColor="text1"/>
          <w:szCs w:val="24"/>
          <w:highlight w:val="none"/>
          <w14:textFill>
            <w14:solidFill>
              <w14:schemeClr w14:val="tx1"/>
            </w14:solidFill>
          </w14:textFill>
        </w:rPr>
        <w:t>。</w:t>
      </w:r>
    </w:p>
    <w:p w14:paraId="32990BF2">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16.2 特殊情况下，在原响应文件有效期截止之前，采购代理机构或采购人可要求供应商延长响应文件有效期。需要延长响应文件有效期时，采购代理机构或采购人将以书面形式通知所有供应商，供应商应以书面形式答复是否同意延长响应文件有效期。</w:t>
      </w:r>
    </w:p>
    <w:p w14:paraId="346C1543">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16.3 供应商同意延长的，不得要求或被允许修改或撤销其响应文件；供应商拒绝延长的，其响应文件在原响应文件有效期满后将不再有效。</w:t>
      </w:r>
    </w:p>
    <w:p w14:paraId="317876B8">
      <w:pPr>
        <w:pStyle w:val="5"/>
        <w:ind w:firstLine="562"/>
        <w:rPr>
          <w:rFonts w:hint="eastAsia" w:ascii="宋体" w:hAnsi="宋体" w:eastAsia="宋体" w:cs="宋体"/>
          <w:color w:val="000000" w:themeColor="text1"/>
          <w:highlight w:val="none"/>
          <w14:textFill>
            <w14:solidFill>
              <w14:schemeClr w14:val="tx1"/>
            </w14:solidFill>
          </w14:textFill>
        </w:rPr>
      </w:pPr>
      <w:bookmarkStart w:id="170" w:name="_Toc163492841"/>
      <w:bookmarkStart w:id="171" w:name="_Toc140132774"/>
      <w:r>
        <w:rPr>
          <w:rFonts w:hint="eastAsia" w:ascii="宋体" w:hAnsi="宋体" w:eastAsia="宋体" w:cs="宋体"/>
          <w:color w:val="000000" w:themeColor="text1"/>
          <w:highlight w:val="none"/>
          <w14:textFill>
            <w14:solidFill>
              <w14:schemeClr w14:val="tx1"/>
            </w14:solidFill>
          </w14:textFill>
        </w:rPr>
        <w:t>17.投标保证金</w:t>
      </w:r>
    </w:p>
    <w:p w14:paraId="756F4057">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17.1 供应商应按照“供应商须知前附表”的规定提交投标保证金，并作为其响应文件的一部分。</w:t>
      </w:r>
    </w:p>
    <w:p w14:paraId="48043F18">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17.2 投标保证金是为了保护</w:t>
      </w:r>
      <w:r>
        <w:rPr>
          <w:rFonts w:hint="eastAsia" w:ascii="宋体" w:hAnsi="宋体" w:eastAsia="宋体" w:cs="宋体"/>
          <w:color w:val="000000" w:themeColor="text1"/>
          <w:highlight w:val="none"/>
          <w:lang w:eastAsia="zh-CN"/>
          <w14:textFill>
            <w14:solidFill>
              <w14:schemeClr w14:val="tx1"/>
            </w14:solidFill>
          </w14:textFill>
        </w:rPr>
        <w:t>采购人</w:t>
      </w:r>
      <w:r>
        <w:rPr>
          <w:rFonts w:hint="eastAsia" w:ascii="宋体" w:hAnsi="宋体" w:eastAsia="宋体" w:cs="宋体"/>
          <w:color w:val="000000" w:themeColor="text1"/>
          <w:highlight w:val="none"/>
          <w14:textFill>
            <w14:solidFill>
              <w14:schemeClr w14:val="tx1"/>
            </w14:solidFill>
          </w14:textFill>
        </w:rPr>
        <w:t>免遭因供应商的行为蒙受损失而要求的。</w:t>
      </w:r>
    </w:p>
    <w:p w14:paraId="65F54E5D">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下列任何情况发生，投标保证金不予退还：</w:t>
      </w:r>
    </w:p>
    <w:p w14:paraId="0ECC2D0A">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（一）供应商在提交响应文件截止时间后撤回响应文件的；</w:t>
      </w:r>
    </w:p>
    <w:p w14:paraId="49E897A6">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（二）供应商在响应文件中提供虚假材料，试图通过不正当手段谋取</w:t>
      </w:r>
      <w:r>
        <w:rPr>
          <w:rFonts w:hint="eastAsia" w:ascii="宋体" w:hAnsi="宋体" w:eastAsia="宋体" w:cs="宋体"/>
          <w:b/>
          <w:bCs/>
          <w:color w:val="000000" w:themeColor="text1"/>
          <w:highlight w:val="none"/>
          <w:lang w:eastAsia="zh-CN"/>
          <w14:textFill>
            <w14:solidFill>
              <w14:schemeClr w14:val="tx1"/>
            </w14:solidFill>
          </w14:textFill>
        </w:rPr>
        <w:t>成交</w:t>
      </w:r>
      <w:r>
        <w:rPr>
          <w:rFonts w:hint="eastAsia" w:ascii="宋体" w:hAnsi="宋体" w:eastAsia="宋体" w:cs="宋体"/>
          <w:b/>
          <w:bCs/>
          <w:color w:val="000000" w:themeColor="text1"/>
          <w:highlight w:val="none"/>
          <w14:textFill>
            <w14:solidFill>
              <w14:schemeClr w14:val="tx1"/>
            </w14:solidFill>
          </w14:textFill>
        </w:rPr>
        <w:t>或成交的；</w:t>
      </w:r>
    </w:p>
    <w:p w14:paraId="7B0E8BED">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三）除因不可抗力或竞争性磋商文件认可的情形以外，成交人不与采购人签订合同的；例如，成交人无正当理由不与采购人订立合同，在签订合同时向采购人提出附加条件，或者不按照竞争性磋商文件要求提交履约保证金的，取消其</w:t>
      </w:r>
      <w:r>
        <w:rPr>
          <w:rFonts w:hint="eastAsia" w:ascii="宋体" w:hAnsi="宋体" w:eastAsia="宋体" w:cs="宋体"/>
          <w:b/>
          <w:bCs/>
          <w:color w:val="000000" w:themeColor="text1"/>
          <w:highlight w:val="none"/>
          <w:lang w:eastAsia="zh-CN"/>
          <w14:textFill>
            <w14:solidFill>
              <w14:schemeClr w14:val="tx1"/>
            </w14:solidFill>
          </w14:textFill>
        </w:rPr>
        <w:t>成交</w:t>
      </w:r>
      <w:r>
        <w:rPr>
          <w:rFonts w:hint="eastAsia" w:ascii="宋体" w:hAnsi="宋体" w:eastAsia="宋体" w:cs="宋体"/>
          <w:b/>
          <w:bCs/>
          <w:color w:val="000000" w:themeColor="text1"/>
          <w:highlight w:val="none"/>
          <w14:textFill>
            <w14:solidFill>
              <w14:schemeClr w14:val="tx1"/>
            </w14:solidFill>
          </w14:textFill>
        </w:rPr>
        <w:t>资格；</w:t>
      </w:r>
    </w:p>
    <w:p w14:paraId="781AEE04">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（四）供应商与采购人、其他供应商或者采购代理机构恶意串通，损害国家利益、社会公共利益或者他人合法权益的；</w:t>
      </w:r>
    </w:p>
    <w:p w14:paraId="3C2A1773">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（五）竞争性磋商文件规定的其他情形。</w:t>
      </w:r>
    </w:p>
    <w:p w14:paraId="35D26454">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17.3 投标保证金应用报价货币，并采用“供应商须知前附表”中规定的任何一种形式。</w:t>
      </w:r>
    </w:p>
    <w:p w14:paraId="635FC447">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17.4 供应商没有根据竞争性磋商文件“供应商须知”规定提交投标保证金的，将被认定为无效响应而予以拒绝。</w:t>
      </w:r>
    </w:p>
    <w:p w14:paraId="6BF9C8DB">
      <w:pPr>
        <w:ind w:firstLine="56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w:t>
      </w:r>
      <w:r>
        <w:rPr>
          <w:rFonts w:hint="eastAsia" w:ascii="宋体" w:hAnsi="宋体" w:eastAsia="宋体" w:cs="宋体"/>
          <w:b/>
          <w:bCs/>
          <w:color w:val="000000" w:themeColor="text1"/>
          <w:highlight w:val="none"/>
          <w14:textFill>
            <w14:solidFill>
              <w14:schemeClr w14:val="tx1"/>
            </w14:solidFill>
          </w14:textFill>
        </w:rPr>
        <w:t>5 成交人的投标保证金，在与采购人签订书面政府采购合同后5个工作日内退还。未成交人的投标保证金，将于成交通知书发出之日起5个工作日内退还。</w:t>
      </w:r>
    </w:p>
    <w:p w14:paraId="689B7D6E">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18.响应文件的编制</w:t>
      </w:r>
      <w:bookmarkEnd w:id="170"/>
      <w:bookmarkEnd w:id="171"/>
    </w:p>
    <w:p w14:paraId="3027D92D">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18.1 响应文件的签署规定见“供应商须知前附表”。</w:t>
      </w:r>
    </w:p>
    <w:p w14:paraId="03C362A0">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w:t>
      </w:r>
      <w:bookmarkStart w:id="172" w:name="_Hlk143528557"/>
      <w:r>
        <w:rPr>
          <w:rFonts w:hint="eastAsia" w:ascii="宋体" w:hAnsi="宋体" w:eastAsia="宋体" w:cs="宋体"/>
          <w:color w:val="000000" w:themeColor="text1"/>
          <w:highlight w:val="none"/>
          <w14:textFill>
            <w14:solidFill>
              <w14:schemeClr w14:val="tx1"/>
            </w14:solidFill>
          </w14:textFill>
        </w:rPr>
        <w:t xml:space="preserve">2 </w:t>
      </w:r>
      <w:r>
        <w:rPr>
          <w:rFonts w:hint="eastAsia" w:ascii="宋体" w:hAnsi="宋体" w:eastAsia="宋体" w:cs="宋体"/>
          <w:color w:val="000000" w:themeColor="text1"/>
          <w:szCs w:val="24"/>
          <w:highlight w:val="none"/>
          <w14:textFill>
            <w14:solidFill>
              <w14:schemeClr w14:val="tx1"/>
            </w14:solidFill>
          </w14:textFill>
        </w:rPr>
        <w:t>响应文件的上传</w:t>
      </w:r>
      <w:bookmarkEnd w:id="172"/>
      <w:r>
        <w:rPr>
          <w:rFonts w:hint="eastAsia" w:ascii="宋体" w:hAnsi="宋体" w:eastAsia="宋体" w:cs="宋体"/>
          <w:color w:val="000000" w:themeColor="text1"/>
          <w:szCs w:val="24"/>
          <w:highlight w:val="none"/>
          <w14:textFill>
            <w14:solidFill>
              <w14:schemeClr w14:val="tx1"/>
            </w14:solidFill>
          </w14:textFill>
        </w:rPr>
        <w:t>规定见“供应商须知前附表”。</w:t>
      </w:r>
    </w:p>
    <w:p w14:paraId="79AB4E57">
      <w:pPr>
        <w:pStyle w:val="4"/>
        <w:ind w:firstLine="562"/>
        <w:rPr>
          <w:rFonts w:hint="eastAsia" w:ascii="宋体" w:hAnsi="宋体" w:eastAsia="宋体" w:cs="宋体"/>
          <w:color w:val="000000" w:themeColor="text1"/>
          <w:highlight w:val="none"/>
          <w14:textFill>
            <w14:solidFill>
              <w14:schemeClr w14:val="tx1"/>
            </w14:solidFill>
          </w14:textFill>
        </w:rPr>
      </w:pPr>
      <w:bookmarkStart w:id="173" w:name="_Toc1738707901"/>
      <w:bookmarkStart w:id="174" w:name="_Toc163492842"/>
      <w:bookmarkStart w:id="175" w:name="_Toc14686"/>
      <w:bookmarkStart w:id="176" w:name="_Toc1731965472"/>
      <w:bookmarkStart w:id="177" w:name="_Toc155185873"/>
      <w:bookmarkStart w:id="178" w:name="_Toc18037"/>
      <w:bookmarkStart w:id="179" w:name="_Toc13442"/>
      <w:bookmarkStart w:id="180" w:name="_Toc11435"/>
      <w:r>
        <w:rPr>
          <w:rFonts w:hint="eastAsia" w:ascii="宋体" w:hAnsi="宋体" w:eastAsia="宋体" w:cs="宋体"/>
          <w:color w:val="000000" w:themeColor="text1"/>
          <w:highlight w:val="none"/>
          <w14:textFill>
            <w14:solidFill>
              <w14:schemeClr w14:val="tx1"/>
            </w14:solidFill>
          </w14:textFill>
        </w:rPr>
        <w:t>（四）</w:t>
      </w:r>
      <w:bookmarkEnd w:id="173"/>
      <w:bookmarkEnd w:id="174"/>
      <w:bookmarkEnd w:id="175"/>
      <w:bookmarkEnd w:id="176"/>
      <w:bookmarkEnd w:id="177"/>
      <w:r>
        <w:rPr>
          <w:rFonts w:hint="eastAsia" w:ascii="宋体" w:hAnsi="宋体" w:eastAsia="宋体" w:cs="宋体"/>
          <w:color w:val="000000" w:themeColor="text1"/>
          <w:highlight w:val="none"/>
          <w14:textFill>
            <w14:solidFill>
              <w14:schemeClr w14:val="tx1"/>
            </w14:solidFill>
          </w14:textFill>
        </w:rPr>
        <w:t>响应文件的递交</w:t>
      </w:r>
      <w:bookmarkEnd w:id="178"/>
      <w:bookmarkEnd w:id="179"/>
      <w:bookmarkEnd w:id="180"/>
    </w:p>
    <w:p w14:paraId="3BE964FA">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81" w:name="_Toc163492843"/>
      <w:r>
        <w:rPr>
          <w:rFonts w:hint="eastAsia" w:ascii="宋体" w:hAnsi="宋体" w:eastAsia="宋体" w:cs="宋体"/>
          <w:color w:val="000000" w:themeColor="text1"/>
          <w:highlight w:val="none"/>
          <w14:textFill>
            <w14:solidFill>
              <w14:schemeClr w14:val="tx1"/>
            </w14:solidFill>
          </w14:textFill>
        </w:rPr>
        <w:t>19.响应文件的加密</w:t>
      </w:r>
      <w:bookmarkEnd w:id="181"/>
    </w:p>
    <w:p w14:paraId="03D3B0F4">
      <w:pPr>
        <w:ind w:firstLine="560"/>
        <w:rPr>
          <w:rFonts w:hint="eastAsia" w:ascii="宋体" w:hAnsi="宋体" w:eastAsia="宋体" w:cs="宋体"/>
          <w:color w:val="000000" w:themeColor="text1"/>
          <w:szCs w:val="24"/>
          <w:highlight w:val="none"/>
          <w:u w:val="single"/>
          <w14:textFill>
            <w14:solidFill>
              <w14:schemeClr w14:val="tx1"/>
            </w14:solidFill>
          </w14:textFill>
        </w:rPr>
      </w:pPr>
      <w:bookmarkStart w:id="182" w:name="_Hlk143531864"/>
      <w:r>
        <w:rPr>
          <w:rFonts w:hint="eastAsia" w:ascii="宋体" w:hAnsi="宋体" w:eastAsia="宋体" w:cs="宋体"/>
          <w:color w:val="000000" w:themeColor="text1"/>
          <w:szCs w:val="24"/>
          <w:highlight w:val="none"/>
          <w14:textFill>
            <w14:solidFill>
              <w14:schemeClr w14:val="tx1"/>
            </w14:solidFill>
          </w14:textFill>
        </w:rPr>
        <w:t>19.1 供应商在</w:t>
      </w:r>
      <w:r>
        <w:rPr>
          <w:rFonts w:hint="eastAsia" w:ascii="宋体" w:hAnsi="宋体" w:eastAsia="宋体" w:cs="宋体"/>
          <w:color w:val="000000" w:themeColor="text1"/>
          <w:highlight w:val="none"/>
          <w14:textFill>
            <w14:solidFill>
              <w14:schemeClr w14:val="tx1"/>
            </w14:solidFill>
          </w14:textFill>
        </w:rPr>
        <w:t>“政采云投标客户端”</w:t>
      </w:r>
      <w:r>
        <w:rPr>
          <w:rFonts w:hint="eastAsia" w:ascii="宋体" w:hAnsi="宋体" w:eastAsia="宋体" w:cs="宋体"/>
          <w:color w:val="000000" w:themeColor="text1"/>
          <w:szCs w:val="24"/>
          <w:highlight w:val="none"/>
          <w14:textFill>
            <w14:solidFill>
              <w14:schemeClr w14:val="tx1"/>
            </w14:solidFill>
          </w14:textFill>
        </w:rPr>
        <w:t>中生成响应文件并完成签章之后，使用CA证书在供应商客户端中对响应文件进行加密。</w:t>
      </w:r>
    </w:p>
    <w:p w14:paraId="6B3823DB">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19.2 供应商应在</w:t>
      </w:r>
      <w:r>
        <w:rPr>
          <w:rFonts w:hint="eastAsia" w:ascii="宋体" w:hAnsi="宋体" w:eastAsia="宋体" w:cs="宋体"/>
          <w:color w:val="000000" w:themeColor="text1"/>
          <w:highlight w:val="none"/>
          <w14:textFill>
            <w14:solidFill>
              <w14:schemeClr w14:val="tx1"/>
            </w14:solidFill>
          </w14:textFill>
        </w:rPr>
        <w:t>“政采云投标客户端”</w:t>
      </w:r>
      <w:r>
        <w:rPr>
          <w:rFonts w:hint="eastAsia" w:ascii="宋体" w:hAnsi="宋体" w:eastAsia="宋体" w:cs="宋体"/>
          <w:color w:val="000000" w:themeColor="text1"/>
          <w:szCs w:val="24"/>
          <w:highlight w:val="none"/>
          <w14:textFill>
            <w14:solidFill>
              <w14:schemeClr w14:val="tx1"/>
            </w14:solidFill>
          </w14:textFill>
        </w:rPr>
        <w:t>中对加密的响应文件进行解密验证，以防止响应文件加密异常，在开标时无法解密。</w:t>
      </w:r>
    </w:p>
    <w:p w14:paraId="63C470A2">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19.3 供应商应保证加密响应文件的CA证书有效期在开启时间之前。若CA证书有效期临近开启时间，建议供应商提前办理CA证书续期，以免开标时无法进行解密。</w:t>
      </w:r>
    </w:p>
    <w:bookmarkEnd w:id="182"/>
    <w:p w14:paraId="0221DC3C">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83" w:name="_Toc140132777"/>
      <w:bookmarkStart w:id="184" w:name="_Toc163492844"/>
      <w:r>
        <w:rPr>
          <w:rFonts w:hint="eastAsia" w:ascii="宋体" w:hAnsi="宋体" w:eastAsia="宋体" w:cs="宋体"/>
          <w:color w:val="000000" w:themeColor="text1"/>
          <w:highlight w:val="none"/>
          <w14:textFill>
            <w14:solidFill>
              <w14:schemeClr w14:val="tx1"/>
            </w14:solidFill>
          </w14:textFill>
        </w:rPr>
        <w:t>20.响应文件的递交</w:t>
      </w:r>
      <w:bookmarkEnd w:id="183"/>
      <w:r>
        <w:rPr>
          <w:rFonts w:hint="eastAsia" w:ascii="宋体" w:hAnsi="宋体" w:eastAsia="宋体" w:cs="宋体"/>
          <w:color w:val="000000" w:themeColor="text1"/>
          <w:highlight w:val="none"/>
          <w14:textFill>
            <w14:solidFill>
              <w14:schemeClr w14:val="tx1"/>
            </w14:solidFill>
          </w14:textFill>
        </w:rPr>
        <w:t>（上传）</w:t>
      </w:r>
      <w:bookmarkEnd w:id="184"/>
    </w:p>
    <w:p w14:paraId="680A940E">
      <w:pPr>
        <w:ind w:firstLine="560"/>
        <w:rPr>
          <w:rFonts w:hint="eastAsia" w:ascii="宋体" w:hAnsi="宋体" w:eastAsia="宋体" w:cs="宋体"/>
          <w:color w:val="000000" w:themeColor="text1"/>
          <w:szCs w:val="24"/>
          <w:highlight w:val="none"/>
          <w14:textFill>
            <w14:solidFill>
              <w14:schemeClr w14:val="tx1"/>
            </w14:solidFill>
          </w14:textFill>
        </w:rPr>
      </w:pPr>
      <w:bookmarkStart w:id="185" w:name="_Hlk143531977"/>
      <w:r>
        <w:rPr>
          <w:rFonts w:hint="eastAsia" w:ascii="宋体" w:hAnsi="宋体" w:eastAsia="宋体" w:cs="宋体"/>
          <w:color w:val="000000" w:themeColor="text1"/>
          <w:szCs w:val="24"/>
          <w:highlight w:val="none"/>
          <w14:textFill>
            <w14:solidFill>
              <w14:schemeClr w14:val="tx1"/>
            </w14:solidFill>
          </w14:textFill>
        </w:rPr>
        <w:t>20.1 供应商应在“供应商须知前附表”规定的提交响应文件截止时间前递交（上传）响应文件。</w:t>
      </w:r>
    </w:p>
    <w:p w14:paraId="78DEC802">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20.2 供应商递交（上传）响应文件的地点见“供应商须知前附表”。</w:t>
      </w:r>
    </w:p>
    <w:p w14:paraId="15ABED4A">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20.3 供应商应充分评估集中同时投标带来的网络影响，尽量避开投标高峰时间，错峰进行电子投标。供应商递交全部的响应文件后可在递交响应文件的交易系统中获取响应文件递交回执。</w:t>
      </w:r>
    </w:p>
    <w:p w14:paraId="7FBAED65">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20.4 供应商应在</w:t>
      </w:r>
      <w:r>
        <w:rPr>
          <w:rFonts w:hint="eastAsia" w:ascii="宋体" w:hAnsi="宋体" w:eastAsia="宋体" w:cs="宋体"/>
          <w:color w:val="000000" w:themeColor="text1"/>
          <w:highlight w:val="none"/>
          <w14:textFill>
            <w14:solidFill>
              <w14:schemeClr w14:val="tx1"/>
            </w14:solidFill>
          </w14:textFill>
        </w:rPr>
        <w:t>“政采云投标客户端”</w:t>
      </w:r>
      <w:r>
        <w:rPr>
          <w:rFonts w:hint="eastAsia" w:ascii="宋体" w:hAnsi="宋体" w:eastAsia="宋体" w:cs="宋体"/>
          <w:color w:val="000000" w:themeColor="text1"/>
          <w:szCs w:val="24"/>
          <w:highlight w:val="none"/>
          <w14:textFill>
            <w14:solidFill>
              <w14:schemeClr w14:val="tx1"/>
            </w14:solidFill>
          </w14:textFill>
        </w:rPr>
        <w:t>中下载未加密且完成签章的响应文件妥善保存，以便启动应急开标程序时使用。</w:t>
      </w:r>
    </w:p>
    <w:p w14:paraId="413240C4">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20.5 供应商所递交的响应文件不予退还。</w:t>
      </w:r>
    </w:p>
    <w:bookmarkEnd w:id="185"/>
    <w:p w14:paraId="3FEB6975">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86" w:name="_Toc163492845"/>
      <w:r>
        <w:rPr>
          <w:rFonts w:hint="eastAsia" w:ascii="宋体" w:hAnsi="宋体" w:eastAsia="宋体" w:cs="宋体"/>
          <w:color w:val="000000" w:themeColor="text1"/>
          <w:highlight w:val="none"/>
          <w14:textFill>
            <w14:solidFill>
              <w14:schemeClr w14:val="tx1"/>
            </w14:solidFill>
          </w14:textFill>
        </w:rPr>
        <w:t>21.拒收</w:t>
      </w:r>
      <w:bookmarkEnd w:id="186"/>
    </w:p>
    <w:p w14:paraId="45398791">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21.1 超过响应文件提交截止时间</w:t>
      </w:r>
      <w:bookmarkStart w:id="187" w:name="_Hlk143532404"/>
      <w:r>
        <w:rPr>
          <w:rFonts w:hint="eastAsia" w:ascii="宋体" w:hAnsi="宋体" w:eastAsia="宋体" w:cs="宋体"/>
          <w:color w:val="000000" w:themeColor="text1"/>
          <w:szCs w:val="24"/>
          <w:highlight w:val="none"/>
          <w14:textFill>
            <w14:solidFill>
              <w14:schemeClr w14:val="tx1"/>
            </w14:solidFill>
          </w14:textFill>
        </w:rPr>
        <w:t>或者不按照本章要求加密的响应文件，交易系统应当拒收</w:t>
      </w:r>
      <w:bookmarkEnd w:id="187"/>
      <w:r>
        <w:rPr>
          <w:rFonts w:hint="eastAsia" w:ascii="宋体" w:hAnsi="宋体" w:eastAsia="宋体" w:cs="宋体"/>
          <w:color w:val="000000" w:themeColor="text1"/>
          <w:szCs w:val="24"/>
          <w:highlight w:val="none"/>
          <w14:textFill>
            <w14:solidFill>
              <w14:schemeClr w14:val="tx1"/>
            </w14:solidFill>
          </w14:textFill>
        </w:rPr>
        <w:t>。</w:t>
      </w:r>
    </w:p>
    <w:p w14:paraId="4B12AC41">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88" w:name="_Toc163492846"/>
      <w:bookmarkStart w:id="189" w:name="_Toc140132778"/>
      <w:r>
        <w:rPr>
          <w:rFonts w:hint="eastAsia" w:ascii="宋体" w:hAnsi="宋体" w:eastAsia="宋体" w:cs="宋体"/>
          <w:color w:val="000000" w:themeColor="text1"/>
          <w:highlight w:val="none"/>
          <w14:textFill>
            <w14:solidFill>
              <w14:schemeClr w14:val="tx1"/>
            </w14:solidFill>
          </w14:textFill>
        </w:rPr>
        <w:t>22.响应文件的修改与撤回</w:t>
      </w:r>
      <w:bookmarkEnd w:id="188"/>
      <w:bookmarkEnd w:id="189"/>
    </w:p>
    <w:p w14:paraId="266706A4">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 xml:space="preserve">.1 </w:t>
      </w:r>
      <w:bookmarkStart w:id="190" w:name="_Hlk143532466"/>
      <w:r>
        <w:rPr>
          <w:rFonts w:hint="eastAsia" w:ascii="宋体" w:hAnsi="宋体" w:eastAsia="宋体" w:cs="宋体"/>
          <w:color w:val="000000" w:themeColor="text1"/>
          <w:highlight w:val="none"/>
          <w14:textFill>
            <w14:solidFill>
              <w14:schemeClr w14:val="tx1"/>
            </w14:solidFill>
          </w14:textFill>
        </w:rPr>
        <w:t>在提交响应文件截止时间前，供应商可使用CA证书在递交响应文件的系统中撤回已提交的响应文件。响应文件撤回后，需重新递交的，供应商按照本章第</w:t>
      </w:r>
      <w:r>
        <w:rPr>
          <w:rFonts w:hint="eastAsia" w:ascii="宋体" w:hAnsi="宋体" w:eastAsia="宋体" w:cs="宋体"/>
          <w:color w:val="000000" w:themeColor="text1"/>
          <w:highlight w:val="none"/>
          <w:lang w:val="en-US"/>
          <w14:textFill>
            <w14:solidFill>
              <w14:schemeClr w14:val="tx1"/>
            </w14:solidFill>
          </w14:textFill>
        </w:rPr>
        <w:t>20</w:t>
      </w:r>
      <w:r>
        <w:rPr>
          <w:rFonts w:hint="eastAsia" w:ascii="宋体" w:hAnsi="宋体" w:eastAsia="宋体" w:cs="宋体"/>
          <w:color w:val="000000" w:themeColor="text1"/>
          <w:highlight w:val="none"/>
          <w14:textFill>
            <w14:solidFill>
              <w14:schemeClr w14:val="tx1"/>
            </w14:solidFill>
          </w14:textFill>
        </w:rPr>
        <w:t>款中的要求重新提交响应文件。</w:t>
      </w:r>
      <w:bookmarkEnd w:id="190"/>
    </w:p>
    <w:p w14:paraId="597690ED">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91" w:name="_Toc163492847"/>
      <w:bookmarkStart w:id="192" w:name="_Toc155185874"/>
      <w:r>
        <w:rPr>
          <w:rFonts w:hint="eastAsia" w:ascii="宋体" w:hAnsi="宋体" w:eastAsia="宋体" w:cs="宋体"/>
          <w:color w:val="000000" w:themeColor="text1"/>
          <w:highlight w:val="none"/>
          <w14:textFill>
            <w14:solidFill>
              <w14:schemeClr w14:val="tx1"/>
            </w14:solidFill>
          </w14:textFill>
        </w:rPr>
        <w:t>23.实物样品</w:t>
      </w:r>
      <w:bookmarkEnd w:id="191"/>
      <w:bookmarkEnd w:id="192"/>
    </w:p>
    <w:p w14:paraId="34A2BBA6">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“供应商须知前附表”要求提供样品的，样品的具体要求及评审详见“第三章 采购需求”和“第五章 评审办法及标准”。</w:t>
      </w:r>
    </w:p>
    <w:p w14:paraId="6205AA31">
      <w:pPr>
        <w:pStyle w:val="50"/>
        <w:ind w:firstLine="560"/>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样品退还：未成交的供应商应于成交结果公告发布之日起10日内自行联系采购人取回投标样品；成交人的样品由采购人进行保管、封存，并作为履约验收的参考（竞争性磋商文件另有规定的从其规定）。</w:t>
      </w:r>
    </w:p>
    <w:p w14:paraId="0E5F004E">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193" w:name="_Toc155185875"/>
      <w:bookmarkStart w:id="194" w:name="_Toc163492848"/>
      <w:r>
        <w:rPr>
          <w:rFonts w:hint="eastAsia" w:ascii="宋体" w:hAnsi="宋体" w:eastAsia="宋体" w:cs="宋体"/>
          <w:color w:val="000000" w:themeColor="text1"/>
          <w:highlight w:val="none"/>
          <w14:textFill>
            <w14:solidFill>
              <w14:schemeClr w14:val="tx1"/>
            </w14:solidFill>
          </w14:textFill>
        </w:rPr>
        <w:t>24.演示</w:t>
      </w:r>
      <w:bookmarkEnd w:id="193"/>
      <w:bookmarkEnd w:id="194"/>
    </w:p>
    <w:p w14:paraId="6D9B7664">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要求供应商进行演示的，演示的具体要求及评审</w:t>
      </w:r>
      <w:r>
        <w:rPr>
          <w:rFonts w:hint="eastAsia" w:ascii="宋体" w:hAnsi="宋体" w:eastAsia="宋体" w:cs="宋体"/>
          <w:color w:val="000000" w:themeColor="text1"/>
          <w:highlight w:val="none"/>
          <w:lang w:val="en-US"/>
          <w14:textFill>
            <w14:solidFill>
              <w14:schemeClr w14:val="tx1"/>
            </w14:solidFill>
          </w14:textFill>
        </w:rPr>
        <w:t>详见</w:t>
      </w:r>
      <w:r>
        <w:rPr>
          <w:rFonts w:hint="eastAsia" w:ascii="宋体" w:hAnsi="宋体" w:eastAsia="宋体" w:cs="宋体"/>
          <w:color w:val="000000" w:themeColor="text1"/>
          <w:highlight w:val="none"/>
          <w14:textFill>
            <w14:solidFill>
              <w14:schemeClr w14:val="tx1"/>
            </w14:solidFill>
          </w14:textFill>
        </w:rPr>
        <w:t>“第三章 采购需求”</w:t>
      </w:r>
      <w:r>
        <w:rPr>
          <w:rFonts w:hint="eastAsia" w:ascii="宋体" w:hAnsi="宋体" w:eastAsia="宋体" w:cs="宋体"/>
          <w:color w:val="000000" w:themeColor="text1"/>
          <w:highlight w:val="none"/>
          <w:lang w:val="en-US"/>
          <w14:textFill>
            <w14:solidFill>
              <w14:schemeClr w14:val="tx1"/>
            </w14:solidFill>
          </w14:textFill>
        </w:rPr>
        <w:t>或</w:t>
      </w:r>
      <w:r>
        <w:rPr>
          <w:rFonts w:hint="eastAsia" w:ascii="宋体" w:hAnsi="宋体" w:eastAsia="宋体" w:cs="宋体"/>
          <w:color w:val="000000" w:themeColor="text1"/>
          <w:highlight w:val="none"/>
          <w14:textFill>
            <w14:solidFill>
              <w14:schemeClr w14:val="tx1"/>
            </w14:solidFill>
          </w14:textFill>
        </w:rPr>
        <w:t>“第五章 评审办法及标准”。</w:t>
      </w:r>
    </w:p>
    <w:p w14:paraId="0019D42A">
      <w:pPr>
        <w:pStyle w:val="4"/>
        <w:ind w:firstLine="562"/>
        <w:rPr>
          <w:rFonts w:hint="eastAsia" w:ascii="宋体" w:hAnsi="宋体" w:eastAsia="宋体" w:cs="宋体"/>
          <w:color w:val="000000" w:themeColor="text1"/>
          <w:highlight w:val="none"/>
          <w14:textFill>
            <w14:solidFill>
              <w14:schemeClr w14:val="tx1"/>
            </w14:solidFill>
          </w14:textFill>
        </w:rPr>
      </w:pPr>
      <w:bookmarkStart w:id="195" w:name="_Toc163492849"/>
      <w:bookmarkStart w:id="196" w:name="_Toc1308454963"/>
      <w:bookmarkStart w:id="197" w:name="_Toc155185876"/>
      <w:bookmarkStart w:id="198" w:name="_Toc140132779"/>
      <w:bookmarkStart w:id="199" w:name="_Toc701967533"/>
      <w:bookmarkStart w:id="200" w:name="_Toc2166"/>
      <w:bookmarkStart w:id="201" w:name="_Toc25864"/>
      <w:bookmarkStart w:id="202" w:name="_Toc19719"/>
      <w:bookmarkStart w:id="203" w:name="_Toc7930"/>
      <w:r>
        <w:rPr>
          <w:rFonts w:hint="eastAsia" w:ascii="宋体" w:hAnsi="宋体" w:eastAsia="宋体" w:cs="宋体"/>
          <w:color w:val="000000" w:themeColor="text1"/>
          <w:highlight w:val="none"/>
          <w14:textFill>
            <w14:solidFill>
              <w14:schemeClr w14:val="tx1"/>
            </w14:solidFill>
          </w14:textFill>
        </w:rPr>
        <w:t>（五）</w:t>
      </w:r>
      <w:bookmarkEnd w:id="195"/>
      <w:bookmarkEnd w:id="196"/>
      <w:bookmarkEnd w:id="197"/>
      <w:bookmarkEnd w:id="198"/>
      <w:bookmarkEnd w:id="199"/>
      <w:bookmarkEnd w:id="200"/>
      <w:r>
        <w:rPr>
          <w:rFonts w:hint="eastAsia" w:ascii="宋体" w:hAnsi="宋体" w:eastAsia="宋体" w:cs="宋体"/>
          <w:color w:val="000000" w:themeColor="text1"/>
          <w:highlight w:val="none"/>
          <w14:textFill>
            <w14:solidFill>
              <w14:schemeClr w14:val="tx1"/>
            </w14:solidFill>
          </w14:textFill>
        </w:rPr>
        <w:t>响应文件的开启</w:t>
      </w:r>
      <w:bookmarkEnd w:id="201"/>
      <w:bookmarkEnd w:id="202"/>
      <w:bookmarkEnd w:id="203"/>
    </w:p>
    <w:p w14:paraId="79ED1038">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04" w:name="_Toc163492850"/>
      <w:bookmarkStart w:id="205" w:name="_Toc140132780"/>
      <w:r>
        <w:rPr>
          <w:rFonts w:hint="eastAsia" w:ascii="宋体" w:hAnsi="宋体" w:eastAsia="宋体" w:cs="宋体"/>
          <w:color w:val="000000" w:themeColor="text1"/>
          <w:highlight w:val="none"/>
          <w14:textFill>
            <w14:solidFill>
              <w14:schemeClr w14:val="tx1"/>
            </w14:solidFill>
          </w14:textFill>
        </w:rPr>
        <w:t>25.会议准备</w:t>
      </w:r>
      <w:bookmarkEnd w:id="204"/>
      <w:bookmarkEnd w:id="205"/>
    </w:p>
    <w:p w14:paraId="169420B2">
      <w:pPr>
        <w:ind w:firstLine="560"/>
        <w:rPr>
          <w:rFonts w:hint="eastAsia" w:ascii="宋体" w:hAnsi="宋体" w:eastAsia="宋体" w:cs="宋体"/>
          <w:bCs/>
          <w:color w:val="000000" w:themeColor="text1"/>
          <w:szCs w:val="24"/>
          <w:highlight w:val="none"/>
          <w14:textFill>
            <w14:solidFill>
              <w14:schemeClr w14:val="tx1"/>
            </w14:solidFill>
          </w14:textFill>
        </w:rPr>
      </w:pPr>
      <w:bookmarkStart w:id="206" w:name="_Toc140132781"/>
      <w:r>
        <w:rPr>
          <w:rFonts w:hint="eastAsia" w:ascii="宋体" w:hAnsi="宋体" w:eastAsia="宋体" w:cs="宋体"/>
          <w:color w:val="000000" w:themeColor="text1"/>
          <w:szCs w:val="24"/>
          <w:highlight w:val="none"/>
          <w14:textFill>
            <w14:solidFill>
              <w14:schemeClr w14:val="tx1"/>
            </w14:solidFill>
          </w14:textFill>
        </w:rPr>
        <w:t>25.1 供应商应按要求参与网上开启响应文件。</w:t>
      </w:r>
      <w:bookmarkEnd w:id="206"/>
    </w:p>
    <w:p w14:paraId="4BB70097">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07" w:name="_Toc163492851"/>
      <w:bookmarkStart w:id="208" w:name="_Toc140132782"/>
      <w:r>
        <w:rPr>
          <w:rFonts w:hint="eastAsia" w:ascii="宋体" w:hAnsi="宋体" w:eastAsia="宋体" w:cs="宋体"/>
          <w:color w:val="000000" w:themeColor="text1"/>
          <w:highlight w:val="none"/>
          <w14:textFill>
            <w14:solidFill>
              <w14:schemeClr w14:val="tx1"/>
            </w14:solidFill>
          </w14:textFill>
        </w:rPr>
        <w:t>26.开启时间和地点</w:t>
      </w:r>
      <w:bookmarkEnd w:id="207"/>
      <w:bookmarkEnd w:id="208"/>
    </w:p>
    <w:p w14:paraId="469E75F9">
      <w:pPr>
        <w:ind w:firstLine="560"/>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26.1 按“供应商须知前附表”规定的开启时间和地点准时举行，采购人、采购代理机构邀请所有供应商授权代表准时参加。</w:t>
      </w:r>
      <w:r>
        <w:rPr>
          <w:rFonts w:hint="eastAsia" w:ascii="宋体" w:hAnsi="宋体" w:eastAsia="宋体" w:cs="宋体"/>
          <w:b/>
          <w:bCs/>
          <w:color w:val="000000" w:themeColor="text1"/>
          <w:szCs w:val="24"/>
          <w:highlight w:val="none"/>
          <w14:textFill>
            <w14:solidFill>
              <w14:schemeClr w14:val="tx1"/>
            </w14:solidFill>
          </w14:textFill>
        </w:rPr>
        <w:t>本项目供应商开启响应文件即可。</w:t>
      </w:r>
    </w:p>
    <w:p w14:paraId="4820B87C">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09" w:name="_Toc163492852"/>
      <w:bookmarkStart w:id="210" w:name="_Toc140132783"/>
      <w:r>
        <w:rPr>
          <w:rFonts w:hint="eastAsia" w:ascii="宋体" w:hAnsi="宋体" w:eastAsia="宋体" w:cs="宋体"/>
          <w:color w:val="000000" w:themeColor="text1"/>
          <w:highlight w:val="none"/>
          <w14:textFill>
            <w14:solidFill>
              <w14:schemeClr w14:val="tx1"/>
            </w14:solidFill>
          </w14:textFill>
        </w:rPr>
        <w:t>27.开启程序</w:t>
      </w:r>
      <w:bookmarkEnd w:id="209"/>
      <w:bookmarkEnd w:id="210"/>
    </w:p>
    <w:p w14:paraId="2A523D86">
      <w:pPr>
        <w:ind w:firstLine="560"/>
        <w:rPr>
          <w:rFonts w:hint="eastAsia" w:ascii="宋体" w:hAnsi="宋体" w:eastAsia="宋体" w:cs="宋体"/>
          <w:color w:val="000000" w:themeColor="text1"/>
          <w:highlight w:val="none"/>
          <w14:textFill>
            <w14:solidFill>
              <w14:schemeClr w14:val="tx1"/>
            </w14:solidFill>
          </w14:textFill>
        </w:rPr>
      </w:pPr>
      <w:bookmarkStart w:id="211" w:name="_Toc140132784"/>
      <w:bookmarkStart w:id="212" w:name="_Toc163492853"/>
      <w:r>
        <w:rPr>
          <w:rFonts w:hint="eastAsia" w:ascii="宋体" w:hAnsi="宋体" w:eastAsia="宋体" w:cs="宋体"/>
          <w:color w:val="000000" w:themeColor="text1"/>
          <w:highlight w:val="none"/>
          <w14:textFill>
            <w14:solidFill>
              <w14:schemeClr w14:val="tx1"/>
            </w14:solidFill>
          </w14:textFill>
        </w:rPr>
        <w:t xml:space="preserve">27.1 </w:t>
      </w:r>
      <w:r>
        <w:rPr>
          <w:rFonts w:hint="eastAsia" w:ascii="宋体" w:hAnsi="宋体" w:eastAsia="宋体" w:cs="宋体"/>
          <w:color w:val="000000" w:themeColor="text1"/>
          <w:highlight w:val="none"/>
          <w:lang w:val="zh-CN"/>
          <w14:textFill>
            <w14:solidFill>
              <w14:schemeClr w14:val="tx1"/>
            </w14:solidFill>
          </w14:textFill>
        </w:rPr>
        <w:t>在</w:t>
      </w:r>
      <w:r>
        <w:rPr>
          <w:rFonts w:hint="eastAsia" w:ascii="宋体" w:hAnsi="宋体" w:eastAsia="宋体" w:cs="宋体"/>
          <w:color w:val="000000" w:themeColor="text1"/>
          <w:highlight w:val="none"/>
          <w14:textFill>
            <w14:solidFill>
              <w14:schemeClr w14:val="tx1"/>
            </w14:solidFill>
          </w14:textFill>
        </w:rPr>
        <w:t>“供应商须知前附表”</w:t>
      </w:r>
      <w:r>
        <w:rPr>
          <w:rFonts w:hint="eastAsia" w:ascii="宋体" w:hAnsi="宋体" w:eastAsia="宋体" w:cs="宋体"/>
          <w:color w:val="000000" w:themeColor="text1"/>
          <w:highlight w:val="none"/>
          <w:lang w:val="zh-CN"/>
          <w14:textFill>
            <w14:solidFill>
              <w14:schemeClr w14:val="tx1"/>
            </w14:solidFill>
          </w14:textFill>
        </w:rPr>
        <w:t>约定的提交响应文件截止时间、开启时间及地点，采购代理机构通过互联网在电子采购平台“开标大厅”组织响应文件开启工作。</w:t>
      </w:r>
    </w:p>
    <w:p w14:paraId="300EF44E">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27.2 响应文件开启：提交响应文件截止时间到后，工作人员启动开始解密指令，供应商应当按照“供应商须知前附表”规定及时进行响应文件解密，完成响应文件开启工作。</w:t>
      </w:r>
    </w:p>
    <w:p w14:paraId="48BF17C5">
      <w:pPr>
        <w:ind w:firstLine="56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27.3 规定的时间内，非因电子采购平台原因造成响应文件未解密的，视为供应商撤回响应文件。</w:t>
      </w:r>
      <w:r>
        <w:rPr>
          <w:rFonts w:hint="eastAsia" w:ascii="宋体" w:hAnsi="宋体" w:eastAsia="宋体" w:cs="宋体"/>
          <w:b/>
          <w:bCs/>
          <w:color w:val="000000" w:themeColor="text1"/>
          <w:highlight w:val="none"/>
          <w14:textFill>
            <w14:solidFill>
              <w14:schemeClr w14:val="tx1"/>
            </w14:solidFill>
          </w14:textFill>
        </w:rPr>
        <w:t>停止解密后，已解密开启的响应文件不足3家的，应当终止采购活动。</w:t>
      </w:r>
    </w:p>
    <w:p w14:paraId="65FFCCB0">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28.异议及回避情形</w:t>
      </w:r>
      <w:bookmarkEnd w:id="211"/>
      <w:bookmarkEnd w:id="212"/>
    </w:p>
    <w:p w14:paraId="215C59E6">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供应商代表对响应文件开启过程有</w:t>
      </w:r>
      <w:r>
        <w:rPr>
          <w:rFonts w:hint="eastAsia" w:ascii="宋体" w:hAnsi="宋体" w:eastAsia="宋体" w:cs="宋体"/>
          <w:color w:val="000000" w:themeColor="text1"/>
          <w:highlight w:val="none"/>
          <w:lang w:val="en-US"/>
          <w14:textFill>
            <w14:solidFill>
              <w14:schemeClr w14:val="tx1"/>
            </w14:solidFill>
          </w14:textFill>
        </w:rPr>
        <w:t>异议</w:t>
      </w:r>
      <w:r>
        <w:rPr>
          <w:rFonts w:hint="eastAsia" w:ascii="宋体" w:hAnsi="宋体" w:eastAsia="宋体" w:cs="宋体"/>
          <w:color w:val="000000" w:themeColor="text1"/>
          <w:highlight w:val="none"/>
          <w14:textFill>
            <w14:solidFill>
              <w14:schemeClr w14:val="tx1"/>
            </w14:solidFill>
          </w14:textFill>
        </w:rPr>
        <w:t>，以及认为采购人、采购代理机构相关工作人员有需要回避的情形的，应当及时提出。采购人、采购代理机构对供应商授权代表提出的询问或者回避申请应当及时处理。</w:t>
      </w:r>
    </w:p>
    <w:p w14:paraId="6EF19DD9">
      <w:pPr>
        <w:pStyle w:val="4"/>
        <w:ind w:firstLine="562"/>
        <w:rPr>
          <w:rFonts w:hint="eastAsia" w:ascii="宋体" w:hAnsi="宋体" w:eastAsia="宋体" w:cs="宋体"/>
          <w:color w:val="000000" w:themeColor="text1"/>
          <w:highlight w:val="none"/>
          <w14:textFill>
            <w14:solidFill>
              <w14:schemeClr w14:val="tx1"/>
            </w14:solidFill>
          </w14:textFill>
        </w:rPr>
      </w:pPr>
      <w:bookmarkStart w:id="213" w:name="_Toc140132785"/>
      <w:bookmarkStart w:id="214" w:name="_Toc767649634"/>
      <w:bookmarkStart w:id="215" w:name="_Toc12135"/>
      <w:bookmarkStart w:id="216" w:name="_Toc155185877"/>
      <w:bookmarkStart w:id="217" w:name="_Toc155318096"/>
      <w:bookmarkStart w:id="218" w:name="_Toc163492854"/>
      <w:bookmarkStart w:id="219" w:name="_Toc28272"/>
      <w:bookmarkStart w:id="220" w:name="_Toc31167"/>
      <w:bookmarkStart w:id="221" w:name="_Toc10742"/>
      <w:r>
        <w:rPr>
          <w:rFonts w:hint="eastAsia" w:ascii="宋体" w:hAnsi="宋体" w:eastAsia="宋体" w:cs="宋体"/>
          <w:color w:val="000000" w:themeColor="text1"/>
          <w:highlight w:val="none"/>
          <w14:textFill>
            <w14:solidFill>
              <w14:schemeClr w14:val="tx1"/>
            </w14:solidFill>
          </w14:textFill>
        </w:rPr>
        <w:t>（六）</w:t>
      </w:r>
      <w:bookmarkEnd w:id="213"/>
      <w:bookmarkEnd w:id="214"/>
      <w:bookmarkEnd w:id="215"/>
      <w:bookmarkEnd w:id="216"/>
      <w:bookmarkEnd w:id="217"/>
      <w:bookmarkEnd w:id="218"/>
      <w:r>
        <w:rPr>
          <w:rFonts w:hint="eastAsia" w:ascii="宋体" w:hAnsi="宋体" w:eastAsia="宋体" w:cs="宋体"/>
          <w:color w:val="000000" w:themeColor="text1"/>
          <w:highlight w:val="none"/>
          <w14:textFill>
            <w14:solidFill>
              <w14:schemeClr w14:val="tx1"/>
            </w14:solidFill>
          </w14:textFill>
        </w:rPr>
        <w:t>评审方法、程序及标准</w:t>
      </w:r>
      <w:bookmarkEnd w:id="219"/>
      <w:bookmarkEnd w:id="220"/>
      <w:bookmarkEnd w:id="221"/>
    </w:p>
    <w:p w14:paraId="4641911B">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22" w:name="_Toc140132790"/>
      <w:bookmarkStart w:id="223" w:name="_Toc163492857"/>
      <w:r>
        <w:rPr>
          <w:rFonts w:hint="eastAsia" w:ascii="宋体" w:hAnsi="宋体" w:eastAsia="宋体" w:cs="宋体"/>
          <w:color w:val="000000" w:themeColor="text1"/>
          <w:highlight w:val="none"/>
          <w14:textFill>
            <w14:solidFill>
              <w14:schemeClr w14:val="tx1"/>
            </w14:solidFill>
          </w14:textFill>
        </w:rPr>
        <w:t>29.</w:t>
      </w:r>
      <w:bookmarkEnd w:id="222"/>
      <w:bookmarkEnd w:id="223"/>
      <w:r>
        <w:rPr>
          <w:rFonts w:hint="eastAsia" w:ascii="宋体" w:hAnsi="宋体" w:eastAsia="宋体" w:cs="宋体"/>
          <w:color w:val="000000" w:themeColor="text1"/>
          <w:highlight w:val="none"/>
          <w14:textFill>
            <w14:solidFill>
              <w14:schemeClr w14:val="tx1"/>
            </w14:solidFill>
          </w14:textFill>
        </w:rPr>
        <w:t>磋商小组</w:t>
      </w:r>
    </w:p>
    <w:p w14:paraId="5C689BA3">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29</w:t>
      </w:r>
      <w:r>
        <w:rPr>
          <w:rFonts w:hint="eastAsia" w:ascii="宋体" w:hAnsi="宋体" w:eastAsia="宋体" w:cs="宋体"/>
          <w:color w:val="000000" w:themeColor="text1"/>
          <w:highlight w:val="none"/>
          <w14:textFill>
            <w14:solidFill>
              <w14:schemeClr w14:val="tx1"/>
            </w14:solidFill>
          </w14:textFill>
        </w:rPr>
        <w:t xml:space="preserve">.1 </w:t>
      </w:r>
      <w:r>
        <w:rPr>
          <w:rFonts w:hint="eastAsia" w:ascii="宋体" w:hAnsi="宋体" w:eastAsia="宋体" w:cs="宋体"/>
          <w:color w:val="000000" w:themeColor="text1"/>
          <w:highlight w:val="none"/>
          <w:lang w:val="en-US"/>
          <w14:textFill>
            <w14:solidFill>
              <w14:schemeClr w14:val="tx1"/>
            </w14:solidFill>
          </w14:textFill>
        </w:rPr>
        <w:t>评审</w:t>
      </w:r>
      <w:r>
        <w:rPr>
          <w:rFonts w:hint="eastAsia" w:ascii="宋体" w:hAnsi="宋体" w:eastAsia="宋体" w:cs="宋体"/>
          <w:color w:val="000000" w:themeColor="text1"/>
          <w:highlight w:val="none"/>
          <w14:textFill>
            <w14:solidFill>
              <w14:schemeClr w14:val="tx1"/>
            </w14:solidFill>
          </w14:textFill>
        </w:rPr>
        <w:t>由采购人依法组建的磋商小组负责。磋商小组由采购人代表和评审专家组成。</w:t>
      </w:r>
    </w:p>
    <w:p w14:paraId="3427AC75">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29</w:t>
      </w:r>
      <w:r>
        <w:rPr>
          <w:rFonts w:hint="eastAsia" w:ascii="宋体" w:hAnsi="宋体" w:eastAsia="宋体" w:cs="宋体"/>
          <w:color w:val="000000" w:themeColor="text1"/>
          <w:highlight w:val="none"/>
          <w14:textFill>
            <w14:solidFill>
              <w14:schemeClr w14:val="tx1"/>
            </w14:solidFill>
          </w14:textFill>
        </w:rPr>
        <w:t>.2 磋商小组成员有下列情形之一的，应当回避：</w:t>
      </w:r>
    </w:p>
    <w:p w14:paraId="710FE216">
      <w:pPr>
        <w:pStyle w:val="50"/>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（1）参加采购活动前3年内与供应商存在劳动关系；</w:t>
      </w:r>
    </w:p>
    <w:p w14:paraId="0961612E">
      <w:pPr>
        <w:pStyle w:val="50"/>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（2）参加采购活动前3年内担任供应商的董事、监事；</w:t>
      </w:r>
    </w:p>
    <w:p w14:paraId="77D9C67F">
      <w:pPr>
        <w:pStyle w:val="50"/>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（3）参加采购活动前3年内是供应商的控股股东或者实际控制人；</w:t>
      </w:r>
    </w:p>
    <w:p w14:paraId="78A0FD74">
      <w:pPr>
        <w:pStyle w:val="50"/>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（4）与供应商的法定代表人或者负责人有夫妻、直系血亲、三代以内旁系血亲或者近姻亲关系；</w:t>
      </w:r>
    </w:p>
    <w:p w14:paraId="53284D24">
      <w:pPr>
        <w:pStyle w:val="50"/>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（5）与供应商有其他可能影响采购活动公平、公正进行的关系。</w:t>
      </w:r>
    </w:p>
    <w:p w14:paraId="4C243D9C">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24" w:name="_Toc163492858"/>
      <w:bookmarkStart w:id="225" w:name="_Toc140132791"/>
      <w:r>
        <w:rPr>
          <w:rFonts w:hint="eastAsia" w:ascii="宋体" w:hAnsi="宋体" w:eastAsia="宋体" w:cs="宋体"/>
          <w:color w:val="000000" w:themeColor="text1"/>
          <w:highlight w:val="none"/>
          <w14:textFill>
            <w14:solidFill>
              <w14:schemeClr w14:val="tx1"/>
            </w14:solidFill>
          </w14:textFill>
        </w:rPr>
        <w:t>30.</w:t>
      </w:r>
      <w:bookmarkEnd w:id="224"/>
      <w:bookmarkEnd w:id="225"/>
      <w:r>
        <w:rPr>
          <w:rFonts w:hint="eastAsia" w:ascii="宋体" w:hAnsi="宋体" w:eastAsia="宋体" w:cs="宋体"/>
          <w:color w:val="000000" w:themeColor="text1"/>
          <w:highlight w:val="none"/>
          <w14:textFill>
            <w14:solidFill>
              <w14:schemeClr w14:val="tx1"/>
            </w14:solidFill>
          </w14:textFill>
        </w:rPr>
        <w:t>评审</w:t>
      </w:r>
    </w:p>
    <w:p w14:paraId="255C7A37">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30</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磋商小组按照“第</w:t>
      </w:r>
      <w:r>
        <w:rPr>
          <w:rFonts w:hint="eastAsia" w:ascii="宋体" w:hAnsi="宋体" w:eastAsia="宋体" w:cs="宋体"/>
          <w:color w:val="000000" w:themeColor="text1"/>
          <w:highlight w:val="none"/>
          <w:lang w:val="en-US"/>
          <w14:textFill>
            <w14:solidFill>
              <w14:schemeClr w14:val="tx1"/>
            </w14:solidFill>
          </w14:textFill>
        </w:rPr>
        <w:t>四</w:t>
      </w:r>
      <w:r>
        <w:rPr>
          <w:rFonts w:hint="eastAsia" w:ascii="宋体" w:hAnsi="宋体" w:eastAsia="宋体" w:cs="宋体"/>
          <w:color w:val="000000" w:themeColor="text1"/>
          <w:highlight w:val="none"/>
          <w14:textFill>
            <w14:solidFill>
              <w14:schemeClr w14:val="tx1"/>
            </w14:solidFill>
          </w14:textFill>
        </w:rPr>
        <w:t>章</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评审方法、程序及标准”规定对响应文件进行评审。“第</w:t>
      </w:r>
      <w:r>
        <w:rPr>
          <w:rFonts w:hint="eastAsia" w:ascii="宋体" w:hAnsi="宋体" w:eastAsia="宋体" w:cs="宋体"/>
          <w:color w:val="000000" w:themeColor="text1"/>
          <w:highlight w:val="none"/>
          <w:lang w:val="en-US"/>
          <w14:textFill>
            <w14:solidFill>
              <w14:schemeClr w14:val="tx1"/>
            </w14:solidFill>
          </w14:textFill>
        </w:rPr>
        <w:t>四</w:t>
      </w:r>
      <w:r>
        <w:rPr>
          <w:rFonts w:hint="eastAsia" w:ascii="宋体" w:hAnsi="宋体" w:eastAsia="宋体" w:cs="宋体"/>
          <w:color w:val="000000" w:themeColor="text1"/>
          <w:highlight w:val="none"/>
          <w14:textFill>
            <w14:solidFill>
              <w14:schemeClr w14:val="tx1"/>
            </w14:solidFill>
          </w14:textFill>
        </w:rPr>
        <w:t>章</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评审方法、程序及标准”没有规定的方法、评审因素和标准，不作为评审依据。</w:t>
      </w:r>
    </w:p>
    <w:p w14:paraId="67C96313">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30</w:t>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磋商小组按“供应商须知前附表”规定的成交候选人数量在评审报告中向采购人推荐成交候选人。</w:t>
      </w:r>
    </w:p>
    <w:p w14:paraId="33EABA9A">
      <w:pPr>
        <w:pStyle w:val="4"/>
        <w:ind w:firstLine="562"/>
        <w:rPr>
          <w:rFonts w:hint="eastAsia" w:ascii="宋体" w:hAnsi="宋体" w:eastAsia="宋体" w:cs="宋体"/>
          <w:color w:val="000000" w:themeColor="text1"/>
          <w:highlight w:val="none"/>
          <w14:textFill>
            <w14:solidFill>
              <w14:schemeClr w14:val="tx1"/>
            </w14:solidFill>
          </w14:textFill>
        </w:rPr>
      </w:pPr>
      <w:bookmarkStart w:id="226" w:name="_Toc155185879"/>
      <w:bookmarkStart w:id="227" w:name="_Toc140132792"/>
      <w:bookmarkStart w:id="228" w:name="_Toc806926008"/>
      <w:bookmarkStart w:id="229" w:name="_Toc163492859"/>
      <w:bookmarkStart w:id="230" w:name="_Toc9438"/>
      <w:bookmarkStart w:id="231" w:name="_Toc983434171"/>
      <w:bookmarkStart w:id="232" w:name="_Toc3792"/>
      <w:bookmarkStart w:id="233" w:name="_Toc23291"/>
      <w:bookmarkStart w:id="234" w:name="_Toc11234"/>
      <w:r>
        <w:rPr>
          <w:rFonts w:hint="eastAsia" w:ascii="宋体" w:hAnsi="宋体" w:eastAsia="宋体" w:cs="宋体"/>
          <w:color w:val="000000" w:themeColor="text1"/>
          <w:highlight w:val="none"/>
          <w14:textFill>
            <w14:solidFill>
              <w14:schemeClr w14:val="tx1"/>
            </w14:solidFill>
          </w14:textFill>
        </w:rPr>
        <w:t>（七）</w:t>
      </w:r>
      <w:bookmarkEnd w:id="226"/>
      <w:bookmarkEnd w:id="227"/>
      <w:bookmarkEnd w:id="228"/>
      <w:bookmarkEnd w:id="229"/>
      <w:bookmarkEnd w:id="230"/>
      <w:bookmarkEnd w:id="231"/>
      <w:r>
        <w:rPr>
          <w:rFonts w:hint="eastAsia" w:ascii="宋体" w:hAnsi="宋体" w:eastAsia="宋体" w:cs="宋体"/>
          <w:color w:val="000000" w:themeColor="text1"/>
          <w:highlight w:val="none"/>
          <w14:textFill>
            <w14:solidFill>
              <w14:schemeClr w14:val="tx1"/>
            </w14:solidFill>
          </w14:textFill>
        </w:rPr>
        <w:t>成交</w:t>
      </w:r>
      <w:bookmarkEnd w:id="232"/>
      <w:bookmarkEnd w:id="233"/>
      <w:bookmarkEnd w:id="234"/>
    </w:p>
    <w:p w14:paraId="4F057299">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35" w:name="_Toc140132793"/>
      <w:bookmarkStart w:id="236" w:name="_Toc163492860"/>
      <w:r>
        <w:rPr>
          <w:rFonts w:hint="eastAsia" w:ascii="宋体" w:hAnsi="宋体" w:eastAsia="宋体" w:cs="宋体"/>
          <w:color w:val="000000" w:themeColor="text1"/>
          <w:highlight w:val="none"/>
          <w14:textFill>
            <w14:solidFill>
              <w14:schemeClr w14:val="tx1"/>
            </w14:solidFill>
          </w14:textFill>
        </w:rPr>
        <w:t>31.确定成交人</w:t>
      </w:r>
      <w:bookmarkEnd w:id="235"/>
      <w:bookmarkEnd w:id="236"/>
    </w:p>
    <w:p w14:paraId="1F0A2A74">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确定成交人详见“供应商须知前附表”。</w:t>
      </w:r>
    </w:p>
    <w:p w14:paraId="640B79EF">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37" w:name="_Toc163492861"/>
      <w:bookmarkStart w:id="238" w:name="_Toc140132794"/>
      <w:r>
        <w:rPr>
          <w:rFonts w:hint="eastAsia" w:ascii="宋体" w:hAnsi="宋体" w:eastAsia="宋体" w:cs="宋体"/>
          <w:color w:val="000000" w:themeColor="text1"/>
          <w:highlight w:val="none"/>
          <w14:textFill>
            <w14:solidFill>
              <w14:schemeClr w14:val="tx1"/>
            </w14:solidFill>
          </w14:textFill>
        </w:rPr>
        <w:t>32.成交结果公告</w:t>
      </w:r>
      <w:bookmarkEnd w:id="237"/>
      <w:bookmarkEnd w:id="238"/>
    </w:p>
    <w:p w14:paraId="27519ED7">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采购代理机构应当自成交人确定之日起2个工作日内，发出成交通知书，并在云南省政府采购网（http://www.ccgp-yunnan.gov.cn/）上发布成交结果公告，竞争性磋商文件随成交结果同时公告，成交结果公告期限为1个工作日。</w:t>
      </w:r>
    </w:p>
    <w:p w14:paraId="01476FDB">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项目采购采用最低评审价法的，公告成交结果时同时公告因落实政府采购政策等原因进行价格扣除后成交供应商的评审报价；项目采购采用综合评分法的，公告成交结果时同时公告成交供应商的评审总得分。</w:t>
      </w:r>
    </w:p>
    <w:p w14:paraId="2C9ADE8E">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39" w:name="_Toc163492862"/>
      <w:bookmarkStart w:id="240" w:name="_Toc140132795"/>
      <w:r>
        <w:rPr>
          <w:rFonts w:hint="eastAsia" w:ascii="宋体" w:hAnsi="宋体" w:eastAsia="宋体" w:cs="宋体"/>
          <w:color w:val="000000" w:themeColor="text1"/>
          <w:highlight w:val="none"/>
          <w14:textFill>
            <w14:solidFill>
              <w14:schemeClr w14:val="tx1"/>
            </w14:solidFill>
          </w14:textFill>
        </w:rPr>
        <w:t>33.成交通知</w:t>
      </w:r>
      <w:bookmarkEnd w:id="239"/>
      <w:bookmarkEnd w:id="240"/>
    </w:p>
    <w:p w14:paraId="4C58B7B1">
      <w:pPr>
        <w:pStyle w:val="50"/>
        <w:ind w:firstLine="560"/>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采购人和采购代理机构以书面形式向成交人发出成交通知书，同时将</w:t>
      </w:r>
      <w:r>
        <w:rPr>
          <w:rFonts w:hint="eastAsia" w:ascii="宋体" w:hAnsi="宋体" w:eastAsia="宋体" w:cs="宋体"/>
          <w:color w:val="000000" w:themeColor="text1"/>
          <w:highlight w:val="none"/>
          <w:lang w:val="en-US"/>
          <w14:textFill>
            <w14:solidFill>
              <w14:schemeClr w14:val="tx1"/>
            </w14:solidFill>
          </w14:textFill>
        </w:rPr>
        <w:t>采购</w:t>
      </w:r>
      <w:r>
        <w:rPr>
          <w:rFonts w:hint="eastAsia" w:ascii="宋体" w:hAnsi="宋体" w:eastAsia="宋体" w:cs="宋体"/>
          <w:color w:val="000000" w:themeColor="text1"/>
          <w:highlight w:val="none"/>
          <w14:textFill>
            <w14:solidFill>
              <w14:schemeClr w14:val="tx1"/>
            </w14:solidFill>
          </w14:textFill>
        </w:rPr>
        <w:t>结果通知未成交的供应商。对未通过资格审查的供应商，应当告知其未通过的原因；采用综合评分法评审的，还应当告知未成交人本人的评审得分与排序。</w:t>
      </w:r>
    </w:p>
    <w:p w14:paraId="028BD8EF">
      <w:pPr>
        <w:pStyle w:val="50"/>
        <w:ind w:firstLine="482"/>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注：参加本项目政府采购活动供应商可通过“政采云”平台自行查看以上相关信息。</w:t>
      </w:r>
    </w:p>
    <w:p w14:paraId="4A0DF987">
      <w:pPr>
        <w:pStyle w:val="4"/>
        <w:ind w:firstLine="562"/>
        <w:rPr>
          <w:rFonts w:hint="eastAsia" w:ascii="宋体" w:hAnsi="宋体" w:eastAsia="宋体" w:cs="宋体"/>
          <w:color w:val="000000" w:themeColor="text1"/>
          <w:highlight w:val="none"/>
          <w14:textFill>
            <w14:solidFill>
              <w14:schemeClr w14:val="tx1"/>
            </w14:solidFill>
          </w14:textFill>
        </w:rPr>
      </w:pPr>
      <w:bookmarkStart w:id="241" w:name="_Toc1527363834"/>
      <w:bookmarkStart w:id="242" w:name="_Toc11769"/>
      <w:bookmarkStart w:id="243" w:name="_Toc17199"/>
      <w:bookmarkStart w:id="244" w:name="_Toc16344"/>
      <w:bookmarkStart w:id="245" w:name="_Toc3139"/>
      <w:bookmarkStart w:id="246" w:name="_Toc69157756"/>
      <w:bookmarkStart w:id="247" w:name="_Toc163492863"/>
      <w:r>
        <w:rPr>
          <w:rFonts w:hint="eastAsia" w:ascii="宋体" w:hAnsi="宋体" w:eastAsia="宋体" w:cs="宋体"/>
          <w:color w:val="000000" w:themeColor="text1"/>
          <w:highlight w:val="none"/>
          <w14:textFill>
            <w14:solidFill>
              <w14:schemeClr w14:val="tx1"/>
            </w14:solidFill>
          </w14:textFill>
        </w:rPr>
        <w:t>（九）签订</w:t>
      </w:r>
      <w:bookmarkStart w:id="248" w:name="_Toc155185880"/>
      <w:bookmarkStart w:id="249" w:name="_Toc140132796"/>
      <w:r>
        <w:rPr>
          <w:rFonts w:hint="eastAsia" w:ascii="宋体" w:hAnsi="宋体" w:eastAsia="宋体" w:cs="宋体"/>
          <w:color w:val="000000" w:themeColor="text1"/>
          <w:highlight w:val="none"/>
          <w14:textFill>
            <w14:solidFill>
              <w14:schemeClr w14:val="tx1"/>
            </w14:solidFill>
          </w14:textFill>
        </w:rPr>
        <w:t>合同</w:t>
      </w:r>
      <w:bookmarkEnd w:id="241"/>
      <w:bookmarkEnd w:id="242"/>
      <w:bookmarkEnd w:id="243"/>
      <w:bookmarkEnd w:id="244"/>
      <w:bookmarkEnd w:id="245"/>
      <w:bookmarkEnd w:id="246"/>
      <w:bookmarkEnd w:id="247"/>
      <w:bookmarkEnd w:id="248"/>
      <w:bookmarkEnd w:id="249"/>
    </w:p>
    <w:p w14:paraId="152A8C6F">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50" w:name="_Toc163492864"/>
      <w:bookmarkStart w:id="251" w:name="_Toc140132797"/>
      <w:r>
        <w:rPr>
          <w:rFonts w:hint="eastAsia" w:ascii="宋体" w:hAnsi="宋体" w:eastAsia="宋体" w:cs="宋体"/>
          <w:color w:val="000000" w:themeColor="text1"/>
          <w:highlight w:val="none"/>
          <w14:textFill>
            <w14:solidFill>
              <w14:schemeClr w14:val="tx1"/>
            </w14:solidFill>
          </w14:textFill>
        </w:rPr>
        <w:t>34.履约保证金</w:t>
      </w:r>
      <w:bookmarkEnd w:id="250"/>
      <w:bookmarkEnd w:id="251"/>
    </w:p>
    <w:p w14:paraId="1C5A4762">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在签订合同前，成交人应按“供应商须知前附表”规定的金额、担保形式和采购人认可的履约担保格式向采购人提交履约保证金。</w:t>
      </w:r>
    </w:p>
    <w:p w14:paraId="4E7131E6">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14:textFill>
            <w14:solidFill>
              <w14:schemeClr w14:val="tx1"/>
            </w14:solidFill>
          </w14:textFill>
        </w:rPr>
        <w:t>34</w:t>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成交人不能按本章第3</w:t>
      </w:r>
      <w:r>
        <w:rPr>
          <w:rFonts w:hint="eastAsia" w:ascii="宋体" w:hAnsi="宋体" w:eastAsia="宋体" w:cs="宋体"/>
          <w:color w:val="000000" w:themeColor="text1"/>
          <w:highlight w:val="none"/>
          <w:lang w:val="en-US"/>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.1项要求提交履约担保的，视为放弃成交，给采购人造成损失的，成交人还应当承担民事责任。</w:t>
      </w:r>
    </w:p>
    <w:p w14:paraId="67942057">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52" w:name="_Toc140132798"/>
      <w:bookmarkStart w:id="253" w:name="_Toc163492865"/>
      <w:r>
        <w:rPr>
          <w:rFonts w:hint="eastAsia" w:ascii="宋体" w:hAnsi="宋体" w:eastAsia="宋体" w:cs="宋体"/>
          <w:color w:val="000000" w:themeColor="text1"/>
          <w:highlight w:val="none"/>
          <w14:textFill>
            <w14:solidFill>
              <w14:schemeClr w14:val="tx1"/>
            </w14:solidFill>
          </w14:textFill>
        </w:rPr>
        <w:t>35.签订合同</w:t>
      </w:r>
      <w:bookmarkEnd w:id="252"/>
      <w:bookmarkEnd w:id="253"/>
    </w:p>
    <w:p w14:paraId="38A99700">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.1 采购人和成交人应当自成交通知书发出之日起30天内，根据竞争性磋商文件和成交人的响应文件订立书面合同。采购人因不可抗力原因迟延签订合同的，应当自不可抗力事由消除之日起7日内完成合同签订事宜。所签订的合同不得对竞争性磋商文件和成交人响应文件作实质性修改。成交人无正当理由拒签合同的，给采购人造成损失的，成交人还应当承担民事责任。</w:t>
      </w:r>
    </w:p>
    <w:p w14:paraId="5D12BC55">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.2 采购人和成交人不得向对方提出任何不合理的要求，作为签订合同的条件，双方不得私下订立背离合同实质性内容的协议。</w:t>
      </w:r>
    </w:p>
    <w:p w14:paraId="32CFE0D9">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采购合同履行中，采购人需追加与合同标的相同的服务的，在不改变合同其他条款的前提下，可以与成交人协商签订补充合同，但所有补充合同的采购金额不得超过原合同采购金额的百分之十。</w:t>
      </w:r>
    </w:p>
    <w:p w14:paraId="6BF1A1BF">
      <w:pPr>
        <w:pStyle w:val="4"/>
        <w:ind w:firstLine="562"/>
        <w:rPr>
          <w:rFonts w:hint="eastAsia" w:ascii="宋体" w:hAnsi="宋体" w:eastAsia="宋体" w:cs="宋体"/>
          <w:color w:val="000000" w:themeColor="text1"/>
          <w:highlight w:val="none"/>
          <w14:textFill>
            <w14:solidFill>
              <w14:schemeClr w14:val="tx1"/>
            </w14:solidFill>
          </w14:textFill>
        </w:rPr>
      </w:pPr>
      <w:bookmarkStart w:id="254" w:name="_Toc942609309"/>
      <w:bookmarkStart w:id="255" w:name="_Toc3793"/>
      <w:bookmarkStart w:id="256" w:name="_Toc140132799"/>
      <w:bookmarkStart w:id="257" w:name="_Toc155185881"/>
      <w:bookmarkStart w:id="258" w:name="_Toc31511"/>
      <w:bookmarkStart w:id="259" w:name="_Toc163492866"/>
      <w:bookmarkStart w:id="260" w:name="_Toc682438624"/>
      <w:bookmarkStart w:id="261" w:name="_Toc2644"/>
      <w:bookmarkStart w:id="262" w:name="_Toc28620"/>
      <w:r>
        <w:rPr>
          <w:rFonts w:hint="eastAsia" w:ascii="宋体" w:hAnsi="宋体" w:eastAsia="宋体" w:cs="宋体"/>
          <w:color w:val="000000" w:themeColor="text1"/>
          <w:highlight w:val="none"/>
          <w14:textFill>
            <w14:solidFill>
              <w14:schemeClr w14:val="tx1"/>
            </w14:solidFill>
          </w14:textFill>
        </w:rPr>
        <w:t>（十）质疑和投诉</w:t>
      </w:r>
      <w:bookmarkEnd w:id="254"/>
      <w:bookmarkEnd w:id="255"/>
      <w:bookmarkEnd w:id="256"/>
      <w:bookmarkEnd w:id="257"/>
      <w:bookmarkEnd w:id="258"/>
      <w:bookmarkEnd w:id="259"/>
      <w:bookmarkEnd w:id="260"/>
      <w:bookmarkEnd w:id="261"/>
      <w:bookmarkEnd w:id="262"/>
    </w:p>
    <w:p w14:paraId="2FD71014">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63" w:name="_Toc163492867"/>
      <w:bookmarkStart w:id="264" w:name="_Toc140132800"/>
      <w:r>
        <w:rPr>
          <w:rFonts w:hint="eastAsia" w:ascii="宋体" w:hAnsi="宋体" w:eastAsia="宋体" w:cs="宋体"/>
          <w:color w:val="000000" w:themeColor="text1"/>
          <w:highlight w:val="none"/>
          <w14:textFill>
            <w14:solidFill>
              <w14:schemeClr w14:val="tx1"/>
            </w14:solidFill>
          </w14:textFill>
        </w:rPr>
        <w:t>36.质疑</w:t>
      </w:r>
      <w:bookmarkEnd w:id="263"/>
      <w:bookmarkEnd w:id="264"/>
    </w:p>
    <w:p w14:paraId="6890941F">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供应商认为竞争性磋商文件、采购过程和成交结果使自己的权益受到损害的，可以在知道或者应知其权益受到损害之日起7个工作日内</w:t>
      </w:r>
      <w:bookmarkStart w:id="265" w:name="_Hlk143534740"/>
      <w:r>
        <w:rPr>
          <w:rFonts w:hint="eastAsia" w:ascii="宋体" w:hAnsi="宋体" w:eastAsia="宋体" w:cs="宋体"/>
          <w:color w:val="000000" w:themeColor="text1"/>
          <w:highlight w:val="none"/>
          <w14:textFill>
            <w14:solidFill>
              <w14:schemeClr w14:val="tx1"/>
            </w14:solidFill>
          </w14:textFill>
        </w:rPr>
        <w:t>，向采购人或采购代理机构提出质疑</w:t>
      </w:r>
      <w:bookmarkEnd w:id="265"/>
      <w:r>
        <w:rPr>
          <w:rFonts w:hint="eastAsia" w:ascii="宋体" w:hAnsi="宋体" w:eastAsia="宋体" w:cs="宋体"/>
          <w:color w:val="000000" w:themeColor="text1"/>
          <w:highlight w:val="none"/>
          <w14:textFill>
            <w14:solidFill>
              <w14:schemeClr w14:val="tx1"/>
            </w14:solidFill>
          </w14:textFill>
        </w:rPr>
        <w:t>。</w:t>
      </w:r>
    </w:p>
    <w:p w14:paraId="0D8F66B2">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供应商提出质疑应当提交质疑函和必要的证明材料。质疑函应当包括下列内容：</w:t>
      </w:r>
    </w:p>
    <w:p w14:paraId="516370B0">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（1）质疑人的姓名或者名称、地址、邮编、联系人及联系电话；</w:t>
      </w:r>
    </w:p>
    <w:p w14:paraId="6EE6E85A">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（2）质疑项目的名称、编号；</w:t>
      </w:r>
    </w:p>
    <w:p w14:paraId="2B6CAB6C">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（3）具体、明确的质疑事项和与质疑事项相关的请求；</w:t>
      </w:r>
    </w:p>
    <w:p w14:paraId="02F92947">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（4）事实依据；</w:t>
      </w:r>
    </w:p>
    <w:p w14:paraId="2BB13082">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（5）必要的法律依据；</w:t>
      </w:r>
    </w:p>
    <w:p w14:paraId="479EA90B">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（6）提出质疑的日期。</w:t>
      </w:r>
    </w:p>
    <w:p w14:paraId="2CC7F638">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14:textFill>
            <w14:solidFill>
              <w14:schemeClr w14:val="tx1"/>
            </w14:solidFill>
          </w14:textFill>
        </w:rPr>
        <w:t xml:space="preserve"> 质疑函必须使用财政部制定的范本文件（</w:t>
      </w:r>
      <w:r>
        <w:rPr>
          <w:rFonts w:hint="eastAsia" w:ascii="宋体" w:hAnsi="宋体" w:eastAsia="宋体" w:cs="宋体"/>
          <w:color w:val="000000" w:themeColor="text1"/>
          <w:highlight w:val="none"/>
          <w14:textFill>
            <w14:solidFill>
              <w14:schemeClr w14:val="tx1"/>
            </w14:solidFill>
          </w14:textFill>
        </w:rPr>
        <w:t>供应商</w:t>
      </w:r>
      <w:r>
        <w:rPr>
          <w:rFonts w:hint="eastAsia" w:ascii="宋体" w:hAnsi="宋体" w:eastAsia="宋体" w:cs="宋体"/>
          <w:color w:val="000000" w:themeColor="text1"/>
          <w:highlight w:val="none"/>
          <w:lang w:val="en-US"/>
          <w14:textFill>
            <w14:solidFill>
              <w14:schemeClr w14:val="tx1"/>
            </w14:solidFill>
          </w14:textFill>
        </w:rPr>
        <w:t>可自行登录</w:t>
      </w:r>
      <w:r>
        <w:rPr>
          <w:rFonts w:hint="eastAsia" w:ascii="宋体" w:hAnsi="宋体" w:eastAsia="宋体" w:cs="宋体"/>
          <w:color w:val="000000" w:themeColor="text1"/>
          <w:highlight w:val="none"/>
          <w14:textFill>
            <w14:solidFill>
              <w14:schemeClr w14:val="tx1"/>
            </w14:solidFill>
          </w14:textFill>
        </w:rPr>
        <w:t>中国政府采购网（http://www.ccgp.gov.cn/）</w:t>
      </w:r>
      <w:r>
        <w:rPr>
          <w:rFonts w:hint="eastAsia" w:ascii="宋体" w:hAnsi="宋体" w:eastAsia="宋体" w:cs="宋体"/>
          <w:color w:val="000000" w:themeColor="text1"/>
          <w:highlight w:val="none"/>
          <w:lang w:val="en-US"/>
          <w14:textFill>
            <w14:solidFill>
              <w14:schemeClr w14:val="tx1"/>
            </w14:solidFill>
          </w14:textFill>
        </w:rPr>
        <w:t>的首页下载《政府采购供应商质疑函范本》）。质疑人为自然人的，质疑函应当由本人签字；质疑人为法人或者其他组织的，质疑函应当由法定代表人、主要负责人，或者其授权代表签字或者盖章，并加盖公章。</w:t>
      </w:r>
    </w:p>
    <w:p w14:paraId="0E3D996A">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36.4 质疑人应在法定质疑期内一次性提出针对同一采购程序环节的质疑， 法定质疑期内针对同一采购程序环节再次提出的质疑，采购人、采购代理机构有权不予答复。</w:t>
      </w:r>
    </w:p>
    <w:p w14:paraId="6C332D87">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14:textFill>
            <w14:solidFill>
              <w14:schemeClr w14:val="tx1"/>
            </w14:solidFill>
          </w14:textFill>
        </w:rPr>
        <w:t xml:space="preserve">5 </w:t>
      </w:r>
      <w:r>
        <w:rPr>
          <w:rFonts w:hint="eastAsia" w:ascii="宋体" w:hAnsi="宋体" w:eastAsia="宋体" w:cs="宋体"/>
          <w:color w:val="000000" w:themeColor="text1"/>
          <w:highlight w:val="none"/>
          <w14:textFill>
            <w14:solidFill>
              <w14:schemeClr w14:val="tx1"/>
            </w14:solidFill>
          </w14:textFill>
        </w:rPr>
        <w:t>质疑函不符合上述要求的，采购人或代理机构应书面告知具体事项，质疑人应当按要求进行修改或补充，并在质疑有效期限内提交。</w:t>
      </w:r>
    </w:p>
    <w:p w14:paraId="026692D3">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36.6 接收质疑函的方式：以书面形式递交由法定代表人（负责人）签名或者盖章，并加盖公章的质疑函原件和必要的证明材料；邮寄送达的以邮件交邮日期为准。</w:t>
      </w:r>
    </w:p>
    <w:p w14:paraId="341B6904">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联系单位：云南赛林工程管理咨询有限公司</w:t>
      </w:r>
    </w:p>
    <w:p w14:paraId="1A98996C">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联系电话：0871-63181513</w:t>
      </w:r>
    </w:p>
    <w:p w14:paraId="6B427BFB">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通讯地址：云南民族村昆明故城9幢二楼</w:t>
      </w:r>
    </w:p>
    <w:p w14:paraId="709B2B6A">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66" w:name="_Toc163492868"/>
      <w:bookmarkStart w:id="267" w:name="_Toc140132801"/>
      <w:r>
        <w:rPr>
          <w:rFonts w:hint="eastAsia" w:ascii="宋体" w:hAnsi="宋体" w:eastAsia="宋体" w:cs="宋体"/>
          <w:color w:val="000000" w:themeColor="text1"/>
          <w:highlight w:val="none"/>
          <w14:textFill>
            <w14:solidFill>
              <w14:schemeClr w14:val="tx1"/>
            </w14:solidFill>
          </w14:textFill>
        </w:rPr>
        <w:t>37.质疑答复</w:t>
      </w:r>
      <w:bookmarkEnd w:id="266"/>
      <w:bookmarkEnd w:id="267"/>
    </w:p>
    <w:p w14:paraId="0BDD7C9E">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采购人或采购代理机构应当在收到供应商的书面质疑后7个工作日内作出答复，并以书面形式通知质疑供应商和其他有关供应商，但答复的内容不得涉及商业秘密。</w:t>
      </w:r>
    </w:p>
    <w:p w14:paraId="4B027DA8">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质疑答复应当包括下列内容：</w:t>
      </w:r>
    </w:p>
    <w:p w14:paraId="399B8214">
      <w:pPr>
        <w:pStyle w:val="50"/>
        <w:ind w:firstLine="560"/>
        <w:rPr>
          <w:rFonts w:hint="eastAsia" w:ascii="宋体" w:hAnsi="宋体" w:eastAsia="宋体" w:cs="宋体"/>
          <w:snapToGrid w:val="0"/>
          <w:color w:val="000000" w:themeColor="text1"/>
          <w:highlight w:val="none"/>
          <w14:textFill>
            <w14:solidFill>
              <w14:schemeClr w14:val="tx1"/>
            </w14:solidFill>
          </w14:textFill>
        </w:rPr>
      </w:pPr>
      <w:r>
        <w:rPr>
          <w:rFonts w:hint="eastAsia" w:ascii="宋体" w:hAnsi="宋体" w:eastAsia="宋体" w:cs="宋体"/>
          <w:snapToGrid w:val="0"/>
          <w:color w:val="000000" w:themeColor="text1"/>
          <w:highlight w:val="none"/>
          <w14:textFill>
            <w14:solidFill>
              <w14:schemeClr w14:val="tx1"/>
            </w14:solidFill>
          </w14:textFill>
        </w:rPr>
        <w:t>（1）质疑人的姓名或者名称；</w:t>
      </w:r>
    </w:p>
    <w:p w14:paraId="1DDA1043">
      <w:pPr>
        <w:pStyle w:val="50"/>
        <w:ind w:firstLine="560"/>
        <w:rPr>
          <w:rFonts w:hint="eastAsia" w:ascii="宋体" w:hAnsi="宋体" w:eastAsia="宋体" w:cs="宋体"/>
          <w:snapToGrid w:val="0"/>
          <w:color w:val="000000" w:themeColor="text1"/>
          <w:highlight w:val="none"/>
          <w14:textFill>
            <w14:solidFill>
              <w14:schemeClr w14:val="tx1"/>
            </w14:solidFill>
          </w14:textFill>
        </w:rPr>
      </w:pPr>
      <w:r>
        <w:rPr>
          <w:rFonts w:hint="eastAsia" w:ascii="宋体" w:hAnsi="宋体" w:eastAsia="宋体" w:cs="宋体"/>
          <w:snapToGrid w:val="0"/>
          <w:color w:val="000000" w:themeColor="text1"/>
          <w:highlight w:val="none"/>
          <w14:textFill>
            <w14:solidFill>
              <w14:schemeClr w14:val="tx1"/>
            </w14:solidFill>
          </w14:textFill>
        </w:rPr>
        <w:t>（2）收到质疑函的日期、质疑项目名称及编号；</w:t>
      </w:r>
    </w:p>
    <w:p w14:paraId="51AE8965">
      <w:pPr>
        <w:pStyle w:val="50"/>
        <w:ind w:firstLine="560"/>
        <w:rPr>
          <w:rFonts w:hint="eastAsia" w:ascii="宋体" w:hAnsi="宋体" w:eastAsia="宋体" w:cs="宋体"/>
          <w:snapToGrid w:val="0"/>
          <w:color w:val="000000" w:themeColor="text1"/>
          <w:highlight w:val="none"/>
          <w14:textFill>
            <w14:solidFill>
              <w14:schemeClr w14:val="tx1"/>
            </w14:solidFill>
          </w14:textFill>
        </w:rPr>
      </w:pPr>
      <w:r>
        <w:rPr>
          <w:rFonts w:hint="eastAsia" w:ascii="宋体" w:hAnsi="宋体" w:eastAsia="宋体" w:cs="宋体"/>
          <w:snapToGrid w:val="0"/>
          <w:color w:val="000000" w:themeColor="text1"/>
          <w:highlight w:val="none"/>
          <w14:textFill>
            <w14:solidFill>
              <w14:schemeClr w14:val="tx1"/>
            </w14:solidFill>
          </w14:textFill>
        </w:rPr>
        <w:t>（3）质疑事项、质疑答复的具体内容、事实依据和法律依据；</w:t>
      </w:r>
    </w:p>
    <w:p w14:paraId="2FD9C43B">
      <w:pPr>
        <w:pStyle w:val="50"/>
        <w:ind w:firstLine="560"/>
        <w:rPr>
          <w:rFonts w:hint="eastAsia" w:ascii="宋体" w:hAnsi="宋体" w:eastAsia="宋体" w:cs="宋体"/>
          <w:snapToGrid w:val="0"/>
          <w:color w:val="000000" w:themeColor="text1"/>
          <w:highlight w:val="none"/>
          <w14:textFill>
            <w14:solidFill>
              <w14:schemeClr w14:val="tx1"/>
            </w14:solidFill>
          </w14:textFill>
        </w:rPr>
      </w:pPr>
      <w:r>
        <w:rPr>
          <w:rFonts w:hint="eastAsia" w:ascii="宋体" w:hAnsi="宋体" w:eastAsia="宋体" w:cs="宋体"/>
          <w:snapToGrid w:val="0"/>
          <w:color w:val="000000" w:themeColor="text1"/>
          <w:highlight w:val="none"/>
          <w14:textFill>
            <w14:solidFill>
              <w14:schemeClr w14:val="tx1"/>
            </w14:solidFill>
          </w14:textFill>
        </w:rPr>
        <w:t>（4）告知质疑人依法投诉的权利；</w:t>
      </w:r>
    </w:p>
    <w:p w14:paraId="5049CB6C">
      <w:pPr>
        <w:pStyle w:val="50"/>
        <w:ind w:firstLine="560"/>
        <w:rPr>
          <w:rFonts w:hint="eastAsia" w:ascii="宋体" w:hAnsi="宋体" w:eastAsia="宋体" w:cs="宋体"/>
          <w:snapToGrid w:val="0"/>
          <w:color w:val="000000" w:themeColor="text1"/>
          <w:highlight w:val="none"/>
          <w14:textFill>
            <w14:solidFill>
              <w14:schemeClr w14:val="tx1"/>
            </w14:solidFill>
          </w14:textFill>
        </w:rPr>
      </w:pPr>
      <w:r>
        <w:rPr>
          <w:rFonts w:hint="eastAsia" w:ascii="宋体" w:hAnsi="宋体" w:eastAsia="宋体" w:cs="宋体"/>
          <w:snapToGrid w:val="0"/>
          <w:color w:val="000000" w:themeColor="text1"/>
          <w:highlight w:val="none"/>
          <w14:textFill>
            <w14:solidFill>
              <w14:schemeClr w14:val="tx1"/>
            </w14:solidFill>
          </w14:textFill>
        </w:rPr>
        <w:t>（5）质疑答复人名称；</w:t>
      </w:r>
    </w:p>
    <w:p w14:paraId="3A0DCCB8">
      <w:pPr>
        <w:pStyle w:val="50"/>
        <w:ind w:firstLine="560"/>
        <w:rPr>
          <w:rFonts w:hint="eastAsia" w:ascii="宋体" w:hAnsi="宋体" w:eastAsia="宋体" w:cs="宋体"/>
          <w:snapToGrid w:val="0"/>
          <w:color w:val="000000" w:themeColor="text1"/>
          <w:highlight w:val="none"/>
          <w14:textFill>
            <w14:solidFill>
              <w14:schemeClr w14:val="tx1"/>
            </w14:solidFill>
          </w14:textFill>
        </w:rPr>
      </w:pPr>
      <w:r>
        <w:rPr>
          <w:rFonts w:hint="eastAsia" w:ascii="宋体" w:hAnsi="宋体" w:eastAsia="宋体" w:cs="宋体"/>
          <w:snapToGrid w:val="0"/>
          <w:color w:val="000000" w:themeColor="text1"/>
          <w:highlight w:val="none"/>
          <w14:textFill>
            <w14:solidFill>
              <w14:schemeClr w14:val="tx1"/>
            </w14:solidFill>
          </w14:textFill>
        </w:rPr>
        <w:t>（6）答复质疑的日期。</w:t>
      </w:r>
    </w:p>
    <w:p w14:paraId="3E738A8E">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68" w:name="_Toc140132802"/>
      <w:bookmarkStart w:id="269" w:name="_Toc163492869"/>
      <w:r>
        <w:rPr>
          <w:rFonts w:hint="eastAsia" w:ascii="宋体" w:hAnsi="宋体" w:eastAsia="宋体" w:cs="宋体"/>
          <w:color w:val="000000" w:themeColor="text1"/>
          <w:highlight w:val="none"/>
          <w14:textFill>
            <w14:solidFill>
              <w14:schemeClr w14:val="tx1"/>
            </w14:solidFill>
          </w14:textFill>
        </w:rPr>
        <w:t>38.投诉</w:t>
      </w:r>
      <w:bookmarkEnd w:id="268"/>
      <w:bookmarkEnd w:id="269"/>
    </w:p>
    <w:p w14:paraId="71975003">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14:paraId="54E5688B">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val="en-US"/>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14:paraId="7FE8743C">
      <w:pPr>
        <w:pStyle w:val="4"/>
        <w:ind w:firstLine="562"/>
        <w:rPr>
          <w:rFonts w:hint="eastAsia" w:ascii="宋体" w:hAnsi="宋体" w:eastAsia="宋体" w:cs="宋体"/>
          <w:color w:val="000000" w:themeColor="text1"/>
          <w:highlight w:val="none"/>
          <w14:textFill>
            <w14:solidFill>
              <w14:schemeClr w14:val="tx1"/>
            </w14:solidFill>
          </w14:textFill>
        </w:rPr>
      </w:pPr>
      <w:bookmarkStart w:id="270" w:name="_Toc140132803"/>
      <w:bookmarkStart w:id="271" w:name="_Toc526941535"/>
      <w:bookmarkStart w:id="272" w:name="_Toc163492870"/>
      <w:bookmarkStart w:id="273" w:name="_Toc10140"/>
      <w:bookmarkStart w:id="274" w:name="_Toc2116541646"/>
      <w:bookmarkStart w:id="275" w:name="_Toc155185882"/>
      <w:bookmarkStart w:id="276" w:name="_Toc22449"/>
      <w:bookmarkStart w:id="277" w:name="_Toc7070"/>
      <w:bookmarkStart w:id="278" w:name="_Toc30595"/>
      <w:r>
        <w:rPr>
          <w:rFonts w:hint="eastAsia" w:ascii="宋体" w:hAnsi="宋体" w:eastAsia="宋体" w:cs="宋体"/>
          <w:color w:val="000000" w:themeColor="text1"/>
          <w:highlight w:val="none"/>
          <w14:textFill>
            <w14:solidFill>
              <w14:schemeClr w14:val="tx1"/>
            </w14:solidFill>
          </w14:textFill>
        </w:rPr>
        <w:t>（十一）</w:t>
      </w:r>
      <w:bookmarkEnd w:id="270"/>
      <w:bookmarkEnd w:id="271"/>
      <w:bookmarkEnd w:id="272"/>
      <w:bookmarkEnd w:id="273"/>
      <w:bookmarkEnd w:id="274"/>
      <w:bookmarkEnd w:id="275"/>
      <w:r>
        <w:rPr>
          <w:rFonts w:hint="eastAsia" w:ascii="宋体" w:hAnsi="宋体" w:eastAsia="宋体" w:cs="宋体"/>
          <w:color w:val="000000" w:themeColor="text1"/>
          <w:highlight w:val="none"/>
          <w14:textFill>
            <w14:solidFill>
              <w14:schemeClr w14:val="tx1"/>
            </w14:solidFill>
          </w14:textFill>
        </w:rPr>
        <w:t>成交服务费</w:t>
      </w:r>
      <w:bookmarkEnd w:id="276"/>
      <w:bookmarkEnd w:id="277"/>
      <w:bookmarkEnd w:id="278"/>
    </w:p>
    <w:p w14:paraId="13C0168A">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79" w:name="_Toc163492871"/>
      <w:bookmarkStart w:id="280" w:name="_Toc140132804"/>
      <w:r>
        <w:rPr>
          <w:rFonts w:hint="eastAsia" w:ascii="宋体" w:hAnsi="宋体" w:eastAsia="宋体" w:cs="宋体"/>
          <w:color w:val="000000" w:themeColor="text1"/>
          <w:highlight w:val="none"/>
          <w14:textFill>
            <w14:solidFill>
              <w14:schemeClr w14:val="tx1"/>
            </w14:solidFill>
          </w14:textFill>
        </w:rPr>
        <w:t>39.收取方式和标准</w:t>
      </w:r>
      <w:bookmarkEnd w:id="279"/>
      <w:bookmarkEnd w:id="280"/>
    </w:p>
    <w:p w14:paraId="4B2D5F9C">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14:textFill>
            <w14:solidFill>
              <w14:schemeClr w14:val="tx1"/>
            </w14:solidFill>
          </w14:textFill>
        </w:rPr>
        <w:t>39</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采购代理机构按“供应商须知前附表”规定的方式和标准收取成交服务费。</w:t>
      </w:r>
    </w:p>
    <w:p w14:paraId="26B9B558">
      <w:pPr>
        <w:pStyle w:val="4"/>
        <w:ind w:firstLine="562"/>
        <w:rPr>
          <w:rFonts w:hint="eastAsia" w:ascii="宋体" w:hAnsi="宋体" w:eastAsia="宋体" w:cs="宋体"/>
          <w:color w:val="000000" w:themeColor="text1"/>
          <w:highlight w:val="none"/>
          <w14:textFill>
            <w14:solidFill>
              <w14:schemeClr w14:val="tx1"/>
            </w14:solidFill>
          </w14:textFill>
        </w:rPr>
      </w:pPr>
      <w:bookmarkStart w:id="281" w:name="_Toc10126"/>
      <w:bookmarkStart w:id="282" w:name="_Toc24830"/>
      <w:bookmarkStart w:id="283" w:name="_Toc1638136204"/>
      <w:bookmarkStart w:id="284" w:name="_Toc23513"/>
      <w:bookmarkStart w:id="285" w:name="_Toc1637592704"/>
      <w:bookmarkStart w:id="286" w:name="_Toc27699"/>
      <w:bookmarkStart w:id="287" w:name="_Toc155185883"/>
      <w:bookmarkStart w:id="288" w:name="_Toc163492872"/>
      <w:bookmarkStart w:id="289" w:name="_Toc140132805"/>
      <w:r>
        <w:rPr>
          <w:rFonts w:hint="eastAsia" w:ascii="宋体" w:hAnsi="宋体" w:eastAsia="宋体" w:cs="宋体"/>
          <w:color w:val="000000" w:themeColor="text1"/>
          <w:highlight w:val="none"/>
          <w14:textFill>
            <w14:solidFill>
              <w14:schemeClr w14:val="tx1"/>
            </w14:solidFill>
          </w14:textFill>
        </w:rPr>
        <w:t>（十二）磋商申请无效和废标</w:t>
      </w:r>
      <w:bookmarkEnd w:id="281"/>
      <w:bookmarkEnd w:id="282"/>
      <w:bookmarkEnd w:id="283"/>
      <w:bookmarkEnd w:id="284"/>
      <w:bookmarkEnd w:id="285"/>
      <w:bookmarkEnd w:id="286"/>
      <w:bookmarkEnd w:id="287"/>
      <w:bookmarkEnd w:id="288"/>
      <w:bookmarkEnd w:id="289"/>
    </w:p>
    <w:p w14:paraId="3D6ECA5C">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90" w:name="_Toc140132806"/>
      <w:bookmarkStart w:id="291" w:name="_Toc163492873"/>
      <w:r>
        <w:rPr>
          <w:rFonts w:hint="eastAsia" w:ascii="宋体" w:hAnsi="宋体" w:eastAsia="宋体" w:cs="宋体"/>
          <w:color w:val="000000" w:themeColor="text1"/>
          <w:highlight w:val="none"/>
          <w14:textFill>
            <w14:solidFill>
              <w14:schemeClr w14:val="tx1"/>
            </w14:solidFill>
          </w14:textFill>
        </w:rPr>
        <w:t>40.</w:t>
      </w:r>
      <w:bookmarkEnd w:id="290"/>
      <w:bookmarkEnd w:id="291"/>
      <w:r>
        <w:rPr>
          <w:rFonts w:hint="eastAsia" w:ascii="宋体" w:hAnsi="宋体" w:eastAsia="宋体" w:cs="宋体"/>
          <w:color w:val="000000" w:themeColor="text1"/>
          <w:highlight w:val="none"/>
          <w14:textFill>
            <w14:solidFill>
              <w14:schemeClr w14:val="tx1"/>
            </w14:solidFill>
          </w14:textFill>
        </w:rPr>
        <w:t>磋商申请无效</w:t>
      </w:r>
    </w:p>
    <w:p w14:paraId="5E55F9A5">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en-US"/>
          <w14:textFill>
            <w14:solidFill>
              <w14:schemeClr w14:val="tx1"/>
            </w14:solidFill>
          </w14:textFill>
        </w:rPr>
        <w:t>0</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响应文件存在“第</w:t>
      </w:r>
      <w:r>
        <w:rPr>
          <w:rFonts w:hint="eastAsia" w:ascii="宋体" w:hAnsi="宋体" w:eastAsia="宋体" w:cs="宋体"/>
          <w:color w:val="000000" w:themeColor="text1"/>
          <w:highlight w:val="none"/>
          <w:lang w:val="en-US"/>
          <w14:textFill>
            <w14:solidFill>
              <w14:schemeClr w14:val="tx1"/>
            </w14:solidFill>
          </w14:textFill>
        </w:rPr>
        <w:t>四</w:t>
      </w:r>
      <w:r>
        <w:rPr>
          <w:rFonts w:hint="eastAsia" w:ascii="宋体" w:hAnsi="宋体" w:eastAsia="宋体" w:cs="宋体"/>
          <w:color w:val="000000" w:themeColor="text1"/>
          <w:highlight w:val="none"/>
          <w14:textFill>
            <w14:solidFill>
              <w14:schemeClr w14:val="tx1"/>
            </w14:solidFill>
          </w14:textFill>
        </w:rPr>
        <w:t>章</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评审方法、程序及标准”规定的磋商申请无效情形的，其</w:t>
      </w:r>
      <w:r>
        <w:rPr>
          <w:rFonts w:hint="eastAsia" w:ascii="宋体" w:hAnsi="宋体" w:eastAsia="宋体" w:cs="宋体"/>
          <w:b/>
          <w:bCs/>
          <w:color w:val="000000" w:themeColor="text1"/>
          <w:highlight w:val="none"/>
          <w14:textFill>
            <w14:solidFill>
              <w14:schemeClr w14:val="tx1"/>
            </w14:solidFill>
          </w14:textFill>
        </w:rPr>
        <w:t>磋商申请无效</w:t>
      </w:r>
      <w:r>
        <w:rPr>
          <w:rFonts w:hint="eastAsia" w:ascii="宋体" w:hAnsi="宋体" w:eastAsia="宋体" w:cs="宋体"/>
          <w:color w:val="000000" w:themeColor="text1"/>
          <w:highlight w:val="none"/>
          <w14:textFill>
            <w14:solidFill>
              <w14:schemeClr w14:val="tx1"/>
            </w14:solidFill>
          </w14:textFill>
        </w:rPr>
        <w:t>。</w:t>
      </w:r>
    </w:p>
    <w:p w14:paraId="2357210F">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292" w:name="_Toc140132807"/>
      <w:bookmarkStart w:id="293" w:name="_Toc163492874"/>
      <w:r>
        <w:rPr>
          <w:rFonts w:hint="eastAsia" w:ascii="宋体" w:hAnsi="宋体" w:eastAsia="宋体" w:cs="宋体"/>
          <w:color w:val="000000" w:themeColor="text1"/>
          <w:highlight w:val="none"/>
          <w14:textFill>
            <w14:solidFill>
              <w14:schemeClr w14:val="tx1"/>
            </w14:solidFill>
          </w14:textFill>
        </w:rPr>
        <w:t>41.废标</w:t>
      </w:r>
      <w:bookmarkEnd w:id="292"/>
      <w:bookmarkEnd w:id="293"/>
    </w:p>
    <w:p w14:paraId="609C086D">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en-US"/>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在采购中出现有下列情形之一的，应予以</w:t>
      </w:r>
      <w:r>
        <w:rPr>
          <w:rFonts w:hint="eastAsia" w:ascii="宋体" w:hAnsi="宋体" w:eastAsia="宋体" w:cs="宋体"/>
          <w:b/>
          <w:bCs/>
          <w:color w:val="000000" w:themeColor="text1"/>
          <w:highlight w:val="none"/>
          <w14:textFill>
            <w14:solidFill>
              <w14:schemeClr w14:val="tx1"/>
            </w14:solidFill>
          </w14:textFill>
        </w:rPr>
        <w:t>废标</w:t>
      </w:r>
      <w:r>
        <w:rPr>
          <w:rFonts w:hint="eastAsia" w:ascii="宋体" w:hAnsi="宋体" w:eastAsia="宋体" w:cs="宋体"/>
          <w:color w:val="000000" w:themeColor="text1"/>
          <w:highlight w:val="none"/>
          <w14:textFill>
            <w14:solidFill>
              <w14:schemeClr w14:val="tx1"/>
            </w14:solidFill>
          </w14:textFill>
        </w:rPr>
        <w:t>：</w:t>
      </w:r>
    </w:p>
    <w:p w14:paraId="5CFC1E7A">
      <w:pPr>
        <w:pStyle w:val="50"/>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（1）符合专业条件的供应商或者对竞争性磋商文件作实质响应的供应商不足三家的；</w:t>
      </w:r>
    </w:p>
    <w:p w14:paraId="4F2A2934">
      <w:pPr>
        <w:pStyle w:val="50"/>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（2）出现影响采购公正的违法、违规行为的；</w:t>
      </w:r>
    </w:p>
    <w:p w14:paraId="1F7B8589">
      <w:pPr>
        <w:pStyle w:val="50"/>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（3）供应商的报价均超过了采购预算，采购人不能支付的；</w:t>
      </w:r>
    </w:p>
    <w:p w14:paraId="60BEA3D9">
      <w:pPr>
        <w:pStyle w:val="50"/>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（4）因重大变故，采购任务取消的。</w:t>
      </w:r>
    </w:p>
    <w:p w14:paraId="0CA095D3">
      <w:pPr>
        <w:pStyle w:val="4"/>
        <w:ind w:firstLine="562"/>
        <w:rPr>
          <w:rFonts w:hint="eastAsia" w:ascii="宋体" w:hAnsi="宋体" w:eastAsia="宋体" w:cs="宋体"/>
          <w:color w:val="000000" w:themeColor="text1"/>
          <w:highlight w:val="none"/>
          <w14:textFill>
            <w14:solidFill>
              <w14:schemeClr w14:val="tx1"/>
            </w14:solidFill>
          </w14:textFill>
        </w:rPr>
      </w:pPr>
      <w:bookmarkStart w:id="294" w:name="_Toc163492875"/>
      <w:bookmarkStart w:id="295" w:name="_Toc11830"/>
      <w:bookmarkStart w:id="296" w:name="_Toc583840421"/>
      <w:bookmarkStart w:id="297" w:name="_Toc2144367555"/>
      <w:bookmarkStart w:id="298" w:name="_Toc16953"/>
      <w:bookmarkStart w:id="299" w:name="_Toc140132766"/>
      <w:bookmarkStart w:id="300" w:name="_Toc20025"/>
      <w:bookmarkStart w:id="301" w:name="_Toc26329"/>
      <w:bookmarkStart w:id="302" w:name="_Toc140132808"/>
      <w:bookmarkStart w:id="303" w:name="_Toc155185884"/>
      <w:r>
        <w:rPr>
          <w:rFonts w:hint="eastAsia" w:ascii="宋体" w:hAnsi="宋体" w:eastAsia="宋体" w:cs="宋体"/>
          <w:color w:val="000000" w:themeColor="text1"/>
          <w:highlight w:val="none"/>
          <w14:textFill>
            <w14:solidFill>
              <w14:schemeClr w14:val="tx1"/>
            </w14:solidFill>
          </w14:textFill>
        </w:rPr>
        <w:t>（十二）落实政府采购政策</w:t>
      </w:r>
      <w:bookmarkEnd w:id="294"/>
      <w:bookmarkEnd w:id="295"/>
      <w:bookmarkEnd w:id="296"/>
      <w:bookmarkEnd w:id="297"/>
      <w:bookmarkEnd w:id="298"/>
      <w:bookmarkEnd w:id="299"/>
      <w:bookmarkEnd w:id="300"/>
      <w:bookmarkEnd w:id="301"/>
    </w:p>
    <w:p w14:paraId="07A078E7">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304" w:name="_Toc163492876"/>
      <w:r>
        <w:rPr>
          <w:rFonts w:hint="eastAsia" w:ascii="宋体" w:hAnsi="宋体" w:eastAsia="宋体" w:cs="宋体"/>
          <w:color w:val="000000" w:themeColor="text1"/>
          <w:highlight w:val="none"/>
          <w14:textFill>
            <w14:solidFill>
              <w14:schemeClr w14:val="tx1"/>
            </w14:solidFill>
          </w14:textFill>
        </w:rPr>
        <w:t>42.支持国产和进口产品审批</w:t>
      </w:r>
      <w:bookmarkEnd w:id="304"/>
      <w:r>
        <w:rPr>
          <w:rFonts w:hint="eastAsia" w:ascii="宋体" w:hAnsi="宋体" w:eastAsia="宋体" w:cs="宋体"/>
          <w:color w:val="000000" w:themeColor="text1"/>
          <w:highlight w:val="none"/>
          <w14:textFill>
            <w14:solidFill>
              <w14:schemeClr w14:val="tx1"/>
            </w14:solidFill>
          </w14:textFill>
        </w:rPr>
        <w:t>（本项目不适用）</w:t>
      </w:r>
    </w:p>
    <w:p w14:paraId="324AE0B4">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42.1 除“供应商须知前附表”另有规定外，政府采购应当采购本国产品，确需采购进口产品的，采购人应当按照《关于政府采购进口产品管理有关问题的通知》（财办库〔2008〕248号）规定执行（进口产品审批制，科研院所监管部门另有规定的从其规定）。</w:t>
      </w:r>
      <w:bookmarkStart w:id="305" w:name="_Toc163492877"/>
    </w:p>
    <w:p w14:paraId="7D9B285D">
      <w:pPr>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本项目产品未特别注明“进口产品”字样的，应当提供本国产品，否则</w:t>
      </w:r>
      <w:r>
        <w:rPr>
          <w:rFonts w:hint="eastAsia" w:ascii="宋体" w:hAnsi="宋体" w:eastAsia="宋体" w:cs="宋体"/>
          <w:b/>
          <w:bCs/>
          <w:color w:val="000000" w:themeColor="text1"/>
          <w:highlight w:val="none"/>
          <w14:textFill>
            <w14:solidFill>
              <w14:schemeClr w14:val="tx1"/>
            </w14:solidFill>
          </w14:textFill>
        </w:rPr>
        <w:t>磋商申请无效</w:t>
      </w:r>
      <w:r>
        <w:rPr>
          <w:rFonts w:hint="eastAsia" w:ascii="宋体" w:hAnsi="宋体" w:eastAsia="宋体" w:cs="宋体"/>
          <w:color w:val="000000" w:themeColor="text1"/>
          <w:highlight w:val="none"/>
          <w14:textFill>
            <w14:solidFill>
              <w14:schemeClr w14:val="tx1"/>
            </w14:solidFill>
          </w14:textFill>
        </w:rPr>
        <w:t>。</w:t>
      </w:r>
    </w:p>
    <w:p w14:paraId="446862DC">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43.中小企业、监狱企业及残疾人福利性单位</w:t>
      </w:r>
      <w:bookmarkEnd w:id="305"/>
    </w:p>
    <w:p w14:paraId="73A55B20">
      <w:pPr>
        <w:pStyle w:val="50"/>
        <w:ind w:firstLine="560"/>
        <w:rPr>
          <w:rFonts w:hint="eastAsia" w:ascii="宋体" w:hAnsi="宋体" w:eastAsia="宋体" w:cs="宋体"/>
          <w:snapToGrid w:val="0"/>
          <w:color w:val="000000" w:themeColor="text1"/>
          <w:highlight w:val="none"/>
          <w14:textFill>
            <w14:solidFill>
              <w14:schemeClr w14:val="tx1"/>
            </w14:solidFill>
          </w14:textFill>
        </w:rPr>
      </w:pPr>
      <w:r>
        <w:rPr>
          <w:rFonts w:hint="eastAsia" w:ascii="宋体" w:hAnsi="宋体" w:eastAsia="宋体" w:cs="宋体"/>
          <w:snapToGrid w:val="0"/>
          <w:color w:val="000000" w:themeColor="text1"/>
          <w:highlight w:val="none"/>
          <w14:textFill>
            <w14:solidFill>
              <w14:schemeClr w14:val="tx1"/>
            </w14:solidFill>
          </w14:textFill>
        </w:rPr>
        <w:t>4</w:t>
      </w:r>
      <w:r>
        <w:rPr>
          <w:rFonts w:hint="eastAsia" w:ascii="宋体" w:hAnsi="宋体" w:eastAsia="宋体" w:cs="宋体"/>
          <w:snapToGrid w:val="0"/>
          <w:color w:val="000000" w:themeColor="text1"/>
          <w:highlight w:val="none"/>
          <w:lang w:val="en-US"/>
          <w14:textFill>
            <w14:solidFill>
              <w14:schemeClr w14:val="tx1"/>
            </w14:solidFill>
          </w14:textFill>
        </w:rPr>
        <w:t>3</w:t>
      </w:r>
      <w:r>
        <w:rPr>
          <w:rFonts w:hint="eastAsia" w:ascii="宋体" w:hAnsi="宋体" w:eastAsia="宋体" w:cs="宋体"/>
          <w:snapToGrid w:val="0"/>
          <w:color w:val="000000" w:themeColor="text1"/>
          <w:highlight w:val="none"/>
          <w14:textFill>
            <w14:solidFill>
              <w14:schemeClr w14:val="tx1"/>
            </w14:solidFill>
          </w14:textFill>
        </w:rPr>
        <w:t>.1</w:t>
      </w:r>
      <w:r>
        <w:rPr>
          <w:rFonts w:hint="eastAsia" w:ascii="宋体" w:hAnsi="宋体" w:eastAsia="宋体" w:cs="宋体"/>
          <w:snapToGrid w:val="0"/>
          <w:color w:val="000000" w:themeColor="text1"/>
          <w:highlight w:val="none"/>
          <w:lang w:val="en-US"/>
          <w14:textFill>
            <w14:solidFill>
              <w14:schemeClr w14:val="tx1"/>
            </w14:solidFill>
          </w14:textFill>
        </w:rPr>
        <w:t xml:space="preserve"> </w:t>
      </w:r>
      <w:r>
        <w:rPr>
          <w:rFonts w:hint="eastAsia" w:ascii="宋体" w:hAnsi="宋体" w:eastAsia="宋体" w:cs="宋体"/>
          <w:snapToGrid w:val="0"/>
          <w:color w:val="000000" w:themeColor="text1"/>
          <w:highlight w:val="none"/>
          <w14:textFill>
            <w14:solidFill>
              <w14:schemeClr w14:val="tx1"/>
            </w14:solidFill>
          </w14:textFill>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符合上述文件规定的，需提供《中小企业声明函》、监狱企业证明文件、《残疾人福利性单位声明函》，评审时，磋商小组将依据“供应商须知前附表”规定的报价扣除比例，对供应商报价进行价格扣除，用扣除后的价格参与评审。</w:t>
      </w:r>
    </w:p>
    <w:p w14:paraId="29A5C639">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306" w:name="_Toc163492878"/>
      <w:r>
        <w:rPr>
          <w:rFonts w:hint="eastAsia" w:ascii="宋体" w:hAnsi="宋体" w:eastAsia="宋体" w:cs="宋体"/>
          <w:color w:val="000000" w:themeColor="text1"/>
          <w:highlight w:val="none"/>
          <w14:textFill>
            <w14:solidFill>
              <w14:schemeClr w14:val="tx1"/>
            </w14:solidFill>
          </w14:textFill>
        </w:rPr>
        <w:t>44.政府采购节能产品、环境标志产品</w:t>
      </w:r>
      <w:bookmarkEnd w:id="306"/>
      <w:r>
        <w:rPr>
          <w:rFonts w:hint="eastAsia" w:ascii="宋体" w:hAnsi="宋体" w:eastAsia="宋体" w:cs="宋体"/>
          <w:color w:val="000000" w:themeColor="text1"/>
          <w:highlight w:val="none"/>
          <w14:textFill>
            <w14:solidFill>
              <w14:schemeClr w14:val="tx1"/>
            </w14:solidFill>
          </w14:textFill>
        </w:rPr>
        <w:t>（本项目不适用）</w:t>
      </w:r>
    </w:p>
    <w:p w14:paraId="57B24C40">
      <w:pPr>
        <w:ind w:firstLine="560"/>
        <w:rPr>
          <w:rFonts w:hint="eastAsia" w:ascii="宋体" w:hAnsi="宋体" w:eastAsia="宋体" w:cs="宋体"/>
          <w:iCs/>
          <w:snapToGrid w:val="0"/>
          <w:color w:val="000000" w:themeColor="text1"/>
          <w:highlight w:val="none"/>
          <w:shd w:val="clear" w:color="auto" w:fill="FFFFFF" w:themeFill="background1"/>
          <w14:textFill>
            <w14:solidFill>
              <w14:schemeClr w14:val="tx1"/>
            </w14:solidFill>
          </w14:textFill>
        </w:rPr>
      </w:pPr>
      <w:r>
        <w:rPr>
          <w:rFonts w:hint="eastAsia" w:ascii="宋体" w:hAnsi="宋体" w:eastAsia="宋体" w:cs="宋体"/>
          <w:iCs/>
          <w:snapToGrid w:val="0"/>
          <w:color w:val="000000" w:themeColor="text1"/>
          <w:highlight w:val="none"/>
          <w:shd w:val="clear" w:color="auto" w:fill="FFFFFF" w:themeFill="background1"/>
          <w14:textFill>
            <w14:solidFill>
              <w14:schemeClr w14:val="tx1"/>
            </w14:solidFill>
          </w14:textFill>
        </w:rPr>
        <w:t>44.1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E242164">
      <w:pPr>
        <w:ind w:firstLine="560"/>
        <w:rPr>
          <w:rFonts w:hint="eastAsia" w:ascii="宋体" w:hAnsi="宋体" w:eastAsia="宋体" w:cs="宋体"/>
          <w:snapToGrid w:val="0"/>
          <w:color w:val="000000" w:themeColor="text1"/>
          <w:highlight w:val="none"/>
          <w14:textFill>
            <w14:solidFill>
              <w14:schemeClr w14:val="tx1"/>
            </w14:solidFill>
          </w14:textFill>
        </w:rPr>
      </w:pPr>
      <w:r>
        <w:rPr>
          <w:rFonts w:hint="eastAsia" w:ascii="宋体" w:hAnsi="宋体" w:eastAsia="宋体" w:cs="宋体"/>
          <w:iCs/>
          <w:snapToGrid w:val="0"/>
          <w:color w:val="000000" w:themeColor="text1"/>
          <w:highlight w:val="none"/>
          <w:shd w:val="clear" w:color="auto" w:fill="FFFFFF" w:themeFill="background1"/>
          <w14:textFill>
            <w14:solidFill>
              <w14:schemeClr w14:val="tx1"/>
            </w14:solidFill>
          </w14:textFill>
        </w:rPr>
        <w:t>44.2 采购人拟采购的产品属于品目清单范围的，采购人及其委托的采购代理机构依据国家确定的认证机构出具的、处于有效期之内的节能产品、环境标志产品认证证书，对获得证书的产品实施政府</w:t>
      </w:r>
      <w:r>
        <w:rPr>
          <w:rFonts w:hint="eastAsia" w:ascii="宋体" w:hAnsi="宋体" w:eastAsia="宋体" w:cs="宋体"/>
          <w:b/>
          <w:bCs/>
          <w:iCs/>
          <w:snapToGrid w:val="0"/>
          <w:color w:val="000000" w:themeColor="text1"/>
          <w:highlight w:val="none"/>
          <w:shd w:val="clear" w:color="auto" w:fill="FFFFFF" w:themeFill="background1"/>
          <w14:textFill>
            <w14:solidFill>
              <w14:schemeClr w14:val="tx1"/>
            </w14:solidFill>
          </w14:textFill>
        </w:rPr>
        <w:t>优先采购或强制采购</w:t>
      </w:r>
      <w:r>
        <w:rPr>
          <w:rFonts w:hint="eastAsia" w:ascii="宋体" w:hAnsi="宋体" w:eastAsia="宋体" w:cs="宋体"/>
          <w:iCs/>
          <w:snapToGrid w:val="0"/>
          <w:color w:val="000000" w:themeColor="text1"/>
          <w:highlight w:val="none"/>
          <w:shd w:val="clear" w:color="auto" w:fill="FFFFFF" w:themeFill="background1"/>
          <w14:textFill>
            <w14:solidFill>
              <w14:schemeClr w14:val="tx1"/>
            </w14:solidFill>
          </w14:textFill>
        </w:rPr>
        <w:t>。</w:t>
      </w:r>
      <w:r>
        <w:rPr>
          <w:rFonts w:hint="eastAsia" w:ascii="宋体" w:hAnsi="宋体" w:eastAsia="宋体" w:cs="宋体"/>
          <w:snapToGrid w:val="0"/>
          <w:color w:val="000000" w:themeColor="text1"/>
          <w:highlight w:val="none"/>
          <w14:textFill>
            <w14:solidFill>
              <w14:schemeClr w14:val="tx1"/>
            </w14:solidFill>
          </w14:textFill>
        </w:rPr>
        <w:t>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供应商所投产品如属于节能产品政府采购品目清单、环境标志产品政府采购品目清单范围的，供应商须提供国家确定的认证机构出具的、处于有效期内的节能产品认证证书，</w:t>
      </w:r>
      <w:r>
        <w:rPr>
          <w:rFonts w:hint="eastAsia" w:ascii="宋体" w:hAnsi="宋体" w:eastAsia="宋体" w:cs="宋体"/>
          <w:b/>
          <w:bCs/>
          <w:snapToGrid w:val="0"/>
          <w:color w:val="000000" w:themeColor="text1"/>
          <w:highlight w:val="none"/>
          <w14:textFill>
            <w14:solidFill>
              <w14:schemeClr w14:val="tx1"/>
            </w14:solidFill>
          </w14:textFill>
        </w:rPr>
        <w:t>认证证书的产品型号与所投产品不一致的，视为未提供</w:t>
      </w:r>
      <w:r>
        <w:rPr>
          <w:rFonts w:hint="eastAsia" w:ascii="宋体" w:hAnsi="宋体" w:eastAsia="宋体" w:cs="宋体"/>
          <w:snapToGrid w:val="0"/>
          <w:color w:val="000000" w:themeColor="text1"/>
          <w:highlight w:val="none"/>
          <w14:textFill>
            <w14:solidFill>
              <w14:schemeClr w14:val="tx1"/>
            </w14:solidFill>
          </w14:textFill>
        </w:rPr>
        <w:t>。</w:t>
      </w:r>
    </w:p>
    <w:p w14:paraId="7B21F9FA">
      <w:pPr>
        <w:ind w:firstLine="562"/>
        <w:rPr>
          <w:rFonts w:hint="eastAsia" w:ascii="宋体" w:hAnsi="宋体" w:eastAsia="宋体" w:cs="宋体"/>
          <w:b/>
          <w:bCs/>
          <w:iCs/>
          <w:snapToGrid w:val="0"/>
          <w:color w:val="000000" w:themeColor="text1"/>
          <w:highlight w:val="none"/>
          <w:shd w:val="clear" w:color="auto" w:fill="FFFFFF" w:themeFill="background1"/>
          <w14:textFill>
            <w14:solidFill>
              <w14:schemeClr w14:val="tx1"/>
            </w14:solidFill>
          </w14:textFill>
        </w:rPr>
      </w:pPr>
      <w:r>
        <w:rPr>
          <w:rFonts w:hint="eastAsia" w:ascii="宋体" w:hAnsi="宋体" w:eastAsia="宋体" w:cs="宋体"/>
          <w:b/>
          <w:bCs/>
          <w:iCs/>
          <w:snapToGrid w:val="0"/>
          <w:color w:val="000000" w:themeColor="text1"/>
          <w:highlight w:val="none"/>
          <w:shd w:val="clear" w:color="auto" w:fill="FFFFFF" w:themeFill="background1"/>
          <w14:textFill>
            <w14:solidFill>
              <w14:schemeClr w14:val="tx1"/>
            </w14:solidFill>
          </w14:textFill>
        </w:rPr>
        <w:t>44.3 如本项目采购涉及的产品属于实施政府强制采购品目清单范围的节能产品，则供应商所报产品必须获得国家确定的认证机构出具的、处于有效期之内的节能产品认证证书，否则磋商申请无效；</w:t>
      </w:r>
    </w:p>
    <w:p w14:paraId="617FE760">
      <w:pPr>
        <w:ind w:firstLine="560"/>
        <w:rPr>
          <w:rFonts w:hint="eastAsia" w:ascii="宋体" w:hAnsi="宋体" w:eastAsia="宋体" w:cs="宋体"/>
          <w:iCs/>
          <w:snapToGrid w:val="0"/>
          <w:color w:val="000000" w:themeColor="text1"/>
          <w:highlight w:val="none"/>
          <w:shd w:val="clear" w:color="auto" w:fill="FFFFFF" w:themeFill="background1"/>
          <w14:textFill>
            <w14:solidFill>
              <w14:schemeClr w14:val="tx1"/>
            </w14:solidFill>
          </w14:textFill>
        </w:rPr>
      </w:pPr>
      <w:r>
        <w:rPr>
          <w:rFonts w:hint="eastAsia" w:ascii="宋体" w:hAnsi="宋体" w:eastAsia="宋体" w:cs="宋体"/>
          <w:iCs/>
          <w:snapToGrid w:val="0"/>
          <w:color w:val="000000" w:themeColor="text1"/>
          <w:highlight w:val="none"/>
          <w:shd w:val="clear" w:color="auto" w:fill="FFFFFF" w:themeFill="background1"/>
          <w14:textFill>
            <w14:solidFill>
              <w14:schemeClr w14:val="tx1"/>
            </w14:solidFill>
          </w14:textFill>
        </w:rPr>
        <w:t>44.4 非政府强制采购的节能产品或环境标志产品，依据品目清单和认证证书实施政府</w:t>
      </w:r>
      <w:r>
        <w:rPr>
          <w:rFonts w:hint="eastAsia" w:ascii="宋体" w:hAnsi="宋体" w:eastAsia="宋体" w:cs="宋体"/>
          <w:b/>
          <w:bCs/>
          <w:iCs/>
          <w:snapToGrid w:val="0"/>
          <w:color w:val="000000" w:themeColor="text1"/>
          <w:highlight w:val="none"/>
          <w:shd w:val="clear" w:color="auto" w:fill="FFFFFF" w:themeFill="background1"/>
          <w14:textFill>
            <w14:solidFill>
              <w14:schemeClr w14:val="tx1"/>
            </w14:solidFill>
          </w14:textFill>
        </w:rPr>
        <w:t>优先采购</w:t>
      </w:r>
      <w:r>
        <w:rPr>
          <w:rFonts w:hint="eastAsia" w:ascii="宋体" w:hAnsi="宋体" w:eastAsia="宋体" w:cs="宋体"/>
          <w:iCs/>
          <w:snapToGrid w:val="0"/>
          <w:color w:val="000000" w:themeColor="text1"/>
          <w:highlight w:val="none"/>
          <w:shd w:val="clear" w:color="auto" w:fill="FFFFFF" w:themeFill="background1"/>
          <w14:textFill>
            <w14:solidFill>
              <w14:schemeClr w14:val="tx1"/>
            </w14:solidFill>
          </w14:textFill>
        </w:rPr>
        <w:t>。优先采购的具体规定见第五章 评审方法及标准。</w:t>
      </w:r>
    </w:p>
    <w:bookmarkEnd w:id="302"/>
    <w:bookmarkEnd w:id="303"/>
    <w:p w14:paraId="02DC3BF3">
      <w:pPr>
        <w:pStyle w:val="4"/>
        <w:ind w:firstLine="562"/>
        <w:jc w:val="both"/>
        <w:rPr>
          <w:rFonts w:hint="eastAsia" w:ascii="宋体" w:hAnsi="宋体" w:eastAsia="宋体" w:cs="宋体"/>
          <w:color w:val="000000" w:themeColor="text1"/>
          <w:highlight w:val="none"/>
          <w14:textFill>
            <w14:solidFill>
              <w14:schemeClr w14:val="tx1"/>
            </w14:solidFill>
          </w14:textFill>
        </w:rPr>
      </w:pPr>
      <w:bookmarkStart w:id="307" w:name="_Toc20658"/>
      <w:bookmarkStart w:id="308" w:name="_Toc163492881"/>
      <w:bookmarkStart w:id="309" w:name="_Toc26894"/>
      <w:bookmarkStart w:id="310" w:name="_Toc20019"/>
      <w:bookmarkStart w:id="311" w:name="_Toc1674667003"/>
      <w:bookmarkStart w:id="312" w:name="_Toc1960161214"/>
      <w:bookmarkStart w:id="313" w:name="_Toc3608"/>
      <w:r>
        <w:rPr>
          <w:rFonts w:hint="eastAsia" w:ascii="宋体" w:hAnsi="宋体" w:eastAsia="宋体" w:cs="宋体"/>
          <w:color w:val="000000" w:themeColor="text1"/>
          <w:highlight w:val="none"/>
          <w14:textFill>
            <w14:solidFill>
              <w14:schemeClr w14:val="tx1"/>
            </w14:solidFill>
          </w14:textFill>
        </w:rPr>
        <w:t>（十三）其他</w:t>
      </w:r>
      <w:bookmarkEnd w:id="307"/>
      <w:bookmarkEnd w:id="308"/>
      <w:bookmarkEnd w:id="309"/>
      <w:bookmarkEnd w:id="310"/>
      <w:bookmarkEnd w:id="311"/>
      <w:bookmarkEnd w:id="312"/>
      <w:bookmarkEnd w:id="313"/>
    </w:p>
    <w:p w14:paraId="55F4863C">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314" w:name="_Toc163492882"/>
      <w:r>
        <w:rPr>
          <w:rFonts w:hint="eastAsia" w:ascii="宋体" w:hAnsi="宋体" w:eastAsia="宋体" w:cs="宋体"/>
          <w:color w:val="000000" w:themeColor="text1"/>
          <w:highlight w:val="none"/>
          <w14:textFill>
            <w14:solidFill>
              <w14:schemeClr w14:val="tx1"/>
            </w14:solidFill>
          </w14:textFill>
        </w:rPr>
        <w:t>45.需要补充的其他内容</w:t>
      </w:r>
      <w:bookmarkEnd w:id="314"/>
    </w:p>
    <w:p w14:paraId="20CE850B">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en-US"/>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需要补充的其他内容：见供应商须知前附表。</w:t>
      </w:r>
    </w:p>
    <w:p w14:paraId="2DD2A7ED">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315" w:name="_Toc155185886"/>
      <w:bookmarkStart w:id="316" w:name="_Toc140132810"/>
      <w:bookmarkStart w:id="317" w:name="_Toc163492883"/>
      <w:r>
        <w:rPr>
          <w:rFonts w:hint="eastAsia" w:ascii="宋体" w:hAnsi="宋体" w:eastAsia="宋体" w:cs="宋体"/>
          <w:color w:val="000000" w:themeColor="text1"/>
          <w:highlight w:val="none"/>
          <w14:textFill>
            <w14:solidFill>
              <w14:schemeClr w14:val="tx1"/>
            </w14:solidFill>
          </w14:textFill>
        </w:rPr>
        <w:t>46.适用法律</w:t>
      </w:r>
      <w:bookmarkEnd w:id="315"/>
      <w:bookmarkEnd w:id="316"/>
      <w:bookmarkEnd w:id="317"/>
    </w:p>
    <w:p w14:paraId="0580FA08">
      <w:pPr>
        <w:pStyle w:val="50"/>
        <w:ind w:firstLine="560"/>
        <w:rPr>
          <w:rFonts w:hint="eastAsia" w:ascii="宋体" w:hAnsi="宋体" w:eastAsia="宋体" w:cs="宋体"/>
          <w:snapToGrid w:val="0"/>
          <w:color w:val="000000" w:themeColor="text1"/>
          <w:highlight w:val="none"/>
          <w14:textFill>
            <w14:solidFill>
              <w14:schemeClr w14:val="tx1"/>
            </w14:solidFill>
          </w14:textFill>
        </w:rPr>
      </w:pPr>
      <w:r>
        <w:rPr>
          <w:rFonts w:hint="eastAsia" w:ascii="宋体" w:hAnsi="宋体" w:eastAsia="宋体" w:cs="宋体"/>
          <w:snapToGrid w:val="0"/>
          <w:color w:val="000000" w:themeColor="text1"/>
          <w:highlight w:val="none"/>
          <w14:textFill>
            <w14:solidFill>
              <w14:schemeClr w14:val="tx1"/>
            </w14:solidFill>
          </w14:textFill>
        </w:rPr>
        <w:t>4</w:t>
      </w:r>
      <w:r>
        <w:rPr>
          <w:rFonts w:hint="eastAsia" w:ascii="宋体" w:hAnsi="宋体" w:eastAsia="宋体" w:cs="宋体"/>
          <w:snapToGrid w:val="0"/>
          <w:color w:val="000000" w:themeColor="text1"/>
          <w:highlight w:val="none"/>
          <w:lang w:val="en-US"/>
          <w14:textFill>
            <w14:solidFill>
              <w14:schemeClr w14:val="tx1"/>
            </w14:solidFill>
          </w14:textFill>
        </w:rPr>
        <w:t>6</w:t>
      </w:r>
      <w:r>
        <w:rPr>
          <w:rFonts w:hint="eastAsia" w:ascii="宋体" w:hAnsi="宋体" w:eastAsia="宋体" w:cs="宋体"/>
          <w:snapToGrid w:val="0"/>
          <w:color w:val="000000" w:themeColor="text1"/>
          <w:highlight w:val="none"/>
          <w14:textFill>
            <w14:solidFill>
              <w14:schemeClr w14:val="tx1"/>
            </w14:solidFill>
          </w14:textFill>
        </w:rPr>
        <w:t>.1</w:t>
      </w:r>
      <w:r>
        <w:rPr>
          <w:rFonts w:hint="eastAsia" w:ascii="宋体" w:hAnsi="宋体" w:eastAsia="宋体" w:cs="宋体"/>
          <w:snapToGrid w:val="0"/>
          <w:color w:val="000000" w:themeColor="text1"/>
          <w:highlight w:val="none"/>
          <w:lang w:val="en-US"/>
          <w14:textFill>
            <w14:solidFill>
              <w14:schemeClr w14:val="tx1"/>
            </w14:solidFill>
          </w14:textFill>
        </w:rPr>
        <w:t xml:space="preserve"> </w:t>
      </w:r>
      <w:r>
        <w:rPr>
          <w:rFonts w:hint="eastAsia" w:ascii="宋体" w:hAnsi="宋体" w:eastAsia="宋体" w:cs="宋体"/>
          <w:snapToGrid w:val="0"/>
          <w:color w:val="000000" w:themeColor="text1"/>
          <w:highlight w:val="none"/>
          <w14:textFill>
            <w14:solidFill>
              <w14:schemeClr w14:val="tx1"/>
            </w14:solidFill>
          </w14:textFill>
        </w:rPr>
        <w:t>采购人、采购代理机构及供应商的一切采购活动均适用《中华人民共和国政府采购法》、《中华人民共和国政府采购法实施条例》、《政府采购货物和服务招标投标管理办法》（财政部令第87号）及相关法律法规。</w:t>
      </w:r>
    </w:p>
    <w:p w14:paraId="4004AA98">
      <w:pPr>
        <w:pStyle w:val="5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snapToGrid w:val="0"/>
          <w:color w:val="000000" w:themeColor="text1"/>
          <w:highlight w:val="none"/>
          <w14:textFill>
            <w14:solidFill>
              <w14:schemeClr w14:val="tx1"/>
            </w14:solidFill>
          </w14:textFill>
        </w:rPr>
        <w:t>4</w:t>
      </w:r>
      <w:r>
        <w:rPr>
          <w:rFonts w:hint="eastAsia" w:ascii="宋体" w:hAnsi="宋体" w:eastAsia="宋体" w:cs="宋体"/>
          <w:snapToGrid w:val="0"/>
          <w:color w:val="000000" w:themeColor="text1"/>
          <w:highlight w:val="none"/>
          <w:lang w:val="en-US"/>
          <w14:textFill>
            <w14:solidFill>
              <w14:schemeClr w14:val="tx1"/>
            </w14:solidFill>
          </w14:textFill>
        </w:rPr>
        <w:t>6</w:t>
      </w:r>
      <w:r>
        <w:rPr>
          <w:rFonts w:hint="eastAsia" w:ascii="宋体" w:hAnsi="宋体" w:eastAsia="宋体" w:cs="宋体"/>
          <w:snapToGrid w:val="0"/>
          <w:color w:val="000000" w:themeColor="text1"/>
          <w:highlight w:val="none"/>
          <w14:textFill>
            <w14:solidFill>
              <w14:schemeClr w14:val="tx1"/>
            </w14:solidFill>
          </w14:textFill>
        </w:rPr>
        <w:t>.2</w:t>
      </w:r>
      <w:r>
        <w:rPr>
          <w:rFonts w:hint="eastAsia" w:ascii="宋体" w:hAnsi="宋体" w:eastAsia="宋体" w:cs="宋体"/>
          <w:snapToGrid w:val="0"/>
          <w:color w:val="000000" w:themeColor="text1"/>
          <w:highlight w:val="none"/>
          <w:lang w:val="en-US"/>
          <w14:textFill>
            <w14:solidFill>
              <w14:schemeClr w14:val="tx1"/>
            </w14:solidFill>
          </w14:textFill>
        </w:rPr>
        <w:t xml:space="preserve"> </w:t>
      </w:r>
      <w:r>
        <w:rPr>
          <w:rFonts w:hint="eastAsia" w:ascii="宋体" w:hAnsi="宋体" w:eastAsia="宋体" w:cs="宋体"/>
          <w:snapToGrid w:val="0"/>
          <w:color w:val="000000" w:themeColor="text1"/>
          <w:highlight w:val="none"/>
          <w14:textFill>
            <w14:solidFill>
              <w14:schemeClr w14:val="tx1"/>
            </w14:solidFill>
          </w14:textFill>
        </w:rPr>
        <w:t>政府采购合同的履行、违约责任和解决争议的方法等适用《中华人民共和国民法典》。</w:t>
      </w:r>
    </w:p>
    <w:p w14:paraId="0E117113">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bookmarkStart w:id="318" w:name="_Toc155185887"/>
      <w:bookmarkStart w:id="319" w:name="_Toc163492884"/>
      <w:r>
        <w:rPr>
          <w:rFonts w:hint="eastAsia" w:ascii="宋体" w:hAnsi="宋体" w:eastAsia="宋体" w:cs="宋体"/>
          <w:color w:val="000000" w:themeColor="text1"/>
          <w:highlight w:val="none"/>
          <w14:textFill>
            <w14:solidFill>
              <w14:schemeClr w14:val="tx1"/>
            </w14:solidFill>
          </w14:textFill>
        </w:rPr>
        <w:t>47.解释权</w:t>
      </w:r>
      <w:bookmarkEnd w:id="318"/>
      <w:bookmarkEnd w:id="319"/>
    </w:p>
    <w:p w14:paraId="4E2B8FF0">
      <w:pPr>
        <w:pStyle w:val="50"/>
        <w:ind w:firstLine="560"/>
        <w:rPr>
          <w:rFonts w:hint="eastAsia" w:ascii="宋体" w:hAnsi="宋体" w:eastAsia="宋体" w:cs="宋体"/>
          <w:snapToGrid w:val="0"/>
          <w:color w:val="000000" w:themeColor="text1"/>
          <w:highlight w:val="none"/>
          <w14:textFill>
            <w14:solidFill>
              <w14:schemeClr w14:val="tx1"/>
            </w14:solidFill>
          </w14:textFill>
        </w:rPr>
      </w:pPr>
      <w:r>
        <w:rPr>
          <w:rFonts w:hint="eastAsia" w:ascii="宋体" w:hAnsi="宋体" w:eastAsia="宋体" w:cs="宋体"/>
          <w:snapToGrid w:val="0"/>
          <w:color w:val="000000" w:themeColor="text1"/>
          <w:highlight w:val="none"/>
          <w14:textFill>
            <w14:solidFill>
              <w14:schemeClr w14:val="tx1"/>
            </w14:solidFill>
          </w14:textFill>
        </w:rPr>
        <w:t>4</w:t>
      </w:r>
      <w:r>
        <w:rPr>
          <w:rFonts w:hint="eastAsia" w:ascii="宋体" w:hAnsi="宋体" w:eastAsia="宋体" w:cs="宋体"/>
          <w:snapToGrid w:val="0"/>
          <w:color w:val="000000" w:themeColor="text1"/>
          <w:highlight w:val="none"/>
          <w:lang w:val="en-US"/>
          <w14:textFill>
            <w14:solidFill>
              <w14:schemeClr w14:val="tx1"/>
            </w14:solidFill>
          </w14:textFill>
        </w:rPr>
        <w:t>7</w:t>
      </w:r>
      <w:r>
        <w:rPr>
          <w:rFonts w:hint="eastAsia" w:ascii="宋体" w:hAnsi="宋体" w:eastAsia="宋体" w:cs="宋体"/>
          <w:snapToGrid w:val="0"/>
          <w:color w:val="000000" w:themeColor="text1"/>
          <w:highlight w:val="none"/>
          <w14:textFill>
            <w14:solidFill>
              <w14:schemeClr w14:val="tx1"/>
            </w14:solidFill>
          </w14:textFill>
        </w:rPr>
        <w:t>.1</w:t>
      </w:r>
      <w:r>
        <w:rPr>
          <w:rFonts w:hint="eastAsia" w:ascii="宋体" w:hAnsi="宋体" w:eastAsia="宋体" w:cs="宋体"/>
          <w:snapToGrid w:val="0"/>
          <w:color w:val="000000" w:themeColor="text1"/>
          <w:highlight w:val="none"/>
          <w:lang w:val="en-US"/>
          <w14:textFill>
            <w14:solidFill>
              <w14:schemeClr w14:val="tx1"/>
            </w14:solidFill>
          </w14:textFill>
        </w:rPr>
        <w:t xml:space="preserve"> </w:t>
      </w:r>
      <w:r>
        <w:rPr>
          <w:rFonts w:hint="eastAsia" w:ascii="宋体" w:hAnsi="宋体" w:eastAsia="宋体" w:cs="宋体"/>
          <w:snapToGrid w:val="0"/>
          <w:color w:val="000000" w:themeColor="text1"/>
          <w:highlight w:val="none"/>
          <w14:textFill>
            <w14:solidFill>
              <w14:schemeClr w14:val="tx1"/>
            </w14:solidFill>
          </w14:textFill>
        </w:rPr>
        <w:t>本竞争性磋商文件最终解释权归采购人或采购代理机构所有。</w:t>
      </w:r>
    </w:p>
    <w:bookmarkEnd w:id="0"/>
    <w:bookmarkEnd w:id="72"/>
    <w:bookmarkEnd w:id="73"/>
    <w:bookmarkEnd w:id="74"/>
    <w:bookmarkEnd w:id="96"/>
    <w:bookmarkEnd w:id="97"/>
    <w:p w14:paraId="783DC034">
      <w:pPr>
        <w:ind w:firstLine="560"/>
        <w:rPr>
          <w:rFonts w:hint="eastAsia" w:ascii="宋体" w:hAnsi="宋体" w:eastAsia="宋体" w:cs="宋体"/>
          <w:color w:val="000000" w:themeColor="text1"/>
          <w:highlight w:val="none"/>
          <w14:textFill>
            <w14:solidFill>
              <w14:schemeClr w14:val="tx1"/>
            </w14:solidFill>
          </w14:textFill>
        </w:rPr>
        <w:sectPr>
          <w:footerReference r:id="rId10" w:type="default"/>
          <w:pgSz w:w="11906" w:h="16838"/>
          <w:pgMar w:top="1440" w:right="1080" w:bottom="1440" w:left="1080" w:header="850" w:footer="992" w:gutter="0"/>
          <w:pgNumType w:fmt="decimal" w:start="1"/>
          <w:cols w:space="0" w:num="1"/>
          <w:docGrid w:type="lines" w:linePitch="389" w:charSpace="0"/>
        </w:sectPr>
      </w:pPr>
      <w:bookmarkStart w:id="320" w:name="_Toc163492885"/>
      <w:bookmarkStart w:id="321" w:name="_Toc155185888"/>
    </w:p>
    <w:p w14:paraId="740378CF">
      <w:pPr>
        <w:pStyle w:val="2"/>
        <w:ind w:firstLine="883"/>
        <w:rPr>
          <w:rFonts w:hint="eastAsia" w:ascii="宋体" w:hAnsi="宋体" w:eastAsia="宋体" w:cs="宋体"/>
          <w:color w:val="000000" w:themeColor="text1"/>
          <w:highlight w:val="none"/>
          <w14:textFill>
            <w14:solidFill>
              <w14:schemeClr w14:val="tx1"/>
            </w14:solidFill>
          </w14:textFill>
        </w:rPr>
      </w:pPr>
      <w:bookmarkStart w:id="322" w:name="_Toc16918"/>
      <w:r>
        <w:rPr>
          <w:rFonts w:hint="eastAsia" w:ascii="宋体" w:hAnsi="宋体" w:eastAsia="宋体" w:cs="宋体"/>
          <w:color w:val="000000" w:themeColor="text1"/>
          <w:highlight w:val="none"/>
          <w14:textFill>
            <w14:solidFill>
              <w14:schemeClr w14:val="tx1"/>
            </w14:solidFill>
          </w14:textFill>
        </w:rPr>
        <w:t xml:space="preserve">第三章 </w:t>
      </w:r>
      <w:bookmarkEnd w:id="320"/>
      <w:bookmarkEnd w:id="321"/>
      <w:r>
        <w:rPr>
          <w:rFonts w:hint="eastAsia" w:ascii="宋体" w:hAnsi="宋体" w:eastAsia="宋体" w:cs="宋体"/>
          <w:color w:val="000000" w:themeColor="text1"/>
          <w:highlight w:val="none"/>
          <w14:textFill>
            <w14:solidFill>
              <w14:schemeClr w14:val="tx1"/>
            </w14:solidFill>
          </w14:textFill>
        </w:rPr>
        <w:t>采购需求</w:t>
      </w:r>
      <w:bookmarkEnd w:id="322"/>
    </w:p>
    <w:p w14:paraId="42E4F0E1">
      <w:pPr>
        <w:pStyle w:val="3"/>
        <w:bidi w:val="0"/>
        <w:rPr>
          <w:rFonts w:hint="eastAsia" w:ascii="宋体" w:hAnsi="宋体" w:eastAsia="宋体" w:cs="宋体"/>
          <w:color w:val="000000" w:themeColor="text1"/>
          <w:highlight w:val="none"/>
          <w14:textFill>
            <w14:solidFill>
              <w14:schemeClr w14:val="tx1"/>
            </w14:solidFill>
          </w14:textFill>
        </w:rPr>
      </w:pPr>
      <w:bookmarkStart w:id="323" w:name="_Toc6906"/>
      <w:bookmarkStart w:id="324" w:name="_Toc15959"/>
      <w:bookmarkStart w:id="325" w:name="_Toc163492892"/>
      <w:bookmarkStart w:id="326" w:name="_Toc155185895"/>
      <w:r>
        <w:rPr>
          <w:rFonts w:hint="eastAsia" w:ascii="宋体" w:hAnsi="宋体" w:eastAsia="宋体" w:cs="宋体"/>
          <w:color w:val="000000" w:themeColor="text1"/>
          <w:highlight w:val="none"/>
          <w14:textFill>
            <w14:solidFill>
              <w14:schemeClr w14:val="tx1"/>
            </w14:solidFill>
          </w14:textFill>
        </w:rPr>
        <w:t>一、采购标的需实现的功能或者目标，以及为落实政府采购政策需满足的要求；</w:t>
      </w:r>
      <w:bookmarkEnd w:id="323"/>
    </w:p>
    <w:p w14:paraId="30A284A0">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（一）采购标的需实现的功能或者目标：</w:t>
      </w:r>
      <w:r>
        <w:rPr>
          <w:rFonts w:hint="eastAsia" w:ascii="宋体" w:hAnsi="宋体" w:eastAsia="宋体" w:cs="宋体"/>
          <w:b/>
          <w:bCs/>
          <w:color w:val="000000" w:themeColor="text1"/>
          <w:highlight w:val="none"/>
          <w:u w:val="single"/>
          <w:lang w:val="en-US" w:eastAsia="zh-CN"/>
          <w14:textFill>
            <w14:solidFill>
              <w14:schemeClr w14:val="tx1"/>
            </w14:solidFill>
          </w14:textFill>
        </w:rPr>
        <w:t>坚持以习近平新时代中国特色社会主义思想为指导，全面贯彻习近平总书记关于教育的重要论述，全面贯彻党的教育方针，系统展示云南水利水电职业学院发展历程、办学精神和厚重文化积淀；全方位展现一代代师生团结奋斗、攻坚克难，在不断推进立德树人工作所取得的成绩，突出学校在发展中形成的精神文化内涵；以期达到铭记历史、展示成果、启迪未来的目的。</w:t>
      </w:r>
    </w:p>
    <w:p w14:paraId="3FF39EB2">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（二）落实政府采购政策需满足的要求：</w:t>
      </w:r>
      <w:r>
        <w:rPr>
          <w:rFonts w:hint="eastAsia" w:ascii="宋体" w:hAnsi="宋体" w:eastAsia="宋体" w:cs="宋体"/>
          <w:b/>
          <w:bCs/>
          <w:color w:val="000000" w:themeColor="text1"/>
          <w:highlight w:val="none"/>
          <w:u w:val="single"/>
          <w:lang w:val="en-US" w:eastAsia="zh-CN"/>
          <w14:textFill>
            <w14:solidFill>
              <w14:schemeClr w14:val="tx1"/>
            </w14:solidFill>
          </w14:textFill>
        </w:rPr>
        <w:t>专门面向中小企业采购</w:t>
      </w:r>
      <w:r>
        <w:rPr>
          <w:rFonts w:hint="eastAsia" w:ascii="宋体" w:hAnsi="宋体" w:eastAsia="宋体" w:cs="宋体"/>
          <w:color w:val="000000" w:themeColor="text1"/>
          <w:highlight w:val="none"/>
          <w:lang w:val="en-US" w:eastAsia="zh-CN"/>
          <w14:textFill>
            <w14:solidFill>
              <w14:schemeClr w14:val="tx1"/>
            </w14:solidFill>
          </w14:textFill>
        </w:rPr>
        <w:t>;</w:t>
      </w:r>
    </w:p>
    <w:p w14:paraId="5C5BAD9D">
      <w:pPr>
        <w:pStyle w:val="3"/>
        <w:bidi w:val="0"/>
        <w:rPr>
          <w:rFonts w:hint="eastAsia" w:ascii="宋体" w:hAnsi="宋体" w:eastAsia="宋体" w:cs="宋体"/>
          <w:color w:val="000000" w:themeColor="text1"/>
          <w:highlight w:val="none"/>
          <w14:textFill>
            <w14:solidFill>
              <w14:schemeClr w14:val="tx1"/>
            </w14:solidFill>
          </w14:textFill>
        </w:rPr>
      </w:pPr>
      <w:bookmarkStart w:id="327" w:name="_Toc16036"/>
      <w:r>
        <w:rPr>
          <w:rFonts w:hint="eastAsia" w:ascii="宋体" w:hAnsi="宋体" w:eastAsia="宋体" w:cs="宋体"/>
          <w:color w:val="000000" w:themeColor="text1"/>
          <w:highlight w:val="none"/>
          <w:lang w:val="en-US" w:eastAsia="zh-CN"/>
          <w14:textFill>
            <w14:solidFill>
              <w14:schemeClr w14:val="tx1"/>
            </w14:solidFill>
          </w14:textFill>
        </w:rPr>
        <w:t>二、</w:t>
      </w:r>
      <w:r>
        <w:rPr>
          <w:rFonts w:hint="eastAsia" w:ascii="宋体" w:hAnsi="宋体" w:eastAsia="宋体" w:cs="宋体"/>
          <w:color w:val="000000" w:themeColor="text1"/>
          <w:highlight w:val="none"/>
          <w14:textFill>
            <w14:solidFill>
              <w14:schemeClr w14:val="tx1"/>
            </w14:solidFill>
          </w14:textFill>
        </w:rPr>
        <w:t>采购标的需执行的国家相关标准、行业标准、地方标准或者其他标准、规范；</w:t>
      </w:r>
      <w:bookmarkEnd w:id="327"/>
    </w:p>
    <w:p w14:paraId="646B5D89">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本项目设计、施工、材料、验收等所有环节，必须严格执行（但不限于）以下现行有效的国家、行业、地方标准规范及其他相关规定。当标准之间存在差异时，应以其中最严格的标准为准。</w:t>
      </w:r>
    </w:p>
    <w:p w14:paraId="63D1DDA4">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（一）基础与通用标准</w:t>
      </w:r>
    </w:p>
    <w:p w14:paraId="3DC2948E">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1.《建筑工程施工质量验收统一标准》GB 50300</w:t>
      </w:r>
    </w:p>
    <w:p w14:paraId="122D83BA">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2.《民用建筑设计统一标准》GB 50352</w:t>
      </w:r>
    </w:p>
    <w:p w14:paraId="303BFA9A">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3.《建筑抗震设计规范》GB 50011</w:t>
      </w:r>
    </w:p>
    <w:p w14:paraId="31B5E4F4">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4.《建筑工程抗震设防分类标准》GB 50223</w:t>
      </w:r>
    </w:p>
    <w:p w14:paraId="6C543D2E">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5.《建筑设计防火规范》GB 50016 (及其后续修订的强制性条文)</w:t>
      </w:r>
    </w:p>
    <w:p w14:paraId="2A101ED4">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（二）建筑设计专项标准</w:t>
      </w:r>
    </w:p>
    <w:p w14:paraId="4BA11BC9">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1.《公共建筑节能设计标准》GB 50189</w:t>
      </w:r>
    </w:p>
    <w:p w14:paraId="43A54E78">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2.《无障碍设计规范》GB 50763</w:t>
      </w:r>
    </w:p>
    <w:p w14:paraId="1B321FD6">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3.《民用建筑隔声设计规范》GB 50118</w:t>
      </w:r>
    </w:p>
    <w:p w14:paraId="6FD2D5B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4.《建筑内部装修设计防火规范》GB 50222</w:t>
      </w:r>
    </w:p>
    <w:p w14:paraId="5F2D58DD">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5.《展览建筑设计规范》JGJ 218</w:t>
      </w:r>
    </w:p>
    <w:p w14:paraId="2F55B13D">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（三）结构、机电与施工专项标准</w:t>
      </w:r>
    </w:p>
    <w:p w14:paraId="5BC1561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1.结构工程：《混凝土结构工程施工质量验收规范》GB 50204、《钢结构工程施工质量验收规范》GB 50205等。</w:t>
      </w:r>
    </w:p>
    <w:p w14:paraId="5461B118">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2.电气工程：《供配电系统设计规范》GB 50052、《民用建筑电气设计标准》GB 51348、《建筑照明设计标准》GB 50034。</w:t>
      </w:r>
    </w:p>
    <w:p w14:paraId="643B302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3.给排水及暖通：《建筑给水排水设计标准》GB 50015、《通风与空调工程施工质量验收规范》GB 50243。</w:t>
      </w:r>
    </w:p>
    <w:p w14:paraId="567C2A8D">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4.消防工程：《自动喷水灭火系统设计规范》GB 50084、《火灾自动报警系统设计规范》GB 50116、《建筑防烟排烟系统技术标准》GB 51251。</w:t>
      </w:r>
    </w:p>
    <w:p w14:paraId="41A3559D">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（四）展陈与智能化专项标准</w:t>
      </w:r>
    </w:p>
    <w:p w14:paraId="7BD33737">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1.《安全防范工程技术标准》GB 50348</w:t>
      </w:r>
    </w:p>
    <w:p w14:paraId="52C263C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2.《智能建筑设计标准》GB 50314</w:t>
      </w:r>
    </w:p>
    <w:p w14:paraId="7336C9FD">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（五）绿色、健康与地方标准</w:t>
      </w:r>
    </w:p>
    <w:p w14:paraId="7A24E8E7">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1.绿色建筑：《绿色建筑评价标准》GB/T 50378</w:t>
      </w:r>
    </w:p>
    <w:p w14:paraId="440B0F4F">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2.室内环境：《民用建筑工程室内环境污染控制规范》GB 50325</w:t>
      </w:r>
    </w:p>
    <w:p w14:paraId="16BF5E43">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（六）地方标准</w:t>
      </w:r>
    </w:p>
    <w:p w14:paraId="03EE27F3">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必须遵守项目所在地省、市建设主管部门颁布的最新地方性标准、规程和规定。</w:t>
      </w:r>
    </w:p>
    <w:p w14:paraId="19F2EE81">
      <w:pPr>
        <w:pStyle w:val="3"/>
        <w:bidi w:val="0"/>
        <w:rPr>
          <w:rFonts w:hint="eastAsia" w:ascii="宋体" w:hAnsi="宋体" w:eastAsia="宋体" w:cs="宋体"/>
          <w:color w:val="000000" w:themeColor="text1"/>
          <w:highlight w:val="none"/>
          <w14:textFill>
            <w14:solidFill>
              <w14:schemeClr w14:val="tx1"/>
            </w14:solidFill>
          </w14:textFill>
        </w:rPr>
      </w:pPr>
      <w:bookmarkStart w:id="328" w:name="_Toc25049"/>
      <w:r>
        <w:rPr>
          <w:rFonts w:hint="eastAsia" w:ascii="宋体" w:hAnsi="宋体" w:eastAsia="宋体" w:cs="宋体"/>
          <w:color w:val="000000" w:themeColor="text1"/>
          <w:highlight w:val="none"/>
          <w:lang w:val="en-US" w:eastAsia="zh-CN"/>
          <w14:textFill>
            <w14:solidFill>
              <w14:schemeClr w14:val="tx1"/>
            </w14:solidFill>
          </w14:textFill>
        </w:rPr>
        <w:t>三、</w:t>
      </w:r>
      <w:r>
        <w:rPr>
          <w:rFonts w:hint="eastAsia" w:ascii="宋体" w:hAnsi="宋体" w:eastAsia="宋体" w:cs="宋体"/>
          <w:color w:val="000000" w:themeColor="text1"/>
          <w:highlight w:val="none"/>
          <w14:textFill>
            <w14:solidFill>
              <w14:schemeClr w14:val="tx1"/>
            </w14:solidFill>
          </w14:textFill>
        </w:rPr>
        <w:t>采购标的需满足的质量、安全、技术规格、物理特性等要求；</w:t>
      </w:r>
      <w:bookmarkEnd w:id="328"/>
    </w:p>
    <w:p w14:paraId="099E84E3">
      <w:pPr>
        <w:pStyle w:val="4"/>
        <w:bidi w:val="0"/>
        <w:rPr>
          <w:rFonts w:hint="eastAsia" w:ascii="宋体" w:hAnsi="宋体" w:eastAsia="宋体" w:cs="宋体"/>
          <w:color w:val="000000" w:themeColor="text1"/>
          <w:highlight w:val="none"/>
          <w:lang w:val="en-US" w:eastAsia="zh-CN"/>
          <w14:textFill>
            <w14:solidFill>
              <w14:schemeClr w14:val="tx1"/>
            </w14:solidFill>
          </w14:textFill>
        </w:rPr>
      </w:pPr>
      <w:bookmarkStart w:id="329" w:name="_Toc16915"/>
      <w:r>
        <w:rPr>
          <w:rFonts w:hint="eastAsia" w:ascii="宋体" w:hAnsi="宋体" w:eastAsia="宋体" w:cs="宋体"/>
          <w:color w:val="000000" w:themeColor="text1"/>
          <w:highlight w:val="none"/>
          <w:lang w:val="en-US" w:eastAsia="zh-CN"/>
          <w14:textFill>
            <w14:solidFill>
              <w14:schemeClr w14:val="tx1"/>
            </w14:solidFill>
          </w14:textFill>
        </w:rPr>
        <w:t>（一）项目内容</w:t>
      </w:r>
      <w:bookmarkEnd w:id="329"/>
    </w:p>
    <w:p w14:paraId="5C6FA4C3">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本项目拟采用设计施工一体化模式进行建设，采购范围包括但不限于以下事项：方案设计、效果图设计、施工图深化设计、布展实施方案、布展装饰施工、空调改造、定制展项设计制作、电气设备安装、展览专用展柜设计制作、定制声光电展项、运营智能化管理、线上全景展览和零星配套设施等，具体包含：</w:t>
      </w:r>
    </w:p>
    <w:p w14:paraId="0700EC8B">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（1）展陈大纲内容策划、表现形式设计；</w:t>
      </w:r>
    </w:p>
    <w:p w14:paraId="730E7A4D">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（2）建筑内部展陈空间整体规划、空间设计；平面内容设计；（设计图纸具体包括但不限于分区图、流线图、鸟瞰图、各功能空间效果图、平立面设计图、各专项设计深化图、施工图等）</w:t>
      </w:r>
    </w:p>
    <w:p w14:paraId="778C33D0">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（3）展陈区域布展所需的专业展柜、展架（托）设计制作、文字标识平面设计制作、导览导视系统设计制作、维护、质保；</w:t>
      </w:r>
    </w:p>
    <w:p w14:paraId="79BC944A">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（4）展品装饰、雕塑、油画、场景等定制艺术展项的设计、制作、采购、布展、维护、质保；</w:t>
      </w:r>
    </w:p>
    <w:p w14:paraId="13C60881">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（5）校史馆、临展区等功能空间的整体布展施工包括原场地拆除、隔墙搭建、墙面、吊顶、地面装饰布展；配套电气设施安装；空调改造；施工预算；维护、质保；</w:t>
      </w:r>
    </w:p>
    <w:p w14:paraId="7166393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（6）零星配套设施采购、安装、维护、质保；</w:t>
      </w:r>
    </w:p>
    <w:p w14:paraId="3F2AFD72">
      <w:pPr>
        <w:pStyle w:val="4"/>
        <w:bidi w:val="0"/>
        <w:rPr>
          <w:rFonts w:hint="eastAsia" w:ascii="宋体" w:hAnsi="宋体" w:eastAsia="宋体" w:cs="宋体"/>
          <w:color w:val="000000" w:themeColor="text1"/>
          <w:highlight w:val="none"/>
          <w:lang w:val="en-US" w:eastAsia="zh-CN"/>
          <w14:textFill>
            <w14:solidFill>
              <w14:schemeClr w14:val="tx1"/>
            </w14:solidFill>
          </w14:textFill>
        </w:rPr>
      </w:pPr>
      <w:bookmarkStart w:id="330" w:name="_Toc9865"/>
      <w:r>
        <w:rPr>
          <w:rFonts w:hint="eastAsia" w:ascii="宋体" w:hAnsi="宋体" w:eastAsia="宋体" w:cs="宋体"/>
          <w:color w:val="000000" w:themeColor="text1"/>
          <w:highlight w:val="none"/>
          <w:lang w:val="en-US" w:eastAsia="zh-CN"/>
          <w14:textFill>
            <w14:solidFill>
              <w14:schemeClr w14:val="tx1"/>
            </w14:solidFill>
          </w14:textFill>
        </w:rPr>
        <w:t>（二）设计总体要求</w:t>
      </w:r>
      <w:bookmarkEnd w:id="330"/>
    </w:p>
    <w:p w14:paraId="1DC1FC56">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1.设计内容 </w:t>
      </w:r>
    </w:p>
    <w:p w14:paraId="2E017AEF">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具体包含展厅天花、墙面、地面以及馆门标识等空间设计，展柜、图文展板、说明牌等设计，场景艺术品设计，多媒体设计，专业照明及电路设计等内容。 </w:t>
      </w:r>
    </w:p>
    <w:p w14:paraId="2A2065F0">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2、设计原则 </w:t>
      </w:r>
    </w:p>
    <w:p w14:paraId="37D14FD8">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真实性：陈述历史，还原历史，所用文字、图片、音像、实物等展品，均应客观真实。</w:t>
      </w:r>
    </w:p>
    <w:p w14:paraId="3928FAE4">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全面性：全面展现学校发展建设的基本脉络、关键环节、重要任务、重大事件、重要成果。展示先辈在艰难岁月中坚持办学的献身精神；呈现当代学校在改革发展中取得的辉煌成就。</w:t>
      </w:r>
    </w:p>
    <w:p w14:paraId="05DA212B">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文化性：做有文化、有内涵、有科技含量的现代化的校史馆。充分发挥其明史、鉴今、育人的功能。 </w:t>
      </w:r>
    </w:p>
    <w:p w14:paraId="156F3CBD">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安全性：设计必须满足展馆安全风险等级、防火规范、消防规范及有关规定。</w:t>
      </w:r>
    </w:p>
    <w:p w14:paraId="6D79B40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3.展线要求 展线要求设计合理、流畅，适合观众参观习惯，坚持人本设计原则，确保布展高度、展线长度、参观流程等各方面最大限度地方便参观者，同时便于观众流通，以及安全保卫和消防设施系统的顺畅运转。 </w:t>
      </w:r>
    </w:p>
    <w:p w14:paraId="64F4C954">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4.展示手段 根据内容大纲和形式设计需要，充分恰当地利用图文、图表、模型、实物、浮雕、雕塑、场景营造、多媒体声光电等现代化手段及互动类辅助展品等综合手段。 </w:t>
      </w:r>
    </w:p>
    <w:p w14:paraId="61B046C7">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5.设计风格 突出学校特性，整体展示风格定位厚重、大气、简约、和谐，基调统一，同时在尊重空间展示主题和内容的基础上，设计风格可灵活调整，以体现每个部分的特色和亮点。</w:t>
      </w:r>
    </w:p>
    <w:p w14:paraId="126D8EDF">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（三）设计施工要求</w:t>
      </w:r>
    </w:p>
    <w:p w14:paraId="005A6BDF">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1.本工程的设计、施工、布展和展览材料要符合建筑、装饰工程、环保、安防、消防要求以及国家相关规范的要求，并有利于展品保护。</w:t>
      </w:r>
    </w:p>
    <w:p w14:paraId="5E12A9D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2.制作施工能较好理解设计意图，制作的展墙、展柜、展台、道具及吊顶和地面等达到较高工艺水平；艺术品制作精良。 </w:t>
      </w:r>
    </w:p>
    <w:p w14:paraId="40191B49">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3.制作要工艺考究、美观大方、质感好。牢固耐用，符合声、光学原理及展品安全和保护要求。 </w:t>
      </w:r>
    </w:p>
    <w:p w14:paraId="5E166DFB">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4.多媒体及数字化设备选配科学、合理，用材适当并与陈列环境相协调，且易于操作，经久耐用。供应商需包含制作本项目多媒体展项软件部分内容。</w:t>
      </w:r>
    </w:p>
    <w:p w14:paraId="144D56C8">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过程管理：供应商及时组织人员、设备及材料进场组织施工。严格按照经采购人审定的施工图纸及相关标准的规定组织施工。安装施工中应采取成品保护措施。施工过程中应严格服从相关现场管理人员的管理。施工过程中做好各种数据资料的收集整理并及时上报。施工包含后期扩展提升多媒体声光电设备的线路及预留接口。施工质量必须符合相关要求。施工要求安全文明施工，杜绝安全事故发生。施工过程不得破坏建筑主体结构及消防设施，如需改动其他原有设施须经采购人确认。</w:t>
      </w:r>
    </w:p>
    <w:p w14:paraId="72428FB7">
      <w:pPr>
        <w:pStyle w:val="3"/>
        <w:bidi w:val="0"/>
        <w:rPr>
          <w:rFonts w:hint="eastAsia" w:ascii="宋体" w:hAnsi="宋体" w:eastAsia="宋体" w:cs="宋体"/>
          <w:color w:val="000000" w:themeColor="text1"/>
          <w:highlight w:val="none"/>
          <w14:textFill>
            <w14:solidFill>
              <w14:schemeClr w14:val="tx1"/>
            </w14:solidFill>
          </w14:textFill>
        </w:rPr>
      </w:pPr>
      <w:bookmarkStart w:id="331" w:name="_Toc422"/>
      <w:r>
        <w:rPr>
          <w:rFonts w:hint="eastAsia" w:ascii="宋体" w:hAnsi="宋体" w:eastAsia="宋体" w:cs="宋体"/>
          <w:color w:val="000000" w:themeColor="text1"/>
          <w:highlight w:val="none"/>
          <w:lang w:val="en-US" w:eastAsia="zh-CN"/>
          <w14:textFill>
            <w14:solidFill>
              <w14:schemeClr w14:val="tx1"/>
            </w14:solidFill>
          </w14:textFill>
        </w:rPr>
        <w:t>四、</w:t>
      </w:r>
      <w:r>
        <w:rPr>
          <w:rFonts w:hint="eastAsia" w:ascii="宋体" w:hAnsi="宋体" w:eastAsia="宋体" w:cs="宋体"/>
          <w:color w:val="000000" w:themeColor="text1"/>
          <w:highlight w:val="none"/>
          <w14:textFill>
            <w14:solidFill>
              <w14:schemeClr w14:val="tx1"/>
            </w14:solidFill>
          </w14:textFill>
        </w:rPr>
        <w:t>采购标的的数量、采购项目交付或者实施的时间和地点；</w:t>
      </w:r>
      <w:bookmarkEnd w:id="331"/>
    </w:p>
    <w:p w14:paraId="724B013F">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1.项目实施的时间：合同签订之日起105日历天内完工并验收完成（其中：设计周期15日历天，施工工期90日历天）。</w:t>
      </w:r>
    </w:p>
    <w:p w14:paraId="769328DE">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2.项目实施的地点：云南水利水电职业学院富民校区图书馆内；</w:t>
      </w:r>
    </w:p>
    <w:p w14:paraId="48D2CC23">
      <w:pPr>
        <w:pStyle w:val="3"/>
        <w:bidi w:val="0"/>
        <w:rPr>
          <w:rFonts w:hint="eastAsia" w:ascii="宋体" w:hAnsi="宋体" w:eastAsia="宋体" w:cs="宋体"/>
          <w:color w:val="000000" w:themeColor="text1"/>
          <w:highlight w:val="none"/>
          <w14:textFill>
            <w14:solidFill>
              <w14:schemeClr w14:val="tx1"/>
            </w14:solidFill>
          </w14:textFill>
        </w:rPr>
      </w:pPr>
      <w:bookmarkStart w:id="332" w:name="_Toc20224"/>
      <w:r>
        <w:rPr>
          <w:rFonts w:hint="eastAsia" w:ascii="宋体" w:hAnsi="宋体" w:eastAsia="宋体" w:cs="宋体"/>
          <w:color w:val="000000" w:themeColor="text1"/>
          <w:highlight w:val="none"/>
          <w:lang w:val="en-US" w:eastAsia="zh-CN"/>
          <w14:textFill>
            <w14:solidFill>
              <w14:schemeClr w14:val="tx1"/>
            </w14:solidFill>
          </w14:textFill>
        </w:rPr>
        <w:t>五、</w:t>
      </w:r>
      <w:r>
        <w:rPr>
          <w:rFonts w:hint="eastAsia" w:ascii="宋体" w:hAnsi="宋体" w:eastAsia="宋体" w:cs="宋体"/>
          <w:color w:val="000000" w:themeColor="text1"/>
          <w:highlight w:val="none"/>
          <w14:textFill>
            <w14:solidFill>
              <w14:schemeClr w14:val="tx1"/>
            </w14:solidFill>
          </w14:textFill>
        </w:rPr>
        <w:t>采购标的需满足的服务标准、期限、效率等要求；</w:t>
      </w:r>
      <w:bookmarkEnd w:id="332"/>
    </w:p>
    <w:p w14:paraId="7CAEF7B4">
      <w:pPr>
        <w:pStyle w:val="4"/>
        <w:bidi w:val="0"/>
        <w:rPr>
          <w:rFonts w:hint="eastAsia" w:ascii="宋体" w:hAnsi="宋体" w:eastAsia="宋体" w:cs="宋体"/>
          <w:color w:val="000000" w:themeColor="text1"/>
          <w:highlight w:val="none"/>
          <w:lang w:val="en-US" w:eastAsia="zh-CN"/>
          <w14:textFill>
            <w14:solidFill>
              <w14:schemeClr w14:val="tx1"/>
            </w14:solidFill>
          </w14:textFill>
        </w:rPr>
      </w:pPr>
      <w:bookmarkStart w:id="333" w:name="_Toc8788"/>
      <w:r>
        <w:rPr>
          <w:rFonts w:hint="eastAsia" w:ascii="宋体" w:hAnsi="宋体" w:eastAsia="宋体" w:cs="宋体"/>
          <w:color w:val="000000" w:themeColor="text1"/>
          <w:highlight w:val="none"/>
          <w:lang w:val="en-US" w:eastAsia="zh-CN"/>
          <w14:textFill>
            <w14:solidFill>
              <w14:schemeClr w14:val="tx1"/>
            </w14:solidFill>
          </w14:textFill>
        </w:rPr>
        <w:t>（一）服务标准与质量要求</w:t>
      </w:r>
      <w:bookmarkEnd w:id="333"/>
    </w:p>
    <w:p w14:paraId="3E996F1D">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1.设计与成果标准</w:t>
      </w:r>
    </w:p>
    <w:p w14:paraId="706391D7">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（1）设计深度：成交人所有设计文件（方案设计、初步设计、施工图设计）的深度须完全符合国家《建筑工程设计文件编制深度规定》，并能满足施工、材料设备采购、非标准设备制作和工程验收的需求。</w:t>
      </w:r>
    </w:p>
    <w:p w14:paraId="65E8A78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（2）多方案比选：成交人对校史馆的核心功能区（如序厅、主题展区、荣誉展廊等）应提供不少于2个概念设计方案进行比选。</w:t>
      </w:r>
    </w:p>
    <w:p w14:paraId="342453CE">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（3）成果完整性：成交人提交的所有成果（包括图纸、计算书、效果图、动画、工程量清单及预算等）必须完整、清晰、准确，并按规定装订成册和提交电子文档。</w:t>
      </w:r>
    </w:p>
    <w:p w14:paraId="0DCBBB48">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2.施工与协调标准</w:t>
      </w:r>
    </w:p>
    <w:p w14:paraId="165A10A6">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1.“零”质量事故：确保工程质量符合国家及地方现行所有验收标准，一次验收合格率100%，杜绝重大质量事故。</w:t>
      </w:r>
    </w:p>
    <w:p w14:paraId="0B2537EF">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2.“零”安全事故：严格执行安全生产法律法规，确保施工期间无人员死亡及以上安全责任事故。</w:t>
      </w:r>
    </w:p>
    <w:p w14:paraId="3B8E936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3.精细化施工：对展陈装修、灯光布设、多媒体集成等关键分项工程，须先做“样板段”或“样板间”，经采购人确认后方可大面积施工。</w:t>
      </w:r>
    </w:p>
    <w:p w14:paraId="3A9CBB60">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4.协同工作：承担设计与施工之间的无缝衔接责任，及时解决因设计图纸与现场不符引发的各类问题，不得因此要求不合理延期或追加费用。</w:t>
      </w:r>
    </w:p>
    <w:p w14:paraId="17277B80">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（二）服务期限与进度要求</w:t>
      </w:r>
    </w:p>
    <w:p w14:paraId="6F6B0D29">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1.关键节点工期：成交人须向采购人提交一份详细的《项目实施总体进度计划表》。</w:t>
      </w:r>
    </w:p>
    <w:p w14:paraId="3ECAC9B9">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2.进度保障措施</w:t>
      </w:r>
    </w:p>
    <w:p w14:paraId="66B1D4F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（1）进度报告：每周一向采购人提交详细的《周进度报告》，包括上周完成情况、本周计划、存在的问题及解决方案。</w:t>
      </w:r>
    </w:p>
    <w:p w14:paraId="3F88A8E1">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（2）工期保证：除非因不可抗力或采购人原因导致的延误，否则成交人必须采取一切必要措施（包括夜间施工、增加资源投入等）确保在承诺的工期内完工。每延误一日，应按合同约定承担逾期违约金。</w:t>
      </w:r>
    </w:p>
    <w:p w14:paraId="7017B6ED">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（三）服务效率与响应要求</w:t>
      </w:r>
    </w:p>
    <w:p w14:paraId="45FDF2CF">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1.沟通响应机制</w:t>
      </w:r>
    </w:p>
    <w:p w14:paraId="21594BDA">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（1）会议制度：按时参加工程例会（每周/每两周一次）及各类专题会议。</w:t>
      </w:r>
    </w:p>
    <w:p w14:paraId="62EF58C9">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（2）问题响应：建立24小时内响应机制。收到采购人（或监理方）的书面问题或指令后，应在24小时内给出实质性回复或解决方案。</w:t>
      </w:r>
    </w:p>
    <w:p w14:paraId="76F4BD17">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2.变更处理效率</w:t>
      </w:r>
    </w:p>
    <w:p w14:paraId="29D1E347">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对于采购人提出的合理设计变更或工程变更，应在收到正式变更要求后的3个工作日内提供变更方案及费用、工期影响评估。</w:t>
      </w:r>
    </w:p>
    <w:p w14:paraId="0094ABD2">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3.后期服务与移交</w:t>
      </w:r>
    </w:p>
    <w:p w14:paraId="41370345">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（1）培训：项目交付前，须为采购人的管理人员提供系统性的设备操作和维护培训。</w:t>
      </w:r>
    </w:p>
    <w:p w14:paraId="04DAF7E2">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（2）档案移交：在竣工后30个日历日内，提交完整、符合城建档案馆及采购人要求的竣工图及技术档案资料。</w:t>
      </w:r>
    </w:p>
    <w:p w14:paraId="06EFA694">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（3）质量保修：严格执行国家规定的工程质量保修制度，在接到维修通知后，保修人员应在4小时内响应，24小时内到达现场处理问题。</w:t>
      </w:r>
    </w:p>
    <w:p w14:paraId="1ABC44B9">
      <w:pPr>
        <w:pStyle w:val="3"/>
        <w:bidi w:val="0"/>
        <w:rPr>
          <w:rFonts w:hint="eastAsia" w:ascii="宋体" w:hAnsi="宋体" w:eastAsia="宋体" w:cs="宋体"/>
          <w:color w:val="000000" w:themeColor="text1"/>
          <w:highlight w:val="none"/>
          <w14:textFill>
            <w14:solidFill>
              <w14:schemeClr w14:val="tx1"/>
            </w14:solidFill>
          </w14:textFill>
        </w:rPr>
      </w:pPr>
      <w:bookmarkStart w:id="334" w:name="_Toc12256"/>
      <w:r>
        <w:rPr>
          <w:rFonts w:hint="eastAsia" w:ascii="宋体" w:hAnsi="宋体" w:eastAsia="宋体" w:cs="宋体"/>
          <w:color w:val="000000" w:themeColor="text1"/>
          <w:highlight w:val="none"/>
          <w:lang w:val="en-US" w:eastAsia="zh-CN"/>
          <w14:textFill>
            <w14:solidFill>
              <w14:schemeClr w14:val="tx1"/>
            </w14:solidFill>
          </w14:textFill>
        </w:rPr>
        <w:t>六、</w:t>
      </w:r>
      <w:r>
        <w:rPr>
          <w:rFonts w:hint="eastAsia" w:ascii="宋体" w:hAnsi="宋体" w:eastAsia="宋体" w:cs="宋体"/>
          <w:color w:val="000000" w:themeColor="text1"/>
          <w:highlight w:val="none"/>
          <w14:textFill>
            <w14:solidFill>
              <w14:schemeClr w14:val="tx1"/>
            </w14:solidFill>
          </w14:textFill>
        </w:rPr>
        <w:t>采购标的的验收标准；</w:t>
      </w:r>
      <w:bookmarkEnd w:id="334"/>
    </w:p>
    <w:p w14:paraId="67A950D2">
      <w:pPr>
        <w:pStyle w:val="4"/>
        <w:bidi w:val="0"/>
        <w:rPr>
          <w:rFonts w:hint="eastAsia" w:ascii="宋体" w:hAnsi="宋体" w:eastAsia="宋体" w:cs="宋体"/>
          <w:color w:val="000000" w:themeColor="text1"/>
          <w:highlight w:val="none"/>
          <w:lang w:val="en-US" w:eastAsia="zh-CN"/>
          <w14:textFill>
            <w14:solidFill>
              <w14:schemeClr w14:val="tx1"/>
            </w14:solidFill>
          </w14:textFill>
        </w:rPr>
      </w:pPr>
      <w:bookmarkStart w:id="335" w:name="_Toc915"/>
      <w:r>
        <w:rPr>
          <w:rFonts w:hint="eastAsia" w:ascii="宋体" w:hAnsi="宋体" w:eastAsia="宋体" w:cs="宋体"/>
          <w:color w:val="000000" w:themeColor="text1"/>
          <w:highlight w:val="none"/>
          <w:lang w:val="en-US" w:eastAsia="zh-CN"/>
          <w14:textFill>
            <w14:solidFill>
              <w14:schemeClr w14:val="tx1"/>
            </w14:solidFill>
          </w14:textFill>
        </w:rPr>
        <w:t>（一）设计阶段</w:t>
      </w:r>
      <w:bookmarkEnd w:id="335"/>
    </w:p>
    <w:p w14:paraId="227F852F">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各设计阶段，成交人应参照相关规范，同时按照采购人要求及时制作完成报审图纸、文件；在采购人对本项目的审批过程中，成交人应派出相关人员负责解释工作。成交人应根据审批意见对设计文件进行修改，最终完成并向采购人提交全部图纸、文件及电子文档。</w:t>
      </w:r>
    </w:p>
    <w:p w14:paraId="62E7EFB3">
      <w:pPr>
        <w:pStyle w:val="4"/>
        <w:bidi w:val="0"/>
        <w:rPr>
          <w:rFonts w:hint="eastAsia" w:ascii="宋体" w:hAnsi="宋体" w:eastAsia="宋体" w:cs="宋体"/>
          <w:color w:val="000000" w:themeColor="text1"/>
          <w:highlight w:val="none"/>
          <w:lang w:val="en-US" w:eastAsia="zh-CN"/>
          <w14:textFill>
            <w14:solidFill>
              <w14:schemeClr w14:val="tx1"/>
            </w14:solidFill>
          </w14:textFill>
        </w:rPr>
      </w:pPr>
      <w:bookmarkStart w:id="336" w:name="_Toc6817"/>
      <w:r>
        <w:rPr>
          <w:rFonts w:hint="eastAsia" w:ascii="宋体" w:hAnsi="宋体" w:eastAsia="宋体" w:cs="宋体"/>
          <w:color w:val="000000" w:themeColor="text1"/>
          <w:highlight w:val="none"/>
          <w:lang w:val="en-US" w:eastAsia="zh-CN"/>
          <w14:textFill>
            <w14:solidFill>
              <w14:schemeClr w14:val="tx1"/>
            </w14:solidFill>
          </w14:textFill>
        </w:rPr>
        <w:t>（二）项目验收</w:t>
      </w:r>
      <w:bookmarkEnd w:id="336"/>
    </w:p>
    <w:p w14:paraId="4E76BB6A">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1.按照国家现行标准、规程、规范执行；</w:t>
      </w:r>
    </w:p>
    <w:p w14:paraId="3C00A188">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2.所有材料进场需按要求提供规定的检测证书；</w:t>
      </w:r>
    </w:p>
    <w:p w14:paraId="18F2674B">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3.所有隐蔽工程完成必须由监理或我校现场代表验收合格后方可进入下道工序的施工，否则不予进行下一步工序；</w:t>
      </w:r>
    </w:p>
    <w:p w14:paraId="195E3E75">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4.按照我校规定的施工工序、质量要求，规范施工，每个工序均要检测合格方可进入下道工序。</w:t>
      </w:r>
    </w:p>
    <w:p w14:paraId="06BD2801">
      <w:pPr>
        <w:pStyle w:val="3"/>
        <w:bidi w:val="0"/>
        <w:rPr>
          <w:rFonts w:hint="eastAsia" w:ascii="宋体" w:hAnsi="宋体" w:eastAsia="宋体" w:cs="宋体"/>
          <w:color w:val="000000" w:themeColor="text1"/>
          <w:highlight w:val="none"/>
          <w14:textFill>
            <w14:solidFill>
              <w14:schemeClr w14:val="tx1"/>
            </w14:solidFill>
          </w14:textFill>
        </w:rPr>
      </w:pPr>
      <w:bookmarkStart w:id="337" w:name="_Toc18800"/>
      <w:r>
        <w:rPr>
          <w:rFonts w:hint="eastAsia" w:ascii="宋体" w:hAnsi="宋体" w:eastAsia="宋体" w:cs="宋体"/>
          <w:color w:val="000000" w:themeColor="text1"/>
          <w:highlight w:val="none"/>
          <w:lang w:val="en-US" w:eastAsia="zh-CN"/>
          <w14:textFill>
            <w14:solidFill>
              <w14:schemeClr w14:val="tx1"/>
            </w14:solidFill>
          </w14:textFill>
        </w:rPr>
        <w:t>七、</w:t>
      </w:r>
      <w:r>
        <w:rPr>
          <w:rFonts w:hint="eastAsia" w:ascii="宋体" w:hAnsi="宋体" w:eastAsia="宋体" w:cs="宋体"/>
          <w:color w:val="000000" w:themeColor="text1"/>
          <w:highlight w:val="none"/>
          <w14:textFill>
            <w14:solidFill>
              <w14:schemeClr w14:val="tx1"/>
            </w14:solidFill>
          </w14:textFill>
        </w:rPr>
        <w:t>采购标的的其他技术、服务等要求。</w:t>
      </w:r>
      <w:bookmarkEnd w:id="337"/>
    </w:p>
    <w:p w14:paraId="443E8905">
      <w:pPr>
        <w:pStyle w:val="4"/>
        <w:bidi w:val="0"/>
        <w:rPr>
          <w:rFonts w:hint="eastAsia" w:ascii="宋体" w:hAnsi="宋体" w:eastAsia="宋体" w:cs="宋体"/>
          <w:color w:val="000000" w:themeColor="text1"/>
          <w:highlight w:val="none"/>
          <w14:textFill>
            <w14:solidFill>
              <w14:schemeClr w14:val="tx1"/>
            </w14:solidFill>
          </w14:textFill>
        </w:rPr>
      </w:pPr>
      <w:bookmarkStart w:id="338" w:name="_Toc8651"/>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一</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本次采购标的名称对应的中小企业划分标准所属行业</w:t>
      </w:r>
      <w:bookmarkEnd w:id="338"/>
    </w:p>
    <w:p w14:paraId="2E1B6D58">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1.标的名称：</w:t>
      </w:r>
      <w:r>
        <w:rPr>
          <w:rFonts w:hint="eastAsia" w:ascii="宋体" w:hAnsi="宋体" w:eastAsia="宋体" w:cs="宋体"/>
          <w:b/>
          <w:bCs/>
          <w:color w:val="000000" w:themeColor="text1"/>
          <w:highlight w:val="none"/>
          <w:u w:val="single"/>
          <w:lang w:eastAsia="zh-CN"/>
          <w14:textFill>
            <w14:solidFill>
              <w14:schemeClr w14:val="tx1"/>
            </w14:solidFill>
          </w14:textFill>
        </w:rPr>
        <w:t>云南水利水电职业学院校史馆建设项目</w:t>
      </w:r>
      <w:r>
        <w:rPr>
          <w:rFonts w:hint="eastAsia" w:ascii="宋体" w:hAnsi="宋体" w:eastAsia="宋体" w:cs="宋体"/>
          <w:color w:val="000000" w:themeColor="text1"/>
          <w:highlight w:val="none"/>
          <w14:textFill>
            <w14:solidFill>
              <w14:schemeClr w14:val="tx1"/>
            </w14:solidFill>
          </w14:textFill>
        </w:rPr>
        <w:t>。</w:t>
      </w:r>
    </w:p>
    <w:p w14:paraId="6D3E8B5A">
      <w:pPr>
        <w:ind w:firstLine="560"/>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2.中小企业划分标准所属行业：</w:t>
      </w:r>
      <w:r>
        <w:rPr>
          <w:rFonts w:hint="eastAsia" w:ascii="宋体" w:hAnsi="宋体" w:eastAsia="宋体" w:cs="宋体"/>
          <w:b/>
          <w:bCs/>
          <w:color w:val="000000" w:themeColor="text1"/>
          <w:highlight w:val="none"/>
          <w:u w:val="single"/>
          <w:shd w:val="clear" w:color="auto" w:fill="FFFFFF"/>
          <w14:textFill>
            <w14:solidFill>
              <w14:schemeClr w14:val="tx1"/>
            </w14:solidFill>
          </w14:textFill>
        </w:rPr>
        <w:t>建筑业</w:t>
      </w:r>
      <w:r>
        <w:rPr>
          <w:rFonts w:hint="eastAsia" w:ascii="宋体" w:hAnsi="宋体" w:eastAsia="宋体" w:cs="宋体"/>
          <w:b w:val="0"/>
          <w:bCs w:val="0"/>
          <w:color w:val="000000" w:themeColor="text1"/>
          <w:highlight w:val="none"/>
          <w:u w:val="none"/>
          <w:shd w:val="clear" w:color="auto" w:fill="FFFFFF"/>
          <w:lang w:eastAsia="zh-CN"/>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bookmarkEnd w:id="324"/>
    <w:p w14:paraId="7897375D">
      <w:pPr>
        <w:pStyle w:val="4"/>
        <w:bidi w:val="0"/>
        <w:rPr>
          <w:rFonts w:hint="eastAsia" w:ascii="宋体" w:hAnsi="宋体" w:eastAsia="宋体" w:cs="宋体"/>
          <w:color w:val="000000" w:themeColor="text1"/>
          <w:highlight w:val="none"/>
          <w:lang w:val="en-US" w:eastAsia="zh-CN"/>
          <w14:textFill>
            <w14:solidFill>
              <w14:schemeClr w14:val="tx1"/>
            </w14:solidFill>
          </w14:textFill>
        </w:rPr>
      </w:pPr>
      <w:bookmarkStart w:id="339" w:name="_Toc26710"/>
      <w:r>
        <w:rPr>
          <w:rFonts w:hint="eastAsia" w:ascii="宋体" w:hAnsi="宋体" w:eastAsia="宋体" w:cs="宋体"/>
          <w:color w:val="000000" w:themeColor="text1"/>
          <w:highlight w:val="none"/>
          <w:lang w:val="en-US" w:eastAsia="zh-CN"/>
          <w14:textFill>
            <w14:solidFill>
              <w14:schemeClr w14:val="tx1"/>
            </w14:solidFill>
          </w14:textFill>
        </w:rPr>
        <w:t>（二）投标报价其它要求</w:t>
      </w:r>
      <w:bookmarkEnd w:id="339"/>
    </w:p>
    <w:p w14:paraId="034269DC">
      <w:pP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投标报价为采购人完成招标文件招标范围及合同文件中规定的工作内容的各项费用的总和，包含但不仅限于本合同项下的设计费（方案设计、效果图设计、施工图深化设计及相关服务）和完成招标范围内工程项目的施工成本（如材料、人工、机械等费用）、管理费、利润、税金、专业措施费、通用措施费、检测或试验费、调试费、政策性文件规定费用等，直至工程验收合格，并获得采购人验收合格交付业主使用，支付工程保修期工作等所需一切费用。</w:t>
      </w:r>
    </w:p>
    <w:p w14:paraId="1E04C0B1">
      <w:pPr>
        <w:pStyle w:val="4"/>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（三）本项目涉及的相关图纸</w:t>
      </w:r>
    </w:p>
    <w:p w14:paraId="0237E1DD">
      <w:pPr>
        <w:bidi w:val="0"/>
        <w:rPr>
          <w:rFonts w:hint="eastAsia" w:ascii="宋体" w:hAnsi="宋体" w:eastAsia="宋体" w:cs="宋体"/>
          <w:color w:val="000000" w:themeColor="text1"/>
          <w:highlight w:val="none"/>
          <w:lang w:val="en-US" w:eastAsia="zh-CN"/>
          <w14:textFill>
            <w14:solidFill>
              <w14:schemeClr w14:val="tx1"/>
            </w14:solidFill>
          </w14:textFill>
        </w:rPr>
      </w:pPr>
    </w:p>
    <w:p w14:paraId="10833770">
      <w:pPr>
        <w:bidi w:val="0"/>
        <w:ind w:left="0" w:leftChars="0"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drawing>
          <wp:inline distT="0" distB="0" distL="114300" distR="114300">
            <wp:extent cx="8335010" cy="6123940"/>
            <wp:effectExtent l="0" t="0" r="10160" b="8890"/>
            <wp:docPr id="1" name="图片 1" descr="0b1b08ec7fe14897f1d6baaab907cd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b1b08ec7fe14897f1d6baaab907cd85"/>
                    <pic:cNvPicPr>
                      <a:picLocks noChangeAspect="1"/>
                    </pic:cNvPicPr>
                  </pic:nvPicPr>
                  <pic:blipFill>
                    <a:blip r:embed="rId16"/>
                    <a:stretch>
                      <a:fillRect/>
                    </a:stretch>
                  </pic:blipFill>
                  <pic:spPr>
                    <a:xfrm rot="16200000">
                      <a:off x="0" y="0"/>
                      <a:ext cx="8335010" cy="6123940"/>
                    </a:xfrm>
                    <a:prstGeom prst="rect">
                      <a:avLst/>
                    </a:prstGeom>
                  </pic:spPr>
                </pic:pic>
              </a:graphicData>
            </a:graphic>
          </wp:inline>
        </w:drawing>
      </w:r>
    </w:p>
    <w:p w14:paraId="648179A3">
      <w:pPr>
        <w:bidi w:val="0"/>
        <w:rPr>
          <w:rFonts w:hint="eastAsia" w:ascii="宋体" w:hAnsi="宋体" w:eastAsia="宋体" w:cs="宋体"/>
          <w:color w:val="000000" w:themeColor="text1"/>
          <w:highlight w:val="none"/>
          <w:lang w:val="en-US" w:eastAsia="zh-CN"/>
          <w14:textFill>
            <w14:solidFill>
              <w14:schemeClr w14:val="tx1"/>
            </w14:solidFill>
          </w14:textFill>
        </w:rPr>
      </w:pPr>
    </w:p>
    <w:p w14:paraId="52F87307">
      <w:pPr>
        <w:bidi w:val="0"/>
        <w:rPr>
          <w:rFonts w:hint="eastAsia" w:ascii="宋体" w:hAnsi="宋体" w:eastAsia="宋体" w:cs="宋体"/>
          <w:color w:val="000000" w:themeColor="text1"/>
          <w:highlight w:val="none"/>
          <w:lang w:val="en-US" w:eastAsia="zh-CN"/>
          <w14:textFill>
            <w14:solidFill>
              <w14:schemeClr w14:val="tx1"/>
            </w14:solidFill>
          </w14:textFill>
        </w:rPr>
        <w:sectPr>
          <w:pgSz w:w="11906" w:h="16838"/>
          <w:pgMar w:top="1440" w:right="1083" w:bottom="1440" w:left="1083" w:header="850" w:footer="992" w:gutter="0"/>
          <w:pgNumType w:fmt="decimal"/>
          <w:cols w:space="0" w:num="1"/>
          <w:docGrid w:type="lines" w:linePitch="389" w:charSpace="0"/>
        </w:sectPr>
      </w:pPr>
    </w:p>
    <w:p w14:paraId="42EBB124">
      <w:pPr>
        <w:pStyle w:val="2"/>
        <w:wordWrap/>
        <w:adjustRightInd/>
        <w:snapToGrid/>
        <w:spacing w:before="120" w:after="120"/>
        <w:ind w:firstLine="883"/>
        <w:rPr>
          <w:rFonts w:hint="eastAsia" w:ascii="宋体" w:hAnsi="宋体" w:eastAsia="宋体" w:cs="宋体"/>
          <w:color w:val="000000" w:themeColor="text1"/>
          <w:highlight w:val="none"/>
          <w14:textFill>
            <w14:solidFill>
              <w14:schemeClr w14:val="tx1"/>
            </w14:solidFill>
          </w14:textFill>
        </w:rPr>
      </w:pPr>
      <w:bookmarkStart w:id="340" w:name="_Toc27664"/>
      <w:r>
        <w:rPr>
          <w:rFonts w:hint="eastAsia" w:ascii="宋体" w:hAnsi="宋体" w:eastAsia="宋体" w:cs="宋体"/>
          <w:color w:val="000000" w:themeColor="text1"/>
          <w:highlight w:val="none"/>
          <w14:textFill>
            <w14:solidFill>
              <w14:schemeClr w14:val="tx1"/>
            </w14:solidFill>
          </w14:textFill>
        </w:rPr>
        <w:t xml:space="preserve">第四章 </w:t>
      </w:r>
      <w:bookmarkEnd w:id="325"/>
      <w:bookmarkEnd w:id="326"/>
      <w:r>
        <w:rPr>
          <w:rFonts w:hint="eastAsia" w:ascii="宋体" w:hAnsi="宋体" w:eastAsia="宋体" w:cs="宋体"/>
          <w:color w:val="000000" w:themeColor="text1"/>
          <w:highlight w:val="none"/>
          <w14:textFill>
            <w14:solidFill>
              <w14:schemeClr w14:val="tx1"/>
            </w14:solidFill>
          </w14:textFill>
        </w:rPr>
        <w:t>评审方法、程序及标准</w:t>
      </w:r>
      <w:bookmarkEnd w:id="340"/>
    </w:p>
    <w:p w14:paraId="66F790A3">
      <w:pPr>
        <w:pStyle w:val="3"/>
        <w:ind w:firstLine="643"/>
        <w:rPr>
          <w:rFonts w:hint="eastAsia" w:ascii="宋体" w:hAnsi="宋体" w:eastAsia="宋体" w:cs="宋体"/>
          <w:color w:val="000000" w:themeColor="text1"/>
          <w:highlight w:val="none"/>
          <w:lang w:val="zh-CN"/>
          <w14:textFill>
            <w14:solidFill>
              <w14:schemeClr w14:val="tx1"/>
            </w14:solidFill>
          </w14:textFill>
        </w:rPr>
      </w:pPr>
      <w:bookmarkStart w:id="341" w:name="_Toc155185897"/>
      <w:bookmarkStart w:id="342" w:name="_Toc140132822"/>
      <w:bookmarkStart w:id="343" w:name="_Toc18493"/>
      <w:bookmarkStart w:id="344" w:name="_Toc27185"/>
      <w:bookmarkStart w:id="345" w:name="_Toc57023738"/>
      <w:bookmarkStart w:id="346" w:name="_Toc1875154473"/>
      <w:bookmarkStart w:id="347" w:name="_Toc163492893"/>
      <w:r>
        <w:rPr>
          <w:rFonts w:hint="eastAsia" w:ascii="宋体" w:hAnsi="宋体" w:eastAsia="宋体" w:cs="宋体"/>
          <w:color w:val="000000" w:themeColor="text1"/>
          <w:highlight w:val="none"/>
          <w14:textFill>
            <w14:solidFill>
              <w14:schemeClr w14:val="tx1"/>
            </w14:solidFill>
          </w14:textFill>
        </w:rPr>
        <w:t>一、</w:t>
      </w:r>
      <w:bookmarkEnd w:id="341"/>
      <w:bookmarkEnd w:id="342"/>
      <w:r>
        <w:rPr>
          <w:rFonts w:hint="eastAsia" w:ascii="宋体" w:hAnsi="宋体" w:eastAsia="宋体" w:cs="宋体"/>
          <w:color w:val="000000" w:themeColor="text1"/>
          <w:highlight w:val="none"/>
          <w14:textFill>
            <w14:solidFill>
              <w14:schemeClr w14:val="tx1"/>
            </w14:solidFill>
          </w14:textFill>
        </w:rPr>
        <w:t>评审方法</w:t>
      </w:r>
      <w:bookmarkEnd w:id="343"/>
      <w:bookmarkEnd w:id="344"/>
      <w:bookmarkEnd w:id="345"/>
      <w:bookmarkEnd w:id="346"/>
      <w:bookmarkEnd w:id="347"/>
    </w:p>
    <w:p w14:paraId="42749FE5">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本项目采用</w:t>
      </w:r>
      <w:r>
        <w:rPr>
          <w:rFonts w:hint="eastAsia" w:ascii="宋体" w:hAnsi="宋体" w:eastAsia="宋体" w:cs="宋体"/>
          <w:b/>
          <w:bCs/>
          <w:color w:val="000000" w:themeColor="text1"/>
          <w:highlight w:val="none"/>
          <w14:textFill>
            <w14:solidFill>
              <w14:schemeClr w14:val="tx1"/>
            </w14:solidFill>
          </w14:textFill>
        </w:rPr>
        <w:t>综合评分法</w:t>
      </w:r>
      <w:r>
        <w:rPr>
          <w:rFonts w:hint="eastAsia" w:ascii="宋体" w:hAnsi="宋体" w:eastAsia="宋体" w:cs="宋体"/>
          <w:color w:val="000000" w:themeColor="text1"/>
          <w:highlight w:val="none"/>
          <w14:textFill>
            <w14:solidFill>
              <w14:schemeClr w14:val="tx1"/>
            </w14:solidFill>
          </w14:textFill>
        </w:rPr>
        <w:t>。综合评分法是指经磋商确定最终采购需求和提交最后报价</w:t>
      </w:r>
      <w:r>
        <w:rPr>
          <w:rFonts w:hint="eastAsia" w:ascii="宋体" w:hAnsi="宋体" w:eastAsia="宋体" w:cs="宋体"/>
          <w:color w:val="000000" w:themeColor="text1"/>
          <w:highlight w:val="none"/>
          <w:lang w:val="zh-CN"/>
          <w14:textFill>
            <w14:solidFill>
              <w14:schemeClr w14:val="tx1"/>
            </w14:solidFill>
          </w14:textFill>
        </w:rPr>
        <w:t>（因落实政府采购政策进行价格调整的，以调整后的价格计算）</w:t>
      </w:r>
      <w:r>
        <w:rPr>
          <w:rFonts w:hint="eastAsia" w:ascii="宋体" w:hAnsi="宋体" w:eastAsia="宋体" w:cs="宋体"/>
          <w:color w:val="000000" w:themeColor="text1"/>
          <w:highlight w:val="none"/>
          <w14:textFill>
            <w14:solidFill>
              <w14:schemeClr w14:val="tx1"/>
            </w14:solidFill>
          </w14:textFill>
        </w:rPr>
        <w:t>的供应商的响应文件</w:t>
      </w:r>
      <w:r>
        <w:rPr>
          <w:rFonts w:hint="eastAsia" w:ascii="宋体" w:hAnsi="宋体" w:eastAsia="宋体" w:cs="宋体"/>
          <w:b/>
          <w:bCs/>
          <w:color w:val="000000" w:themeColor="text1"/>
          <w:highlight w:val="none"/>
          <w14:textFill>
            <w14:solidFill>
              <w14:schemeClr w14:val="tx1"/>
            </w14:solidFill>
          </w14:textFill>
        </w:rPr>
        <w:t>满足磋商文件全部实质性要求且按评审因素的量化指标评审得分最高的供应商为成交候选供应商</w:t>
      </w:r>
      <w:r>
        <w:rPr>
          <w:rFonts w:hint="eastAsia" w:ascii="宋体" w:hAnsi="宋体" w:eastAsia="宋体" w:cs="宋体"/>
          <w:color w:val="000000" w:themeColor="text1"/>
          <w:highlight w:val="none"/>
          <w14:textFill>
            <w14:solidFill>
              <w14:schemeClr w14:val="tx1"/>
            </w14:solidFill>
          </w14:textFill>
        </w:rPr>
        <w:t>的评审方法。</w:t>
      </w:r>
    </w:p>
    <w:p w14:paraId="0F26F680">
      <w:pPr>
        <w:pStyle w:val="3"/>
        <w:ind w:firstLine="643"/>
        <w:rPr>
          <w:rFonts w:hint="eastAsia" w:ascii="宋体" w:hAnsi="宋体" w:eastAsia="宋体" w:cs="宋体"/>
          <w:color w:val="000000" w:themeColor="text1"/>
          <w:highlight w:val="none"/>
          <w:lang w:val="zh-CN"/>
          <w14:textFill>
            <w14:solidFill>
              <w14:schemeClr w14:val="tx1"/>
            </w14:solidFill>
          </w14:textFill>
        </w:rPr>
      </w:pPr>
      <w:bookmarkStart w:id="348" w:name="_Toc30040"/>
      <w:bookmarkStart w:id="349" w:name="_Toc163492894"/>
      <w:bookmarkStart w:id="350" w:name="_Toc30979"/>
      <w:bookmarkStart w:id="351" w:name="_Toc1702806486"/>
      <w:bookmarkStart w:id="352" w:name="_Toc1672858475"/>
      <w:r>
        <w:rPr>
          <w:rFonts w:hint="eastAsia" w:ascii="宋体" w:hAnsi="宋体" w:eastAsia="宋体" w:cs="宋体"/>
          <w:color w:val="000000" w:themeColor="text1"/>
          <w:highlight w:val="none"/>
          <w14:textFill>
            <w14:solidFill>
              <w14:schemeClr w14:val="tx1"/>
            </w14:solidFill>
          </w14:textFill>
        </w:rPr>
        <w:t>二、评审</w:t>
      </w:r>
      <w:r>
        <w:rPr>
          <w:rFonts w:hint="eastAsia" w:ascii="宋体" w:hAnsi="宋体" w:eastAsia="宋体" w:cs="宋体"/>
          <w:color w:val="000000" w:themeColor="text1"/>
          <w:highlight w:val="none"/>
          <w:lang w:val="zh-CN"/>
          <w14:textFill>
            <w14:solidFill>
              <w14:schemeClr w14:val="tx1"/>
            </w14:solidFill>
          </w14:textFill>
        </w:rPr>
        <w:t>程序</w:t>
      </w:r>
      <w:bookmarkEnd w:id="348"/>
      <w:bookmarkEnd w:id="349"/>
      <w:bookmarkEnd w:id="350"/>
      <w:bookmarkEnd w:id="351"/>
      <w:bookmarkEnd w:id="352"/>
    </w:p>
    <w:p w14:paraId="64CB4BF6">
      <w:pPr>
        <w:pStyle w:val="4"/>
        <w:ind w:firstLine="562"/>
        <w:rPr>
          <w:rFonts w:hint="eastAsia" w:ascii="宋体" w:hAnsi="宋体" w:eastAsia="宋体" w:cs="宋体"/>
          <w:color w:val="000000" w:themeColor="text1"/>
          <w:highlight w:val="none"/>
          <w:lang w:val="zh-CN"/>
          <w14:textFill>
            <w14:solidFill>
              <w14:schemeClr w14:val="tx1"/>
            </w14:solidFill>
          </w14:textFill>
        </w:rPr>
      </w:pPr>
      <w:bookmarkStart w:id="353" w:name="_Toc24924"/>
      <w:bookmarkStart w:id="354" w:name="_Toc163493634"/>
      <w:bookmarkStart w:id="355" w:name="_Toc529"/>
      <w:bookmarkStart w:id="356" w:name="_Toc8444"/>
      <w:r>
        <w:rPr>
          <w:rFonts w:hint="eastAsia" w:ascii="宋体" w:hAnsi="宋体" w:eastAsia="宋体" w:cs="宋体"/>
          <w:color w:val="000000" w:themeColor="text1"/>
          <w:highlight w:val="none"/>
          <w14:textFill>
            <w14:solidFill>
              <w14:schemeClr w14:val="tx1"/>
            </w14:solidFill>
          </w14:textFill>
        </w:rPr>
        <w:t>（一）资格性审查和符合性审查</w:t>
      </w:r>
      <w:bookmarkEnd w:id="353"/>
      <w:bookmarkEnd w:id="354"/>
      <w:bookmarkEnd w:id="355"/>
      <w:bookmarkEnd w:id="356"/>
    </w:p>
    <w:p w14:paraId="662E16CC">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磋商小组根据磋商文件规定的供应商资格条件、符合性审查的标准，对供应商的响应文件进行评审。资格性审查和符合性审查不符合磋商文件要求的响应文件，按磋商申请无效处理，不进入磋商（最后报价），并告知有关供应商</w:t>
      </w:r>
      <w:r>
        <w:rPr>
          <w:rFonts w:hint="eastAsia" w:ascii="宋体" w:hAnsi="宋体" w:eastAsia="宋体" w:cs="宋体"/>
          <w:color w:val="000000" w:themeColor="text1"/>
          <w:highlight w:val="none"/>
          <w:lang w:val="zh-CN"/>
          <w14:textFill>
            <w14:solidFill>
              <w14:schemeClr w14:val="tx1"/>
            </w14:solidFill>
          </w14:textFill>
        </w:rPr>
        <w:t>。</w:t>
      </w:r>
    </w:p>
    <w:p w14:paraId="112D88AC">
      <w:pPr>
        <w:pStyle w:val="4"/>
        <w:ind w:firstLine="562"/>
        <w:rPr>
          <w:rFonts w:hint="eastAsia" w:ascii="宋体" w:hAnsi="宋体" w:eastAsia="宋体" w:cs="宋体"/>
          <w:color w:val="000000" w:themeColor="text1"/>
          <w:highlight w:val="none"/>
          <w14:textFill>
            <w14:solidFill>
              <w14:schemeClr w14:val="tx1"/>
            </w14:solidFill>
          </w14:textFill>
        </w:rPr>
      </w:pPr>
      <w:bookmarkStart w:id="357" w:name="_Toc18169"/>
      <w:bookmarkStart w:id="358" w:name="_Toc163493635"/>
      <w:bookmarkStart w:id="359" w:name="_Toc21748"/>
      <w:bookmarkStart w:id="360" w:name="_Toc31736"/>
      <w:bookmarkStart w:id="361" w:name="_Hlk158124046"/>
      <w:r>
        <w:rPr>
          <w:rFonts w:hint="eastAsia" w:ascii="宋体" w:hAnsi="宋体" w:eastAsia="宋体" w:cs="宋体"/>
          <w:color w:val="000000" w:themeColor="text1"/>
          <w:highlight w:val="none"/>
          <w14:textFill>
            <w14:solidFill>
              <w14:schemeClr w14:val="tx1"/>
            </w14:solidFill>
          </w14:textFill>
        </w:rPr>
        <w:t>（二）响应文件澄清</w:t>
      </w:r>
      <w:bookmarkEnd w:id="357"/>
      <w:bookmarkEnd w:id="358"/>
      <w:bookmarkEnd w:id="359"/>
      <w:bookmarkEnd w:id="360"/>
    </w:p>
    <w:p w14:paraId="1AE0EBEE">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1.评审期间，对于响应文件中含义不明确、同类问题表述不一致或者有明显文字或计算错误的内容，磋商小组可以以书面的形式要求供应商作出必要的澄清、说明或者补正。</w:t>
      </w:r>
    </w:p>
    <w:p w14:paraId="41C7BAD7">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2.供应商应按照磋商小组要求在规定时间内作出澄清、说明或者补正，澄清、说明或者补正不得超出响应文件的范围或者改变响应文件的实质性内容。</w:t>
      </w:r>
    </w:p>
    <w:p w14:paraId="2657987B">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3.供应商的澄清、说明或者补正是其响应文件的有效组成部分，澄清、说明或者补正应当以书面的方式加盖电子印章后提交。</w:t>
      </w:r>
    </w:p>
    <w:bookmarkEnd w:id="361"/>
    <w:p w14:paraId="09818060">
      <w:pPr>
        <w:pStyle w:val="4"/>
        <w:ind w:firstLine="562"/>
        <w:rPr>
          <w:rFonts w:hint="eastAsia" w:ascii="宋体" w:hAnsi="宋体" w:eastAsia="宋体" w:cs="宋体"/>
          <w:color w:val="000000" w:themeColor="text1"/>
          <w:highlight w:val="none"/>
          <w14:textFill>
            <w14:solidFill>
              <w14:schemeClr w14:val="tx1"/>
            </w14:solidFill>
          </w14:textFill>
        </w:rPr>
      </w:pPr>
      <w:bookmarkStart w:id="362" w:name="_Toc27063"/>
      <w:bookmarkStart w:id="363" w:name="_Toc25371"/>
      <w:bookmarkStart w:id="364" w:name="_Toc163493636"/>
      <w:bookmarkStart w:id="365" w:name="_Toc4499"/>
      <w:r>
        <w:rPr>
          <w:rFonts w:hint="eastAsia" w:ascii="宋体" w:hAnsi="宋体" w:eastAsia="宋体" w:cs="宋体"/>
          <w:color w:val="000000" w:themeColor="text1"/>
          <w:highlight w:val="none"/>
          <w14:textFill>
            <w14:solidFill>
              <w14:schemeClr w14:val="tx1"/>
            </w14:solidFill>
          </w14:textFill>
        </w:rPr>
        <w:t>（三）磋商程序</w:t>
      </w:r>
      <w:bookmarkEnd w:id="362"/>
      <w:bookmarkEnd w:id="363"/>
      <w:bookmarkEnd w:id="364"/>
      <w:bookmarkEnd w:id="365"/>
    </w:p>
    <w:p w14:paraId="4826A69C">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磋商小组应当依据磋商文件规定的程序、评定成交的标准等事项与</w:t>
      </w:r>
      <w:r>
        <w:rPr>
          <w:rFonts w:hint="eastAsia" w:ascii="宋体" w:hAnsi="宋体" w:eastAsia="宋体" w:cs="宋体"/>
          <w:color w:val="000000" w:themeColor="text1"/>
          <w:szCs w:val="24"/>
          <w:highlight w:val="none"/>
          <w:lang w:val="zh-CN"/>
          <w14:textFill>
            <w14:solidFill>
              <w14:schemeClr w14:val="tx1"/>
            </w14:solidFill>
          </w14:textFill>
        </w:rPr>
        <w:t>实质性</w:t>
      </w:r>
      <w:r>
        <w:rPr>
          <w:rFonts w:hint="eastAsia" w:ascii="宋体" w:hAnsi="宋体" w:eastAsia="宋体" w:cs="宋体"/>
          <w:color w:val="000000" w:themeColor="text1"/>
          <w:highlight w:val="none"/>
          <w14:textFill>
            <w14:solidFill>
              <w14:schemeClr w14:val="tx1"/>
            </w14:solidFill>
          </w14:textFill>
        </w:rPr>
        <w:t>响应磋商文件要求的供应商进行磋商。</w:t>
      </w:r>
    </w:p>
    <w:p w14:paraId="0DD2904F">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1.磋商</w:t>
      </w:r>
    </w:p>
    <w:p w14:paraId="61F6CDC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1.1磋商小组</w:t>
      </w:r>
      <w:r>
        <w:rPr>
          <w:rFonts w:hint="eastAsia" w:ascii="宋体" w:hAnsi="宋体" w:eastAsia="宋体" w:cs="宋体"/>
          <w:color w:val="000000" w:themeColor="text1"/>
          <w:highlight w:val="none"/>
          <w14:textFill>
            <w14:solidFill>
              <w14:schemeClr w14:val="tx1"/>
            </w14:solidFill>
          </w14:textFill>
        </w:rPr>
        <w:t>可</w:t>
      </w:r>
      <w:r>
        <w:rPr>
          <w:rFonts w:hint="eastAsia" w:ascii="宋体" w:hAnsi="宋体" w:eastAsia="宋体" w:cs="宋体"/>
          <w:color w:val="000000" w:themeColor="text1"/>
          <w:highlight w:val="none"/>
          <w:lang w:val="zh-CN"/>
          <w14:textFill>
            <w14:solidFill>
              <w14:schemeClr w14:val="tx1"/>
            </w14:solidFill>
          </w14:textFill>
        </w:rPr>
        <w:t>按照系统随机的顺序决定供应商的磋商顺序，并逐一与供应商分别进行磋商</w:t>
      </w:r>
      <w:r>
        <w:rPr>
          <w:rFonts w:hint="eastAsia" w:ascii="宋体" w:hAnsi="宋体" w:eastAsia="宋体" w:cs="宋体"/>
          <w:color w:val="000000" w:themeColor="text1"/>
          <w:highlight w:val="none"/>
          <w14:textFill>
            <w14:solidFill>
              <w14:schemeClr w14:val="tx1"/>
            </w14:solidFill>
          </w14:textFill>
        </w:rPr>
        <w:t>。</w:t>
      </w:r>
    </w:p>
    <w:p w14:paraId="5442775B">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磋商小组所有成员应当对照磋商文件和响应文件就采购需求、质量和服务等内容集中与单一供应商分别进行磋商，并给予所有参加磋商的供应商平等的磋商机会。在磋商中，磋商的任何一方不得透露与磋商有关的其他供应商的技术资料、价格和其他信息。</w:t>
      </w:r>
    </w:p>
    <w:p w14:paraId="14E9D340">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1.3磋商的过程中，磋商小组可以根据磋商文件和磋商情况实质性变动采购需求中的技术要求和商务要求，但不得变动磋商文件中的其他内容。实质性变动的内容，须经采购人代表确认。</w:t>
      </w:r>
    </w:p>
    <w:p w14:paraId="6959F505">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1.4对磋商文件作出的实质性变动的内容是磋商文件的有效组成部分。磋商小组应将磋商文件的变动情况以书面的方式通知所有参加磋商的供应商。</w:t>
      </w:r>
    </w:p>
    <w:p w14:paraId="3B19B88D">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1.5供应商应当根据磋商文件的变动情况和磋商小组的要求，在规定的时间内对原响应文件内容进行修正，并将修正文件以书面的方式经授权代表签字（或加盖公章）后提交磋商小组。逾时不提交的，视同退出磋商。</w:t>
      </w:r>
    </w:p>
    <w:p w14:paraId="64C9DD1A">
      <w:pPr>
        <w:ind w:firstLine="56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1.6修正文件与响应文件具有同等法律效力。</w:t>
      </w:r>
    </w:p>
    <w:p w14:paraId="2F340D28">
      <w:pPr>
        <w:pStyle w:val="5"/>
        <w:ind w:left="560" w:leftChars="20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2.最后报价</w:t>
      </w:r>
    </w:p>
    <w:p w14:paraId="7AE981C8">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2.1磋商文件中能够详细列明采购标的的技术、服务要求的，磋商结束后，磋商小组应当要求所有继续参加磋商的供应商，在规定时间内，以书面的方式</w:t>
      </w:r>
      <w:r>
        <w:rPr>
          <w:rFonts w:hint="eastAsia" w:ascii="宋体" w:hAnsi="宋体" w:eastAsia="宋体" w:cs="宋体"/>
          <w:b/>
          <w:bCs/>
          <w:color w:val="000000" w:themeColor="text1"/>
          <w:highlight w:val="none"/>
          <w:lang w:eastAsia="zh-CN"/>
          <w14:textFill>
            <w14:solidFill>
              <w14:schemeClr w14:val="tx1"/>
            </w14:solidFill>
          </w14:textFill>
        </w:rPr>
        <w:t>（电子签章或盖章）</w:t>
      </w:r>
      <w:r>
        <w:rPr>
          <w:rFonts w:hint="eastAsia" w:ascii="宋体" w:hAnsi="宋体" w:eastAsia="宋体" w:cs="宋体"/>
          <w:color w:val="000000" w:themeColor="text1"/>
          <w:highlight w:val="none"/>
          <w14:textFill>
            <w14:solidFill>
              <w14:schemeClr w14:val="tx1"/>
            </w14:solidFill>
          </w14:textFill>
        </w:rPr>
        <w:t>后在“政采云”平台规定的时间内提交最后报价，提交最后报价的供应商不得少于3家</w:t>
      </w:r>
      <w:r>
        <w:rPr>
          <w:rFonts w:hint="eastAsia" w:ascii="宋体" w:hAnsi="宋体" w:eastAsia="宋体" w:cs="宋体"/>
          <w:b/>
          <w:bCs/>
          <w:color w:val="000000" w:themeColor="text1"/>
          <w:highlight w:val="none"/>
          <w:lang w:val="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市场竞争不充分的科研项目，以及需要扶持的科技成果转化项目可以为2家，政府购买服务项目[含政府和社会资本合作项目]，在采购过程中符合要求的供应商[社会资本]只有2家的可以为2家</w:t>
      </w:r>
      <w:r>
        <w:rPr>
          <w:rFonts w:hint="eastAsia" w:ascii="宋体" w:hAnsi="宋体" w:eastAsia="宋体" w:cs="宋体"/>
          <w:b/>
          <w:bCs/>
          <w:color w:val="000000" w:themeColor="text1"/>
          <w:highlight w:val="none"/>
          <w:lang w:val="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p>
    <w:p w14:paraId="6B24D615">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2.2最后报价是供应商响应文件的有效组成部分。</w:t>
      </w:r>
      <w:r>
        <w:rPr>
          <w:rFonts w:hint="eastAsia" w:ascii="宋体" w:hAnsi="宋体" w:eastAsia="宋体" w:cs="宋体"/>
          <w:b/>
          <w:bCs/>
          <w:color w:val="000000" w:themeColor="text1"/>
          <w:highlight w:val="none"/>
          <w14:textFill>
            <w14:solidFill>
              <w14:schemeClr w14:val="tx1"/>
            </w14:solidFill>
          </w14:textFill>
        </w:rPr>
        <w:t>逾时不提交的，视同退出磋商。</w:t>
      </w:r>
      <w:r>
        <w:rPr>
          <w:rFonts w:hint="eastAsia" w:ascii="宋体" w:hAnsi="宋体" w:eastAsia="宋体" w:cs="宋体"/>
          <w:color w:val="000000" w:themeColor="text1"/>
          <w:highlight w:val="none"/>
          <w:lang w:val="zh-CN"/>
          <w14:textFill>
            <w14:solidFill>
              <w14:schemeClr w14:val="tx1"/>
            </w14:solidFill>
          </w14:textFill>
        </w:rPr>
        <w:t>最后报价出现前后不一致的，按照下列规定修正：</w:t>
      </w:r>
    </w:p>
    <w:p w14:paraId="7F35CA5A">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（1）大写金额和小写金额不一致的，以大写金额为准；</w:t>
      </w:r>
    </w:p>
    <w:p w14:paraId="4DA0E019">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（2）单价金额</w:t>
      </w:r>
      <w:r>
        <w:rPr>
          <w:rFonts w:hint="eastAsia" w:ascii="宋体" w:hAnsi="宋体" w:eastAsia="宋体" w:cs="宋体"/>
          <w:color w:val="000000" w:themeColor="text1"/>
          <w:highlight w:val="none"/>
          <w14:textFill>
            <w14:solidFill>
              <w14:schemeClr w14:val="tx1"/>
            </w14:solidFill>
          </w14:textFill>
        </w:rPr>
        <w:t>小数点</w:t>
      </w:r>
      <w:r>
        <w:rPr>
          <w:rFonts w:hint="eastAsia" w:ascii="宋体" w:hAnsi="宋体" w:eastAsia="宋体" w:cs="宋体"/>
          <w:color w:val="000000" w:themeColor="text1"/>
          <w:highlight w:val="none"/>
          <w:lang w:val="zh-CN"/>
          <w14:textFill>
            <w14:solidFill>
              <w14:schemeClr w14:val="tx1"/>
            </w14:solidFill>
          </w14:textFill>
        </w:rPr>
        <w:t>或百分比有明显错位的，以最后报价表的总价为准，并修改单价；</w:t>
      </w:r>
    </w:p>
    <w:p w14:paraId="2FC1ED3C">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（3）总价金额与按单价汇总金额不一致的，以单价金额计算结果为准；</w:t>
      </w:r>
    </w:p>
    <w:p w14:paraId="3DB6DB95">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（4）同时出现</w:t>
      </w:r>
      <w:r>
        <w:rPr>
          <w:rFonts w:hint="eastAsia" w:ascii="宋体" w:hAnsi="宋体" w:eastAsia="宋体" w:cs="宋体"/>
          <w:color w:val="000000" w:themeColor="text1"/>
          <w:highlight w:val="none"/>
          <w14:textFill>
            <w14:solidFill>
              <w14:schemeClr w14:val="tx1"/>
            </w14:solidFill>
          </w14:textFill>
        </w:rPr>
        <w:t>两种</w:t>
      </w:r>
      <w:r>
        <w:rPr>
          <w:rFonts w:hint="eastAsia" w:ascii="宋体" w:hAnsi="宋体" w:eastAsia="宋体" w:cs="宋体"/>
          <w:color w:val="000000" w:themeColor="text1"/>
          <w:highlight w:val="none"/>
          <w:lang w:val="zh-CN"/>
          <w14:textFill>
            <w14:solidFill>
              <w14:schemeClr w14:val="tx1"/>
            </w14:solidFill>
          </w14:textFill>
        </w:rPr>
        <w:t>以上不一致的，按照前款规定的顺序修正；</w:t>
      </w:r>
    </w:p>
    <w:p w14:paraId="2B12B33B">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（5）修正后的报价应通过书面方式通知供应商，由供应商授权代表签字（或加盖公章）确认后产生约束力，供应商不确认的，按照无效响应处理。</w:t>
      </w:r>
    </w:p>
    <w:p w14:paraId="07729895">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3.商务技术评审</w:t>
      </w:r>
    </w:p>
    <w:p w14:paraId="52543DCE">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zh-CN"/>
          <w14:textFill>
            <w14:solidFill>
              <w14:schemeClr w14:val="tx1"/>
            </w14:solidFill>
          </w14:textFill>
        </w:rPr>
        <w:t>.1磋商小组应对提交最后报价的响应文件进行商务和技术评审，并按照磋商文件要求、本章“三、评审标准”中的内容以及磋商文件实质性变动内容的响应情况进行综合比较和评价。</w:t>
      </w:r>
    </w:p>
    <w:p w14:paraId="04D3F217">
      <w:pPr>
        <w:pStyle w:val="5"/>
        <w:ind w:firstLine="562"/>
        <w:rPr>
          <w:rFonts w:hint="eastAsia" w:ascii="宋体" w:hAnsi="宋体" w:eastAsia="宋体" w:cs="宋体"/>
          <w:color w:val="000000" w:themeColor="text1"/>
          <w:highlight w:val="none"/>
          <w14:textFill>
            <w14:solidFill>
              <w14:schemeClr w14:val="tx1"/>
            </w14:solidFill>
          </w14:textFill>
        </w:rPr>
      </w:pPr>
      <w:bookmarkStart w:id="366" w:name="_Toc102119882"/>
      <w:bookmarkStart w:id="367" w:name="_Toc102114949"/>
      <w:bookmarkStart w:id="368" w:name="_Toc102116051"/>
      <w:bookmarkStart w:id="369" w:name="_Toc102116181"/>
      <w:bookmarkStart w:id="370" w:name="_Toc102057747"/>
      <w:bookmarkStart w:id="371" w:name="_Toc102056247"/>
      <w:r>
        <w:rPr>
          <w:rFonts w:hint="eastAsia" w:ascii="宋体" w:hAnsi="宋体" w:eastAsia="宋体" w:cs="宋体"/>
          <w:color w:val="000000" w:themeColor="text1"/>
          <w:highlight w:val="none"/>
          <w14:textFill>
            <w14:solidFill>
              <w14:schemeClr w14:val="tx1"/>
            </w14:solidFill>
          </w14:textFill>
        </w:rPr>
        <w:t>4.报价评</w:t>
      </w:r>
      <w:bookmarkEnd w:id="366"/>
      <w:bookmarkEnd w:id="367"/>
      <w:bookmarkEnd w:id="368"/>
      <w:bookmarkEnd w:id="369"/>
      <w:bookmarkEnd w:id="370"/>
      <w:bookmarkEnd w:id="371"/>
      <w:r>
        <w:rPr>
          <w:rFonts w:hint="eastAsia" w:ascii="宋体" w:hAnsi="宋体" w:eastAsia="宋体" w:cs="宋体"/>
          <w:color w:val="000000" w:themeColor="text1"/>
          <w:highlight w:val="none"/>
          <w14:textFill>
            <w14:solidFill>
              <w14:schemeClr w14:val="tx1"/>
            </w14:solidFill>
          </w14:textFill>
        </w:rPr>
        <w:t>审</w:t>
      </w:r>
    </w:p>
    <w:p w14:paraId="51FAFF32">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zh-CN"/>
          <w14:textFill>
            <w14:solidFill>
              <w14:schemeClr w14:val="tx1"/>
            </w14:solidFill>
          </w14:textFill>
        </w:rPr>
        <w:t>.1报价合理性说明：磋商小组认为供应商的最后报价明显低于其他供应商最后报价，有可能影响质量或者不能诚信履约的，应当要求其在合理的时间内提供说明，必要时提交相关证明材料；供应商不能证明其最后报价合理性的，磋商小组应当将其作为无效响应处理。</w:t>
      </w:r>
    </w:p>
    <w:p w14:paraId="251D0CC3">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zh-CN"/>
          <w14:textFill>
            <w14:solidFill>
              <w14:schemeClr w14:val="tx1"/>
            </w14:solidFill>
          </w14:textFill>
        </w:rPr>
        <w:t xml:space="preserve">.2价格扣除 </w:t>
      </w:r>
    </w:p>
    <w:p w14:paraId="667F6862">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非专门面向中小企业的采购项目或采购包，对符合规定的小微企业（监狱企业、残疾人福利性单位、联合体各方均为小微企业的联合体、符合小微企业划分标准的个体工商户视同小微企业）报价按照竞争性磋商文件”供应商须知前附表”中的规定扣除，对小微企业中的监狱企业、残疾人福利性单位、采购产品纳入创新产品应用示范推荐目录内企业、采购产品获得节能产品或环境标志产品认证证书的企业报价按照本竞争性磋商文件”供应商须知前附表”中的规定扣除，用扣除后的价格计算评审基准价。</w:t>
      </w:r>
    </w:p>
    <w:p w14:paraId="40D465B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参加政府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2F502AAD">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（2）专门面向中小企业、预留部分采购份额面向中小企业采购的项目或采购包，评审时不再进行价格扣除。</w:t>
      </w:r>
    </w:p>
    <w:p w14:paraId="318203F8">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zh-CN"/>
          <w14:textFill>
            <w14:solidFill>
              <w14:schemeClr w14:val="tx1"/>
            </w14:solidFill>
          </w14:textFill>
        </w:rPr>
        <w:t>.3价格分采用</w:t>
      </w:r>
      <w:r>
        <w:rPr>
          <w:rFonts w:hint="eastAsia" w:ascii="宋体" w:hAnsi="宋体" w:eastAsia="宋体" w:cs="宋体"/>
          <w:b/>
          <w:bCs/>
          <w:color w:val="000000" w:themeColor="text1"/>
          <w:highlight w:val="none"/>
          <w:lang w:val="zh-CN"/>
          <w14:textFill>
            <w14:solidFill>
              <w14:schemeClr w14:val="tx1"/>
            </w14:solidFill>
          </w14:textFill>
        </w:rPr>
        <w:t>低价优先法</w:t>
      </w:r>
      <w:r>
        <w:rPr>
          <w:rFonts w:hint="eastAsia" w:ascii="宋体" w:hAnsi="宋体" w:eastAsia="宋体" w:cs="宋体"/>
          <w:color w:val="000000" w:themeColor="text1"/>
          <w:highlight w:val="none"/>
          <w:lang w:val="zh-CN"/>
          <w14:textFill>
            <w14:solidFill>
              <w14:schemeClr w14:val="tx1"/>
            </w14:solidFill>
          </w14:textFill>
        </w:rPr>
        <w:t>计算，不得去掉报价中的最高报价和最低报价。计算方法详见本章“三、评审标准”中的具体计算公式。</w:t>
      </w:r>
    </w:p>
    <w:p w14:paraId="63DF01C1">
      <w:pPr>
        <w:pStyle w:val="5"/>
        <w:ind w:firstLine="562"/>
        <w:rPr>
          <w:rFonts w:hint="eastAsia" w:ascii="宋体" w:hAnsi="宋体" w:eastAsia="宋体" w:cs="宋体"/>
          <w:color w:val="000000" w:themeColor="text1"/>
          <w:highlight w:val="none"/>
          <w14:textFill>
            <w14:solidFill>
              <w14:schemeClr w14:val="tx1"/>
            </w14:solidFill>
          </w14:textFill>
        </w:rPr>
      </w:pPr>
      <w:bookmarkStart w:id="372" w:name="_Toc102119884"/>
      <w:bookmarkStart w:id="373" w:name="_Toc102114951"/>
      <w:bookmarkStart w:id="374" w:name="_Toc102057749"/>
      <w:bookmarkStart w:id="375" w:name="_Toc102116053"/>
      <w:bookmarkStart w:id="376" w:name="_Toc102056249"/>
      <w:bookmarkStart w:id="377" w:name="_Toc102116183"/>
      <w:r>
        <w:rPr>
          <w:rFonts w:hint="eastAsia" w:ascii="宋体" w:hAnsi="宋体" w:eastAsia="宋体" w:cs="宋体"/>
          <w:color w:val="000000" w:themeColor="text1"/>
          <w:highlight w:val="none"/>
          <w14:textFill>
            <w14:solidFill>
              <w14:schemeClr w14:val="tx1"/>
            </w14:solidFill>
          </w14:textFill>
        </w:rPr>
        <w:t>5.计分办法</w:t>
      </w:r>
      <w:bookmarkEnd w:id="372"/>
      <w:bookmarkEnd w:id="373"/>
      <w:bookmarkEnd w:id="374"/>
      <w:bookmarkEnd w:id="375"/>
      <w:bookmarkEnd w:id="376"/>
      <w:bookmarkEnd w:id="377"/>
      <w:r>
        <w:rPr>
          <w:rFonts w:hint="eastAsia" w:ascii="宋体" w:hAnsi="宋体" w:eastAsia="宋体" w:cs="宋体"/>
          <w:color w:val="000000" w:themeColor="text1"/>
          <w:highlight w:val="none"/>
          <w14:textFill>
            <w14:solidFill>
              <w14:schemeClr w14:val="tx1"/>
            </w14:solidFill>
          </w14:textFill>
        </w:rPr>
        <w:t>及复核</w:t>
      </w:r>
    </w:p>
    <w:p w14:paraId="7D533FF2">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w:t>
      </w:r>
      <w:r>
        <w:rPr>
          <w:rFonts w:hint="eastAsia" w:ascii="宋体" w:hAnsi="宋体" w:eastAsia="宋体" w:cs="宋体"/>
          <w:color w:val="000000" w:themeColor="text1"/>
          <w:highlight w:val="none"/>
          <w:lang w:val="zh-CN"/>
          <w14:textFill>
            <w14:solidFill>
              <w14:schemeClr w14:val="tx1"/>
            </w14:solidFill>
          </w14:textFill>
        </w:rPr>
        <w:t>.1评审过程中，各项分值一般精确到小数点后两位，评审得分应当为商务评分、技术评分、报价评分之和。磋商小组各成员应当汇总每个供应商的得分。</w:t>
      </w:r>
    </w:p>
    <w:p w14:paraId="7DC92A43">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w:t>
      </w:r>
      <w:r>
        <w:rPr>
          <w:rFonts w:hint="eastAsia" w:ascii="宋体" w:hAnsi="宋体" w:eastAsia="宋体" w:cs="宋体"/>
          <w:color w:val="000000" w:themeColor="text1"/>
          <w:highlight w:val="none"/>
          <w:lang w:val="zh-CN"/>
          <w14:textFill>
            <w14:solidFill>
              <w14:schemeClr w14:val="tx1"/>
            </w14:solidFill>
          </w14:textFill>
        </w:rPr>
        <w:t>.2评审结果汇总完成后，采购代理机构应当对评审结果进行复核。经复核发现存在以下情形之一的，磋商小组应当当场修改评审结果，并在评审报告中记载：</w:t>
      </w:r>
    </w:p>
    <w:p w14:paraId="29673637">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 xml:space="preserve">（1）分值汇总计算错误的； </w:t>
      </w:r>
    </w:p>
    <w:p w14:paraId="7797A8C7">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（2）分项评分超出评分标准范围的；</w:t>
      </w:r>
    </w:p>
    <w:p w14:paraId="1032E178">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（3）磋商小组成员对客观评审因素评分不一致的；</w:t>
      </w:r>
    </w:p>
    <w:p w14:paraId="0B005FC9">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（4）经磋商小组认定评分畸高、畸低的。</w:t>
      </w:r>
    </w:p>
    <w:p w14:paraId="2867556C">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w:t>
      </w:r>
      <w:r>
        <w:rPr>
          <w:rFonts w:hint="eastAsia" w:ascii="宋体" w:hAnsi="宋体" w:eastAsia="宋体" w:cs="宋体"/>
          <w:color w:val="000000" w:themeColor="text1"/>
          <w:highlight w:val="none"/>
          <w:lang w:val="zh-CN"/>
          <w14:textFill>
            <w14:solidFill>
              <w14:schemeClr w14:val="tx1"/>
            </w14:solidFill>
          </w14:textFill>
        </w:rPr>
        <w:t>.3各供应商的最终得分为磋商小组所有成员对各供应商评审得分汇总后的算术平均值。</w:t>
      </w:r>
    </w:p>
    <w:p w14:paraId="1F44DAF1">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6.评审报告</w:t>
      </w:r>
    </w:p>
    <w:p w14:paraId="2F9006B3">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w:t>
      </w:r>
      <w:r>
        <w:rPr>
          <w:rFonts w:hint="eastAsia" w:ascii="宋体" w:hAnsi="宋体" w:eastAsia="宋体" w:cs="宋体"/>
          <w:color w:val="000000" w:themeColor="text1"/>
          <w:highlight w:val="none"/>
          <w:lang w:val="zh-CN"/>
          <w14:textFill>
            <w14:solidFill>
              <w14:schemeClr w14:val="tx1"/>
            </w14:solidFill>
          </w14:textFill>
        </w:rPr>
        <w:t>.1磋商小组</w:t>
      </w:r>
      <w:r>
        <w:rPr>
          <w:rFonts w:hint="eastAsia" w:ascii="宋体" w:hAnsi="宋体" w:eastAsia="宋体" w:cs="宋体"/>
          <w:color w:val="000000" w:themeColor="text1"/>
          <w:highlight w:val="none"/>
          <w14:textFill>
            <w14:solidFill>
              <w14:schemeClr w14:val="tx1"/>
            </w14:solidFill>
          </w14:textFill>
        </w:rPr>
        <w:t>从质量和服务均能满足磋商文件实质性要求的供应商中，按照综合得分由高到低的顺序推荐3名</w:t>
      </w:r>
      <w:r>
        <w:rPr>
          <w:rFonts w:hint="eastAsia" w:ascii="宋体" w:hAnsi="宋体" w:eastAsia="宋体" w:cs="宋体"/>
          <w:b/>
          <w:bCs/>
          <w:color w:val="000000" w:themeColor="text1"/>
          <w:highlight w:val="none"/>
          <w:lang w:val="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市场竞争不充分的科研项目，以及需要扶持的科技成果转化项目可以为2家，政府购买服务项目[含政府和社会资本合作项目]，在采购过程中符合要求的供应商[社会资本]只有2家的可以为2家</w:t>
      </w:r>
      <w:r>
        <w:rPr>
          <w:rFonts w:hint="eastAsia" w:ascii="宋体" w:hAnsi="宋体" w:eastAsia="宋体" w:cs="宋体"/>
          <w:b/>
          <w:bCs/>
          <w:color w:val="000000" w:themeColor="text1"/>
          <w:highlight w:val="none"/>
          <w:lang w:val="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以上</w:t>
      </w:r>
      <w:r>
        <w:rPr>
          <w:rFonts w:hint="eastAsia" w:ascii="宋体" w:hAnsi="宋体" w:eastAsia="宋体" w:cs="宋体"/>
          <w:color w:val="000000" w:themeColor="text1"/>
          <w:highlight w:val="none"/>
          <w:lang w:val="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候选供应商。评审得分相同的，</w:t>
      </w:r>
      <w:r>
        <w:rPr>
          <w:rFonts w:hint="eastAsia" w:ascii="宋体" w:hAnsi="宋体" w:eastAsia="宋体" w:cs="宋体"/>
          <w:color w:val="000000" w:themeColor="text1"/>
          <w:highlight w:val="none"/>
          <w:lang w:val="zh-CN"/>
          <w14:textFill>
            <w14:solidFill>
              <w14:schemeClr w14:val="tx1"/>
            </w14:solidFill>
          </w14:textFill>
        </w:rPr>
        <w:t>磋商小组</w:t>
      </w:r>
      <w:r>
        <w:rPr>
          <w:rFonts w:hint="eastAsia" w:ascii="宋体" w:hAnsi="宋体" w:eastAsia="宋体" w:cs="宋体"/>
          <w:color w:val="000000" w:themeColor="text1"/>
          <w:highlight w:val="none"/>
          <w14:textFill>
            <w14:solidFill>
              <w14:schemeClr w14:val="tx1"/>
            </w14:solidFill>
          </w14:textFill>
        </w:rPr>
        <w:t>按照最后报价由低到高的顺序推荐；得分相同且最后报价相同的，按技术部分得分高低推荐</w:t>
      </w:r>
      <w:r>
        <w:rPr>
          <w:rFonts w:hint="eastAsia" w:ascii="宋体" w:hAnsi="宋体" w:eastAsia="宋体" w:cs="宋体"/>
          <w:color w:val="000000" w:themeColor="text1"/>
          <w:highlight w:val="none"/>
          <w:lang w:val="zh-CN"/>
          <w14:textFill>
            <w14:solidFill>
              <w14:schemeClr w14:val="tx1"/>
            </w14:solidFill>
          </w14:textFill>
        </w:rPr>
        <w:t>。响应文件满足磋商文件全部实质性要求且评审得分最高的供应商为排名第一的成交候选供应商。</w:t>
      </w:r>
    </w:p>
    <w:p w14:paraId="435DCEE1">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6.2磋商小组依据评审结果，按评审得分由高至低的顺序向采购人推荐3家（市场竞争不充分的科研项目，以及需要扶持的科技成果转化项目可以为2家，政府购买服务项目[含政府和社会资本合作项目]，在采购过程中符合要求的供应商[社会资本]只有2家的可以为2家）以上成交候选供应商名单，并形成评审报告。</w:t>
      </w:r>
    </w:p>
    <w:p w14:paraId="00D65D04">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w:t>
      </w:r>
      <w:r>
        <w:rPr>
          <w:rFonts w:hint="eastAsia" w:ascii="宋体" w:hAnsi="宋体" w:eastAsia="宋体" w:cs="宋体"/>
          <w:color w:val="000000" w:themeColor="text1"/>
          <w:highlight w:val="none"/>
          <w:lang w:val="zh-CN"/>
          <w14:textFill>
            <w14:solidFill>
              <w14:schemeClr w14:val="tx1"/>
            </w14:solidFill>
          </w14:textFill>
        </w:rPr>
        <w:t>.3磋商小组应当在评审报告上签名（</w:t>
      </w:r>
      <w:r>
        <w:rPr>
          <w:rFonts w:hint="eastAsia" w:ascii="宋体" w:hAnsi="宋体" w:eastAsia="宋体" w:cs="宋体"/>
          <w:color w:val="000000" w:themeColor="text1"/>
          <w:highlight w:val="none"/>
          <w14:textFill>
            <w14:solidFill>
              <w14:schemeClr w14:val="tx1"/>
            </w14:solidFill>
          </w14:textFill>
        </w:rPr>
        <w:t>电子签名</w:t>
      </w:r>
      <w:r>
        <w:rPr>
          <w:rFonts w:hint="eastAsia" w:ascii="宋体" w:hAnsi="宋体" w:eastAsia="宋体" w:cs="宋体"/>
          <w:color w:val="000000" w:themeColor="text1"/>
          <w:highlight w:val="none"/>
          <w:lang w:val="zh-CN"/>
          <w14:textFill>
            <w14:solidFill>
              <w14:schemeClr w14:val="tx1"/>
            </w14:solidFill>
          </w14:textFill>
        </w:rPr>
        <w:t>），对自己的评审意见承担法律责任。对需要共同认定的事项存在争议的，应当按照少数服从多数的原则作出结论。持不同意见的磋商小组成员应当在评审报告上签署不同意见，并说明理由，否则视为同意评审报告。</w:t>
      </w:r>
    </w:p>
    <w:p w14:paraId="3ABB1CAC">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7.应予终止采购活动的情形</w:t>
      </w:r>
    </w:p>
    <w:p w14:paraId="3747D17F">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w:t>
      </w:r>
      <w:r>
        <w:rPr>
          <w:rFonts w:hint="eastAsia" w:ascii="宋体" w:hAnsi="宋体" w:eastAsia="宋体" w:cs="宋体"/>
          <w:color w:val="000000" w:themeColor="text1"/>
          <w:highlight w:val="none"/>
          <w:lang w:val="zh-CN"/>
          <w14:textFill>
            <w14:solidFill>
              <w14:schemeClr w14:val="tx1"/>
            </w14:solidFill>
          </w14:textFill>
        </w:rPr>
        <w:t>.1在竞争性磋商采购过程中，出现下列情形之一的，应当终止采购活动：</w:t>
      </w:r>
    </w:p>
    <w:p w14:paraId="593CC05D">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（1）因情况变化，不再符合规定的竞争性磋商采购方式适用情形的；</w:t>
      </w:r>
    </w:p>
    <w:p w14:paraId="0AAC97B7">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（2）出现影响采购公正的违法、违规行为的；</w:t>
      </w:r>
    </w:p>
    <w:p w14:paraId="1A44F87C">
      <w:pPr>
        <w:ind w:firstLine="562"/>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在采购过程中符合要求的供应商或者报价未超过采购预算的供应商不足3家的（市场竞争不充分的科研项目、需要扶持的科技成果转化项目以及政府购买服务项目&lt;含政府和社会资本合作项目&gt;）的提交最后报价的供应商可以为2家）。</w:t>
      </w:r>
    </w:p>
    <w:p w14:paraId="62FD7EF1">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w:t>
      </w:r>
      <w:r>
        <w:rPr>
          <w:rFonts w:hint="eastAsia" w:ascii="宋体" w:hAnsi="宋体" w:eastAsia="宋体" w:cs="宋体"/>
          <w:color w:val="000000" w:themeColor="text1"/>
          <w:highlight w:val="none"/>
          <w:lang w:val="zh-CN"/>
          <w14:textFill>
            <w14:solidFill>
              <w14:schemeClr w14:val="tx1"/>
            </w14:solidFill>
          </w14:textFill>
        </w:rPr>
        <w:t>.2采购活动终止后，采购人应当将终止理由告知所有供应商。</w:t>
      </w:r>
    </w:p>
    <w:p w14:paraId="31FBD1D9">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8.停止评审的情形</w:t>
      </w:r>
    </w:p>
    <w:p w14:paraId="24AE33B2">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w:t>
      </w:r>
      <w:r>
        <w:rPr>
          <w:rFonts w:hint="eastAsia" w:ascii="宋体" w:hAnsi="宋体" w:eastAsia="宋体" w:cs="宋体"/>
          <w:color w:val="000000" w:themeColor="text1"/>
          <w:highlight w:val="none"/>
          <w:lang w:val="zh-CN"/>
          <w14:textFill>
            <w14:solidFill>
              <w14:schemeClr w14:val="tx1"/>
            </w14:solidFill>
          </w14:textFill>
        </w:rPr>
        <w:t>.1磋商小组发现磋商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p w14:paraId="4A02008A">
      <w:pPr>
        <w:ind w:firstLine="56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br w:type="page"/>
      </w:r>
    </w:p>
    <w:p w14:paraId="49DB95E9">
      <w:pPr>
        <w:ind w:firstLine="560"/>
        <w:rPr>
          <w:rFonts w:hint="eastAsia" w:ascii="宋体" w:hAnsi="宋体" w:eastAsia="宋体" w:cs="宋体"/>
          <w:color w:val="000000" w:themeColor="text1"/>
          <w:highlight w:val="none"/>
          <w:lang w:val="zh-CN"/>
          <w14:textFill>
            <w14:solidFill>
              <w14:schemeClr w14:val="tx1"/>
            </w14:solidFill>
          </w14:textFill>
        </w:rPr>
      </w:pPr>
    </w:p>
    <w:p w14:paraId="0812D514">
      <w:pPr>
        <w:pStyle w:val="3"/>
        <w:ind w:firstLine="0" w:firstLineChars="0"/>
        <w:rPr>
          <w:rFonts w:hint="eastAsia" w:ascii="宋体" w:hAnsi="宋体" w:eastAsia="宋体" w:cs="宋体"/>
          <w:color w:val="000000" w:themeColor="text1"/>
          <w:highlight w:val="none"/>
          <w14:textFill>
            <w14:solidFill>
              <w14:schemeClr w14:val="tx1"/>
            </w14:solidFill>
          </w14:textFill>
        </w:rPr>
      </w:pPr>
      <w:bookmarkStart w:id="378" w:name="_Toc6798"/>
      <w:bookmarkStart w:id="379" w:name="_Toc163493637"/>
      <w:bookmarkStart w:id="380" w:name="_Toc14348"/>
      <w:r>
        <w:rPr>
          <w:rFonts w:hint="eastAsia" w:ascii="宋体" w:hAnsi="宋体" w:eastAsia="宋体" w:cs="宋体"/>
          <w:color w:val="000000" w:themeColor="text1"/>
          <w:highlight w:val="none"/>
          <w14:textFill>
            <w14:solidFill>
              <w14:schemeClr w14:val="tx1"/>
            </w14:solidFill>
          </w14:textFill>
        </w:rPr>
        <w:t>三、评审标准</w:t>
      </w:r>
      <w:bookmarkEnd w:id="378"/>
      <w:bookmarkEnd w:id="379"/>
      <w:bookmarkEnd w:id="380"/>
    </w:p>
    <w:p w14:paraId="5585140A">
      <w:pPr>
        <w:pStyle w:val="4"/>
        <w:ind w:firstLine="562"/>
        <w:rPr>
          <w:rFonts w:hint="eastAsia" w:ascii="宋体" w:hAnsi="宋体" w:eastAsia="宋体" w:cs="宋体"/>
          <w:color w:val="000000" w:themeColor="text1"/>
          <w:highlight w:val="none"/>
          <w:lang w:val="zh-CN"/>
          <w14:textFill>
            <w14:solidFill>
              <w14:schemeClr w14:val="tx1"/>
            </w14:solidFill>
          </w14:textFill>
        </w:rPr>
      </w:pPr>
      <w:bookmarkStart w:id="381" w:name="_Toc163493638"/>
      <w:bookmarkStart w:id="382" w:name="_Toc2896"/>
      <w:bookmarkStart w:id="383" w:name="_Toc26372"/>
      <w:bookmarkStart w:id="384" w:name="_Toc30941"/>
      <w:r>
        <w:rPr>
          <w:rFonts w:hint="eastAsia" w:ascii="宋体" w:hAnsi="宋体" w:eastAsia="宋体" w:cs="宋体"/>
          <w:color w:val="000000" w:themeColor="text1"/>
          <w:highlight w:val="none"/>
          <w14:textFill>
            <w14:solidFill>
              <w14:schemeClr w14:val="tx1"/>
            </w14:solidFill>
          </w14:textFill>
        </w:rPr>
        <w:t>（一）资格性审查</w:t>
      </w:r>
      <w:bookmarkEnd w:id="381"/>
      <w:r>
        <w:rPr>
          <w:rFonts w:hint="eastAsia" w:ascii="宋体" w:hAnsi="宋体" w:eastAsia="宋体" w:cs="宋体"/>
          <w:color w:val="000000" w:themeColor="text1"/>
          <w:highlight w:val="none"/>
          <w14:textFill>
            <w14:solidFill>
              <w14:schemeClr w14:val="tx1"/>
            </w14:solidFill>
          </w14:textFill>
        </w:rPr>
        <w:t>标准</w:t>
      </w:r>
      <w:bookmarkEnd w:id="382"/>
      <w:bookmarkEnd w:id="383"/>
      <w:bookmarkEnd w:id="384"/>
    </w:p>
    <w:tbl>
      <w:tblPr>
        <w:tblStyle w:val="36"/>
        <w:tblpPr w:leftFromText="180" w:rightFromText="180" w:vertAnchor="text" w:tblpXSpec="center" w:tblpY="235"/>
        <w:tblOverlap w:val="never"/>
        <w:tblW w:w="49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8"/>
      </w:tblGrid>
      <w:tr w14:paraId="33FE4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00" w:type="pct"/>
            <w:shd w:val="clear" w:color="auto" w:fill="BDD6EE" w:themeFill="accent5" w:themeFillTint="66"/>
          </w:tcPr>
          <w:p w14:paraId="64BFFA9D">
            <w:pPr>
              <w:pStyle w:val="21"/>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bookmarkStart w:id="385" w:name="_Toc155185896"/>
            <w:bookmarkStart w:id="386" w:name="_Toc494561958"/>
            <w:bookmarkStart w:id="387" w:name="_Toc109899480"/>
            <w:bookmarkStart w:id="388" w:name="_Toc140132821"/>
            <w:bookmarkStart w:id="389" w:name="_Toc511894514"/>
            <w:bookmarkStart w:id="390" w:name="_Toc109899899"/>
            <w:bookmarkStart w:id="391" w:name="_Toc109900318"/>
            <w:bookmarkStart w:id="392" w:name="_Toc61280398"/>
            <w:bookmarkStart w:id="393" w:name="_Toc155185903"/>
            <w:r>
              <w:rPr>
                <w:rFonts w:hint="eastAsia" w:ascii="宋体" w:hAnsi="宋体" w:eastAsia="宋体" w:cs="宋体"/>
                <w:b/>
                <w:bCs/>
                <w:color w:val="000000" w:themeColor="text1"/>
                <w:sz w:val="24"/>
                <w:szCs w:val="24"/>
                <w:highlight w:val="none"/>
                <w14:textFill>
                  <w14:solidFill>
                    <w14:schemeClr w14:val="tx1"/>
                  </w14:solidFill>
                </w14:textFill>
              </w:rPr>
              <w:t>审查因素及审查内容</w:t>
            </w:r>
          </w:p>
        </w:tc>
      </w:tr>
      <w:tr w14:paraId="66555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0" w:hRule="atLeast"/>
          <w:jc w:val="center"/>
        </w:trPr>
        <w:tc>
          <w:tcPr>
            <w:tcW w:w="5000" w:type="pct"/>
            <w:vAlign w:val="center"/>
          </w:tcPr>
          <w:p w14:paraId="31CB21E7">
            <w:pPr>
              <w:pStyle w:val="4"/>
              <w:shd w:val="clear"/>
              <w:spacing w:line="360" w:lineRule="auto"/>
              <w:ind w:firstLine="562"/>
              <w:rPr>
                <w:rFonts w:hint="eastAsia" w:ascii="宋体" w:hAnsi="宋体" w:eastAsia="宋体" w:cs="宋体"/>
                <w:color w:val="000000" w:themeColor="text1"/>
                <w:sz w:val="24"/>
                <w:szCs w:val="24"/>
                <w:highlight w:val="none"/>
                <w14:textFill>
                  <w14:solidFill>
                    <w14:schemeClr w14:val="tx1"/>
                  </w14:solidFill>
                </w14:textFill>
              </w:rPr>
            </w:pPr>
            <w:bookmarkStart w:id="394" w:name="_Toc8093"/>
            <w:r>
              <w:rPr>
                <w:rFonts w:hint="eastAsia" w:ascii="宋体" w:hAnsi="宋体" w:eastAsia="宋体" w:cs="宋体"/>
                <w:color w:val="000000" w:themeColor="text1"/>
                <w:sz w:val="24"/>
                <w:szCs w:val="24"/>
                <w:highlight w:val="none"/>
                <w14:textFill>
                  <w14:solidFill>
                    <w14:schemeClr w14:val="tx1"/>
                  </w14:solidFill>
                </w14:textFill>
              </w:rPr>
              <w:t>1.满足《中华人民共和国政府采购法》第二十二条规定，提供以下材料：</w:t>
            </w:r>
            <w:bookmarkEnd w:id="394"/>
          </w:p>
          <w:p w14:paraId="2BD1AD82">
            <w:pPr>
              <w:shd w:val="clear"/>
              <w:spacing w:line="360" w:lineRule="auto"/>
              <w:ind w:firstLine="5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具有独立承担民事责任的能力：供应商提供法人或者其他组织的营业执照等证明文件或自然人的身份证明原件扫描件（或复印件）；</w:t>
            </w:r>
          </w:p>
          <w:p w14:paraId="3A488584">
            <w:pPr>
              <w:shd w:val="clear"/>
              <w:spacing w:line="360" w:lineRule="auto"/>
              <w:ind w:firstLine="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具有良好的商业信誉和健全的财务会计制度：供应商提供2024年度经审计的财务报告（财务报告须包括“四表一注”，即：资产负债表、利润表、现金流量表、所有者权益变动表及其附注；经审计的财务报告须有注册会计师统一监管平台所赋验证码，如财务报告未赋验证码，供应商应同时提共出具报告的会计师事务所盖章的情况说明，说明中应明确未赋码原因；若供应商成立时间不足1年，可提供自成立之日起至今的财务报告或财务状况说明）</w:t>
            </w:r>
            <w:r>
              <w:rPr>
                <w:rFonts w:hint="eastAsia" w:ascii="宋体" w:hAnsi="宋体" w:eastAsia="宋体" w:cs="宋体"/>
                <w:b/>
                <w:bCs/>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14:textFill>
                  <w14:solidFill>
                    <w14:schemeClr w14:val="tx1"/>
                  </w14:solidFill>
                </w14:textFill>
              </w:rPr>
              <w:t>提供近三个月内其基本开户银行出具的资信证明</w:t>
            </w:r>
            <w:r>
              <w:rPr>
                <w:rFonts w:hint="eastAsia" w:ascii="宋体" w:hAnsi="宋体" w:eastAsia="宋体" w:cs="宋体"/>
                <w:b/>
                <w:bCs/>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14:textFill>
                  <w14:solidFill>
                    <w14:schemeClr w14:val="tx1"/>
                  </w14:solidFill>
                </w14:textFill>
              </w:rPr>
              <w:t>提供财政部门认可的政府采购专业担保机构出具的投标担保函（但须同时提供专业担保机构经财政部门认可的证明文件）的原件扫描件（或复印件）；</w:t>
            </w:r>
          </w:p>
          <w:p w14:paraId="573D0A40">
            <w:pPr>
              <w:shd w:val="clear"/>
              <w:spacing w:line="360" w:lineRule="auto"/>
              <w:ind w:firstLine="5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 具有履行合同所必需的设备和专业技术能力：供应商提供具有履行合同所必需的设备和专业技术能力的书面声明；</w:t>
            </w:r>
          </w:p>
          <w:p w14:paraId="45025FE9">
            <w:pPr>
              <w:shd w:val="clear"/>
              <w:spacing w:line="360" w:lineRule="auto"/>
              <w:ind w:firstLine="5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 依法缴纳税收和社会保障资金的相关材料：供应商提供在响应文件提交截止时间前12个月内任意1个月的依法缴纳税收</w:t>
            </w:r>
            <w:r>
              <w:rPr>
                <w:rFonts w:hint="eastAsia" w:ascii="宋体" w:hAnsi="宋体" w:eastAsia="宋体" w:cs="宋体"/>
                <w:b/>
                <w:bCs/>
                <w:color w:val="000000" w:themeColor="text1"/>
                <w:sz w:val="24"/>
                <w:szCs w:val="24"/>
                <w:highlight w:val="none"/>
                <w14:textFill>
                  <w14:solidFill>
                    <w14:schemeClr w14:val="tx1"/>
                  </w14:solidFill>
                </w14:textFill>
              </w:rPr>
              <w:t>和</w:t>
            </w:r>
            <w:r>
              <w:rPr>
                <w:rFonts w:hint="eastAsia" w:ascii="宋体" w:hAnsi="宋体" w:eastAsia="宋体" w:cs="宋体"/>
                <w:color w:val="000000" w:themeColor="text1"/>
                <w:sz w:val="24"/>
                <w:szCs w:val="24"/>
                <w:highlight w:val="none"/>
                <w14:textFill>
                  <w14:solidFill>
                    <w14:schemeClr w14:val="tx1"/>
                  </w14:solidFill>
                </w14:textFill>
              </w:rPr>
              <w:t>依法缴纳社会保障资金的证明材料（供应商成立时间不足1个月的，提供相关情况说明；依法免税或不需要缴纳社会保障资金的供应商，应提供相应文件证明其依法免税或不需要缴纳社会保障资金）的原件扫描件（或复印件）；</w:t>
            </w:r>
          </w:p>
          <w:p w14:paraId="117A72A3">
            <w:pPr>
              <w:shd w:val="clear"/>
              <w:spacing w:line="360" w:lineRule="auto"/>
              <w:ind w:firstLine="5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 参加政府采购活动前三年内，在经营活动中没有重大违法记录（重大违法记录指供应商因违法经营受到刑事处罚或者责令停产停业、吊销许可证或者执照、较大数额罚款等行政处罚）：供应商提供参加政府采购活动前三年内，在经营活动中没有重大违法记录的书面声明；供应商成立不足3年的，提供自成立以来在经营活动中没有重大违法记录的书面声明；</w:t>
            </w:r>
          </w:p>
          <w:p w14:paraId="4527EBBA">
            <w:pPr>
              <w:shd w:val="clear"/>
              <w:spacing w:line="360" w:lineRule="auto"/>
              <w:ind w:firstLine="5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 符合法律、行政法规规定的其他条件：供应商提供符合法律、行政法规规定的其他条件的书面声明。</w:t>
            </w:r>
          </w:p>
          <w:p w14:paraId="55A7B9B9">
            <w:pPr>
              <w:pStyle w:val="4"/>
              <w:shd w:val="clear"/>
              <w:spacing w:line="360" w:lineRule="auto"/>
              <w:ind w:firstLine="562"/>
              <w:rPr>
                <w:rFonts w:hint="eastAsia" w:ascii="宋体" w:hAnsi="宋体" w:eastAsia="宋体" w:cs="宋体"/>
                <w:color w:val="000000" w:themeColor="text1"/>
                <w:sz w:val="24"/>
                <w:szCs w:val="24"/>
                <w:highlight w:val="none"/>
                <w14:textFill>
                  <w14:solidFill>
                    <w14:schemeClr w14:val="tx1"/>
                  </w14:solidFill>
                </w14:textFill>
              </w:rPr>
            </w:pPr>
            <w:bookmarkStart w:id="395" w:name="_Toc24403"/>
            <w:r>
              <w:rPr>
                <w:rFonts w:hint="eastAsia" w:ascii="宋体" w:hAnsi="宋体" w:eastAsia="宋体" w:cs="宋体"/>
                <w:color w:val="000000" w:themeColor="text1"/>
                <w:sz w:val="24"/>
                <w:szCs w:val="24"/>
                <w:highlight w:val="none"/>
                <w14:textFill>
                  <w14:solidFill>
                    <w14:schemeClr w14:val="tx1"/>
                  </w14:solidFill>
                </w14:textFill>
              </w:rPr>
              <w:t>2.落实政府采购政策需满足的资格要求：</w:t>
            </w:r>
            <w:bookmarkEnd w:id="395"/>
          </w:p>
          <w:p w14:paraId="0FD26469">
            <w:pPr>
              <w:shd w:val="clear"/>
              <w:spacing w:line="360" w:lineRule="auto"/>
              <w:ind w:firstLine="5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云南水利水电职业学院校史馆建设项目</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专门面向中小企业采购</w:t>
            </w:r>
            <w:r>
              <w:rPr>
                <w:rFonts w:hint="eastAsia" w:ascii="宋体" w:hAnsi="宋体" w:eastAsia="宋体" w:cs="宋体"/>
                <w:color w:val="000000" w:themeColor="text1"/>
                <w:sz w:val="24"/>
                <w:szCs w:val="24"/>
                <w:highlight w:val="none"/>
                <w14:textFill>
                  <w14:solidFill>
                    <w14:schemeClr w14:val="tx1"/>
                  </w14:solidFill>
                </w14:textFill>
              </w:rPr>
              <w:t>;</w:t>
            </w:r>
          </w:p>
          <w:p w14:paraId="4A93D883">
            <w:pPr>
              <w:pStyle w:val="4"/>
              <w:shd w:val="clear"/>
              <w:spacing w:line="360" w:lineRule="auto"/>
              <w:ind w:firstLine="562"/>
              <w:rPr>
                <w:rFonts w:hint="eastAsia" w:ascii="宋体" w:hAnsi="宋体" w:eastAsia="宋体" w:cs="宋体"/>
                <w:color w:val="000000" w:themeColor="text1"/>
                <w:sz w:val="24"/>
                <w:szCs w:val="24"/>
                <w:highlight w:val="none"/>
                <w14:textFill>
                  <w14:solidFill>
                    <w14:schemeClr w14:val="tx1"/>
                  </w14:solidFill>
                </w14:textFill>
              </w:rPr>
            </w:pPr>
            <w:bookmarkStart w:id="396" w:name="_Toc7856"/>
            <w:r>
              <w:rPr>
                <w:rFonts w:hint="eastAsia" w:ascii="宋体" w:hAnsi="宋体" w:eastAsia="宋体" w:cs="宋体"/>
                <w:color w:val="000000" w:themeColor="text1"/>
                <w:sz w:val="24"/>
                <w:szCs w:val="24"/>
                <w:highlight w:val="none"/>
                <w14:textFill>
                  <w14:solidFill>
                    <w14:schemeClr w14:val="tx1"/>
                  </w14:solidFill>
                </w14:textFill>
              </w:rPr>
              <w:t>3.本项目的特定资格要求：</w:t>
            </w:r>
            <w:bookmarkEnd w:id="396"/>
          </w:p>
          <w:p w14:paraId="75BDB615">
            <w:pPr>
              <w:shd w:val="clear"/>
              <w:spacing w:line="360" w:lineRule="auto"/>
              <w:ind w:firstLine="56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须同时具备以下</w:t>
            </w: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资质</w:t>
            </w:r>
            <w:r>
              <w:rPr>
                <w:rFonts w:hint="eastAsia" w:ascii="宋体" w:hAnsi="宋体" w:eastAsia="宋体" w:cs="宋体"/>
                <w:color w:val="000000" w:themeColor="text1"/>
                <w:sz w:val="24"/>
                <w:szCs w:val="24"/>
                <w:highlight w:val="none"/>
                <w:lang w:eastAsia="zh-CN"/>
                <w14:textFill>
                  <w14:solidFill>
                    <w14:schemeClr w14:val="tx1"/>
                  </w14:solidFill>
                </w14:textFill>
              </w:rPr>
              <w:t>，资质证书处于有效期内：</w:t>
            </w:r>
          </w:p>
          <w:p w14:paraId="7730C226">
            <w:pPr>
              <w:shd w:val="clear"/>
              <w:spacing w:line="360" w:lineRule="auto"/>
              <w:ind w:firstLine="56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（1）具备建设行政主管部门核发的工程设计综合甲级资质或建筑行业（建筑工程）专业乙级及以上资质或建筑装饰工程设计专项乙级及以上资质；</w:t>
            </w:r>
          </w:p>
          <w:p w14:paraId="5CA50217">
            <w:pPr>
              <w:shd w:val="clear"/>
              <w:spacing w:line="360" w:lineRule="auto"/>
              <w:ind w:firstLine="56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（2）具备建设行政主管部门颁发的建筑工程施工总承包三级及以上资质或建筑装修装饰工程专业承包二级及以上资质，且具备安全生产许可证。</w:t>
            </w:r>
          </w:p>
          <w:p w14:paraId="13606B62">
            <w:pPr>
              <w:shd w:val="clear"/>
              <w:spacing w:line="360" w:lineRule="auto"/>
              <w:ind w:firstLine="56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注：提供资质证书及安全生产许可证扫描件，未在有效期内的应提供行政主管部门的证明文件。</w:t>
            </w:r>
          </w:p>
          <w:p w14:paraId="012AF2B1">
            <w:pPr>
              <w:shd w:val="clear"/>
              <w:spacing w:line="360" w:lineRule="auto"/>
              <w:ind w:firstLine="56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3.2 拟派往本项目的人员资格</w:t>
            </w:r>
          </w:p>
          <w:p w14:paraId="4AB418DB">
            <w:pPr>
              <w:shd w:val="clear"/>
              <w:spacing w:line="360" w:lineRule="auto"/>
              <w:ind w:firstLine="56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（1）设计项目负责人：具有中级及以上专业技术职称证书，为供应商单位正式员工，提供证书和其在供应商单位参加社会保险证明资料的扫描件。</w:t>
            </w:r>
          </w:p>
          <w:p w14:paraId="2C2145A7">
            <w:pPr>
              <w:shd w:val="clear"/>
              <w:spacing w:line="360" w:lineRule="auto"/>
              <w:ind w:firstLine="56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施工项目负责人：具有二级及以上注册建造师执业资格证书（建筑工程专业），并取得住建部门颁发或核发的有效B类安全生产考核合格证书，为供应商单位正式员工，提供证书和其在供应商单位参加社会保险证明资料的扫描件；不得同时在两个或者两个以上工程项目担任施工项目负责人，且不得兼任本项目设计项目负责人，提供承诺书。</w:t>
            </w:r>
          </w:p>
          <w:p w14:paraId="16A60993">
            <w:pPr>
              <w:shd w:val="clear"/>
              <w:spacing w:line="360" w:lineRule="auto"/>
              <w:ind w:firstLine="56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单位负责人为同一人或者存在直接控股、管理关系的不同供应商，不得参加同一合同项下的政府采购活动；为本项目提供整体设计、规范编制或者项目管理、监理、检测等服务的供应商，不得再参加本项目的采购活动；提供书面声明；</w:t>
            </w:r>
          </w:p>
          <w:p w14:paraId="5F886E3B">
            <w:pPr>
              <w:bidi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 xml:space="preserve"> 列入失信被执行人或重大税收违法失信主体或政府采购严重违法失信行为记录名单的供应商，不得参加政府采购活动。</w:t>
            </w:r>
          </w:p>
        </w:tc>
      </w:tr>
    </w:tbl>
    <w:p w14:paraId="72E06D67">
      <w:pPr>
        <w:ind w:firstLine="0" w:firstLineChars="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备注：</w:t>
      </w:r>
    </w:p>
    <w:p w14:paraId="26D20D45">
      <w:pPr>
        <w:spacing w:line="240" w:lineRule="auto"/>
        <w:ind w:firstLine="42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资格证明文件应为原件扫描件（或复印件），响应文件中须编入清晰的原件扫描件（或复印件）。所有证明材料须清晰可辨认，如因证明材料模糊无法辨认，缺页、漏页导致无法进行评审认定的责任由供应商自负。</w:t>
      </w:r>
    </w:p>
    <w:p w14:paraId="6353C57D">
      <w:pPr>
        <w:spacing w:line="240" w:lineRule="auto"/>
        <w:ind w:firstLine="42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sz w:val="24"/>
          <w:szCs w:val="24"/>
          <w:highlight w:val="none"/>
          <w:lang w:val="zh-CN"/>
          <w14:textFill>
            <w14:solidFill>
              <w14:schemeClr w14:val="tx1"/>
            </w14:solidFill>
          </w14:textFill>
        </w:rPr>
        <w:t>信用信息核</w:t>
      </w:r>
      <w:r>
        <w:rPr>
          <w:rFonts w:hint="eastAsia" w:ascii="宋体" w:hAnsi="宋体" w:eastAsia="宋体" w:cs="宋体"/>
          <w:b/>
          <w:bCs/>
          <w:color w:val="000000" w:themeColor="text1"/>
          <w:sz w:val="24"/>
          <w:szCs w:val="24"/>
          <w:highlight w:val="none"/>
          <w14:textFill>
            <w14:solidFill>
              <w14:schemeClr w14:val="tx1"/>
            </w14:solidFill>
          </w14:textFill>
        </w:rPr>
        <w:t>查：</w:t>
      </w:r>
    </w:p>
    <w:p w14:paraId="1FCC39CF">
      <w:pPr>
        <w:spacing w:line="240" w:lineRule="auto"/>
        <w:ind w:firstLine="42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2.1资格审查当日应当核查供应商信用记录，供应商被列入失信被执行人、重大税收违法案件当事人名单、政府采购严重违法失信行为记录名单的，采购人拒绝其参与本项目政府采购活动。</w:t>
      </w:r>
    </w:p>
    <w:p w14:paraId="78D2752A">
      <w:pPr>
        <w:spacing w:line="240" w:lineRule="auto"/>
        <w:ind w:firstLine="42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2.2以联合体形式投标的，应当核查联合体所有成员和信用记录，联合体成员存在不良信用记录的，视同联合体存在不良信用信息。</w:t>
      </w:r>
    </w:p>
    <w:p w14:paraId="3CE5CA96">
      <w:pPr>
        <w:spacing w:line="240" w:lineRule="auto"/>
        <w:ind w:firstLine="42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3.对于响应文件中有任意一条不满足上表要求的将导致其磋商申请无效，不进入下一项评审</w:t>
      </w:r>
      <w:bookmarkEnd w:id="385"/>
      <w:bookmarkEnd w:id="386"/>
      <w:bookmarkEnd w:id="387"/>
      <w:bookmarkEnd w:id="388"/>
      <w:bookmarkEnd w:id="389"/>
      <w:bookmarkEnd w:id="390"/>
      <w:bookmarkEnd w:id="391"/>
      <w:bookmarkEnd w:id="392"/>
      <w:r>
        <w:rPr>
          <w:rFonts w:hint="eastAsia" w:ascii="宋体" w:hAnsi="宋体" w:eastAsia="宋体" w:cs="宋体"/>
          <w:b/>
          <w:bCs/>
          <w:color w:val="000000" w:themeColor="text1"/>
          <w:sz w:val="24"/>
          <w:szCs w:val="24"/>
          <w:highlight w:val="none"/>
          <w14:textFill>
            <w14:solidFill>
              <w14:schemeClr w14:val="tx1"/>
            </w14:solidFill>
          </w14:textFill>
        </w:rPr>
        <w:t>。</w:t>
      </w:r>
      <w:bookmarkStart w:id="397" w:name="_Toc163492899"/>
    </w:p>
    <w:p w14:paraId="5699BFEC">
      <w:pPr>
        <w:ind w:firstLine="48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r>
    </w:p>
    <w:p w14:paraId="63649BFF">
      <w:pPr>
        <w:pStyle w:val="4"/>
        <w:ind w:firstLine="562"/>
        <w:rPr>
          <w:rFonts w:hint="eastAsia" w:ascii="宋体" w:hAnsi="宋体" w:eastAsia="宋体" w:cs="宋体"/>
          <w:color w:val="000000" w:themeColor="text1"/>
          <w:highlight w:val="none"/>
          <w14:textFill>
            <w14:solidFill>
              <w14:schemeClr w14:val="tx1"/>
            </w14:solidFill>
          </w14:textFill>
        </w:rPr>
      </w:pPr>
      <w:bookmarkStart w:id="398" w:name="_Toc163493639"/>
      <w:bookmarkStart w:id="399" w:name="_Toc8870"/>
      <w:bookmarkStart w:id="400" w:name="_Toc22424"/>
      <w:bookmarkStart w:id="401" w:name="_Toc25088"/>
      <w:r>
        <w:rPr>
          <w:rFonts w:hint="eastAsia" w:ascii="宋体" w:hAnsi="宋体" w:eastAsia="宋体" w:cs="宋体"/>
          <w:color w:val="000000" w:themeColor="text1"/>
          <w:highlight w:val="none"/>
          <w14:textFill>
            <w14:solidFill>
              <w14:schemeClr w14:val="tx1"/>
            </w14:solidFill>
          </w14:textFill>
        </w:rPr>
        <w:t>（二）符合性审查</w:t>
      </w:r>
      <w:bookmarkEnd w:id="398"/>
      <w:r>
        <w:rPr>
          <w:rFonts w:hint="eastAsia" w:ascii="宋体" w:hAnsi="宋体" w:eastAsia="宋体" w:cs="宋体"/>
          <w:color w:val="000000" w:themeColor="text1"/>
          <w:highlight w:val="none"/>
          <w14:textFill>
            <w14:solidFill>
              <w14:schemeClr w14:val="tx1"/>
            </w14:solidFill>
          </w14:textFill>
        </w:rPr>
        <w:t>标准</w:t>
      </w:r>
      <w:bookmarkEnd w:id="399"/>
      <w:bookmarkEnd w:id="400"/>
      <w:bookmarkEnd w:id="401"/>
    </w:p>
    <w:tbl>
      <w:tblPr>
        <w:tblStyle w:val="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2271"/>
        <w:gridCol w:w="6741"/>
      </w:tblGrid>
      <w:tr w14:paraId="2177A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477" w:type="pct"/>
            <w:shd w:val="clear" w:color="auto" w:fill="BDD6EE" w:themeFill="accent5" w:themeFillTint="66"/>
            <w:vAlign w:val="center"/>
          </w:tcPr>
          <w:p w14:paraId="25C1689E">
            <w:pPr>
              <w:pStyle w:val="21"/>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序号</w:t>
            </w:r>
          </w:p>
        </w:tc>
        <w:tc>
          <w:tcPr>
            <w:tcW w:w="1140" w:type="pct"/>
            <w:shd w:val="clear" w:color="auto" w:fill="BDD6EE" w:themeFill="accent5" w:themeFillTint="66"/>
            <w:vAlign w:val="center"/>
          </w:tcPr>
          <w:p w14:paraId="07D74D38">
            <w:pPr>
              <w:pStyle w:val="21"/>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审查项名称</w:t>
            </w:r>
          </w:p>
        </w:tc>
        <w:tc>
          <w:tcPr>
            <w:tcW w:w="3383" w:type="pct"/>
            <w:shd w:val="clear" w:color="auto" w:fill="BDD6EE" w:themeFill="accent5" w:themeFillTint="66"/>
            <w:vAlign w:val="center"/>
          </w:tcPr>
          <w:p w14:paraId="69BA0C52">
            <w:pPr>
              <w:pStyle w:val="21"/>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审查内容</w:t>
            </w:r>
          </w:p>
        </w:tc>
      </w:tr>
      <w:tr w14:paraId="68E64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7" w:type="pct"/>
            <w:shd w:val="clear" w:color="auto" w:fill="auto"/>
            <w:vAlign w:val="center"/>
          </w:tcPr>
          <w:p w14:paraId="0583FA52">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140" w:type="pct"/>
            <w:vAlign w:val="center"/>
          </w:tcPr>
          <w:p w14:paraId="3326D389">
            <w:pPr>
              <w:pStyle w:val="21"/>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磋商报价</w:t>
            </w:r>
          </w:p>
        </w:tc>
        <w:tc>
          <w:tcPr>
            <w:tcW w:w="3383" w:type="pct"/>
            <w:shd w:val="clear" w:color="auto" w:fill="auto"/>
            <w:vAlign w:val="center"/>
          </w:tcPr>
          <w:p w14:paraId="738E0E00">
            <w:pPr>
              <w:pStyle w:val="21"/>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（1）报价没有超过项目最高限价；</w:t>
            </w:r>
          </w:p>
          <w:p w14:paraId="2BBC1109">
            <w:pPr>
              <w:pStyle w:val="21"/>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（2）报价不存在缺项、漏项。</w:t>
            </w:r>
          </w:p>
        </w:tc>
      </w:tr>
      <w:tr w14:paraId="4FD45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7" w:type="pct"/>
            <w:shd w:val="clear" w:color="auto" w:fill="auto"/>
            <w:vAlign w:val="center"/>
          </w:tcPr>
          <w:p w14:paraId="64BD94FC">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140" w:type="pct"/>
            <w:vAlign w:val="center"/>
          </w:tcPr>
          <w:p w14:paraId="58098068">
            <w:pPr>
              <w:pStyle w:val="21"/>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签署</w:t>
            </w:r>
          </w:p>
        </w:tc>
        <w:tc>
          <w:tcPr>
            <w:tcW w:w="3383" w:type="pct"/>
            <w:shd w:val="clear" w:color="auto" w:fill="auto"/>
            <w:vAlign w:val="center"/>
          </w:tcPr>
          <w:p w14:paraId="7F8FEF18">
            <w:pPr>
              <w:pStyle w:val="21"/>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按照竞争性磋商文件要求签署、盖章。</w:t>
            </w:r>
          </w:p>
        </w:tc>
      </w:tr>
      <w:tr w14:paraId="3D296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7" w:type="pct"/>
            <w:shd w:val="clear" w:color="auto" w:fill="auto"/>
            <w:vAlign w:val="center"/>
          </w:tcPr>
          <w:p w14:paraId="20742E8E">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140" w:type="pct"/>
            <w:vAlign w:val="center"/>
          </w:tcPr>
          <w:p w14:paraId="242AD029">
            <w:pPr>
              <w:pStyle w:val="21"/>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实质性要求</w:t>
            </w:r>
          </w:p>
        </w:tc>
        <w:tc>
          <w:tcPr>
            <w:tcW w:w="3383" w:type="pct"/>
            <w:shd w:val="clear" w:color="auto" w:fill="auto"/>
            <w:vAlign w:val="center"/>
          </w:tcPr>
          <w:p w14:paraId="19806ED1">
            <w:pPr>
              <w:pStyle w:val="21"/>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（1）满足竞争性磋商文件中带“★”条款的要求；</w:t>
            </w:r>
          </w:p>
          <w:p w14:paraId="6F280B0F">
            <w:pPr>
              <w:pStyle w:val="21"/>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（2）磋商有效期符合竞争性磋商文件要求；</w:t>
            </w:r>
          </w:p>
          <w:p w14:paraId="6E3D350F">
            <w:pPr>
              <w:pStyle w:val="21"/>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（3）响应文件没有采购人不能接受的附加条件。</w:t>
            </w:r>
          </w:p>
        </w:tc>
      </w:tr>
      <w:tr w14:paraId="3294A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7" w:type="pct"/>
            <w:shd w:val="clear" w:color="auto" w:fill="auto"/>
            <w:vAlign w:val="center"/>
          </w:tcPr>
          <w:p w14:paraId="7992F6EF">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1140" w:type="pct"/>
            <w:vAlign w:val="center"/>
          </w:tcPr>
          <w:p w14:paraId="16181CAC">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围标串标情形</w:t>
            </w:r>
          </w:p>
        </w:tc>
        <w:tc>
          <w:tcPr>
            <w:tcW w:w="3383" w:type="pct"/>
            <w:shd w:val="clear" w:color="auto" w:fill="auto"/>
            <w:vAlign w:val="center"/>
          </w:tcPr>
          <w:p w14:paraId="3610B10D">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供应商不存在下列任一情形：</w:t>
            </w:r>
          </w:p>
          <w:p w14:paraId="39650CE6">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（1）不同供应商的响应文件由同一单位或者个人编制；</w:t>
            </w:r>
          </w:p>
          <w:p w14:paraId="74ACB0D6">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（2）不同供应商委托同一单位或者个人办理磋商事宜；</w:t>
            </w:r>
          </w:p>
          <w:p w14:paraId="2009076B">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（3）不同供应商的响应文件载明的项目管理成员或者联系人员为同一人；</w:t>
            </w:r>
          </w:p>
          <w:p w14:paraId="156E4926">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（4）不同供应商的响应文件异常一致或者报价呈规律性差异；</w:t>
            </w:r>
          </w:p>
          <w:p w14:paraId="42F8EFE6">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（5）不同供应商的响应文件相互混装；</w:t>
            </w:r>
          </w:p>
          <w:p w14:paraId="63183420">
            <w:pPr>
              <w:pStyle w:val="21"/>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zh-CN"/>
                <w14:textFill>
                  <w14:solidFill>
                    <w14:schemeClr w14:val="tx1"/>
                  </w14:solidFill>
                </w14:textFill>
              </w:rPr>
              <w:t>不同供应商使用同一电脑（机器特征值一致：如MAC地址等）或使用同一电子密钥，编制或上传电子响应文件。</w:t>
            </w:r>
          </w:p>
        </w:tc>
      </w:tr>
      <w:tr w14:paraId="1AF8B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7" w:type="pct"/>
            <w:shd w:val="clear" w:color="auto" w:fill="auto"/>
            <w:vAlign w:val="center"/>
          </w:tcPr>
          <w:p w14:paraId="0CC58E38">
            <w:pPr>
              <w:pStyle w:val="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1140" w:type="pct"/>
            <w:vAlign w:val="center"/>
          </w:tcPr>
          <w:p w14:paraId="11EDA428">
            <w:pPr>
              <w:pStyle w:val="21"/>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其他无效情形</w:t>
            </w:r>
          </w:p>
        </w:tc>
        <w:tc>
          <w:tcPr>
            <w:tcW w:w="3383" w:type="pct"/>
            <w:shd w:val="clear" w:color="auto" w:fill="auto"/>
            <w:vAlign w:val="center"/>
          </w:tcPr>
          <w:p w14:paraId="64BF53A4">
            <w:pPr>
              <w:pStyle w:val="21"/>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不存在法律、法规和磋商文件规定的其他磋商申请无效情形。</w:t>
            </w:r>
          </w:p>
        </w:tc>
      </w:tr>
    </w:tbl>
    <w:p w14:paraId="523F468B">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60822E8B">
      <w:pPr>
        <w:pStyle w:val="4"/>
        <w:ind w:firstLine="562"/>
        <w:rPr>
          <w:rFonts w:hint="eastAsia" w:ascii="宋体" w:hAnsi="宋体" w:eastAsia="宋体" w:cs="宋体"/>
          <w:color w:val="000000" w:themeColor="text1"/>
          <w:highlight w:val="none"/>
          <w14:textFill>
            <w14:solidFill>
              <w14:schemeClr w14:val="tx1"/>
            </w14:solidFill>
          </w14:textFill>
        </w:rPr>
      </w:pPr>
      <w:bookmarkStart w:id="402" w:name="_Toc24334"/>
      <w:bookmarkStart w:id="403" w:name="_Toc27904"/>
      <w:bookmarkStart w:id="404" w:name="_Toc26792"/>
      <w:r>
        <w:rPr>
          <w:rFonts w:hint="eastAsia" w:ascii="宋体" w:hAnsi="宋体" w:eastAsia="宋体" w:cs="宋体"/>
          <w:color w:val="000000" w:themeColor="text1"/>
          <w:highlight w:val="none"/>
          <w14:textFill>
            <w14:solidFill>
              <w14:schemeClr w14:val="tx1"/>
            </w14:solidFill>
          </w14:textFill>
        </w:rPr>
        <w:t>（三）评分标准</w:t>
      </w:r>
      <w:bookmarkEnd w:id="402"/>
      <w:bookmarkEnd w:id="403"/>
      <w:bookmarkEnd w:id="404"/>
    </w:p>
    <w:bookmarkEnd w:id="393"/>
    <w:bookmarkEnd w:id="397"/>
    <w:tbl>
      <w:tblPr>
        <w:tblStyle w:val="35"/>
        <w:tblpPr w:leftFromText="180" w:rightFromText="180" w:vertAnchor="text" w:horzAnchor="page" w:tblpX="1120" w:tblpY="519"/>
        <w:tblOverlap w:val="never"/>
        <w:tblW w:w="49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7"/>
        <w:gridCol w:w="7965"/>
      </w:tblGrid>
      <w:tr w14:paraId="4821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62" w:type="pct"/>
            <w:tcBorders>
              <w:bottom w:val="single" w:color="auto" w:sz="4" w:space="0"/>
            </w:tcBorders>
            <w:shd w:val="clear" w:color="auto" w:fill="BDD6EE" w:themeFill="accent5" w:themeFillTint="66"/>
            <w:vAlign w:val="center"/>
          </w:tcPr>
          <w:p w14:paraId="0B9F353E">
            <w:pPr>
              <w:pStyle w:val="21"/>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评审因素</w:t>
            </w:r>
          </w:p>
        </w:tc>
        <w:tc>
          <w:tcPr>
            <w:tcW w:w="4037" w:type="pct"/>
            <w:tcBorders>
              <w:bottom w:val="single" w:color="auto" w:sz="4" w:space="0"/>
            </w:tcBorders>
            <w:shd w:val="clear" w:color="auto" w:fill="BDD6EE" w:themeFill="accent5" w:themeFillTint="66"/>
            <w:vAlign w:val="center"/>
          </w:tcPr>
          <w:p w14:paraId="1C06A22B">
            <w:pPr>
              <w:pStyle w:val="21"/>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评审标准</w:t>
            </w:r>
          </w:p>
        </w:tc>
      </w:tr>
      <w:tr w14:paraId="2976A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62" w:type="pct"/>
            <w:shd w:val="clear" w:color="auto" w:fill="auto"/>
            <w:vAlign w:val="center"/>
          </w:tcPr>
          <w:p w14:paraId="51F9416A">
            <w:pPr>
              <w:spacing w:line="36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价格部分评分标准（满分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14:textFill>
                  <w14:solidFill>
                    <w14:schemeClr w14:val="tx1"/>
                  </w14:solidFill>
                </w14:textFill>
              </w:rPr>
              <w:t>分</w:t>
            </w:r>
          </w:p>
        </w:tc>
        <w:tc>
          <w:tcPr>
            <w:tcW w:w="4037" w:type="pct"/>
            <w:shd w:val="clear" w:color="auto" w:fill="auto"/>
            <w:vAlign w:val="center"/>
          </w:tcPr>
          <w:p w14:paraId="238DB148">
            <w:pPr>
              <w:wordWrap w:val="0"/>
              <w:adjustRightInd w:val="0"/>
              <w:snapToGrid w:val="0"/>
              <w:spacing w:line="360" w:lineRule="auto"/>
              <w:ind w:left="0" w:leftChars="0" w:firstLine="0" w:firstLineChars="0"/>
              <w:outlineLvl w:val="4"/>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一、设计部分报价评审评分（满分10分）</w:t>
            </w:r>
          </w:p>
          <w:p w14:paraId="0BF3ADC9">
            <w:pPr>
              <w:wordWrap w:val="0"/>
              <w:adjustRightInd w:val="0"/>
              <w:snapToGrid w:val="0"/>
              <w:spacing w:line="360" w:lineRule="auto"/>
              <w:ind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价格分统一采用低价优先法计算，即满足磋商文件要求且最后报价最低的供应商的价格为磋商基准价，其价格分为满分。其他供应商的价格分统一按照下列公式计算：</w:t>
            </w:r>
          </w:p>
          <w:p w14:paraId="18C28E98">
            <w:pPr>
              <w:wordWrap w:val="0"/>
              <w:adjustRightInd w:val="0"/>
              <w:snapToGrid w:val="0"/>
              <w:spacing w:line="360" w:lineRule="auto"/>
              <w:ind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磋商报价得分=（磋商基准价/最后磋商报价）×10</w:t>
            </w:r>
          </w:p>
          <w:p w14:paraId="60D7E71F">
            <w:pPr>
              <w:adjustRightInd w:val="0"/>
              <w:snapToGrid w:val="0"/>
              <w:spacing w:line="360" w:lineRule="auto"/>
              <w:ind w:firstLine="600" w:firstLineChars="250"/>
              <w:textAlignment w:val="baseline"/>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项目评审过程中，不得去掉最后报价中的最高报价和最低报价。</w:t>
            </w:r>
          </w:p>
          <w:p w14:paraId="34ED10BA">
            <w:pPr>
              <w:wordWrap w:val="0"/>
              <w:adjustRightInd w:val="0"/>
              <w:snapToGrid w:val="0"/>
              <w:spacing w:line="360" w:lineRule="auto"/>
              <w:ind w:left="0" w:leftChars="0" w:firstLine="0" w:firstLineChars="0"/>
              <w:outlineLvl w:val="4"/>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二、施工部分报价评审评分（满分20分）</w:t>
            </w:r>
          </w:p>
          <w:p w14:paraId="02FDD43C">
            <w:pPr>
              <w:wordWrap w:val="0"/>
              <w:adjustRightInd w:val="0"/>
              <w:snapToGrid w:val="0"/>
              <w:spacing w:line="360" w:lineRule="auto"/>
              <w:ind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参与评审施工部分报价=（1-丨固定下浮率（最后磋商报价）丨），价格分统一采用低价优先法计算，即满足磋商文件要求且最后报价参与评审施工部分报价最低的供应商的价格为磋商基准价，其价格分为满分。其他供应商的价格分统一按照下列公式计算：</w:t>
            </w:r>
          </w:p>
          <w:p w14:paraId="5C6EDFC6">
            <w:pPr>
              <w:wordWrap w:val="0"/>
              <w:adjustRightInd w:val="0"/>
              <w:snapToGrid w:val="0"/>
              <w:spacing w:line="360" w:lineRule="auto"/>
              <w:ind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磋商报价得分=（磋商基准价/最后磋商报价）×20</w:t>
            </w:r>
          </w:p>
          <w:p w14:paraId="5AE62125">
            <w:pPr>
              <w:wordWrap w:val="0"/>
              <w:adjustRightInd w:val="0"/>
              <w:snapToGrid w:val="0"/>
              <w:spacing w:line="360" w:lineRule="auto"/>
              <w:ind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项目评审过程中，不得去掉最后报价中的最高报价和最低报价。</w:t>
            </w:r>
          </w:p>
          <w:p w14:paraId="2B60610C">
            <w:pPr>
              <w:spacing w:line="360" w:lineRule="auto"/>
              <w:ind w:firstLine="482"/>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b/>
                <w:bCs/>
                <w:strike w:val="0"/>
                <w:dstrike w:val="0"/>
                <w:color w:val="000000" w:themeColor="text1"/>
                <w:sz w:val="24"/>
                <w:szCs w:val="24"/>
                <w:highlight w:val="none"/>
                <w:lang w:val="en-US" w:eastAsia="zh-CN"/>
                <w14:textFill>
                  <w14:solidFill>
                    <w14:schemeClr w14:val="tx1"/>
                  </w14:solidFill>
                </w14:textFill>
              </w:rPr>
              <w:t>注：本项目为</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专门面向中小企业采购，评审时不再进行价格扣除。</w:t>
            </w:r>
          </w:p>
        </w:tc>
      </w:tr>
      <w:tr w14:paraId="30AA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62" w:type="pct"/>
            <w:vMerge w:val="restart"/>
            <w:vAlign w:val="center"/>
          </w:tcPr>
          <w:p w14:paraId="421AAFA6">
            <w:pPr>
              <w:pStyle w:val="21"/>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技术部分评审标准（64分）</w:t>
            </w:r>
          </w:p>
        </w:tc>
        <w:tc>
          <w:tcPr>
            <w:tcW w:w="4037" w:type="pct"/>
            <w:shd w:val="clear" w:color="auto" w:fill="auto"/>
            <w:vAlign w:val="center"/>
          </w:tcPr>
          <w:p w14:paraId="3CE99EF3">
            <w:pPr>
              <w:pStyle w:val="21"/>
              <w:spacing w:line="36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一、设计方案（满分38分）</w:t>
            </w:r>
          </w:p>
          <w:p w14:paraId="40F6DE41">
            <w:pPr>
              <w:pStyle w:val="21"/>
              <w:spacing w:line="360" w:lineRule="auto"/>
              <w:ind w:firstLine="482" w:firstLineChars="200"/>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（一）对项目的理解、重难点分析及合理化建议（4分）</w:t>
            </w:r>
          </w:p>
          <w:p w14:paraId="1295F3D3">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1.对采购项目理解准确，对项目所在地的现场条件，现场资料掌握充分、分析透彻；</w:t>
            </w:r>
          </w:p>
          <w:p w14:paraId="142FBE04">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2.对设计重点、难点、进行了全面分析；</w:t>
            </w:r>
          </w:p>
          <w:p w14:paraId="5ECE587B">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3.对应提供了设计重点、难点的解决方案；</w:t>
            </w:r>
          </w:p>
          <w:p w14:paraId="7F7081FA">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4.对应提供了本项目合理化建议。</w:t>
            </w:r>
          </w:p>
          <w:p w14:paraId="46BDE7AE">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以上方面，每项1分；有一项缺乏</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针对性、完整性、合理性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的扣0.5分；有一项缺项漏项的扣1分。</w:t>
            </w:r>
          </w:p>
          <w:p w14:paraId="7064444D">
            <w:pPr>
              <w:pStyle w:val="21"/>
              <w:spacing w:line="360" w:lineRule="auto"/>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总体</w:t>
            </w:r>
            <w:r>
              <w:rPr>
                <w:rFonts w:hint="eastAsia" w:ascii="宋体" w:hAnsi="宋体" w:eastAsia="宋体" w:cs="宋体"/>
                <w:b/>
                <w:bCs/>
                <w:color w:val="000000" w:themeColor="text1"/>
                <w:sz w:val="24"/>
                <w:szCs w:val="24"/>
                <w:highlight w:val="none"/>
                <w14:textFill>
                  <w14:solidFill>
                    <w14:schemeClr w14:val="tx1"/>
                  </w14:solidFill>
                </w14:textFill>
              </w:rPr>
              <w:t>设计方案（满分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bCs/>
                <w:color w:val="000000" w:themeColor="text1"/>
                <w:sz w:val="24"/>
                <w:szCs w:val="24"/>
                <w:highlight w:val="none"/>
                <w14:textFill>
                  <w14:solidFill>
                    <w14:schemeClr w14:val="tx1"/>
                  </w14:solidFill>
                </w14:textFill>
              </w:rPr>
              <w:t>分）​</w:t>
            </w:r>
          </w:p>
          <w:p w14:paraId="12EF86B0">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1.设计方案立意新颖独特，有实用性；</w:t>
            </w:r>
          </w:p>
          <w:p w14:paraId="499D89DC">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2.风格把握得当、色彩搭配协调；</w:t>
            </w:r>
          </w:p>
          <w:p w14:paraId="3E109830">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3.提供了完整的主要材料明细；</w:t>
            </w:r>
          </w:p>
          <w:p w14:paraId="1A00F3A9">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4.平面图、效果图齐全；</w:t>
            </w:r>
          </w:p>
          <w:p w14:paraId="67CF24D0">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5.设计说明内容正确，符合深度要求。</w:t>
            </w:r>
          </w:p>
          <w:p w14:paraId="5E59B96B">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以上方面，每项4分；有一项缺乏完整性、合理性的扣2分；有一项缺项漏项的扣4分。</w:t>
            </w:r>
          </w:p>
          <w:p w14:paraId="282D7968">
            <w:pPr>
              <w:pStyle w:val="21"/>
              <w:spacing w:line="360" w:lineRule="auto"/>
              <w:ind w:firstLine="482" w:firstLineChars="200"/>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（三）功能布局及动线合理性(8分）</w:t>
            </w:r>
          </w:p>
          <w:p w14:paraId="16C689ED">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1.展区划分合理，各专题展区突出、主次分明；</w:t>
            </w:r>
          </w:p>
          <w:p w14:paraId="20AC2B33">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2.参观动线顺畅，细节凸显设计人性化，空间利用率最大化；</w:t>
            </w:r>
          </w:p>
          <w:p w14:paraId="1D71F41F">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以上方面，每项4分；有一项缺乏完整性、合理性的扣2分；有一项缺项漏项的扣4分。</w:t>
            </w:r>
          </w:p>
          <w:p w14:paraId="63E9F724">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szCs w:val="24"/>
                <w:highlight w:val="none"/>
                <w14:textFill>
                  <w14:solidFill>
                    <w14:schemeClr w14:val="tx1"/>
                  </w14:solidFill>
                </w14:textFill>
              </w:rPr>
              <w:t>）设计组织措施（满分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分）</w:t>
            </w:r>
          </w:p>
          <w:p w14:paraId="6AD5308E">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1.设计质量符合磋商文件要求且目标明确，质量保证措施全面、有效且有具体的违约承诺；</w:t>
            </w:r>
          </w:p>
          <w:p w14:paraId="36134B92">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2.设计工期符合磋商文件要求且节点明确，进度保证措施全面、有效且有具体的违约承诺；</w:t>
            </w:r>
          </w:p>
          <w:p w14:paraId="36AB9D5B">
            <w:pPr>
              <w:pStyle w:val="21"/>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3.设计后续服务内容明确，后续服务保证措施全面、有效且有具体的违约承诺。</w:t>
            </w:r>
          </w:p>
          <w:p w14:paraId="0814944B">
            <w:pPr>
              <w:pStyle w:val="21"/>
              <w:spacing w:line="360" w:lineRule="auto"/>
              <w:ind w:firstLine="480" w:firstLineChars="20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以上方面，每项2分；有一项缺乏</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针对性、完整性、合理性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的扣1分；有一项缺项漏项的扣2分。</w:t>
            </w:r>
          </w:p>
        </w:tc>
      </w:tr>
      <w:tr w14:paraId="4F15F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962" w:type="pct"/>
            <w:vMerge w:val="continue"/>
            <w:vAlign w:val="center"/>
          </w:tcPr>
          <w:p w14:paraId="422BDBFB">
            <w:pPr>
              <w:pStyle w:val="21"/>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4037" w:type="pct"/>
            <w:shd w:val="clear" w:color="auto" w:fill="auto"/>
            <w:vAlign w:val="center"/>
          </w:tcPr>
          <w:p w14:paraId="2C0D58F7">
            <w:pPr>
              <w:numPr>
                <w:ilvl w:val="0"/>
                <w:numId w:val="0"/>
              </w:numPr>
              <w:spacing w:line="360" w:lineRule="auto"/>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二、施工组织设计方案（满分26分）</w:t>
            </w:r>
          </w:p>
          <w:p w14:paraId="0DB148BC">
            <w:pPr>
              <w:pStyle w:val="3"/>
              <w:numPr>
                <w:ilvl w:val="0"/>
                <w:numId w:val="0"/>
              </w:numPr>
              <w:spacing w:line="360" w:lineRule="auto"/>
              <w:ind w:firstLine="482" w:firstLineChars="20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bookmarkStart w:id="405" w:name="_Toc10812"/>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（一）施工方案与技术措施（满分10分）</w:t>
            </w:r>
            <w:bookmarkEnd w:id="405"/>
          </w:p>
          <w:p w14:paraId="3129081F">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406" w:name="_Toc16512"/>
            <w:r>
              <w:rPr>
                <w:rFonts w:hint="eastAsia" w:ascii="宋体" w:hAnsi="宋体" w:eastAsia="宋体" w:cs="宋体"/>
                <w:color w:val="000000" w:themeColor="text1"/>
                <w:sz w:val="24"/>
                <w:szCs w:val="24"/>
                <w:highlight w:val="none"/>
                <w:lang w:val="en-US" w:eastAsia="zh-CN"/>
                <w14:textFill>
                  <w14:solidFill>
                    <w14:schemeClr w14:val="tx1"/>
                  </w14:solidFill>
                </w14:textFill>
              </w:rPr>
              <w:t>1.提供了完整、全面、合理的总体施工方案；</w:t>
            </w:r>
          </w:p>
          <w:p w14:paraId="7D87D734">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2.提供了完整、全面、合理的施工技术准备；</w:t>
            </w:r>
          </w:p>
          <w:p w14:paraId="27BE6563">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3.对项目总体概况表述清晰、完整；</w:t>
            </w:r>
          </w:p>
          <w:p w14:paraId="2D514DC6">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4.提供了完整、合理的部署及措施；</w:t>
            </w:r>
          </w:p>
          <w:p w14:paraId="4BDB6F8B">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5.符合环保、安全、文明生产要求。</w:t>
            </w:r>
          </w:p>
          <w:p w14:paraId="33B7BBB8">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以上方面，每项2分；有一项缺乏</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针对性、完整性、合理性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的扣1分；有一项缺项漏项的扣2分。</w:t>
            </w:r>
          </w:p>
          <w:p w14:paraId="790A5BD4">
            <w:pPr>
              <w:pStyle w:val="3"/>
              <w:numPr>
                <w:ilvl w:val="0"/>
                <w:numId w:val="0"/>
              </w:numPr>
              <w:spacing w:line="360" w:lineRule="auto"/>
              <w:ind w:left="0" w:leftChars="0" w:firstLine="482" w:firstLineChars="20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（二）质量管理体系与措施（满分4分）</w:t>
            </w:r>
            <w:bookmarkEnd w:id="406"/>
          </w:p>
          <w:p w14:paraId="723C385B">
            <w:pPr>
              <w:spacing w:line="360" w:lineRule="auto"/>
              <w:ind w:firstLine="482"/>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1.质量符合磋商文件要求且目标明确；</w:t>
            </w:r>
          </w:p>
          <w:p w14:paraId="6A286D4B">
            <w:pPr>
              <w:spacing w:line="360" w:lineRule="auto"/>
              <w:ind w:firstLine="482"/>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2.质量管理机构健全，职责分工明确；</w:t>
            </w:r>
          </w:p>
          <w:p w14:paraId="17970559">
            <w:pPr>
              <w:spacing w:line="360" w:lineRule="auto"/>
              <w:ind w:firstLine="482"/>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3.管理制度齐全、完整；</w:t>
            </w:r>
          </w:p>
          <w:p w14:paraId="5DB8B2C9">
            <w:pPr>
              <w:spacing w:line="360" w:lineRule="auto"/>
              <w:ind w:firstLine="482"/>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4.实施与监控措施全面、有效。</w:t>
            </w:r>
          </w:p>
          <w:p w14:paraId="68E6C90C">
            <w:pPr>
              <w:spacing w:line="360" w:lineRule="auto"/>
              <w:ind w:firstLine="482"/>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以上方面，每项1分；有一项</w:t>
            </w:r>
            <w:r>
              <w:rPr>
                <w:rFonts w:hint="eastAsia" w:ascii="宋体" w:hAnsi="宋体" w:eastAsia="宋体" w:cs="宋体"/>
                <w:color w:val="000000" w:themeColor="text1"/>
                <w:sz w:val="24"/>
                <w:szCs w:val="24"/>
                <w:highlight w:val="none"/>
                <w:lang w:val="en-US" w:eastAsia="zh-CN"/>
                <w14:textFill>
                  <w14:solidFill>
                    <w14:schemeClr w14:val="tx1"/>
                  </w14:solidFill>
                </w14:textFill>
              </w:rPr>
              <w:t>缺乏</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针对性、完整性、合理性</w:t>
            </w:r>
            <w:r>
              <w:rPr>
                <w:rFonts w:hint="eastAsia" w:ascii="宋体" w:hAnsi="宋体" w:eastAsia="宋体" w:cs="宋体"/>
                <w:color w:val="000000" w:themeColor="text1"/>
                <w:sz w:val="24"/>
                <w:szCs w:val="24"/>
                <w:highlight w:val="none"/>
                <w:lang w:val="zh-CN" w:eastAsia="zh-CN"/>
                <w14:textFill>
                  <w14:solidFill>
                    <w14:schemeClr w14:val="tx1"/>
                  </w14:solidFill>
                </w14:textFill>
              </w:rPr>
              <w:t>的扣0.5分；有一项缺项漏项的扣1分。</w:t>
            </w:r>
          </w:p>
          <w:p w14:paraId="6A248429">
            <w:pPr>
              <w:pStyle w:val="3"/>
              <w:numPr>
                <w:ilvl w:val="0"/>
                <w:numId w:val="0"/>
              </w:numPr>
              <w:spacing w:line="360" w:lineRule="auto"/>
              <w:ind w:firstLine="482" w:firstLineChars="20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bookmarkStart w:id="407" w:name="_Toc19853"/>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（三）环境保护安全管理体系与措施（满分4分）</w:t>
            </w:r>
            <w:bookmarkEnd w:id="407"/>
          </w:p>
          <w:p w14:paraId="20DFF0E4">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1.环境保护安全目标符合磋商文件的要求；</w:t>
            </w:r>
          </w:p>
          <w:p w14:paraId="3840314C">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2.安全管理机构健全，职责分工明确；</w:t>
            </w:r>
          </w:p>
          <w:p w14:paraId="48782C62">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3.管理制度齐全；</w:t>
            </w:r>
          </w:p>
          <w:p w14:paraId="75FD6A60">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4.实施与监控措施全面、有效。</w:t>
            </w:r>
          </w:p>
          <w:p w14:paraId="30E0C361">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以上方面，每项1分；有一项缺乏完整性、合理性的扣0.5分；有一项缺项漏项的扣1分。</w:t>
            </w:r>
          </w:p>
          <w:p w14:paraId="495D80DE">
            <w:pPr>
              <w:pStyle w:val="3"/>
              <w:numPr>
                <w:ilvl w:val="0"/>
                <w:numId w:val="0"/>
              </w:numPr>
              <w:spacing w:line="360" w:lineRule="auto"/>
              <w:ind w:firstLine="482" w:firstLineChars="20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bookmarkStart w:id="408" w:name="_Toc27274"/>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（四）工程进度计划与保证措施（满分3分）</w:t>
            </w:r>
            <w:bookmarkEnd w:id="408"/>
          </w:p>
          <w:p w14:paraId="6887CE82">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409" w:name="_Toc27671"/>
            <w:r>
              <w:rPr>
                <w:rFonts w:hint="eastAsia" w:ascii="宋体" w:hAnsi="宋体" w:eastAsia="宋体" w:cs="宋体"/>
                <w:color w:val="000000" w:themeColor="text1"/>
                <w:sz w:val="24"/>
                <w:szCs w:val="24"/>
                <w:highlight w:val="none"/>
                <w:lang w:val="en-US" w:eastAsia="zh-CN"/>
                <w14:textFill>
                  <w14:solidFill>
                    <w14:schemeClr w14:val="tx1"/>
                  </w14:solidFill>
                </w14:textFill>
              </w:rPr>
              <w:t>1.总工期及节点工期满足磋商文件要求；</w:t>
            </w:r>
          </w:p>
          <w:p w14:paraId="5B0A2728">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2.施工进度计划内容全面，线路清晰、准确、完整，计划编制合理、可行；</w:t>
            </w:r>
          </w:p>
          <w:p w14:paraId="678BFA17">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3.措施有力、合理、可行。</w:t>
            </w:r>
          </w:p>
          <w:p w14:paraId="7D9D0B24">
            <w:pPr>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以上方面，每项1分；有一项缺乏</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针对性、完整性、合理性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的扣0.5分；有一项缺项漏项的扣1分。</w:t>
            </w:r>
          </w:p>
          <w:p w14:paraId="7B6271BD">
            <w:pPr>
              <w:pStyle w:val="3"/>
              <w:numPr>
                <w:ilvl w:val="0"/>
                <w:numId w:val="0"/>
              </w:numPr>
              <w:spacing w:line="360" w:lineRule="auto"/>
              <w:ind w:firstLine="482" w:firstLineChars="20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（五）资源配备计划（满分5分）</w:t>
            </w:r>
            <w:bookmarkEnd w:id="409"/>
          </w:p>
          <w:p w14:paraId="3C42E4F3">
            <w:pPr>
              <w:pStyle w:val="14"/>
              <w:numPr>
                <w:ilvl w:val="0"/>
                <w:numId w:val="0"/>
              </w:numPr>
              <w:spacing w:line="360" w:lineRule="auto"/>
              <w:ind w:firstLine="480" w:firstLineChars="20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1.劳动力计划与施工部署、施工方法及进度计划呼应，满足施工需要；</w:t>
            </w:r>
          </w:p>
          <w:p w14:paraId="0C9C083D">
            <w:pPr>
              <w:pStyle w:val="14"/>
              <w:numPr>
                <w:ilvl w:val="0"/>
                <w:numId w:val="0"/>
              </w:numPr>
              <w:spacing w:line="360" w:lineRule="auto"/>
              <w:ind w:firstLine="480" w:firstLineChars="20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2.周转材料计划与施工部署、施工方法及进度计划呼应，满足施工需要；</w:t>
            </w:r>
          </w:p>
          <w:p w14:paraId="7A3039DF">
            <w:pPr>
              <w:pStyle w:val="14"/>
              <w:numPr>
                <w:ilvl w:val="0"/>
                <w:numId w:val="0"/>
              </w:numPr>
              <w:spacing w:line="360" w:lineRule="auto"/>
              <w:ind w:firstLine="480" w:firstLineChars="20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3.施工机具计划与施工部署、施工方法及进度计划呼应，满足施工需要；</w:t>
            </w:r>
          </w:p>
          <w:p w14:paraId="214465FE">
            <w:pPr>
              <w:pStyle w:val="14"/>
              <w:numPr>
                <w:ilvl w:val="0"/>
                <w:numId w:val="0"/>
              </w:numPr>
              <w:spacing w:line="360" w:lineRule="auto"/>
              <w:ind w:firstLine="480" w:firstLineChars="20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 主要材料一次性需用量计划等资源投入计划与施工部署、施工方法及进度计划呼应，满足施工需要；</w:t>
            </w:r>
          </w:p>
          <w:p w14:paraId="111D0133">
            <w:pPr>
              <w:pStyle w:val="14"/>
              <w:numPr>
                <w:ilvl w:val="0"/>
                <w:numId w:val="0"/>
              </w:numPr>
              <w:spacing w:line="360" w:lineRule="auto"/>
              <w:ind w:firstLine="480" w:firstLineChars="20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5. 调配投入计划合理、准确全面。</w:t>
            </w:r>
          </w:p>
          <w:p w14:paraId="420C8EA1">
            <w:pPr>
              <w:pStyle w:val="14"/>
              <w:numPr>
                <w:ilvl w:val="0"/>
                <w:numId w:val="0"/>
              </w:numPr>
              <w:spacing w:line="360" w:lineRule="auto"/>
              <w:ind w:firstLine="480" w:firstLineChars="20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以上方面，每项1分；有一项</w:t>
            </w:r>
            <w:r>
              <w:rPr>
                <w:rFonts w:hint="eastAsia" w:ascii="宋体" w:hAnsi="宋体" w:eastAsia="宋体" w:cs="宋体"/>
                <w:color w:val="000000" w:themeColor="text1"/>
                <w:sz w:val="24"/>
                <w:szCs w:val="24"/>
                <w:highlight w:val="none"/>
                <w:lang w:val="en-US" w:eastAsia="zh-CN"/>
                <w14:textFill>
                  <w14:solidFill>
                    <w14:schemeClr w14:val="tx1"/>
                  </w14:solidFill>
                </w14:textFill>
              </w:rPr>
              <w:t>缺乏</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针对性、完整性、合理性的扣0.5分；有一项缺项漏项的扣1分。</w:t>
            </w:r>
          </w:p>
        </w:tc>
      </w:tr>
      <w:tr w14:paraId="45896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62" w:type="pct"/>
            <w:vAlign w:val="center"/>
          </w:tcPr>
          <w:p w14:paraId="01845CD4">
            <w:pPr>
              <w:pStyle w:val="2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商务部分评分标准（满分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分）</w:t>
            </w:r>
          </w:p>
        </w:tc>
        <w:tc>
          <w:tcPr>
            <w:tcW w:w="4037" w:type="pct"/>
            <w:shd w:val="clear" w:color="auto" w:fill="auto"/>
            <w:vAlign w:val="center"/>
          </w:tcPr>
          <w:p w14:paraId="4DAF0528">
            <w:pPr>
              <w:pStyle w:val="21"/>
              <w:spacing w:line="36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一、项目管理机构（满分2分）</w:t>
            </w:r>
          </w:p>
          <w:p w14:paraId="22DAAC3F">
            <w:pPr>
              <w:pStyle w:val="14"/>
              <w:numPr>
                <w:ilvl w:val="0"/>
                <w:numId w:val="0"/>
              </w:numPr>
              <w:spacing w:line="360" w:lineRule="auto"/>
              <w:ind w:firstLine="480" w:firstLineChars="20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1.设计人员、施工现场主要管理人员针对工程实际配置且合理，能满足工程管理需要；</w:t>
            </w:r>
          </w:p>
          <w:p w14:paraId="1E2A3019">
            <w:pPr>
              <w:pStyle w:val="14"/>
              <w:numPr>
                <w:ilvl w:val="0"/>
                <w:numId w:val="0"/>
              </w:numPr>
              <w:spacing w:line="360" w:lineRule="auto"/>
              <w:ind w:firstLine="480" w:firstLineChars="20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2.设计人员、施工现场主要管理人员持证上岗、证书齐全。</w:t>
            </w:r>
          </w:p>
          <w:p w14:paraId="22AF3E5A">
            <w:pPr>
              <w:pStyle w:val="14"/>
              <w:numPr>
                <w:ilvl w:val="0"/>
                <w:numId w:val="0"/>
              </w:numPr>
              <w:spacing w:line="360" w:lineRule="auto"/>
              <w:ind w:firstLine="480" w:firstLineChars="20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以上方面，每项1分；有一项</w:t>
            </w:r>
            <w:r>
              <w:rPr>
                <w:rFonts w:hint="eastAsia" w:ascii="宋体" w:hAnsi="宋体" w:eastAsia="宋体" w:cs="宋体"/>
                <w:color w:val="000000" w:themeColor="text1"/>
                <w:sz w:val="24"/>
                <w:szCs w:val="24"/>
                <w:highlight w:val="none"/>
                <w:lang w:val="en-US" w:eastAsia="zh-CN"/>
                <w14:textFill>
                  <w14:solidFill>
                    <w14:schemeClr w14:val="tx1"/>
                  </w14:solidFill>
                </w14:textFill>
              </w:rPr>
              <w:t>缺乏</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针对性、完整性、合理性的扣0.5分；有一项缺项漏项的扣1分。</w:t>
            </w:r>
          </w:p>
          <w:p w14:paraId="7F4CA78D">
            <w:pPr>
              <w:pStyle w:val="21"/>
              <w:spacing w:line="36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（二）类似业绩</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（满分4分）</w:t>
            </w:r>
          </w:p>
          <w:p w14:paraId="5175999F">
            <w:pPr>
              <w:spacing w:line="360" w:lineRule="auto"/>
              <w:ind w:firstLine="482"/>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1.2020年1月1日至今每承担过1项类似设计业绩加1分，最高得2分；</w:t>
            </w:r>
          </w:p>
          <w:p w14:paraId="36E0B6FE">
            <w:pPr>
              <w:spacing w:line="360" w:lineRule="auto"/>
              <w:ind w:firstLine="482"/>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2.2020年1月1日至今每承担过1项类似施工业绩加1分，最高得2分。</w:t>
            </w:r>
          </w:p>
          <w:p w14:paraId="3DA906A7">
            <w:pPr>
              <w:spacing w:line="360" w:lineRule="auto"/>
              <w:ind w:firstLine="482"/>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注：业绩证明材料指中标/成交通知书或合同或竣工验收证明等有效证明材料，因供应商所提供的业绩内容不明或不全，导致磋商小组无法认定时，视为未提供，不予赋分。</w:t>
            </w:r>
          </w:p>
        </w:tc>
      </w:tr>
      <w:tr w14:paraId="089B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000" w:type="pct"/>
            <w:gridSpan w:val="2"/>
            <w:vAlign w:val="center"/>
          </w:tcPr>
          <w:p w14:paraId="36A33FEE">
            <w:pPr>
              <w:spacing w:line="360" w:lineRule="auto"/>
              <w:ind w:firstLine="482"/>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注：以上</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缺乏针对性、完整性、合理性是指：相关制度、方案及措施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p>
        </w:tc>
      </w:tr>
    </w:tbl>
    <w:p w14:paraId="44D6B329">
      <w:pPr>
        <w:ind w:firstLineChars="0"/>
        <w:jc w:val="both"/>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br w:type="page"/>
      </w:r>
    </w:p>
    <w:p w14:paraId="7BA407E7">
      <w:pPr>
        <w:pStyle w:val="2"/>
        <w:wordWrap/>
        <w:adjustRightInd/>
        <w:snapToGrid/>
        <w:spacing w:before="120" w:after="120"/>
        <w:ind w:firstLine="883"/>
        <w:rPr>
          <w:rFonts w:hint="eastAsia" w:ascii="宋体" w:hAnsi="宋体" w:eastAsia="宋体" w:cs="宋体"/>
          <w:color w:val="000000" w:themeColor="text1"/>
          <w:highlight w:val="none"/>
          <w14:textFill>
            <w14:solidFill>
              <w14:schemeClr w14:val="tx1"/>
            </w14:solidFill>
          </w14:textFill>
        </w:rPr>
      </w:pPr>
      <w:bookmarkStart w:id="410" w:name="_Toc13023"/>
      <w:bookmarkStart w:id="411" w:name="_Toc2121"/>
      <w:r>
        <w:rPr>
          <w:rFonts w:hint="eastAsia" w:ascii="宋体" w:hAnsi="宋体" w:eastAsia="宋体" w:cs="宋体"/>
          <w:color w:val="000000" w:themeColor="text1"/>
          <w:highlight w:val="none"/>
          <w14:textFill>
            <w14:solidFill>
              <w14:schemeClr w14:val="tx1"/>
            </w14:solidFill>
          </w14:textFill>
        </w:rPr>
        <w:t>第五章 合同书主要条款及样式</w:t>
      </w:r>
      <w:bookmarkEnd w:id="410"/>
      <w:bookmarkEnd w:id="411"/>
    </w:p>
    <w:p w14:paraId="5ED02B37">
      <w:pPr>
        <w:pStyle w:val="3"/>
        <w:ind w:firstLine="0" w:firstLineChars="0"/>
        <w:jc w:val="center"/>
        <w:rPr>
          <w:rFonts w:hint="eastAsia" w:ascii="宋体" w:hAnsi="宋体" w:eastAsia="宋体" w:cs="宋体"/>
          <w:color w:val="000000" w:themeColor="text1"/>
          <w:highlight w:val="none"/>
          <w14:textFill>
            <w14:solidFill>
              <w14:schemeClr w14:val="tx1"/>
            </w14:solidFill>
          </w14:textFill>
        </w:rPr>
      </w:pPr>
      <w:bookmarkStart w:id="412" w:name="_Toc22116"/>
      <w:bookmarkStart w:id="413" w:name="_Toc22549"/>
      <w:bookmarkStart w:id="414" w:name="_Toc26098"/>
      <w:bookmarkStart w:id="415" w:name="_Toc30868"/>
      <w:bookmarkStart w:id="416" w:name="_Toc1165591896"/>
      <w:bookmarkStart w:id="417" w:name="_Toc29700"/>
      <w:bookmarkStart w:id="418" w:name="_Toc1766447922"/>
      <w:bookmarkStart w:id="419" w:name="_Toc19636"/>
      <w:bookmarkStart w:id="420" w:name="_Toc27406"/>
      <w:r>
        <w:rPr>
          <w:rFonts w:hint="eastAsia" w:ascii="宋体" w:hAnsi="宋体" w:eastAsia="宋体" w:cs="宋体"/>
          <w:color w:val="000000" w:themeColor="text1"/>
          <w:highlight w:val="none"/>
          <w14:textFill>
            <w14:solidFill>
              <w14:schemeClr w14:val="tx1"/>
            </w14:solidFill>
          </w14:textFill>
        </w:rPr>
        <w:t>合同书主要条款</w:t>
      </w:r>
      <w:bookmarkEnd w:id="412"/>
      <w:bookmarkEnd w:id="413"/>
      <w:bookmarkEnd w:id="414"/>
      <w:bookmarkEnd w:id="415"/>
      <w:bookmarkEnd w:id="416"/>
      <w:bookmarkEnd w:id="417"/>
      <w:bookmarkEnd w:id="418"/>
      <w:bookmarkEnd w:id="419"/>
    </w:p>
    <w:tbl>
      <w:tblPr>
        <w:tblStyle w:val="36"/>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9043"/>
      </w:tblGrid>
      <w:tr w14:paraId="738A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450" w:type="pct"/>
            <w:vAlign w:val="center"/>
          </w:tcPr>
          <w:p w14:paraId="7316D862">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549" w:type="pct"/>
            <w:vAlign w:val="center"/>
          </w:tcPr>
          <w:p w14:paraId="4E782E06">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内容</w:t>
            </w:r>
          </w:p>
        </w:tc>
      </w:tr>
      <w:tr w14:paraId="4B0BB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450" w:type="pct"/>
            <w:vAlign w:val="center"/>
          </w:tcPr>
          <w:p w14:paraId="211AF849">
            <w:pPr>
              <w:pStyle w:val="21"/>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549" w:type="pct"/>
            <w:vAlign w:val="center"/>
          </w:tcPr>
          <w:p w14:paraId="1CA24930">
            <w:pPr>
              <w:ind w:left="0" w:leftChars="0" w:firstLine="0" w:firstLineChars="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建设地点：</w:t>
            </w:r>
          </w:p>
          <w:p w14:paraId="65F4E3A6">
            <w:pPr>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云南水利水电职业学院富民校区图书馆内。</w:t>
            </w:r>
          </w:p>
          <w:p w14:paraId="2F2BCA00">
            <w:pPr>
              <w:ind w:left="0" w:leftChars="0" w:firstLine="0" w:firstLineChars="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合同履行期限：</w:t>
            </w:r>
          </w:p>
          <w:p w14:paraId="7ECE4A77">
            <w:pPr>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合同签订之日起105日历天内完工并验收完成（其中：设计周期15日历天，施工工期90日历天）。</w:t>
            </w:r>
          </w:p>
        </w:tc>
      </w:tr>
      <w:tr w14:paraId="1180F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0" w:type="pct"/>
            <w:vAlign w:val="center"/>
          </w:tcPr>
          <w:p w14:paraId="1C9442F9">
            <w:pPr>
              <w:pStyle w:val="21"/>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4549" w:type="pct"/>
            <w:vAlign w:val="center"/>
          </w:tcPr>
          <w:p w14:paraId="7ED9FDDB">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付款进度及方式</w:t>
            </w:r>
            <w:r>
              <w:rPr>
                <w:rFonts w:hint="eastAsia" w:ascii="宋体" w:hAnsi="宋体" w:eastAsia="宋体" w:cs="宋体"/>
                <w:color w:val="000000" w:themeColor="text1"/>
                <w:sz w:val="24"/>
                <w:szCs w:val="24"/>
                <w:highlight w:val="none"/>
                <w14:textFill>
                  <w14:solidFill>
                    <w14:schemeClr w14:val="tx1"/>
                  </w14:solidFill>
                </w14:textFill>
              </w:rPr>
              <w:t>：</w:t>
            </w:r>
          </w:p>
          <w:p w14:paraId="7BEF03F0">
            <w:pPr>
              <w:pStyle w:val="21"/>
              <w:ind w:firstLine="480" w:firstLineChars="200"/>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以双方实际签订合同为准。</w:t>
            </w:r>
          </w:p>
        </w:tc>
      </w:tr>
      <w:tr w14:paraId="1A26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0" w:type="pct"/>
            <w:vAlign w:val="center"/>
          </w:tcPr>
          <w:p w14:paraId="1B8578F0">
            <w:pPr>
              <w:pStyle w:val="21"/>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4549" w:type="pct"/>
            <w:vAlign w:val="center"/>
          </w:tcPr>
          <w:p w14:paraId="6A7D5A57">
            <w:pPr>
              <w:pStyle w:val="21"/>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质量要求：</w:t>
            </w:r>
          </w:p>
          <w:p w14:paraId="7D00E90B">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设计质量标准：</w:t>
            </w:r>
            <w:r>
              <w:rPr>
                <w:rFonts w:hint="eastAsia" w:ascii="宋体" w:hAnsi="宋体" w:eastAsia="宋体" w:cs="宋体"/>
                <w:color w:val="000000" w:themeColor="text1"/>
                <w:sz w:val="24"/>
                <w:szCs w:val="24"/>
                <w:highlight w:val="none"/>
                <w14:textFill>
                  <w14:solidFill>
                    <w14:schemeClr w14:val="tx1"/>
                  </w14:solidFill>
                </w14:textFill>
              </w:rPr>
              <w:t>设计成果须严格执行《建设工程质量管理条例》、《建设工程勘察设计管理条例》和国家强制性标准条文，满足现行的建筑工程建设标准、设计规范（规程）和规定的设计文件编制的深度及</w:t>
            </w:r>
            <w:r>
              <w:rPr>
                <w:rFonts w:hint="eastAsia" w:ascii="宋体" w:hAnsi="宋体" w:eastAsia="宋体" w:cs="宋体"/>
                <w:color w:val="000000" w:themeColor="text1"/>
                <w:sz w:val="24"/>
                <w:szCs w:val="24"/>
                <w:highlight w:val="none"/>
                <w:lang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要求，所有设计成果文件均必须通过审批及审查。</w:t>
            </w:r>
          </w:p>
          <w:p w14:paraId="4ABE0479">
            <w:pPr>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施工质量标准：</w:t>
            </w:r>
            <w:r>
              <w:rPr>
                <w:rFonts w:hint="eastAsia" w:ascii="宋体" w:hAnsi="宋体" w:eastAsia="宋体" w:cs="宋体"/>
                <w:color w:val="000000" w:themeColor="text1"/>
                <w:sz w:val="24"/>
                <w:szCs w:val="24"/>
                <w:highlight w:val="none"/>
                <w14:textFill>
                  <w14:solidFill>
                    <w14:schemeClr w14:val="tx1"/>
                  </w14:solidFill>
                </w14:textFill>
              </w:rPr>
              <w:t>工程质量符合《建筑工程施工质量统一验收标准》（GB50300-2013）和《云南省建筑工程施工质量验收统一规程》(DJB53/T-23-2014）等国家、行业及地方现行相关标准及规范要求，并通过相关部门的验收，确保一次性验收合格。</w:t>
            </w:r>
          </w:p>
        </w:tc>
      </w:tr>
      <w:tr w14:paraId="3381A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0" w:type="pct"/>
            <w:vAlign w:val="center"/>
          </w:tcPr>
          <w:p w14:paraId="77AC053F">
            <w:pPr>
              <w:pStyle w:val="2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4549" w:type="pct"/>
            <w:vAlign w:val="center"/>
          </w:tcPr>
          <w:p w14:paraId="588B7455">
            <w:pPr>
              <w:ind w:firstLine="0" w:firstLineChars="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履约保证金</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6AE0951C">
            <w:pPr>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履约担保的方式及期限:</w:t>
            </w:r>
            <w:r>
              <w:rPr>
                <w:rFonts w:hint="eastAsia" w:ascii="宋体" w:hAnsi="宋体" w:eastAsia="宋体" w:cs="宋体"/>
                <w:b/>
                <w:bCs/>
                <w:color w:val="000000" w:themeColor="text1"/>
                <w:sz w:val="24"/>
                <w:szCs w:val="24"/>
                <w:highlight w:val="none"/>
                <w:u w:val="single"/>
                <w14:textFill>
                  <w14:solidFill>
                    <w14:schemeClr w14:val="tx1"/>
                  </w14:solidFill>
                </w14:textFill>
              </w:rPr>
              <w:t>网上银行转账</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single"/>
                <w14:textFill>
                  <w14:solidFill>
                    <w14:schemeClr w14:val="tx1"/>
                  </w14:solidFill>
                </w14:textFill>
              </w:rPr>
              <w:t>保函</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single"/>
                <w14:textFill>
                  <w14:solidFill>
                    <w14:schemeClr w14:val="tx1"/>
                  </w14:solidFill>
                </w14:textFill>
              </w:rPr>
              <w:t>支票</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single"/>
                <w14:textFill>
                  <w14:solidFill>
                    <w14:schemeClr w14:val="tx1"/>
                  </w14:solidFill>
                </w14:textFill>
              </w:rPr>
              <w:t>汇票</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single"/>
                <w14:textFill>
                  <w14:solidFill>
                    <w14:schemeClr w14:val="tx1"/>
                  </w14:solidFill>
                </w14:textFill>
              </w:rPr>
              <w:t>本票</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等形式</w:t>
            </w:r>
            <w:r>
              <w:rPr>
                <w:rFonts w:hint="eastAsia" w:ascii="宋体" w:hAnsi="宋体" w:eastAsia="宋体" w:cs="宋体"/>
                <w:b/>
                <w:bCs/>
                <w:color w:val="000000" w:themeColor="text1"/>
                <w:sz w:val="24"/>
                <w:szCs w:val="24"/>
                <w:highlight w:val="none"/>
                <w:u w:val="single"/>
                <w14:textFill>
                  <w14:solidFill>
                    <w14:schemeClr w14:val="tx1"/>
                  </w14:solidFill>
                </w14:textFill>
              </w:rPr>
              <w:t>(合同签订之日起</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u w:val="single"/>
                <w14:textFill>
                  <w14:solidFill>
                    <w14:schemeClr w14:val="tx1"/>
                  </w14:solidFill>
                </w14:textFill>
              </w:rPr>
              <w:t>个工作日内提供)。</w:t>
            </w:r>
          </w:p>
          <w:p w14:paraId="3ECE090C">
            <w:pPr>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金额:</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合同金额的5%</w:t>
            </w:r>
            <w:r>
              <w:rPr>
                <w:rFonts w:hint="eastAsia" w:ascii="宋体" w:hAnsi="宋体" w:eastAsia="宋体" w:cs="宋体"/>
                <w:b/>
                <w:bCs/>
                <w:color w:val="000000" w:themeColor="text1"/>
                <w:sz w:val="24"/>
                <w:szCs w:val="24"/>
                <w:highlight w:val="none"/>
                <w:u w:val="single"/>
                <w14:textFill>
                  <w14:solidFill>
                    <w14:schemeClr w14:val="tx1"/>
                  </w14:solidFill>
                </w14:textFill>
              </w:rPr>
              <w:t>。</w:t>
            </w:r>
          </w:p>
          <w:p w14:paraId="5435A93B">
            <w:pPr>
              <w:ind w:left="0" w:leftChars="0" w:firstLine="0" w:firstLineChars="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期限:</w:t>
            </w:r>
            <w:r>
              <w:rPr>
                <w:rFonts w:hint="eastAsia" w:ascii="宋体" w:hAnsi="宋体" w:eastAsia="宋体" w:cs="宋体"/>
                <w:b/>
                <w:bCs/>
                <w:color w:val="000000" w:themeColor="text1"/>
                <w:sz w:val="24"/>
                <w:szCs w:val="24"/>
                <w:highlight w:val="none"/>
                <w:u w:val="single"/>
                <w14:textFill>
                  <w14:solidFill>
                    <w14:schemeClr w14:val="tx1"/>
                  </w14:solidFill>
                </w14:textFill>
              </w:rPr>
              <w:t>承包人保证其履约担保在发包人竣工验收合格前一直有效，因承包人原因导致工期延长的，继续提供履约担保，所增加的费用由承包人承担。</w:t>
            </w:r>
          </w:p>
        </w:tc>
      </w:tr>
      <w:tr w14:paraId="3BDA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0" w:type="pct"/>
            <w:vAlign w:val="center"/>
          </w:tcPr>
          <w:p w14:paraId="078690E6">
            <w:pPr>
              <w:pStyle w:val="2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4549" w:type="pct"/>
            <w:vAlign w:val="center"/>
          </w:tcPr>
          <w:p w14:paraId="3140C280">
            <w:pPr>
              <w:spacing w:line="400" w:lineRule="exact"/>
              <w:ind w:left="0" w:leftChars="0" w:firstLine="0" w:firstLineChars="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保修期：</w:t>
            </w:r>
          </w:p>
          <w:p w14:paraId="5015512F">
            <w:pPr>
              <w:spacing w:line="400" w:lineRule="exact"/>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按照成交供应商响应的并且不违反《建设工程质量管理条例》规定的期限执行。</w:t>
            </w:r>
          </w:p>
          <w:p w14:paraId="052BBF5A">
            <w:pPr>
              <w:spacing w:line="400" w:lineRule="exact"/>
              <w:ind w:left="0" w:leftChars="0" w:firstLine="0" w:firstLineChars="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缺陷责任期：</w:t>
            </w:r>
          </w:p>
          <w:p w14:paraId="34348BBD">
            <w:pPr>
              <w:spacing w:line="400" w:lineRule="exact"/>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竣工验收合格之日起12个月。</w:t>
            </w:r>
          </w:p>
          <w:p w14:paraId="4FC84298">
            <w:pPr>
              <w:ind w:left="0" w:leftChars="0" w:firstLine="0" w:firstLineChars="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质量保证金：</w:t>
            </w:r>
          </w:p>
          <w:p w14:paraId="5AC7A896">
            <w:pPr>
              <w:ind w:left="0" w:leftChars="0" w:firstLine="0" w:firstLineChars="0"/>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施工结算总价的3%</w:t>
            </w:r>
            <w:r>
              <w:rPr>
                <w:rFonts w:hint="eastAsia" w:ascii="宋体" w:hAnsi="宋体" w:eastAsia="宋体" w:cs="宋体"/>
                <w:bCs/>
                <w:color w:val="000000" w:themeColor="text1"/>
                <w:sz w:val="24"/>
                <w:szCs w:val="24"/>
                <w:highlight w:val="none"/>
                <w14:textFill>
                  <w14:solidFill>
                    <w14:schemeClr w14:val="tx1"/>
                  </w14:solidFill>
                </w14:textFill>
              </w:rPr>
              <w:t>。</w:t>
            </w:r>
          </w:p>
        </w:tc>
      </w:tr>
      <w:tr w14:paraId="6AF3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0" w:type="pct"/>
            <w:vAlign w:val="center"/>
          </w:tcPr>
          <w:p w14:paraId="332F1D40">
            <w:pPr>
              <w:pStyle w:val="2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4549" w:type="pct"/>
            <w:vAlign w:val="center"/>
          </w:tcPr>
          <w:p w14:paraId="146C517E">
            <w:pPr>
              <w:ind w:left="0" w:leftChars="0" w:firstLine="0" w:firstLineChars="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验收标准：</w:t>
            </w:r>
          </w:p>
          <w:p w14:paraId="4962C31D">
            <w:pPr>
              <w:ind w:left="0" w:leftChars="0" w:firstLine="0" w:firstLineChars="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建筑工程施工质量验收统一标准》（GB50300-2013)及国家现行有关施工质量评定标准要求进行验收。承包人根据发包人提供的资料、国家或行业的质量检验评定标准为依据进行施工，确保工程质量，并达到一次验收合格。</w:t>
            </w:r>
          </w:p>
        </w:tc>
      </w:tr>
    </w:tbl>
    <w:p w14:paraId="74228F0D">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6CD6C973">
      <w:pPr>
        <w:pStyle w:val="3"/>
        <w:ind w:firstLine="0" w:firstLineChars="0"/>
        <w:jc w:val="center"/>
        <w:rPr>
          <w:rFonts w:hint="eastAsia" w:ascii="宋体" w:hAnsi="宋体" w:eastAsia="宋体" w:cs="宋体"/>
          <w:color w:val="000000" w:themeColor="text1"/>
          <w:highlight w:val="none"/>
          <w14:textFill>
            <w14:solidFill>
              <w14:schemeClr w14:val="tx1"/>
            </w14:solidFill>
          </w14:textFill>
        </w:rPr>
      </w:pPr>
      <w:bookmarkStart w:id="421" w:name="_Toc22340"/>
      <w:bookmarkStart w:id="422" w:name="_Toc3121"/>
      <w:bookmarkStart w:id="423" w:name="_Toc68669296"/>
      <w:bookmarkStart w:id="424" w:name="_Toc1894203557"/>
      <w:bookmarkStart w:id="425" w:name="_Toc4053"/>
      <w:r>
        <w:rPr>
          <w:rFonts w:hint="eastAsia" w:ascii="宋体" w:hAnsi="宋体" w:eastAsia="宋体" w:cs="宋体"/>
          <w:color w:val="000000" w:themeColor="text1"/>
          <w:highlight w:val="none"/>
          <w14:textFill>
            <w14:solidFill>
              <w14:schemeClr w14:val="tx1"/>
            </w14:solidFill>
          </w14:textFill>
        </w:rPr>
        <w:t>合同书样式</w:t>
      </w:r>
      <w:bookmarkEnd w:id="420"/>
      <w:bookmarkEnd w:id="421"/>
      <w:bookmarkEnd w:id="422"/>
      <w:bookmarkEnd w:id="423"/>
      <w:bookmarkEnd w:id="424"/>
      <w:bookmarkEnd w:id="425"/>
    </w:p>
    <w:p w14:paraId="06FB37FE">
      <w:pPr>
        <w:spacing w:line="240" w:lineRule="auto"/>
        <w:ind w:firstLine="0" w:firstLineChars="0"/>
        <w:jc w:val="center"/>
        <w:rPr>
          <w:rFonts w:hint="eastAsia"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（注：供采购人参考使用，具体合同内容以采购人与成交人签定的合同为准）</w:t>
      </w:r>
    </w:p>
    <w:p w14:paraId="5AB52380">
      <w:pPr>
        <w:pStyle w:val="4"/>
        <w:bidi w:val="0"/>
        <w:ind w:left="0" w:leftChars="0" w:firstLine="0" w:firstLineChars="0"/>
        <w:jc w:val="center"/>
        <w:rPr>
          <w:rFonts w:hint="eastAsia" w:ascii="宋体" w:hAnsi="宋体" w:eastAsia="宋体" w:cs="宋体"/>
          <w:color w:val="000000" w:themeColor="text1"/>
          <w:highlight w:val="none"/>
          <w:lang w:val="zh-CN" w:eastAsia="zh-CN"/>
          <w14:textFill>
            <w14:solidFill>
              <w14:schemeClr w14:val="tx1"/>
            </w14:solidFill>
          </w14:textFill>
        </w:rPr>
      </w:pPr>
      <w:bookmarkStart w:id="426" w:name="_Toc54862164"/>
      <w:bookmarkStart w:id="427" w:name="_Toc9513"/>
      <w:r>
        <w:rPr>
          <w:rFonts w:hint="eastAsia" w:ascii="宋体" w:hAnsi="宋体" w:eastAsia="宋体" w:cs="宋体"/>
          <w:color w:val="000000" w:themeColor="text1"/>
          <w:highlight w:val="none"/>
          <w:lang w:val="zh-CN" w:eastAsia="zh-CN"/>
          <w14:textFill>
            <w14:solidFill>
              <w14:schemeClr w14:val="tx1"/>
            </w14:solidFill>
          </w14:textFill>
        </w:rPr>
        <w:t>第一部分 合同协议书</w:t>
      </w:r>
      <w:bookmarkEnd w:id="426"/>
      <w:bookmarkEnd w:id="427"/>
    </w:p>
    <w:p w14:paraId="511444CE">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color w:val="000000" w:themeColor="text1"/>
          <w:kern w:val="0"/>
          <w:sz w:val="24"/>
          <w:szCs w:val="21"/>
          <w:highlight w:val="none"/>
          <w14:textFill>
            <w14:solidFill>
              <w14:schemeClr w14:val="tx1"/>
            </w14:solidFill>
          </w14:textFill>
        </w:rPr>
      </w:pPr>
    </w:p>
    <w:p w14:paraId="50DC9800">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color w:val="000000" w:themeColor="text1"/>
          <w:kern w:val="0"/>
          <w:sz w:val="24"/>
          <w:szCs w:val="21"/>
          <w:highlight w:val="none"/>
          <w14:textFill>
            <w14:solidFill>
              <w14:schemeClr w14:val="tx1"/>
            </w14:solidFill>
          </w14:textFill>
        </w:rPr>
      </w:pPr>
      <w:r>
        <w:rPr>
          <w:rFonts w:hint="eastAsia" w:ascii="宋体" w:hAnsi="宋体" w:eastAsia="宋体" w:cs="宋体"/>
          <w:color w:val="000000" w:themeColor="text1"/>
          <w:kern w:val="0"/>
          <w:sz w:val="24"/>
          <w:szCs w:val="21"/>
          <w:highlight w:val="none"/>
          <w14:textFill>
            <w14:solidFill>
              <w14:schemeClr w14:val="tx1"/>
            </w14:solidFill>
          </w14:textFill>
        </w:rPr>
        <w:t>发包人（全称）：</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云南水利水电职业学院</w:t>
      </w:r>
    </w:p>
    <w:p w14:paraId="2FABD72A">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color w:val="000000" w:themeColor="text1"/>
          <w:kern w:val="0"/>
          <w:sz w:val="24"/>
          <w:szCs w:val="21"/>
          <w:highlight w:val="none"/>
          <w14:textFill>
            <w14:solidFill>
              <w14:schemeClr w14:val="tx1"/>
            </w14:solidFill>
          </w14:textFill>
        </w:rPr>
      </w:pPr>
      <w:r>
        <w:rPr>
          <w:rFonts w:hint="eastAsia" w:ascii="宋体" w:hAnsi="宋体" w:eastAsia="宋体" w:cs="宋体"/>
          <w:color w:val="000000" w:themeColor="text1"/>
          <w:kern w:val="0"/>
          <w:sz w:val="24"/>
          <w:szCs w:val="21"/>
          <w:highlight w:val="none"/>
          <w14:textFill>
            <w14:solidFill>
              <w14:schemeClr w14:val="tx1"/>
            </w14:solidFill>
          </w14:textFill>
        </w:rPr>
        <w:t>承包人（全称）：</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p>
    <w:p w14:paraId="77660655">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color w:val="000000" w:themeColor="text1"/>
          <w:kern w:val="0"/>
          <w:sz w:val="24"/>
          <w:szCs w:val="21"/>
          <w:highlight w:val="none"/>
          <w14:textFill>
            <w14:solidFill>
              <w14:schemeClr w14:val="tx1"/>
            </w14:solidFill>
          </w14:textFill>
        </w:rPr>
      </w:pPr>
    </w:p>
    <w:p w14:paraId="33D6E061">
      <w:pPr>
        <w:widowControl/>
        <w:bidi w:val="0"/>
        <w:ind w:firstLine="640"/>
        <w:rPr>
          <w:rFonts w:hint="eastAsia" w:ascii="宋体" w:hAnsi="宋体" w:eastAsia="宋体" w:cs="宋体"/>
          <w:color w:val="000000" w:themeColor="text1"/>
          <w:kern w:val="0"/>
          <w:sz w:val="24"/>
          <w:szCs w:val="21"/>
          <w:highlight w:val="none"/>
          <w14:textFill>
            <w14:solidFill>
              <w14:schemeClr w14:val="tx1"/>
            </w14:solidFill>
          </w14:textFill>
        </w:rPr>
      </w:pPr>
      <w:r>
        <w:rPr>
          <w:rFonts w:hint="eastAsia" w:ascii="宋体" w:hAnsi="宋体" w:eastAsia="宋体" w:cs="宋体"/>
          <w:color w:val="000000" w:themeColor="text1"/>
          <w:kern w:val="0"/>
          <w:sz w:val="24"/>
          <w:szCs w:val="21"/>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eastAsia="宋体" w:cs="宋体"/>
          <w:b w:val="0"/>
          <w:bCs w:val="0"/>
          <w:color w:val="000000" w:themeColor="text1"/>
          <w:kern w:val="0"/>
          <w:sz w:val="24"/>
          <w:szCs w:val="24"/>
          <w:highlight w:val="none"/>
          <w:u w:val="single"/>
          <w:lang w:val="en-US" w:eastAsia="zh-CN"/>
          <w14:textFill>
            <w14:solidFill>
              <w14:schemeClr w14:val="tx1"/>
            </w14:solidFill>
          </w14:textFill>
        </w:rPr>
        <w:t>云南水利水电职业学院校史馆建设项目</w:t>
      </w:r>
      <w:r>
        <w:rPr>
          <w:rFonts w:hint="eastAsia" w:ascii="宋体" w:hAnsi="宋体" w:eastAsia="宋体" w:cs="宋体"/>
          <w:color w:val="000000" w:themeColor="text1"/>
          <w:kern w:val="0"/>
          <w:sz w:val="24"/>
          <w:szCs w:val="21"/>
          <w:highlight w:val="none"/>
          <w14:textFill>
            <w14:solidFill>
              <w14:schemeClr w14:val="tx1"/>
            </w14:solidFill>
          </w14:textFill>
        </w:rPr>
        <w:t>的工程总承包及有关事项协商一致，共同达成如下协议：</w:t>
      </w:r>
    </w:p>
    <w:p w14:paraId="470FECF0">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28" w:name="_Toc31175"/>
      <w:bookmarkStart w:id="429" w:name="_Toc54862165"/>
      <w:bookmarkStart w:id="430" w:name="_Toc21313"/>
      <w:bookmarkStart w:id="431" w:name="_Toc13172"/>
      <w:r>
        <w:rPr>
          <w:rFonts w:hint="eastAsia" w:ascii="宋体" w:hAnsi="宋体" w:eastAsia="宋体" w:cs="宋体"/>
          <w:color w:val="000000" w:themeColor="text1"/>
          <w:highlight w:val="none"/>
          <w:lang w:val="zh-CN" w:eastAsia="zh-CN"/>
          <w14:textFill>
            <w14:solidFill>
              <w14:schemeClr w14:val="tx1"/>
            </w14:solidFill>
          </w14:textFill>
        </w:rPr>
        <w:t>一、工程概况</w:t>
      </w:r>
      <w:bookmarkEnd w:id="428"/>
      <w:bookmarkEnd w:id="429"/>
      <w:bookmarkEnd w:id="430"/>
      <w:bookmarkEnd w:id="431"/>
    </w:p>
    <w:p w14:paraId="586D8597">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b w:val="0"/>
          <w:bCs w:val="0"/>
          <w:color w:val="000000" w:themeColor="text1"/>
          <w:kern w:val="0"/>
          <w:sz w:val="24"/>
          <w:szCs w:val="21"/>
          <w:highlight w:val="none"/>
          <w14:textFill>
            <w14:solidFill>
              <w14:schemeClr w14:val="tx1"/>
            </w14:solidFill>
          </w14:textFill>
        </w:rPr>
      </w:pPr>
      <w:r>
        <w:rPr>
          <w:rFonts w:hint="eastAsia" w:ascii="宋体" w:hAnsi="宋体" w:eastAsia="宋体" w:cs="宋体"/>
          <w:b w:val="0"/>
          <w:bCs w:val="0"/>
          <w:color w:val="000000" w:themeColor="text1"/>
          <w:kern w:val="0"/>
          <w:sz w:val="24"/>
          <w:szCs w:val="21"/>
          <w:highlight w:val="none"/>
          <w14:textFill>
            <w14:solidFill>
              <w14:schemeClr w14:val="tx1"/>
            </w14:solidFill>
          </w14:textFill>
        </w:rPr>
        <w:t>1.</w:t>
      </w:r>
      <w:r>
        <w:rPr>
          <w:rFonts w:hint="eastAsia" w:ascii="宋体" w:hAnsi="宋体" w:eastAsia="宋体" w:cs="宋体"/>
          <w:b w:val="0"/>
          <w:bCs w:val="0"/>
          <w:color w:val="000000" w:themeColor="text1"/>
          <w:kern w:val="0"/>
          <w:sz w:val="24"/>
          <w:szCs w:val="21"/>
          <w:highlight w:val="none"/>
          <w:lang w:val="en-US" w:eastAsia="zh-CN"/>
          <w14:textFill>
            <w14:solidFill>
              <w14:schemeClr w14:val="tx1"/>
            </w14:solidFill>
          </w14:textFill>
        </w:rPr>
        <w:t>项目</w:t>
      </w:r>
      <w:r>
        <w:rPr>
          <w:rFonts w:hint="eastAsia" w:ascii="宋体" w:hAnsi="宋体" w:eastAsia="宋体" w:cs="宋体"/>
          <w:b w:val="0"/>
          <w:bCs w:val="0"/>
          <w:color w:val="000000" w:themeColor="text1"/>
          <w:kern w:val="0"/>
          <w:sz w:val="24"/>
          <w:szCs w:val="21"/>
          <w:highlight w:val="none"/>
          <w14:textFill>
            <w14:solidFill>
              <w14:schemeClr w14:val="tx1"/>
            </w14:solidFill>
          </w14:textFill>
        </w:rPr>
        <w:t>名称：</w:t>
      </w:r>
      <w:r>
        <w:rPr>
          <w:rFonts w:hint="eastAsia" w:ascii="宋体" w:hAnsi="宋体" w:eastAsia="宋体" w:cs="宋体"/>
          <w:b w:val="0"/>
          <w:bCs w:val="0"/>
          <w:color w:val="000000" w:themeColor="text1"/>
          <w:kern w:val="0"/>
          <w:sz w:val="24"/>
          <w:szCs w:val="24"/>
          <w:highlight w:val="none"/>
          <w:u w:val="single"/>
          <w:lang w:val="en-US" w:eastAsia="zh-CN"/>
          <w14:textFill>
            <w14:solidFill>
              <w14:schemeClr w14:val="tx1"/>
            </w14:solidFill>
          </w14:textFill>
        </w:rPr>
        <w:t>云南水利水电职业学院校史馆建设项目</w:t>
      </w:r>
      <w:r>
        <w:rPr>
          <w:rFonts w:hint="eastAsia" w:ascii="宋体" w:hAnsi="宋体" w:eastAsia="宋体" w:cs="宋体"/>
          <w:b w:val="0"/>
          <w:bCs w:val="0"/>
          <w:color w:val="000000" w:themeColor="text1"/>
          <w:kern w:val="0"/>
          <w:sz w:val="24"/>
          <w:szCs w:val="21"/>
          <w:highlight w:val="none"/>
          <w14:textFill>
            <w14:solidFill>
              <w14:schemeClr w14:val="tx1"/>
            </w14:solidFill>
          </w14:textFill>
        </w:rPr>
        <w:t>。</w:t>
      </w:r>
    </w:p>
    <w:p w14:paraId="7D3D2CFA">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b w:val="0"/>
          <w:bCs w:val="0"/>
          <w:color w:val="000000" w:themeColor="text1"/>
          <w:kern w:val="0"/>
          <w:sz w:val="24"/>
          <w:szCs w:val="21"/>
          <w:highlight w:val="none"/>
          <w14:textFill>
            <w14:solidFill>
              <w14:schemeClr w14:val="tx1"/>
            </w14:solidFill>
          </w14:textFill>
        </w:rPr>
      </w:pPr>
      <w:r>
        <w:rPr>
          <w:rFonts w:hint="eastAsia" w:ascii="宋体" w:hAnsi="宋体" w:eastAsia="宋体" w:cs="宋体"/>
          <w:b w:val="0"/>
          <w:bCs w:val="0"/>
          <w:color w:val="000000" w:themeColor="text1"/>
          <w:kern w:val="0"/>
          <w:sz w:val="24"/>
          <w:szCs w:val="21"/>
          <w:highlight w:val="none"/>
          <w14:textFill>
            <w14:solidFill>
              <w14:schemeClr w14:val="tx1"/>
            </w14:solidFill>
          </w14:textFill>
        </w:rPr>
        <w:t>2.工程地点：</w:t>
      </w:r>
      <w:r>
        <w:rPr>
          <w:rFonts w:hint="eastAsia" w:ascii="宋体" w:hAnsi="宋体" w:eastAsia="宋体" w:cs="宋体"/>
          <w:b w:val="0"/>
          <w:bCs w:val="0"/>
          <w:color w:val="000000" w:themeColor="text1"/>
          <w:kern w:val="0"/>
          <w:sz w:val="24"/>
          <w:szCs w:val="24"/>
          <w:highlight w:val="none"/>
          <w:u w:val="single"/>
          <w:lang w:val="en-US" w:eastAsia="zh-CN"/>
          <w14:textFill>
            <w14:solidFill>
              <w14:schemeClr w14:val="tx1"/>
            </w14:solidFill>
          </w14:textFill>
        </w:rPr>
        <w:t>云南水利水电职业学院富民校区图书馆内</w:t>
      </w:r>
      <w:r>
        <w:rPr>
          <w:rFonts w:hint="eastAsia" w:ascii="宋体" w:hAnsi="宋体" w:eastAsia="宋体" w:cs="宋体"/>
          <w:b w:val="0"/>
          <w:bCs w:val="0"/>
          <w:color w:val="000000" w:themeColor="text1"/>
          <w:kern w:val="0"/>
          <w:sz w:val="24"/>
          <w:szCs w:val="21"/>
          <w:highlight w:val="none"/>
          <w14:textFill>
            <w14:solidFill>
              <w14:schemeClr w14:val="tx1"/>
            </w14:solidFill>
          </w14:textFill>
        </w:rPr>
        <w:t>。</w:t>
      </w:r>
    </w:p>
    <w:p w14:paraId="7925E635">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b w:val="0"/>
          <w:bCs w:val="0"/>
          <w:color w:val="000000" w:themeColor="text1"/>
          <w:kern w:val="0"/>
          <w:sz w:val="24"/>
          <w:szCs w:val="21"/>
          <w:highlight w:val="none"/>
          <w14:textFill>
            <w14:solidFill>
              <w14:schemeClr w14:val="tx1"/>
            </w14:solidFill>
          </w14:textFill>
        </w:rPr>
      </w:pPr>
      <w:r>
        <w:rPr>
          <w:rFonts w:hint="eastAsia" w:ascii="宋体" w:hAnsi="宋体" w:eastAsia="宋体" w:cs="宋体"/>
          <w:b w:val="0"/>
          <w:bCs w:val="0"/>
          <w:color w:val="000000" w:themeColor="text1"/>
          <w:kern w:val="0"/>
          <w:sz w:val="24"/>
          <w:szCs w:val="21"/>
          <w:highlight w:val="none"/>
          <w14:textFill>
            <w14:solidFill>
              <w14:schemeClr w14:val="tx1"/>
            </w14:solidFill>
          </w14:textFill>
        </w:rPr>
        <w:t>3.工程审批、核准或备案文号：</w:t>
      </w:r>
      <w:r>
        <w:rPr>
          <w:rFonts w:hint="eastAsia" w:ascii="宋体" w:hAnsi="宋体" w:eastAsia="宋体" w:cs="宋体"/>
          <w:b w:val="0"/>
          <w:bCs w:val="0"/>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24"/>
          <w:szCs w:val="21"/>
          <w:highlight w:val="none"/>
          <w14:textFill>
            <w14:solidFill>
              <w14:schemeClr w14:val="tx1"/>
            </w14:solidFill>
          </w14:textFill>
        </w:rPr>
        <w:t>。</w:t>
      </w:r>
    </w:p>
    <w:p w14:paraId="1D206424">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b w:val="0"/>
          <w:bCs w:val="0"/>
          <w:color w:val="000000" w:themeColor="text1"/>
          <w:kern w:val="0"/>
          <w:sz w:val="24"/>
          <w:szCs w:val="21"/>
          <w:highlight w:val="none"/>
          <w14:textFill>
            <w14:solidFill>
              <w14:schemeClr w14:val="tx1"/>
            </w14:solidFill>
          </w14:textFill>
        </w:rPr>
      </w:pPr>
      <w:r>
        <w:rPr>
          <w:rFonts w:hint="eastAsia" w:ascii="宋体" w:hAnsi="宋体" w:eastAsia="宋体" w:cs="宋体"/>
          <w:b w:val="0"/>
          <w:bCs w:val="0"/>
          <w:color w:val="000000" w:themeColor="text1"/>
          <w:kern w:val="0"/>
          <w:sz w:val="24"/>
          <w:szCs w:val="21"/>
          <w:highlight w:val="none"/>
          <w14:textFill>
            <w14:solidFill>
              <w14:schemeClr w14:val="tx1"/>
            </w14:solidFill>
          </w14:textFill>
        </w:rPr>
        <w:t>4.资金来源：</w:t>
      </w:r>
      <w:r>
        <w:rPr>
          <w:rFonts w:hint="eastAsia" w:ascii="宋体" w:hAnsi="宋体" w:eastAsia="宋体" w:cs="宋体"/>
          <w:b w:val="0"/>
          <w:bCs w:val="0"/>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24"/>
          <w:szCs w:val="21"/>
          <w:highlight w:val="none"/>
          <w14:textFill>
            <w14:solidFill>
              <w14:schemeClr w14:val="tx1"/>
            </w14:solidFill>
          </w14:textFill>
        </w:rPr>
        <w:t>。</w:t>
      </w:r>
    </w:p>
    <w:p w14:paraId="6530B429">
      <w:pPr>
        <w:widowControl/>
        <w:bidi w:val="0"/>
        <w:ind w:firstLine="640"/>
        <w:rPr>
          <w:rFonts w:hint="eastAsia" w:ascii="宋体" w:hAnsi="宋体" w:eastAsia="宋体" w:cs="宋体"/>
          <w:b w:val="0"/>
          <w:bCs w:val="0"/>
          <w:color w:val="000000" w:themeColor="text1"/>
          <w:kern w:val="0"/>
          <w:sz w:val="24"/>
          <w:szCs w:val="24"/>
          <w:highlight w:val="none"/>
          <w:u w:val="singl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1"/>
          <w:highlight w:val="none"/>
          <w14:textFill>
            <w14:solidFill>
              <w14:schemeClr w14:val="tx1"/>
            </w14:solidFill>
          </w14:textFill>
        </w:rPr>
        <w:t>5.工程内容及规模：</w:t>
      </w:r>
      <w:r>
        <w:rPr>
          <w:rFonts w:hint="eastAsia" w:ascii="宋体" w:hAnsi="宋体" w:eastAsia="宋体" w:cs="宋体"/>
          <w:b w:val="0"/>
          <w:bCs w:val="0"/>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24"/>
          <w:szCs w:val="21"/>
          <w:highlight w:val="none"/>
          <w14:textFill>
            <w14:solidFill>
              <w14:schemeClr w14:val="tx1"/>
            </w14:solidFill>
          </w14:textFill>
        </w:rPr>
        <w:t>。</w:t>
      </w:r>
    </w:p>
    <w:p w14:paraId="7527F83D">
      <w:pPr>
        <w:widowControl/>
        <w:adjustRightInd w:val="0"/>
        <w:snapToGrid w:val="0"/>
        <w:ind w:firstLine="480"/>
        <w:rPr>
          <w:rFonts w:hint="eastAsia" w:ascii="宋体" w:hAnsi="宋体" w:eastAsia="宋体" w:cs="宋体"/>
          <w:color w:val="000000" w:themeColor="text1"/>
          <w:kern w:val="0"/>
          <w:sz w:val="24"/>
          <w:szCs w:val="21"/>
          <w:highlight w:val="none"/>
          <w:u w:val="single"/>
          <w14:textFill>
            <w14:solidFill>
              <w14:schemeClr w14:val="tx1"/>
            </w14:solidFill>
          </w14:textFill>
        </w:rPr>
      </w:pPr>
      <w:r>
        <w:rPr>
          <w:rFonts w:hint="eastAsia" w:ascii="宋体" w:hAnsi="宋体" w:eastAsia="宋体" w:cs="宋体"/>
          <w:color w:val="000000" w:themeColor="text1"/>
          <w:kern w:val="0"/>
          <w:sz w:val="24"/>
          <w:szCs w:val="21"/>
          <w:highlight w:val="none"/>
          <w14:textFill>
            <w14:solidFill>
              <w14:schemeClr w14:val="tx1"/>
            </w14:solidFill>
          </w14:textFill>
        </w:rPr>
        <w:t>6.工程承包范围：</w:t>
      </w:r>
      <w:r>
        <w:rPr>
          <w:rFonts w:hint="eastAsia" w:ascii="宋体" w:hAnsi="宋体" w:eastAsia="宋体" w:cs="宋体"/>
          <w:b w:val="0"/>
          <w:bCs w:val="0"/>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24"/>
          <w:szCs w:val="21"/>
          <w:highlight w:val="none"/>
          <w14:textFill>
            <w14:solidFill>
              <w14:schemeClr w14:val="tx1"/>
            </w14:solidFill>
          </w14:textFill>
        </w:rPr>
        <w:t>。</w:t>
      </w:r>
    </w:p>
    <w:p w14:paraId="419D3844">
      <w:pPr>
        <w:widowControl/>
        <w:bidi w:val="0"/>
        <w:spacing w:line="360" w:lineRule="auto"/>
        <w:ind w:firstLine="640"/>
        <w:rPr>
          <w:rFonts w:hint="eastAsia" w:ascii="宋体" w:hAnsi="宋体" w:eastAsia="宋体" w:cs="宋体"/>
          <w:color w:val="000000" w:themeColor="text1"/>
          <w:kern w:val="0"/>
          <w:sz w:val="24"/>
          <w:szCs w:val="21"/>
          <w:highlight w:val="none"/>
          <w:u w:val="none"/>
          <w14:textFill>
            <w14:solidFill>
              <w14:schemeClr w14:val="tx1"/>
            </w14:solidFill>
          </w14:textFill>
        </w:rPr>
      </w:pPr>
      <w:r>
        <w:rPr>
          <w:rFonts w:hint="eastAsia" w:ascii="宋体" w:hAnsi="宋体" w:eastAsia="宋体" w:cs="宋体"/>
          <w:color w:val="000000" w:themeColor="text1"/>
          <w:kern w:val="0"/>
          <w:sz w:val="24"/>
          <w:szCs w:val="21"/>
          <w:highlight w:val="none"/>
          <w:u w:val="none"/>
          <w14:textFill>
            <w14:solidFill>
              <w14:schemeClr w14:val="tx1"/>
            </w14:solidFill>
          </w14:textFill>
        </w:rPr>
        <w:t>注：最终以</w:t>
      </w:r>
      <w:r>
        <w:rPr>
          <w:rFonts w:hint="eastAsia" w:ascii="宋体" w:hAnsi="宋体" w:eastAsia="宋体" w:cs="宋体"/>
          <w:color w:val="000000" w:themeColor="text1"/>
          <w:kern w:val="0"/>
          <w:sz w:val="24"/>
          <w:szCs w:val="21"/>
          <w:highlight w:val="none"/>
          <w:u w:val="none"/>
          <w:lang w:eastAsia="zh-CN"/>
          <w14:textFill>
            <w14:solidFill>
              <w14:schemeClr w14:val="tx1"/>
            </w14:solidFill>
          </w14:textFill>
        </w:rPr>
        <w:t>采购人</w:t>
      </w:r>
      <w:r>
        <w:rPr>
          <w:rFonts w:hint="eastAsia" w:ascii="宋体" w:hAnsi="宋体" w:eastAsia="宋体" w:cs="宋体"/>
          <w:color w:val="000000" w:themeColor="text1"/>
          <w:kern w:val="0"/>
          <w:sz w:val="24"/>
          <w:szCs w:val="21"/>
          <w:highlight w:val="none"/>
          <w:u w:val="none"/>
          <w14:textFill>
            <w14:solidFill>
              <w14:schemeClr w14:val="tx1"/>
            </w14:solidFill>
          </w14:textFill>
        </w:rPr>
        <w:t>确认的实施范围为准（</w:t>
      </w:r>
      <w:r>
        <w:rPr>
          <w:rFonts w:hint="eastAsia" w:ascii="宋体" w:hAnsi="宋体" w:eastAsia="宋体" w:cs="宋体"/>
          <w:color w:val="000000" w:themeColor="text1"/>
          <w:kern w:val="0"/>
          <w:sz w:val="24"/>
          <w:szCs w:val="21"/>
          <w:highlight w:val="none"/>
          <w:u w:val="none"/>
          <w:lang w:eastAsia="zh-CN"/>
          <w14:textFill>
            <w14:solidFill>
              <w14:schemeClr w14:val="tx1"/>
            </w14:solidFill>
          </w14:textFill>
        </w:rPr>
        <w:t>采购人</w:t>
      </w:r>
      <w:r>
        <w:rPr>
          <w:rFonts w:hint="eastAsia" w:ascii="宋体" w:hAnsi="宋体" w:eastAsia="宋体" w:cs="宋体"/>
          <w:color w:val="000000" w:themeColor="text1"/>
          <w:kern w:val="0"/>
          <w:sz w:val="24"/>
          <w:szCs w:val="21"/>
          <w:highlight w:val="none"/>
          <w:u w:val="none"/>
          <w14:textFill>
            <w14:solidFill>
              <w14:schemeClr w14:val="tx1"/>
            </w14:solidFill>
          </w14:textFill>
        </w:rPr>
        <w:t>保留调整以上工作范围的权利，</w:t>
      </w:r>
      <w:r>
        <w:rPr>
          <w:rFonts w:hint="eastAsia" w:ascii="宋体" w:hAnsi="宋体" w:eastAsia="宋体" w:cs="宋体"/>
          <w:color w:val="000000" w:themeColor="text1"/>
          <w:kern w:val="0"/>
          <w:sz w:val="24"/>
          <w:szCs w:val="21"/>
          <w:highlight w:val="none"/>
          <w:u w:val="none"/>
          <w:lang w:eastAsia="zh-CN"/>
          <w14:textFill>
            <w14:solidFill>
              <w14:schemeClr w14:val="tx1"/>
            </w14:solidFill>
          </w14:textFill>
        </w:rPr>
        <w:t>成交</w:t>
      </w:r>
      <w:r>
        <w:rPr>
          <w:rFonts w:hint="eastAsia" w:ascii="宋体" w:hAnsi="宋体" w:eastAsia="宋体" w:cs="宋体"/>
          <w:color w:val="000000" w:themeColor="text1"/>
          <w:kern w:val="0"/>
          <w:sz w:val="24"/>
          <w:szCs w:val="21"/>
          <w:highlight w:val="none"/>
          <w:u w:val="none"/>
          <w14:textFill>
            <w14:solidFill>
              <w14:schemeClr w14:val="tx1"/>
            </w14:solidFill>
          </w14:textFill>
        </w:rPr>
        <w:t>人须无条件予以配合且不得据此提出任何索赔或其他费用的要求）。</w:t>
      </w:r>
    </w:p>
    <w:p w14:paraId="6EB24789">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32" w:name="_Toc11005"/>
      <w:bookmarkStart w:id="433" w:name="_Toc26331"/>
      <w:bookmarkStart w:id="434" w:name="_Toc12929"/>
      <w:bookmarkStart w:id="435" w:name="_Toc54862166"/>
      <w:r>
        <w:rPr>
          <w:rFonts w:hint="eastAsia" w:ascii="宋体" w:hAnsi="宋体" w:eastAsia="宋体" w:cs="宋体"/>
          <w:color w:val="000000" w:themeColor="text1"/>
          <w:highlight w:val="none"/>
          <w:lang w:val="zh-CN" w:eastAsia="zh-CN"/>
          <w14:textFill>
            <w14:solidFill>
              <w14:schemeClr w14:val="tx1"/>
            </w14:solidFill>
          </w14:textFill>
        </w:rPr>
        <w:t>二、合同工期</w:t>
      </w:r>
      <w:bookmarkEnd w:id="432"/>
      <w:bookmarkEnd w:id="433"/>
      <w:bookmarkEnd w:id="434"/>
      <w:bookmarkEnd w:id="435"/>
    </w:p>
    <w:p w14:paraId="4228AB7F">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color w:val="000000" w:themeColor="text1"/>
          <w:kern w:val="0"/>
          <w:sz w:val="24"/>
          <w:szCs w:val="21"/>
          <w:highlight w:val="none"/>
          <w14:textFill>
            <w14:solidFill>
              <w14:schemeClr w14:val="tx1"/>
            </w14:solidFill>
          </w14:textFill>
        </w:rPr>
      </w:pPr>
      <w:r>
        <w:rPr>
          <w:rFonts w:hint="eastAsia" w:ascii="宋体" w:hAnsi="宋体" w:eastAsia="宋体" w:cs="宋体"/>
          <w:color w:val="000000" w:themeColor="text1"/>
          <w:kern w:val="0"/>
          <w:sz w:val="24"/>
          <w:szCs w:val="21"/>
          <w:highlight w:val="none"/>
          <w14:textFill>
            <w14:solidFill>
              <w14:schemeClr w14:val="tx1"/>
            </w14:solidFill>
          </w14:textFill>
        </w:rPr>
        <w:t>计划开始工作日期：</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年</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月</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日。</w:t>
      </w:r>
    </w:p>
    <w:p w14:paraId="1BF6BF38">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color w:val="000000" w:themeColor="text1"/>
          <w:kern w:val="0"/>
          <w:sz w:val="24"/>
          <w:szCs w:val="21"/>
          <w:highlight w:val="none"/>
          <w14:textFill>
            <w14:solidFill>
              <w14:schemeClr w14:val="tx1"/>
            </w14:solidFill>
          </w14:textFill>
        </w:rPr>
      </w:pPr>
      <w:r>
        <w:rPr>
          <w:rFonts w:hint="eastAsia" w:ascii="宋体" w:hAnsi="宋体" w:eastAsia="宋体" w:cs="宋体"/>
          <w:color w:val="000000" w:themeColor="text1"/>
          <w:kern w:val="0"/>
          <w:sz w:val="24"/>
          <w:szCs w:val="21"/>
          <w:highlight w:val="none"/>
          <w14:textFill>
            <w14:solidFill>
              <w14:schemeClr w14:val="tx1"/>
            </w14:solidFill>
          </w14:textFill>
        </w:rPr>
        <w:t>计划开始现场施工日期：</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年</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月</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日。</w:t>
      </w:r>
    </w:p>
    <w:p w14:paraId="0641930C">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color w:val="000000" w:themeColor="text1"/>
          <w:kern w:val="0"/>
          <w:sz w:val="24"/>
          <w:szCs w:val="21"/>
          <w:highlight w:val="none"/>
          <w14:textFill>
            <w14:solidFill>
              <w14:schemeClr w14:val="tx1"/>
            </w14:solidFill>
          </w14:textFill>
        </w:rPr>
      </w:pPr>
      <w:r>
        <w:rPr>
          <w:rFonts w:hint="eastAsia" w:ascii="宋体" w:hAnsi="宋体" w:eastAsia="宋体" w:cs="宋体"/>
          <w:color w:val="000000" w:themeColor="text1"/>
          <w:kern w:val="0"/>
          <w:sz w:val="24"/>
          <w:szCs w:val="21"/>
          <w:highlight w:val="none"/>
          <w14:textFill>
            <w14:solidFill>
              <w14:schemeClr w14:val="tx1"/>
            </w14:solidFill>
          </w14:textFill>
        </w:rPr>
        <w:t>计划竣工日期：</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年</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月</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日。</w:t>
      </w:r>
    </w:p>
    <w:p w14:paraId="1C0F32E3">
      <w:pPr>
        <w:widowControl/>
        <w:shd w:val="clear"/>
        <w:topLinePunct w:val="0"/>
        <w:adjustRightInd w:val="0"/>
        <w:snapToGrid w:val="0"/>
        <w:spacing w:after="0" w:afterLines="-2147483648" w:line="360" w:lineRule="auto"/>
        <w:ind w:firstLine="480" w:firstLineChars="200"/>
        <w:jc w:val="left"/>
        <w:rPr>
          <w:rFonts w:hint="eastAsia" w:ascii="宋体" w:hAnsi="宋体" w:eastAsia="宋体" w:cs="宋体"/>
          <w:color w:val="000000" w:themeColor="text1"/>
          <w:kern w:val="0"/>
          <w:sz w:val="24"/>
          <w:szCs w:val="21"/>
          <w:highlight w:val="none"/>
          <w14:textFill>
            <w14:solidFill>
              <w14:schemeClr w14:val="tx1"/>
            </w14:solidFill>
          </w14:textFill>
        </w:rPr>
      </w:pPr>
      <w:r>
        <w:rPr>
          <w:rFonts w:hint="eastAsia" w:ascii="宋体" w:hAnsi="宋体" w:eastAsia="宋体" w:cs="宋体"/>
          <w:color w:val="000000" w:themeColor="text1"/>
          <w:kern w:val="0"/>
          <w:sz w:val="24"/>
          <w:szCs w:val="21"/>
          <w:highlight w:val="none"/>
          <w14:textFill>
            <w14:solidFill>
              <w14:schemeClr w14:val="tx1"/>
            </w14:solidFill>
          </w14:textFill>
        </w:rPr>
        <w:t>工期总日历天数：</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天，工期总日历天数与根据前述计划日期计算的工期天数不一致的，以工期总日历天数为准。</w:t>
      </w:r>
    </w:p>
    <w:p w14:paraId="60B9344C">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36" w:name="_Toc54862167"/>
      <w:bookmarkStart w:id="437" w:name="_Toc11410"/>
      <w:bookmarkStart w:id="438" w:name="_Toc9667"/>
      <w:bookmarkStart w:id="439" w:name="_Toc15060"/>
      <w:r>
        <w:rPr>
          <w:rFonts w:hint="eastAsia" w:ascii="宋体" w:hAnsi="宋体" w:eastAsia="宋体" w:cs="宋体"/>
          <w:color w:val="000000" w:themeColor="text1"/>
          <w:highlight w:val="none"/>
          <w:lang w:val="zh-CN" w:eastAsia="zh-CN"/>
          <w14:textFill>
            <w14:solidFill>
              <w14:schemeClr w14:val="tx1"/>
            </w14:solidFill>
          </w14:textFill>
        </w:rPr>
        <w:t>三、质量标准</w:t>
      </w:r>
      <w:bookmarkEnd w:id="436"/>
      <w:bookmarkEnd w:id="437"/>
      <w:bookmarkEnd w:id="438"/>
      <w:bookmarkEnd w:id="439"/>
    </w:p>
    <w:p w14:paraId="28C0C32B">
      <w:pPr>
        <w:widowControl/>
        <w:ind w:firstLine="48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工程质量标准：</w:t>
      </w:r>
      <w:r>
        <w:rPr>
          <w:rFonts w:hint="eastAsia" w:ascii="宋体" w:hAnsi="宋体" w:eastAsia="宋体" w:cs="宋体"/>
          <w:color w:val="000000" w:themeColor="text1"/>
          <w:kern w:val="0"/>
          <w:sz w:val="24"/>
          <w:szCs w:val="21"/>
          <w:highlight w:val="none"/>
          <w:u w:val="single"/>
          <w14:textFill>
            <w14:solidFill>
              <w14:schemeClr w14:val="tx1"/>
            </w14:solidFill>
          </w14:textFill>
        </w:rPr>
        <w:t>（1）设计质量标准：设计成果须严格执行《建设工程质量管理条例》、《建设工程勘察设计管理条例》和国家强制性标准条文，满足现行的建筑工程建设标准、设计规范（规程）和规定的设计文件编制的深度及</w:t>
      </w:r>
      <w:r>
        <w:rPr>
          <w:rFonts w:hint="eastAsia" w:ascii="宋体" w:hAnsi="宋体" w:eastAsia="宋体" w:cs="宋体"/>
          <w:color w:val="000000" w:themeColor="text1"/>
          <w:kern w:val="0"/>
          <w:sz w:val="24"/>
          <w:szCs w:val="21"/>
          <w:highlight w:val="none"/>
          <w:u w:val="single"/>
          <w:lang w:eastAsia="zh-CN"/>
          <w14:textFill>
            <w14:solidFill>
              <w14:schemeClr w14:val="tx1"/>
            </w14:solidFill>
          </w14:textFill>
        </w:rPr>
        <w:t>采购人</w:t>
      </w:r>
      <w:r>
        <w:rPr>
          <w:rFonts w:hint="eastAsia" w:ascii="宋体" w:hAnsi="宋体" w:eastAsia="宋体" w:cs="宋体"/>
          <w:color w:val="000000" w:themeColor="text1"/>
          <w:kern w:val="0"/>
          <w:sz w:val="24"/>
          <w:szCs w:val="21"/>
          <w:highlight w:val="none"/>
          <w:u w:val="single"/>
          <w14:textFill>
            <w14:solidFill>
              <w14:schemeClr w14:val="tx1"/>
            </w14:solidFill>
          </w14:textFill>
        </w:rPr>
        <w:t>要求，所有设计成果文件均必须通过审批及审查。（2）施工质量标准：工程质量符合《建筑工程施工质量统一验收标准》（GB50300-2013）和《云南省建筑工程施工质量验收统一规程》(DJB53/T-23-2014）等国家、行业及地方现行相关标准及规范要求，并通过相关部门的验收，确保一次性验收合格。（3）采购标准：确保总承包范围内的材料、设备采购环保、安全、可靠、节能，为全新的未使用过的，在符合国家、行业及地方现行的相关标准、规范和要求的前提下，一次性验收合格。</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DA58F68">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40" w:name="_Toc4863"/>
      <w:bookmarkStart w:id="441" w:name="_Toc14749"/>
      <w:bookmarkStart w:id="442" w:name="_Toc54862168"/>
      <w:bookmarkStart w:id="443" w:name="_Toc24913"/>
      <w:r>
        <w:rPr>
          <w:rFonts w:hint="eastAsia" w:ascii="宋体" w:hAnsi="宋体" w:eastAsia="宋体" w:cs="宋体"/>
          <w:color w:val="000000" w:themeColor="text1"/>
          <w:highlight w:val="none"/>
          <w:lang w:val="zh-CN" w:eastAsia="zh-CN"/>
          <w14:textFill>
            <w14:solidFill>
              <w14:schemeClr w14:val="tx1"/>
            </w14:solidFill>
          </w14:textFill>
        </w:rPr>
        <w:t>四、签约合同价与合同价格形式</w:t>
      </w:r>
      <w:bookmarkEnd w:id="440"/>
      <w:bookmarkEnd w:id="441"/>
      <w:bookmarkEnd w:id="442"/>
      <w:bookmarkEnd w:id="443"/>
    </w:p>
    <w:p w14:paraId="667854CF">
      <w:pPr>
        <w:pStyle w:val="6"/>
        <w:bidi w:val="0"/>
        <w:rPr>
          <w:rFonts w:hint="eastAsia" w:ascii="宋体" w:hAnsi="宋体" w:eastAsia="宋体" w:cs="宋体"/>
          <w:color w:val="000000" w:themeColor="text1"/>
          <w:highlight w:val="none"/>
          <w:lang w:val="zh-CN"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t>1.签约合同暂定总价（含税）为：</w:t>
      </w:r>
    </w:p>
    <w:p w14:paraId="152F241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人民币（大写) </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元）。</w:t>
      </w:r>
    </w:p>
    <w:p w14:paraId="0C5E7634">
      <w:pPr>
        <w:pStyle w:val="6"/>
        <w:bidi w:val="0"/>
        <w:rPr>
          <w:rFonts w:hint="eastAsia" w:ascii="宋体" w:hAnsi="宋体" w:eastAsia="宋体" w:cs="宋体"/>
          <w:color w:val="000000" w:themeColor="text1"/>
          <w:highlight w:val="none"/>
          <w:lang w:val="zh-CN"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t>2.合同价格形式：</w:t>
      </w:r>
    </w:p>
    <w:p w14:paraId="15BBA473">
      <w:pPr>
        <w:widowControl/>
        <w:bidi w:val="0"/>
        <w:spacing w:line="360" w:lineRule="auto"/>
        <w:ind w:firstLine="640"/>
        <w:rPr>
          <w:rFonts w:hint="eastAsia" w:ascii="宋体" w:hAnsi="宋体" w:eastAsia="宋体" w:cs="宋体"/>
          <w:color w:val="000000" w:themeColor="text1"/>
          <w:kern w:val="0"/>
          <w:sz w:val="24"/>
          <w:szCs w:val="21"/>
          <w:highlight w:val="none"/>
          <w:u w:val="none"/>
          <w:lang w:val="en-US" w:eastAsia="zh-CN"/>
          <w14:textFill>
            <w14:solidFill>
              <w14:schemeClr w14:val="tx1"/>
            </w14:solidFill>
          </w14:textFill>
        </w:rPr>
      </w:pPr>
      <w:bookmarkStart w:id="444" w:name="_Toc1066"/>
      <w:bookmarkStart w:id="445" w:name="_Toc54862169"/>
      <w:bookmarkStart w:id="446" w:name="_Toc6325"/>
      <w:bookmarkStart w:id="447" w:name="_Toc26051"/>
      <w:r>
        <w:rPr>
          <w:rFonts w:hint="eastAsia" w:ascii="宋体" w:hAnsi="宋体" w:eastAsia="宋体" w:cs="宋体"/>
          <w:color w:val="000000" w:themeColor="text1"/>
          <w:kern w:val="0"/>
          <w:sz w:val="24"/>
          <w:szCs w:val="21"/>
          <w:highlight w:val="none"/>
          <w:u w:val="none"/>
          <w:lang w:eastAsia="zh-CN"/>
          <w14:textFill>
            <w14:solidFill>
              <w14:schemeClr w14:val="tx1"/>
            </w14:solidFill>
          </w14:textFill>
        </w:rPr>
        <w:t>（一）</w:t>
      </w:r>
      <w:r>
        <w:rPr>
          <w:rFonts w:hint="eastAsia" w:ascii="宋体" w:hAnsi="宋体" w:eastAsia="宋体" w:cs="宋体"/>
          <w:color w:val="000000" w:themeColor="text1"/>
          <w:kern w:val="0"/>
          <w:sz w:val="24"/>
          <w:szCs w:val="21"/>
          <w:highlight w:val="none"/>
          <w:u w:val="none"/>
          <w:lang w:val="en-US" w:eastAsia="zh-CN"/>
          <w14:textFill>
            <w14:solidFill>
              <w14:schemeClr w14:val="tx1"/>
            </w14:solidFill>
          </w14:textFill>
        </w:rPr>
        <w:t>设计部分费用为人民币___元；</w:t>
      </w:r>
    </w:p>
    <w:p w14:paraId="570BA293">
      <w:pPr>
        <w:widowControl/>
        <w:bidi w:val="0"/>
        <w:spacing w:line="360" w:lineRule="auto"/>
        <w:ind w:firstLine="640"/>
        <w:rPr>
          <w:rFonts w:hint="eastAsia" w:ascii="宋体" w:hAnsi="宋体" w:eastAsia="宋体" w:cs="宋体"/>
          <w:color w:val="000000" w:themeColor="text1"/>
          <w:kern w:val="0"/>
          <w:sz w:val="24"/>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4"/>
          <w:szCs w:val="21"/>
          <w:highlight w:val="none"/>
          <w:u w:val="none"/>
          <w:lang w:val="en-US" w:eastAsia="zh-CN"/>
          <w14:textFill>
            <w14:solidFill>
              <w14:schemeClr w14:val="tx1"/>
            </w14:solidFill>
          </w14:textFill>
        </w:rPr>
        <w:t>说明：本设计费为固定总价包干，不随施工工程量变化而调整；报价不得超过最高限价，否则视为无效投标。</w:t>
      </w:r>
    </w:p>
    <w:p w14:paraId="12ED8F54">
      <w:pPr>
        <w:widowControl/>
        <w:bidi w:val="0"/>
        <w:spacing w:line="360" w:lineRule="auto"/>
        <w:ind w:firstLine="640"/>
        <w:rPr>
          <w:rFonts w:hint="eastAsia" w:ascii="宋体" w:hAnsi="宋体" w:eastAsia="宋体" w:cs="宋体"/>
          <w:color w:val="000000" w:themeColor="text1"/>
          <w:kern w:val="0"/>
          <w:sz w:val="24"/>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4"/>
          <w:szCs w:val="21"/>
          <w:highlight w:val="none"/>
          <w:u w:val="none"/>
          <w:lang w:eastAsia="zh-CN"/>
          <w14:textFill>
            <w14:solidFill>
              <w14:schemeClr w14:val="tx1"/>
            </w14:solidFill>
          </w14:textFill>
        </w:rPr>
        <w:t>（二）</w:t>
      </w:r>
      <w:r>
        <w:rPr>
          <w:rFonts w:hint="eastAsia" w:ascii="宋体" w:hAnsi="宋体" w:eastAsia="宋体" w:cs="宋体"/>
          <w:color w:val="000000" w:themeColor="text1"/>
          <w:kern w:val="0"/>
          <w:sz w:val="24"/>
          <w:szCs w:val="21"/>
          <w:highlight w:val="none"/>
          <w:u w:val="none"/>
          <w:lang w:val="en-US" w:eastAsia="zh-CN"/>
          <w14:textFill>
            <w14:solidFill>
              <w14:schemeClr w14:val="tx1"/>
            </w14:solidFill>
          </w14:textFill>
        </w:rPr>
        <w:t>施工部分费用为固定下浮</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u w:val="none"/>
          <w:lang w:val="en-US" w:eastAsia="zh-CN"/>
          <w14:textFill>
            <w14:solidFill>
              <w14:schemeClr w14:val="tx1"/>
            </w14:solidFill>
          </w14:textFill>
        </w:rPr>
        <w:t>%；</w:t>
      </w:r>
    </w:p>
    <w:p w14:paraId="384FC3E9">
      <w:pPr>
        <w:widowControl/>
        <w:bidi w:val="0"/>
        <w:spacing w:line="360" w:lineRule="auto"/>
        <w:ind w:firstLine="640"/>
        <w:rPr>
          <w:rFonts w:hint="eastAsia" w:ascii="宋体" w:hAnsi="宋体" w:eastAsia="宋体" w:cs="宋体"/>
          <w:color w:val="000000" w:themeColor="text1"/>
          <w:kern w:val="0"/>
          <w:sz w:val="24"/>
          <w:szCs w:val="21"/>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4"/>
          <w:szCs w:val="21"/>
          <w:highlight w:val="none"/>
          <w:u w:val="none"/>
          <w:lang w:val="en-US" w:eastAsia="zh-CN"/>
          <w14:textFill>
            <w14:solidFill>
              <w14:schemeClr w14:val="tx1"/>
            </w14:solidFill>
          </w14:textFill>
        </w:rPr>
        <w:t>说明：其中施工安全文明措施费、规费、税金按国家标准执行。项目承包人应按《建设工程工程量清单计价标准》(GB/T 50500-2024)及配套定额和云南省现行计价、调价文件等相关配套计价文件，以综合单价的形式进行组价编制本项目施工预算（按编制施工预算时不下浮，结算时以施工成交固定下浮率下浮，其中施工安全文明措施费、规费、税金按国家标准执行），施工图预算主材材料价使用乙方进场施工当月昆明市《价格指导》为依据进行组价，昆明市《价格指导》中没有对应材料单价时，材料价格参照云南省建设工程材料及设备《价格信息》执行，云南省建设工程材料及设备《价格信息》中也没有对应材料单价的，以发包人、承包人、监理人、第三方造价咨询单位共同询价后的材料价为准，并经发包人审核后作为中间支付的依据。项目承包人需将施工图预算报送至发包人委托的第三方造价咨询单位进行审核，发包人保留对严重不平衡及不合理的施工预算报价进行调整的权利，项目承包人不服从其调整的，本项目合同自动失效。3、结算时，工程费用以政府行政审计或第三方审计机构审定的工程结算价为准。最终工程结算价=经审定的工程结算价*（1-成交时的下浮率）。</w:t>
      </w:r>
    </w:p>
    <w:p w14:paraId="029E835A">
      <w:pPr>
        <w:pStyle w:val="5"/>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五、工程总承包项目经理</w:t>
      </w:r>
      <w:bookmarkEnd w:id="444"/>
      <w:bookmarkEnd w:id="445"/>
      <w:bookmarkEnd w:id="446"/>
      <w:bookmarkEnd w:id="447"/>
    </w:p>
    <w:p w14:paraId="6647534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施工</w:t>
      </w:r>
      <w:r>
        <w:rPr>
          <w:rFonts w:hint="eastAsia" w:ascii="宋体" w:hAnsi="宋体" w:eastAsia="宋体" w:cs="宋体"/>
          <w:color w:val="000000" w:themeColor="text1"/>
          <w:kern w:val="0"/>
          <w:sz w:val="24"/>
          <w:szCs w:val="24"/>
          <w:highlight w:val="none"/>
          <w14:textFill>
            <w14:solidFill>
              <w14:schemeClr w14:val="tx1"/>
            </w14:solidFill>
          </w14:textFill>
        </w:rPr>
        <w:t>项目经理：</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42FB7C6">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48" w:name="_Toc16628"/>
      <w:bookmarkStart w:id="449" w:name="_Toc4943"/>
      <w:bookmarkStart w:id="450" w:name="_Toc54862170"/>
      <w:bookmarkStart w:id="451" w:name="_Toc32040"/>
      <w:r>
        <w:rPr>
          <w:rFonts w:hint="eastAsia" w:ascii="宋体" w:hAnsi="宋体" w:eastAsia="宋体" w:cs="宋体"/>
          <w:color w:val="000000" w:themeColor="text1"/>
          <w:highlight w:val="none"/>
          <w:lang w:val="zh-CN" w:eastAsia="zh-CN"/>
          <w14:textFill>
            <w14:solidFill>
              <w14:schemeClr w14:val="tx1"/>
            </w14:solidFill>
          </w14:textFill>
        </w:rPr>
        <w:t>六、合同文件构成</w:t>
      </w:r>
      <w:bookmarkEnd w:id="448"/>
      <w:bookmarkEnd w:id="449"/>
      <w:bookmarkEnd w:id="450"/>
      <w:bookmarkEnd w:id="451"/>
    </w:p>
    <w:p w14:paraId="6DE299B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本协议书与下列文件一起构成合同文件： </w:t>
      </w:r>
    </w:p>
    <w:p w14:paraId="24D3451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（1） </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成交</w:t>
      </w:r>
      <w:r>
        <w:rPr>
          <w:rFonts w:hint="eastAsia" w:ascii="宋体" w:hAnsi="宋体" w:eastAsia="宋体" w:cs="宋体"/>
          <w:color w:val="000000" w:themeColor="text1"/>
          <w:kern w:val="0"/>
          <w:sz w:val="24"/>
          <w:szCs w:val="24"/>
          <w:highlight w:val="none"/>
          <w14:textFill>
            <w14:solidFill>
              <w14:schemeClr w14:val="tx1"/>
            </w14:solidFill>
          </w14:textFill>
        </w:rPr>
        <w:t>通知书（如果有）；</w:t>
      </w:r>
    </w:p>
    <w:p w14:paraId="2EEF452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 投标函（如果有）；</w:t>
      </w:r>
    </w:p>
    <w:p w14:paraId="6C84F92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 专用合同条件及《发包人要求》等附件；</w:t>
      </w:r>
    </w:p>
    <w:p w14:paraId="4ABB27B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 通用合同条件；</w:t>
      </w:r>
    </w:p>
    <w:p w14:paraId="113B60D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 双方约定的其他合同文件。</w:t>
      </w:r>
    </w:p>
    <w:p w14:paraId="7E4DE0A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上述各项合同文件包括双方就该项合同文件所作出的补充和修改，属于同一类内容的合同文件应以最新签署的为准。专用合同条件及其附件须经合同当事人签字或盖章。</w:t>
      </w:r>
    </w:p>
    <w:p w14:paraId="245A3CFA">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52" w:name="_Toc31095"/>
      <w:bookmarkStart w:id="453" w:name="_Toc12050"/>
      <w:bookmarkStart w:id="454" w:name="_Toc20127"/>
      <w:bookmarkStart w:id="455" w:name="_Toc54862171"/>
      <w:r>
        <w:rPr>
          <w:rFonts w:hint="eastAsia" w:ascii="宋体" w:hAnsi="宋体" w:eastAsia="宋体" w:cs="宋体"/>
          <w:color w:val="000000" w:themeColor="text1"/>
          <w:highlight w:val="none"/>
          <w:lang w:val="zh-CN" w:eastAsia="zh-CN"/>
          <w14:textFill>
            <w14:solidFill>
              <w14:schemeClr w14:val="tx1"/>
            </w14:solidFill>
          </w14:textFill>
        </w:rPr>
        <w:t>七、承诺</w:t>
      </w:r>
      <w:bookmarkEnd w:id="452"/>
      <w:bookmarkEnd w:id="453"/>
      <w:bookmarkEnd w:id="454"/>
      <w:bookmarkEnd w:id="455"/>
    </w:p>
    <w:p w14:paraId="2D4D6DA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 发包人承诺按照法律规定履行项目审批手续、筹集工程建设资金并按照合同约定的期限和方式支付合同价款。</w:t>
      </w:r>
    </w:p>
    <w:p w14:paraId="0C48D34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 承包人承诺按照法律规定及合同约定组织完成工程的设计、采购和施工等工作，确保工程质量和安全，不进行转包及违法分包，并在缺陷责任期及保修期内承担相应的工程维修责任。</w:t>
      </w:r>
    </w:p>
    <w:p w14:paraId="3C8F2B9B">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56" w:name="_Toc54862172"/>
      <w:bookmarkStart w:id="457" w:name="_Toc23624"/>
      <w:bookmarkStart w:id="458" w:name="_Toc18903"/>
      <w:r>
        <w:rPr>
          <w:rFonts w:hint="eastAsia" w:ascii="宋体" w:hAnsi="宋体" w:eastAsia="宋体" w:cs="宋体"/>
          <w:color w:val="000000" w:themeColor="text1"/>
          <w:highlight w:val="none"/>
          <w:lang w:val="zh-CN" w:eastAsia="zh-CN"/>
          <w14:textFill>
            <w14:solidFill>
              <w14:schemeClr w14:val="tx1"/>
            </w14:solidFill>
          </w14:textFill>
        </w:rPr>
        <w:t>八、订立时间</w:t>
      </w:r>
      <w:bookmarkEnd w:id="456"/>
      <w:bookmarkEnd w:id="457"/>
      <w:bookmarkEnd w:id="458"/>
    </w:p>
    <w:p w14:paraId="5059A75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本合同于</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年</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月</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1"/>
          <w:highlight w:val="none"/>
          <w14:textFill>
            <w14:solidFill>
              <w14:schemeClr w14:val="tx1"/>
            </w14:solidFill>
          </w14:textFill>
        </w:rPr>
        <w:t>日</w:t>
      </w:r>
      <w:r>
        <w:rPr>
          <w:rFonts w:hint="eastAsia" w:ascii="宋体" w:hAnsi="宋体" w:eastAsia="宋体" w:cs="宋体"/>
          <w:color w:val="000000" w:themeColor="text1"/>
          <w:kern w:val="0"/>
          <w:sz w:val="24"/>
          <w:szCs w:val="24"/>
          <w:highlight w:val="none"/>
          <w14:textFill>
            <w14:solidFill>
              <w14:schemeClr w14:val="tx1"/>
            </w14:solidFill>
          </w14:textFill>
        </w:rPr>
        <w:t>订立。</w:t>
      </w:r>
    </w:p>
    <w:p w14:paraId="134EA72D">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59" w:name="_Toc54862173"/>
      <w:bookmarkStart w:id="460" w:name="_Toc15641"/>
      <w:bookmarkStart w:id="461" w:name="_Toc3816"/>
      <w:bookmarkStart w:id="462" w:name="_Toc12421"/>
      <w:r>
        <w:rPr>
          <w:rFonts w:hint="eastAsia" w:ascii="宋体" w:hAnsi="宋体" w:eastAsia="宋体" w:cs="宋体"/>
          <w:color w:val="000000" w:themeColor="text1"/>
          <w:highlight w:val="none"/>
          <w:lang w:val="zh-CN" w:eastAsia="zh-CN"/>
          <w14:textFill>
            <w14:solidFill>
              <w14:schemeClr w14:val="tx1"/>
            </w14:solidFill>
          </w14:textFill>
        </w:rPr>
        <w:t>九、订立地点</w:t>
      </w:r>
      <w:bookmarkEnd w:id="459"/>
      <w:bookmarkEnd w:id="460"/>
      <w:bookmarkEnd w:id="461"/>
      <w:bookmarkEnd w:id="462"/>
    </w:p>
    <w:p w14:paraId="48EE5A4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本合同在</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订立。</w:t>
      </w:r>
    </w:p>
    <w:p w14:paraId="24A1CBA2">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63" w:name="_Toc21761"/>
      <w:bookmarkStart w:id="464" w:name="_Toc32723"/>
      <w:bookmarkStart w:id="465" w:name="_Toc54862174"/>
      <w:bookmarkStart w:id="466" w:name="_Toc32615"/>
      <w:r>
        <w:rPr>
          <w:rFonts w:hint="eastAsia" w:ascii="宋体" w:hAnsi="宋体" w:eastAsia="宋体" w:cs="宋体"/>
          <w:color w:val="000000" w:themeColor="text1"/>
          <w:highlight w:val="none"/>
          <w:lang w:val="zh-CN" w:eastAsia="zh-CN"/>
          <w14:textFill>
            <w14:solidFill>
              <w14:schemeClr w14:val="tx1"/>
            </w14:solidFill>
          </w14:textFill>
        </w:rPr>
        <w:t>十、合同生效</w:t>
      </w:r>
      <w:bookmarkEnd w:id="463"/>
      <w:bookmarkEnd w:id="464"/>
      <w:bookmarkEnd w:id="465"/>
      <w:bookmarkEnd w:id="466"/>
    </w:p>
    <w:p w14:paraId="1647373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本合同经双方签字或盖章后成立，并自</w:t>
      </w:r>
      <w:r>
        <w:rPr>
          <w:rFonts w:hint="eastAsia" w:ascii="宋体" w:hAnsi="宋体" w:eastAsia="宋体" w:cs="宋体"/>
          <w:color w:val="000000" w:themeColor="text1"/>
          <w:kern w:val="0"/>
          <w:sz w:val="24"/>
          <w:szCs w:val="24"/>
          <w:highlight w:val="none"/>
          <w:u w:val="single"/>
          <w14:textFill>
            <w14:solidFill>
              <w14:schemeClr w14:val="tx1"/>
            </w14:solidFill>
          </w14:textFill>
        </w:rPr>
        <w:t>双方签字盖章后</w:t>
      </w:r>
      <w:r>
        <w:rPr>
          <w:rFonts w:hint="eastAsia" w:ascii="宋体" w:hAnsi="宋体" w:eastAsia="宋体" w:cs="宋体"/>
          <w:color w:val="000000" w:themeColor="text1"/>
          <w:kern w:val="0"/>
          <w:sz w:val="24"/>
          <w:szCs w:val="24"/>
          <w:highlight w:val="none"/>
          <w14:textFill>
            <w14:solidFill>
              <w14:schemeClr w14:val="tx1"/>
            </w14:solidFill>
          </w14:textFill>
        </w:rPr>
        <w:t>生效。</w:t>
      </w:r>
    </w:p>
    <w:p w14:paraId="485568B9">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67" w:name="_Toc23351"/>
      <w:bookmarkStart w:id="468" w:name="_Toc54862175"/>
      <w:bookmarkStart w:id="469" w:name="_Toc27798"/>
      <w:bookmarkStart w:id="470" w:name="_Toc9777"/>
      <w:r>
        <w:rPr>
          <w:rFonts w:hint="eastAsia" w:ascii="宋体" w:hAnsi="宋体" w:eastAsia="宋体" w:cs="宋体"/>
          <w:color w:val="000000" w:themeColor="text1"/>
          <w:highlight w:val="none"/>
          <w:lang w:val="zh-CN" w:eastAsia="zh-CN"/>
          <w14:textFill>
            <w14:solidFill>
              <w14:schemeClr w14:val="tx1"/>
            </w14:solidFill>
          </w14:textFill>
        </w:rPr>
        <w:t>十一、合同份数</w:t>
      </w:r>
      <w:bookmarkEnd w:id="467"/>
      <w:bookmarkEnd w:id="468"/>
      <w:bookmarkEnd w:id="469"/>
      <w:bookmarkEnd w:id="470"/>
    </w:p>
    <w:p w14:paraId="3358F5A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本合同一式</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十</w:t>
      </w:r>
      <w:r>
        <w:rPr>
          <w:rFonts w:hint="eastAsia" w:ascii="宋体" w:hAnsi="宋体" w:eastAsia="宋体" w:cs="宋体"/>
          <w:color w:val="000000" w:themeColor="text1"/>
          <w:kern w:val="0"/>
          <w:sz w:val="24"/>
          <w:szCs w:val="24"/>
          <w:highlight w:val="none"/>
          <w14:textFill>
            <w14:solidFill>
              <w14:schemeClr w14:val="tx1"/>
            </w14:solidFill>
          </w14:textFill>
        </w:rPr>
        <w:t>份，均具有同等法律效力，发包人执</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六</w:t>
      </w:r>
      <w:r>
        <w:rPr>
          <w:rFonts w:hint="eastAsia" w:ascii="宋体" w:hAnsi="宋体" w:eastAsia="宋体" w:cs="宋体"/>
          <w:color w:val="000000" w:themeColor="text1"/>
          <w:kern w:val="0"/>
          <w:sz w:val="24"/>
          <w:szCs w:val="24"/>
          <w:highlight w:val="none"/>
          <w14:textFill>
            <w14:solidFill>
              <w14:schemeClr w14:val="tx1"/>
            </w14:solidFill>
          </w14:textFill>
        </w:rPr>
        <w:t>份，承包人执</w:t>
      </w:r>
      <w:r>
        <w:rPr>
          <w:rFonts w:hint="eastAsia" w:ascii="宋体" w:hAnsi="宋体" w:eastAsia="宋体" w:cs="宋体"/>
          <w:color w:val="000000" w:themeColor="text1"/>
          <w:kern w:val="0"/>
          <w:sz w:val="24"/>
          <w:szCs w:val="21"/>
          <w:highlight w:val="none"/>
          <w:u w:val="single"/>
          <w:lang w:val="en-US" w:eastAsia="zh-CN"/>
          <w14:textFill>
            <w14:solidFill>
              <w14:schemeClr w14:val="tx1"/>
            </w14:solidFill>
          </w14:textFill>
        </w:rPr>
        <w:t>四</w:t>
      </w:r>
      <w:r>
        <w:rPr>
          <w:rFonts w:hint="eastAsia" w:ascii="宋体" w:hAnsi="宋体" w:eastAsia="宋体" w:cs="宋体"/>
          <w:color w:val="000000" w:themeColor="text1"/>
          <w:kern w:val="0"/>
          <w:sz w:val="24"/>
          <w:szCs w:val="24"/>
          <w:highlight w:val="none"/>
          <w14:textFill>
            <w14:solidFill>
              <w14:schemeClr w14:val="tx1"/>
            </w14:solidFill>
          </w14:textFill>
        </w:rPr>
        <w:t>份。</w:t>
      </w:r>
    </w:p>
    <w:tbl>
      <w:tblPr>
        <w:tblStyle w:val="35"/>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7D5EBB25">
        <w:tblPrEx>
          <w:tblCellMar>
            <w:top w:w="0" w:type="dxa"/>
            <w:left w:w="108" w:type="dxa"/>
            <w:bottom w:w="0" w:type="dxa"/>
            <w:right w:w="108" w:type="dxa"/>
          </w:tblCellMar>
        </w:tblPrEx>
        <w:tc>
          <w:tcPr>
            <w:tcW w:w="4507" w:type="dxa"/>
            <w:shd w:val="clear" w:color="auto" w:fill="auto"/>
            <w:noWrap w:val="0"/>
            <w:vAlign w:val="top"/>
          </w:tcPr>
          <w:p w14:paraId="151995E9">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发包人：（公章）</w:t>
            </w:r>
          </w:p>
          <w:p w14:paraId="05BCB7A0">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p>
          <w:p w14:paraId="04D572F4">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p>
        </w:tc>
        <w:tc>
          <w:tcPr>
            <w:tcW w:w="4565" w:type="dxa"/>
            <w:shd w:val="clear" w:color="auto" w:fill="auto"/>
            <w:noWrap w:val="0"/>
            <w:vAlign w:val="top"/>
          </w:tcPr>
          <w:p w14:paraId="7C11F23E">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承包人：（公章）</w:t>
            </w:r>
          </w:p>
          <w:p w14:paraId="3064255B">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p>
          <w:p w14:paraId="6A02CDF6">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p>
        </w:tc>
      </w:tr>
      <w:tr w14:paraId="507A708C">
        <w:tblPrEx>
          <w:tblCellMar>
            <w:top w:w="0" w:type="dxa"/>
            <w:left w:w="108" w:type="dxa"/>
            <w:bottom w:w="0" w:type="dxa"/>
            <w:right w:w="108" w:type="dxa"/>
          </w:tblCellMar>
        </w:tblPrEx>
        <w:tc>
          <w:tcPr>
            <w:tcW w:w="4507" w:type="dxa"/>
            <w:shd w:val="clear" w:color="auto" w:fill="auto"/>
            <w:noWrap w:val="0"/>
            <w:vAlign w:val="top"/>
          </w:tcPr>
          <w:p w14:paraId="21A9E428">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法定代表人或其委托代理人：</w:t>
            </w:r>
          </w:p>
          <w:p w14:paraId="36544652">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（签字）</w:t>
            </w:r>
          </w:p>
          <w:p w14:paraId="194DEFFB">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p>
        </w:tc>
        <w:tc>
          <w:tcPr>
            <w:tcW w:w="4565" w:type="dxa"/>
            <w:shd w:val="clear" w:color="auto" w:fill="auto"/>
            <w:noWrap w:val="0"/>
            <w:vAlign w:val="top"/>
          </w:tcPr>
          <w:p w14:paraId="3ABE1BF5">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法定代表人或其委托代理人：</w:t>
            </w:r>
          </w:p>
          <w:p w14:paraId="5F291AD4">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（签字）</w:t>
            </w:r>
          </w:p>
          <w:p w14:paraId="5CA1E19C">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p>
        </w:tc>
      </w:tr>
      <w:tr w14:paraId="7D52FD97">
        <w:tblPrEx>
          <w:tblCellMar>
            <w:top w:w="0" w:type="dxa"/>
            <w:left w:w="108" w:type="dxa"/>
            <w:bottom w:w="0" w:type="dxa"/>
            <w:right w:w="108" w:type="dxa"/>
          </w:tblCellMar>
        </w:tblPrEx>
        <w:tc>
          <w:tcPr>
            <w:tcW w:w="4507" w:type="dxa"/>
            <w:shd w:val="clear" w:color="auto" w:fill="auto"/>
            <w:noWrap w:val="0"/>
            <w:vAlign w:val="top"/>
          </w:tcPr>
          <w:p w14:paraId="637D69C2">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统一社会信用代码：</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6E5F18D8">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地址：</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2FA3E0E5">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邮政编码：</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0468FF20">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法定代表人：</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339E1B67">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委托代理人：</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4CA1FACE">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电话：</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4C76187F">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 xml:space="preserve">传真： </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1D92F69D">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电子信箱：</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1542B5D2">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开户银行：</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6459BB03">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账号：</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tc>
        <w:tc>
          <w:tcPr>
            <w:tcW w:w="4565" w:type="dxa"/>
            <w:shd w:val="clear" w:color="auto" w:fill="auto"/>
            <w:noWrap w:val="0"/>
            <w:vAlign w:val="top"/>
          </w:tcPr>
          <w:p w14:paraId="3254B3F9">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统一社会信用代码：</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18ED854C">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地址：</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055E3BB3">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邮政编码：</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6E6E95B4">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法定代表人：</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25B5EF14">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委托代理人：</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3F215065">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电话：</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467B4756">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传真：</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2DB7564C">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电子信箱：</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4B883471">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开户银行：</w:t>
            </w:r>
            <w:r>
              <w:rPr>
                <w:rFonts w:hint="eastAsia" w:ascii="宋体" w:hAnsi="宋体" w:eastAsia="宋体" w:cs="宋体"/>
                <w:color w:val="000000" w:themeColor="text1"/>
                <w:kern w:val="0"/>
                <w:sz w:val="22"/>
                <w:szCs w:val="22"/>
                <w:highlight w:val="none"/>
                <w:u w:val="single"/>
                <w:lang w:val="en-US" w:eastAsia="zh-CN" w:bidi="ar-SA"/>
                <w14:textFill>
                  <w14:solidFill>
                    <w14:schemeClr w14:val="tx1"/>
                  </w14:solidFill>
                </w14:textFill>
              </w:rPr>
              <w:t xml:space="preserve">                   </w:t>
            </w:r>
          </w:p>
          <w:p w14:paraId="4D4570E1">
            <w:pPr>
              <w:adjustRightInd w:val="0"/>
              <w:snapToGrid w:val="0"/>
              <w:spacing w:after="50" w:line="240" w:lineRule="auto"/>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账号：</w:t>
            </w:r>
            <w:r>
              <w:rPr>
                <w:rFonts w:hint="eastAsia" w:ascii="宋体" w:hAnsi="宋体" w:eastAsia="宋体" w:cs="宋体"/>
                <w:color w:val="000000" w:themeColor="text1"/>
                <w:kern w:val="2"/>
                <w:sz w:val="22"/>
                <w:szCs w:val="22"/>
                <w:highlight w:val="none"/>
                <w:u w:val="single"/>
                <w:lang w:val="en-US" w:eastAsia="zh-CN" w:bidi="ar-SA"/>
                <w14:textFill>
                  <w14:solidFill>
                    <w14:schemeClr w14:val="tx1"/>
                  </w14:solidFill>
                </w14:textFill>
              </w:rPr>
              <w:t xml:space="preserve">                       </w:t>
            </w:r>
          </w:p>
        </w:tc>
      </w:tr>
    </w:tbl>
    <w:p w14:paraId="183D3A79">
      <w:pPr>
        <w:wordWrap/>
        <w:topLinePunct w:val="0"/>
        <w:rPr>
          <w:rFonts w:hint="eastAsia" w:ascii="宋体" w:hAnsi="宋体" w:eastAsia="宋体" w:cs="宋体"/>
          <w:color w:val="000000" w:themeColor="text1"/>
          <w:highlight w:val="none"/>
          <w14:textFill>
            <w14:solidFill>
              <w14:schemeClr w14:val="tx1"/>
            </w14:solidFill>
          </w14:textFill>
        </w:rPr>
        <w:sectPr>
          <w:footerReference r:id="rId11" w:type="default"/>
          <w:pgSz w:w="11906" w:h="16838"/>
          <w:pgMar w:top="1440" w:right="1080" w:bottom="1440" w:left="1080" w:header="720" w:footer="850" w:gutter="0"/>
          <w:pgNumType w:fmt="decimal"/>
          <w:cols w:space="720" w:num="1"/>
          <w:docGrid w:linePitch="326" w:charSpace="0"/>
        </w:sectPr>
      </w:pPr>
      <w:r>
        <w:rPr>
          <w:rFonts w:hint="eastAsia" w:ascii="宋体" w:hAnsi="宋体" w:eastAsia="宋体" w:cs="宋体"/>
          <w:color w:val="000000" w:themeColor="text1"/>
          <w:kern w:val="0"/>
          <w:sz w:val="24"/>
          <w:szCs w:val="24"/>
          <w:highlight w:val="none"/>
          <w14:textFill>
            <w14:solidFill>
              <w14:schemeClr w14:val="tx1"/>
            </w14:solidFill>
          </w14:textFill>
        </w:rPr>
        <w:tab/>
      </w:r>
    </w:p>
    <w:p w14:paraId="0A022B69">
      <w:pPr>
        <w:pStyle w:val="4"/>
        <w:bidi w:val="0"/>
        <w:ind w:left="0" w:leftChars="0" w:firstLine="0" w:firstLineChars="0"/>
        <w:jc w:val="center"/>
        <w:rPr>
          <w:rFonts w:hint="eastAsia" w:ascii="宋体" w:hAnsi="宋体" w:eastAsia="宋体" w:cs="宋体"/>
          <w:color w:val="000000" w:themeColor="text1"/>
          <w:highlight w:val="none"/>
          <w:lang w:val="zh-CN" w:eastAsia="zh-CN"/>
          <w14:textFill>
            <w14:solidFill>
              <w14:schemeClr w14:val="tx1"/>
            </w14:solidFill>
          </w14:textFill>
        </w:rPr>
      </w:pPr>
      <w:bookmarkStart w:id="471" w:name="_Toc54862176"/>
      <w:bookmarkStart w:id="472" w:name="_Toc10283"/>
      <w:r>
        <w:rPr>
          <w:rFonts w:hint="eastAsia" w:ascii="宋体" w:hAnsi="宋体" w:eastAsia="宋体" w:cs="宋体"/>
          <w:color w:val="000000" w:themeColor="text1"/>
          <w:highlight w:val="none"/>
          <w:lang w:val="zh-CN" w:eastAsia="zh-CN"/>
          <w14:textFill>
            <w14:solidFill>
              <w14:schemeClr w14:val="tx1"/>
            </w14:solidFill>
          </w14:textFill>
        </w:rPr>
        <w:t>第二部分 通用合同条件</w:t>
      </w:r>
      <w:bookmarkEnd w:id="471"/>
      <w:bookmarkEnd w:id="472"/>
    </w:p>
    <w:p w14:paraId="270EEC6C">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473" w:name="_Toc10911"/>
      <w:bookmarkStart w:id="474" w:name="_Toc19903"/>
      <w:bookmarkStart w:id="475" w:name="_Toc10502"/>
      <w:bookmarkStart w:id="476" w:name="_Ref508893699"/>
      <w:bookmarkStart w:id="477" w:name="_Toc54862177"/>
      <w:bookmarkStart w:id="478" w:name="_Ref509040826"/>
      <w:bookmarkStart w:id="479" w:name="_Ref509040831"/>
      <w:r>
        <w:rPr>
          <w:rFonts w:hint="eastAsia" w:ascii="宋体" w:hAnsi="宋体" w:eastAsia="宋体" w:cs="宋体"/>
          <w:color w:val="000000" w:themeColor="text1"/>
          <w:highlight w:val="none"/>
          <w:lang w:val="zh-CN" w:eastAsia="zh-CN"/>
          <w14:textFill>
            <w14:solidFill>
              <w14:schemeClr w14:val="tx1"/>
            </w14:solidFill>
          </w14:textFill>
        </w:rPr>
        <w:t>第1条 一般约定</w:t>
      </w:r>
      <w:bookmarkEnd w:id="473"/>
      <w:bookmarkEnd w:id="474"/>
      <w:bookmarkEnd w:id="475"/>
      <w:bookmarkEnd w:id="476"/>
      <w:bookmarkEnd w:id="477"/>
    </w:p>
    <w:p w14:paraId="0AECBD9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480" w:name="_Ref523741474"/>
      <w:bookmarkStart w:id="481" w:name="_Ref523741471"/>
      <w:bookmarkStart w:id="482" w:name="_Toc54862178"/>
      <w:r>
        <w:rPr>
          <w:rFonts w:hint="eastAsia" w:ascii="宋体" w:hAnsi="宋体" w:eastAsia="宋体" w:cs="宋体"/>
          <w:color w:val="000000" w:themeColor="text1"/>
          <w:highlight w:val="none"/>
          <w:lang w:val="zh-CN" w:eastAsia="zh-CN"/>
          <w14:textFill>
            <w14:solidFill>
              <w14:schemeClr w14:val="tx1"/>
            </w14:solidFill>
          </w14:textFill>
        </w:rPr>
        <w:t>1.1 词语定义和解释</w:t>
      </w:r>
      <w:bookmarkEnd w:id="478"/>
      <w:bookmarkEnd w:id="479"/>
      <w:bookmarkEnd w:id="480"/>
      <w:bookmarkEnd w:id="481"/>
      <w:bookmarkEnd w:id="482"/>
    </w:p>
    <w:p w14:paraId="616F7A8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合同协议书、通用合同条件、专用合同条件中的下列词语应具有本款所赋予的含义：</w:t>
      </w:r>
    </w:p>
    <w:p w14:paraId="69617DA1">
      <w:pPr>
        <w:bidi w:val="0"/>
        <w:rPr>
          <w:rFonts w:hint="eastAsia" w:ascii="宋体" w:hAnsi="宋体" w:eastAsia="宋体" w:cs="宋体"/>
          <w:color w:val="000000" w:themeColor="text1"/>
          <w:highlight w:val="none"/>
          <w14:textFill>
            <w14:solidFill>
              <w14:schemeClr w14:val="tx1"/>
            </w14:solidFill>
          </w14:textFill>
        </w:rPr>
      </w:pPr>
      <w:bookmarkStart w:id="483" w:name="_Ref4757289"/>
      <w:bookmarkStart w:id="484" w:name="_Ref521288340"/>
      <w:r>
        <w:rPr>
          <w:rFonts w:hint="eastAsia" w:ascii="宋体" w:hAnsi="宋体" w:eastAsia="宋体" w:cs="宋体"/>
          <w:color w:val="000000" w:themeColor="text1"/>
          <w:highlight w:val="none"/>
          <w14:textFill>
            <w14:solidFill>
              <w14:schemeClr w14:val="tx1"/>
            </w14:solidFill>
          </w14:textFill>
        </w:rPr>
        <w:t>1.1.1 合同</w:t>
      </w:r>
      <w:bookmarkEnd w:id="483"/>
    </w:p>
    <w:p w14:paraId="5F8B081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1.1.1.1 合同：是指根据法律规定和合同当事人约定具有约束力的文件，构成合同的文件包括合同协议书、</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通知书（如果有）、投标函及其附录（如果有）、专用合同条件及其附件、通用合同条件、《发包人要求》、承包人建议书、价格清单以及双方约定的其他合同文件。</w:t>
      </w:r>
    </w:p>
    <w:p w14:paraId="113C6D7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1.1.1.2 合同协议书：是指构成合同的由发包人和承包人共同签署的称为“合同协议书”的书面文件。</w:t>
      </w:r>
    </w:p>
    <w:p w14:paraId="44A8477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1.1.1.3 </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通知书：是指构成合同的由发包人通知承包人</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的书面文件。</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通知书随附的澄清、说明、补正事项纪要等，是</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通知书的组成部分。</w:t>
      </w:r>
    </w:p>
    <w:p w14:paraId="23E1877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1.1.1.4 投标函：是指构成合同的由承包人填写并签署的用于投标的称为“投标函”的文件。</w:t>
      </w:r>
    </w:p>
    <w:p w14:paraId="619A73F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1.1.1.5 投标函附录：是指构成合同的附在投标函后的称为“投标函附录”的文件。</w:t>
      </w:r>
    </w:p>
    <w:p w14:paraId="6DB4933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1.1.1.6 《发包人要求》：指构成合同文件组成部分的名为《发包人要求》的文件，其中列明工程的目的、范围、设计与其他技术标准和要求，以及合同双方当事人约定对其所作的修改或补充。</w:t>
      </w:r>
    </w:p>
    <w:p w14:paraId="1828948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1.1.1.7 项目清单：是指发包人提供的载明工程总承包项目勘察费（如果有）、设计费、建筑安装工程费、设备购置费、暂估价、暂列金额和双方约定的其他费用的名称和相应数量等内容的项目明细。</w:t>
      </w:r>
    </w:p>
    <w:p w14:paraId="2B8746C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1.1.1.8 价格清单：指构成合同文件组成部分的由承包人按发包人提供的项目清单规定的格式和要求填写并标明价格的清单。</w:t>
      </w:r>
    </w:p>
    <w:p w14:paraId="3AC5CD6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1.1.1.9 承包人建议书：指构成合同文件组成部分的名为承包人建议书的文件。承包人建议书由承包人随投标函一起提交。</w:t>
      </w:r>
    </w:p>
    <w:p w14:paraId="442C4745">
      <w:pPr>
        <w:bidi w:val="0"/>
        <w:rPr>
          <w:rFonts w:hint="eastAsia" w:ascii="宋体" w:hAnsi="宋体" w:eastAsia="宋体" w:cs="宋体"/>
          <w:color w:val="000000" w:themeColor="text1"/>
          <w:highlight w:val="none"/>
          <w14:textFill>
            <w14:solidFill>
              <w14:schemeClr w14:val="tx1"/>
            </w14:solidFill>
          </w14:textFill>
        </w:rPr>
      </w:pPr>
      <w:bookmarkStart w:id="485" w:name="_Ref4415300"/>
      <w:r>
        <w:rPr>
          <w:rFonts w:hint="eastAsia" w:ascii="宋体" w:hAnsi="宋体" w:eastAsia="宋体" w:cs="宋体"/>
          <w:color w:val="000000" w:themeColor="text1"/>
          <w:highlight w:val="none"/>
          <w14:textFill>
            <w14:solidFill>
              <w14:schemeClr w14:val="tx1"/>
            </w14:solidFill>
          </w14:textFill>
        </w:rPr>
        <w:t>1.1.1.10 其他合同文件：是指经合同当事人约定的与工程实施有关的具有合同约束力的文件或书面协议。合同当事人可以在专用合同条件中进行约定。</w:t>
      </w:r>
      <w:bookmarkEnd w:id="485"/>
    </w:p>
    <w:p w14:paraId="2A02D20C">
      <w:pPr>
        <w:bidi w:val="0"/>
        <w:rPr>
          <w:rFonts w:hint="eastAsia" w:ascii="宋体" w:hAnsi="宋体" w:eastAsia="宋体" w:cs="宋体"/>
          <w:color w:val="000000" w:themeColor="text1"/>
          <w:highlight w:val="none"/>
          <w14:textFill>
            <w14:solidFill>
              <w14:schemeClr w14:val="tx1"/>
            </w14:solidFill>
          </w14:textFill>
        </w:rPr>
      </w:pPr>
      <w:bookmarkStart w:id="486" w:name="_Ref4757418"/>
      <w:r>
        <w:rPr>
          <w:rFonts w:hint="eastAsia" w:ascii="宋体" w:hAnsi="宋体" w:eastAsia="宋体" w:cs="宋体"/>
          <w:color w:val="000000" w:themeColor="text1"/>
          <w:highlight w:val="none"/>
          <w14:textFill>
            <w14:solidFill>
              <w14:schemeClr w14:val="tx1"/>
            </w14:solidFill>
          </w14:textFill>
        </w:rPr>
        <w:t>1.1.2 合同当事人及其他相关方</w:t>
      </w:r>
      <w:bookmarkEnd w:id="486"/>
    </w:p>
    <w:p w14:paraId="6FC216D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1.1.2.1 合同当事人：是指发包人和（或）承包人。</w:t>
      </w:r>
    </w:p>
    <w:p w14:paraId="311F93F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1.1.2.2 发包人：是指与承包人订立合同协议书的当事人及取得该当事人资格的合法继受人。本合同中“因发包人原因”里的“发包人”包括发包人及所有发包人人员。</w:t>
      </w:r>
    </w:p>
    <w:p w14:paraId="2869260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1.1.2.3 承包人：是指与发包人订立合同协议书的当事人及取得该当事人资格的合法继受人。</w:t>
      </w:r>
    </w:p>
    <w:p w14:paraId="009C561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1.1.2.4 联合体：是指经发包人同意由两个或两个以上法人或者其他组织组成的，作为承包人的临时机构。</w:t>
      </w:r>
    </w:p>
    <w:p w14:paraId="3373D8A6">
      <w:pPr>
        <w:bidi w:val="0"/>
        <w:rPr>
          <w:rFonts w:hint="eastAsia" w:ascii="宋体" w:hAnsi="宋体" w:eastAsia="宋体" w:cs="宋体"/>
          <w:color w:val="000000" w:themeColor="text1"/>
          <w:highlight w:val="none"/>
          <w14:textFill>
            <w14:solidFill>
              <w14:schemeClr w14:val="tx1"/>
            </w14:solidFill>
          </w14:textFill>
        </w:rPr>
      </w:pPr>
      <w:bookmarkStart w:id="487" w:name="_Ref4420046"/>
      <w:r>
        <w:rPr>
          <w:rFonts w:hint="eastAsia" w:ascii="宋体" w:hAnsi="宋体" w:eastAsia="宋体" w:cs="宋体"/>
          <w:color w:val="000000" w:themeColor="text1"/>
          <w:highlight w:val="none"/>
          <w14:textFill>
            <w14:solidFill>
              <w14:schemeClr w14:val="tx1"/>
            </w14:solidFill>
          </w14:textFill>
        </w:rPr>
        <w:t>1.1.2.5 发包人代表：是指由发包人任命并派驻工作现场，在发包人授权范围内行使发包人权利和履行发包人义务的人。</w:t>
      </w:r>
    </w:p>
    <w:p w14:paraId="41074076">
      <w:pPr>
        <w:bidi w:val="0"/>
        <w:rPr>
          <w:rFonts w:hint="eastAsia" w:ascii="宋体" w:hAnsi="宋体" w:eastAsia="宋体" w:cs="宋体"/>
          <w:color w:val="000000" w:themeColor="text1"/>
          <w:highlight w:val="none"/>
          <w14:textFill>
            <w14:solidFill>
              <w14:schemeClr w14:val="tx1"/>
            </w14:solidFill>
          </w14:textFill>
        </w:rPr>
      </w:pPr>
      <w:bookmarkStart w:id="488" w:name="_Ref4756982"/>
      <w:r>
        <w:rPr>
          <w:rFonts w:hint="eastAsia" w:ascii="宋体" w:hAnsi="宋体" w:eastAsia="宋体" w:cs="宋体"/>
          <w:color w:val="000000" w:themeColor="text1"/>
          <w:highlight w:val="none"/>
          <w14:textFill>
            <w14:solidFill>
              <w14:schemeClr w14:val="tx1"/>
            </w14:solidFill>
          </w14:textFill>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487"/>
      <w:bookmarkEnd w:id="488"/>
    </w:p>
    <w:p w14:paraId="76996B3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1.1.2.7 工程总承包项目经理：是指由承包人任命的，在承包人授权范围内负责合同履行的管理，且按照法律规定具有相应资格的项目负责人。</w:t>
      </w:r>
    </w:p>
    <w:p w14:paraId="3B847EF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1.1.2.8 设计负责人：是指承包人指定负责组织、指导、协调设计工作并具有相应资格的人员。</w:t>
      </w:r>
    </w:p>
    <w:p w14:paraId="4F81C35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1.1.2.9 采购负责人：是指承包人指定负责组织、指导、协调采购工作的人员。</w:t>
      </w:r>
    </w:p>
    <w:p w14:paraId="13B8D5A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1.1.2.10 施工负责人：是指承包人指定负责组织、指导、协调施工工作并具有相应资格的人员。</w:t>
      </w:r>
    </w:p>
    <w:p w14:paraId="1747CEA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1.1.2.11 分包人：是指按照法律规定和合同约定，分包部分工程或工作，并与承包人订立分包合同的具有相应资质或资格的法人或其他组织。</w:t>
      </w:r>
    </w:p>
    <w:p w14:paraId="3F3258ED">
      <w:pPr>
        <w:bidi w:val="0"/>
        <w:rPr>
          <w:rFonts w:hint="eastAsia" w:ascii="宋体" w:hAnsi="宋体" w:eastAsia="宋体" w:cs="宋体"/>
          <w:color w:val="000000" w:themeColor="text1"/>
          <w:highlight w:val="none"/>
          <w14:textFill>
            <w14:solidFill>
              <w14:schemeClr w14:val="tx1"/>
            </w14:solidFill>
          </w14:textFill>
        </w:rPr>
      </w:pPr>
      <w:bookmarkStart w:id="489" w:name="_Ref4758319"/>
      <w:r>
        <w:rPr>
          <w:rFonts w:hint="eastAsia" w:ascii="宋体" w:hAnsi="宋体" w:eastAsia="宋体" w:cs="宋体"/>
          <w:color w:val="000000" w:themeColor="text1"/>
          <w:highlight w:val="none"/>
          <w14:textFill>
            <w14:solidFill>
              <w14:schemeClr w14:val="tx1"/>
            </w14:solidFill>
          </w14:textFill>
        </w:rPr>
        <w:t>1.1.3 工程和设备</w:t>
      </w:r>
      <w:bookmarkEnd w:id="489"/>
    </w:p>
    <w:p w14:paraId="5331483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1.1.3.1 工程：是指与合同协议书中工程承包范围对应的永久工程和（或）临时工程。</w:t>
      </w:r>
    </w:p>
    <w:p w14:paraId="05DDC49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1.1.3.2 工程实施：是指进行工程的设计、采购、施工和竣工以及对工程任何缺陷的修复。</w:t>
      </w:r>
    </w:p>
    <w:p w14:paraId="7DAAEA1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1.1.3.3 永久工程：是指按合同约定建造并移交给发包人的工程，包括工程设备。</w:t>
      </w:r>
    </w:p>
    <w:p w14:paraId="558600D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1.1.3.4 临时工程：是指为完成合同约定的永久工程所修建的各类临时性工程，不包括施工设备。</w:t>
      </w:r>
    </w:p>
    <w:p w14:paraId="56737365">
      <w:pPr>
        <w:bidi w:val="0"/>
        <w:rPr>
          <w:rFonts w:hint="eastAsia" w:ascii="宋体" w:hAnsi="宋体" w:eastAsia="宋体" w:cs="宋体"/>
          <w:color w:val="000000" w:themeColor="text1"/>
          <w:highlight w:val="none"/>
          <w14:textFill>
            <w14:solidFill>
              <w14:schemeClr w14:val="tx1"/>
            </w14:solidFill>
          </w14:textFill>
        </w:rPr>
      </w:pPr>
      <w:bookmarkStart w:id="490" w:name="_Ref4419825"/>
      <w:r>
        <w:rPr>
          <w:rFonts w:hint="eastAsia" w:ascii="宋体" w:hAnsi="宋体" w:eastAsia="宋体" w:cs="宋体"/>
          <w:color w:val="000000" w:themeColor="text1"/>
          <w:highlight w:val="none"/>
          <w14:textFill>
            <w14:solidFill>
              <w14:schemeClr w14:val="tx1"/>
            </w14:solidFill>
          </w14:textFill>
        </w:rPr>
        <w:t>1.1.3.5 单位/区段工程：是指在专用合同条件中指明特定范围的，能单独接收并使用的永久工程。</w:t>
      </w:r>
      <w:bookmarkEnd w:id="490"/>
    </w:p>
    <w:p w14:paraId="5A0D6C2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1.1.3.6 工程设备：指构成永久工程的机电设备、仪器装置、运载工具及其他类似的设备和装置，包括其配件及备品、备件、易损易耗件等。</w:t>
      </w:r>
    </w:p>
    <w:p w14:paraId="14A454A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1.1.3.7 施工设备：指为完成合同约定的各项工作所需的设备、器具和其他物品，不包括工程设备、临时工程和材料。</w:t>
      </w:r>
    </w:p>
    <w:p w14:paraId="7886CFD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1.1.3.8 临时设施：指为完成合同约定的各项工作所服务的临时性生产和生活设施。</w:t>
      </w:r>
    </w:p>
    <w:p w14:paraId="14ED70BC">
      <w:pPr>
        <w:bidi w:val="0"/>
        <w:rPr>
          <w:rFonts w:hint="eastAsia" w:ascii="宋体" w:hAnsi="宋体" w:eastAsia="宋体" w:cs="宋体"/>
          <w:color w:val="000000" w:themeColor="text1"/>
          <w:highlight w:val="none"/>
          <w14:textFill>
            <w14:solidFill>
              <w14:schemeClr w14:val="tx1"/>
            </w14:solidFill>
          </w14:textFill>
        </w:rPr>
      </w:pPr>
      <w:bookmarkStart w:id="491" w:name="_Ref4420577"/>
      <w:r>
        <w:rPr>
          <w:rFonts w:hint="eastAsia" w:ascii="宋体" w:hAnsi="宋体" w:eastAsia="宋体" w:cs="宋体"/>
          <w:color w:val="000000" w:themeColor="text1"/>
          <w:highlight w:val="none"/>
          <w14:textFill>
            <w14:solidFill>
              <w14:schemeClr w14:val="tx1"/>
            </w14:solidFill>
          </w14:textFill>
        </w:rPr>
        <w:t>1.1.3.9 施工现场：是指用于工程施工的场所，以及在专用合同条件中指明作为施工场所组成部分的其他场所，包括永久占地和临时占地。</w:t>
      </w:r>
      <w:bookmarkEnd w:id="491"/>
    </w:p>
    <w:p w14:paraId="73BD7CF3">
      <w:pPr>
        <w:bidi w:val="0"/>
        <w:rPr>
          <w:rFonts w:hint="eastAsia" w:ascii="宋体" w:hAnsi="宋体" w:eastAsia="宋体" w:cs="宋体"/>
          <w:color w:val="000000" w:themeColor="text1"/>
          <w:highlight w:val="none"/>
          <w14:textFill>
            <w14:solidFill>
              <w14:schemeClr w14:val="tx1"/>
            </w14:solidFill>
          </w14:textFill>
        </w:rPr>
      </w:pPr>
      <w:bookmarkStart w:id="492" w:name="_Ref4420746"/>
      <w:r>
        <w:rPr>
          <w:rFonts w:hint="eastAsia" w:ascii="宋体" w:hAnsi="宋体" w:eastAsia="宋体" w:cs="宋体"/>
          <w:color w:val="000000" w:themeColor="text1"/>
          <w:highlight w:val="none"/>
          <w14:textFill>
            <w14:solidFill>
              <w14:schemeClr w14:val="tx1"/>
            </w14:solidFill>
          </w14:textFill>
        </w:rPr>
        <w:t>1.1.3.10 永久占地：是指专用合同条件中指明为实施工程需永久占用的土地。</w:t>
      </w:r>
      <w:bookmarkEnd w:id="492"/>
    </w:p>
    <w:p w14:paraId="1A6D20DD">
      <w:pPr>
        <w:bidi w:val="0"/>
        <w:rPr>
          <w:rFonts w:hint="eastAsia" w:ascii="宋体" w:hAnsi="宋体" w:eastAsia="宋体" w:cs="宋体"/>
          <w:color w:val="000000" w:themeColor="text1"/>
          <w:highlight w:val="none"/>
          <w14:textFill>
            <w14:solidFill>
              <w14:schemeClr w14:val="tx1"/>
            </w14:solidFill>
          </w14:textFill>
        </w:rPr>
      </w:pPr>
      <w:bookmarkStart w:id="493" w:name="_Ref4420821"/>
      <w:r>
        <w:rPr>
          <w:rFonts w:hint="eastAsia" w:ascii="宋体" w:hAnsi="宋体" w:eastAsia="宋体" w:cs="宋体"/>
          <w:color w:val="000000" w:themeColor="text1"/>
          <w:highlight w:val="none"/>
          <w14:textFill>
            <w14:solidFill>
              <w14:schemeClr w14:val="tx1"/>
            </w14:solidFill>
          </w14:textFill>
        </w:rPr>
        <w:t>1.1.3.11 临时占地：是指专用合同条件中指明为实施工程需临时占用的土地。</w:t>
      </w:r>
      <w:bookmarkEnd w:id="493"/>
    </w:p>
    <w:p w14:paraId="3D0061C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 日期和期限</w:t>
      </w:r>
    </w:p>
    <w:p w14:paraId="0FA15FF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1.1.4.1 开始工作通知：指工程师按第8.1.2项[开始工作通知]的约定通知承包人开始工作的函件。</w:t>
      </w:r>
    </w:p>
    <w:p w14:paraId="53A8B1B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2ABDD42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2D0DBDA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1.1.4.4 竣工日期：包括计划竣工日期和实际竣工日期。计划竣工日期是指合同协议书约定的竣工日期；实际竣工日期按照第8.2款[竣工日期]的约定确定。</w:t>
      </w:r>
    </w:p>
    <w:p w14:paraId="240BA23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1.1.4.5 工期：是指在合同协议书约定的承包人完成合同工作所需的期限，包括按照合同约定所作的期限变更及按合同约定承包人有权取得的工期延长。</w:t>
      </w:r>
    </w:p>
    <w:p w14:paraId="7AE4C0B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1.1.4.6 缺陷责任期：是指发包人预留工程质量保证金以保证承包人履行第11.3款[缺陷调查]下质量缺陷责任的期限。</w:t>
      </w:r>
    </w:p>
    <w:p w14:paraId="477FBBC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1.1.4.7 保修期：是指承包人按照合同约定和法律规定对工程质量承担保修责任的期限，该期限自缺陷责任期起算之日起计算。</w:t>
      </w:r>
    </w:p>
    <w:p w14:paraId="5A59BE0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1.1.4.8 基准日期：招标发包的工程以投标截止日前28天的日期为基准日期，直接发包的工程以合同订立日前28天的日期为基准日期。</w:t>
      </w:r>
    </w:p>
    <w:p w14:paraId="31434E2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1.1.4.9 天：除特别指明外，均指日历天。合同中按天计算时间的，开始当天不计入，从次日开始计算。期限最后一天的截止时间为当天24:00。</w:t>
      </w:r>
    </w:p>
    <w:p w14:paraId="70EF13A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1.1.4.10 竣工试验：是指在工程竣工验收前，根据第9条[竣工试验]要求进行的试验。</w:t>
      </w:r>
    </w:p>
    <w:p w14:paraId="3D1F277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1.1.4.11 竣工验收：是指承包人完成了合同约定的各项内容后，发包人按合同要求进行的验收。</w:t>
      </w:r>
    </w:p>
    <w:p w14:paraId="1D07ABA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1.1.4.12 竣工后试验：是指在工程竣工验收后，根据第12条[竣工后试验]约定进行的试验。</w:t>
      </w:r>
    </w:p>
    <w:p w14:paraId="22933BE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1.1.5 合同价格和费用</w:t>
      </w:r>
    </w:p>
    <w:p w14:paraId="6DA5999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1.1.5.1 签约合同价：是指发包人和承包人在合同协议书中确定的总金额，包括暂估价及暂列金额等。</w:t>
      </w:r>
    </w:p>
    <w:p w14:paraId="55851BF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1.1.5.2 合同价格：是指发包人用于支付承包人按照合同约定完成承包范围内全部工作的金额，包括合同履行过程中按合同约定发生的价格变化。</w:t>
      </w:r>
    </w:p>
    <w:p w14:paraId="5F99CBD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1.1.5.3 费用：是指为履行合同所发生的或将要发生的所有合理开支，包括管理费和应分摊的其他费用，但不包括利润。</w:t>
      </w:r>
    </w:p>
    <w:p w14:paraId="5092DA1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1.1.5.4 人工费：是指支付给直接从事建筑安装工程施工作业的建筑工人的各项费用。</w:t>
      </w:r>
    </w:p>
    <w:p w14:paraId="5A3068E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1.1.5.5 暂估价：</w:t>
      </w:r>
      <w:bookmarkStart w:id="494" w:name="_Hlk18973781"/>
      <w:r>
        <w:rPr>
          <w:rFonts w:hint="eastAsia" w:ascii="宋体" w:hAnsi="宋体" w:eastAsia="宋体" w:cs="宋体"/>
          <w:color w:val="000000" w:themeColor="text1"/>
          <w:highlight w:val="none"/>
          <w14:textFill>
            <w14:solidFill>
              <w14:schemeClr w14:val="tx1"/>
            </w14:solidFill>
          </w14:textFill>
        </w:rPr>
        <w:t>是指发包人在项目清单中给定的，用于支付必然发生但暂时不能确定价格的专业服务、材料、设备、专业工程的金额。</w:t>
      </w:r>
      <w:bookmarkEnd w:id="494"/>
    </w:p>
    <w:p w14:paraId="4FE5FD3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1.1.5.6 暂列金额：是指发包人在项目清单中给定的，用于在订立协议书时尚未确定或不可预见变更的设计、施工及其所需材料、工程设备、服务等的金额，包括以计日工方式支付的金额。</w:t>
      </w:r>
    </w:p>
    <w:p w14:paraId="4F82AB5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1.1.5.7 计日工：是指合同履行过程中，承包人完成发包人提出的零星工作或需要采用计日工计价的变更工作时，按合同中约定的单价计价的一种方式。</w:t>
      </w:r>
    </w:p>
    <w:p w14:paraId="341FD21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1.1.5.8 质量保证金：是指按第14.6款[质量保证金]约定承包人用于保证其在缺陷责任期内履行缺陷修复义务的担保。</w:t>
      </w:r>
    </w:p>
    <w:p w14:paraId="5A334F4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1.1.6 其他</w:t>
      </w:r>
    </w:p>
    <w:p w14:paraId="6B33A37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1.1.6.1 书面形式：指合同文件、信函、电报、传真、数据电文、电子邮件、会议纪要等可以有形地表现所载内容的形式。</w:t>
      </w:r>
    </w:p>
    <w:p w14:paraId="206C389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1.1.6.2 承包人文件：指由承包人根据合同约定应提交的所有图纸、手册、模型、计算书、软件、函件、洽商性文件和其他技术性文件。</w:t>
      </w:r>
    </w:p>
    <w:p w14:paraId="7B7E63F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1.1.6.3 变更：指根据第13条[变更与调整]的约定，经指示或批准对《发包人要求》或工程所做的改变。</w:t>
      </w:r>
    </w:p>
    <w:bookmarkEnd w:id="484"/>
    <w:p w14:paraId="37F942E7">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495" w:name="_Ref509042101"/>
      <w:bookmarkStart w:id="496" w:name="_Toc54862179"/>
      <w:bookmarkStart w:id="497" w:name="_Ref509042104"/>
      <w:bookmarkStart w:id="498" w:name="_Ref522730353"/>
      <w:bookmarkStart w:id="499" w:name="_Ref522730349"/>
      <w:r>
        <w:rPr>
          <w:rFonts w:hint="eastAsia" w:ascii="宋体" w:hAnsi="宋体" w:eastAsia="宋体" w:cs="宋体"/>
          <w:color w:val="000000" w:themeColor="text1"/>
          <w:highlight w:val="none"/>
          <w:lang w:val="zh-CN" w:eastAsia="zh-CN"/>
          <w14:textFill>
            <w14:solidFill>
              <w14:schemeClr w14:val="tx1"/>
            </w14:solidFill>
          </w14:textFill>
        </w:rPr>
        <w:t>1.2 语言文字</w:t>
      </w:r>
      <w:bookmarkEnd w:id="495"/>
      <w:bookmarkEnd w:id="496"/>
      <w:bookmarkEnd w:id="497"/>
    </w:p>
    <w:p w14:paraId="3B733A3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合同文件以中国的汉语简体语言文字编写、解释和说明。专用术语使用外文的，应附有中文注释。合同当事人在专用合同条件约定使用两种及以上语言时，汉语为优先解释和说明合同的语言。</w:t>
      </w:r>
    </w:p>
    <w:p w14:paraId="48051EC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与合同有关的联络应使用专用合同条件约定的语言。如没有约定，则应使用中国的汉语简体语言文字。</w:t>
      </w:r>
    </w:p>
    <w:p w14:paraId="48BCB57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00" w:name="_Ref531949543"/>
      <w:bookmarkStart w:id="501" w:name="_Toc54862180"/>
      <w:bookmarkStart w:id="502" w:name="_Ref531949539"/>
      <w:r>
        <w:rPr>
          <w:rFonts w:hint="eastAsia" w:ascii="宋体" w:hAnsi="宋体" w:eastAsia="宋体" w:cs="宋体"/>
          <w:color w:val="000000" w:themeColor="text1"/>
          <w:highlight w:val="none"/>
          <w:lang w:val="zh-CN" w:eastAsia="zh-CN"/>
          <w14:textFill>
            <w14:solidFill>
              <w14:schemeClr w14:val="tx1"/>
            </w14:solidFill>
          </w14:textFill>
        </w:rPr>
        <w:t>1.3 法律</w:t>
      </w:r>
      <w:bookmarkEnd w:id="500"/>
      <w:bookmarkEnd w:id="501"/>
      <w:bookmarkEnd w:id="502"/>
    </w:p>
    <w:p w14:paraId="4C8C8F4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合同所称法律是指中华人民共和国法律、行政法规、部门规章，以及工程所在地的地方法规、自治条例、单行条例和地方政府规章等。</w:t>
      </w:r>
    </w:p>
    <w:p w14:paraId="00DBD0E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合同当事人可以在专用合同条件中约定合同适用的其他规范性文件。</w:t>
      </w:r>
    </w:p>
    <w:p w14:paraId="59C196EA">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03" w:name="_Toc54862181"/>
      <w:bookmarkStart w:id="504" w:name="_Ref531949594"/>
      <w:bookmarkStart w:id="505" w:name="_Ref531949589"/>
      <w:r>
        <w:rPr>
          <w:rFonts w:hint="eastAsia" w:ascii="宋体" w:hAnsi="宋体" w:eastAsia="宋体" w:cs="宋体"/>
          <w:color w:val="000000" w:themeColor="text1"/>
          <w:highlight w:val="none"/>
          <w:lang w:val="zh-CN" w:eastAsia="zh-CN"/>
          <w14:textFill>
            <w14:solidFill>
              <w14:schemeClr w14:val="tx1"/>
            </w14:solidFill>
          </w14:textFill>
        </w:rPr>
        <w:t>1.4 标准和规范</w:t>
      </w:r>
      <w:bookmarkEnd w:id="503"/>
      <w:bookmarkEnd w:id="504"/>
      <w:bookmarkEnd w:id="505"/>
    </w:p>
    <w:p w14:paraId="6FBF0766">
      <w:pPr>
        <w:bidi w:val="0"/>
        <w:rPr>
          <w:rFonts w:hint="eastAsia" w:ascii="宋体" w:hAnsi="宋体" w:eastAsia="宋体" w:cs="宋体"/>
          <w:color w:val="000000" w:themeColor="text1"/>
          <w:highlight w:val="none"/>
          <w14:textFill>
            <w14:solidFill>
              <w14:schemeClr w14:val="tx1"/>
            </w14:solidFill>
          </w14:textFill>
        </w:rPr>
      </w:pPr>
      <w:bookmarkStart w:id="506" w:name="_Ref4420991"/>
      <w:r>
        <w:rPr>
          <w:rFonts w:hint="eastAsia" w:ascii="宋体" w:hAnsi="宋体" w:eastAsia="宋体" w:cs="宋体"/>
          <w:color w:val="000000" w:themeColor="text1"/>
          <w:highlight w:val="none"/>
          <w14:textFill>
            <w14:solidFill>
              <w14:schemeClr w14:val="tx1"/>
            </w14:solidFill>
          </w14:textFill>
        </w:rPr>
        <w:t>1.4.1 适用于工程的国家标准、行业标准、工程所在地的地方性标准，以及相应的规范、规程等，合同当事人有特别要求的，应在专用合同条件中约定。</w:t>
      </w:r>
      <w:bookmarkEnd w:id="506"/>
    </w:p>
    <w:p w14:paraId="5C4B4556">
      <w:pPr>
        <w:bidi w:val="0"/>
        <w:rPr>
          <w:rFonts w:hint="eastAsia" w:ascii="宋体" w:hAnsi="宋体" w:eastAsia="宋体" w:cs="宋体"/>
          <w:color w:val="000000" w:themeColor="text1"/>
          <w:highlight w:val="none"/>
          <w14:textFill>
            <w14:solidFill>
              <w14:schemeClr w14:val="tx1"/>
            </w14:solidFill>
          </w14:textFill>
        </w:rPr>
      </w:pPr>
      <w:bookmarkStart w:id="507" w:name="_Ref531949642"/>
      <w:r>
        <w:rPr>
          <w:rFonts w:hint="eastAsia" w:ascii="宋体" w:hAnsi="宋体" w:eastAsia="宋体" w:cs="宋体"/>
          <w:color w:val="000000" w:themeColor="text1"/>
          <w:highlight w:val="none"/>
          <w14:textFill>
            <w14:solidFill>
              <w14:schemeClr w14:val="tx1"/>
            </w14:solidFill>
          </w14:textFill>
        </w:rPr>
        <w:t>1.4.2 发包人要求使用国外标准、规范的，发包人负责提供原文版本和中文译本，并在专用合同条件中约定提供标准规范的名称、份数和时间。</w:t>
      </w:r>
      <w:bookmarkEnd w:id="507"/>
    </w:p>
    <w:p w14:paraId="0158C049">
      <w:pPr>
        <w:bidi w:val="0"/>
        <w:rPr>
          <w:rFonts w:hint="eastAsia" w:ascii="宋体" w:hAnsi="宋体" w:eastAsia="宋体" w:cs="宋体"/>
          <w:color w:val="000000" w:themeColor="text1"/>
          <w:highlight w:val="none"/>
          <w14:textFill>
            <w14:solidFill>
              <w14:schemeClr w14:val="tx1"/>
            </w14:solidFill>
          </w14:textFill>
        </w:rPr>
      </w:pPr>
      <w:bookmarkStart w:id="508" w:name="_Ref531949657"/>
      <w:r>
        <w:rPr>
          <w:rFonts w:hint="eastAsia" w:ascii="宋体" w:hAnsi="宋体" w:eastAsia="宋体" w:cs="宋体"/>
          <w:color w:val="000000" w:themeColor="text1"/>
          <w:highlight w:val="none"/>
          <w14:textFill>
            <w14:solidFill>
              <w14:schemeClr w14:val="tx1"/>
            </w14:solidFill>
          </w14:textFill>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508"/>
    </w:p>
    <w:p w14:paraId="2F0A2927">
      <w:pPr>
        <w:bidi w:val="0"/>
        <w:rPr>
          <w:rFonts w:hint="eastAsia" w:ascii="宋体" w:hAnsi="宋体" w:eastAsia="宋体" w:cs="宋体"/>
          <w:color w:val="000000" w:themeColor="text1"/>
          <w:highlight w:val="none"/>
          <w14:textFill>
            <w14:solidFill>
              <w14:schemeClr w14:val="tx1"/>
            </w14:solidFill>
          </w14:textFill>
        </w:rPr>
      </w:pPr>
      <w:bookmarkStart w:id="509" w:name="_Ref4421272"/>
      <w:r>
        <w:rPr>
          <w:rFonts w:hint="eastAsia" w:ascii="宋体" w:hAnsi="宋体" w:eastAsia="宋体" w:cs="宋体"/>
          <w:color w:val="000000" w:themeColor="text1"/>
          <w:highlight w:val="none"/>
          <w14:textFill>
            <w14:solidFill>
              <w14:schemeClr w14:val="tx1"/>
            </w14:solidFill>
          </w14:textFill>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509"/>
    </w:p>
    <w:p w14:paraId="5F120CF7">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10" w:name="_Ref4421717"/>
      <w:bookmarkStart w:id="511" w:name="_Toc54862182"/>
      <w:r>
        <w:rPr>
          <w:rFonts w:hint="eastAsia" w:ascii="宋体" w:hAnsi="宋体" w:eastAsia="宋体" w:cs="宋体"/>
          <w:color w:val="000000" w:themeColor="text1"/>
          <w:highlight w:val="none"/>
          <w:lang w:val="zh-CN" w:eastAsia="zh-CN"/>
          <w14:textFill>
            <w14:solidFill>
              <w14:schemeClr w14:val="tx1"/>
            </w14:solidFill>
          </w14:textFill>
        </w:rPr>
        <w:t>1.5 合同文件的优先顺序</w:t>
      </w:r>
      <w:bookmarkEnd w:id="498"/>
      <w:bookmarkEnd w:id="499"/>
      <w:bookmarkEnd w:id="510"/>
      <w:bookmarkEnd w:id="511"/>
    </w:p>
    <w:p w14:paraId="1A7E6772">
      <w:pPr>
        <w:bidi w:val="0"/>
        <w:rPr>
          <w:rFonts w:hint="eastAsia" w:ascii="宋体" w:hAnsi="宋体" w:eastAsia="宋体" w:cs="宋体"/>
          <w:color w:val="000000" w:themeColor="text1"/>
          <w:highlight w:val="none"/>
          <w14:textFill>
            <w14:solidFill>
              <w14:schemeClr w14:val="tx1"/>
            </w14:solidFill>
          </w14:textFill>
        </w:rPr>
      </w:pPr>
      <w:bookmarkStart w:id="512" w:name="_Ref531948776"/>
      <w:r>
        <w:rPr>
          <w:rFonts w:hint="eastAsia" w:ascii="宋体" w:hAnsi="宋体" w:eastAsia="宋体" w:cs="宋体"/>
          <w:color w:val="000000" w:themeColor="text1"/>
          <w:highlight w:val="none"/>
          <w14:textFill>
            <w14:solidFill>
              <w14:schemeClr w14:val="tx1"/>
            </w14:solidFill>
          </w14:textFill>
        </w:rPr>
        <w:t>组成合同的各项文件应互相解释，互为说明。除专用合同条件另有约定外，</w:t>
      </w:r>
      <w:bookmarkEnd w:id="512"/>
      <w:r>
        <w:rPr>
          <w:rFonts w:hint="eastAsia" w:ascii="宋体" w:hAnsi="宋体" w:eastAsia="宋体" w:cs="宋体"/>
          <w:color w:val="000000" w:themeColor="text1"/>
          <w:highlight w:val="none"/>
          <w14:textFill>
            <w14:solidFill>
              <w14:schemeClr w14:val="tx1"/>
            </w14:solidFill>
          </w14:textFill>
        </w:rPr>
        <w:t>解释合同文件的优先顺序如下：</w:t>
      </w:r>
    </w:p>
    <w:p w14:paraId="7852D94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合同协议书；</w:t>
      </w:r>
    </w:p>
    <w:p w14:paraId="4F4103E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 </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通知书（如果有）；</w:t>
      </w:r>
    </w:p>
    <w:p w14:paraId="6AA1F6E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投标函及投标函附录（如果有）；</w:t>
      </w:r>
    </w:p>
    <w:p w14:paraId="6613352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专用合同条件及《发包人要求》等附件；</w:t>
      </w:r>
    </w:p>
    <w:p w14:paraId="4E36540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通用合同条件；</w:t>
      </w:r>
    </w:p>
    <w:p w14:paraId="723DF86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 承包人建议书； </w:t>
      </w:r>
    </w:p>
    <w:p w14:paraId="00DC381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 价格清单；</w:t>
      </w:r>
    </w:p>
    <w:p w14:paraId="2C7B813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 双方约定的其他合同文件。</w:t>
      </w:r>
    </w:p>
    <w:p w14:paraId="42E32C91">
      <w:pPr>
        <w:bidi w:val="0"/>
        <w:rPr>
          <w:rFonts w:hint="eastAsia" w:ascii="宋体" w:hAnsi="宋体" w:eastAsia="宋体" w:cs="宋体"/>
          <w:color w:val="000000" w:themeColor="text1"/>
          <w:highlight w:val="none"/>
          <w14:textFill>
            <w14:solidFill>
              <w14:schemeClr w14:val="tx1"/>
            </w14:solidFill>
          </w14:textFill>
        </w:rPr>
      </w:pPr>
      <w:bookmarkStart w:id="513" w:name="_Hlk18951547"/>
      <w:r>
        <w:rPr>
          <w:rFonts w:hint="eastAsia" w:ascii="宋体" w:hAnsi="宋体" w:eastAsia="宋体" w:cs="宋体"/>
          <w:color w:val="000000" w:themeColor="text1"/>
          <w:highlight w:val="none"/>
          <w14:textFill>
            <w14:solidFill>
              <w14:schemeClr w14:val="tx1"/>
            </w14:solidFill>
          </w14:textFill>
        </w:rPr>
        <w:t>上述各项合同文件包括合同当事人就该项合同文件所作出的补充和修改，属于同一类内容的文件，应以最新签署的为准</w:t>
      </w:r>
      <w:bookmarkEnd w:id="513"/>
      <w:r>
        <w:rPr>
          <w:rFonts w:hint="eastAsia" w:ascii="宋体" w:hAnsi="宋体" w:eastAsia="宋体" w:cs="宋体"/>
          <w:color w:val="000000" w:themeColor="text1"/>
          <w:highlight w:val="none"/>
          <w14:textFill>
            <w14:solidFill>
              <w14:schemeClr w14:val="tx1"/>
            </w14:solidFill>
          </w14:textFill>
        </w:rPr>
        <w:t>。</w:t>
      </w:r>
    </w:p>
    <w:p w14:paraId="498FC70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在合同订立及履行过程中形成的与合同有关的文件均构成合同文件组成部分，并根据其性质确定优先解释顺序。</w:t>
      </w:r>
    </w:p>
    <w:p w14:paraId="538C1E8C">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14" w:name="_Ref4422060"/>
      <w:bookmarkStart w:id="515" w:name="_Toc54862183"/>
      <w:bookmarkStart w:id="516" w:name="_Ref11917818"/>
      <w:bookmarkStart w:id="517" w:name="_Ref531949803"/>
      <w:bookmarkStart w:id="518" w:name="_Ref531949807"/>
      <w:bookmarkStart w:id="519" w:name="_Ref531949822"/>
      <w:r>
        <w:rPr>
          <w:rFonts w:hint="eastAsia" w:ascii="宋体" w:hAnsi="宋体" w:eastAsia="宋体" w:cs="宋体"/>
          <w:color w:val="000000" w:themeColor="text1"/>
          <w:highlight w:val="none"/>
          <w:lang w:val="zh-CN" w:eastAsia="zh-CN"/>
          <w14:textFill>
            <w14:solidFill>
              <w14:schemeClr w14:val="tx1"/>
            </w14:solidFill>
          </w14:textFill>
        </w:rPr>
        <w:t>1.6 文件的提供和</w:t>
      </w:r>
      <w:bookmarkEnd w:id="514"/>
      <w:r>
        <w:rPr>
          <w:rFonts w:hint="eastAsia" w:ascii="宋体" w:hAnsi="宋体" w:eastAsia="宋体" w:cs="宋体"/>
          <w:color w:val="000000" w:themeColor="text1"/>
          <w:highlight w:val="none"/>
          <w:lang w:val="zh-CN" w:eastAsia="zh-CN"/>
          <w14:textFill>
            <w14:solidFill>
              <w14:schemeClr w14:val="tx1"/>
            </w14:solidFill>
          </w14:textFill>
        </w:rPr>
        <w:t>照管</w:t>
      </w:r>
      <w:bookmarkEnd w:id="515"/>
      <w:bookmarkEnd w:id="516"/>
    </w:p>
    <w:p w14:paraId="1DAED905">
      <w:pPr>
        <w:bidi w:val="0"/>
        <w:rPr>
          <w:rFonts w:hint="eastAsia" w:ascii="宋体" w:hAnsi="宋体" w:eastAsia="宋体" w:cs="宋体"/>
          <w:color w:val="000000" w:themeColor="text1"/>
          <w:highlight w:val="none"/>
          <w14:textFill>
            <w14:solidFill>
              <w14:schemeClr w14:val="tx1"/>
            </w14:solidFill>
          </w14:textFill>
        </w:rPr>
      </w:pPr>
      <w:bookmarkStart w:id="520" w:name="_Ref4421991"/>
      <w:r>
        <w:rPr>
          <w:rFonts w:hint="eastAsia" w:ascii="宋体" w:hAnsi="宋体" w:eastAsia="宋体" w:cs="宋体"/>
          <w:color w:val="000000" w:themeColor="text1"/>
          <w:highlight w:val="none"/>
          <w14:textFill>
            <w14:solidFill>
              <w14:schemeClr w14:val="tx1"/>
            </w14:solidFill>
          </w14:textFill>
        </w:rPr>
        <w:t>1.6.1 发包人文件的提供</w:t>
      </w:r>
      <w:bookmarkEnd w:id="520"/>
    </w:p>
    <w:p w14:paraId="57D7904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5D9AFF6F">
      <w:pPr>
        <w:bidi w:val="0"/>
        <w:rPr>
          <w:rFonts w:hint="eastAsia" w:ascii="宋体" w:hAnsi="宋体" w:eastAsia="宋体" w:cs="宋体"/>
          <w:color w:val="000000" w:themeColor="text1"/>
          <w:highlight w:val="none"/>
          <w14:textFill>
            <w14:solidFill>
              <w14:schemeClr w14:val="tx1"/>
            </w14:solidFill>
          </w14:textFill>
        </w:rPr>
      </w:pPr>
      <w:bookmarkStart w:id="521" w:name="_Ref4422317"/>
      <w:r>
        <w:rPr>
          <w:rFonts w:hint="eastAsia" w:ascii="宋体" w:hAnsi="宋体" w:eastAsia="宋体" w:cs="宋体"/>
          <w:color w:val="000000" w:themeColor="text1"/>
          <w:highlight w:val="none"/>
          <w14:textFill>
            <w14:solidFill>
              <w14:schemeClr w14:val="tx1"/>
            </w14:solidFill>
          </w14:textFill>
        </w:rPr>
        <w:t>1.6.2 承包人文件的提供</w:t>
      </w:r>
      <w:bookmarkEnd w:id="521"/>
    </w:p>
    <w:p w14:paraId="13E2829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除专用合同条件另有约定外，承包人文件应包含下列内容，并用第1.2款[语言文字]约定的语言制作：</w:t>
      </w:r>
    </w:p>
    <w:p w14:paraId="573B0C5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《发包人要求》中规定的相关文件；</w:t>
      </w:r>
    </w:p>
    <w:p w14:paraId="36A3117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满足工程相关行政审批手续所必须的应由承包人负责的相关文件；</w:t>
      </w:r>
    </w:p>
    <w:p w14:paraId="4E31FD2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第5.4款[竣工文件]与第5.5款[操作和维修手册]中要求的相关文件。</w:t>
      </w:r>
    </w:p>
    <w:p w14:paraId="40B995E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12D2642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1.6.3 文件错误的通知</w:t>
      </w:r>
    </w:p>
    <w:p w14:paraId="594DB05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任何一方发现文件中存在明显的错误或疏忽，应及时通知另一方。</w:t>
      </w:r>
    </w:p>
    <w:p w14:paraId="0ACFEC68">
      <w:pPr>
        <w:bidi w:val="0"/>
        <w:rPr>
          <w:rFonts w:hint="eastAsia" w:ascii="宋体" w:hAnsi="宋体" w:eastAsia="宋体" w:cs="宋体"/>
          <w:color w:val="000000" w:themeColor="text1"/>
          <w:highlight w:val="none"/>
          <w14:textFill>
            <w14:solidFill>
              <w14:schemeClr w14:val="tx1"/>
            </w14:solidFill>
          </w14:textFill>
        </w:rPr>
      </w:pPr>
      <w:bookmarkStart w:id="522" w:name="_Ref4678410"/>
      <w:bookmarkStart w:id="523" w:name="_Ref11957673"/>
      <w:r>
        <w:rPr>
          <w:rFonts w:hint="eastAsia" w:ascii="宋体" w:hAnsi="宋体" w:eastAsia="宋体" w:cs="宋体"/>
          <w:color w:val="000000" w:themeColor="text1"/>
          <w:highlight w:val="none"/>
          <w14:textFill>
            <w14:solidFill>
              <w14:schemeClr w14:val="tx1"/>
            </w14:solidFill>
          </w14:textFill>
        </w:rPr>
        <w:t>1.6.4 文件的</w:t>
      </w:r>
      <w:bookmarkEnd w:id="522"/>
      <w:r>
        <w:rPr>
          <w:rFonts w:hint="eastAsia" w:ascii="宋体" w:hAnsi="宋体" w:eastAsia="宋体" w:cs="宋体"/>
          <w:color w:val="000000" w:themeColor="text1"/>
          <w:highlight w:val="none"/>
          <w14:textFill>
            <w14:solidFill>
              <w14:schemeClr w14:val="tx1"/>
            </w14:solidFill>
          </w14:textFill>
        </w:rPr>
        <w:t>照管</w:t>
      </w:r>
      <w:bookmarkEnd w:id="523"/>
    </w:p>
    <w:p w14:paraId="022EC6C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74AA54D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24" w:name="_Ref4415170"/>
      <w:bookmarkStart w:id="525" w:name="_Toc54862184"/>
      <w:r>
        <w:rPr>
          <w:rFonts w:hint="eastAsia" w:ascii="宋体" w:hAnsi="宋体" w:eastAsia="宋体" w:cs="宋体"/>
          <w:color w:val="000000" w:themeColor="text1"/>
          <w:highlight w:val="none"/>
          <w:lang w:val="zh-CN" w:eastAsia="zh-CN"/>
          <w14:textFill>
            <w14:solidFill>
              <w14:schemeClr w14:val="tx1"/>
            </w14:solidFill>
          </w14:textFill>
        </w:rPr>
        <w:t>1.7 联络</w:t>
      </w:r>
      <w:bookmarkEnd w:id="524"/>
      <w:bookmarkEnd w:id="525"/>
    </w:p>
    <w:p w14:paraId="228337E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5C37367D">
      <w:pPr>
        <w:bidi w:val="0"/>
        <w:rPr>
          <w:rFonts w:hint="eastAsia" w:ascii="宋体" w:hAnsi="宋体" w:eastAsia="宋体" w:cs="宋体"/>
          <w:color w:val="000000" w:themeColor="text1"/>
          <w:highlight w:val="none"/>
          <w14:textFill>
            <w14:solidFill>
              <w14:schemeClr w14:val="tx1"/>
            </w14:solidFill>
          </w14:textFill>
        </w:rPr>
      </w:pPr>
      <w:bookmarkStart w:id="526" w:name="_Ref531949897"/>
      <w:r>
        <w:rPr>
          <w:rFonts w:hint="eastAsia" w:ascii="宋体" w:hAnsi="宋体" w:eastAsia="宋体" w:cs="宋体"/>
          <w:color w:val="000000" w:themeColor="text1"/>
          <w:highlight w:val="none"/>
          <w14:textFill>
            <w14:solidFill>
              <w14:schemeClr w14:val="tx1"/>
            </w14:solidFill>
          </w14:textFill>
        </w:rPr>
        <w:t>1.7.2 发包人和承包人应在专用合同条件中约定各自的送达方式和收件地址。任何一方合同当事人指定的送达方式或收件地址发生变动的，应提前3天以书面形式通知对方。</w:t>
      </w:r>
      <w:bookmarkEnd w:id="526"/>
    </w:p>
    <w:p w14:paraId="40E8D02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1.7.3 发包人和承包人应当及时签收另一方通过约定的送达方式送达至收件地址的来往文件。拒不签收的，由此增加的费用和（或）延误的工期由拒绝接收一方承担。</w:t>
      </w:r>
    </w:p>
    <w:p w14:paraId="678474E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03BFAD9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27" w:name="_Toc54862185"/>
      <w:r>
        <w:rPr>
          <w:rFonts w:hint="eastAsia" w:ascii="宋体" w:hAnsi="宋体" w:eastAsia="宋体" w:cs="宋体"/>
          <w:color w:val="000000" w:themeColor="text1"/>
          <w:highlight w:val="none"/>
          <w:lang w:val="zh-CN" w:eastAsia="zh-CN"/>
          <w14:textFill>
            <w14:solidFill>
              <w14:schemeClr w14:val="tx1"/>
            </w14:solidFill>
          </w14:textFill>
        </w:rPr>
        <w:t>1.8 严禁贿赂</w:t>
      </w:r>
      <w:bookmarkEnd w:id="517"/>
      <w:bookmarkEnd w:id="518"/>
      <w:bookmarkEnd w:id="519"/>
      <w:bookmarkEnd w:id="527"/>
    </w:p>
    <w:p w14:paraId="3AA4931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2793B55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承包人不得与工程师或发包人聘请的第三方串通损害发包人利益。未经发包人书面同意，承包人不得为工程师提供合同约定以外的通讯设备、交通工具及其他任何形式的利益，不得向工程师支付报酬。</w:t>
      </w:r>
    </w:p>
    <w:p w14:paraId="42496AC2">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28" w:name="_Toc54862186"/>
      <w:r>
        <w:rPr>
          <w:rFonts w:hint="eastAsia" w:ascii="宋体" w:hAnsi="宋体" w:eastAsia="宋体" w:cs="宋体"/>
          <w:color w:val="000000" w:themeColor="text1"/>
          <w:highlight w:val="none"/>
          <w:lang w:val="zh-CN" w:eastAsia="zh-CN"/>
          <w14:textFill>
            <w14:solidFill>
              <w14:schemeClr w14:val="tx1"/>
            </w14:solidFill>
          </w14:textFill>
        </w:rPr>
        <w:t>1.9 化石、文物</w:t>
      </w:r>
      <w:bookmarkEnd w:id="528"/>
    </w:p>
    <w:p w14:paraId="43120AA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03847B0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发包人、工程师和承包人应按有关政府行政管理部门要求采取妥善的保护措施，由此增加的费用和（或）延误的工期由发包人承担。</w:t>
      </w:r>
    </w:p>
    <w:p w14:paraId="377EDAD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承包人发现文物后不及时报告或隐瞒不报，致使文物丢失或损坏的，应赔偿损失，并承担相应的法律责任。</w:t>
      </w:r>
    </w:p>
    <w:p w14:paraId="22493CF2">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29" w:name="_Ref531949770"/>
      <w:bookmarkStart w:id="530" w:name="_Ref531949766"/>
      <w:bookmarkStart w:id="531" w:name="_Toc54862187"/>
      <w:bookmarkStart w:id="532" w:name="_Ref4423426"/>
      <w:bookmarkStart w:id="533" w:name="_Ref531949841"/>
      <w:bookmarkStart w:id="534" w:name="_Ref531949855"/>
      <w:bookmarkStart w:id="535" w:name="_Ref531949826"/>
      <w:r>
        <w:rPr>
          <w:rFonts w:hint="eastAsia" w:ascii="宋体" w:hAnsi="宋体" w:eastAsia="宋体" w:cs="宋体"/>
          <w:color w:val="000000" w:themeColor="text1"/>
          <w:highlight w:val="none"/>
          <w:lang w:val="zh-CN" w:eastAsia="zh-CN"/>
          <w14:textFill>
            <w14:solidFill>
              <w14:schemeClr w14:val="tx1"/>
            </w14:solidFill>
          </w14:textFill>
        </w:rPr>
        <w:t>1.10 知识产权</w:t>
      </w:r>
      <w:bookmarkEnd w:id="529"/>
      <w:bookmarkEnd w:id="530"/>
      <w:bookmarkEnd w:id="531"/>
      <w:bookmarkEnd w:id="532"/>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77F61A81">
      <w:pPr>
        <w:bidi w:val="0"/>
        <w:rPr>
          <w:rFonts w:hint="eastAsia" w:ascii="宋体" w:hAnsi="宋体" w:eastAsia="宋体" w:cs="宋体"/>
          <w:color w:val="000000" w:themeColor="text1"/>
          <w:highlight w:val="none"/>
          <w14:textFill>
            <w14:solidFill>
              <w14:schemeClr w14:val="tx1"/>
            </w14:solidFill>
          </w14:textFill>
        </w:rPr>
      </w:pPr>
      <w:bookmarkStart w:id="536" w:name="_Ref4423563"/>
      <w:r>
        <w:rPr>
          <w:rFonts w:hint="eastAsia" w:ascii="宋体" w:hAnsi="宋体" w:eastAsia="宋体" w:cs="宋体"/>
          <w:color w:val="000000" w:themeColor="text1"/>
          <w:highlight w:val="none"/>
          <w14:textFill>
            <w14:solidFill>
              <w14:schemeClr w14:val="tx1"/>
            </w14:solidFill>
          </w14:textFill>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536"/>
    </w:p>
    <w:p w14:paraId="14BDA36B">
      <w:pPr>
        <w:bidi w:val="0"/>
        <w:rPr>
          <w:rFonts w:hint="eastAsia" w:ascii="宋体" w:hAnsi="宋体" w:eastAsia="宋体" w:cs="宋体"/>
          <w:color w:val="000000" w:themeColor="text1"/>
          <w:highlight w:val="none"/>
          <w14:textFill>
            <w14:solidFill>
              <w14:schemeClr w14:val="tx1"/>
            </w14:solidFill>
          </w14:textFill>
        </w:rPr>
      </w:pPr>
      <w:bookmarkStart w:id="537" w:name="_Ref4423604"/>
      <w:r>
        <w:rPr>
          <w:rFonts w:hint="eastAsia" w:ascii="宋体" w:hAnsi="宋体" w:eastAsia="宋体" w:cs="宋体"/>
          <w:color w:val="000000" w:themeColor="text1"/>
          <w:highlight w:val="none"/>
          <w14:textFill>
            <w14:solidFill>
              <w14:schemeClr w14:val="tx1"/>
            </w14:solidFill>
          </w14:textFill>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537"/>
    </w:p>
    <w:p w14:paraId="2D63DC2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64243074">
      <w:pPr>
        <w:bidi w:val="0"/>
        <w:rPr>
          <w:rFonts w:hint="eastAsia" w:ascii="宋体" w:hAnsi="宋体" w:eastAsia="宋体" w:cs="宋体"/>
          <w:color w:val="000000" w:themeColor="text1"/>
          <w:highlight w:val="none"/>
          <w14:textFill>
            <w14:solidFill>
              <w14:schemeClr w14:val="tx1"/>
            </w14:solidFill>
          </w14:textFill>
        </w:rPr>
      </w:pPr>
      <w:bookmarkStart w:id="538" w:name="_Ref4423695"/>
      <w:r>
        <w:rPr>
          <w:rFonts w:hint="eastAsia" w:ascii="宋体" w:hAnsi="宋体" w:eastAsia="宋体" w:cs="宋体"/>
          <w:color w:val="000000" w:themeColor="text1"/>
          <w:highlight w:val="none"/>
          <w14:textFill>
            <w14:solidFill>
              <w14:schemeClr w14:val="tx1"/>
            </w14:solidFill>
          </w14:textFill>
        </w:rPr>
        <w:t>1.10.4 除专用合同条件另有约定外，承包人在投标文件中采用的专利、专有技术、商业软件、技术秘密的使用费已包含在签约合同价中。</w:t>
      </w:r>
      <w:bookmarkEnd w:id="538"/>
    </w:p>
    <w:p w14:paraId="3C327D8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762943B7">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39" w:name="_Toc54862188"/>
      <w:bookmarkStart w:id="540" w:name="_Ref4423873"/>
      <w:bookmarkStart w:id="541" w:name="_Ref4423898"/>
      <w:r>
        <w:rPr>
          <w:rFonts w:hint="eastAsia" w:ascii="宋体" w:hAnsi="宋体" w:eastAsia="宋体" w:cs="宋体"/>
          <w:color w:val="000000" w:themeColor="text1"/>
          <w:highlight w:val="none"/>
          <w:lang w:val="zh-CN" w:eastAsia="zh-CN"/>
          <w14:textFill>
            <w14:solidFill>
              <w14:schemeClr w14:val="tx1"/>
            </w14:solidFill>
          </w14:textFill>
        </w:rPr>
        <w:t>1.11 保密</w:t>
      </w:r>
      <w:bookmarkEnd w:id="533"/>
      <w:bookmarkEnd w:id="534"/>
      <w:bookmarkEnd w:id="535"/>
      <w:bookmarkEnd w:id="539"/>
      <w:bookmarkEnd w:id="540"/>
      <w:bookmarkEnd w:id="541"/>
    </w:p>
    <w:p w14:paraId="6EAC049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合同当事人一方对在订立和履行合同过程中知悉的另一方的商业秘密、技术秘密，以及任何一方明确要求保密的其它信息，负有保密责任。</w:t>
      </w:r>
    </w:p>
    <w:p w14:paraId="02CF2ED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除法律规定或合同另有约定外，未经对方同意，任何一方当事人不得将对方提供的文件、技术秘密以及声明需要保密的资料信息等商业秘密泄露给第三方或者用于本合同以外的目的。</w:t>
      </w:r>
    </w:p>
    <w:p w14:paraId="4AF8C11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1CD9F749">
      <w:pPr>
        <w:bidi w:val="0"/>
        <w:rPr>
          <w:rFonts w:hint="eastAsia" w:ascii="宋体" w:hAnsi="宋体" w:eastAsia="宋体" w:cs="宋体"/>
          <w:color w:val="000000" w:themeColor="text1"/>
          <w:highlight w:val="none"/>
          <w14:textFill>
            <w14:solidFill>
              <w14:schemeClr w14:val="tx1"/>
            </w14:solidFill>
          </w14:textFill>
        </w:rPr>
      </w:pPr>
      <w:bookmarkStart w:id="542" w:name="_Toc54862189"/>
      <w:bookmarkStart w:id="543" w:name="_Ref532336812"/>
      <w:r>
        <w:rPr>
          <w:rFonts w:hint="eastAsia" w:ascii="宋体" w:hAnsi="宋体" w:eastAsia="宋体" w:cs="宋体"/>
          <w:color w:val="000000" w:themeColor="text1"/>
          <w:highlight w:val="none"/>
          <w14:textFill>
            <w14:solidFill>
              <w14:schemeClr w14:val="tx1"/>
            </w14:solidFill>
          </w14:textFill>
        </w:rPr>
        <w:t xml:space="preserve">1.12 </w:t>
      </w:r>
      <w:bookmarkStart w:id="544" w:name="_Hlk55215423"/>
      <w:r>
        <w:rPr>
          <w:rFonts w:hint="eastAsia" w:ascii="宋体" w:hAnsi="宋体" w:eastAsia="宋体" w:cs="宋体"/>
          <w:color w:val="000000" w:themeColor="text1"/>
          <w:highlight w:val="none"/>
          <w14:textFill>
            <w14:solidFill>
              <w14:schemeClr w14:val="tx1"/>
            </w14:solidFill>
          </w14:textFill>
        </w:rPr>
        <w:t>《发包人要求》和基础资料中的错误</w:t>
      </w:r>
      <w:bookmarkEnd w:id="542"/>
      <w:bookmarkEnd w:id="543"/>
      <w:bookmarkEnd w:id="544"/>
    </w:p>
    <w:p w14:paraId="128540B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承包人应尽早认真阅读、复核《发包人要求》以及其提供的基础资料，发现错误的，应及时书面通知发包人补正。发包人作相应修改的，按照第13条[变更与调整</w:t>
      </w:r>
      <w:bookmarkStart w:id="545" w:name="_Ref523403776"/>
      <w:bookmarkStart w:id="546" w:name="_Ref523403409"/>
      <w:r>
        <w:rPr>
          <w:rFonts w:hint="eastAsia" w:ascii="宋体" w:hAnsi="宋体" w:eastAsia="宋体" w:cs="宋体"/>
          <w:color w:val="000000" w:themeColor="text1"/>
          <w:highlight w:val="none"/>
          <w14:textFill>
            <w14:solidFill>
              <w14:schemeClr w14:val="tx1"/>
            </w14:solidFill>
          </w14:textFill>
        </w:rPr>
        <w:t>]的约定处理。</w:t>
      </w:r>
    </w:p>
    <w:p w14:paraId="2269298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《发包人要求》或其提供的基础资料中的错误导致承包人增加费用和（或）工期延误的，发包人应承担由此增加的费用和（或）工期延误，并向承包人支付合理利润。</w:t>
      </w:r>
    </w:p>
    <w:bookmarkEnd w:id="545"/>
    <w:bookmarkEnd w:id="546"/>
    <w:p w14:paraId="0BCE9CCA">
      <w:pPr>
        <w:bidi w:val="0"/>
        <w:rPr>
          <w:rFonts w:hint="eastAsia" w:ascii="宋体" w:hAnsi="宋体" w:eastAsia="宋体" w:cs="宋体"/>
          <w:color w:val="000000" w:themeColor="text1"/>
          <w:highlight w:val="none"/>
          <w14:textFill>
            <w14:solidFill>
              <w14:schemeClr w14:val="tx1"/>
            </w14:solidFill>
          </w14:textFill>
        </w:rPr>
      </w:pPr>
      <w:bookmarkStart w:id="547" w:name="_Toc54862190"/>
      <w:bookmarkStart w:id="548" w:name="_Ref531949937"/>
      <w:bookmarkStart w:id="549" w:name="_Ref531949933"/>
      <w:r>
        <w:rPr>
          <w:rFonts w:hint="eastAsia" w:ascii="宋体" w:hAnsi="宋体" w:eastAsia="宋体" w:cs="宋体"/>
          <w:color w:val="000000" w:themeColor="text1"/>
          <w:highlight w:val="none"/>
          <w14:textFill>
            <w14:solidFill>
              <w14:schemeClr w14:val="tx1"/>
            </w14:solidFill>
          </w14:textFill>
        </w:rPr>
        <w:t>1.13 责任限制</w:t>
      </w:r>
      <w:bookmarkEnd w:id="547"/>
      <w:bookmarkEnd w:id="548"/>
      <w:bookmarkEnd w:id="549"/>
    </w:p>
    <w:p w14:paraId="3D20C5D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780A2CB8">
      <w:pPr>
        <w:bidi w:val="0"/>
        <w:rPr>
          <w:rFonts w:hint="eastAsia" w:ascii="宋体" w:hAnsi="宋体" w:eastAsia="宋体" w:cs="宋体"/>
          <w:color w:val="000000" w:themeColor="text1"/>
          <w:highlight w:val="none"/>
          <w14:textFill>
            <w14:solidFill>
              <w14:schemeClr w14:val="tx1"/>
            </w14:solidFill>
          </w14:textFill>
        </w:rPr>
      </w:pPr>
      <w:bookmarkStart w:id="550" w:name="_Toc54862191"/>
      <w:bookmarkStart w:id="551" w:name="_Hlk51506160"/>
      <w:r>
        <w:rPr>
          <w:rFonts w:hint="eastAsia" w:ascii="宋体" w:hAnsi="宋体" w:eastAsia="宋体" w:cs="宋体"/>
          <w:color w:val="000000" w:themeColor="text1"/>
          <w:highlight w:val="none"/>
          <w14:textFill>
            <w14:solidFill>
              <w14:schemeClr w14:val="tx1"/>
            </w14:solidFill>
          </w14:textFill>
        </w:rPr>
        <w:t>1.14 建筑信息模型技术的应用</w:t>
      </w:r>
      <w:bookmarkEnd w:id="550"/>
    </w:p>
    <w:bookmarkEnd w:id="551"/>
    <w:p w14:paraId="64FBF1D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7069DAAA">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552" w:name="_Toc5836"/>
      <w:bookmarkStart w:id="553" w:name="_Toc31290"/>
      <w:bookmarkStart w:id="554" w:name="_Toc54862192"/>
      <w:bookmarkStart w:id="555" w:name="_Toc23354"/>
      <w:bookmarkStart w:id="556" w:name="_Ref4796511"/>
      <w:r>
        <w:rPr>
          <w:rFonts w:hint="eastAsia" w:ascii="宋体" w:hAnsi="宋体" w:eastAsia="宋体" w:cs="宋体"/>
          <w:color w:val="000000" w:themeColor="text1"/>
          <w:highlight w:val="none"/>
          <w:lang w:val="zh-CN" w:eastAsia="zh-CN"/>
          <w14:textFill>
            <w14:solidFill>
              <w14:schemeClr w14:val="tx1"/>
            </w14:solidFill>
          </w14:textFill>
        </w:rPr>
        <w:t>第2条 发包人</w:t>
      </w:r>
      <w:bookmarkEnd w:id="552"/>
      <w:bookmarkEnd w:id="553"/>
      <w:bookmarkEnd w:id="554"/>
      <w:bookmarkEnd w:id="555"/>
      <w:bookmarkEnd w:id="556"/>
    </w:p>
    <w:p w14:paraId="4FC20B2F">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57" w:name="_Toc54862193"/>
      <w:r>
        <w:rPr>
          <w:rFonts w:hint="eastAsia" w:ascii="宋体" w:hAnsi="宋体" w:eastAsia="宋体" w:cs="宋体"/>
          <w:color w:val="000000" w:themeColor="text1"/>
          <w:highlight w:val="none"/>
          <w:lang w:val="zh-CN" w:eastAsia="zh-CN"/>
          <w14:textFill>
            <w14:solidFill>
              <w14:schemeClr w14:val="tx1"/>
            </w14:solidFill>
          </w14:textFill>
        </w:rPr>
        <w:t>2.1 遵守法律</w:t>
      </w:r>
      <w:bookmarkEnd w:id="557"/>
    </w:p>
    <w:p w14:paraId="207688A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46AEB192">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58" w:name="_Ref11917977"/>
      <w:bookmarkStart w:id="559" w:name="_Toc54862194"/>
      <w:bookmarkStart w:id="560" w:name="_Ref11917995"/>
      <w:r>
        <w:rPr>
          <w:rFonts w:hint="eastAsia" w:ascii="宋体" w:hAnsi="宋体" w:eastAsia="宋体" w:cs="宋体"/>
          <w:color w:val="000000" w:themeColor="text1"/>
          <w:highlight w:val="none"/>
          <w:lang w:val="zh-CN" w:eastAsia="zh-CN"/>
          <w14:textFill>
            <w14:solidFill>
              <w14:schemeClr w14:val="tx1"/>
            </w14:solidFill>
          </w14:textFill>
        </w:rPr>
        <w:t>2.2 提供施工现场和工作条件</w:t>
      </w:r>
      <w:bookmarkEnd w:id="558"/>
      <w:bookmarkEnd w:id="559"/>
      <w:bookmarkEnd w:id="560"/>
      <w:bookmarkStart w:id="561" w:name="_Toc54862195"/>
      <w:bookmarkEnd w:id="561"/>
      <w:bookmarkStart w:id="562" w:name="_Toc51505124"/>
      <w:bookmarkEnd w:id="562"/>
      <w:bookmarkStart w:id="563" w:name="_Toc51505125"/>
      <w:bookmarkEnd w:id="563"/>
      <w:bookmarkStart w:id="564" w:name="_Toc51505123"/>
      <w:bookmarkEnd w:id="564"/>
      <w:bookmarkStart w:id="565" w:name="_Toc54862197"/>
      <w:bookmarkEnd w:id="565"/>
      <w:bookmarkStart w:id="566" w:name="_Toc54862196"/>
      <w:bookmarkEnd w:id="566"/>
      <w:bookmarkStart w:id="567" w:name="_Ref531950085"/>
    </w:p>
    <w:p w14:paraId="2D44802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2.2.1 提供施工</w:t>
      </w:r>
      <w:bookmarkEnd w:id="567"/>
      <w:r>
        <w:rPr>
          <w:rFonts w:hint="eastAsia" w:ascii="宋体" w:hAnsi="宋体" w:eastAsia="宋体" w:cs="宋体"/>
          <w:color w:val="000000" w:themeColor="text1"/>
          <w:highlight w:val="none"/>
          <w14:textFill>
            <w14:solidFill>
              <w14:schemeClr w14:val="tx1"/>
            </w14:solidFill>
          </w14:textFill>
        </w:rPr>
        <w:t>现场</w:t>
      </w:r>
    </w:p>
    <w:p w14:paraId="55BEB0A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221D9465">
      <w:pPr>
        <w:bidi w:val="0"/>
        <w:rPr>
          <w:rFonts w:hint="eastAsia" w:ascii="宋体" w:hAnsi="宋体" w:eastAsia="宋体" w:cs="宋体"/>
          <w:color w:val="000000" w:themeColor="text1"/>
          <w:highlight w:val="none"/>
          <w14:textFill>
            <w14:solidFill>
              <w14:schemeClr w14:val="tx1"/>
            </w14:solidFill>
          </w14:textFill>
        </w:rPr>
      </w:pPr>
      <w:bookmarkStart w:id="568" w:name="_Ref531950101"/>
      <w:r>
        <w:rPr>
          <w:rFonts w:hint="eastAsia" w:ascii="宋体" w:hAnsi="宋体" w:eastAsia="宋体" w:cs="宋体"/>
          <w:color w:val="000000" w:themeColor="text1"/>
          <w:highlight w:val="none"/>
          <w14:textFill>
            <w14:solidFill>
              <w14:schemeClr w14:val="tx1"/>
            </w14:solidFill>
          </w14:textFill>
        </w:rPr>
        <w:t>2.2.2 提供工作条件</w:t>
      </w:r>
      <w:bookmarkEnd w:id="568"/>
    </w:p>
    <w:p w14:paraId="1D671A8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发包人应按专用合同条件约定向承包人提供工作条件。专用合同条件对此没有约定的，发包人应负责提供开展本合同相关工作所需要的条件，包括：</w:t>
      </w:r>
    </w:p>
    <w:p w14:paraId="2D72F69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将施工用水、电力、通讯线路等施工所必需的条件接至施工现场内；</w:t>
      </w:r>
    </w:p>
    <w:p w14:paraId="12E3BE9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保证向承包人提供正常施工所需要的进入施工现场的交通条件；</w:t>
      </w:r>
    </w:p>
    <w:p w14:paraId="60E8EAC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协调处理施工现场周围地下管线和邻近建筑物、构筑物、古树名木、文物、化石及坟墓等的保护工作，并承担相关费用；</w:t>
      </w:r>
    </w:p>
    <w:p w14:paraId="7F35C8A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对工程现场临近发包人正在使用、运行、或由发包人用于生产的建筑物、构筑物、生产装置、设施、设备等，设置隔离设施，竖立禁止入内、禁止动火的明显标志， 并以书面形式通知承包人须遵守的安全规定和位置范围；</w:t>
      </w:r>
    </w:p>
    <w:p w14:paraId="7B26E16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按照专用合同条件约定应提供的其他设施和条件。</w:t>
      </w:r>
    </w:p>
    <w:p w14:paraId="1BAD1F5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2.2.3 逾期提供的责任</w:t>
      </w:r>
    </w:p>
    <w:p w14:paraId="5423A62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因发包人原因未能按合同约定及时向承包人提供施工现场和施工条件的，由发包人承担由此增加的费用和（或）延误的工期。</w:t>
      </w:r>
    </w:p>
    <w:p w14:paraId="05519DE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69" w:name="_Ref11956647"/>
      <w:bookmarkStart w:id="570" w:name="_Toc54862198"/>
      <w:bookmarkStart w:id="571" w:name="_Ref11918036"/>
      <w:bookmarkStart w:id="572" w:name="_Ref11956654"/>
      <w:bookmarkStart w:id="573" w:name="_Ref11918025"/>
      <w:r>
        <w:rPr>
          <w:rFonts w:hint="eastAsia" w:ascii="宋体" w:hAnsi="宋体" w:eastAsia="宋体" w:cs="宋体"/>
          <w:color w:val="000000" w:themeColor="text1"/>
          <w:highlight w:val="none"/>
          <w:lang w:val="zh-CN" w:eastAsia="zh-CN"/>
          <w14:textFill>
            <w14:solidFill>
              <w14:schemeClr w14:val="tx1"/>
            </w14:solidFill>
          </w14:textFill>
        </w:rPr>
        <w:t>2.3 提供基础资料</w:t>
      </w:r>
      <w:bookmarkEnd w:id="569"/>
      <w:bookmarkEnd w:id="570"/>
      <w:bookmarkEnd w:id="571"/>
      <w:bookmarkEnd w:id="572"/>
      <w:bookmarkEnd w:id="573"/>
    </w:p>
    <w:p w14:paraId="05F05D23">
      <w:pPr>
        <w:bidi w:val="0"/>
        <w:rPr>
          <w:rFonts w:hint="eastAsia" w:ascii="宋体" w:hAnsi="宋体" w:eastAsia="宋体" w:cs="宋体"/>
          <w:color w:val="000000" w:themeColor="text1"/>
          <w:highlight w:val="none"/>
          <w14:textFill>
            <w14:solidFill>
              <w14:schemeClr w14:val="tx1"/>
            </w14:solidFill>
          </w14:textFill>
        </w:rPr>
      </w:pPr>
      <w:bookmarkStart w:id="574" w:name="_Hlk51506429"/>
      <w:r>
        <w:rPr>
          <w:rFonts w:hint="eastAsia" w:ascii="宋体" w:hAnsi="宋体" w:eastAsia="宋体" w:cs="宋体"/>
          <w:color w:val="000000" w:themeColor="text1"/>
          <w:highlight w:val="none"/>
          <w14:textFill>
            <w14:solidFill>
              <w14:schemeClr w14:val="tx1"/>
            </w14:solidFill>
          </w14:textFill>
        </w:rPr>
        <w:t>发包人应按专用合同条件和《发包人要求》中的约定向承包人提供</w:t>
      </w:r>
      <w:bookmarkEnd w:id="574"/>
      <w:r>
        <w:rPr>
          <w:rFonts w:hint="eastAsia" w:ascii="宋体" w:hAnsi="宋体" w:eastAsia="宋体" w:cs="宋体"/>
          <w:color w:val="000000" w:themeColor="text1"/>
          <w:highlight w:val="none"/>
          <w14:textFill>
            <w14:solidFill>
              <w14:schemeClr w14:val="tx1"/>
            </w14:solidFill>
          </w14:textFill>
        </w:rPr>
        <w:t>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2219776E">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75" w:name="_Toc54862199"/>
      <w:bookmarkStart w:id="576" w:name="_Ref531950041"/>
      <w:bookmarkStart w:id="577" w:name="_Ref531950045"/>
      <w:r>
        <w:rPr>
          <w:rFonts w:hint="eastAsia" w:ascii="宋体" w:hAnsi="宋体" w:eastAsia="宋体" w:cs="宋体"/>
          <w:color w:val="000000" w:themeColor="text1"/>
          <w:highlight w:val="none"/>
          <w:lang w:val="zh-CN" w:eastAsia="zh-CN"/>
          <w14:textFill>
            <w14:solidFill>
              <w14:schemeClr w14:val="tx1"/>
            </w14:solidFill>
          </w14:textFill>
        </w:rPr>
        <w:t>2.4 办理许可和批准</w:t>
      </w:r>
      <w:bookmarkEnd w:id="575"/>
      <w:bookmarkEnd w:id="576"/>
      <w:bookmarkEnd w:id="577"/>
    </w:p>
    <w:p w14:paraId="1613BB34">
      <w:pPr>
        <w:bidi w:val="0"/>
        <w:rPr>
          <w:rFonts w:hint="eastAsia" w:ascii="宋体" w:hAnsi="宋体" w:eastAsia="宋体" w:cs="宋体"/>
          <w:color w:val="000000" w:themeColor="text1"/>
          <w:highlight w:val="none"/>
          <w14:textFill>
            <w14:solidFill>
              <w14:schemeClr w14:val="tx1"/>
            </w14:solidFill>
          </w14:textFill>
        </w:rPr>
      </w:pPr>
      <w:bookmarkStart w:id="578" w:name="_Toc51505128"/>
      <w:r>
        <w:rPr>
          <w:rFonts w:hint="eastAsia" w:ascii="宋体" w:hAnsi="宋体" w:eastAsia="宋体" w:cs="宋体"/>
          <w:color w:val="000000" w:themeColor="text1"/>
          <w:highlight w:val="none"/>
          <w14:textFill>
            <w14:solidFill>
              <w14:schemeClr w14:val="tx1"/>
            </w14:solidFill>
          </w14:textFill>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578"/>
    </w:p>
    <w:p w14:paraId="6E8DAFD9">
      <w:pPr>
        <w:bidi w:val="0"/>
        <w:rPr>
          <w:rFonts w:hint="eastAsia" w:ascii="宋体" w:hAnsi="宋体" w:eastAsia="宋体" w:cs="宋体"/>
          <w:color w:val="000000" w:themeColor="text1"/>
          <w:highlight w:val="none"/>
          <w14:textFill>
            <w14:solidFill>
              <w14:schemeClr w14:val="tx1"/>
            </w14:solidFill>
          </w14:textFill>
        </w:rPr>
      </w:pPr>
      <w:bookmarkStart w:id="579" w:name="_Toc51505129"/>
      <w:r>
        <w:rPr>
          <w:rFonts w:hint="eastAsia" w:ascii="宋体" w:hAnsi="宋体" w:eastAsia="宋体" w:cs="宋体"/>
          <w:color w:val="000000" w:themeColor="text1"/>
          <w:highlight w:val="none"/>
          <w14:textFill>
            <w14:solidFill>
              <w14:schemeClr w14:val="tx1"/>
            </w14:solidFill>
          </w14:textFill>
        </w:rPr>
        <w:t>2.4.2 因发包人原因未能及时办理完毕前述许可、批准或备案，由发包人承担由此增加的费用和（或）延误的工期，并支付承包人合理的利润。</w:t>
      </w:r>
      <w:bookmarkEnd w:id="579"/>
    </w:p>
    <w:p w14:paraId="56FE9EFF">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80" w:name="_Ref11956533"/>
      <w:bookmarkStart w:id="581" w:name="_Ref11956525"/>
      <w:bookmarkStart w:id="582" w:name="_Toc54862200"/>
      <w:bookmarkStart w:id="583" w:name="_Ref11918070"/>
      <w:bookmarkStart w:id="584" w:name="_Ref11918060"/>
      <w:r>
        <w:rPr>
          <w:rFonts w:hint="eastAsia" w:ascii="宋体" w:hAnsi="宋体" w:eastAsia="宋体" w:cs="宋体"/>
          <w:color w:val="000000" w:themeColor="text1"/>
          <w:highlight w:val="none"/>
          <w:lang w:val="zh-CN" w:eastAsia="zh-CN"/>
          <w14:textFill>
            <w14:solidFill>
              <w14:schemeClr w14:val="tx1"/>
            </w14:solidFill>
          </w14:textFill>
        </w:rPr>
        <w:t>2.5 支付合同价款</w:t>
      </w:r>
      <w:bookmarkEnd w:id="580"/>
      <w:bookmarkEnd w:id="581"/>
      <w:bookmarkEnd w:id="582"/>
      <w:bookmarkEnd w:id="583"/>
      <w:bookmarkEnd w:id="584"/>
    </w:p>
    <w:p w14:paraId="1FC39D9B">
      <w:pPr>
        <w:bidi w:val="0"/>
        <w:rPr>
          <w:rFonts w:hint="eastAsia" w:ascii="宋体" w:hAnsi="宋体" w:eastAsia="宋体" w:cs="宋体"/>
          <w:color w:val="000000" w:themeColor="text1"/>
          <w:highlight w:val="none"/>
          <w14:textFill>
            <w14:solidFill>
              <w14:schemeClr w14:val="tx1"/>
            </w14:solidFill>
          </w14:textFill>
        </w:rPr>
      </w:pPr>
      <w:bookmarkStart w:id="585" w:name="_Toc51505131"/>
      <w:bookmarkStart w:id="586" w:name="_Ref531950147"/>
      <w:r>
        <w:rPr>
          <w:rFonts w:hint="eastAsia" w:ascii="宋体" w:hAnsi="宋体" w:eastAsia="宋体" w:cs="宋体"/>
          <w:color w:val="000000" w:themeColor="text1"/>
          <w:highlight w:val="none"/>
          <w14:textFill>
            <w14:solidFill>
              <w14:schemeClr w14:val="tx1"/>
            </w14:solidFill>
          </w14:textFill>
        </w:rPr>
        <w:t>2.5.1 发包人应按合同约定向承包人及时支付合同价款。</w:t>
      </w:r>
      <w:bookmarkEnd w:id="585"/>
    </w:p>
    <w:bookmarkEnd w:id="586"/>
    <w:p w14:paraId="287111EC">
      <w:pPr>
        <w:bidi w:val="0"/>
        <w:rPr>
          <w:rFonts w:hint="eastAsia" w:ascii="宋体" w:hAnsi="宋体" w:eastAsia="宋体" w:cs="宋体"/>
          <w:color w:val="000000" w:themeColor="text1"/>
          <w:highlight w:val="none"/>
          <w14:textFill>
            <w14:solidFill>
              <w14:schemeClr w14:val="tx1"/>
            </w14:solidFill>
          </w14:textFill>
        </w:rPr>
      </w:pPr>
      <w:bookmarkStart w:id="587" w:name="_Toc51505132"/>
      <w:r>
        <w:rPr>
          <w:rFonts w:hint="eastAsia" w:ascii="宋体" w:hAnsi="宋体" w:eastAsia="宋体" w:cs="宋体"/>
          <w:color w:val="000000" w:themeColor="text1"/>
          <w:highlight w:val="none"/>
          <w14:textFill>
            <w14:solidFill>
              <w14:schemeClr w14:val="tx1"/>
            </w14:solidFill>
          </w14:textFill>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587"/>
    </w:p>
    <w:p w14:paraId="576116E0">
      <w:pPr>
        <w:bidi w:val="0"/>
        <w:rPr>
          <w:rFonts w:hint="eastAsia" w:ascii="宋体" w:hAnsi="宋体" w:eastAsia="宋体" w:cs="宋体"/>
          <w:color w:val="000000" w:themeColor="text1"/>
          <w:highlight w:val="none"/>
          <w14:textFill>
            <w14:solidFill>
              <w14:schemeClr w14:val="tx1"/>
            </w14:solidFill>
          </w14:textFill>
        </w:rPr>
      </w:pPr>
      <w:bookmarkStart w:id="588" w:name="_Ref531950161"/>
      <w:bookmarkStart w:id="589" w:name="_Toc51505133"/>
      <w:r>
        <w:rPr>
          <w:rFonts w:hint="eastAsia" w:ascii="宋体" w:hAnsi="宋体" w:eastAsia="宋体" w:cs="宋体"/>
          <w:color w:val="000000" w:themeColor="text1"/>
          <w:highlight w:val="none"/>
          <w14:textFill>
            <w14:solidFill>
              <w14:schemeClr w14:val="tx1"/>
            </w14:solidFill>
          </w14:textFill>
        </w:rPr>
        <w:t>2.5.3 发包人应当向承包人提供支付担保。支付担保可以采用银行保函或担保公司担保等形式，具体由合同当事人在专用合同条件中约定。</w:t>
      </w:r>
      <w:bookmarkEnd w:id="588"/>
      <w:bookmarkEnd w:id="589"/>
    </w:p>
    <w:p w14:paraId="137F743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90" w:name="_Toc54862201"/>
      <w:r>
        <w:rPr>
          <w:rFonts w:hint="eastAsia" w:ascii="宋体" w:hAnsi="宋体" w:eastAsia="宋体" w:cs="宋体"/>
          <w:color w:val="000000" w:themeColor="text1"/>
          <w:highlight w:val="none"/>
          <w:lang w:val="zh-CN" w:eastAsia="zh-CN"/>
          <w14:textFill>
            <w14:solidFill>
              <w14:schemeClr w14:val="tx1"/>
            </w14:solidFill>
          </w14:textFill>
        </w:rPr>
        <w:t>2.6 现场管理配合</w:t>
      </w:r>
      <w:bookmarkEnd w:id="590"/>
    </w:p>
    <w:p w14:paraId="24C1DE1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发包人应负责保证在现场或现场附近的发包人人员和发包人的其他承包人（如有）：</w:t>
      </w:r>
    </w:p>
    <w:p w14:paraId="0A41592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根据第7.3款[现场合作]的约定，与承包人进行合作；</w:t>
      </w:r>
    </w:p>
    <w:p w14:paraId="0EE897C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遵守第7.5款[现场劳动用工]、第7.6款[安全文明施工]、第7.7款[职业健康</w:t>
      </w:r>
      <w:bookmarkStart w:id="591" w:name="_Ref531952761"/>
      <w:bookmarkStart w:id="592" w:name="_Ref531952756"/>
      <w:r>
        <w:rPr>
          <w:rFonts w:hint="eastAsia" w:ascii="宋体" w:hAnsi="宋体" w:eastAsia="宋体" w:cs="宋体"/>
          <w:color w:val="000000" w:themeColor="text1"/>
          <w:highlight w:val="none"/>
          <w14:textFill>
            <w14:solidFill>
              <w14:schemeClr w14:val="tx1"/>
            </w14:solidFill>
          </w14:textFill>
        </w:rPr>
        <w:t>]和第7.8款[环境保护]的相关约定。</w:t>
      </w:r>
    </w:p>
    <w:p w14:paraId="6D0C02D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发包人应与承包人、由发包人直接发包的其他承包人（如有）订立施工现场统一管理协议，明确各方的权利义务。</w:t>
      </w:r>
    </w:p>
    <w:p w14:paraId="45659CE6">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593" w:name="_Toc54862202"/>
      <w:bookmarkStart w:id="594" w:name="_Ref11959376"/>
      <w:bookmarkStart w:id="595" w:name="_Ref11959372"/>
      <w:r>
        <w:rPr>
          <w:rFonts w:hint="eastAsia" w:ascii="宋体" w:hAnsi="宋体" w:eastAsia="宋体" w:cs="宋体"/>
          <w:color w:val="000000" w:themeColor="text1"/>
          <w:highlight w:val="none"/>
          <w:lang w:val="zh-CN" w:eastAsia="zh-CN"/>
          <w14:textFill>
            <w14:solidFill>
              <w14:schemeClr w14:val="tx1"/>
            </w14:solidFill>
          </w14:textFill>
        </w:rPr>
        <w:t>2.7 其他义务</w:t>
      </w:r>
      <w:bookmarkEnd w:id="593"/>
      <w:bookmarkEnd w:id="594"/>
      <w:bookmarkEnd w:id="595"/>
    </w:p>
    <w:p w14:paraId="019559D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发包人应履行合同约定的其他义务，双方可在专用合同条件内对发包人应履行的其他义务进行补充约定。</w:t>
      </w:r>
    </w:p>
    <w:bookmarkEnd w:id="591"/>
    <w:bookmarkEnd w:id="592"/>
    <w:p w14:paraId="133E872D">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596" w:name="_Ref531952791"/>
      <w:bookmarkStart w:id="597" w:name="_Toc10567"/>
      <w:bookmarkStart w:id="598" w:name="_Toc2809"/>
      <w:bookmarkStart w:id="599" w:name="_Toc54862203"/>
      <w:bookmarkStart w:id="600" w:name="_Toc27291"/>
      <w:r>
        <w:rPr>
          <w:rFonts w:hint="eastAsia" w:ascii="宋体" w:hAnsi="宋体" w:eastAsia="宋体" w:cs="宋体"/>
          <w:color w:val="000000" w:themeColor="text1"/>
          <w:highlight w:val="none"/>
          <w:lang w:val="zh-CN" w:eastAsia="zh-CN"/>
          <w14:textFill>
            <w14:solidFill>
              <w14:schemeClr w14:val="tx1"/>
            </w14:solidFill>
          </w14:textFill>
        </w:rPr>
        <w:t>第3条 发包人的管理</w:t>
      </w:r>
      <w:bookmarkEnd w:id="596"/>
      <w:bookmarkEnd w:id="597"/>
      <w:bookmarkEnd w:id="598"/>
      <w:bookmarkEnd w:id="599"/>
      <w:bookmarkEnd w:id="600"/>
    </w:p>
    <w:p w14:paraId="0B0A8235">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01" w:name="_Ref522810097"/>
      <w:bookmarkStart w:id="602" w:name="_Ref522810094"/>
      <w:bookmarkStart w:id="603" w:name="_Ref531951533"/>
      <w:bookmarkStart w:id="604" w:name="_Toc54862204"/>
      <w:bookmarkStart w:id="605" w:name="_Ref531951538"/>
      <w:r>
        <w:rPr>
          <w:rFonts w:hint="eastAsia" w:ascii="宋体" w:hAnsi="宋体" w:eastAsia="宋体" w:cs="宋体"/>
          <w:color w:val="000000" w:themeColor="text1"/>
          <w:highlight w:val="none"/>
          <w:lang w:val="zh-CN" w:eastAsia="zh-CN"/>
          <w14:textFill>
            <w14:solidFill>
              <w14:schemeClr w14:val="tx1"/>
            </w14:solidFill>
          </w14:textFill>
        </w:rPr>
        <w:t>3.1 发包人</w:t>
      </w:r>
      <w:bookmarkEnd w:id="601"/>
      <w:bookmarkEnd w:id="602"/>
      <w:r>
        <w:rPr>
          <w:rFonts w:hint="eastAsia" w:ascii="宋体" w:hAnsi="宋体" w:eastAsia="宋体" w:cs="宋体"/>
          <w:color w:val="000000" w:themeColor="text1"/>
          <w:highlight w:val="none"/>
          <w:lang w:val="zh-CN" w:eastAsia="zh-CN"/>
          <w14:textFill>
            <w14:solidFill>
              <w14:schemeClr w14:val="tx1"/>
            </w14:solidFill>
          </w14:textFill>
        </w:rPr>
        <w:t>代表</w:t>
      </w:r>
      <w:bookmarkEnd w:id="603"/>
      <w:bookmarkEnd w:id="604"/>
      <w:bookmarkEnd w:id="605"/>
    </w:p>
    <w:p w14:paraId="4711AB2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314526B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除非发包人另行通知承包人，发包人代表应被授予并且被认为具有发包人在授权范围内享有的相应权利，涉及第16.1款[由发包人解除合同]的权利除外。</w:t>
      </w:r>
    </w:p>
    <w:p w14:paraId="3B0F512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发包人代表（或者在其为法人的情况下，被任命代表其行事的自然人）应：</w:t>
      </w:r>
    </w:p>
    <w:p w14:paraId="03DF188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履行指派给其的职责，行使发包人托付给的权利；</w:t>
      </w:r>
    </w:p>
    <w:p w14:paraId="504BAD2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具备履行这些职责、行使这些权利的能力；</w:t>
      </w:r>
    </w:p>
    <w:p w14:paraId="0F34CBB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作为熟练的专业人员行事。</w:t>
      </w:r>
    </w:p>
    <w:p w14:paraId="7666856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6DC616D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4344C07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发包人代表不能按照合同约定履行其职责及义务，并导致合同无法继续正常履行的，承包人可以要求发包人撤换发包人代表。</w:t>
      </w:r>
    </w:p>
    <w:p w14:paraId="07F0D065">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06" w:name="_Ref531951553"/>
      <w:bookmarkStart w:id="607" w:name="_Ref531951557"/>
      <w:bookmarkStart w:id="608" w:name="_Toc54862205"/>
      <w:r>
        <w:rPr>
          <w:rFonts w:hint="eastAsia" w:ascii="宋体" w:hAnsi="宋体" w:eastAsia="宋体" w:cs="宋体"/>
          <w:color w:val="000000" w:themeColor="text1"/>
          <w:highlight w:val="none"/>
          <w:lang w:val="zh-CN" w:eastAsia="zh-CN"/>
          <w14:textFill>
            <w14:solidFill>
              <w14:schemeClr w14:val="tx1"/>
            </w14:solidFill>
          </w14:textFill>
        </w:rPr>
        <w:t>3.2 发包人人员</w:t>
      </w:r>
      <w:bookmarkEnd w:id="606"/>
      <w:bookmarkEnd w:id="607"/>
      <w:bookmarkEnd w:id="608"/>
    </w:p>
    <w:p w14:paraId="3F63467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399C0CC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发包人应要求在施工现场的发包人人员遵守法律及有关安全、质量、环境保护、文明施工等规定，因发包人人员未遵守上述要求给承包人造成的损失和责任由发包人承担。</w:t>
      </w:r>
    </w:p>
    <w:p w14:paraId="70243EE8">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09" w:name="_Toc54862206"/>
      <w:r>
        <w:rPr>
          <w:rFonts w:hint="eastAsia" w:ascii="宋体" w:hAnsi="宋体" w:eastAsia="宋体" w:cs="宋体"/>
          <w:color w:val="000000" w:themeColor="text1"/>
          <w:highlight w:val="none"/>
          <w:lang w:val="zh-CN" w:eastAsia="zh-CN"/>
          <w14:textFill>
            <w14:solidFill>
              <w14:schemeClr w14:val="tx1"/>
            </w14:solidFill>
          </w14:textFill>
        </w:rPr>
        <w:t>3.3 工程师</w:t>
      </w:r>
      <w:bookmarkEnd w:id="609"/>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520727B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2848155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60DBD88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6E35659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6067242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10" w:name="_Toc54862207"/>
      <w:bookmarkStart w:id="611" w:name="_Ref531951597"/>
      <w:bookmarkStart w:id="612" w:name="_Ref531951594"/>
      <w:r>
        <w:rPr>
          <w:rFonts w:hint="eastAsia" w:ascii="宋体" w:hAnsi="宋体" w:eastAsia="宋体" w:cs="宋体"/>
          <w:color w:val="000000" w:themeColor="text1"/>
          <w:highlight w:val="none"/>
          <w:lang w:val="zh-CN" w:eastAsia="zh-CN"/>
          <w14:textFill>
            <w14:solidFill>
              <w14:schemeClr w14:val="tx1"/>
            </w14:solidFill>
          </w14:textFill>
        </w:rPr>
        <w:t>3.4 任命和授权</w:t>
      </w:r>
      <w:bookmarkEnd w:id="610"/>
    </w:p>
    <w:p w14:paraId="6AA2F8F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479FD02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0A85315F">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13" w:name="_Ref20165400"/>
      <w:bookmarkStart w:id="614" w:name="_Toc54862208"/>
      <w:r>
        <w:rPr>
          <w:rFonts w:hint="eastAsia" w:ascii="宋体" w:hAnsi="宋体" w:eastAsia="宋体" w:cs="宋体"/>
          <w:color w:val="000000" w:themeColor="text1"/>
          <w:highlight w:val="none"/>
          <w:lang w:val="zh-CN" w:eastAsia="zh-CN"/>
          <w14:textFill>
            <w14:solidFill>
              <w14:schemeClr w14:val="tx1"/>
            </w14:solidFill>
          </w14:textFill>
        </w:rPr>
        <w:t>3.5 指示</w:t>
      </w:r>
      <w:bookmarkEnd w:id="611"/>
      <w:bookmarkEnd w:id="612"/>
      <w:bookmarkEnd w:id="613"/>
      <w:bookmarkEnd w:id="614"/>
    </w:p>
    <w:p w14:paraId="28FB085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271D7A5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3.5.2 承包人收到工程师作出的指示后应遵照执行。如果任何此类指示构成一项变更时，应按照第13条[变更与调整]的约定办理。</w:t>
      </w:r>
    </w:p>
    <w:p w14:paraId="381C359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3.5.3 由于工程师未能按合同约定发出指示、指示延误或指示错误而导致承包人费用增加和（或）工期延误的，发包人应承担由此增加的费用和（或）工期延误，并向承包人支付合理利润。</w:t>
      </w:r>
    </w:p>
    <w:p w14:paraId="3D6B8AB1">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15" w:name="_Toc54862209"/>
      <w:bookmarkStart w:id="616" w:name="_Ref531951611"/>
      <w:bookmarkStart w:id="617" w:name="_Ref531951609"/>
      <w:r>
        <w:rPr>
          <w:rFonts w:hint="eastAsia" w:ascii="宋体" w:hAnsi="宋体" w:eastAsia="宋体" w:cs="宋体"/>
          <w:color w:val="000000" w:themeColor="text1"/>
          <w:highlight w:val="none"/>
          <w:lang w:val="zh-CN" w:eastAsia="zh-CN"/>
          <w14:textFill>
            <w14:solidFill>
              <w14:schemeClr w14:val="tx1"/>
            </w14:solidFill>
          </w14:textFill>
        </w:rPr>
        <w:t>3.6 商定或确定</w:t>
      </w:r>
      <w:bookmarkEnd w:id="615"/>
      <w:bookmarkEnd w:id="616"/>
      <w:bookmarkEnd w:id="617"/>
    </w:p>
    <w:p w14:paraId="748A512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3.6.1 合同约定工程师应按照本款对任何事项进行商定或确定时，工程师应及时与合同当事人协商，尽量达成一致。工程师应将商定的结果以书面形式通知发包人和承包人，并由双方签署确认。</w:t>
      </w:r>
    </w:p>
    <w:p w14:paraId="7B43E05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3613B90E">
      <w:pPr>
        <w:bidi w:val="0"/>
        <w:rPr>
          <w:rFonts w:hint="eastAsia" w:ascii="宋体" w:hAnsi="宋体" w:eastAsia="宋体" w:cs="宋体"/>
          <w:color w:val="000000" w:themeColor="text1"/>
          <w:highlight w:val="none"/>
          <w14:textFill>
            <w14:solidFill>
              <w14:schemeClr w14:val="tx1"/>
            </w14:solidFill>
          </w14:textFill>
        </w:rPr>
      </w:pPr>
      <w:bookmarkStart w:id="618" w:name="_Ref532287856"/>
      <w:r>
        <w:rPr>
          <w:rFonts w:hint="eastAsia" w:ascii="宋体" w:hAnsi="宋体" w:eastAsia="宋体" w:cs="宋体"/>
          <w:color w:val="000000" w:themeColor="text1"/>
          <w:highlight w:val="none"/>
          <w14:textFill>
            <w14:solidFill>
              <w14:schemeClr w14:val="tx1"/>
            </w14:solidFill>
          </w14:textFill>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618"/>
    </w:p>
    <w:p w14:paraId="4483D65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3.6.4 在该争议解决前，双方应暂按工程师的确定执行。按照第20条[争议解决]的约定对工程师的确定作出修改的，按修改后的结果执行，由此导致承包人增加的费用和延误的工期由责任方承担。</w:t>
      </w:r>
    </w:p>
    <w:p w14:paraId="404B26C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19" w:name="_Toc54862210"/>
      <w:bookmarkStart w:id="620" w:name="_Ref531951749"/>
      <w:bookmarkStart w:id="621" w:name="_Ref531951747"/>
      <w:r>
        <w:rPr>
          <w:rFonts w:hint="eastAsia" w:ascii="宋体" w:hAnsi="宋体" w:eastAsia="宋体" w:cs="宋体"/>
          <w:color w:val="000000" w:themeColor="text1"/>
          <w:highlight w:val="none"/>
          <w:lang w:val="zh-CN" w:eastAsia="zh-CN"/>
          <w14:textFill>
            <w14:solidFill>
              <w14:schemeClr w14:val="tx1"/>
            </w14:solidFill>
          </w14:textFill>
        </w:rPr>
        <w:t>3.7 会议</w:t>
      </w:r>
      <w:bookmarkEnd w:id="619"/>
      <w:bookmarkEnd w:id="620"/>
      <w:bookmarkEnd w:id="621"/>
    </w:p>
    <w:p w14:paraId="2CF929A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06D0719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3.7.2 除专用合同条件另有约定外，发包人应保存每次会议参加人签名的记录，并将会议纪要提供给出席会议的人员。任何根据此类会议以及会议纪要采取的行动应符合本合同的约定。</w:t>
      </w:r>
    </w:p>
    <w:p w14:paraId="5457FDE3">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622" w:name="_Ref531952805"/>
      <w:bookmarkStart w:id="623" w:name="_Toc4017"/>
      <w:bookmarkStart w:id="624" w:name="_Toc54862211"/>
      <w:bookmarkStart w:id="625" w:name="_Toc4311"/>
      <w:bookmarkStart w:id="626" w:name="_Toc3194"/>
      <w:r>
        <w:rPr>
          <w:rFonts w:hint="eastAsia" w:ascii="宋体" w:hAnsi="宋体" w:eastAsia="宋体" w:cs="宋体"/>
          <w:color w:val="000000" w:themeColor="text1"/>
          <w:highlight w:val="none"/>
          <w:lang w:val="zh-CN" w:eastAsia="zh-CN"/>
          <w14:textFill>
            <w14:solidFill>
              <w14:schemeClr w14:val="tx1"/>
            </w14:solidFill>
          </w14:textFill>
        </w:rPr>
        <w:t>第4条 承包人</w:t>
      </w:r>
      <w:bookmarkEnd w:id="622"/>
      <w:bookmarkEnd w:id="623"/>
      <w:bookmarkEnd w:id="624"/>
      <w:bookmarkEnd w:id="625"/>
      <w:bookmarkEnd w:id="626"/>
    </w:p>
    <w:p w14:paraId="3E75F69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27" w:name="_Ref531951941"/>
      <w:bookmarkStart w:id="628" w:name="_Ref531951958"/>
      <w:bookmarkStart w:id="629" w:name="_Ref531951961"/>
      <w:bookmarkStart w:id="630" w:name="_Ref531951945"/>
      <w:bookmarkStart w:id="631" w:name="_Toc54862212"/>
      <w:bookmarkStart w:id="632" w:name="_Ref531951975"/>
      <w:r>
        <w:rPr>
          <w:rFonts w:hint="eastAsia" w:ascii="宋体" w:hAnsi="宋体" w:eastAsia="宋体" w:cs="宋体"/>
          <w:color w:val="000000" w:themeColor="text1"/>
          <w:highlight w:val="none"/>
          <w:lang w:val="zh-CN" w:eastAsia="zh-CN"/>
          <w14:textFill>
            <w14:solidFill>
              <w14:schemeClr w14:val="tx1"/>
            </w14:solidFill>
          </w14:textFill>
        </w:rPr>
        <w:t>4.1 承包人的一般义务</w:t>
      </w:r>
      <w:bookmarkEnd w:id="627"/>
      <w:bookmarkEnd w:id="628"/>
      <w:bookmarkEnd w:id="629"/>
      <w:bookmarkEnd w:id="630"/>
      <w:bookmarkEnd w:id="631"/>
      <w:bookmarkEnd w:id="632"/>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7ADF104D">
      <w:pPr>
        <w:bidi w:val="0"/>
        <w:rPr>
          <w:rFonts w:hint="eastAsia" w:ascii="宋体" w:hAnsi="宋体" w:eastAsia="宋体" w:cs="宋体"/>
          <w:color w:val="000000" w:themeColor="text1"/>
          <w:highlight w:val="none"/>
          <w14:textFill>
            <w14:solidFill>
              <w14:schemeClr w14:val="tx1"/>
            </w14:solidFill>
          </w14:textFill>
        </w:rPr>
      </w:pPr>
      <w:bookmarkStart w:id="633" w:name="_Ref509046929"/>
      <w:r>
        <w:rPr>
          <w:rFonts w:hint="eastAsia" w:ascii="宋体" w:hAnsi="宋体" w:eastAsia="宋体" w:cs="宋体"/>
          <w:color w:val="000000" w:themeColor="text1"/>
          <w:highlight w:val="none"/>
          <w14:textFill>
            <w14:solidFill>
              <w14:schemeClr w14:val="tx1"/>
            </w14:solidFill>
          </w14:textFill>
        </w:rPr>
        <w:t>除专用合同条件另有约定外，承包人在履行合同过程中应遵守法律和工程建设标准规范，并履行以下义务：</w:t>
      </w:r>
    </w:p>
    <w:p w14:paraId="10C043A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办理法律规定和合同约定由承包人办理的许可和批准，将办理结果书面报送发包人留存，并承担因承包人违反法律或合同约定给发包人造成的任何费用和损失；</w:t>
      </w:r>
    </w:p>
    <w:p w14:paraId="4CE79BF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按合同约定完成全部工作并在缺陷责任期和保修期内承担缺陷保证责任和保修义务，对工作中的任何缺陷进行整改、完善和修补，使其满足合同约定的目的；</w:t>
      </w:r>
    </w:p>
    <w:p w14:paraId="003BA3C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提供合同约定的工程设备和承包人文件，以及为完成合同工作所需的劳务、材料、施工设备和其他物品，并按合同约定负责临时设施的设计、施工、运行、维护、管理和拆除；</w:t>
      </w:r>
    </w:p>
    <w:p w14:paraId="2EFF0C4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按合同约定的工作内容和进度要求，编制设计、施工的组织和实施计划，保证项目进度计划的实现，并对所有设计、施工作业和施工方法，以及全部工程的完备性和安全可靠性负责；</w:t>
      </w:r>
    </w:p>
    <w:p w14:paraId="35D18E1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按法律规定和合同约定采取安全文明施工、职业健康和环境保护措施，办理员工工伤保险等相关保险，确保工程及人员、材料、设备和设施的安全，防止因工程实施造成的人身伤害和财产损失；</w:t>
      </w:r>
    </w:p>
    <w:p w14:paraId="73CE2D3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将发包人按合同约定支付的各项价款专用于合同工程，且应及时支付其雇用人员（包括建筑工人）工资，并及时向分包人支付合同价款；</w:t>
      </w:r>
    </w:p>
    <w:p w14:paraId="57A0EC3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 在进行合同约定的各项工作时，不得侵害发包人与他人使用公用道路、水源、市政管网等公共设施的权利，避免对邻近的公共设施产生干扰。</w:t>
      </w:r>
    </w:p>
    <w:p w14:paraId="40B3D3CA">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34" w:name="_Toc54862213"/>
      <w:bookmarkStart w:id="635" w:name="_Ref4426803"/>
      <w:bookmarkStart w:id="636" w:name="_Ref4428418"/>
      <w:r>
        <w:rPr>
          <w:rFonts w:hint="eastAsia" w:ascii="宋体" w:hAnsi="宋体" w:eastAsia="宋体" w:cs="宋体"/>
          <w:color w:val="000000" w:themeColor="text1"/>
          <w:highlight w:val="none"/>
          <w:lang w:val="zh-CN" w:eastAsia="zh-CN"/>
          <w14:textFill>
            <w14:solidFill>
              <w14:schemeClr w14:val="tx1"/>
            </w14:solidFill>
          </w14:textFill>
        </w:rPr>
        <w:t>4.2 履约担保</w:t>
      </w:r>
      <w:bookmarkEnd w:id="634"/>
      <w:bookmarkEnd w:id="635"/>
    </w:p>
    <w:p w14:paraId="3E6DC13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0C6859B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承包人应保证其履约担保在发包人竣工验收前一直有效，发包人应在竣工验收合格后7天内将履约担保款项退还给承包人或者解除履约担保。</w:t>
      </w:r>
    </w:p>
    <w:p w14:paraId="5A9242B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bookmarkEnd w:id="633"/>
    <w:bookmarkEnd w:id="636"/>
    <w:p w14:paraId="25310D4F">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37" w:name="_Ref532689105"/>
      <w:bookmarkStart w:id="638" w:name="_Toc54862214"/>
      <w:bookmarkStart w:id="639" w:name="_Ref532689108"/>
      <w:r>
        <w:rPr>
          <w:rFonts w:hint="eastAsia" w:ascii="宋体" w:hAnsi="宋体" w:eastAsia="宋体" w:cs="宋体"/>
          <w:color w:val="000000" w:themeColor="text1"/>
          <w:highlight w:val="none"/>
          <w:lang w:val="zh-CN" w:eastAsia="zh-CN"/>
          <w14:textFill>
            <w14:solidFill>
              <w14:schemeClr w14:val="tx1"/>
            </w14:solidFill>
          </w14:textFill>
        </w:rPr>
        <w:t>4.3 工程总承包项目经理</w:t>
      </w:r>
      <w:bookmarkEnd w:id="637"/>
      <w:bookmarkEnd w:id="638"/>
      <w:bookmarkEnd w:id="639"/>
    </w:p>
    <w:p w14:paraId="7BC23582">
      <w:pPr>
        <w:bidi w:val="0"/>
        <w:rPr>
          <w:rFonts w:hint="eastAsia" w:ascii="宋体" w:hAnsi="宋体" w:eastAsia="宋体" w:cs="宋体"/>
          <w:color w:val="000000" w:themeColor="text1"/>
          <w:highlight w:val="none"/>
          <w14:textFill>
            <w14:solidFill>
              <w14:schemeClr w14:val="tx1"/>
            </w14:solidFill>
          </w14:textFill>
        </w:rPr>
      </w:pPr>
      <w:bookmarkStart w:id="640" w:name="_Ref532351726"/>
      <w:r>
        <w:rPr>
          <w:rFonts w:hint="eastAsia" w:ascii="宋体" w:hAnsi="宋体" w:eastAsia="宋体" w:cs="宋体"/>
          <w:color w:val="000000" w:themeColor="text1"/>
          <w:highlight w:val="none"/>
          <w14:textFill>
            <w14:solidFill>
              <w14:schemeClr w14:val="tx1"/>
            </w14:solidFill>
          </w14:textFill>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640"/>
    </w:p>
    <w:p w14:paraId="40E75A9F">
      <w:pPr>
        <w:bidi w:val="0"/>
        <w:rPr>
          <w:rFonts w:hint="eastAsia" w:ascii="宋体" w:hAnsi="宋体" w:eastAsia="宋体" w:cs="宋体"/>
          <w:color w:val="000000" w:themeColor="text1"/>
          <w:highlight w:val="none"/>
          <w14:textFill>
            <w14:solidFill>
              <w14:schemeClr w14:val="tx1"/>
            </w14:solidFill>
          </w14:textFill>
        </w:rPr>
      </w:pPr>
      <w:bookmarkStart w:id="641" w:name="_Ref532689263"/>
      <w:r>
        <w:rPr>
          <w:rFonts w:hint="eastAsia" w:ascii="宋体" w:hAnsi="宋体" w:eastAsia="宋体" w:cs="宋体"/>
          <w:color w:val="000000" w:themeColor="text1"/>
          <w:highlight w:val="none"/>
          <w14:textFill>
            <w14:solidFill>
              <w14:schemeClr w14:val="tx1"/>
            </w14:solidFill>
          </w14:textFill>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641"/>
    </w:p>
    <w:p w14:paraId="3D253F52">
      <w:pPr>
        <w:bidi w:val="0"/>
        <w:rPr>
          <w:rFonts w:hint="eastAsia" w:ascii="宋体" w:hAnsi="宋体" w:eastAsia="宋体" w:cs="宋体"/>
          <w:color w:val="000000" w:themeColor="text1"/>
          <w:highlight w:val="none"/>
          <w14:textFill>
            <w14:solidFill>
              <w14:schemeClr w14:val="tx1"/>
            </w14:solidFill>
          </w14:textFill>
        </w:rPr>
      </w:pPr>
      <w:bookmarkStart w:id="642" w:name="_Ref532689178"/>
      <w:bookmarkStart w:id="643" w:name="_Ref531952112"/>
      <w:r>
        <w:rPr>
          <w:rFonts w:hint="eastAsia" w:ascii="宋体" w:hAnsi="宋体" w:eastAsia="宋体" w:cs="宋体"/>
          <w:color w:val="000000" w:themeColor="text1"/>
          <w:highlight w:val="none"/>
          <w14:textFill>
            <w14:solidFill>
              <w14:schemeClr w14:val="tx1"/>
            </w14:solidFill>
          </w14:textFill>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642"/>
    </w:p>
    <w:bookmarkEnd w:id="643"/>
    <w:p w14:paraId="4600E148">
      <w:pPr>
        <w:bidi w:val="0"/>
        <w:rPr>
          <w:rFonts w:hint="eastAsia" w:ascii="宋体" w:hAnsi="宋体" w:eastAsia="宋体" w:cs="宋体"/>
          <w:color w:val="000000" w:themeColor="text1"/>
          <w:highlight w:val="none"/>
          <w14:textFill>
            <w14:solidFill>
              <w14:schemeClr w14:val="tx1"/>
            </w14:solidFill>
          </w14:textFill>
        </w:rPr>
      </w:pPr>
      <w:bookmarkStart w:id="644" w:name="_Ref4426412"/>
      <w:r>
        <w:rPr>
          <w:rFonts w:hint="eastAsia" w:ascii="宋体" w:hAnsi="宋体" w:eastAsia="宋体" w:cs="宋体"/>
          <w:color w:val="000000" w:themeColor="text1"/>
          <w:highlight w:val="none"/>
          <w14:textFill>
            <w14:solidFill>
              <w14:schemeClr w14:val="tx1"/>
            </w14:solidFill>
          </w14:textFill>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645" w:name="_Hlk55056591"/>
      <w:r>
        <w:rPr>
          <w:rFonts w:hint="eastAsia" w:ascii="宋体" w:hAnsi="宋体" w:eastAsia="宋体" w:cs="宋体"/>
          <w:color w:val="000000" w:themeColor="text1"/>
          <w:highlight w:val="none"/>
          <w14:textFill>
            <w14:solidFill>
              <w14:schemeClr w14:val="tx1"/>
            </w14:solidFill>
          </w14:textFill>
        </w:rPr>
        <w:t>应按照专用合同条件的约定承担违约责任。</w:t>
      </w:r>
      <w:bookmarkEnd w:id="644"/>
      <w:bookmarkEnd w:id="645"/>
    </w:p>
    <w:p w14:paraId="7D18E7FB">
      <w:pPr>
        <w:bidi w:val="0"/>
        <w:rPr>
          <w:rFonts w:hint="eastAsia" w:ascii="宋体" w:hAnsi="宋体" w:eastAsia="宋体" w:cs="宋体"/>
          <w:color w:val="000000" w:themeColor="text1"/>
          <w:highlight w:val="none"/>
          <w14:textFill>
            <w14:solidFill>
              <w14:schemeClr w14:val="tx1"/>
            </w14:solidFill>
          </w14:textFill>
        </w:rPr>
      </w:pPr>
      <w:bookmarkStart w:id="646" w:name="_Ref531952137"/>
      <w:r>
        <w:rPr>
          <w:rFonts w:hint="eastAsia" w:ascii="宋体" w:hAnsi="宋体" w:eastAsia="宋体" w:cs="宋体"/>
          <w:color w:val="000000" w:themeColor="text1"/>
          <w:highlight w:val="none"/>
          <w14:textFill>
            <w14:solidFill>
              <w14:schemeClr w14:val="tx1"/>
            </w14:solidFill>
          </w14:textFill>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646"/>
    </w:p>
    <w:p w14:paraId="4B7FDDD1">
      <w:pPr>
        <w:bidi w:val="0"/>
        <w:rPr>
          <w:rFonts w:hint="eastAsia" w:ascii="宋体" w:hAnsi="宋体" w:eastAsia="宋体" w:cs="宋体"/>
          <w:color w:val="000000" w:themeColor="text1"/>
          <w:highlight w:val="none"/>
          <w14:textFill>
            <w14:solidFill>
              <w14:schemeClr w14:val="tx1"/>
            </w14:solidFill>
          </w14:textFill>
        </w:rPr>
      </w:pPr>
      <w:bookmarkStart w:id="647" w:name="_Ref122620"/>
      <w:r>
        <w:rPr>
          <w:rFonts w:hint="eastAsia" w:ascii="宋体" w:hAnsi="宋体" w:eastAsia="宋体" w:cs="宋体"/>
          <w:color w:val="000000" w:themeColor="text1"/>
          <w:highlight w:val="none"/>
          <w14:textFill>
            <w14:solidFill>
              <w14:schemeClr w14:val="tx1"/>
            </w14:solidFill>
          </w14:textFill>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647"/>
    </w:p>
    <w:p w14:paraId="07BCBCA6">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48" w:name="_Toc54862215"/>
      <w:bookmarkStart w:id="649" w:name="_Ref531952175"/>
      <w:bookmarkStart w:id="650" w:name="_Ref531952172"/>
      <w:r>
        <w:rPr>
          <w:rFonts w:hint="eastAsia" w:ascii="宋体" w:hAnsi="宋体" w:eastAsia="宋体" w:cs="宋体"/>
          <w:color w:val="000000" w:themeColor="text1"/>
          <w:highlight w:val="none"/>
          <w:lang w:val="zh-CN" w:eastAsia="zh-CN"/>
          <w14:textFill>
            <w14:solidFill>
              <w14:schemeClr w14:val="tx1"/>
            </w14:solidFill>
          </w14:textFill>
        </w:rPr>
        <w:t>4.4 承包人人员</w:t>
      </w:r>
      <w:bookmarkEnd w:id="648"/>
      <w:bookmarkEnd w:id="649"/>
      <w:bookmarkEnd w:id="650"/>
    </w:p>
    <w:p w14:paraId="6D80549E">
      <w:pPr>
        <w:bidi w:val="0"/>
        <w:rPr>
          <w:rFonts w:hint="eastAsia" w:ascii="宋体" w:hAnsi="宋体" w:eastAsia="宋体" w:cs="宋体"/>
          <w:color w:val="000000" w:themeColor="text1"/>
          <w:highlight w:val="none"/>
          <w14:textFill>
            <w14:solidFill>
              <w14:schemeClr w14:val="tx1"/>
            </w14:solidFill>
          </w14:textFill>
        </w:rPr>
      </w:pPr>
      <w:bookmarkStart w:id="651" w:name="_Ref531952185"/>
      <w:r>
        <w:rPr>
          <w:rFonts w:hint="eastAsia" w:ascii="宋体" w:hAnsi="宋体" w:eastAsia="宋体" w:cs="宋体"/>
          <w:color w:val="000000" w:themeColor="text1"/>
          <w:highlight w:val="none"/>
          <w14:textFill>
            <w14:solidFill>
              <w14:schemeClr w14:val="tx1"/>
            </w14:solidFill>
          </w14:textFill>
        </w:rPr>
        <w:t>4.4.1 人员安排</w:t>
      </w:r>
      <w:bookmarkEnd w:id="651"/>
    </w:p>
    <w:p w14:paraId="77CBAD0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2039868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关键人员</w:t>
      </w:r>
      <w:bookmarkStart w:id="652" w:name="_Hlk16210335"/>
      <w:r>
        <w:rPr>
          <w:rFonts w:hint="eastAsia" w:ascii="宋体" w:hAnsi="宋体" w:eastAsia="宋体" w:cs="宋体"/>
          <w:color w:val="000000" w:themeColor="text1"/>
          <w:highlight w:val="none"/>
          <w14:textFill>
            <w14:solidFill>
              <w14:schemeClr w14:val="tx1"/>
            </w14:solidFill>
          </w14:textFill>
        </w:rPr>
        <w:t>是发包人及承包人一致认为对工程建设起重要作用的承包人主要管理人员或技术人员。关键人员的具体范围由发包人及承包人在附件5[承包人主要管理人员表]中另行约定。</w:t>
      </w:r>
    </w:p>
    <w:bookmarkEnd w:id="652"/>
    <w:p w14:paraId="148DECF4">
      <w:pPr>
        <w:bidi w:val="0"/>
        <w:rPr>
          <w:rFonts w:hint="eastAsia" w:ascii="宋体" w:hAnsi="宋体" w:eastAsia="宋体" w:cs="宋体"/>
          <w:color w:val="000000" w:themeColor="text1"/>
          <w:highlight w:val="none"/>
          <w14:textFill>
            <w14:solidFill>
              <w14:schemeClr w14:val="tx1"/>
            </w14:solidFill>
          </w14:textFill>
        </w:rPr>
      </w:pPr>
      <w:bookmarkStart w:id="653" w:name="_Ref531952211"/>
      <w:bookmarkStart w:id="654" w:name="_Ref4426641"/>
      <w:r>
        <w:rPr>
          <w:rFonts w:hint="eastAsia" w:ascii="宋体" w:hAnsi="宋体" w:eastAsia="宋体" w:cs="宋体"/>
          <w:color w:val="000000" w:themeColor="text1"/>
          <w:highlight w:val="none"/>
          <w14:textFill>
            <w14:solidFill>
              <w14:schemeClr w14:val="tx1"/>
            </w14:solidFill>
          </w14:textFill>
        </w:rPr>
        <w:t>4.4.2 关键人员更换</w:t>
      </w:r>
      <w:bookmarkEnd w:id="653"/>
      <w:bookmarkEnd w:id="654"/>
    </w:p>
    <w:p w14:paraId="6A85ADD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7CC9B93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4BC6D019">
      <w:pPr>
        <w:bidi w:val="0"/>
        <w:rPr>
          <w:rFonts w:hint="eastAsia" w:ascii="宋体" w:hAnsi="宋体" w:eastAsia="宋体" w:cs="宋体"/>
          <w:color w:val="000000" w:themeColor="text1"/>
          <w:highlight w:val="none"/>
          <w14:textFill>
            <w14:solidFill>
              <w14:schemeClr w14:val="tx1"/>
            </w14:solidFill>
          </w14:textFill>
        </w:rPr>
      </w:pPr>
      <w:bookmarkStart w:id="655" w:name="_Ref531952227"/>
      <w:r>
        <w:rPr>
          <w:rFonts w:hint="eastAsia" w:ascii="宋体" w:hAnsi="宋体" w:eastAsia="宋体" w:cs="宋体"/>
          <w:color w:val="000000" w:themeColor="text1"/>
          <w:highlight w:val="none"/>
          <w14:textFill>
            <w14:solidFill>
              <w14:schemeClr w14:val="tx1"/>
            </w14:solidFill>
          </w14:textFill>
        </w:rPr>
        <w:t>4.4.3 现场管理关键人员在岗要求</w:t>
      </w:r>
      <w:bookmarkEnd w:id="655"/>
    </w:p>
    <w:p w14:paraId="503C2D7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1F4C3B72">
      <w:pPr>
        <w:bidi w:val="0"/>
        <w:rPr>
          <w:rFonts w:hint="eastAsia" w:ascii="宋体" w:hAnsi="宋体" w:eastAsia="宋体" w:cs="宋体"/>
          <w:color w:val="000000" w:themeColor="text1"/>
          <w:highlight w:val="none"/>
          <w14:textFill>
            <w14:solidFill>
              <w14:schemeClr w14:val="tx1"/>
            </w14:solidFill>
          </w14:textFill>
        </w:rPr>
      </w:pPr>
      <w:bookmarkStart w:id="656" w:name="_Toc54862216"/>
      <w:bookmarkStart w:id="657" w:name="_Ref531952259"/>
      <w:bookmarkStart w:id="658" w:name="_Ref531952262"/>
      <w:r>
        <w:rPr>
          <w:rFonts w:hint="eastAsia" w:ascii="宋体" w:hAnsi="宋体" w:eastAsia="宋体" w:cs="宋体"/>
          <w:color w:val="000000" w:themeColor="text1"/>
          <w:highlight w:val="none"/>
          <w14:textFill>
            <w14:solidFill>
              <w14:schemeClr w14:val="tx1"/>
            </w14:solidFill>
          </w14:textFill>
        </w:rPr>
        <w:t>4.5 分包</w:t>
      </w:r>
      <w:bookmarkEnd w:id="656"/>
      <w:bookmarkEnd w:id="657"/>
      <w:bookmarkEnd w:id="658"/>
      <w:r>
        <w:rPr>
          <w:rFonts w:hint="eastAsia" w:ascii="宋体" w:hAnsi="宋体" w:eastAsia="宋体" w:cs="宋体"/>
          <w:color w:val="000000" w:themeColor="text1"/>
          <w:highlight w:val="none"/>
          <w14:textFill>
            <w14:solidFill>
              <w14:schemeClr w14:val="tx1"/>
            </w14:solidFill>
          </w14:textFill>
        </w:rPr>
        <w:t xml:space="preserve"> </w:t>
      </w:r>
    </w:p>
    <w:p w14:paraId="3FF7B8D8">
      <w:pPr>
        <w:bidi w:val="0"/>
        <w:rPr>
          <w:rFonts w:hint="eastAsia" w:ascii="宋体" w:hAnsi="宋体" w:eastAsia="宋体" w:cs="宋体"/>
          <w:color w:val="000000" w:themeColor="text1"/>
          <w:highlight w:val="none"/>
          <w14:textFill>
            <w14:solidFill>
              <w14:schemeClr w14:val="tx1"/>
            </w14:solidFill>
          </w14:textFill>
        </w:rPr>
      </w:pPr>
      <w:bookmarkStart w:id="659" w:name="_Ref531952273"/>
      <w:r>
        <w:rPr>
          <w:rFonts w:hint="eastAsia" w:ascii="宋体" w:hAnsi="宋体" w:eastAsia="宋体" w:cs="宋体"/>
          <w:color w:val="000000" w:themeColor="text1"/>
          <w:highlight w:val="none"/>
          <w14:textFill>
            <w14:solidFill>
              <w14:schemeClr w14:val="tx1"/>
            </w14:solidFill>
          </w14:textFill>
        </w:rPr>
        <w:t>4.5.1 一般约定</w:t>
      </w:r>
      <w:bookmarkEnd w:id="659"/>
    </w:p>
    <w:p w14:paraId="14457F7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51972821">
      <w:pPr>
        <w:bidi w:val="0"/>
        <w:rPr>
          <w:rFonts w:hint="eastAsia" w:ascii="宋体" w:hAnsi="宋体" w:eastAsia="宋体" w:cs="宋体"/>
          <w:color w:val="000000" w:themeColor="text1"/>
          <w:highlight w:val="none"/>
          <w14:textFill>
            <w14:solidFill>
              <w14:schemeClr w14:val="tx1"/>
            </w14:solidFill>
          </w14:textFill>
        </w:rPr>
      </w:pPr>
      <w:bookmarkStart w:id="660" w:name="_Ref531952286"/>
      <w:r>
        <w:rPr>
          <w:rFonts w:hint="eastAsia" w:ascii="宋体" w:hAnsi="宋体" w:eastAsia="宋体" w:cs="宋体"/>
          <w:color w:val="000000" w:themeColor="text1"/>
          <w:highlight w:val="none"/>
          <w14:textFill>
            <w14:solidFill>
              <w14:schemeClr w14:val="tx1"/>
            </w14:solidFill>
          </w14:textFill>
        </w:rPr>
        <w:t>4.5.2 分包的确定</w:t>
      </w:r>
      <w:bookmarkEnd w:id="660"/>
    </w:p>
    <w:p w14:paraId="0120D04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承包人应按照专用合同条件约定对工作事项进行分包，确定分包人。</w:t>
      </w:r>
    </w:p>
    <w:p w14:paraId="00F94BF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2AE24BD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4.5.3 分包人资质</w:t>
      </w:r>
    </w:p>
    <w:p w14:paraId="664ED1A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分包人应符合国家法律规定的资质等级，否则不能作为分包人。承包人有义务对分包人的资质进行审查。</w:t>
      </w:r>
    </w:p>
    <w:p w14:paraId="2901215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4.5.4 分包管理</w:t>
      </w:r>
    </w:p>
    <w:p w14:paraId="10F4B88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2B5DC746">
      <w:pPr>
        <w:bidi w:val="0"/>
        <w:rPr>
          <w:rFonts w:hint="eastAsia" w:ascii="宋体" w:hAnsi="宋体" w:eastAsia="宋体" w:cs="宋体"/>
          <w:color w:val="000000" w:themeColor="text1"/>
          <w:highlight w:val="none"/>
          <w14:textFill>
            <w14:solidFill>
              <w14:schemeClr w14:val="tx1"/>
            </w14:solidFill>
          </w14:textFill>
        </w:rPr>
      </w:pPr>
      <w:bookmarkStart w:id="661" w:name="_Ref531952298"/>
      <w:r>
        <w:rPr>
          <w:rFonts w:hint="eastAsia" w:ascii="宋体" w:hAnsi="宋体" w:eastAsia="宋体" w:cs="宋体"/>
          <w:color w:val="000000" w:themeColor="text1"/>
          <w:highlight w:val="none"/>
          <w14:textFill>
            <w14:solidFill>
              <w14:schemeClr w14:val="tx1"/>
            </w14:solidFill>
          </w14:textFill>
        </w:rPr>
        <w:t>4.5.5 分包合同价款支付</w:t>
      </w:r>
      <w:bookmarkEnd w:id="661"/>
    </w:p>
    <w:p w14:paraId="7E06779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除本项第（2）目约定的情况或专用合同条件另有约定外，分包合同价款由承包人与分包人结算，未经承包人同意，发包人不得向分包人支付分包合同价款；</w:t>
      </w:r>
    </w:p>
    <w:p w14:paraId="0BDDBCB6">
      <w:pPr>
        <w:bidi w:val="0"/>
        <w:rPr>
          <w:rFonts w:hint="eastAsia" w:ascii="宋体" w:hAnsi="宋体" w:eastAsia="宋体" w:cs="宋体"/>
          <w:color w:val="000000" w:themeColor="text1"/>
          <w:highlight w:val="none"/>
          <w14:textFill>
            <w14:solidFill>
              <w14:schemeClr w14:val="tx1"/>
            </w14:solidFill>
          </w14:textFill>
        </w:rPr>
      </w:pPr>
      <w:bookmarkStart w:id="662" w:name="_Ref4613798"/>
      <w:r>
        <w:rPr>
          <w:rFonts w:hint="eastAsia" w:ascii="宋体" w:hAnsi="宋体" w:eastAsia="宋体" w:cs="宋体"/>
          <w:color w:val="000000" w:themeColor="text1"/>
          <w:highlight w:val="none"/>
          <w14:textFill>
            <w14:solidFill>
              <w14:schemeClr w14:val="tx1"/>
            </w14:solidFill>
          </w14:textFill>
        </w:rPr>
        <w:t>（2） 生效法律文书要求发包人向分包人支付分包合同价款的，发包人有权从应付承包人工程款中扣除该部分款项</w:t>
      </w:r>
      <w:bookmarkEnd w:id="662"/>
      <w:r>
        <w:rPr>
          <w:rFonts w:hint="eastAsia" w:ascii="宋体" w:hAnsi="宋体" w:eastAsia="宋体" w:cs="宋体"/>
          <w:color w:val="000000" w:themeColor="text1"/>
          <w:highlight w:val="none"/>
          <w14:textFill>
            <w14:solidFill>
              <w14:schemeClr w14:val="tx1"/>
            </w14:solidFill>
          </w14:textFill>
        </w:rPr>
        <w:t>，将扣款直接支付给分包人，并书面通知承包人。</w:t>
      </w:r>
    </w:p>
    <w:p w14:paraId="33503D2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4.5.6 责任承担</w:t>
      </w:r>
    </w:p>
    <w:p w14:paraId="75A4B6B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承包人对分包人的行为向发包人负责，承包人和分包人就分包工作向发包人承担连带责任。</w:t>
      </w:r>
    </w:p>
    <w:p w14:paraId="6B0A2A0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63" w:name="_Toc54862217"/>
      <w:bookmarkStart w:id="664" w:name="_Ref4426916"/>
      <w:bookmarkStart w:id="665" w:name="_Ref531952317"/>
      <w:bookmarkStart w:id="666" w:name="_Ref4768805"/>
      <w:bookmarkStart w:id="667" w:name="_Ref531952321"/>
      <w:r>
        <w:rPr>
          <w:rFonts w:hint="eastAsia" w:ascii="宋体" w:hAnsi="宋体" w:eastAsia="宋体" w:cs="宋体"/>
          <w:color w:val="000000" w:themeColor="text1"/>
          <w:highlight w:val="none"/>
          <w:lang w:val="zh-CN" w:eastAsia="zh-CN"/>
          <w14:textFill>
            <w14:solidFill>
              <w14:schemeClr w14:val="tx1"/>
            </w14:solidFill>
          </w14:textFill>
        </w:rPr>
        <w:t>4.6 联合体</w:t>
      </w:r>
      <w:bookmarkEnd w:id="663"/>
      <w:bookmarkEnd w:id="664"/>
    </w:p>
    <w:p w14:paraId="2F801BDC">
      <w:pPr>
        <w:bidi w:val="0"/>
        <w:rPr>
          <w:rFonts w:hint="eastAsia" w:ascii="宋体" w:hAnsi="宋体" w:eastAsia="宋体" w:cs="宋体"/>
          <w:color w:val="000000" w:themeColor="text1"/>
          <w:highlight w:val="none"/>
          <w14:textFill>
            <w14:solidFill>
              <w14:schemeClr w14:val="tx1"/>
            </w14:solidFill>
          </w14:textFill>
        </w:rPr>
      </w:pPr>
      <w:bookmarkStart w:id="668" w:name="_Hlk16235129"/>
      <w:r>
        <w:rPr>
          <w:rFonts w:hint="eastAsia" w:ascii="宋体" w:hAnsi="宋体" w:eastAsia="宋体" w:cs="宋体"/>
          <w:color w:val="000000" w:themeColor="text1"/>
          <w:highlight w:val="none"/>
          <w14:textFill>
            <w14:solidFill>
              <w14:schemeClr w14:val="tx1"/>
            </w14:solidFill>
          </w14:textFill>
        </w:rPr>
        <w:t>4.6.1 经发包人同意，</w:t>
      </w:r>
      <w:bookmarkEnd w:id="668"/>
      <w:r>
        <w:rPr>
          <w:rFonts w:hint="eastAsia" w:ascii="宋体" w:hAnsi="宋体" w:eastAsia="宋体" w:cs="宋体"/>
          <w:color w:val="000000" w:themeColor="text1"/>
          <w:highlight w:val="none"/>
          <w14:textFill>
            <w14:solidFill>
              <w14:schemeClr w14:val="tx1"/>
            </w14:solidFill>
          </w14:textFill>
        </w:rPr>
        <w:t>以联合体方式承包工程的，联合体各方应共同与发包人订立合同协议书。联合体各方应为履行合同向发包人承担连带责任。</w:t>
      </w:r>
    </w:p>
    <w:p w14:paraId="2477D38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69A6528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4.6.3 联合体协议经发包人确认后作为合同附件。在履行合同过程中，未经发包人同意，不得变更联合体成员和其负责的工作范围，或者修改联合体协议中与本合同履行相关的内容。</w:t>
      </w:r>
    </w:p>
    <w:p w14:paraId="47DBF28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69" w:name="_Ref11926629"/>
      <w:bookmarkStart w:id="670" w:name="_Toc54862218"/>
      <w:bookmarkStart w:id="671" w:name="_Ref11926631"/>
      <w:r>
        <w:rPr>
          <w:rFonts w:hint="eastAsia" w:ascii="宋体" w:hAnsi="宋体" w:eastAsia="宋体" w:cs="宋体"/>
          <w:color w:val="000000" w:themeColor="text1"/>
          <w:highlight w:val="none"/>
          <w:lang w:val="zh-CN" w:eastAsia="zh-CN"/>
          <w14:textFill>
            <w14:solidFill>
              <w14:schemeClr w14:val="tx1"/>
            </w14:solidFill>
          </w14:textFill>
        </w:rPr>
        <w:t>4.7 承包人现场查勘</w:t>
      </w:r>
      <w:bookmarkEnd w:id="669"/>
      <w:bookmarkEnd w:id="670"/>
      <w:bookmarkEnd w:id="671"/>
    </w:p>
    <w:p w14:paraId="1E95F1A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0E26491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1231DD5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72" w:name="_Ref11918626"/>
      <w:bookmarkStart w:id="673" w:name="_Ref11918693"/>
      <w:bookmarkStart w:id="674" w:name="_Toc54862219"/>
      <w:bookmarkStart w:id="675" w:name="不可预见的困难"/>
      <w:bookmarkStart w:id="676" w:name="_Ref11918789"/>
      <w:r>
        <w:rPr>
          <w:rFonts w:hint="eastAsia" w:ascii="宋体" w:hAnsi="宋体" w:eastAsia="宋体" w:cs="宋体"/>
          <w:color w:val="000000" w:themeColor="text1"/>
          <w:highlight w:val="none"/>
          <w:lang w:val="zh-CN" w:eastAsia="zh-CN"/>
          <w14:textFill>
            <w14:solidFill>
              <w14:schemeClr w14:val="tx1"/>
            </w14:solidFill>
          </w14:textFill>
        </w:rPr>
        <w:t>4.8 不可预见的困难</w:t>
      </w:r>
      <w:bookmarkEnd w:id="665"/>
      <w:bookmarkEnd w:id="666"/>
      <w:bookmarkEnd w:id="667"/>
      <w:bookmarkEnd w:id="672"/>
      <w:bookmarkEnd w:id="673"/>
      <w:bookmarkEnd w:id="674"/>
      <w:bookmarkEnd w:id="675"/>
      <w:bookmarkEnd w:id="676"/>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37294CE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71D1A20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51F09EE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77" w:name="_Ref11926570"/>
      <w:bookmarkStart w:id="678" w:name="_Toc54862220"/>
      <w:bookmarkStart w:id="679" w:name="_Ref11926566"/>
      <w:r>
        <w:rPr>
          <w:rFonts w:hint="eastAsia" w:ascii="宋体" w:hAnsi="宋体" w:eastAsia="宋体" w:cs="宋体"/>
          <w:color w:val="000000" w:themeColor="text1"/>
          <w:highlight w:val="none"/>
          <w:lang w:val="zh-CN" w:eastAsia="zh-CN"/>
          <w14:textFill>
            <w14:solidFill>
              <w14:schemeClr w14:val="tx1"/>
            </w14:solidFill>
          </w14:textFill>
        </w:rPr>
        <w:t>4.9 工程质量管理</w:t>
      </w:r>
      <w:bookmarkEnd w:id="677"/>
      <w:bookmarkEnd w:id="678"/>
      <w:bookmarkEnd w:id="679"/>
    </w:p>
    <w:p w14:paraId="1FC3473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4BE8744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5C12EE3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4.9.3 承包人应对其人员进行质量教育和技术培训，定期考核人员的劳动技能，严格执行相关规范和操作规程。</w:t>
      </w:r>
    </w:p>
    <w:p w14:paraId="65B1A79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34498820">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680" w:name="_Ref531952837"/>
      <w:bookmarkStart w:id="681" w:name="_Toc30385"/>
      <w:bookmarkStart w:id="682" w:name="_Toc29672"/>
      <w:bookmarkStart w:id="683" w:name="_Toc18267"/>
      <w:bookmarkStart w:id="684" w:name="_Toc54862221"/>
      <w:r>
        <w:rPr>
          <w:rFonts w:hint="eastAsia" w:ascii="宋体" w:hAnsi="宋体" w:eastAsia="宋体" w:cs="宋体"/>
          <w:color w:val="000000" w:themeColor="text1"/>
          <w:highlight w:val="none"/>
          <w:lang w:val="zh-CN" w:eastAsia="zh-CN"/>
          <w14:textFill>
            <w14:solidFill>
              <w14:schemeClr w14:val="tx1"/>
            </w14:solidFill>
          </w14:textFill>
        </w:rPr>
        <w:t>第5条 设计</w:t>
      </w:r>
      <w:bookmarkEnd w:id="680"/>
      <w:bookmarkEnd w:id="681"/>
      <w:bookmarkEnd w:id="682"/>
      <w:bookmarkEnd w:id="683"/>
      <w:bookmarkEnd w:id="684"/>
    </w:p>
    <w:p w14:paraId="7E98488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85" w:name="_Ref531952863"/>
      <w:bookmarkStart w:id="686" w:name="_Toc54862222"/>
      <w:bookmarkStart w:id="687" w:name="_Ref531952860"/>
      <w:r>
        <w:rPr>
          <w:rFonts w:hint="eastAsia" w:ascii="宋体" w:hAnsi="宋体" w:eastAsia="宋体" w:cs="宋体"/>
          <w:color w:val="000000" w:themeColor="text1"/>
          <w:highlight w:val="none"/>
          <w:lang w:val="zh-CN" w:eastAsia="zh-CN"/>
          <w14:textFill>
            <w14:solidFill>
              <w14:schemeClr w14:val="tx1"/>
            </w14:solidFill>
          </w14:textFill>
        </w:rPr>
        <w:t>5.1 承包人的设计义务</w:t>
      </w:r>
      <w:bookmarkEnd w:id="685"/>
      <w:bookmarkEnd w:id="686"/>
      <w:bookmarkEnd w:id="687"/>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22B2129E">
      <w:pPr>
        <w:bidi w:val="0"/>
        <w:rPr>
          <w:rFonts w:hint="eastAsia" w:ascii="宋体" w:hAnsi="宋体" w:eastAsia="宋体" w:cs="宋体"/>
          <w:color w:val="000000" w:themeColor="text1"/>
          <w:highlight w:val="none"/>
          <w14:textFill>
            <w14:solidFill>
              <w14:schemeClr w14:val="tx1"/>
            </w14:solidFill>
          </w14:textFill>
        </w:rPr>
      </w:pPr>
      <w:bookmarkStart w:id="688" w:name="_Ref531952881"/>
      <w:r>
        <w:rPr>
          <w:rFonts w:hint="eastAsia" w:ascii="宋体" w:hAnsi="宋体" w:eastAsia="宋体" w:cs="宋体"/>
          <w:color w:val="000000" w:themeColor="text1"/>
          <w:highlight w:val="none"/>
          <w14:textFill>
            <w14:solidFill>
              <w14:schemeClr w14:val="tx1"/>
            </w14:solidFill>
          </w14:textFill>
        </w:rPr>
        <w:t>5.1.1 设计义务的一般要求</w:t>
      </w:r>
      <w:bookmarkEnd w:id="688"/>
    </w:p>
    <w:p w14:paraId="7EF7CC4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7578F09E">
      <w:pPr>
        <w:bidi w:val="0"/>
        <w:rPr>
          <w:rFonts w:hint="eastAsia" w:ascii="宋体" w:hAnsi="宋体" w:eastAsia="宋体" w:cs="宋体"/>
          <w:color w:val="000000" w:themeColor="text1"/>
          <w:highlight w:val="none"/>
          <w14:textFill>
            <w14:solidFill>
              <w14:schemeClr w14:val="tx1"/>
            </w14:solidFill>
          </w14:textFill>
        </w:rPr>
      </w:pPr>
      <w:bookmarkStart w:id="689" w:name="_Ref531952952"/>
      <w:bookmarkStart w:id="690" w:name="_Ref531952899"/>
      <w:r>
        <w:rPr>
          <w:rFonts w:hint="eastAsia" w:ascii="宋体" w:hAnsi="宋体" w:eastAsia="宋体" w:cs="宋体"/>
          <w:color w:val="000000" w:themeColor="text1"/>
          <w:highlight w:val="none"/>
          <w14:textFill>
            <w14:solidFill>
              <w14:schemeClr w14:val="tx1"/>
            </w14:solidFill>
          </w14:textFill>
        </w:rPr>
        <w:t>5.1.2 对设计人员的要求</w:t>
      </w:r>
      <w:bookmarkEnd w:id="689"/>
    </w:p>
    <w:p w14:paraId="7221ACC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bookmarkEnd w:id="690"/>
    <w:p w14:paraId="2367545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5.1.3 法律和标准的变化</w:t>
      </w:r>
    </w:p>
    <w:p w14:paraId="47F3256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13DA169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在基准日期之后，因国家颁布新的强制性规范、标准导致承包人的费用变化的，发包人应合理调整合同价格；导致工期延误的，发包人应合理延长工期。</w:t>
      </w:r>
    </w:p>
    <w:p w14:paraId="3829A4EE">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91" w:name="_Ref531953054"/>
      <w:bookmarkStart w:id="692" w:name="_Ref531953051"/>
      <w:bookmarkStart w:id="693" w:name="_Toc54862223"/>
      <w:r>
        <w:rPr>
          <w:rFonts w:hint="eastAsia" w:ascii="宋体" w:hAnsi="宋体" w:eastAsia="宋体" w:cs="宋体"/>
          <w:color w:val="000000" w:themeColor="text1"/>
          <w:highlight w:val="none"/>
          <w:lang w:val="zh-CN" w:eastAsia="zh-CN"/>
          <w14:textFill>
            <w14:solidFill>
              <w14:schemeClr w14:val="tx1"/>
            </w14:solidFill>
          </w14:textFill>
        </w:rPr>
        <w:t>5.2 承包人文件审查</w:t>
      </w:r>
      <w:bookmarkEnd w:id="691"/>
      <w:bookmarkEnd w:id="692"/>
      <w:bookmarkEnd w:id="693"/>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348FF2B0">
      <w:pPr>
        <w:bidi w:val="0"/>
        <w:rPr>
          <w:rFonts w:hint="eastAsia" w:ascii="宋体" w:hAnsi="宋体" w:eastAsia="宋体" w:cs="宋体"/>
          <w:color w:val="000000" w:themeColor="text1"/>
          <w:highlight w:val="none"/>
          <w14:textFill>
            <w14:solidFill>
              <w14:schemeClr w14:val="tx1"/>
            </w14:solidFill>
          </w14:textFill>
        </w:rPr>
      </w:pPr>
      <w:bookmarkStart w:id="694" w:name="_Ref531953064"/>
      <w:r>
        <w:rPr>
          <w:rFonts w:hint="eastAsia" w:ascii="宋体" w:hAnsi="宋体" w:eastAsia="宋体" w:cs="宋体"/>
          <w:color w:val="000000" w:themeColor="text1"/>
          <w:highlight w:val="none"/>
          <w14:textFill>
            <w14:solidFill>
              <w14:schemeClr w14:val="tx1"/>
            </w14:solidFill>
          </w14:textFill>
        </w:rPr>
        <w:t>5.2.1 根据《发包人要求》应当通过工程师报发包人审查同意的承包人文件，承包人应当按照《发包人要求》约定的范围和内容及时报送审查。</w:t>
      </w:r>
      <w:bookmarkEnd w:id="694"/>
    </w:p>
    <w:p w14:paraId="495F850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7EAA9CC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发包人同意承包人文件的，应及时通知承包人，发包人不同意承包人文件的，应在审查期限内通过工程师以书面形式通知承包人，并说明不同意的具体内容和理由。</w:t>
      </w:r>
    </w:p>
    <w:p w14:paraId="70770A0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承包人对发包人的意见按以下方式处理：</w:t>
      </w:r>
    </w:p>
    <w:p w14:paraId="5E63F5A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发包人的意见构成变更的，承包人应在7天内通知发包人按照第13条[变更与调整]中关于发包人指示变更的约定执行，双方对是否构成变更无法达成一致的，按照第20条[争议解决]的约定执行；</w:t>
      </w:r>
    </w:p>
    <w:p w14:paraId="522BB37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因承包人原因导致无法通过审查的，承包人应根据发包人的书面说明，对承包人文件进行修改后重新报送发包人审查，审查期重新起算。因此引起的工期延长和必要的工程费用增加，由承包人负责。</w:t>
      </w:r>
    </w:p>
    <w:p w14:paraId="4693BEE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合同约定的审查期满，发包人没有做出审查结论也没有提出异议的，视为承包人文件已获发包人同意。</w:t>
      </w:r>
    </w:p>
    <w:p w14:paraId="1A892FE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发包人对承包人文件的审查和同意不得被理解为对合同的修改或改变，也并不减轻或免除承包人任何的责任和义务。</w:t>
      </w:r>
    </w:p>
    <w:p w14:paraId="0A4EF41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5.2.2 承包人文件不需要政府有关部门或专用合同条件约定的第三方审查单位审查或批准的，承包人应当严格按照经发包人审查同意的承包人文件设计和实施工程。</w:t>
      </w:r>
    </w:p>
    <w:p w14:paraId="6C454FC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00688FC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发包人有义务向承包人提供审查会议的批准文件和纪要。承包人有义务按照相关审查会议批准的文件和纪要，并依据合同约定及相关技术标准，对承包人文件进行修改、补充和完善。</w:t>
      </w:r>
    </w:p>
    <w:p w14:paraId="7A660282">
      <w:pPr>
        <w:bidi w:val="0"/>
        <w:rPr>
          <w:rFonts w:hint="eastAsia" w:ascii="宋体" w:hAnsi="宋体" w:eastAsia="宋体" w:cs="宋体"/>
          <w:color w:val="000000" w:themeColor="text1"/>
          <w:highlight w:val="none"/>
          <w14:textFill>
            <w14:solidFill>
              <w14:schemeClr w14:val="tx1"/>
            </w14:solidFill>
          </w14:textFill>
        </w:rPr>
      </w:pPr>
      <w:bookmarkStart w:id="695" w:name="_Ref531953074"/>
      <w:r>
        <w:rPr>
          <w:rFonts w:hint="eastAsia" w:ascii="宋体" w:hAnsi="宋体" w:eastAsia="宋体" w:cs="宋体"/>
          <w:color w:val="000000" w:themeColor="text1"/>
          <w:highlight w:val="none"/>
          <w14:textFill>
            <w14:solidFill>
              <w14:schemeClr w14:val="tx1"/>
            </w14:solidFill>
          </w14:textFill>
        </w:rPr>
        <w:t>5.2.3 承包人文件需政府有关部门或专用合同条件约定的第三方审查单位审查或批准的，发包人应在发包人审查同意承包人文件后7天内，向政府有关部门或第三方报送承包人文件，承包人应予以协助。</w:t>
      </w:r>
      <w:bookmarkEnd w:id="695"/>
    </w:p>
    <w:p w14:paraId="38B075C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7EEA831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2425BEAC">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96" w:name="_Ref531953097"/>
      <w:bookmarkStart w:id="697" w:name="_Ref531953095"/>
      <w:bookmarkStart w:id="698" w:name="_Toc54862224"/>
      <w:r>
        <w:rPr>
          <w:rFonts w:hint="eastAsia" w:ascii="宋体" w:hAnsi="宋体" w:eastAsia="宋体" w:cs="宋体"/>
          <w:color w:val="000000" w:themeColor="text1"/>
          <w:highlight w:val="none"/>
          <w:lang w:val="zh-CN" w:eastAsia="zh-CN"/>
          <w14:textFill>
            <w14:solidFill>
              <w14:schemeClr w14:val="tx1"/>
            </w14:solidFill>
          </w14:textFill>
        </w:rPr>
        <w:t>5.3 培训</w:t>
      </w:r>
      <w:bookmarkEnd w:id="696"/>
      <w:bookmarkEnd w:id="697"/>
      <w:bookmarkEnd w:id="698"/>
    </w:p>
    <w:p w14:paraId="5694FAD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14:paraId="0682FEB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培训的时长应由双方在专用合同条件中约定，承包人应为培训提供有经验的人员、设施和其它必要条件。</w:t>
      </w:r>
    </w:p>
    <w:p w14:paraId="446DC37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699" w:name="_Ref531953105"/>
      <w:bookmarkStart w:id="700" w:name="_Toc54862225"/>
      <w:bookmarkStart w:id="701" w:name="_Ref531953108"/>
      <w:r>
        <w:rPr>
          <w:rFonts w:hint="eastAsia" w:ascii="宋体" w:hAnsi="宋体" w:eastAsia="宋体" w:cs="宋体"/>
          <w:color w:val="000000" w:themeColor="text1"/>
          <w:highlight w:val="none"/>
          <w:lang w:val="zh-CN" w:eastAsia="zh-CN"/>
          <w14:textFill>
            <w14:solidFill>
              <w14:schemeClr w14:val="tx1"/>
            </w14:solidFill>
          </w14:textFill>
        </w:rPr>
        <w:t>5.4 竣工文件</w:t>
      </w:r>
      <w:bookmarkEnd w:id="699"/>
      <w:bookmarkEnd w:id="700"/>
      <w:bookmarkEnd w:id="701"/>
    </w:p>
    <w:p w14:paraId="432241C0">
      <w:pPr>
        <w:bidi w:val="0"/>
        <w:rPr>
          <w:rFonts w:hint="eastAsia" w:ascii="宋体" w:hAnsi="宋体" w:eastAsia="宋体" w:cs="宋体"/>
          <w:color w:val="000000" w:themeColor="text1"/>
          <w:highlight w:val="none"/>
          <w14:textFill>
            <w14:solidFill>
              <w14:schemeClr w14:val="tx1"/>
            </w14:solidFill>
          </w14:textFill>
        </w:rPr>
      </w:pPr>
      <w:bookmarkStart w:id="702" w:name="_Ref531953134"/>
      <w:r>
        <w:rPr>
          <w:rFonts w:hint="eastAsia" w:ascii="宋体" w:hAnsi="宋体" w:eastAsia="宋体" w:cs="宋体"/>
          <w:color w:val="000000" w:themeColor="text1"/>
          <w:highlight w:val="none"/>
          <w14:textFill>
            <w14:solidFill>
              <w14:schemeClr w14:val="tx1"/>
            </w14:solidFill>
          </w14:textFill>
        </w:rPr>
        <w:t>5.4.1 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702"/>
    </w:p>
    <w:p w14:paraId="705A179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5A30C80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5.4.3 除专用合同条件另有约定外，在工程师收到本款下的文件前，不应认为工程已根据第10.1款[竣工验收]和第10.2款[单位/区段工程的验收]的约定完成验收。</w:t>
      </w:r>
    </w:p>
    <w:p w14:paraId="35030D1B">
      <w:pPr>
        <w:bidi w:val="0"/>
        <w:rPr>
          <w:rFonts w:hint="eastAsia" w:ascii="宋体" w:hAnsi="宋体" w:eastAsia="宋体" w:cs="宋体"/>
          <w:color w:val="000000" w:themeColor="text1"/>
          <w:highlight w:val="none"/>
          <w14:textFill>
            <w14:solidFill>
              <w14:schemeClr w14:val="tx1"/>
            </w14:solidFill>
          </w14:textFill>
        </w:rPr>
      </w:pPr>
      <w:bookmarkStart w:id="703" w:name="_Toc54862226"/>
      <w:bookmarkStart w:id="704" w:name="_Ref531953119"/>
      <w:bookmarkStart w:id="705" w:name="_Ref531953117"/>
      <w:r>
        <w:rPr>
          <w:rFonts w:hint="eastAsia" w:ascii="宋体" w:hAnsi="宋体" w:eastAsia="宋体" w:cs="宋体"/>
          <w:color w:val="000000" w:themeColor="text1"/>
          <w:highlight w:val="none"/>
          <w14:textFill>
            <w14:solidFill>
              <w14:schemeClr w14:val="tx1"/>
            </w14:solidFill>
          </w14:textFill>
        </w:rPr>
        <w:t>5.5 操作和维修手册</w:t>
      </w:r>
      <w:bookmarkEnd w:id="703"/>
      <w:bookmarkEnd w:id="704"/>
      <w:bookmarkEnd w:id="705"/>
    </w:p>
    <w:p w14:paraId="7896B918">
      <w:pPr>
        <w:bidi w:val="0"/>
        <w:rPr>
          <w:rFonts w:hint="eastAsia" w:ascii="宋体" w:hAnsi="宋体" w:eastAsia="宋体" w:cs="宋体"/>
          <w:color w:val="000000" w:themeColor="text1"/>
          <w:highlight w:val="none"/>
          <w14:textFill>
            <w14:solidFill>
              <w14:schemeClr w14:val="tx1"/>
            </w14:solidFill>
          </w14:textFill>
        </w:rPr>
      </w:pPr>
      <w:bookmarkStart w:id="706" w:name="_Ref531953145"/>
      <w:r>
        <w:rPr>
          <w:rFonts w:hint="eastAsia" w:ascii="宋体" w:hAnsi="宋体" w:eastAsia="宋体" w:cs="宋体"/>
          <w:color w:val="000000" w:themeColor="text1"/>
          <w:highlight w:val="none"/>
          <w14:textFill>
            <w14:solidFill>
              <w14:schemeClr w14:val="tx1"/>
            </w14:solidFill>
          </w14:textFill>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706"/>
    </w:p>
    <w:p w14:paraId="000AAFB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5.5.2 工程师收到承包人提交的文件后，应依据第5.2款[承包人文件审查]的约定对操作和维修手册进行审查，竣工试验工程中，承包人应为任何因操作和维修手册错误或遗漏引起的风险或损失承担责任。</w:t>
      </w:r>
    </w:p>
    <w:p w14:paraId="4DECF78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63E46162">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07" w:name="_Toc54862227"/>
      <w:r>
        <w:rPr>
          <w:rFonts w:hint="eastAsia" w:ascii="宋体" w:hAnsi="宋体" w:eastAsia="宋体" w:cs="宋体"/>
          <w:color w:val="000000" w:themeColor="text1"/>
          <w:highlight w:val="none"/>
          <w:lang w:val="zh-CN" w:eastAsia="zh-CN"/>
          <w14:textFill>
            <w14:solidFill>
              <w14:schemeClr w14:val="tx1"/>
            </w14:solidFill>
          </w14:textFill>
        </w:rPr>
        <w:t>5.6 承包人文件错误</w:t>
      </w:r>
      <w:bookmarkEnd w:id="707"/>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72C4907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2D430B67">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708" w:name="_Toc29987"/>
      <w:bookmarkStart w:id="709" w:name="_Toc13903"/>
      <w:bookmarkStart w:id="710" w:name="_Toc21528"/>
      <w:bookmarkStart w:id="711" w:name="_Ref531953761"/>
      <w:bookmarkStart w:id="712" w:name="_Ref531953765"/>
      <w:bookmarkStart w:id="713" w:name="_Toc54862228"/>
      <w:r>
        <w:rPr>
          <w:rFonts w:hint="eastAsia" w:ascii="宋体" w:hAnsi="宋体" w:eastAsia="宋体" w:cs="宋体"/>
          <w:color w:val="000000" w:themeColor="text1"/>
          <w:highlight w:val="none"/>
          <w:lang w:val="zh-CN" w:eastAsia="zh-CN"/>
          <w14:textFill>
            <w14:solidFill>
              <w14:schemeClr w14:val="tx1"/>
            </w14:solidFill>
          </w14:textFill>
        </w:rPr>
        <w:t>第6条 材料、工程设备</w:t>
      </w:r>
      <w:bookmarkEnd w:id="708"/>
      <w:bookmarkEnd w:id="709"/>
      <w:bookmarkEnd w:id="710"/>
      <w:bookmarkEnd w:id="711"/>
      <w:bookmarkEnd w:id="712"/>
      <w:bookmarkEnd w:id="713"/>
    </w:p>
    <w:p w14:paraId="42FA447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14" w:name="_Toc54862229"/>
      <w:bookmarkStart w:id="715" w:name="_Ref531953828"/>
      <w:bookmarkStart w:id="716" w:name="_Ref531953832"/>
      <w:r>
        <w:rPr>
          <w:rFonts w:hint="eastAsia" w:ascii="宋体" w:hAnsi="宋体" w:eastAsia="宋体" w:cs="宋体"/>
          <w:color w:val="000000" w:themeColor="text1"/>
          <w:highlight w:val="none"/>
          <w:lang w:val="zh-CN" w:eastAsia="zh-CN"/>
          <w14:textFill>
            <w14:solidFill>
              <w14:schemeClr w14:val="tx1"/>
            </w14:solidFill>
          </w14:textFill>
        </w:rPr>
        <w:t>6.1 实施方法</w:t>
      </w:r>
      <w:bookmarkEnd w:id="714"/>
      <w:bookmarkEnd w:id="715"/>
      <w:bookmarkEnd w:id="716"/>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218E12E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承包人应按以下方法进行材料的加工、工程设备的采购、制造和安装、以及工程的所有其他实施作业：</w:t>
      </w:r>
    </w:p>
    <w:p w14:paraId="39B80547">
      <w:pPr>
        <w:bidi w:val="0"/>
        <w:rPr>
          <w:rFonts w:hint="eastAsia" w:ascii="宋体" w:hAnsi="宋体" w:eastAsia="宋体" w:cs="宋体"/>
          <w:color w:val="000000" w:themeColor="text1"/>
          <w:highlight w:val="none"/>
          <w14:textFill>
            <w14:solidFill>
              <w14:schemeClr w14:val="tx1"/>
            </w14:solidFill>
          </w14:textFill>
        </w:rPr>
      </w:pPr>
      <w:bookmarkStart w:id="717" w:name="_Ref531953847"/>
      <w:r>
        <w:rPr>
          <w:rFonts w:hint="eastAsia" w:ascii="宋体" w:hAnsi="宋体" w:eastAsia="宋体" w:cs="宋体"/>
          <w:color w:val="000000" w:themeColor="text1"/>
          <w:highlight w:val="none"/>
          <w14:textFill>
            <w14:solidFill>
              <w14:schemeClr w14:val="tx1"/>
            </w14:solidFill>
          </w14:textFill>
        </w:rPr>
        <w:t>（1） 按照法律规定和合同约定的方法；</w:t>
      </w:r>
      <w:bookmarkEnd w:id="717"/>
    </w:p>
    <w:p w14:paraId="2CC3D24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按照公认的良好行业习惯，使用恰当、审慎、先进的方法；</w:t>
      </w:r>
    </w:p>
    <w:p w14:paraId="3830487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除专用合同条件另有规定外，应使用适当配备的实施方法、设备、设施和无危险的材料。</w:t>
      </w:r>
    </w:p>
    <w:p w14:paraId="451BF13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18" w:name="_Toc54862230"/>
      <w:bookmarkStart w:id="719" w:name="_Ref11926422"/>
      <w:bookmarkStart w:id="720" w:name="_Ref4427594"/>
      <w:r>
        <w:rPr>
          <w:rFonts w:hint="eastAsia" w:ascii="宋体" w:hAnsi="宋体" w:eastAsia="宋体" w:cs="宋体"/>
          <w:color w:val="000000" w:themeColor="text1"/>
          <w:highlight w:val="none"/>
          <w:lang w:val="zh-CN" w:eastAsia="zh-CN"/>
          <w14:textFill>
            <w14:solidFill>
              <w14:schemeClr w14:val="tx1"/>
            </w14:solidFill>
          </w14:textFill>
        </w:rPr>
        <w:t>6.2 材料和工程设备</w:t>
      </w:r>
      <w:bookmarkEnd w:id="718"/>
      <w:bookmarkEnd w:id="719"/>
    </w:p>
    <w:p w14:paraId="01E23D28">
      <w:pPr>
        <w:bidi w:val="0"/>
        <w:rPr>
          <w:rFonts w:hint="eastAsia" w:ascii="宋体" w:hAnsi="宋体" w:eastAsia="宋体" w:cs="宋体"/>
          <w:color w:val="000000" w:themeColor="text1"/>
          <w:highlight w:val="none"/>
          <w14:textFill>
            <w14:solidFill>
              <w14:schemeClr w14:val="tx1"/>
            </w14:solidFill>
          </w14:textFill>
        </w:rPr>
      </w:pPr>
      <w:bookmarkStart w:id="721" w:name="_Ref11960295"/>
      <w:r>
        <w:rPr>
          <w:rFonts w:hint="eastAsia" w:ascii="宋体" w:hAnsi="宋体" w:eastAsia="宋体" w:cs="宋体"/>
          <w:color w:val="000000" w:themeColor="text1"/>
          <w:highlight w:val="none"/>
          <w14:textFill>
            <w14:solidFill>
              <w14:schemeClr w14:val="tx1"/>
            </w14:solidFill>
          </w14:textFill>
        </w:rPr>
        <w:t>6.2.1 发包人提供的材料和工程设备</w:t>
      </w:r>
      <w:bookmarkEnd w:id="720"/>
      <w:bookmarkEnd w:id="721"/>
    </w:p>
    <w:p w14:paraId="6588B54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发包人自行供应材料、工程设备的，应在订立合同时在专用合同条件的附件《发包人供应材料设备一览表》中明确材料、工程设备的品种、规格、型号、主要参数、数量、单价、质量等级和交接地点等。</w:t>
      </w:r>
    </w:p>
    <w:p w14:paraId="568B134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241362C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0E78DD1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7BEBE84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273CC0A7">
      <w:pPr>
        <w:bidi w:val="0"/>
        <w:rPr>
          <w:rFonts w:hint="eastAsia" w:ascii="宋体" w:hAnsi="宋体" w:eastAsia="宋体" w:cs="宋体"/>
          <w:color w:val="000000" w:themeColor="text1"/>
          <w:highlight w:val="none"/>
          <w14:textFill>
            <w14:solidFill>
              <w14:schemeClr w14:val="tx1"/>
            </w14:solidFill>
          </w14:textFill>
        </w:rPr>
      </w:pPr>
      <w:bookmarkStart w:id="722" w:name="_Ref531953918"/>
      <w:r>
        <w:rPr>
          <w:rFonts w:hint="eastAsia" w:ascii="宋体" w:hAnsi="宋体" w:eastAsia="宋体" w:cs="宋体"/>
          <w:color w:val="000000" w:themeColor="text1"/>
          <w:highlight w:val="none"/>
          <w14:textFill>
            <w14:solidFill>
              <w14:schemeClr w14:val="tx1"/>
            </w14:solidFill>
          </w14:textFill>
        </w:rPr>
        <w:t>6.2.2 承包人提供的材料和工程设备</w:t>
      </w:r>
      <w:bookmarkEnd w:id="722"/>
    </w:p>
    <w:p w14:paraId="7006DFB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65EB8F1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28F51A7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7E59EC1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38F47F4D">
      <w:pPr>
        <w:bidi w:val="0"/>
        <w:rPr>
          <w:rFonts w:hint="eastAsia" w:ascii="宋体" w:hAnsi="宋体" w:eastAsia="宋体" w:cs="宋体"/>
          <w:color w:val="000000" w:themeColor="text1"/>
          <w:highlight w:val="none"/>
          <w14:textFill>
            <w14:solidFill>
              <w14:schemeClr w14:val="tx1"/>
            </w14:solidFill>
          </w14:textFill>
        </w:rPr>
      </w:pPr>
      <w:bookmarkStart w:id="723" w:name="_Ref531953991"/>
      <w:bookmarkStart w:id="724" w:name="_Ref531953999"/>
      <w:r>
        <w:rPr>
          <w:rFonts w:hint="eastAsia" w:ascii="宋体" w:hAnsi="宋体" w:eastAsia="宋体" w:cs="宋体"/>
          <w:color w:val="000000" w:themeColor="text1"/>
          <w:highlight w:val="none"/>
          <w14:textFill>
            <w14:solidFill>
              <w14:schemeClr w14:val="tx1"/>
            </w14:solidFill>
          </w14:textFill>
        </w:rPr>
        <w:t>6.2.3 材料和工程设备的保管</w:t>
      </w:r>
      <w:bookmarkEnd w:id="723"/>
      <w:bookmarkEnd w:id="724"/>
      <w:r>
        <w:rPr>
          <w:rFonts w:hint="eastAsia" w:ascii="宋体" w:hAnsi="宋体" w:eastAsia="宋体" w:cs="宋体"/>
          <w:color w:val="000000" w:themeColor="text1"/>
          <w:highlight w:val="none"/>
          <w14:textFill>
            <w14:solidFill>
              <w14:schemeClr w14:val="tx1"/>
            </w14:solidFill>
          </w14:textFill>
        </w:rPr>
        <w:t xml:space="preserve"> </w:t>
      </w:r>
    </w:p>
    <w:p w14:paraId="7090D3E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发包人供应材料与工程设备的保管与使用</w:t>
      </w:r>
    </w:p>
    <w:p w14:paraId="180D46E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发包人供应的材料和工程设备，承包人清点并接收后由承包人妥善保管，保管费用由承包人承担，但专用合同条件另有约定除外。因承包人原因发生丢失毁损的，由承包人负责赔偿。</w:t>
      </w:r>
    </w:p>
    <w:p w14:paraId="12829C5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发包人供应的材料和工程设备使用前，由承包人负责必要的检验，检验费用由发包人承担，不合格的不得使用。</w:t>
      </w:r>
    </w:p>
    <w:p w14:paraId="77EC56D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承包人采购材料与工程设备的保管与使用</w:t>
      </w:r>
    </w:p>
    <w:p w14:paraId="0519642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2E57841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工程师发现承包人使用不符合设计或有关标准要求的材料和工程设备时，有权要求承包人进行修复、拆除或重新采购，由此增加的费用和（或）延误的工期，由承包人承担。</w:t>
      </w:r>
    </w:p>
    <w:p w14:paraId="526F928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6.2.4 材料和工程设备的所有权</w:t>
      </w:r>
    </w:p>
    <w:p w14:paraId="712847D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1C57443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承包人按第6.2.2项提供的材料和工程设备，承包人应确保发包人取得无权利负担的材料及工程设备所有权，因承包人与第三人的物权争议导致的增加的费用和（或）延误的工期，由承包人承担。</w:t>
      </w:r>
    </w:p>
    <w:p w14:paraId="4C75ED1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25" w:name="_Toc54862231"/>
      <w:bookmarkStart w:id="726" w:name="_Ref4428239"/>
      <w:bookmarkStart w:id="727" w:name="_Toc351203565"/>
      <w:bookmarkStart w:id="728" w:name="_Toc337558785"/>
      <w:r>
        <w:rPr>
          <w:rFonts w:hint="eastAsia" w:ascii="宋体" w:hAnsi="宋体" w:eastAsia="宋体" w:cs="宋体"/>
          <w:color w:val="000000" w:themeColor="text1"/>
          <w:highlight w:val="none"/>
          <w:lang w:val="zh-CN" w:eastAsia="zh-CN"/>
          <w14:textFill>
            <w14:solidFill>
              <w14:schemeClr w14:val="tx1"/>
            </w14:solidFill>
          </w14:textFill>
        </w:rPr>
        <w:t>6.3 样品</w:t>
      </w:r>
      <w:bookmarkEnd w:id="725"/>
      <w:bookmarkEnd w:id="726"/>
    </w:p>
    <w:p w14:paraId="0152183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6.3.1 样品的报送与封存</w:t>
      </w:r>
    </w:p>
    <w:p w14:paraId="7C681E0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需要承包人报送样品的材料或工程设备，样品的种类、名称、规格、数量等要求均应在专用合同条件中约定。样品的报送程序如下：</w:t>
      </w:r>
    </w:p>
    <w:p w14:paraId="7FB4731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39713E5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0DA9CA9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经工程师审批确认的样品应按约定的方法封样，封存的样品作为检验工程相关部分的标准之一。承包人在施工过程中不得使用与样品不符的材料或工程设备。</w:t>
      </w:r>
    </w:p>
    <w:p w14:paraId="57E491E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4B7CC22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6.3.2 样品的保管</w:t>
      </w:r>
    </w:p>
    <w:p w14:paraId="4D07F18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经批准的样品应由工程师负责封存于现场，承包人应在现场为保存样品提供适当和固定的场所并保持适当和良好的存储环境条件。</w:t>
      </w:r>
    </w:p>
    <w:p w14:paraId="52E62937">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29" w:name="_Toc54862232"/>
      <w:bookmarkStart w:id="730" w:name="_Ref11959204"/>
      <w:bookmarkStart w:id="731" w:name="_Ref11959210"/>
      <w:r>
        <w:rPr>
          <w:rFonts w:hint="eastAsia" w:ascii="宋体" w:hAnsi="宋体" w:eastAsia="宋体" w:cs="宋体"/>
          <w:color w:val="000000" w:themeColor="text1"/>
          <w:highlight w:val="none"/>
          <w:lang w:val="zh-CN" w:eastAsia="zh-CN"/>
          <w14:textFill>
            <w14:solidFill>
              <w14:schemeClr w14:val="tx1"/>
            </w14:solidFill>
          </w14:textFill>
        </w:rPr>
        <w:t>6.4 质量检查</w:t>
      </w:r>
      <w:bookmarkEnd w:id="729"/>
      <w:bookmarkEnd w:id="730"/>
      <w:bookmarkEnd w:id="731"/>
    </w:p>
    <w:p w14:paraId="1C19184C">
      <w:pPr>
        <w:bidi w:val="0"/>
        <w:rPr>
          <w:rFonts w:hint="eastAsia" w:ascii="宋体" w:hAnsi="宋体" w:eastAsia="宋体" w:cs="宋体"/>
          <w:color w:val="000000" w:themeColor="text1"/>
          <w:highlight w:val="none"/>
          <w14:textFill>
            <w14:solidFill>
              <w14:schemeClr w14:val="tx1"/>
            </w14:solidFill>
          </w14:textFill>
        </w:rPr>
      </w:pPr>
      <w:bookmarkStart w:id="732" w:name="_Ref18990699"/>
      <w:r>
        <w:rPr>
          <w:rFonts w:hint="eastAsia" w:ascii="宋体" w:hAnsi="宋体" w:eastAsia="宋体" w:cs="宋体"/>
          <w:color w:val="000000" w:themeColor="text1"/>
          <w:highlight w:val="none"/>
          <w14:textFill>
            <w14:solidFill>
              <w14:schemeClr w14:val="tx1"/>
            </w14:solidFill>
          </w14:textFill>
        </w:rPr>
        <w:t>6.4.1 工程质量要求</w:t>
      </w:r>
      <w:bookmarkEnd w:id="732"/>
    </w:p>
    <w:p w14:paraId="315E096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工程质量标准必须符合现行国家有关工程施工质量验收规范和标准的要求。有关工程质量的特殊标准或要求由合同当事人在专用合同条件中约定。</w:t>
      </w:r>
    </w:p>
    <w:p w14:paraId="69E6A1A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481C11C4">
      <w:pPr>
        <w:bidi w:val="0"/>
        <w:rPr>
          <w:rFonts w:hint="eastAsia" w:ascii="宋体" w:hAnsi="宋体" w:eastAsia="宋体" w:cs="宋体"/>
          <w:color w:val="000000" w:themeColor="text1"/>
          <w:highlight w:val="none"/>
          <w14:textFill>
            <w14:solidFill>
              <w14:schemeClr w14:val="tx1"/>
            </w14:solidFill>
          </w14:textFill>
        </w:rPr>
      </w:pPr>
      <w:bookmarkStart w:id="733" w:name="_Ref18990717"/>
      <w:r>
        <w:rPr>
          <w:rFonts w:hint="eastAsia" w:ascii="宋体" w:hAnsi="宋体" w:eastAsia="宋体" w:cs="宋体"/>
          <w:color w:val="000000" w:themeColor="text1"/>
          <w:highlight w:val="none"/>
          <w14:textFill>
            <w14:solidFill>
              <w14:schemeClr w14:val="tx1"/>
            </w14:solidFill>
          </w14:textFill>
        </w:rPr>
        <w:t>6.4.2 质量检查</w:t>
      </w:r>
      <w:bookmarkEnd w:id="733"/>
    </w:p>
    <w:p w14:paraId="542100E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6D410FB3">
      <w:pPr>
        <w:bidi w:val="0"/>
        <w:rPr>
          <w:rFonts w:hint="eastAsia" w:ascii="宋体" w:hAnsi="宋体" w:eastAsia="宋体" w:cs="宋体"/>
          <w:color w:val="000000" w:themeColor="text1"/>
          <w:highlight w:val="none"/>
          <w14:textFill>
            <w14:solidFill>
              <w14:schemeClr w14:val="tx1"/>
            </w14:solidFill>
          </w14:textFill>
        </w:rPr>
      </w:pPr>
      <w:bookmarkStart w:id="734" w:name="_Ref11959222"/>
      <w:r>
        <w:rPr>
          <w:rFonts w:hint="eastAsia" w:ascii="宋体" w:hAnsi="宋体" w:eastAsia="宋体" w:cs="宋体"/>
          <w:color w:val="000000" w:themeColor="text1"/>
          <w:highlight w:val="none"/>
          <w14:textFill>
            <w14:solidFill>
              <w14:schemeClr w14:val="tx1"/>
            </w14:solidFill>
          </w14:textFill>
        </w:rPr>
        <w:t>6.4.3 隐蔽工程检查</w:t>
      </w:r>
      <w:bookmarkEnd w:id="734"/>
    </w:p>
    <w:p w14:paraId="5A1A0D4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47D3A69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1EC5AB8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00B363F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23F5323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承包人未通知工程师到场检查，私自将工程隐蔽部位覆盖的，工程师有权指示承包人钻孔探测或揭开检查，无论工程隐蔽部位质量是否合格，由此增加的费用和（或）延误的工期均由承包人承担。</w:t>
      </w:r>
    </w:p>
    <w:bookmarkEnd w:id="727"/>
    <w:p w14:paraId="78C607CF">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35" w:name="_Ref11927398"/>
      <w:bookmarkStart w:id="736" w:name="_Ref11927389"/>
      <w:bookmarkStart w:id="737" w:name="_Ref11927403"/>
      <w:bookmarkStart w:id="738" w:name="_Toc54862233"/>
      <w:bookmarkStart w:id="739" w:name="_Ref11959175"/>
      <w:bookmarkStart w:id="740" w:name="_Ref11959158"/>
      <w:r>
        <w:rPr>
          <w:rFonts w:hint="eastAsia" w:ascii="宋体" w:hAnsi="宋体" w:eastAsia="宋体" w:cs="宋体"/>
          <w:color w:val="000000" w:themeColor="text1"/>
          <w:highlight w:val="none"/>
          <w:lang w:val="zh-CN" w:eastAsia="zh-CN"/>
          <w14:textFill>
            <w14:solidFill>
              <w14:schemeClr w14:val="tx1"/>
            </w14:solidFill>
          </w14:textFill>
        </w:rPr>
        <w:t>6.5 由承包人试验</w:t>
      </w:r>
      <w:bookmarkEnd w:id="735"/>
      <w:bookmarkEnd w:id="736"/>
      <w:bookmarkEnd w:id="737"/>
      <w:r>
        <w:rPr>
          <w:rFonts w:hint="eastAsia" w:ascii="宋体" w:hAnsi="宋体" w:eastAsia="宋体" w:cs="宋体"/>
          <w:color w:val="000000" w:themeColor="text1"/>
          <w:highlight w:val="none"/>
          <w:lang w:val="zh-CN" w:eastAsia="zh-CN"/>
          <w14:textFill>
            <w14:solidFill>
              <w14:schemeClr w14:val="tx1"/>
            </w14:solidFill>
          </w14:textFill>
        </w:rPr>
        <w:t>和检验</w:t>
      </w:r>
      <w:bookmarkEnd w:id="738"/>
      <w:bookmarkEnd w:id="739"/>
      <w:bookmarkEnd w:id="740"/>
    </w:p>
    <w:bookmarkEnd w:id="728"/>
    <w:p w14:paraId="6C24154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6.5.1 试验设备与试验人员</w:t>
      </w:r>
    </w:p>
    <w:p w14:paraId="2FC280D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2FB06CC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承包人应按专用合同条件约定的试验内容、时间和地点提供试验设备、取样装置、试验场所和试验条件，并向工程师提交相应进场计划表。</w:t>
      </w:r>
    </w:p>
    <w:p w14:paraId="3BE00EA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承包人配置的试验设备要符合相应试验规程的要求并经过具有资质的检测单位检测，且在正式使用该试验设备前，需要经过工程师与承包人共同校定。</w:t>
      </w:r>
    </w:p>
    <w:p w14:paraId="7724B7C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承包人应向工程师提交试验人员的名单及其岗位、资格等证明资料，试验人员必须能够熟练进行相应的检测试验，承包人对试验人员的试验程序和试验结果的正确性负责。</w:t>
      </w:r>
    </w:p>
    <w:p w14:paraId="5A61AFD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6.5.2 取样</w:t>
      </w:r>
    </w:p>
    <w:p w14:paraId="5BDC47E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试验属于自检性质的，承包人可以单独取样。试验属于工程师抽检性质的，可由工程师取样，也可由承包人的试验人员在工程师的监督下取样。</w:t>
      </w:r>
    </w:p>
    <w:p w14:paraId="303C699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6.5.3 材料、工程设备和工程的试验和检验</w:t>
      </w:r>
    </w:p>
    <w:p w14:paraId="0DBD61F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6E14E23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18FF950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1F9BA5FE">
      <w:pPr>
        <w:bidi w:val="0"/>
        <w:rPr>
          <w:rFonts w:hint="eastAsia" w:ascii="宋体" w:hAnsi="宋体" w:eastAsia="宋体" w:cs="宋体"/>
          <w:color w:val="000000" w:themeColor="text1"/>
          <w:highlight w:val="none"/>
          <w14:textFill>
            <w14:solidFill>
              <w14:schemeClr w14:val="tx1"/>
            </w14:solidFill>
          </w14:textFill>
        </w:rPr>
      </w:pPr>
      <w:bookmarkStart w:id="741" w:name="_Toc351203566"/>
      <w:bookmarkStart w:id="742" w:name="_Toc337558786"/>
      <w:r>
        <w:rPr>
          <w:rFonts w:hint="eastAsia" w:ascii="宋体" w:hAnsi="宋体" w:eastAsia="宋体" w:cs="宋体"/>
          <w:color w:val="000000" w:themeColor="text1"/>
          <w:highlight w:val="none"/>
          <w14:textFill>
            <w14:solidFill>
              <w14:schemeClr w14:val="tx1"/>
            </w14:solidFill>
          </w14:textFill>
        </w:rPr>
        <w:t>6.5.4 现场工艺试验</w:t>
      </w:r>
      <w:bookmarkEnd w:id="741"/>
    </w:p>
    <w:bookmarkEnd w:id="742"/>
    <w:p w14:paraId="333DB69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承包人应按合同约定进行现场工艺试验。对大型的现场工艺试验，发包人认为必要时，承包人应根据发包人提出的工艺试验要求，编制工艺试验措施计划，报送发包人审查。</w:t>
      </w:r>
    </w:p>
    <w:p w14:paraId="7204E22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43" w:name="_Toc54862234"/>
      <w:bookmarkStart w:id="744" w:name="_Ref532592784"/>
      <w:bookmarkStart w:id="745" w:name="_Ref532592787"/>
      <w:r>
        <w:rPr>
          <w:rFonts w:hint="eastAsia" w:ascii="宋体" w:hAnsi="宋体" w:eastAsia="宋体" w:cs="宋体"/>
          <w:color w:val="000000" w:themeColor="text1"/>
          <w:highlight w:val="none"/>
          <w:lang w:val="zh-CN" w:eastAsia="zh-CN"/>
          <w14:textFill>
            <w14:solidFill>
              <w14:schemeClr w14:val="tx1"/>
            </w14:solidFill>
          </w14:textFill>
        </w:rPr>
        <w:t>6.6 缺陷和修补</w:t>
      </w:r>
      <w:bookmarkEnd w:id="743"/>
      <w:bookmarkEnd w:id="744"/>
      <w:bookmarkEnd w:id="745"/>
    </w:p>
    <w:p w14:paraId="119CF146">
      <w:pPr>
        <w:bidi w:val="0"/>
        <w:rPr>
          <w:rFonts w:hint="eastAsia" w:ascii="宋体" w:hAnsi="宋体" w:eastAsia="宋体" w:cs="宋体"/>
          <w:color w:val="000000" w:themeColor="text1"/>
          <w:highlight w:val="none"/>
          <w14:textFill>
            <w14:solidFill>
              <w14:schemeClr w14:val="tx1"/>
            </w14:solidFill>
          </w14:textFill>
        </w:rPr>
      </w:pPr>
      <w:bookmarkStart w:id="746" w:name="_Ref16875551"/>
      <w:r>
        <w:rPr>
          <w:rFonts w:hint="eastAsia" w:ascii="宋体" w:hAnsi="宋体" w:eastAsia="宋体" w:cs="宋体"/>
          <w:color w:val="000000" w:themeColor="text1"/>
          <w:highlight w:val="none"/>
          <w14:textFill>
            <w14:solidFill>
              <w14:schemeClr w14:val="tx1"/>
            </w14:solidFill>
          </w14:textFill>
        </w:rPr>
        <w:t>6.6.1 发包人可在颁发接收证书前随时指示承包人：</w:t>
      </w:r>
      <w:bookmarkEnd w:id="746"/>
    </w:p>
    <w:p w14:paraId="744CDD0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对不符合合同要求的任何工程设备或材料进行修补，或者将其移出现场并进行更换；</w:t>
      </w:r>
    </w:p>
    <w:p w14:paraId="4191BD5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 对不符合合同的其他工作进行修补，或者将其去除并重新实施； </w:t>
      </w:r>
    </w:p>
    <w:p w14:paraId="7CD20CE5">
      <w:pPr>
        <w:bidi w:val="0"/>
        <w:rPr>
          <w:rFonts w:hint="eastAsia" w:ascii="宋体" w:hAnsi="宋体" w:eastAsia="宋体" w:cs="宋体"/>
          <w:color w:val="000000" w:themeColor="text1"/>
          <w:highlight w:val="none"/>
          <w14:textFill>
            <w14:solidFill>
              <w14:schemeClr w14:val="tx1"/>
            </w14:solidFill>
          </w14:textFill>
        </w:rPr>
      </w:pPr>
      <w:bookmarkStart w:id="747" w:name="_Ref4708991"/>
      <w:r>
        <w:rPr>
          <w:rFonts w:hint="eastAsia" w:ascii="宋体" w:hAnsi="宋体" w:eastAsia="宋体" w:cs="宋体"/>
          <w:color w:val="000000" w:themeColor="text1"/>
          <w:highlight w:val="none"/>
          <w14:textFill>
            <w14:solidFill>
              <w14:schemeClr w14:val="tx1"/>
            </w14:solidFill>
          </w14:textFill>
        </w:rPr>
        <w:t>（3） 实施因意外、不可预见的事件或其他原因引起的、为工程的安全迫切需要的任何修补工作。</w:t>
      </w:r>
      <w:bookmarkEnd w:id="747"/>
    </w:p>
    <w:p w14:paraId="6B3521E0">
      <w:pPr>
        <w:bidi w:val="0"/>
        <w:rPr>
          <w:rFonts w:hint="eastAsia" w:ascii="宋体" w:hAnsi="宋体" w:eastAsia="宋体" w:cs="宋体"/>
          <w:color w:val="000000" w:themeColor="text1"/>
          <w:highlight w:val="none"/>
          <w14:textFill>
            <w14:solidFill>
              <w14:schemeClr w14:val="tx1"/>
            </w14:solidFill>
          </w14:textFill>
        </w:rPr>
      </w:pPr>
      <w:bookmarkStart w:id="748" w:name="_Ref11956964"/>
      <w:r>
        <w:rPr>
          <w:rFonts w:hint="eastAsia" w:ascii="宋体" w:hAnsi="宋体" w:eastAsia="宋体" w:cs="宋体"/>
          <w:color w:val="000000" w:themeColor="text1"/>
          <w:highlight w:val="none"/>
          <w14:textFill>
            <w14:solidFill>
              <w14:schemeClr w14:val="tx1"/>
            </w14:solidFill>
          </w14:textFill>
        </w:rPr>
        <w:t>6.6.2 承包人应遵守第6.6.1项下指示，并在合理可行的情况下，根据上述指示中规定的时间完成修补工作。除因下列原因引起的第6.6.1项第（3）目下的情形外，承包人应承担所有修补工作的费用：</w:t>
      </w:r>
      <w:bookmarkEnd w:id="748"/>
    </w:p>
    <w:p w14:paraId="191C346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因发包人或其人员的任何行为导致的情形，且在此情况下发包人应承担因此引起的工期延误和承包人费用损失，并向承包人支付合理的利润。</w:t>
      </w:r>
    </w:p>
    <w:p w14:paraId="51BEB29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第17.4款[不可抗力后果的承担]中适用的不可抗力事件的情形。</w:t>
      </w:r>
    </w:p>
    <w:p w14:paraId="0D84525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58AF1F36">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749" w:name="_Toc4886"/>
      <w:bookmarkStart w:id="750" w:name="_Toc1313"/>
      <w:bookmarkStart w:id="751" w:name="_Toc54862235"/>
      <w:bookmarkStart w:id="752" w:name="_Ref531954214"/>
      <w:bookmarkStart w:id="753" w:name="_Toc15039"/>
      <w:r>
        <w:rPr>
          <w:rFonts w:hint="eastAsia" w:ascii="宋体" w:hAnsi="宋体" w:eastAsia="宋体" w:cs="宋体"/>
          <w:color w:val="000000" w:themeColor="text1"/>
          <w:highlight w:val="none"/>
          <w:lang w:val="zh-CN" w:eastAsia="zh-CN"/>
          <w14:textFill>
            <w14:solidFill>
              <w14:schemeClr w14:val="tx1"/>
            </w14:solidFill>
          </w14:textFill>
        </w:rPr>
        <w:t>第7条 施工</w:t>
      </w:r>
      <w:bookmarkEnd w:id="749"/>
      <w:bookmarkEnd w:id="750"/>
      <w:bookmarkEnd w:id="751"/>
      <w:bookmarkEnd w:id="752"/>
      <w:bookmarkEnd w:id="753"/>
    </w:p>
    <w:p w14:paraId="143D93B2">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54" w:name="_Ref531954272"/>
      <w:bookmarkStart w:id="755" w:name="_Toc54862236"/>
      <w:bookmarkStart w:id="756" w:name="_Ref531954276"/>
      <w:bookmarkStart w:id="757" w:name="_Ref531954246"/>
      <w:bookmarkStart w:id="758" w:name="_Ref531954260"/>
      <w:r>
        <w:rPr>
          <w:rFonts w:hint="eastAsia" w:ascii="宋体" w:hAnsi="宋体" w:eastAsia="宋体" w:cs="宋体"/>
          <w:color w:val="000000" w:themeColor="text1"/>
          <w:highlight w:val="none"/>
          <w:lang w:val="zh-CN" w:eastAsia="zh-CN"/>
          <w14:textFill>
            <w14:solidFill>
              <w14:schemeClr w14:val="tx1"/>
            </w14:solidFill>
          </w14:textFill>
        </w:rPr>
        <w:t>7.1 交通运输</w:t>
      </w:r>
      <w:bookmarkEnd w:id="754"/>
      <w:bookmarkEnd w:id="755"/>
      <w:bookmarkEnd w:id="756"/>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77F8123E">
      <w:pPr>
        <w:bidi w:val="0"/>
        <w:rPr>
          <w:rFonts w:hint="eastAsia" w:ascii="宋体" w:hAnsi="宋体" w:eastAsia="宋体" w:cs="宋体"/>
          <w:color w:val="000000" w:themeColor="text1"/>
          <w:highlight w:val="none"/>
          <w14:textFill>
            <w14:solidFill>
              <w14:schemeClr w14:val="tx1"/>
            </w14:solidFill>
          </w14:textFill>
        </w:rPr>
      </w:pPr>
      <w:bookmarkStart w:id="759" w:name="_Ref4422645"/>
      <w:r>
        <w:rPr>
          <w:rFonts w:hint="eastAsia" w:ascii="宋体" w:hAnsi="宋体" w:eastAsia="宋体" w:cs="宋体"/>
          <w:color w:val="000000" w:themeColor="text1"/>
          <w:highlight w:val="none"/>
          <w14:textFill>
            <w14:solidFill>
              <w14:schemeClr w14:val="tx1"/>
            </w14:solidFill>
          </w14:textFill>
        </w:rPr>
        <w:t>7.1.1 出入现场的权利</w:t>
      </w:r>
      <w:bookmarkEnd w:id="759"/>
    </w:p>
    <w:p w14:paraId="0E94416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5880A548">
      <w:pPr>
        <w:bidi w:val="0"/>
        <w:rPr>
          <w:rFonts w:hint="eastAsia" w:ascii="宋体" w:hAnsi="宋体" w:eastAsia="宋体" w:cs="宋体"/>
          <w:color w:val="000000" w:themeColor="text1"/>
          <w:highlight w:val="none"/>
          <w14:textFill>
            <w14:solidFill>
              <w14:schemeClr w14:val="tx1"/>
            </w14:solidFill>
          </w14:textFill>
        </w:rPr>
      </w:pPr>
      <w:bookmarkStart w:id="760" w:name="_Ref18957045"/>
      <w:r>
        <w:rPr>
          <w:rFonts w:hint="eastAsia" w:ascii="宋体" w:hAnsi="宋体" w:eastAsia="宋体" w:cs="宋体"/>
          <w:color w:val="000000" w:themeColor="text1"/>
          <w:highlight w:val="none"/>
          <w14:textFill>
            <w14:solidFill>
              <w14:schemeClr w14:val="tx1"/>
            </w14:solidFill>
          </w14:textFill>
        </w:rPr>
        <w:t>7.1.2 场外交通</w:t>
      </w:r>
      <w:bookmarkEnd w:id="760"/>
    </w:p>
    <w:p w14:paraId="6138DE8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60791A78">
      <w:pPr>
        <w:bidi w:val="0"/>
        <w:rPr>
          <w:rFonts w:hint="eastAsia" w:ascii="宋体" w:hAnsi="宋体" w:eastAsia="宋体" w:cs="宋体"/>
          <w:color w:val="000000" w:themeColor="text1"/>
          <w:highlight w:val="none"/>
          <w14:textFill>
            <w14:solidFill>
              <w14:schemeClr w14:val="tx1"/>
            </w14:solidFill>
          </w14:textFill>
        </w:rPr>
      </w:pPr>
      <w:bookmarkStart w:id="761" w:name="_Ref4622358"/>
      <w:r>
        <w:rPr>
          <w:rFonts w:hint="eastAsia" w:ascii="宋体" w:hAnsi="宋体" w:eastAsia="宋体" w:cs="宋体"/>
          <w:color w:val="000000" w:themeColor="text1"/>
          <w:highlight w:val="none"/>
          <w14:textFill>
            <w14:solidFill>
              <w14:schemeClr w14:val="tx1"/>
            </w14:solidFill>
          </w14:textFill>
        </w:rPr>
        <w:t>7.1.3 场内交通</w:t>
      </w:r>
      <w:bookmarkEnd w:id="761"/>
    </w:p>
    <w:p w14:paraId="66957A5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12F97994">
      <w:pPr>
        <w:bidi w:val="0"/>
        <w:rPr>
          <w:rFonts w:hint="eastAsia" w:ascii="宋体" w:hAnsi="宋体" w:eastAsia="宋体" w:cs="宋体"/>
          <w:color w:val="000000" w:themeColor="text1"/>
          <w:highlight w:val="none"/>
          <w14:textFill>
            <w14:solidFill>
              <w14:schemeClr w14:val="tx1"/>
            </w14:solidFill>
          </w14:textFill>
        </w:rPr>
      </w:pPr>
      <w:bookmarkStart w:id="762" w:name="_Ref4622376"/>
      <w:r>
        <w:rPr>
          <w:rFonts w:hint="eastAsia" w:ascii="宋体" w:hAnsi="宋体" w:eastAsia="宋体" w:cs="宋体"/>
          <w:color w:val="000000" w:themeColor="text1"/>
          <w:highlight w:val="none"/>
          <w14:textFill>
            <w14:solidFill>
              <w14:schemeClr w14:val="tx1"/>
            </w14:solidFill>
          </w14:textFill>
        </w:rPr>
        <w:t>7.1.4 超大件和超重件的运输</w:t>
      </w:r>
      <w:bookmarkEnd w:id="762"/>
    </w:p>
    <w:p w14:paraId="7CE6C5C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518EF0B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7.1.5 道路和桥梁的损坏责任</w:t>
      </w:r>
    </w:p>
    <w:p w14:paraId="71D9845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因承包人运输造成施工现场内外公共道路和桥梁损坏的，由承包人承担修复损坏的全部费用和可能引起的赔偿。</w:t>
      </w:r>
    </w:p>
    <w:p w14:paraId="0144942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7.1.6 水路和航空运输</w:t>
      </w:r>
    </w:p>
    <w:p w14:paraId="7E01358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本条上述各款的内容适用于水路运输和航空运输，其中“道路”一词的涵义包括河道、航线、船闸、机场、码头、堤防以及水路或航空运输中其他相似结构物；“车辆”一词的涵义包括船舶和飞机等。</w:t>
      </w:r>
    </w:p>
    <w:p w14:paraId="562DD881">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63" w:name="_Toc54862237"/>
      <w:bookmarkStart w:id="764" w:name="_Ref11919459"/>
      <w:bookmarkStart w:id="765" w:name="_Ref11919294"/>
      <w:r>
        <w:rPr>
          <w:rFonts w:hint="eastAsia" w:ascii="宋体" w:hAnsi="宋体" w:eastAsia="宋体" w:cs="宋体"/>
          <w:color w:val="000000" w:themeColor="text1"/>
          <w:highlight w:val="none"/>
          <w:lang w:val="zh-CN" w:eastAsia="zh-CN"/>
          <w14:textFill>
            <w14:solidFill>
              <w14:schemeClr w14:val="tx1"/>
            </w14:solidFill>
          </w14:textFill>
        </w:rPr>
        <w:t>7.2 施工设备和临时设施</w:t>
      </w:r>
      <w:bookmarkEnd w:id="757"/>
      <w:bookmarkEnd w:id="758"/>
      <w:bookmarkEnd w:id="763"/>
      <w:bookmarkEnd w:id="764"/>
      <w:bookmarkEnd w:id="765"/>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283220FE">
      <w:pPr>
        <w:bidi w:val="0"/>
        <w:rPr>
          <w:rFonts w:hint="eastAsia" w:ascii="宋体" w:hAnsi="宋体" w:eastAsia="宋体" w:cs="宋体"/>
          <w:color w:val="000000" w:themeColor="text1"/>
          <w:highlight w:val="none"/>
          <w14:textFill>
            <w14:solidFill>
              <w14:schemeClr w14:val="tx1"/>
            </w14:solidFill>
          </w14:textFill>
        </w:rPr>
      </w:pPr>
      <w:bookmarkStart w:id="766" w:name="_Ref18990767"/>
      <w:bookmarkStart w:id="767" w:name="_Ref509043186"/>
      <w:r>
        <w:rPr>
          <w:rFonts w:hint="eastAsia" w:ascii="宋体" w:hAnsi="宋体" w:eastAsia="宋体" w:cs="宋体"/>
          <w:color w:val="000000" w:themeColor="text1"/>
          <w:highlight w:val="none"/>
          <w14:textFill>
            <w14:solidFill>
              <w14:schemeClr w14:val="tx1"/>
            </w14:solidFill>
          </w14:textFill>
        </w:rPr>
        <w:t>7.2.1 承包人提供的施工设备和临时设施</w:t>
      </w:r>
      <w:bookmarkEnd w:id="766"/>
    </w:p>
    <w:p w14:paraId="1CC96CF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29FE10D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bookmarkEnd w:id="767"/>
    <w:p w14:paraId="59F49586">
      <w:pPr>
        <w:bidi w:val="0"/>
        <w:rPr>
          <w:rFonts w:hint="eastAsia" w:ascii="宋体" w:hAnsi="宋体" w:eastAsia="宋体" w:cs="宋体"/>
          <w:color w:val="000000" w:themeColor="text1"/>
          <w:highlight w:val="none"/>
          <w14:textFill>
            <w14:solidFill>
              <w14:schemeClr w14:val="tx1"/>
            </w14:solidFill>
          </w14:textFill>
        </w:rPr>
      </w:pPr>
      <w:bookmarkStart w:id="768" w:name="_Ref18990784"/>
      <w:r>
        <w:rPr>
          <w:rFonts w:hint="eastAsia" w:ascii="宋体" w:hAnsi="宋体" w:eastAsia="宋体" w:cs="宋体"/>
          <w:color w:val="000000" w:themeColor="text1"/>
          <w:highlight w:val="none"/>
          <w14:textFill>
            <w14:solidFill>
              <w14:schemeClr w14:val="tx1"/>
            </w14:solidFill>
          </w14:textFill>
        </w:rPr>
        <w:t>7.2.2 发包人提供的施工设备和临时设施</w:t>
      </w:r>
      <w:bookmarkEnd w:id="768"/>
    </w:p>
    <w:p w14:paraId="118079C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发包人提供的施工设备或临时设施在专用合同条件中约定。</w:t>
      </w:r>
    </w:p>
    <w:p w14:paraId="71E293B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7.2.3 要求承包人增加或更换施工设备</w:t>
      </w:r>
    </w:p>
    <w:p w14:paraId="7446DA8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承包人使用的施工设备不能满足项目进度计划和（或）质量要求时，工程师有权要求承包人增加或更换施工设备，承包人应及时增加或更换，由此增加的费用和（或）延误的工期由承包人承担。</w:t>
      </w:r>
    </w:p>
    <w:p w14:paraId="6683134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7.2.4 施工设备和临时设施专用于合同工程</w:t>
      </w:r>
    </w:p>
    <w:p w14:paraId="1C0BDB5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5DD2312B">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69" w:name="_Ref11874352"/>
      <w:bookmarkStart w:id="770" w:name="_Toc54862238"/>
      <w:r>
        <w:rPr>
          <w:rFonts w:hint="eastAsia" w:ascii="宋体" w:hAnsi="宋体" w:eastAsia="宋体" w:cs="宋体"/>
          <w:color w:val="000000" w:themeColor="text1"/>
          <w:highlight w:val="none"/>
          <w:lang w:val="zh-CN" w:eastAsia="zh-CN"/>
          <w14:textFill>
            <w14:solidFill>
              <w14:schemeClr w14:val="tx1"/>
            </w14:solidFill>
          </w14:textFill>
        </w:rPr>
        <w:t>7.3 现场合作</w:t>
      </w:r>
      <w:bookmarkEnd w:id="769"/>
      <w:bookmarkEnd w:id="770"/>
    </w:p>
    <w:p w14:paraId="46BC967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承包人应按合同约定或发包人的指示，与发包人人员、发包人的其他承包人等人员就在现场或附近实施与工程有关的各项工作进行合作并提供适当条件，包括使用承包人设备、临时工程或进入现场等。</w:t>
      </w:r>
    </w:p>
    <w:p w14:paraId="7D00E7F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承包人应对其在现场的施工活动负责，并应尽合理努力按合同约定或发包人的指示，协调自身与发包人人员、发包人的其他承包人等人员的活动。</w:t>
      </w:r>
    </w:p>
    <w:p w14:paraId="4F144BD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0DCD9BC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71" w:name="_Toc54862239"/>
      <w:bookmarkStart w:id="772" w:name="_Ref531954287"/>
      <w:bookmarkStart w:id="773" w:name="_Ref531954285"/>
      <w:r>
        <w:rPr>
          <w:rFonts w:hint="eastAsia" w:ascii="宋体" w:hAnsi="宋体" w:eastAsia="宋体" w:cs="宋体"/>
          <w:color w:val="000000" w:themeColor="text1"/>
          <w:highlight w:val="none"/>
          <w:lang w:val="zh-CN" w:eastAsia="zh-CN"/>
          <w14:textFill>
            <w14:solidFill>
              <w14:schemeClr w14:val="tx1"/>
            </w14:solidFill>
          </w14:textFill>
        </w:rPr>
        <w:t>7.4 测量放线</w:t>
      </w:r>
      <w:bookmarkEnd w:id="771"/>
      <w:bookmarkEnd w:id="772"/>
      <w:bookmarkEnd w:id="773"/>
    </w:p>
    <w:p w14:paraId="5A66555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48AFEDB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3DA49D9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79013094">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74" w:name="_Toc54862240"/>
      <w:bookmarkStart w:id="775" w:name="_Ref531954329"/>
      <w:bookmarkStart w:id="776" w:name="_Ref531954323"/>
      <w:bookmarkStart w:id="777" w:name="_Ref4770992"/>
      <w:r>
        <w:rPr>
          <w:rFonts w:hint="eastAsia" w:ascii="宋体" w:hAnsi="宋体" w:eastAsia="宋体" w:cs="宋体"/>
          <w:color w:val="000000" w:themeColor="text1"/>
          <w:highlight w:val="none"/>
          <w:lang w:val="zh-CN" w:eastAsia="zh-CN"/>
          <w14:textFill>
            <w14:solidFill>
              <w14:schemeClr w14:val="tx1"/>
            </w14:solidFill>
          </w14:textFill>
        </w:rPr>
        <w:t>7.5 现场劳动用工</w:t>
      </w:r>
      <w:bookmarkEnd w:id="774"/>
    </w:p>
    <w:p w14:paraId="413BDBB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42B1E6B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61E2294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7.5.3 承包人应当按照相关法律法规的要求，进行劳动用工管理和建筑工人工资支付。</w:t>
      </w:r>
    </w:p>
    <w:p w14:paraId="78A046A5">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78" w:name="_Toc54862241"/>
      <w:bookmarkStart w:id="779" w:name="_Ref41554059"/>
      <w:r>
        <w:rPr>
          <w:rFonts w:hint="eastAsia" w:ascii="宋体" w:hAnsi="宋体" w:eastAsia="宋体" w:cs="宋体"/>
          <w:color w:val="000000" w:themeColor="text1"/>
          <w:highlight w:val="none"/>
          <w:lang w:val="zh-CN" w:eastAsia="zh-CN"/>
          <w14:textFill>
            <w14:solidFill>
              <w14:schemeClr w14:val="tx1"/>
            </w14:solidFill>
          </w14:textFill>
        </w:rPr>
        <w:t>7.6 安全文明施工</w:t>
      </w:r>
      <w:bookmarkEnd w:id="775"/>
      <w:bookmarkEnd w:id="776"/>
      <w:bookmarkEnd w:id="777"/>
      <w:bookmarkEnd w:id="778"/>
      <w:bookmarkEnd w:id="779"/>
    </w:p>
    <w:p w14:paraId="10DFF2B5">
      <w:pPr>
        <w:bidi w:val="0"/>
        <w:rPr>
          <w:rFonts w:hint="eastAsia" w:ascii="宋体" w:hAnsi="宋体" w:eastAsia="宋体" w:cs="宋体"/>
          <w:color w:val="000000" w:themeColor="text1"/>
          <w:highlight w:val="none"/>
          <w14:textFill>
            <w14:solidFill>
              <w14:schemeClr w14:val="tx1"/>
            </w14:solidFill>
          </w14:textFill>
        </w:rPr>
      </w:pPr>
      <w:bookmarkStart w:id="780" w:name="_Ref18990822"/>
      <w:r>
        <w:rPr>
          <w:rFonts w:hint="eastAsia" w:ascii="宋体" w:hAnsi="宋体" w:eastAsia="宋体" w:cs="宋体"/>
          <w:color w:val="000000" w:themeColor="text1"/>
          <w:highlight w:val="none"/>
          <w14:textFill>
            <w14:solidFill>
              <w14:schemeClr w14:val="tx1"/>
            </w14:solidFill>
          </w14:textFill>
        </w:rPr>
        <w:t>7.6.1 安全生产要求</w:t>
      </w:r>
      <w:bookmarkEnd w:id="780"/>
    </w:p>
    <w:p w14:paraId="4957A59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4D75A67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2B2D869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因安全生产需要暂停施工的，按照第8.9款[暂停工作]的约定执行。</w:t>
      </w:r>
    </w:p>
    <w:p w14:paraId="660361F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7.6.2 安全生产保证措施</w:t>
      </w:r>
    </w:p>
    <w:p w14:paraId="43C8EA3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45180D8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05B8CCD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55FB1119">
      <w:pPr>
        <w:bidi w:val="0"/>
        <w:rPr>
          <w:rFonts w:hint="eastAsia" w:ascii="宋体" w:hAnsi="宋体" w:eastAsia="宋体" w:cs="宋体"/>
          <w:color w:val="000000" w:themeColor="text1"/>
          <w:highlight w:val="none"/>
          <w14:textFill>
            <w14:solidFill>
              <w14:schemeClr w14:val="tx1"/>
            </w14:solidFill>
          </w14:textFill>
        </w:rPr>
      </w:pPr>
      <w:bookmarkStart w:id="781" w:name="_Ref18990840"/>
      <w:r>
        <w:rPr>
          <w:rFonts w:hint="eastAsia" w:ascii="宋体" w:hAnsi="宋体" w:eastAsia="宋体" w:cs="宋体"/>
          <w:color w:val="000000" w:themeColor="text1"/>
          <w:highlight w:val="none"/>
          <w14:textFill>
            <w14:solidFill>
              <w14:schemeClr w14:val="tx1"/>
            </w14:solidFill>
          </w14:textFill>
        </w:rPr>
        <w:t>7.6.3 文明施工</w:t>
      </w:r>
      <w:bookmarkEnd w:id="781"/>
    </w:p>
    <w:p w14:paraId="4799005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45DD99D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3204F60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7.6.4 事故处理</w:t>
      </w:r>
    </w:p>
    <w:p w14:paraId="48301CA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487DE28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7EE8263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7.6.5 安全生产责任</w:t>
      </w:r>
    </w:p>
    <w:p w14:paraId="064B5F9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发包人应负责赔偿以下各种情况造成的损失：</w:t>
      </w:r>
    </w:p>
    <w:p w14:paraId="6C08846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工程或工程的任何部分对土地的占用所造成的第三者财产损失；</w:t>
      </w:r>
    </w:p>
    <w:p w14:paraId="117EB87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由于发包人原因在施工现场及其毗邻地带、履行合同工作中造成的第三者人身伤亡和财产损失；</w:t>
      </w:r>
    </w:p>
    <w:p w14:paraId="74DF239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由于发包人原因对发包人自身、承包人、工程师造成的人身伤害和财产损失。</w:t>
      </w:r>
    </w:p>
    <w:p w14:paraId="5F675DB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承包人应负责赔偿由于承包人原因在施工现场及其毗邻地带、履行合同工作中造成的第三者人身伤亡和财产损失。</w:t>
      </w:r>
    </w:p>
    <w:p w14:paraId="7C4738C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如果上述损失是由于发包人和承包人共同原因导致的，则双方应根据过错情况按比例承担。</w:t>
      </w:r>
    </w:p>
    <w:p w14:paraId="4C213747">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82" w:name="_Ref41554069"/>
      <w:bookmarkStart w:id="783" w:name="_Toc54862242"/>
      <w:bookmarkStart w:id="784" w:name="_Ref11874562"/>
      <w:r>
        <w:rPr>
          <w:rFonts w:hint="eastAsia" w:ascii="宋体" w:hAnsi="宋体" w:eastAsia="宋体" w:cs="宋体"/>
          <w:color w:val="000000" w:themeColor="text1"/>
          <w:highlight w:val="none"/>
          <w:lang w:val="zh-CN" w:eastAsia="zh-CN"/>
          <w14:textFill>
            <w14:solidFill>
              <w14:schemeClr w14:val="tx1"/>
            </w14:solidFill>
          </w14:textFill>
        </w:rPr>
        <w:t>7.7 职业健康</w:t>
      </w:r>
      <w:bookmarkEnd w:id="782"/>
      <w:bookmarkEnd w:id="783"/>
      <w:bookmarkEnd w:id="784"/>
    </w:p>
    <w:p w14:paraId="382C8F0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承包人应遵守适用的职业健康的法律和合同约定（包括对雇用、职业健康、安全、福利等方面的规定），负责现场实施过程中其人员的职业健康和保护，包括：</w:t>
      </w:r>
    </w:p>
    <w:p w14:paraId="51242C0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1B24508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承包人应依法为承包人</w:t>
      </w:r>
      <w:bookmarkStart w:id="785" w:name="_Hlk46339538"/>
      <w:r>
        <w:rPr>
          <w:rFonts w:hint="eastAsia" w:ascii="宋体" w:hAnsi="宋体" w:eastAsia="宋体" w:cs="宋体"/>
          <w:color w:val="000000" w:themeColor="text1"/>
          <w:highlight w:val="none"/>
          <w14:textFill>
            <w14:solidFill>
              <w14:schemeClr w14:val="tx1"/>
            </w14:solidFill>
          </w14:textFill>
        </w:rPr>
        <w:t>员工及承包人聘用的第三方人员</w:t>
      </w:r>
      <w:bookmarkEnd w:id="785"/>
      <w:r>
        <w:rPr>
          <w:rFonts w:hint="eastAsia" w:ascii="宋体" w:hAnsi="宋体" w:eastAsia="宋体" w:cs="宋体"/>
          <w:color w:val="000000" w:themeColor="text1"/>
          <w:highlight w:val="none"/>
          <w14:textFill>
            <w14:solidFill>
              <w14:schemeClr w14:val="tx1"/>
            </w14:solidFill>
          </w14:textFill>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5B09CF6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0827F81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08B519C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513193DA">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86" w:name="_Toc54862243"/>
      <w:bookmarkStart w:id="787" w:name="_Ref11874570"/>
      <w:r>
        <w:rPr>
          <w:rFonts w:hint="eastAsia" w:ascii="宋体" w:hAnsi="宋体" w:eastAsia="宋体" w:cs="宋体"/>
          <w:color w:val="000000" w:themeColor="text1"/>
          <w:highlight w:val="none"/>
          <w:lang w:val="zh-CN" w:eastAsia="zh-CN"/>
          <w14:textFill>
            <w14:solidFill>
              <w14:schemeClr w14:val="tx1"/>
            </w14:solidFill>
          </w14:textFill>
        </w:rPr>
        <w:t>7.8 环境保护</w:t>
      </w:r>
      <w:bookmarkEnd w:id="786"/>
      <w:bookmarkEnd w:id="787"/>
    </w:p>
    <w:p w14:paraId="2EF77FF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11A8474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7.8.2 承包人应采取措施，并负责控制和（或）处理现场的粉尘、废气、废水、固体废物和噪声对环境的污染和危害。因此发生的伤害、赔偿、罚款等费用增加，和（或）竣工日期延误，由承包人负责。</w:t>
      </w:r>
    </w:p>
    <w:p w14:paraId="6E380ED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465DC71B">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88" w:name="_Ref531954340"/>
      <w:bookmarkStart w:id="789" w:name="_Ref531954344"/>
      <w:bookmarkStart w:id="790" w:name="_Toc54862244"/>
      <w:bookmarkStart w:id="791" w:name="_Ref4771116"/>
      <w:r>
        <w:rPr>
          <w:rFonts w:hint="eastAsia" w:ascii="宋体" w:hAnsi="宋体" w:eastAsia="宋体" w:cs="宋体"/>
          <w:color w:val="000000" w:themeColor="text1"/>
          <w:highlight w:val="none"/>
          <w:lang w:val="zh-CN" w:eastAsia="zh-CN"/>
          <w14:textFill>
            <w14:solidFill>
              <w14:schemeClr w14:val="tx1"/>
            </w14:solidFill>
          </w14:textFill>
        </w:rPr>
        <w:t>7.9 临时性公用设施</w:t>
      </w:r>
      <w:bookmarkEnd w:id="788"/>
      <w:bookmarkEnd w:id="789"/>
      <w:bookmarkEnd w:id="790"/>
      <w:r>
        <w:rPr>
          <w:rFonts w:hint="eastAsia" w:ascii="宋体" w:hAnsi="宋体" w:eastAsia="宋体" w:cs="宋体"/>
          <w:color w:val="000000" w:themeColor="text1"/>
          <w:highlight w:val="none"/>
          <w:lang w:val="zh-CN" w:eastAsia="zh-CN"/>
          <w14:textFill>
            <w14:solidFill>
              <w14:schemeClr w14:val="tx1"/>
            </w14:solidFill>
          </w14:textFill>
        </w:rPr>
        <w:t xml:space="preserve"> </w:t>
      </w:r>
      <w:bookmarkEnd w:id="791"/>
    </w:p>
    <w:p w14:paraId="262CBD5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7.9.1 提供临时用水、用电等和节点铺设</w:t>
      </w:r>
    </w:p>
    <w:p w14:paraId="1CA9942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6F19C96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7FC5752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7.9.2 临时用水、用电等</w:t>
      </w:r>
    </w:p>
    <w:p w14:paraId="1E95E9E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5C63684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因承包人未能按合同约定提交上述资料，造成发包人费用增加和竣工日期延误时，由承包人负责。</w:t>
      </w:r>
      <w:bookmarkStart w:id="792" w:name="_Ref508893743"/>
    </w:p>
    <w:p w14:paraId="4CE5CB1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93" w:name="_Ref531952239"/>
      <w:bookmarkStart w:id="794" w:name="_Toc54862245"/>
      <w:bookmarkStart w:id="795" w:name="_Ref531952248"/>
      <w:r>
        <w:rPr>
          <w:rFonts w:hint="eastAsia" w:ascii="宋体" w:hAnsi="宋体" w:eastAsia="宋体" w:cs="宋体"/>
          <w:color w:val="000000" w:themeColor="text1"/>
          <w:highlight w:val="none"/>
          <w:lang w:val="zh-CN" w:eastAsia="zh-CN"/>
          <w14:textFill>
            <w14:solidFill>
              <w14:schemeClr w14:val="tx1"/>
            </w14:solidFill>
          </w14:textFill>
        </w:rPr>
        <w:t>7.10 现场安保</w:t>
      </w:r>
      <w:bookmarkEnd w:id="793"/>
      <w:bookmarkEnd w:id="794"/>
      <w:bookmarkEnd w:id="795"/>
    </w:p>
    <w:p w14:paraId="42076EF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2EF733C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承包人应将其作业限制在现场区域、合同约定的区域或为履行合同所需的区域内。承包人应采取一切必要的预防措施，以保持承包人的设备和人员处于现场区域内，避免其进入邻近地区。</w:t>
      </w:r>
    </w:p>
    <w:p w14:paraId="3BF1577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承包人为履行合同义务而占用的其他场所（如预制加工场所、办公及生活营区） 的安保适用本款前述关于现场安保的规定。</w:t>
      </w:r>
    </w:p>
    <w:p w14:paraId="4A86FDB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796" w:name="_Toc54862246"/>
      <w:r>
        <w:rPr>
          <w:rFonts w:hint="eastAsia" w:ascii="宋体" w:hAnsi="宋体" w:eastAsia="宋体" w:cs="宋体"/>
          <w:color w:val="000000" w:themeColor="text1"/>
          <w:highlight w:val="none"/>
          <w:lang w:val="zh-CN" w:eastAsia="zh-CN"/>
          <w14:textFill>
            <w14:solidFill>
              <w14:schemeClr w14:val="tx1"/>
            </w14:solidFill>
          </w14:textFill>
        </w:rPr>
        <w:t>7.11 工程照管</w:t>
      </w:r>
      <w:bookmarkEnd w:id="796"/>
    </w:p>
    <w:p w14:paraId="3C7D738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自开始现场施工日期起至发包人应当接收工程之日止，承包人应承担工程现场、材料、设备及承包人文件的照管和维护工作。</w:t>
      </w:r>
    </w:p>
    <w:p w14:paraId="3F3B15A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如部分工程于竣工验收前提前交付发包人的，则自交付之日起，该部分工程照管及维护职责由发包人承担。</w:t>
      </w:r>
    </w:p>
    <w:p w14:paraId="50C8324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如发包人及承包人进行竣工验收时尚有部分未竣工工程的，承包人应负责该未竣工工程的照管和维护工作，直至竣工后移交给发包人。</w:t>
      </w:r>
    </w:p>
    <w:p w14:paraId="3ECFF4B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如合同解除或终止的，承包人自合同解除或终止之日起不再对工程承担照管和维护义务。</w:t>
      </w:r>
    </w:p>
    <w:p w14:paraId="245AC467">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797" w:name="_Toc29760"/>
      <w:bookmarkStart w:id="798" w:name="_Toc21750"/>
      <w:bookmarkStart w:id="799" w:name="_Ref508998009"/>
      <w:bookmarkStart w:id="800" w:name="_Toc54862247"/>
      <w:bookmarkStart w:id="801" w:name="_Toc3905"/>
      <w:bookmarkStart w:id="802" w:name="_Ref531954505"/>
      <w:bookmarkStart w:id="803" w:name="_Ref531954518"/>
      <w:r>
        <w:rPr>
          <w:rFonts w:hint="eastAsia" w:ascii="宋体" w:hAnsi="宋体" w:eastAsia="宋体" w:cs="宋体"/>
          <w:color w:val="000000" w:themeColor="text1"/>
          <w:highlight w:val="none"/>
          <w:lang w:val="zh-CN" w:eastAsia="zh-CN"/>
          <w14:textFill>
            <w14:solidFill>
              <w14:schemeClr w14:val="tx1"/>
            </w14:solidFill>
          </w14:textFill>
        </w:rPr>
        <w:t>第8条 工期和进度</w:t>
      </w:r>
      <w:bookmarkEnd w:id="797"/>
      <w:bookmarkEnd w:id="798"/>
      <w:bookmarkEnd w:id="799"/>
      <w:bookmarkEnd w:id="800"/>
      <w:bookmarkEnd w:id="801"/>
    </w:p>
    <w:p w14:paraId="31C0EE6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04" w:name="_Ref532362075"/>
      <w:bookmarkStart w:id="805" w:name="_Ref532362072"/>
      <w:bookmarkStart w:id="806" w:name="_Toc54862248"/>
      <w:bookmarkStart w:id="807" w:name="_Ref532362777"/>
      <w:bookmarkStart w:id="808" w:name="_Ref532362774"/>
      <w:r>
        <w:rPr>
          <w:rFonts w:hint="eastAsia" w:ascii="宋体" w:hAnsi="宋体" w:eastAsia="宋体" w:cs="宋体"/>
          <w:color w:val="000000" w:themeColor="text1"/>
          <w:highlight w:val="none"/>
          <w:lang w:val="zh-CN" w:eastAsia="zh-CN"/>
          <w14:textFill>
            <w14:solidFill>
              <w14:schemeClr w14:val="tx1"/>
            </w14:solidFill>
          </w14:textFill>
        </w:rPr>
        <w:t>8.1 开始工作</w:t>
      </w:r>
      <w:bookmarkEnd w:id="804"/>
      <w:bookmarkEnd w:id="805"/>
      <w:bookmarkEnd w:id="806"/>
      <w:bookmarkEnd w:id="807"/>
      <w:bookmarkEnd w:id="808"/>
    </w:p>
    <w:p w14:paraId="69651102">
      <w:pPr>
        <w:bidi w:val="0"/>
        <w:rPr>
          <w:rFonts w:hint="eastAsia" w:ascii="宋体" w:hAnsi="宋体" w:eastAsia="宋体" w:cs="宋体"/>
          <w:color w:val="000000" w:themeColor="text1"/>
          <w:highlight w:val="none"/>
          <w14:textFill>
            <w14:solidFill>
              <w14:schemeClr w14:val="tx1"/>
            </w14:solidFill>
          </w14:textFill>
        </w:rPr>
      </w:pPr>
      <w:bookmarkStart w:id="809" w:name="_Ref4428890"/>
      <w:r>
        <w:rPr>
          <w:rFonts w:hint="eastAsia" w:ascii="宋体" w:hAnsi="宋体" w:eastAsia="宋体" w:cs="宋体"/>
          <w:color w:val="000000" w:themeColor="text1"/>
          <w:highlight w:val="none"/>
          <w14:textFill>
            <w14:solidFill>
              <w14:schemeClr w14:val="tx1"/>
            </w14:solidFill>
          </w14:textFill>
        </w:rPr>
        <w:t>8.1.1 开始工作准备</w:t>
      </w:r>
      <w:bookmarkEnd w:id="809"/>
    </w:p>
    <w:p w14:paraId="1A4B510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合同当事人应按专用合同条件约定完成开始工作准备工作。</w:t>
      </w:r>
    </w:p>
    <w:p w14:paraId="18FE38E7">
      <w:pPr>
        <w:bidi w:val="0"/>
        <w:rPr>
          <w:rFonts w:hint="eastAsia" w:ascii="宋体" w:hAnsi="宋体" w:eastAsia="宋体" w:cs="宋体"/>
          <w:color w:val="000000" w:themeColor="text1"/>
          <w:highlight w:val="none"/>
          <w14:textFill>
            <w14:solidFill>
              <w14:schemeClr w14:val="tx1"/>
            </w14:solidFill>
          </w14:textFill>
        </w:rPr>
      </w:pPr>
      <w:bookmarkStart w:id="810" w:name="_Ref536790534"/>
      <w:bookmarkStart w:id="811" w:name="_Hlk51506490"/>
      <w:r>
        <w:rPr>
          <w:rFonts w:hint="eastAsia" w:ascii="宋体" w:hAnsi="宋体" w:eastAsia="宋体" w:cs="宋体"/>
          <w:color w:val="000000" w:themeColor="text1"/>
          <w:highlight w:val="none"/>
          <w14:textFill>
            <w14:solidFill>
              <w14:schemeClr w14:val="tx1"/>
            </w14:solidFill>
          </w14:textFill>
        </w:rPr>
        <w:t>8.1.2 开始工作通知</w:t>
      </w:r>
      <w:bookmarkEnd w:id="810"/>
    </w:p>
    <w:bookmarkEnd w:id="811"/>
    <w:p w14:paraId="4C31F3C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经发包人同意后，工程师应提前7天向承包人发出经发包人签认的开始工作通知，工期自开始工作通知中载明的开始工作日期起算。</w:t>
      </w:r>
    </w:p>
    <w:p w14:paraId="21343DC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除专用合同条件另有约定外，因发包人原因造成实际开始现场施工日期迟于</w:t>
      </w:r>
      <w:bookmarkStart w:id="812" w:name="_Hlk51506566"/>
      <w:r>
        <w:rPr>
          <w:rFonts w:hint="eastAsia" w:ascii="宋体" w:hAnsi="宋体" w:eastAsia="宋体" w:cs="宋体"/>
          <w:color w:val="000000" w:themeColor="text1"/>
          <w:highlight w:val="none"/>
          <w14:textFill>
            <w14:solidFill>
              <w14:schemeClr w14:val="tx1"/>
            </w14:solidFill>
          </w14:textFill>
        </w:rPr>
        <w:t>计划开始现场施工日期</w:t>
      </w:r>
      <w:bookmarkEnd w:id="812"/>
      <w:r>
        <w:rPr>
          <w:rFonts w:hint="eastAsia" w:ascii="宋体" w:hAnsi="宋体" w:eastAsia="宋体" w:cs="宋体"/>
          <w:color w:val="000000" w:themeColor="text1"/>
          <w:highlight w:val="none"/>
          <w14:textFill>
            <w14:solidFill>
              <w14:schemeClr w14:val="tx1"/>
            </w14:solidFill>
          </w14:textFill>
        </w:rPr>
        <w:t>后第84天的，承包人有权提出价格调整要求，或者解除合同。发包人应当承担由此增加的费用和（或）延误的工期，并向承包人支付合理利润。</w:t>
      </w:r>
    </w:p>
    <w:p w14:paraId="060C2548">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13" w:name="_Ref532362124"/>
      <w:bookmarkStart w:id="814" w:name="_Toc54862249"/>
      <w:r>
        <w:rPr>
          <w:rFonts w:hint="eastAsia" w:ascii="宋体" w:hAnsi="宋体" w:eastAsia="宋体" w:cs="宋体"/>
          <w:color w:val="000000" w:themeColor="text1"/>
          <w:highlight w:val="none"/>
          <w:lang w:val="zh-CN" w:eastAsia="zh-CN"/>
          <w14:textFill>
            <w14:solidFill>
              <w14:schemeClr w14:val="tx1"/>
            </w14:solidFill>
          </w14:textFill>
        </w:rPr>
        <w:t>8.2 竣工日期</w:t>
      </w:r>
      <w:bookmarkEnd w:id="813"/>
      <w:bookmarkEnd w:id="814"/>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5BDB5DB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承包人应在合同协议书约定的工期内完成合同工作。除专用合同条件另有约定外，工程的竣工日期以第10.1条[竣工验收]的约定为准，并在工程接收证书中写明。</w:t>
      </w:r>
    </w:p>
    <w:p w14:paraId="54DC52E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因发包人原因，在工程师收到承包人竣工验收申请报告42天后未进行验收的，视为验收合格，实际竣工日期以提交竣工验收申请报告的日期为准，但发包人由于不可抗力不能进行验收的除外。</w:t>
      </w:r>
    </w:p>
    <w:p w14:paraId="18EBB1BE">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15" w:name="_Ref11863334"/>
      <w:bookmarkStart w:id="816" w:name="_Toc54862250"/>
      <w:bookmarkStart w:id="817" w:name="_Ref532362207"/>
      <w:bookmarkStart w:id="818" w:name="_Ref532352856"/>
      <w:bookmarkStart w:id="819" w:name="_Ref532362204"/>
      <w:bookmarkStart w:id="820" w:name="_Ref532352853"/>
      <w:r>
        <w:rPr>
          <w:rFonts w:hint="eastAsia" w:ascii="宋体" w:hAnsi="宋体" w:eastAsia="宋体" w:cs="宋体"/>
          <w:color w:val="000000" w:themeColor="text1"/>
          <w:highlight w:val="none"/>
          <w:lang w:val="zh-CN" w:eastAsia="zh-CN"/>
          <w14:textFill>
            <w14:solidFill>
              <w14:schemeClr w14:val="tx1"/>
            </w14:solidFill>
          </w14:textFill>
        </w:rPr>
        <w:t>8.3 项目实施计划</w:t>
      </w:r>
      <w:bookmarkEnd w:id="815"/>
      <w:bookmarkEnd w:id="816"/>
    </w:p>
    <w:p w14:paraId="615DF382">
      <w:pPr>
        <w:bidi w:val="0"/>
        <w:rPr>
          <w:rFonts w:hint="eastAsia" w:ascii="宋体" w:hAnsi="宋体" w:eastAsia="宋体" w:cs="宋体"/>
          <w:color w:val="000000" w:themeColor="text1"/>
          <w:highlight w:val="none"/>
          <w14:textFill>
            <w14:solidFill>
              <w14:schemeClr w14:val="tx1"/>
            </w14:solidFill>
          </w14:textFill>
        </w:rPr>
      </w:pPr>
      <w:bookmarkStart w:id="821" w:name="_Ref18990904"/>
      <w:r>
        <w:rPr>
          <w:rFonts w:hint="eastAsia" w:ascii="宋体" w:hAnsi="宋体" w:eastAsia="宋体" w:cs="宋体"/>
          <w:color w:val="000000" w:themeColor="text1"/>
          <w:highlight w:val="none"/>
          <w14:textFill>
            <w14:solidFill>
              <w14:schemeClr w14:val="tx1"/>
            </w14:solidFill>
          </w14:textFill>
        </w:rPr>
        <w:t>8.3.1 项目实施计划的内容</w:t>
      </w:r>
      <w:bookmarkEnd w:id="821"/>
    </w:p>
    <w:p w14:paraId="0B87DDC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1D890149">
      <w:pPr>
        <w:bidi w:val="0"/>
        <w:rPr>
          <w:rFonts w:hint="eastAsia" w:ascii="宋体" w:hAnsi="宋体" w:eastAsia="宋体" w:cs="宋体"/>
          <w:color w:val="000000" w:themeColor="text1"/>
          <w:highlight w:val="none"/>
          <w14:textFill>
            <w14:solidFill>
              <w14:schemeClr w14:val="tx1"/>
            </w14:solidFill>
          </w14:textFill>
        </w:rPr>
      </w:pPr>
      <w:bookmarkStart w:id="822" w:name="_Ref18990921"/>
      <w:r>
        <w:rPr>
          <w:rFonts w:hint="eastAsia" w:ascii="宋体" w:hAnsi="宋体" w:eastAsia="宋体" w:cs="宋体"/>
          <w:color w:val="000000" w:themeColor="text1"/>
          <w:highlight w:val="none"/>
          <w14:textFill>
            <w14:solidFill>
              <w14:schemeClr w14:val="tx1"/>
            </w14:solidFill>
          </w14:textFill>
        </w:rPr>
        <w:t>8.3.2 项目实施计划的提交和修改</w:t>
      </w:r>
      <w:bookmarkEnd w:id="822"/>
    </w:p>
    <w:p w14:paraId="465E49F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1255988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项目进度计划的编制和修改按照第8.4款[项目进度计划]执行。</w:t>
      </w:r>
    </w:p>
    <w:p w14:paraId="49362F8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23" w:name="_Toc54862251"/>
      <w:bookmarkStart w:id="824" w:name="_Ref11865507"/>
      <w:r>
        <w:rPr>
          <w:rFonts w:hint="eastAsia" w:ascii="宋体" w:hAnsi="宋体" w:eastAsia="宋体" w:cs="宋体"/>
          <w:color w:val="000000" w:themeColor="text1"/>
          <w:highlight w:val="none"/>
          <w:lang w:val="zh-CN" w:eastAsia="zh-CN"/>
          <w14:textFill>
            <w14:solidFill>
              <w14:schemeClr w14:val="tx1"/>
            </w14:solidFill>
          </w14:textFill>
        </w:rPr>
        <w:t>8.4 项目进度计划</w:t>
      </w:r>
      <w:bookmarkEnd w:id="817"/>
      <w:bookmarkEnd w:id="818"/>
      <w:bookmarkEnd w:id="819"/>
      <w:bookmarkEnd w:id="820"/>
      <w:bookmarkEnd w:id="823"/>
      <w:bookmarkEnd w:id="824"/>
    </w:p>
    <w:p w14:paraId="534E94C6">
      <w:pPr>
        <w:bidi w:val="0"/>
        <w:rPr>
          <w:rFonts w:hint="eastAsia" w:ascii="宋体" w:hAnsi="宋体" w:eastAsia="宋体" w:cs="宋体"/>
          <w:color w:val="000000" w:themeColor="text1"/>
          <w:highlight w:val="none"/>
          <w14:textFill>
            <w14:solidFill>
              <w14:schemeClr w14:val="tx1"/>
            </w14:solidFill>
          </w14:textFill>
        </w:rPr>
      </w:pPr>
      <w:bookmarkStart w:id="825" w:name="_Ref4681217"/>
      <w:r>
        <w:rPr>
          <w:rFonts w:hint="eastAsia" w:ascii="宋体" w:hAnsi="宋体" w:eastAsia="宋体" w:cs="宋体"/>
          <w:color w:val="000000" w:themeColor="text1"/>
          <w:highlight w:val="none"/>
          <w14:textFill>
            <w14:solidFill>
              <w14:schemeClr w14:val="tx1"/>
            </w14:solidFill>
          </w14:textFill>
        </w:rPr>
        <w:t>8.4.1 项目进度计划的提交和修改</w:t>
      </w:r>
      <w:bookmarkEnd w:id="825"/>
    </w:p>
    <w:p w14:paraId="00E23DF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00001ED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3E04BB38">
      <w:pPr>
        <w:bidi w:val="0"/>
        <w:rPr>
          <w:rFonts w:hint="eastAsia" w:ascii="宋体" w:hAnsi="宋体" w:eastAsia="宋体" w:cs="宋体"/>
          <w:color w:val="000000" w:themeColor="text1"/>
          <w:highlight w:val="none"/>
          <w14:textFill>
            <w14:solidFill>
              <w14:schemeClr w14:val="tx1"/>
            </w14:solidFill>
          </w14:textFill>
        </w:rPr>
      </w:pPr>
      <w:bookmarkStart w:id="826" w:name="_Ref4429079"/>
      <w:r>
        <w:rPr>
          <w:rFonts w:hint="eastAsia" w:ascii="宋体" w:hAnsi="宋体" w:eastAsia="宋体" w:cs="宋体"/>
          <w:color w:val="000000" w:themeColor="text1"/>
          <w:highlight w:val="none"/>
          <w14:textFill>
            <w14:solidFill>
              <w14:schemeClr w14:val="tx1"/>
            </w14:solidFill>
          </w14:textFill>
        </w:rPr>
        <w:t>8.4.2 项目进度计划的内容</w:t>
      </w:r>
      <w:bookmarkEnd w:id="826"/>
    </w:p>
    <w:p w14:paraId="2BCEB6D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446EB687">
      <w:pPr>
        <w:bidi w:val="0"/>
        <w:rPr>
          <w:rFonts w:hint="eastAsia" w:ascii="宋体" w:hAnsi="宋体" w:eastAsia="宋体" w:cs="宋体"/>
          <w:color w:val="000000" w:themeColor="text1"/>
          <w:highlight w:val="none"/>
          <w14:textFill>
            <w14:solidFill>
              <w14:schemeClr w14:val="tx1"/>
            </w14:solidFill>
          </w14:textFill>
        </w:rPr>
      </w:pPr>
      <w:bookmarkStart w:id="827" w:name="_Ref3848203"/>
      <w:r>
        <w:rPr>
          <w:rFonts w:hint="eastAsia" w:ascii="宋体" w:hAnsi="宋体" w:eastAsia="宋体" w:cs="宋体"/>
          <w:color w:val="000000" w:themeColor="text1"/>
          <w:highlight w:val="none"/>
          <w14:textFill>
            <w14:solidFill>
              <w14:schemeClr w14:val="tx1"/>
            </w14:solidFill>
          </w14:textFill>
        </w:rPr>
        <w:t>8.4.3 项目进度计划的修订</w:t>
      </w:r>
      <w:bookmarkEnd w:id="827"/>
    </w:p>
    <w:p w14:paraId="19EF956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48E418C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453C331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除合同当事人另有约定外，项目进度计划的修订并不能减轻或者免除双方按第8.7款[工期延误]、第8.8款[工期提前]、第8.9款[暂停工作]应承担的合同责任。</w:t>
      </w:r>
    </w:p>
    <w:p w14:paraId="284D684E">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28" w:name="_Toc54862252"/>
      <w:bookmarkStart w:id="829" w:name="_Ref532362278"/>
      <w:bookmarkStart w:id="830" w:name="_Ref532362276"/>
      <w:r>
        <w:rPr>
          <w:rFonts w:hint="eastAsia" w:ascii="宋体" w:hAnsi="宋体" w:eastAsia="宋体" w:cs="宋体"/>
          <w:color w:val="000000" w:themeColor="text1"/>
          <w:highlight w:val="none"/>
          <w:lang w:val="zh-CN" w:eastAsia="zh-CN"/>
          <w14:textFill>
            <w14:solidFill>
              <w14:schemeClr w14:val="tx1"/>
            </w14:solidFill>
          </w14:textFill>
        </w:rPr>
        <w:t>8.5 进度报告</w:t>
      </w:r>
      <w:bookmarkEnd w:id="828"/>
      <w:bookmarkEnd w:id="829"/>
      <w:bookmarkEnd w:id="830"/>
    </w:p>
    <w:p w14:paraId="11A0454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项目实施过程中，承包人应进行实际进度记录，并根据工程师的要求编制月进度报告，并提交给工程师。进度报告应包含以下主要内容：</w:t>
      </w:r>
    </w:p>
    <w:p w14:paraId="59E4CD2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工程设计、采购、施工等各个工作内容的进展报告；</w:t>
      </w:r>
    </w:p>
    <w:p w14:paraId="03651CA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工程施工方法的一般说明；</w:t>
      </w:r>
    </w:p>
    <w:p w14:paraId="78161A8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当月工程实施介入的项目人员、设备和材料的预估明细报告；</w:t>
      </w:r>
    </w:p>
    <w:p w14:paraId="6BB08F4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 当月实际进度与进度计划对比分析，以及提出未来可能引起工期延误的情形，同时提出应对措施；需要修订项目进度计划的，应对项目进度计划的修订部分进行说明； </w:t>
      </w:r>
    </w:p>
    <w:p w14:paraId="0D219D2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承包人对于解决工期延误所提出的建议；</w:t>
      </w:r>
    </w:p>
    <w:p w14:paraId="799A8E3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其他与工程有关的重大事项。</w:t>
      </w:r>
    </w:p>
    <w:p w14:paraId="6DC438F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进度报告的具体要求等，在专用合同条件约定。</w:t>
      </w:r>
    </w:p>
    <w:p w14:paraId="3666B202">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31" w:name="_Toc54862253"/>
      <w:r>
        <w:rPr>
          <w:rFonts w:hint="eastAsia" w:ascii="宋体" w:hAnsi="宋体" w:eastAsia="宋体" w:cs="宋体"/>
          <w:color w:val="000000" w:themeColor="text1"/>
          <w:highlight w:val="none"/>
          <w:lang w:val="zh-CN" w:eastAsia="zh-CN"/>
          <w14:textFill>
            <w14:solidFill>
              <w14:schemeClr w14:val="tx1"/>
            </w14:solidFill>
          </w14:textFill>
        </w:rPr>
        <w:t>8.6 提前预警</w:t>
      </w:r>
      <w:bookmarkEnd w:id="831"/>
    </w:p>
    <w:p w14:paraId="67ABAFF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任何一方应当在下列情形发生时尽快书面通知另一方：</w:t>
      </w:r>
    </w:p>
    <w:p w14:paraId="289FE32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该情形可能对合同的履行或实现合同目的产生不利影响；</w:t>
      </w:r>
    </w:p>
    <w:p w14:paraId="1079795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该情形可能对工程完成后的使用产生不利影响；</w:t>
      </w:r>
    </w:p>
    <w:p w14:paraId="6C2EFA2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该情形可能导致合同价款增加；</w:t>
      </w:r>
    </w:p>
    <w:p w14:paraId="5D6EE32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该情形可能导致整个工程或单位/区段工程的工期延长。</w:t>
      </w:r>
    </w:p>
    <w:p w14:paraId="168D0DC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发包人有权要求承包人根据第13.2款[承包人的合理化建议]的约定提交变更建议，采取措施尽量避免或最小化上述情形的发生或影响。</w:t>
      </w:r>
    </w:p>
    <w:p w14:paraId="036BC132">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32" w:name="_Toc4784160"/>
      <w:bookmarkEnd w:id="832"/>
      <w:bookmarkStart w:id="833" w:name="_Toc4784154"/>
      <w:bookmarkEnd w:id="833"/>
      <w:bookmarkStart w:id="834" w:name="_Toc4784165"/>
      <w:bookmarkEnd w:id="834"/>
      <w:bookmarkStart w:id="835" w:name="_Toc4784157"/>
      <w:bookmarkEnd w:id="835"/>
      <w:bookmarkStart w:id="836" w:name="_Toc4784167"/>
      <w:bookmarkEnd w:id="836"/>
      <w:bookmarkStart w:id="837" w:name="_Toc4784156"/>
      <w:bookmarkEnd w:id="837"/>
      <w:bookmarkStart w:id="838" w:name="_Toc4784169"/>
      <w:bookmarkEnd w:id="838"/>
      <w:bookmarkStart w:id="839" w:name="_Toc4784159"/>
      <w:bookmarkEnd w:id="839"/>
      <w:bookmarkStart w:id="840" w:name="_Toc4784158"/>
      <w:bookmarkEnd w:id="840"/>
      <w:bookmarkStart w:id="841" w:name="_Toc4784155"/>
      <w:bookmarkEnd w:id="841"/>
      <w:bookmarkStart w:id="842" w:name="_Toc4784172"/>
      <w:bookmarkEnd w:id="842"/>
      <w:bookmarkStart w:id="843" w:name="_Toc4784175"/>
      <w:bookmarkEnd w:id="843"/>
      <w:bookmarkStart w:id="844" w:name="_Toc4784161"/>
      <w:bookmarkEnd w:id="844"/>
      <w:bookmarkStart w:id="845" w:name="_Toc4784168"/>
      <w:bookmarkEnd w:id="845"/>
      <w:bookmarkStart w:id="846" w:name="_Toc4784163"/>
      <w:bookmarkEnd w:id="846"/>
      <w:bookmarkStart w:id="847" w:name="_Toc4784164"/>
      <w:bookmarkEnd w:id="847"/>
      <w:bookmarkStart w:id="848" w:name="_Toc4784170"/>
      <w:bookmarkEnd w:id="848"/>
      <w:bookmarkStart w:id="849" w:name="_Toc4784174"/>
      <w:bookmarkEnd w:id="849"/>
      <w:bookmarkStart w:id="850" w:name="_Toc4784162"/>
      <w:bookmarkEnd w:id="850"/>
      <w:bookmarkStart w:id="851" w:name="_Toc4784166"/>
      <w:bookmarkEnd w:id="851"/>
      <w:bookmarkStart w:id="852" w:name="_Toc4784173"/>
      <w:bookmarkEnd w:id="852"/>
      <w:bookmarkStart w:id="853" w:name="_Toc4784171"/>
      <w:bookmarkEnd w:id="853"/>
      <w:bookmarkStart w:id="854" w:name="_Toc54862254"/>
      <w:bookmarkStart w:id="855" w:name="_Ref4770106"/>
      <w:bookmarkStart w:id="856" w:name="_Ref532362359"/>
      <w:bookmarkStart w:id="857" w:name="_Ref532362356"/>
      <w:r>
        <w:rPr>
          <w:rFonts w:hint="eastAsia" w:ascii="宋体" w:hAnsi="宋体" w:eastAsia="宋体" w:cs="宋体"/>
          <w:color w:val="000000" w:themeColor="text1"/>
          <w:highlight w:val="none"/>
          <w:lang w:val="zh-CN" w:eastAsia="zh-CN"/>
          <w14:textFill>
            <w14:solidFill>
              <w14:schemeClr w14:val="tx1"/>
            </w14:solidFill>
          </w14:textFill>
        </w:rPr>
        <w:t>8.7 工期延误</w:t>
      </w:r>
      <w:bookmarkEnd w:id="854"/>
      <w:bookmarkEnd w:id="855"/>
    </w:p>
    <w:p w14:paraId="310AFC98">
      <w:pPr>
        <w:bidi w:val="0"/>
        <w:rPr>
          <w:rFonts w:hint="eastAsia" w:ascii="宋体" w:hAnsi="宋体" w:eastAsia="宋体" w:cs="宋体"/>
          <w:color w:val="000000" w:themeColor="text1"/>
          <w:highlight w:val="none"/>
          <w14:textFill>
            <w14:solidFill>
              <w14:schemeClr w14:val="tx1"/>
            </w14:solidFill>
          </w14:textFill>
        </w:rPr>
      </w:pPr>
      <w:bookmarkStart w:id="858" w:name="_Ref4796050"/>
      <w:r>
        <w:rPr>
          <w:rFonts w:hint="eastAsia" w:ascii="宋体" w:hAnsi="宋体" w:eastAsia="宋体" w:cs="宋体"/>
          <w:color w:val="000000" w:themeColor="text1"/>
          <w:highlight w:val="none"/>
          <w14:textFill>
            <w14:solidFill>
              <w14:schemeClr w14:val="tx1"/>
            </w14:solidFill>
          </w14:textFill>
        </w:rPr>
        <w:t>8.7.1 因发包人原因导致工期延误</w:t>
      </w:r>
      <w:bookmarkEnd w:id="858"/>
    </w:p>
    <w:p w14:paraId="04C09C5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在合同履行过程中，因下列情况导致工期延误和（或）费用增加的，由发包人承担由此延误的工期和（或）增加的费用，且发包人应支付承包人合理的利润：</w:t>
      </w:r>
    </w:p>
    <w:p w14:paraId="58FEC4F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根据第13条[变更与调整]的约定构成一项变更的；</w:t>
      </w:r>
    </w:p>
    <w:p w14:paraId="38494AF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发包人违反本合同约定，导致工期延误和（或）费用增加的；</w:t>
      </w:r>
    </w:p>
    <w:p w14:paraId="50DDA19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发包人、发包人代表、工程师或发包人聘请的任意第三方造成或引起的任何延误、妨碍和阻碍；</w:t>
      </w:r>
    </w:p>
    <w:p w14:paraId="51C3739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发包人未能依据第6.2.1项[发包人提供的材料和工程设备]的约定提供材料和工程设备导致工期延误和（或）费用增加的；</w:t>
      </w:r>
    </w:p>
    <w:p w14:paraId="08F0BF4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因发包人原因导致的暂停施工；</w:t>
      </w:r>
    </w:p>
    <w:p w14:paraId="1312FAE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发包人未及时履行相关合同义务，造成工期延误的其他原因。</w:t>
      </w:r>
    </w:p>
    <w:p w14:paraId="7F3FDCFF">
      <w:pPr>
        <w:bidi w:val="0"/>
        <w:rPr>
          <w:rFonts w:hint="eastAsia" w:ascii="宋体" w:hAnsi="宋体" w:eastAsia="宋体" w:cs="宋体"/>
          <w:color w:val="000000" w:themeColor="text1"/>
          <w:highlight w:val="none"/>
          <w14:textFill>
            <w14:solidFill>
              <w14:schemeClr w14:val="tx1"/>
            </w14:solidFill>
          </w14:textFill>
        </w:rPr>
      </w:pPr>
      <w:bookmarkStart w:id="859" w:name="_Ref4770209"/>
      <w:r>
        <w:rPr>
          <w:rFonts w:hint="eastAsia" w:ascii="宋体" w:hAnsi="宋体" w:eastAsia="宋体" w:cs="宋体"/>
          <w:color w:val="000000" w:themeColor="text1"/>
          <w:highlight w:val="none"/>
          <w14:textFill>
            <w14:solidFill>
              <w14:schemeClr w14:val="tx1"/>
            </w14:solidFill>
          </w14:textFill>
        </w:rPr>
        <w:t>8.7.2 因承包人原因导致工期延误</w:t>
      </w:r>
      <w:bookmarkEnd w:id="859"/>
    </w:p>
    <w:p w14:paraId="0B401F1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由于承包人的原因，未能按项目进度计划完成工作，承包人应采取措施加快进度，并承担加快进度所增加的费用。</w:t>
      </w:r>
    </w:p>
    <w:p w14:paraId="67F18EB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2021937B">
      <w:pPr>
        <w:bidi w:val="0"/>
        <w:rPr>
          <w:rFonts w:hint="eastAsia" w:ascii="宋体" w:hAnsi="宋体" w:eastAsia="宋体" w:cs="宋体"/>
          <w:color w:val="000000" w:themeColor="text1"/>
          <w:highlight w:val="none"/>
          <w14:textFill>
            <w14:solidFill>
              <w14:schemeClr w14:val="tx1"/>
            </w14:solidFill>
          </w14:textFill>
        </w:rPr>
      </w:pPr>
      <w:bookmarkStart w:id="860" w:name="_Ref4770872"/>
      <w:r>
        <w:rPr>
          <w:rFonts w:hint="eastAsia" w:ascii="宋体" w:hAnsi="宋体" w:eastAsia="宋体" w:cs="宋体"/>
          <w:color w:val="000000" w:themeColor="text1"/>
          <w:highlight w:val="none"/>
          <w14:textFill>
            <w14:solidFill>
              <w14:schemeClr w14:val="tx1"/>
            </w14:solidFill>
          </w14:textFill>
        </w:rPr>
        <w:t>8.7.3 行政审批迟延</w:t>
      </w:r>
      <w:bookmarkEnd w:id="860"/>
      <w:r>
        <w:rPr>
          <w:rFonts w:hint="eastAsia" w:ascii="宋体" w:hAnsi="宋体" w:eastAsia="宋体" w:cs="宋体"/>
          <w:color w:val="000000" w:themeColor="text1"/>
          <w:highlight w:val="none"/>
          <w14:textFill>
            <w14:solidFill>
              <w14:schemeClr w14:val="tx1"/>
            </w14:solidFill>
          </w14:textFill>
        </w:rPr>
        <w:t xml:space="preserve"> </w:t>
      </w:r>
    </w:p>
    <w:p w14:paraId="2FF4A0C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2D704708">
      <w:pPr>
        <w:bidi w:val="0"/>
        <w:rPr>
          <w:rFonts w:hint="eastAsia" w:ascii="宋体" w:hAnsi="宋体" w:eastAsia="宋体" w:cs="宋体"/>
          <w:color w:val="000000" w:themeColor="text1"/>
          <w:highlight w:val="none"/>
          <w14:textFill>
            <w14:solidFill>
              <w14:schemeClr w14:val="tx1"/>
            </w14:solidFill>
          </w14:textFill>
        </w:rPr>
      </w:pPr>
      <w:bookmarkStart w:id="861" w:name="_Ref4770933"/>
      <w:r>
        <w:rPr>
          <w:rFonts w:hint="eastAsia" w:ascii="宋体" w:hAnsi="宋体" w:eastAsia="宋体" w:cs="宋体"/>
          <w:color w:val="000000" w:themeColor="text1"/>
          <w:highlight w:val="none"/>
          <w14:textFill>
            <w14:solidFill>
              <w14:schemeClr w14:val="tx1"/>
            </w14:solidFill>
          </w14:textFill>
        </w:rPr>
        <w:t>8.7.4 异常恶劣的气候条件</w:t>
      </w:r>
      <w:bookmarkEnd w:id="861"/>
    </w:p>
    <w:p w14:paraId="7111E0B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398D65C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7B6F88A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62" w:name="_Ref4781828"/>
      <w:bookmarkStart w:id="863" w:name="_Toc54862255"/>
      <w:r>
        <w:rPr>
          <w:rFonts w:hint="eastAsia" w:ascii="宋体" w:hAnsi="宋体" w:eastAsia="宋体" w:cs="宋体"/>
          <w:color w:val="000000" w:themeColor="text1"/>
          <w:highlight w:val="none"/>
          <w:lang w:val="zh-CN" w:eastAsia="zh-CN"/>
          <w14:textFill>
            <w14:solidFill>
              <w14:schemeClr w14:val="tx1"/>
            </w14:solidFill>
          </w14:textFill>
        </w:rPr>
        <w:t>8.8 工期提前</w:t>
      </w:r>
      <w:bookmarkEnd w:id="856"/>
      <w:bookmarkEnd w:id="857"/>
      <w:bookmarkEnd w:id="862"/>
      <w:bookmarkEnd w:id="863"/>
    </w:p>
    <w:p w14:paraId="5BB0395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163D262E">
      <w:pPr>
        <w:bidi w:val="0"/>
        <w:rPr>
          <w:rFonts w:hint="eastAsia" w:ascii="宋体" w:hAnsi="宋体" w:eastAsia="宋体" w:cs="宋体"/>
          <w:color w:val="000000" w:themeColor="text1"/>
          <w:highlight w:val="none"/>
          <w14:textFill>
            <w14:solidFill>
              <w14:schemeClr w14:val="tx1"/>
            </w14:solidFill>
          </w14:textFill>
        </w:rPr>
      </w:pPr>
      <w:bookmarkStart w:id="864" w:name="_Ref4429347"/>
      <w:r>
        <w:rPr>
          <w:rFonts w:hint="eastAsia" w:ascii="宋体" w:hAnsi="宋体" w:eastAsia="宋体" w:cs="宋体"/>
          <w:color w:val="000000" w:themeColor="text1"/>
          <w:highlight w:val="none"/>
          <w14:textFill>
            <w14:solidFill>
              <w14:schemeClr w14:val="tx1"/>
            </w14:solidFill>
          </w14:textFill>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864"/>
    </w:p>
    <w:p w14:paraId="5696561B">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65" w:name="_Ref4615031"/>
      <w:bookmarkStart w:id="866" w:name="_Toc54862256"/>
      <w:bookmarkStart w:id="867" w:name="_Ref4615040"/>
      <w:r>
        <w:rPr>
          <w:rFonts w:hint="eastAsia" w:ascii="宋体" w:hAnsi="宋体" w:eastAsia="宋体" w:cs="宋体"/>
          <w:color w:val="000000" w:themeColor="text1"/>
          <w:highlight w:val="none"/>
          <w:lang w:val="zh-CN" w:eastAsia="zh-CN"/>
          <w14:textFill>
            <w14:solidFill>
              <w14:schemeClr w14:val="tx1"/>
            </w14:solidFill>
          </w14:textFill>
        </w:rPr>
        <w:t>8.9 暂停工作</w:t>
      </w:r>
      <w:bookmarkEnd w:id="865"/>
      <w:bookmarkEnd w:id="866"/>
      <w:bookmarkEnd w:id="867"/>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400F4A1C">
      <w:pPr>
        <w:bidi w:val="0"/>
        <w:rPr>
          <w:rFonts w:hint="eastAsia" w:ascii="宋体" w:hAnsi="宋体" w:eastAsia="宋体" w:cs="宋体"/>
          <w:color w:val="000000" w:themeColor="text1"/>
          <w:highlight w:val="none"/>
          <w14:textFill>
            <w14:solidFill>
              <w14:schemeClr w14:val="tx1"/>
            </w14:solidFill>
          </w14:textFill>
        </w:rPr>
      </w:pPr>
      <w:bookmarkStart w:id="868" w:name="_Ref4709151"/>
      <w:r>
        <w:rPr>
          <w:rFonts w:hint="eastAsia" w:ascii="宋体" w:hAnsi="宋体" w:eastAsia="宋体" w:cs="宋体"/>
          <w:color w:val="000000" w:themeColor="text1"/>
          <w:highlight w:val="none"/>
          <w14:textFill>
            <w14:solidFill>
              <w14:schemeClr w14:val="tx1"/>
            </w14:solidFill>
          </w14:textFill>
        </w:rPr>
        <w:t>8.9.1 由发包人暂停工作</w:t>
      </w:r>
      <w:bookmarkEnd w:id="868"/>
    </w:p>
    <w:p w14:paraId="1E75632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发包人认为必要时，可通过工程师向承包人发出经发包人签认的暂停工作通知，应列明暂停原因、暂停的日期及预计暂停的期限。承包人应按该通知暂停工作。</w:t>
      </w:r>
      <w:bookmarkStart w:id="869" w:name="_Ref4709233"/>
    </w:p>
    <w:p w14:paraId="1BF57C4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承包人因执行暂停工作通知而造成费用的增加和（或）工期延误由发包人承担，并有权要求发包人支付合理利润，但</w:t>
      </w:r>
      <w:bookmarkEnd w:id="869"/>
      <w:r>
        <w:rPr>
          <w:rFonts w:hint="eastAsia" w:ascii="宋体" w:hAnsi="宋体" w:eastAsia="宋体" w:cs="宋体"/>
          <w:color w:val="000000" w:themeColor="text1"/>
          <w:highlight w:val="none"/>
          <w14:textFill>
            <w14:solidFill>
              <w14:schemeClr w14:val="tx1"/>
            </w14:solidFill>
          </w14:textFill>
        </w:rPr>
        <w:t>由于承包人原因造成发包人暂停工作的除外。</w:t>
      </w:r>
    </w:p>
    <w:p w14:paraId="37C4D1B2">
      <w:pPr>
        <w:bidi w:val="0"/>
        <w:rPr>
          <w:rFonts w:hint="eastAsia" w:ascii="宋体" w:hAnsi="宋体" w:eastAsia="宋体" w:cs="宋体"/>
          <w:color w:val="000000" w:themeColor="text1"/>
          <w:highlight w:val="none"/>
          <w14:textFill>
            <w14:solidFill>
              <w14:schemeClr w14:val="tx1"/>
            </w14:solidFill>
          </w14:textFill>
        </w:rPr>
      </w:pPr>
      <w:bookmarkStart w:id="870" w:name="_Ref18972173"/>
      <w:r>
        <w:rPr>
          <w:rFonts w:hint="eastAsia" w:ascii="宋体" w:hAnsi="宋体" w:eastAsia="宋体" w:cs="宋体"/>
          <w:color w:val="000000" w:themeColor="text1"/>
          <w:highlight w:val="none"/>
          <w14:textFill>
            <w14:solidFill>
              <w14:schemeClr w14:val="tx1"/>
            </w14:solidFill>
          </w14:textFill>
        </w:rPr>
        <w:t>8.9.2 由承包人暂停工作</w:t>
      </w:r>
      <w:bookmarkEnd w:id="870"/>
      <w:r>
        <w:rPr>
          <w:rFonts w:hint="eastAsia" w:ascii="宋体" w:hAnsi="宋体" w:eastAsia="宋体" w:cs="宋体"/>
          <w:color w:val="000000" w:themeColor="text1"/>
          <w:highlight w:val="none"/>
          <w14:textFill>
            <w14:solidFill>
              <w14:schemeClr w14:val="tx1"/>
            </w14:solidFill>
          </w14:textFill>
        </w:rPr>
        <w:t xml:space="preserve"> </w:t>
      </w:r>
    </w:p>
    <w:p w14:paraId="6D6D156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2605AA6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0A2E17A5">
      <w:pPr>
        <w:bidi w:val="0"/>
        <w:rPr>
          <w:rFonts w:hint="eastAsia" w:ascii="宋体" w:hAnsi="宋体" w:eastAsia="宋体" w:cs="宋体"/>
          <w:color w:val="000000" w:themeColor="text1"/>
          <w:highlight w:val="none"/>
          <w14:textFill>
            <w14:solidFill>
              <w14:schemeClr w14:val="tx1"/>
            </w14:solidFill>
          </w14:textFill>
        </w:rPr>
      </w:pPr>
      <w:bookmarkStart w:id="871" w:name="_Ref4709224"/>
      <w:r>
        <w:rPr>
          <w:rFonts w:hint="eastAsia" w:ascii="宋体" w:hAnsi="宋体" w:eastAsia="宋体" w:cs="宋体"/>
          <w:color w:val="000000" w:themeColor="text1"/>
          <w:highlight w:val="none"/>
          <w14:textFill>
            <w14:solidFill>
              <w14:schemeClr w14:val="tx1"/>
            </w14:solidFill>
          </w14:textFill>
        </w:rPr>
        <w:t>（1） 发包人拖延、拒绝批准付款申请和支付证书，或未能按合同约定支付价款，导致付款延误的；</w:t>
      </w:r>
      <w:bookmarkEnd w:id="871"/>
    </w:p>
    <w:p w14:paraId="37D9B65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发包人未按约定履行合同其他义务导致承包人无法继续履行合同的，或者发包人明确表示暂停或实质上已暂停履行合同的。</w:t>
      </w:r>
    </w:p>
    <w:p w14:paraId="73EAEE1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8.9.3 除上述原因以外的暂停工作，双方应遵守第17条[不可抗力]的相关约定。</w:t>
      </w:r>
    </w:p>
    <w:p w14:paraId="3CF288E3">
      <w:pPr>
        <w:bidi w:val="0"/>
        <w:rPr>
          <w:rFonts w:hint="eastAsia" w:ascii="宋体" w:hAnsi="宋体" w:eastAsia="宋体" w:cs="宋体"/>
          <w:color w:val="000000" w:themeColor="text1"/>
          <w:highlight w:val="none"/>
          <w14:textFill>
            <w14:solidFill>
              <w14:schemeClr w14:val="tx1"/>
            </w14:solidFill>
          </w14:textFill>
        </w:rPr>
      </w:pPr>
      <w:bookmarkStart w:id="872" w:name="_Ref4709158"/>
      <w:r>
        <w:rPr>
          <w:rFonts w:hint="eastAsia" w:ascii="宋体" w:hAnsi="宋体" w:eastAsia="宋体" w:cs="宋体"/>
          <w:color w:val="000000" w:themeColor="text1"/>
          <w:highlight w:val="none"/>
          <w14:textFill>
            <w14:solidFill>
              <w14:schemeClr w14:val="tx1"/>
            </w14:solidFill>
          </w14:textFill>
        </w:rPr>
        <w:t>8.9.4 暂停工作期间的工程照管</w:t>
      </w:r>
      <w:bookmarkEnd w:id="872"/>
      <w:r>
        <w:rPr>
          <w:rFonts w:hint="eastAsia" w:ascii="宋体" w:hAnsi="宋体" w:eastAsia="宋体" w:cs="宋体"/>
          <w:color w:val="000000" w:themeColor="text1"/>
          <w:highlight w:val="none"/>
          <w14:textFill>
            <w14:solidFill>
              <w14:schemeClr w14:val="tx1"/>
            </w14:solidFill>
          </w14:textFill>
        </w:rPr>
        <w:t xml:space="preserve"> </w:t>
      </w:r>
    </w:p>
    <w:p w14:paraId="69A9672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6C9E30D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因承包人未能尽到照管、保护的责任造成损失的，使发包人的费用增加，（或）竣工日期延误的，由承包人按本合同约定承担责任。</w:t>
      </w:r>
    </w:p>
    <w:p w14:paraId="5E1F16A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8.9.5 拖长的暂停</w:t>
      </w:r>
    </w:p>
    <w:p w14:paraId="0789CCB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5284C0C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73" w:name="_Toc54862257"/>
      <w:r>
        <w:rPr>
          <w:rFonts w:hint="eastAsia" w:ascii="宋体" w:hAnsi="宋体" w:eastAsia="宋体" w:cs="宋体"/>
          <w:color w:val="000000" w:themeColor="text1"/>
          <w:highlight w:val="none"/>
          <w:lang w:val="zh-CN" w:eastAsia="zh-CN"/>
          <w14:textFill>
            <w14:solidFill>
              <w14:schemeClr w14:val="tx1"/>
            </w14:solidFill>
          </w14:textFill>
        </w:rPr>
        <w:t>8.10 复工</w:t>
      </w:r>
      <w:bookmarkEnd w:id="873"/>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2201526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8.10.1 收到发包人的复工通知后，承包人应按通知时间复工；发包人通知的复工时间应当给予承包人必要的准备复工时间。</w:t>
      </w:r>
    </w:p>
    <w:p w14:paraId="48B31F4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8.10.2 不论由于何种原因引起暂停工作，双方均可要求对方一同对受暂停影响的工程、工程设备和工程物资进行检查，承包人应将检查结果及需要恢复、修复的内容和估算通知发包人。</w:t>
      </w:r>
    </w:p>
    <w:p w14:paraId="3A25C9E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8.10.3 除第17条[不可抗力]另有约定外，发生的恢复、修复价款及工期延误的后果由责任方承担。</w:t>
      </w:r>
    </w:p>
    <w:p w14:paraId="2EDF5507">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874" w:name="_Toc54862258"/>
      <w:bookmarkStart w:id="875" w:name="_Ref4621041"/>
      <w:bookmarkStart w:id="876" w:name="_Toc16535"/>
      <w:bookmarkStart w:id="877" w:name="_Toc8043"/>
      <w:bookmarkStart w:id="878" w:name="_Toc816"/>
      <w:bookmarkStart w:id="879" w:name="_Ref4621029"/>
      <w:r>
        <w:rPr>
          <w:rFonts w:hint="eastAsia" w:ascii="宋体" w:hAnsi="宋体" w:eastAsia="宋体" w:cs="宋体"/>
          <w:color w:val="000000" w:themeColor="text1"/>
          <w:highlight w:val="none"/>
          <w:lang w:val="zh-CN" w:eastAsia="zh-CN"/>
          <w14:textFill>
            <w14:solidFill>
              <w14:schemeClr w14:val="tx1"/>
            </w14:solidFill>
          </w14:textFill>
        </w:rPr>
        <w:t>第9条 竣工试验</w:t>
      </w:r>
      <w:bookmarkEnd w:id="802"/>
      <w:bookmarkEnd w:id="874"/>
      <w:bookmarkEnd w:id="875"/>
      <w:bookmarkEnd w:id="876"/>
      <w:bookmarkEnd w:id="877"/>
      <w:bookmarkEnd w:id="878"/>
      <w:bookmarkEnd w:id="879"/>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5859AD12">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80" w:name="_Toc54862259"/>
      <w:bookmarkStart w:id="881" w:name="_Ref532586248"/>
      <w:bookmarkStart w:id="882" w:name="_Ref532586251"/>
      <w:r>
        <w:rPr>
          <w:rFonts w:hint="eastAsia" w:ascii="宋体" w:hAnsi="宋体" w:eastAsia="宋体" w:cs="宋体"/>
          <w:color w:val="000000" w:themeColor="text1"/>
          <w:highlight w:val="none"/>
          <w:lang w:val="zh-CN" w:eastAsia="zh-CN"/>
          <w14:textFill>
            <w14:solidFill>
              <w14:schemeClr w14:val="tx1"/>
            </w14:solidFill>
          </w14:textFill>
        </w:rPr>
        <w:t>9.1 竣工试验的义务</w:t>
      </w:r>
      <w:bookmarkEnd w:id="880"/>
      <w:bookmarkEnd w:id="881"/>
      <w:bookmarkEnd w:id="882"/>
    </w:p>
    <w:p w14:paraId="698288C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9.1.1 承包人完成工程或区段工程进行竣工试验所需的作业，并根据第5.4款[竣工文件]和第5.5款[操作和维修手册]提交文件后，进行竣工试验。</w:t>
      </w:r>
      <w:bookmarkStart w:id="883" w:name="_Ref532586608"/>
    </w:p>
    <w:p w14:paraId="65CE4A39">
      <w:pPr>
        <w:bidi w:val="0"/>
        <w:rPr>
          <w:rFonts w:hint="eastAsia" w:ascii="宋体" w:hAnsi="宋体" w:eastAsia="宋体" w:cs="宋体"/>
          <w:color w:val="000000" w:themeColor="text1"/>
          <w:highlight w:val="none"/>
          <w14:textFill>
            <w14:solidFill>
              <w14:schemeClr w14:val="tx1"/>
            </w14:solidFill>
          </w14:textFill>
        </w:rPr>
      </w:pPr>
      <w:bookmarkStart w:id="884" w:name="_Ref11919920"/>
      <w:r>
        <w:rPr>
          <w:rFonts w:hint="eastAsia" w:ascii="宋体" w:hAnsi="宋体" w:eastAsia="宋体" w:cs="宋体"/>
          <w:color w:val="000000" w:themeColor="text1"/>
          <w:highlight w:val="none"/>
          <w14:textFill>
            <w14:solidFill>
              <w14:schemeClr w14:val="tx1"/>
            </w14:solidFill>
          </w14:textFill>
        </w:rPr>
        <w:t>9.1.2 承包人应在进行竣工试验之前，至少提前42天向工程师提交详细的竣工试验计划，该计划应载明竣工试验的内容、地点、拟开展时间和需要发包人提供的资源条件。</w:t>
      </w:r>
      <w:bookmarkEnd w:id="883"/>
      <w:r>
        <w:rPr>
          <w:rFonts w:hint="eastAsia" w:ascii="宋体" w:hAnsi="宋体" w:eastAsia="宋体" w:cs="宋体"/>
          <w:color w:val="000000" w:themeColor="text1"/>
          <w:highlight w:val="none"/>
          <w14:textFill>
            <w14:solidFill>
              <w14:schemeClr w14:val="tx1"/>
            </w14:solidFill>
          </w14:textFill>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884"/>
    </w:p>
    <w:p w14:paraId="53EB3B16">
      <w:pPr>
        <w:bidi w:val="0"/>
        <w:rPr>
          <w:rFonts w:hint="eastAsia" w:ascii="宋体" w:hAnsi="宋体" w:eastAsia="宋体" w:cs="宋体"/>
          <w:color w:val="000000" w:themeColor="text1"/>
          <w:highlight w:val="none"/>
          <w14:textFill>
            <w14:solidFill>
              <w14:schemeClr w14:val="tx1"/>
            </w14:solidFill>
          </w14:textFill>
        </w:rPr>
      </w:pPr>
      <w:bookmarkStart w:id="885" w:name="_Ref532688147"/>
      <w:r>
        <w:rPr>
          <w:rFonts w:hint="eastAsia" w:ascii="宋体" w:hAnsi="宋体" w:eastAsia="宋体" w:cs="宋体"/>
          <w:color w:val="000000" w:themeColor="text1"/>
          <w:highlight w:val="none"/>
          <w14:textFill>
            <w14:solidFill>
              <w14:schemeClr w14:val="tx1"/>
            </w14:solidFill>
          </w14:textFill>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bookmarkEnd w:id="885"/>
    </w:p>
    <w:p w14:paraId="053A904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承包人进行启动前试验，包括适当的检查和功能性试验，以证明工程或区段工程的每一部分均能够安全地承受下一阶段试验；</w:t>
      </w:r>
    </w:p>
    <w:p w14:paraId="3CC0746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承包人进行启动试验，以证明工程或区段工程能够在所有可利用的操作条件下安全运行，并按照专用合同条件和《发包人要求》中的规定操作；</w:t>
      </w:r>
    </w:p>
    <w:p w14:paraId="660A5AA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承包人进行试运行试验。当工程或区段工程能稳定安全运行时，承包人应通知工程师，可以进行其他竣工试验，包括各种性能测试，以证明工程或区段工程符合《发包人要求》中列明的性能保证指标。</w:t>
      </w:r>
    </w:p>
    <w:p w14:paraId="20A0DA3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进行上述试验不应构成第10条[验收和工程接收]规定的接收，但试验所产生的任何产品或其他收益均应归属于发包人。</w:t>
      </w:r>
    </w:p>
    <w:p w14:paraId="34DD0AC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6C9AC354">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86" w:name="_Toc54862260"/>
      <w:r>
        <w:rPr>
          <w:rFonts w:hint="eastAsia" w:ascii="宋体" w:hAnsi="宋体" w:eastAsia="宋体" w:cs="宋体"/>
          <w:color w:val="000000" w:themeColor="text1"/>
          <w:highlight w:val="none"/>
          <w:lang w:val="zh-CN" w:eastAsia="zh-CN"/>
          <w14:textFill>
            <w14:solidFill>
              <w14:schemeClr w14:val="tx1"/>
            </w14:solidFill>
          </w14:textFill>
        </w:rPr>
        <w:t>9.2 延误的试验</w:t>
      </w:r>
      <w:bookmarkEnd w:id="886"/>
    </w:p>
    <w:p w14:paraId="2C3C1D6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2AF659D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9.2.2 承包人无正当理由延误进行竣工试验的，工程师可向其发出通知，要求其在收到通知后的21天内进行该项竣工试验。承包人应在该21天的期限内确定进行试验的日期，并至少提前7天通知工程师。</w:t>
      </w:r>
    </w:p>
    <w:p w14:paraId="5748E1F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9.2.3 如果承包人未在该期限内进行竣工试验，则发包人有权自行组织该项竣工试验，由此产生的合理费用由承包人承担。发包人应在试验完成后28天内向承包人发送试验结果。</w:t>
      </w:r>
    </w:p>
    <w:p w14:paraId="24E925BC">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87" w:name="_Ref532594592"/>
      <w:bookmarkStart w:id="888" w:name="_Ref532594588"/>
      <w:bookmarkStart w:id="889" w:name="_Toc54862261"/>
      <w:r>
        <w:rPr>
          <w:rFonts w:hint="eastAsia" w:ascii="宋体" w:hAnsi="宋体" w:eastAsia="宋体" w:cs="宋体"/>
          <w:color w:val="000000" w:themeColor="text1"/>
          <w:highlight w:val="none"/>
          <w:lang w:val="zh-CN" w:eastAsia="zh-CN"/>
          <w14:textFill>
            <w14:solidFill>
              <w14:schemeClr w14:val="tx1"/>
            </w14:solidFill>
          </w14:textFill>
        </w:rPr>
        <w:t>9.3 重新试验</w:t>
      </w:r>
      <w:bookmarkEnd w:id="887"/>
      <w:bookmarkEnd w:id="888"/>
      <w:bookmarkEnd w:id="889"/>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43BF72A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3B01EBDE">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890" w:name="_Ref532688226"/>
      <w:bookmarkStart w:id="891" w:name="_Toc54862262"/>
      <w:bookmarkStart w:id="892" w:name="_Ref532688221"/>
      <w:r>
        <w:rPr>
          <w:rFonts w:hint="eastAsia" w:ascii="宋体" w:hAnsi="宋体" w:eastAsia="宋体" w:cs="宋体"/>
          <w:color w:val="000000" w:themeColor="text1"/>
          <w:highlight w:val="none"/>
          <w:lang w:val="zh-CN" w:eastAsia="zh-CN"/>
          <w14:textFill>
            <w14:solidFill>
              <w14:schemeClr w14:val="tx1"/>
            </w14:solidFill>
          </w14:textFill>
        </w:rPr>
        <w:t>9.4 未能通过竣工试验</w:t>
      </w:r>
      <w:bookmarkEnd w:id="890"/>
      <w:bookmarkEnd w:id="891"/>
      <w:bookmarkEnd w:id="892"/>
    </w:p>
    <w:p w14:paraId="71914C8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9.4.1 因发包人原因导致竣工试验未能通过的，承包人进行竣工试验的费用由发包人承担，竣工日期相应顺延。</w:t>
      </w:r>
    </w:p>
    <w:p w14:paraId="08E96E8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9.4.2 如果工程或区段工程未能通过根据第9.3款[重新试验]重新进行的竣工试验的，则：</w:t>
      </w:r>
    </w:p>
    <w:p w14:paraId="05882BD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发包人有权要求承包人根据第6.6款[缺陷和修补]继续进行修补和改正，并根据第9.3款[重新试验]再次进行竣工试验；</w:t>
      </w:r>
    </w:p>
    <w:p w14:paraId="7C58B77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2F5288EA">
      <w:pPr>
        <w:bidi w:val="0"/>
        <w:rPr>
          <w:rFonts w:hint="eastAsia" w:ascii="宋体" w:hAnsi="宋体" w:eastAsia="宋体" w:cs="宋体"/>
          <w:color w:val="000000" w:themeColor="text1"/>
          <w:highlight w:val="none"/>
          <w14:textFill>
            <w14:solidFill>
              <w14:schemeClr w14:val="tx1"/>
            </w14:solidFill>
          </w14:textFill>
        </w:rPr>
      </w:pPr>
      <w:bookmarkStart w:id="893" w:name="_Ref4621461"/>
      <w:r>
        <w:rPr>
          <w:rFonts w:hint="eastAsia" w:ascii="宋体" w:hAnsi="宋体" w:eastAsia="宋体" w:cs="宋体"/>
          <w:color w:val="000000" w:themeColor="text1"/>
          <w:highlight w:val="none"/>
          <w14:textFill>
            <w14:solidFill>
              <w14:schemeClr w14:val="tx1"/>
            </w14:solidFill>
          </w14:textFill>
        </w:rPr>
        <w:t>（3） 未能通过竣工试验，使工程或区段工程的任何主要部分丧失了生产、使用功能时，发包人有权指令承包人更换相关部分，承包人应承担因此增加的费用和误期损害赔偿责任，并赔偿发包人的相应损失</w:t>
      </w:r>
      <w:bookmarkEnd w:id="893"/>
      <w:r>
        <w:rPr>
          <w:rFonts w:hint="eastAsia" w:ascii="宋体" w:hAnsi="宋体" w:eastAsia="宋体" w:cs="宋体"/>
          <w:color w:val="000000" w:themeColor="text1"/>
          <w:highlight w:val="none"/>
          <w14:textFill>
            <w14:solidFill>
              <w14:schemeClr w14:val="tx1"/>
            </w14:solidFill>
          </w14:textFill>
        </w:rPr>
        <w:t>；</w:t>
      </w:r>
    </w:p>
    <w:p w14:paraId="74786DD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43BE8A5E">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894" w:name="_Toc54862263"/>
      <w:bookmarkStart w:id="895" w:name="_Ref4618338"/>
      <w:bookmarkStart w:id="896" w:name="_Toc21684"/>
      <w:bookmarkStart w:id="897" w:name="_Toc8326"/>
      <w:bookmarkStart w:id="898" w:name="_Ref4624043"/>
      <w:bookmarkStart w:id="899" w:name="_Ref4618348"/>
      <w:bookmarkStart w:id="900" w:name="_Toc27739"/>
      <w:r>
        <w:rPr>
          <w:rFonts w:hint="eastAsia" w:ascii="宋体" w:hAnsi="宋体" w:eastAsia="宋体" w:cs="宋体"/>
          <w:color w:val="000000" w:themeColor="text1"/>
          <w:highlight w:val="none"/>
          <w:lang w:val="zh-CN" w:eastAsia="zh-CN"/>
          <w14:textFill>
            <w14:solidFill>
              <w14:schemeClr w14:val="tx1"/>
            </w14:solidFill>
          </w14:textFill>
        </w:rPr>
        <w:t>第10条 验收和工程接收</w:t>
      </w:r>
      <w:bookmarkEnd w:id="894"/>
      <w:bookmarkEnd w:id="895"/>
      <w:bookmarkEnd w:id="896"/>
      <w:bookmarkEnd w:id="897"/>
      <w:bookmarkEnd w:id="898"/>
      <w:bookmarkEnd w:id="899"/>
      <w:bookmarkEnd w:id="900"/>
    </w:p>
    <w:p w14:paraId="4EF1BC84">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01" w:name="_Ref532359143"/>
      <w:bookmarkStart w:id="902" w:name="_Ref532301199"/>
      <w:bookmarkStart w:id="903" w:name="_Toc54862264"/>
      <w:bookmarkStart w:id="904" w:name="_Ref532300801"/>
      <w:bookmarkStart w:id="905" w:name="_Ref532301202"/>
      <w:bookmarkStart w:id="906" w:name="_Ref532359152"/>
      <w:bookmarkStart w:id="907" w:name="_Ref532300804"/>
      <w:r>
        <w:rPr>
          <w:rFonts w:hint="eastAsia" w:ascii="宋体" w:hAnsi="宋体" w:eastAsia="宋体" w:cs="宋体"/>
          <w:color w:val="000000" w:themeColor="text1"/>
          <w:highlight w:val="none"/>
          <w:lang w:val="zh-CN" w:eastAsia="zh-CN"/>
          <w14:textFill>
            <w14:solidFill>
              <w14:schemeClr w14:val="tx1"/>
            </w14:solidFill>
          </w14:textFill>
        </w:rPr>
        <w:t>10.1 竣工验收</w:t>
      </w:r>
      <w:bookmarkEnd w:id="901"/>
      <w:bookmarkEnd w:id="902"/>
      <w:bookmarkEnd w:id="903"/>
      <w:bookmarkEnd w:id="904"/>
      <w:bookmarkEnd w:id="905"/>
      <w:bookmarkEnd w:id="906"/>
      <w:bookmarkEnd w:id="907"/>
    </w:p>
    <w:p w14:paraId="5BA2B543">
      <w:pPr>
        <w:bidi w:val="0"/>
        <w:rPr>
          <w:rFonts w:hint="eastAsia" w:ascii="宋体" w:hAnsi="宋体" w:eastAsia="宋体" w:cs="宋体"/>
          <w:color w:val="000000" w:themeColor="text1"/>
          <w:highlight w:val="none"/>
          <w14:textFill>
            <w14:solidFill>
              <w14:schemeClr w14:val="tx1"/>
            </w14:solidFill>
          </w14:textFill>
        </w:rPr>
      </w:pPr>
      <w:bookmarkStart w:id="908" w:name="_Ref532628356"/>
      <w:r>
        <w:rPr>
          <w:rFonts w:hint="eastAsia" w:ascii="宋体" w:hAnsi="宋体" w:eastAsia="宋体" w:cs="宋体"/>
          <w:color w:val="000000" w:themeColor="text1"/>
          <w:highlight w:val="none"/>
          <w14:textFill>
            <w14:solidFill>
              <w14:schemeClr w14:val="tx1"/>
            </w14:solidFill>
          </w14:textFill>
        </w:rPr>
        <w:t>10.1.1 竣工验收条件</w:t>
      </w:r>
    </w:p>
    <w:p w14:paraId="37A0AEF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工程具备以下条件的，承包人可以申请竣工验收：</w:t>
      </w:r>
    </w:p>
    <w:p w14:paraId="7C0CA5F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21A8895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已按合同约定编制了扫尾工作和缺陷修补工作清单以及相应实施计划；</w:t>
      </w:r>
    </w:p>
    <w:p w14:paraId="7156DF0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已按合同约定的内容和份数备齐竣工资料；</w:t>
      </w:r>
    </w:p>
    <w:p w14:paraId="407A73F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合同约定要求在竣工验收前应完成的其他工作。</w:t>
      </w:r>
    </w:p>
    <w:bookmarkEnd w:id="908"/>
    <w:p w14:paraId="2A5A628E">
      <w:pPr>
        <w:bidi w:val="0"/>
        <w:rPr>
          <w:rFonts w:hint="eastAsia" w:ascii="宋体" w:hAnsi="宋体" w:eastAsia="宋体" w:cs="宋体"/>
          <w:color w:val="000000" w:themeColor="text1"/>
          <w:highlight w:val="none"/>
          <w14:textFill>
            <w14:solidFill>
              <w14:schemeClr w14:val="tx1"/>
            </w14:solidFill>
          </w14:textFill>
        </w:rPr>
      </w:pPr>
      <w:bookmarkStart w:id="909" w:name="_Ref4429424"/>
      <w:bookmarkStart w:id="910" w:name="_Hlk51506601"/>
      <w:r>
        <w:rPr>
          <w:rFonts w:hint="eastAsia" w:ascii="宋体" w:hAnsi="宋体" w:eastAsia="宋体" w:cs="宋体"/>
          <w:color w:val="000000" w:themeColor="text1"/>
          <w:highlight w:val="none"/>
          <w14:textFill>
            <w14:solidFill>
              <w14:schemeClr w14:val="tx1"/>
            </w14:solidFill>
          </w14:textFill>
        </w:rPr>
        <w:t>10.1.2 竣工验收程序</w:t>
      </w:r>
      <w:bookmarkEnd w:id="909"/>
    </w:p>
    <w:bookmarkEnd w:id="910"/>
    <w:p w14:paraId="1C1337E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除专用合同条件另有约定外，承包人申请竣工验收的，应当按照以下程序进行：</w:t>
      </w:r>
    </w:p>
    <w:p w14:paraId="684A14D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61BAE60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73BCDE8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5E1560C">
      <w:pPr>
        <w:bidi w:val="0"/>
        <w:rPr>
          <w:rFonts w:hint="eastAsia" w:ascii="宋体" w:hAnsi="宋体" w:eastAsia="宋体" w:cs="宋体"/>
          <w:color w:val="000000" w:themeColor="text1"/>
          <w:highlight w:val="none"/>
          <w14:textFill>
            <w14:solidFill>
              <w14:schemeClr w14:val="tx1"/>
            </w14:solidFill>
          </w14:textFill>
        </w:rPr>
      </w:pPr>
      <w:bookmarkStart w:id="911" w:name="_Hlk51506640"/>
      <w:r>
        <w:rPr>
          <w:rFonts w:hint="eastAsia" w:ascii="宋体" w:hAnsi="宋体" w:eastAsia="宋体" w:cs="宋体"/>
          <w:color w:val="000000" w:themeColor="text1"/>
          <w:highlight w:val="none"/>
          <w14:textFill>
            <w14:solidFill>
              <w14:schemeClr w14:val="tx1"/>
            </w14:solidFill>
          </w14:textFill>
        </w:rPr>
        <w:t>（4） 因发包人原因，未在工程师收到承包人竣工验收申请报告之日起42天内完成竣工验收的，以承包人提交竣工验收申请报告之日作为工程实际竣工日期。</w:t>
      </w:r>
    </w:p>
    <w:bookmarkEnd w:id="911"/>
    <w:p w14:paraId="2691C58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工程未经竣工验收，发包人擅自使用的，以转移占有工程之日为实际竣工日期。</w:t>
      </w:r>
    </w:p>
    <w:p w14:paraId="09BBCB4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除专用合同条件另有约定外，发包人不按照本项和第10.4款[接收证书]约定组织竣工验收、颁发工程接收证书的，每逾期一天，应以签约合同价为基数，按照贷款市场报价利率（LPR）支付违约金。</w:t>
      </w:r>
    </w:p>
    <w:p w14:paraId="3C4E4017">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12" w:name="_Ref532301213"/>
      <w:bookmarkStart w:id="913" w:name="_Ref532301210"/>
      <w:bookmarkStart w:id="914" w:name="_Toc54862265"/>
      <w:r>
        <w:rPr>
          <w:rFonts w:hint="eastAsia" w:ascii="宋体" w:hAnsi="宋体" w:eastAsia="宋体" w:cs="宋体"/>
          <w:color w:val="000000" w:themeColor="text1"/>
          <w:highlight w:val="none"/>
          <w:lang w:val="zh-CN" w:eastAsia="zh-CN"/>
          <w14:textFill>
            <w14:solidFill>
              <w14:schemeClr w14:val="tx1"/>
            </w14:solidFill>
          </w14:textFill>
        </w:rPr>
        <w:t>10.2 单位/区段工程的验收</w:t>
      </w:r>
      <w:bookmarkEnd w:id="912"/>
      <w:bookmarkEnd w:id="913"/>
      <w:bookmarkEnd w:id="914"/>
    </w:p>
    <w:p w14:paraId="1E8DD36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34F3559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10.2.2 发包人在全部工程竣工前，使用已接收的单位/区段工程导致承包人费用增加的，发包人应承担由此增加的费用和（或）工期延误，并支付承包人合理利润。</w:t>
      </w:r>
    </w:p>
    <w:p w14:paraId="265113E1">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15" w:name="_Toc54862266"/>
      <w:bookmarkStart w:id="916" w:name="_Ref4429473"/>
      <w:bookmarkStart w:id="917" w:name="_Ref532688351"/>
      <w:bookmarkStart w:id="918" w:name="_Ref532688354"/>
      <w:r>
        <w:rPr>
          <w:rFonts w:hint="eastAsia" w:ascii="宋体" w:hAnsi="宋体" w:eastAsia="宋体" w:cs="宋体"/>
          <w:color w:val="000000" w:themeColor="text1"/>
          <w:highlight w:val="none"/>
          <w:lang w:val="zh-CN" w:eastAsia="zh-CN"/>
          <w14:textFill>
            <w14:solidFill>
              <w14:schemeClr w14:val="tx1"/>
            </w14:solidFill>
          </w14:textFill>
        </w:rPr>
        <w:t>10.3 工程的接收</w:t>
      </w:r>
      <w:bookmarkEnd w:id="915"/>
    </w:p>
    <w:p w14:paraId="2A0B768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10.3.1 根据工程项目的具体情况和特点，可按工程或单位/区段工程进行接收，并在专用合同条件约定接收的先后顺序、时间安排和其他要求。</w:t>
      </w:r>
    </w:p>
    <w:p w14:paraId="178C8C4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10.3.2 除按本条约定已经提交的资料外，接收工程时承包人需提交竣工验收资料的类别、内容、份数和提交时间，在专用合同条件中约定。</w:t>
      </w:r>
    </w:p>
    <w:p w14:paraId="43B1DDA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0C442F5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10.3.4 承包人无正当理由不移交工程的，承包人应承担工程照管、成品保护、保管等与工程有关的各项费用，合同当事人可以在专用合同条件中另行约定承包人无正当理由不移交工程的违约责任。</w:t>
      </w:r>
    </w:p>
    <w:p w14:paraId="490F201F">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19" w:name="_Toc54862267"/>
      <w:r>
        <w:rPr>
          <w:rFonts w:hint="eastAsia" w:ascii="宋体" w:hAnsi="宋体" w:eastAsia="宋体" w:cs="宋体"/>
          <w:color w:val="000000" w:themeColor="text1"/>
          <w:highlight w:val="none"/>
          <w:lang w:val="zh-CN" w:eastAsia="zh-CN"/>
          <w14:textFill>
            <w14:solidFill>
              <w14:schemeClr w14:val="tx1"/>
            </w14:solidFill>
          </w14:textFill>
        </w:rPr>
        <w:t>10.4 接收证书</w:t>
      </w:r>
      <w:bookmarkEnd w:id="916"/>
      <w:bookmarkEnd w:id="919"/>
    </w:p>
    <w:p w14:paraId="0AE83455">
      <w:pPr>
        <w:bidi w:val="0"/>
        <w:rPr>
          <w:rFonts w:hint="eastAsia" w:ascii="宋体" w:hAnsi="宋体" w:eastAsia="宋体" w:cs="宋体"/>
          <w:color w:val="000000" w:themeColor="text1"/>
          <w:highlight w:val="none"/>
          <w14:textFill>
            <w14:solidFill>
              <w14:schemeClr w14:val="tx1"/>
            </w14:solidFill>
          </w14:textFill>
        </w:rPr>
      </w:pPr>
      <w:bookmarkStart w:id="920" w:name="_Ref4429542"/>
      <w:r>
        <w:rPr>
          <w:rFonts w:hint="eastAsia" w:ascii="宋体" w:hAnsi="宋体" w:eastAsia="宋体" w:cs="宋体"/>
          <w:color w:val="000000" w:themeColor="text1"/>
          <w:highlight w:val="none"/>
          <w14:textFill>
            <w14:solidFill>
              <w14:schemeClr w14:val="tx1"/>
            </w14:solidFill>
          </w14:textFill>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920"/>
    </w:p>
    <w:p w14:paraId="0AD7E3B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1A75EC5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10.4.3 竣工验收合格而发包人无正当理由逾期不颁发工程接收证书的，自验收合格后第15天起视为已颁发工程接收证书。</w:t>
      </w:r>
    </w:p>
    <w:p w14:paraId="6DAD07B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52F8CBE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10.4.5 存在扫尾工作的，工程接收证书中应当将第14.5.3项[扫尾工作清单]中约定的扫尾工作清单作为工程接收证书附件。</w:t>
      </w:r>
    </w:p>
    <w:bookmarkEnd w:id="917"/>
    <w:bookmarkEnd w:id="918"/>
    <w:p w14:paraId="5856168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21" w:name="_Ref4429932"/>
      <w:bookmarkStart w:id="922" w:name="_Toc54862268"/>
      <w:bookmarkStart w:id="923" w:name="_Ref4429935"/>
      <w:r>
        <w:rPr>
          <w:rFonts w:hint="eastAsia" w:ascii="宋体" w:hAnsi="宋体" w:eastAsia="宋体" w:cs="宋体"/>
          <w:color w:val="000000" w:themeColor="text1"/>
          <w:highlight w:val="none"/>
          <w:lang w:val="zh-CN" w:eastAsia="zh-CN"/>
          <w14:textFill>
            <w14:solidFill>
              <w14:schemeClr w14:val="tx1"/>
            </w14:solidFill>
          </w14:textFill>
        </w:rPr>
        <w:t>10.5 竣工退场</w:t>
      </w:r>
      <w:bookmarkEnd w:id="921"/>
      <w:bookmarkEnd w:id="922"/>
      <w:bookmarkEnd w:id="923"/>
    </w:p>
    <w:p w14:paraId="4AFFA887">
      <w:pPr>
        <w:bidi w:val="0"/>
        <w:rPr>
          <w:rFonts w:hint="eastAsia" w:ascii="宋体" w:hAnsi="宋体" w:eastAsia="宋体" w:cs="宋体"/>
          <w:color w:val="000000" w:themeColor="text1"/>
          <w:highlight w:val="none"/>
          <w14:textFill>
            <w14:solidFill>
              <w14:schemeClr w14:val="tx1"/>
            </w14:solidFill>
          </w14:textFill>
        </w:rPr>
      </w:pPr>
      <w:bookmarkStart w:id="924" w:name="_Ref4429943"/>
      <w:r>
        <w:rPr>
          <w:rFonts w:hint="eastAsia" w:ascii="宋体" w:hAnsi="宋体" w:eastAsia="宋体" w:cs="宋体"/>
          <w:color w:val="000000" w:themeColor="text1"/>
          <w:highlight w:val="none"/>
          <w14:textFill>
            <w14:solidFill>
              <w14:schemeClr w14:val="tx1"/>
            </w14:solidFill>
          </w14:textFill>
        </w:rPr>
        <w:t>10.5.1 竣工退场</w:t>
      </w:r>
      <w:bookmarkEnd w:id="924"/>
    </w:p>
    <w:p w14:paraId="7272E4D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颁发工程接收证书后，承包人应对施工现场进行清理，并撤离相关人员，使得施工现场处于以下状态，直至工程师检验合格为止：</w:t>
      </w:r>
    </w:p>
    <w:p w14:paraId="6593EDA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施工现场内残留的垃圾已全部清除出场；</w:t>
      </w:r>
    </w:p>
    <w:p w14:paraId="212C86A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临时工程已拆除，场地已按合同约定进行清理、平整或复原；</w:t>
      </w:r>
    </w:p>
    <w:p w14:paraId="08EE80B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按合同约定应撤离的人员、承包人提供的施工设备和剩余的材料，包括废弃的施工设备和材料，已按计划撤离施工现场；</w:t>
      </w:r>
    </w:p>
    <w:p w14:paraId="6312D34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施工现场周边及其附近道路、河道的施工堆积物，已全部清理；</w:t>
      </w:r>
    </w:p>
    <w:p w14:paraId="3839625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施工现场其他竣工退场工作已全部完成。</w:t>
      </w:r>
    </w:p>
    <w:p w14:paraId="1D3F35C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359DF8F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10.5.2 地表还原</w:t>
      </w:r>
    </w:p>
    <w:p w14:paraId="4C5E921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承包人应按合同约定和工程师的要求恢复临时占地及清理场地，否则发包人有权委托其他人恢复或清理，所发生的费用由承包人承担。</w:t>
      </w:r>
    </w:p>
    <w:p w14:paraId="0BAF2DBF">
      <w:pPr>
        <w:bidi w:val="0"/>
        <w:rPr>
          <w:rFonts w:hint="eastAsia" w:ascii="宋体" w:hAnsi="宋体" w:eastAsia="宋体" w:cs="宋体"/>
          <w:color w:val="000000" w:themeColor="text1"/>
          <w:highlight w:val="none"/>
          <w14:textFill>
            <w14:solidFill>
              <w14:schemeClr w14:val="tx1"/>
            </w14:solidFill>
          </w14:textFill>
        </w:rPr>
      </w:pPr>
      <w:bookmarkStart w:id="925" w:name="_Ref20159437"/>
      <w:r>
        <w:rPr>
          <w:rFonts w:hint="eastAsia" w:ascii="宋体" w:hAnsi="宋体" w:eastAsia="宋体" w:cs="宋体"/>
          <w:color w:val="000000" w:themeColor="text1"/>
          <w:highlight w:val="none"/>
          <w14:textFill>
            <w14:solidFill>
              <w14:schemeClr w14:val="tx1"/>
            </w14:solidFill>
          </w14:textFill>
        </w:rPr>
        <w:t>10.5.3 人员撤离</w:t>
      </w:r>
      <w:bookmarkEnd w:id="925"/>
    </w:p>
    <w:p w14:paraId="2E3F7B0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803"/>
    </w:p>
    <w:p w14:paraId="7D80FB15">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926" w:name="_Ref531955009"/>
      <w:bookmarkStart w:id="927" w:name="_Toc10999"/>
      <w:bookmarkStart w:id="928" w:name="_Toc4896"/>
      <w:bookmarkStart w:id="929" w:name="_Ref4796909"/>
      <w:bookmarkStart w:id="930" w:name="_Toc15282"/>
      <w:bookmarkStart w:id="931" w:name="_Ref4796906"/>
      <w:bookmarkStart w:id="932" w:name="_Toc54862269"/>
      <w:r>
        <w:rPr>
          <w:rFonts w:hint="eastAsia" w:ascii="宋体" w:hAnsi="宋体" w:eastAsia="宋体" w:cs="宋体"/>
          <w:color w:val="000000" w:themeColor="text1"/>
          <w:highlight w:val="none"/>
          <w:lang w:val="zh-CN" w:eastAsia="zh-CN"/>
          <w14:textFill>
            <w14:solidFill>
              <w14:schemeClr w14:val="tx1"/>
            </w14:solidFill>
          </w14:textFill>
        </w:rPr>
        <w:t>第11条 缺陷责任与保修</w:t>
      </w:r>
      <w:bookmarkEnd w:id="926"/>
      <w:bookmarkEnd w:id="927"/>
      <w:bookmarkEnd w:id="928"/>
      <w:bookmarkEnd w:id="929"/>
      <w:bookmarkEnd w:id="930"/>
      <w:bookmarkEnd w:id="931"/>
      <w:bookmarkEnd w:id="932"/>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621AFC77">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33" w:name="_Toc54862270"/>
      <w:bookmarkStart w:id="934" w:name="_Ref531955248"/>
      <w:bookmarkStart w:id="935" w:name="_Ref531955245"/>
      <w:bookmarkStart w:id="936" w:name="_Ref532362928"/>
      <w:bookmarkStart w:id="937" w:name="_Toc337558841"/>
      <w:bookmarkStart w:id="938" w:name="_Toc296346648"/>
      <w:bookmarkStart w:id="939" w:name="_Toc296503147"/>
      <w:r>
        <w:rPr>
          <w:rFonts w:hint="eastAsia" w:ascii="宋体" w:hAnsi="宋体" w:eastAsia="宋体" w:cs="宋体"/>
          <w:color w:val="000000" w:themeColor="text1"/>
          <w:highlight w:val="none"/>
          <w:lang w:val="zh-CN" w:eastAsia="zh-CN"/>
          <w14:textFill>
            <w14:solidFill>
              <w14:schemeClr w14:val="tx1"/>
            </w14:solidFill>
          </w14:textFill>
        </w:rPr>
        <w:t>11.1 工程保修的原则</w:t>
      </w:r>
      <w:bookmarkEnd w:id="933"/>
    </w:p>
    <w:p w14:paraId="047B94C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1989D9A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40" w:name="_Toc54862271"/>
      <w:bookmarkStart w:id="941" w:name="_Ref4430062"/>
      <w:r>
        <w:rPr>
          <w:rFonts w:hint="eastAsia" w:ascii="宋体" w:hAnsi="宋体" w:eastAsia="宋体" w:cs="宋体"/>
          <w:color w:val="000000" w:themeColor="text1"/>
          <w:highlight w:val="none"/>
          <w:lang w:val="zh-CN" w:eastAsia="zh-CN"/>
          <w14:textFill>
            <w14:solidFill>
              <w14:schemeClr w14:val="tx1"/>
            </w14:solidFill>
          </w14:textFill>
        </w:rPr>
        <w:t>11.2 缺陷责任</w:t>
      </w:r>
      <w:bookmarkEnd w:id="934"/>
      <w:bookmarkEnd w:id="935"/>
      <w:r>
        <w:rPr>
          <w:rFonts w:hint="eastAsia" w:ascii="宋体" w:hAnsi="宋体" w:eastAsia="宋体" w:cs="宋体"/>
          <w:color w:val="000000" w:themeColor="text1"/>
          <w:highlight w:val="none"/>
          <w:lang w:val="zh-CN" w:eastAsia="zh-CN"/>
          <w14:textFill>
            <w14:solidFill>
              <w14:schemeClr w14:val="tx1"/>
            </w14:solidFill>
          </w14:textFill>
        </w:rPr>
        <w:t>期</w:t>
      </w:r>
      <w:bookmarkEnd w:id="936"/>
      <w:bookmarkEnd w:id="940"/>
      <w:bookmarkEnd w:id="941"/>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5586F98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缺陷责任期原则上从工程竣工验收合格之日起计算，合同当事人应在专用合同条件约定缺陷责任期的具体期限，但该期限最长不超过24个月。</w:t>
      </w:r>
    </w:p>
    <w:p w14:paraId="18E2EDF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16F8B8F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5951FE9F">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42" w:name="_Ref532662486"/>
      <w:bookmarkStart w:id="943" w:name="_Ref532662491"/>
      <w:bookmarkStart w:id="944" w:name="_Toc54862272"/>
      <w:r>
        <w:rPr>
          <w:rFonts w:hint="eastAsia" w:ascii="宋体" w:hAnsi="宋体" w:eastAsia="宋体" w:cs="宋体"/>
          <w:color w:val="000000" w:themeColor="text1"/>
          <w:highlight w:val="none"/>
          <w:lang w:val="zh-CN" w:eastAsia="zh-CN"/>
          <w14:textFill>
            <w14:solidFill>
              <w14:schemeClr w14:val="tx1"/>
            </w14:solidFill>
          </w14:textFill>
        </w:rPr>
        <w:t>11.3 缺陷调查</w:t>
      </w:r>
      <w:bookmarkEnd w:id="942"/>
      <w:bookmarkEnd w:id="943"/>
      <w:bookmarkEnd w:id="944"/>
    </w:p>
    <w:p w14:paraId="7F51285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11.3.1 承包人缺陷调查</w:t>
      </w:r>
    </w:p>
    <w:p w14:paraId="5E80D38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2A2D6DF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0F26527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11.3.2 缺陷责任</w:t>
      </w:r>
    </w:p>
    <w:p w14:paraId="7086A73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2007256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11.3.3 修复费用</w:t>
      </w:r>
    </w:p>
    <w:p w14:paraId="33691EF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发包人和承包人应共同查清缺陷或损坏的原因。经查明属承包人原因造成的，应由承包人承担修复的费用。经查验非承包人原因造成的，发包人应承担修复的费用，并支付承包人合理利润。</w:t>
      </w:r>
    </w:p>
    <w:p w14:paraId="116D031E">
      <w:pPr>
        <w:bidi w:val="0"/>
        <w:rPr>
          <w:rFonts w:hint="eastAsia" w:ascii="宋体" w:hAnsi="宋体" w:eastAsia="宋体" w:cs="宋体"/>
          <w:color w:val="000000" w:themeColor="text1"/>
          <w:highlight w:val="none"/>
          <w14:textFill>
            <w14:solidFill>
              <w14:schemeClr w14:val="tx1"/>
            </w14:solidFill>
          </w14:textFill>
        </w:rPr>
      </w:pPr>
      <w:bookmarkStart w:id="945" w:name="_Ref531955041"/>
      <w:r>
        <w:rPr>
          <w:rFonts w:hint="eastAsia" w:ascii="宋体" w:hAnsi="宋体" w:eastAsia="宋体" w:cs="宋体"/>
          <w:color w:val="000000" w:themeColor="text1"/>
          <w:highlight w:val="none"/>
          <w14:textFill>
            <w14:solidFill>
              <w14:schemeClr w14:val="tx1"/>
            </w14:solidFill>
          </w14:textFill>
        </w:rPr>
        <w:t>11.3.4 修复通知</w:t>
      </w:r>
      <w:bookmarkEnd w:id="945"/>
    </w:p>
    <w:p w14:paraId="27C4109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440FE6D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11.3.5 在现场外修复</w:t>
      </w:r>
    </w:p>
    <w:p w14:paraId="68EB8DE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0629161A">
      <w:pPr>
        <w:bidi w:val="0"/>
        <w:rPr>
          <w:rFonts w:hint="eastAsia" w:ascii="宋体" w:hAnsi="宋体" w:eastAsia="宋体" w:cs="宋体"/>
          <w:color w:val="000000" w:themeColor="text1"/>
          <w:highlight w:val="none"/>
          <w14:textFill>
            <w14:solidFill>
              <w14:schemeClr w14:val="tx1"/>
            </w14:solidFill>
          </w14:textFill>
        </w:rPr>
      </w:pPr>
      <w:bookmarkStart w:id="946" w:name="_Ref4534291"/>
      <w:bookmarkStart w:id="947" w:name="_Hlk51506786"/>
      <w:r>
        <w:rPr>
          <w:rFonts w:hint="eastAsia" w:ascii="宋体" w:hAnsi="宋体" w:eastAsia="宋体" w:cs="宋体"/>
          <w:color w:val="000000" w:themeColor="text1"/>
          <w:highlight w:val="none"/>
          <w14:textFill>
            <w14:solidFill>
              <w14:schemeClr w14:val="tx1"/>
            </w14:solidFill>
          </w14:textFill>
        </w:rPr>
        <w:t>11.3.6 未能修复</w:t>
      </w:r>
      <w:bookmarkEnd w:id="946"/>
    </w:p>
    <w:bookmarkEnd w:id="947"/>
    <w:p w14:paraId="00BCE64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3873F2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如果工程或工程设备的缺陷或损害使发包人实质上失去了工程的整体功能，发包人有权向承包人追回已支付的工程款项，并要求其赔偿发包人相应损失。</w:t>
      </w:r>
    </w:p>
    <w:bookmarkEnd w:id="937"/>
    <w:bookmarkEnd w:id="938"/>
    <w:bookmarkEnd w:id="939"/>
    <w:p w14:paraId="03B8DE5A">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48" w:name="_Ref532662554"/>
      <w:bookmarkStart w:id="949" w:name="_Toc54862273"/>
      <w:bookmarkStart w:id="950" w:name="_Ref532662552"/>
      <w:r>
        <w:rPr>
          <w:rFonts w:hint="eastAsia" w:ascii="宋体" w:hAnsi="宋体" w:eastAsia="宋体" w:cs="宋体"/>
          <w:color w:val="000000" w:themeColor="text1"/>
          <w:highlight w:val="none"/>
          <w:lang w:val="zh-CN" w:eastAsia="zh-CN"/>
          <w14:textFill>
            <w14:solidFill>
              <w14:schemeClr w14:val="tx1"/>
            </w14:solidFill>
          </w14:textFill>
        </w:rPr>
        <w:t>11.4 缺陷修复后的进一步试验</w:t>
      </w:r>
      <w:bookmarkEnd w:id="948"/>
      <w:bookmarkEnd w:id="949"/>
      <w:bookmarkEnd w:id="950"/>
    </w:p>
    <w:p w14:paraId="0A69CF4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2B818AA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所有的重复试验应按照适用于先前试验的条款进行，但应由责任方承担修补工作的成本和重新试验的风险和费用。</w:t>
      </w:r>
    </w:p>
    <w:p w14:paraId="46C0BD14">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51" w:name="_Toc54862274"/>
      <w:r>
        <w:rPr>
          <w:rFonts w:hint="eastAsia" w:ascii="宋体" w:hAnsi="宋体" w:eastAsia="宋体" w:cs="宋体"/>
          <w:color w:val="000000" w:themeColor="text1"/>
          <w:highlight w:val="none"/>
          <w:lang w:val="zh-CN" w:eastAsia="zh-CN"/>
          <w14:textFill>
            <w14:solidFill>
              <w14:schemeClr w14:val="tx1"/>
            </w14:solidFill>
          </w14:textFill>
        </w:rPr>
        <w:t>11.5 承包人出入权</w:t>
      </w:r>
      <w:bookmarkEnd w:id="951"/>
    </w:p>
    <w:p w14:paraId="181E9D8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1711F00E">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52" w:name="_Ref4430223"/>
      <w:bookmarkStart w:id="953" w:name="_Ref4430229"/>
      <w:bookmarkStart w:id="954" w:name="_Toc54862275"/>
      <w:r>
        <w:rPr>
          <w:rFonts w:hint="eastAsia" w:ascii="宋体" w:hAnsi="宋体" w:eastAsia="宋体" w:cs="宋体"/>
          <w:color w:val="000000" w:themeColor="text1"/>
          <w:highlight w:val="none"/>
          <w:lang w:val="zh-CN" w:eastAsia="zh-CN"/>
          <w14:textFill>
            <w14:solidFill>
              <w14:schemeClr w14:val="tx1"/>
            </w14:solidFill>
          </w14:textFill>
        </w:rPr>
        <w:t>11.6 缺陷责任期终止证书</w:t>
      </w:r>
      <w:bookmarkEnd w:id="952"/>
      <w:bookmarkEnd w:id="953"/>
      <w:bookmarkEnd w:id="954"/>
    </w:p>
    <w:p w14:paraId="2FB4570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w:t>
      </w:r>
      <w:bookmarkStart w:id="955" w:name="_Hlk4686672"/>
      <w:r>
        <w:rPr>
          <w:rFonts w:hint="eastAsia" w:ascii="宋体" w:hAnsi="宋体" w:eastAsia="宋体" w:cs="宋体"/>
          <w:color w:val="000000" w:themeColor="text1"/>
          <w:highlight w:val="none"/>
          <w14:textFill>
            <w14:solidFill>
              <w14:schemeClr w14:val="tx1"/>
            </w14:solidFill>
          </w14:textFill>
        </w:rPr>
        <w:t>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955"/>
    </w:p>
    <w:p w14:paraId="4E15408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如根据第10.5.3项[人员撤离]承包人在施工现场还留有人员、施工设备和临时工程的，承包人应当在收到缺陷责任期终止证书后28天内，将上述人员、施工设备和临时工程撤离施工现场。</w:t>
      </w:r>
    </w:p>
    <w:p w14:paraId="6293E038">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56" w:name="_Toc54862276"/>
      <w:bookmarkStart w:id="957" w:name="_Ref4430272"/>
      <w:r>
        <w:rPr>
          <w:rFonts w:hint="eastAsia" w:ascii="宋体" w:hAnsi="宋体" w:eastAsia="宋体" w:cs="宋体"/>
          <w:color w:val="000000" w:themeColor="text1"/>
          <w:highlight w:val="none"/>
          <w:lang w:val="zh-CN" w:eastAsia="zh-CN"/>
          <w14:textFill>
            <w14:solidFill>
              <w14:schemeClr w14:val="tx1"/>
            </w14:solidFill>
          </w14:textFill>
        </w:rPr>
        <w:t>11.7 保修责任</w:t>
      </w:r>
      <w:bookmarkEnd w:id="956"/>
      <w:bookmarkEnd w:id="957"/>
    </w:p>
    <w:p w14:paraId="3A18926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因承包人原因导致的质量缺陷责任，由合同当事人根据有关法律规定，在专用合同条件和工程质量保修书中约定工程质量保修范围、期限和责任。</w:t>
      </w:r>
      <w:bookmarkEnd w:id="792"/>
      <w:bookmarkStart w:id="958" w:name="_Ref531957860"/>
      <w:bookmarkStart w:id="959" w:name="_Ref531958289"/>
    </w:p>
    <w:bookmarkEnd w:id="958"/>
    <w:p w14:paraId="6011E693">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960" w:name="_Ref4621057"/>
      <w:bookmarkStart w:id="961" w:name="_Toc3825"/>
      <w:bookmarkStart w:id="962" w:name="_Toc54862277"/>
      <w:bookmarkStart w:id="963" w:name="_Toc26059"/>
      <w:bookmarkStart w:id="964" w:name="_Toc29988"/>
      <w:bookmarkStart w:id="965" w:name="_Ref4621065"/>
      <w:bookmarkStart w:id="966" w:name="_Ref4796958"/>
      <w:bookmarkStart w:id="967" w:name="_Ref4796955"/>
      <w:r>
        <w:rPr>
          <w:rFonts w:hint="eastAsia" w:ascii="宋体" w:hAnsi="宋体" w:eastAsia="宋体" w:cs="宋体"/>
          <w:color w:val="000000" w:themeColor="text1"/>
          <w:highlight w:val="none"/>
          <w:lang w:val="zh-CN" w:eastAsia="zh-CN"/>
          <w14:textFill>
            <w14:solidFill>
              <w14:schemeClr w14:val="tx1"/>
            </w14:solidFill>
          </w14:textFill>
        </w:rPr>
        <w:t>第12条 竣工后试验</w:t>
      </w:r>
      <w:bookmarkEnd w:id="960"/>
      <w:bookmarkEnd w:id="961"/>
      <w:bookmarkEnd w:id="962"/>
      <w:bookmarkEnd w:id="963"/>
      <w:bookmarkEnd w:id="964"/>
      <w:bookmarkEnd w:id="965"/>
    </w:p>
    <w:p w14:paraId="0DDC516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本合同工程包含竣工后试验的，遵守本条约定。</w:t>
      </w:r>
    </w:p>
    <w:p w14:paraId="03B16031">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68" w:name="_Ref531954604"/>
      <w:bookmarkStart w:id="969" w:name="_Ref531954601"/>
      <w:bookmarkStart w:id="970" w:name="_Ref531954694"/>
      <w:bookmarkStart w:id="971" w:name="_Toc54862278"/>
      <w:bookmarkStart w:id="972" w:name="_Hlk522259976"/>
      <w:r>
        <w:rPr>
          <w:rFonts w:hint="eastAsia" w:ascii="宋体" w:hAnsi="宋体" w:eastAsia="宋体" w:cs="宋体"/>
          <w:color w:val="000000" w:themeColor="text1"/>
          <w:highlight w:val="none"/>
          <w:lang w:val="zh-CN" w:eastAsia="zh-CN"/>
          <w14:textFill>
            <w14:solidFill>
              <w14:schemeClr w14:val="tx1"/>
            </w14:solidFill>
          </w14:textFill>
        </w:rPr>
        <w:t>12.1 竣工后试验</w:t>
      </w:r>
      <w:bookmarkEnd w:id="968"/>
      <w:bookmarkEnd w:id="969"/>
      <w:r>
        <w:rPr>
          <w:rFonts w:hint="eastAsia" w:ascii="宋体" w:hAnsi="宋体" w:eastAsia="宋体" w:cs="宋体"/>
          <w:color w:val="000000" w:themeColor="text1"/>
          <w:highlight w:val="none"/>
          <w:lang w:val="zh-CN" w:eastAsia="zh-CN"/>
          <w14:textFill>
            <w14:solidFill>
              <w14:schemeClr w14:val="tx1"/>
            </w14:solidFill>
          </w14:textFill>
        </w:rPr>
        <w:t>的程序</w:t>
      </w:r>
      <w:bookmarkEnd w:id="970"/>
      <w:bookmarkEnd w:id="971"/>
    </w:p>
    <w:p w14:paraId="4C238C40">
      <w:pPr>
        <w:bidi w:val="0"/>
        <w:rPr>
          <w:rFonts w:hint="eastAsia" w:ascii="宋体" w:hAnsi="宋体" w:eastAsia="宋体" w:cs="宋体"/>
          <w:color w:val="000000" w:themeColor="text1"/>
          <w:highlight w:val="none"/>
          <w14:textFill>
            <w14:solidFill>
              <w14:schemeClr w14:val="tx1"/>
            </w14:solidFill>
          </w14:textFill>
        </w:rPr>
      </w:pPr>
      <w:bookmarkStart w:id="973" w:name="_Ref11920184"/>
      <w:r>
        <w:rPr>
          <w:rFonts w:hint="eastAsia" w:ascii="宋体" w:hAnsi="宋体" w:eastAsia="宋体" w:cs="宋体"/>
          <w:color w:val="000000" w:themeColor="text1"/>
          <w:highlight w:val="none"/>
          <w14:textFill>
            <w14:solidFill>
              <w14:schemeClr w14:val="tx1"/>
            </w14:solidFill>
          </w14:textFill>
        </w:rPr>
        <w:t>12.1.1 工程或区段工程被发包人接收后，在合理可行的情况下应根据合同约定尽早进行竣工后试验。</w:t>
      </w:r>
      <w:bookmarkEnd w:id="973"/>
    </w:p>
    <w:p w14:paraId="7650296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58CA8213">
      <w:pPr>
        <w:bidi w:val="0"/>
        <w:rPr>
          <w:rFonts w:hint="eastAsia" w:ascii="宋体" w:hAnsi="宋体" w:eastAsia="宋体" w:cs="宋体"/>
          <w:color w:val="000000" w:themeColor="text1"/>
          <w:highlight w:val="none"/>
          <w14:textFill>
            <w14:solidFill>
              <w14:schemeClr w14:val="tx1"/>
            </w14:solidFill>
          </w14:textFill>
        </w:rPr>
      </w:pPr>
      <w:bookmarkStart w:id="974" w:name="_Ref11920162"/>
      <w:r>
        <w:rPr>
          <w:rFonts w:hint="eastAsia" w:ascii="宋体" w:hAnsi="宋体" w:eastAsia="宋体" w:cs="宋体"/>
          <w:color w:val="000000" w:themeColor="text1"/>
          <w:highlight w:val="none"/>
          <w14:textFill>
            <w14:solidFill>
              <w14:schemeClr w14:val="tx1"/>
            </w14:solidFill>
          </w14:textFill>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974"/>
    </w:p>
    <w:p w14:paraId="4A63D30B">
      <w:pPr>
        <w:bidi w:val="0"/>
        <w:rPr>
          <w:rFonts w:hint="eastAsia" w:ascii="宋体" w:hAnsi="宋体" w:eastAsia="宋体" w:cs="宋体"/>
          <w:color w:val="000000" w:themeColor="text1"/>
          <w:highlight w:val="none"/>
          <w14:textFill>
            <w14:solidFill>
              <w14:schemeClr w14:val="tx1"/>
            </w14:solidFill>
          </w14:textFill>
        </w:rPr>
      </w:pPr>
      <w:bookmarkStart w:id="975" w:name="_Ref11920146"/>
      <w:r>
        <w:rPr>
          <w:rFonts w:hint="eastAsia" w:ascii="宋体" w:hAnsi="宋体" w:eastAsia="宋体" w:cs="宋体"/>
          <w:color w:val="000000" w:themeColor="text1"/>
          <w:highlight w:val="none"/>
          <w14:textFill>
            <w14:solidFill>
              <w14:schemeClr w14:val="tx1"/>
            </w14:solidFill>
          </w14:textFill>
        </w:rPr>
        <w:t>12.1.4 发包人应根据《发包人要求》、承包人按照第5.5款</w:t>
      </w:r>
      <w:bookmarkStart w:id="976" w:name="_Hlk18943978"/>
      <w:r>
        <w:rPr>
          <w:rFonts w:hint="eastAsia" w:ascii="宋体" w:hAnsi="宋体" w:eastAsia="宋体" w:cs="宋体"/>
          <w:color w:val="000000" w:themeColor="text1"/>
          <w:highlight w:val="none"/>
          <w14:textFill>
            <w14:solidFill>
              <w14:schemeClr w14:val="tx1"/>
            </w14:solidFill>
          </w14:textFill>
        </w:rPr>
        <w:t>[操作和维修手册]</w:t>
      </w:r>
      <w:bookmarkEnd w:id="976"/>
      <w:r>
        <w:rPr>
          <w:rFonts w:hint="eastAsia" w:ascii="宋体" w:hAnsi="宋体" w:eastAsia="宋体" w:cs="宋体"/>
          <w:color w:val="000000" w:themeColor="text1"/>
          <w:highlight w:val="none"/>
          <w14:textFill>
            <w14:solidFill>
              <w14:schemeClr w14:val="tx1"/>
            </w14:solidFill>
          </w14:textFill>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975"/>
    </w:p>
    <w:p w14:paraId="0953834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12.1.5 竣工后试验的结果应由双方进行整理和评价，并应适当考虑发包人对工程或其任何部分的使用，对工程或区段工程的性能、特性和试验结果产生的影响。</w:t>
      </w:r>
    </w:p>
    <w:p w14:paraId="332057E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77" w:name="_Toc54862279"/>
      <w:bookmarkStart w:id="978" w:name="_Ref531954781"/>
      <w:bookmarkStart w:id="979" w:name="_Ref531954785"/>
      <w:r>
        <w:rPr>
          <w:rFonts w:hint="eastAsia" w:ascii="宋体" w:hAnsi="宋体" w:eastAsia="宋体" w:cs="宋体"/>
          <w:color w:val="000000" w:themeColor="text1"/>
          <w:highlight w:val="none"/>
          <w:lang w:val="zh-CN" w:eastAsia="zh-CN"/>
          <w14:textFill>
            <w14:solidFill>
              <w14:schemeClr w14:val="tx1"/>
            </w14:solidFill>
          </w14:textFill>
        </w:rPr>
        <w:t>12.2 延误的试验</w:t>
      </w:r>
      <w:bookmarkEnd w:id="977"/>
      <w:bookmarkEnd w:id="978"/>
      <w:bookmarkEnd w:id="979"/>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3D2306A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12.2.1 如果竣工后试验因发包人原因被延误的，发包人应承担承包人由此增加的费用并支付承包人合理利润。</w:t>
      </w:r>
    </w:p>
    <w:p w14:paraId="5CF5846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12.2.2 如果因承包人以外的原因，导致竣工后试验未能在缺陷责任期或双方另行同意的其他期限内完成，则相关工程或区段工程应视为已通过该竣工后试验。</w:t>
      </w:r>
    </w:p>
    <w:p w14:paraId="100E3E7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80" w:name="_Toc54862280"/>
      <w:r>
        <w:rPr>
          <w:rFonts w:hint="eastAsia" w:ascii="宋体" w:hAnsi="宋体" w:eastAsia="宋体" w:cs="宋体"/>
          <w:color w:val="000000" w:themeColor="text1"/>
          <w:highlight w:val="none"/>
          <w:lang w:val="zh-CN" w:eastAsia="zh-CN"/>
          <w14:textFill>
            <w14:solidFill>
              <w14:schemeClr w14:val="tx1"/>
            </w14:solidFill>
          </w14:textFill>
        </w:rPr>
        <w:t>12.3 重新试验</w:t>
      </w:r>
      <w:bookmarkEnd w:id="980"/>
    </w:p>
    <w:p w14:paraId="28CC344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bookmarkEnd w:id="972"/>
    <w:p w14:paraId="46A2DAA1">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81" w:name="_Ref531954811"/>
      <w:bookmarkStart w:id="982" w:name="_Ref531954819"/>
      <w:bookmarkStart w:id="983" w:name="_Toc54862281"/>
      <w:r>
        <w:rPr>
          <w:rFonts w:hint="eastAsia" w:ascii="宋体" w:hAnsi="宋体" w:eastAsia="宋体" w:cs="宋体"/>
          <w:color w:val="000000" w:themeColor="text1"/>
          <w:highlight w:val="none"/>
          <w:lang w:val="zh-CN" w:eastAsia="zh-CN"/>
          <w14:textFill>
            <w14:solidFill>
              <w14:schemeClr w14:val="tx1"/>
            </w14:solidFill>
          </w14:textFill>
        </w:rPr>
        <w:t>12.4 未能通过竣工后试验</w:t>
      </w:r>
      <w:bookmarkEnd w:id="981"/>
      <w:bookmarkEnd w:id="982"/>
      <w:bookmarkEnd w:id="983"/>
    </w:p>
    <w:p w14:paraId="4A5E24CB">
      <w:pPr>
        <w:bidi w:val="0"/>
        <w:rPr>
          <w:rFonts w:hint="eastAsia" w:ascii="宋体" w:hAnsi="宋体" w:eastAsia="宋体" w:cs="宋体"/>
          <w:color w:val="000000" w:themeColor="text1"/>
          <w:highlight w:val="none"/>
          <w14:textFill>
            <w14:solidFill>
              <w14:schemeClr w14:val="tx1"/>
            </w14:solidFill>
          </w14:textFill>
        </w:rPr>
      </w:pPr>
      <w:bookmarkStart w:id="984" w:name="_Ref531954829"/>
      <w:r>
        <w:rPr>
          <w:rFonts w:hint="eastAsia" w:ascii="宋体" w:hAnsi="宋体" w:eastAsia="宋体" w:cs="宋体"/>
          <w:color w:val="000000" w:themeColor="text1"/>
          <w:highlight w:val="none"/>
          <w14:textFill>
            <w14:solidFill>
              <w14:schemeClr w14:val="tx1"/>
            </w14:solidFill>
          </w14:textFill>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984"/>
    </w:p>
    <w:p w14:paraId="2ABEB24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3BDC56E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12.4.3 发包人无故拖延给予承包人进行调查、调整或修补所需的进入工程或区段工程的许可，并造成承包人费用增加的，应承担由此增加的费用并支付承包人合理利润。</w:t>
      </w:r>
    </w:p>
    <w:p w14:paraId="4D6E2E6C">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985" w:name="_Toc23686"/>
      <w:bookmarkStart w:id="986" w:name="_Toc26075"/>
      <w:bookmarkStart w:id="987" w:name="_Ref4415801"/>
      <w:bookmarkStart w:id="988" w:name="_Toc54862282"/>
      <w:bookmarkStart w:id="989" w:name="_Toc5294"/>
      <w:r>
        <w:rPr>
          <w:rFonts w:hint="eastAsia" w:ascii="宋体" w:hAnsi="宋体" w:eastAsia="宋体" w:cs="宋体"/>
          <w:color w:val="000000" w:themeColor="text1"/>
          <w:highlight w:val="none"/>
          <w:lang w:val="zh-CN" w:eastAsia="zh-CN"/>
          <w14:textFill>
            <w14:solidFill>
              <w14:schemeClr w14:val="tx1"/>
            </w14:solidFill>
          </w14:textFill>
        </w:rPr>
        <w:t>第13条 变更与调整</w:t>
      </w:r>
      <w:bookmarkEnd w:id="985"/>
      <w:bookmarkEnd w:id="986"/>
      <w:bookmarkEnd w:id="987"/>
      <w:bookmarkEnd w:id="988"/>
      <w:bookmarkEnd w:id="989"/>
    </w:p>
    <w:p w14:paraId="7302143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90" w:name="_Ref532670395"/>
      <w:bookmarkStart w:id="991" w:name="_Ref532668573"/>
      <w:bookmarkStart w:id="992" w:name="_Ref532670393"/>
      <w:bookmarkStart w:id="993" w:name="_Ref532677087"/>
      <w:bookmarkStart w:id="994" w:name="_Ref532668569"/>
      <w:bookmarkStart w:id="995" w:name="_Toc54862283"/>
      <w:bookmarkStart w:id="996" w:name="_Ref532677084"/>
      <w:r>
        <w:rPr>
          <w:rFonts w:hint="eastAsia" w:ascii="宋体" w:hAnsi="宋体" w:eastAsia="宋体" w:cs="宋体"/>
          <w:color w:val="000000" w:themeColor="text1"/>
          <w:highlight w:val="none"/>
          <w:lang w:val="zh-CN" w:eastAsia="zh-CN"/>
          <w14:textFill>
            <w14:solidFill>
              <w14:schemeClr w14:val="tx1"/>
            </w14:solidFill>
          </w14:textFill>
        </w:rPr>
        <w:t>13.1 发包人变更权</w:t>
      </w:r>
      <w:bookmarkEnd w:id="990"/>
      <w:bookmarkEnd w:id="991"/>
      <w:bookmarkEnd w:id="992"/>
      <w:bookmarkEnd w:id="993"/>
      <w:bookmarkEnd w:id="994"/>
      <w:bookmarkEnd w:id="995"/>
      <w:bookmarkEnd w:id="996"/>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7802ED13">
      <w:pPr>
        <w:bidi w:val="0"/>
        <w:rPr>
          <w:rFonts w:hint="eastAsia" w:ascii="宋体" w:hAnsi="宋体" w:eastAsia="宋体" w:cs="宋体"/>
          <w:color w:val="000000" w:themeColor="text1"/>
          <w:highlight w:val="none"/>
          <w14:textFill>
            <w14:solidFill>
              <w14:schemeClr w14:val="tx1"/>
            </w14:solidFill>
          </w14:textFill>
        </w:rPr>
      </w:pPr>
      <w:bookmarkStart w:id="997" w:name="_Ref4534979"/>
      <w:r>
        <w:rPr>
          <w:rFonts w:hint="eastAsia" w:ascii="宋体" w:hAnsi="宋体" w:eastAsia="宋体" w:cs="宋体"/>
          <w:color w:val="000000" w:themeColor="text1"/>
          <w:highlight w:val="none"/>
          <w14:textFill>
            <w14:solidFill>
              <w14:schemeClr w14:val="tx1"/>
            </w14:solidFill>
          </w14:textFill>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997"/>
      <w:r>
        <w:rPr>
          <w:rFonts w:hint="eastAsia" w:ascii="宋体" w:hAnsi="宋体" w:eastAsia="宋体" w:cs="宋体"/>
          <w:color w:val="000000" w:themeColor="text1"/>
          <w:highlight w:val="none"/>
          <w14:textFill>
            <w14:solidFill>
              <w14:schemeClr w14:val="tx1"/>
            </w14:solidFill>
          </w14:textFill>
        </w:rPr>
        <w:t>发包人与承包人对某项指示或批准是否构成变更产生争议的，按第20条[争议解决]处理。</w:t>
      </w:r>
    </w:p>
    <w:p w14:paraId="69483B7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7217A8FE">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998" w:name="_Ref531955590"/>
      <w:bookmarkStart w:id="999" w:name="_Ref531955587"/>
      <w:bookmarkStart w:id="1000" w:name="_Toc54862284"/>
      <w:bookmarkStart w:id="1001" w:name="_Ref4623207"/>
      <w:r>
        <w:rPr>
          <w:rFonts w:hint="eastAsia" w:ascii="宋体" w:hAnsi="宋体" w:eastAsia="宋体" w:cs="宋体"/>
          <w:color w:val="000000" w:themeColor="text1"/>
          <w:highlight w:val="none"/>
          <w:lang w:val="zh-CN" w:eastAsia="zh-CN"/>
          <w14:textFill>
            <w14:solidFill>
              <w14:schemeClr w14:val="tx1"/>
            </w14:solidFill>
          </w14:textFill>
        </w:rPr>
        <w:t>13.2 承</w:t>
      </w:r>
      <w:bookmarkEnd w:id="998"/>
      <w:bookmarkEnd w:id="999"/>
      <w:r>
        <w:rPr>
          <w:rFonts w:hint="eastAsia" w:ascii="宋体" w:hAnsi="宋体" w:eastAsia="宋体" w:cs="宋体"/>
          <w:color w:val="000000" w:themeColor="text1"/>
          <w:highlight w:val="none"/>
          <w:lang w:val="zh-CN" w:eastAsia="zh-CN"/>
          <w14:textFill>
            <w14:solidFill>
              <w14:schemeClr w14:val="tx1"/>
            </w14:solidFill>
          </w14:textFill>
        </w:rPr>
        <w:t>包人的合理化建议</w:t>
      </w:r>
      <w:bookmarkEnd w:id="1000"/>
      <w:bookmarkEnd w:id="1001"/>
    </w:p>
    <w:p w14:paraId="3F2A881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13.2.1 承包人提出合理化建议的，应向工程师提交合理化建议说明，说明建议的内容、理由以及实施该建议对合同价格和工期的影响。</w:t>
      </w:r>
    </w:p>
    <w:p w14:paraId="5F2D1A41">
      <w:pPr>
        <w:bidi w:val="0"/>
        <w:rPr>
          <w:rFonts w:hint="eastAsia" w:ascii="宋体" w:hAnsi="宋体" w:eastAsia="宋体" w:cs="宋体"/>
          <w:color w:val="000000" w:themeColor="text1"/>
          <w:highlight w:val="none"/>
          <w14:textFill>
            <w14:solidFill>
              <w14:schemeClr w14:val="tx1"/>
            </w14:solidFill>
          </w14:textFill>
        </w:rPr>
      </w:pPr>
      <w:bookmarkStart w:id="1002" w:name="_Ref4681686"/>
      <w:r>
        <w:rPr>
          <w:rFonts w:hint="eastAsia" w:ascii="宋体" w:hAnsi="宋体" w:eastAsia="宋体" w:cs="宋体"/>
          <w:color w:val="000000" w:themeColor="text1"/>
          <w:highlight w:val="none"/>
          <w14:textFill>
            <w14:solidFill>
              <w14:schemeClr w14:val="tx1"/>
            </w14:solidFill>
          </w14:textFill>
        </w:rPr>
        <w:t>13.2.2 除专用合同条件另有约定外，</w:t>
      </w:r>
      <w:bookmarkStart w:id="1003" w:name="_Hlk4682273"/>
      <w:r>
        <w:rPr>
          <w:rFonts w:hint="eastAsia" w:ascii="宋体" w:hAnsi="宋体" w:eastAsia="宋体" w:cs="宋体"/>
          <w:color w:val="000000" w:themeColor="text1"/>
          <w:highlight w:val="none"/>
          <w14:textFill>
            <w14:solidFill>
              <w14:schemeClr w14:val="tx1"/>
            </w14:solidFill>
          </w14:textFill>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1002"/>
      <w:r>
        <w:rPr>
          <w:rFonts w:hint="eastAsia" w:ascii="宋体" w:hAnsi="宋体" w:eastAsia="宋体" w:cs="宋体"/>
          <w:color w:val="000000" w:themeColor="text1"/>
          <w:highlight w:val="none"/>
          <w14:textFill>
            <w14:solidFill>
              <w14:schemeClr w14:val="tx1"/>
            </w14:solidFill>
          </w14:textFill>
        </w:rPr>
        <w:t>。</w:t>
      </w:r>
    </w:p>
    <w:p w14:paraId="119EC5B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13.2.3 合理化建议降低了合同价格、缩短了工期或者提高了工程经济效益的，双方可以按照专用合同条件的约定进行利益分享。</w:t>
      </w:r>
    </w:p>
    <w:bookmarkEnd w:id="1003"/>
    <w:p w14:paraId="6605FE5E">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04" w:name="_Ref532671484"/>
      <w:bookmarkStart w:id="1005" w:name="_Ref532671480"/>
      <w:bookmarkStart w:id="1006" w:name="_Ref532673538"/>
      <w:bookmarkStart w:id="1007" w:name="_Ref532673541"/>
      <w:bookmarkStart w:id="1008" w:name="_Toc54862285"/>
      <w:bookmarkStart w:id="1009" w:name="_Ref532669302"/>
      <w:bookmarkStart w:id="1010" w:name="_Ref532669305"/>
      <w:r>
        <w:rPr>
          <w:rFonts w:hint="eastAsia" w:ascii="宋体" w:hAnsi="宋体" w:eastAsia="宋体" w:cs="宋体"/>
          <w:color w:val="000000" w:themeColor="text1"/>
          <w:highlight w:val="none"/>
          <w:lang w:val="zh-CN" w:eastAsia="zh-CN"/>
          <w14:textFill>
            <w14:solidFill>
              <w14:schemeClr w14:val="tx1"/>
            </w14:solidFill>
          </w14:textFill>
        </w:rPr>
        <w:t>13.3 变更程序</w:t>
      </w:r>
      <w:bookmarkEnd w:id="1004"/>
      <w:bookmarkEnd w:id="1005"/>
      <w:bookmarkEnd w:id="1006"/>
      <w:bookmarkEnd w:id="1007"/>
      <w:bookmarkEnd w:id="1008"/>
      <w:bookmarkEnd w:id="1009"/>
      <w:bookmarkEnd w:id="1010"/>
    </w:p>
    <w:p w14:paraId="782DC4B9">
      <w:pPr>
        <w:bidi w:val="0"/>
        <w:rPr>
          <w:rFonts w:hint="eastAsia" w:ascii="宋体" w:hAnsi="宋体" w:eastAsia="宋体" w:cs="宋体"/>
          <w:color w:val="000000" w:themeColor="text1"/>
          <w:highlight w:val="none"/>
          <w14:textFill>
            <w14:solidFill>
              <w14:schemeClr w14:val="tx1"/>
            </w14:solidFill>
          </w14:textFill>
        </w:rPr>
      </w:pPr>
      <w:bookmarkStart w:id="1011" w:name="_Ref4534600"/>
      <w:r>
        <w:rPr>
          <w:rFonts w:hint="eastAsia" w:ascii="宋体" w:hAnsi="宋体" w:eastAsia="宋体" w:cs="宋体"/>
          <w:color w:val="000000" w:themeColor="text1"/>
          <w:highlight w:val="none"/>
          <w14:textFill>
            <w14:solidFill>
              <w14:schemeClr w14:val="tx1"/>
            </w14:solidFill>
          </w14:textFill>
        </w:rPr>
        <w:t>13.3.1 发包人提出变更</w:t>
      </w:r>
      <w:bookmarkEnd w:id="1011"/>
    </w:p>
    <w:p w14:paraId="3CDF8F2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发包人提出变更的，应通过工程师向承包人发出书面形式的变更指示，变更指示应说明计划变更的工程范围和变更的内容。</w:t>
      </w:r>
    </w:p>
    <w:p w14:paraId="46ECC75B">
      <w:pPr>
        <w:bidi w:val="0"/>
        <w:rPr>
          <w:rFonts w:hint="eastAsia" w:ascii="宋体" w:hAnsi="宋体" w:eastAsia="宋体" w:cs="宋体"/>
          <w:color w:val="000000" w:themeColor="text1"/>
          <w:highlight w:val="none"/>
          <w14:textFill>
            <w14:solidFill>
              <w14:schemeClr w14:val="tx1"/>
            </w14:solidFill>
          </w14:textFill>
        </w:rPr>
      </w:pPr>
      <w:bookmarkStart w:id="1012" w:name="_Ref4534617"/>
      <w:r>
        <w:rPr>
          <w:rFonts w:hint="eastAsia" w:ascii="宋体" w:hAnsi="宋体" w:eastAsia="宋体" w:cs="宋体"/>
          <w:color w:val="000000" w:themeColor="text1"/>
          <w:highlight w:val="none"/>
          <w14:textFill>
            <w14:solidFill>
              <w14:schemeClr w14:val="tx1"/>
            </w14:solidFill>
          </w14:textFill>
        </w:rPr>
        <w:t>13.3.2 变更执行</w:t>
      </w:r>
      <w:bookmarkEnd w:id="1012"/>
    </w:p>
    <w:p w14:paraId="65B142F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06D33542">
      <w:pPr>
        <w:bidi w:val="0"/>
        <w:rPr>
          <w:rFonts w:hint="eastAsia" w:ascii="宋体" w:hAnsi="宋体" w:eastAsia="宋体" w:cs="宋体"/>
          <w:color w:val="000000" w:themeColor="text1"/>
          <w:highlight w:val="none"/>
          <w14:textFill>
            <w14:solidFill>
              <w14:schemeClr w14:val="tx1"/>
            </w14:solidFill>
          </w14:textFill>
        </w:rPr>
      </w:pPr>
      <w:bookmarkStart w:id="1013" w:name="_Ref3835481"/>
      <w:r>
        <w:rPr>
          <w:rFonts w:hint="eastAsia" w:ascii="宋体" w:hAnsi="宋体" w:eastAsia="宋体" w:cs="宋体"/>
          <w:color w:val="000000" w:themeColor="text1"/>
          <w:highlight w:val="none"/>
          <w14:textFill>
            <w14:solidFill>
              <w14:schemeClr w14:val="tx1"/>
            </w14:solidFill>
          </w14:textFill>
        </w:rPr>
        <w:t>13.3.3 变更估价</w:t>
      </w:r>
      <w:bookmarkEnd w:id="1013"/>
    </w:p>
    <w:p w14:paraId="0615D29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13.3.3.1 变更估价原则</w:t>
      </w:r>
    </w:p>
    <w:p w14:paraId="3EA0796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除专用合同条件另有约定外，变更估价按照本款约定处理：</w:t>
      </w:r>
    </w:p>
    <w:p w14:paraId="75C8252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合同中未包含价格清单，合同价格应按照所执行的变更工程的成本加利润调整；</w:t>
      </w:r>
    </w:p>
    <w:p w14:paraId="6E40AF0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合同中包含价格清单，合同价格按照如下规则调整：</w:t>
      </w:r>
    </w:p>
    <w:p w14:paraId="3EC4DBF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价格清单中有适用于变更工程项目的，应采用该项目的费率和价格；</w:t>
      </w:r>
    </w:p>
    <w:p w14:paraId="6BEA4A2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价格清单中没有适用但有类似于变更工程项目的，可在合理范围内参照类似项目的费率或价格；</w:t>
      </w:r>
    </w:p>
    <w:p w14:paraId="5B3DD30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价格清单中没有适用也没有类似于变更工程项目的，该工程项目应按成本加利润原则调整适用新的费率或价格。</w:t>
      </w:r>
    </w:p>
    <w:p w14:paraId="35DBAFB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13.3.3.2 变更估价程序</w:t>
      </w:r>
    </w:p>
    <w:p w14:paraId="259AFA5F">
      <w:pPr>
        <w:bidi w:val="0"/>
        <w:rPr>
          <w:rFonts w:hint="eastAsia" w:ascii="宋体" w:hAnsi="宋体" w:eastAsia="宋体" w:cs="宋体"/>
          <w:color w:val="000000" w:themeColor="text1"/>
          <w:highlight w:val="none"/>
          <w14:textFill>
            <w14:solidFill>
              <w14:schemeClr w14:val="tx1"/>
            </w14:solidFill>
          </w14:textFill>
        </w:rPr>
      </w:pPr>
      <w:bookmarkStart w:id="1014" w:name="_Ref531955607"/>
      <w:bookmarkStart w:id="1015" w:name="_Ref531955605"/>
      <w:bookmarkStart w:id="1016" w:name="_Toc296346651"/>
      <w:bookmarkStart w:id="1017" w:name="_Toc296503150"/>
      <w:bookmarkStart w:id="1018" w:name="_Toc337558844"/>
      <w:r>
        <w:rPr>
          <w:rFonts w:hint="eastAsia" w:ascii="宋体" w:hAnsi="宋体" w:eastAsia="宋体" w:cs="宋体"/>
          <w:color w:val="000000" w:themeColor="text1"/>
          <w:highlight w:val="none"/>
          <w14:textFill>
            <w14:solidFill>
              <w14:schemeClr w14:val="tx1"/>
            </w14:solidFill>
          </w14:textFill>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6E00B93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因变更引起的价格调整应计入最近一期的进度款中支付。</w:t>
      </w:r>
    </w:p>
    <w:p w14:paraId="3553DA3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13.3.4 变更引起的工期调整</w:t>
      </w:r>
    </w:p>
    <w:p w14:paraId="03B7E2A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因变更引起工期变化的，合同当事人均可要求调整合同工期，由合同当事人按照第3.6款[商定或确定]并参考工程所在地的工期定额标准确定增减工期天数。</w:t>
      </w:r>
    </w:p>
    <w:p w14:paraId="776F6D5A">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19" w:name="_Toc54862286"/>
      <w:bookmarkStart w:id="1020" w:name="_Ref4431237"/>
      <w:r>
        <w:rPr>
          <w:rFonts w:hint="eastAsia" w:ascii="宋体" w:hAnsi="宋体" w:eastAsia="宋体" w:cs="宋体"/>
          <w:color w:val="000000" w:themeColor="text1"/>
          <w:highlight w:val="none"/>
          <w:lang w:val="zh-CN" w:eastAsia="zh-CN"/>
          <w14:textFill>
            <w14:solidFill>
              <w14:schemeClr w14:val="tx1"/>
            </w14:solidFill>
          </w14:textFill>
        </w:rPr>
        <w:t>13.4 暂估价</w:t>
      </w:r>
      <w:bookmarkEnd w:id="1019"/>
      <w:bookmarkEnd w:id="1020"/>
    </w:p>
    <w:p w14:paraId="2605B713">
      <w:pPr>
        <w:bidi w:val="0"/>
        <w:rPr>
          <w:rFonts w:hint="eastAsia" w:ascii="宋体" w:hAnsi="宋体" w:eastAsia="宋体" w:cs="宋体"/>
          <w:color w:val="000000" w:themeColor="text1"/>
          <w:highlight w:val="none"/>
          <w14:textFill>
            <w14:solidFill>
              <w14:schemeClr w14:val="tx1"/>
            </w14:solidFill>
          </w14:textFill>
        </w:rPr>
      </w:pPr>
      <w:bookmarkStart w:id="1021" w:name="_Ref4616729"/>
      <w:r>
        <w:rPr>
          <w:rFonts w:hint="eastAsia" w:ascii="宋体" w:hAnsi="宋体" w:eastAsia="宋体" w:cs="宋体"/>
          <w:color w:val="000000" w:themeColor="text1"/>
          <w:highlight w:val="none"/>
          <w14:textFill>
            <w14:solidFill>
              <w14:schemeClr w14:val="tx1"/>
            </w14:solidFill>
          </w14:textFill>
        </w:rPr>
        <w:t>13.4.1 依法必须招标的暂估价项目</w:t>
      </w:r>
      <w:bookmarkEnd w:id="1021"/>
    </w:p>
    <w:p w14:paraId="568C136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对于依法必须招标的暂估价项目，专用合同条件约定由承包人作为</w:t>
      </w:r>
      <w:r>
        <w:rPr>
          <w:rFonts w:hint="eastAsia" w:ascii="宋体" w:hAnsi="宋体" w:eastAsia="宋体" w:cs="宋体"/>
          <w:color w:val="000000" w:themeColor="text1"/>
          <w:highlight w:val="none"/>
          <w:lang w:eastAsia="zh-CN"/>
          <w14:textFill>
            <w14:solidFill>
              <w14:schemeClr w14:val="tx1"/>
            </w14:solidFill>
          </w14:textFill>
        </w:rPr>
        <w:t>采购人</w:t>
      </w:r>
      <w:r>
        <w:rPr>
          <w:rFonts w:hint="eastAsia" w:ascii="宋体" w:hAnsi="宋体" w:eastAsia="宋体" w:cs="宋体"/>
          <w:color w:val="000000" w:themeColor="text1"/>
          <w:highlight w:val="none"/>
          <w14:textFill>
            <w14:solidFill>
              <w14:schemeClr w14:val="tx1"/>
            </w14:solidFill>
          </w14:textFill>
        </w:rPr>
        <w:t>的，招标文件、评标方案、评标结果应报送发包人批准。与组织招标工作有关的费用应当被认为已经包括在承包人的签约合同价中。</w:t>
      </w:r>
    </w:p>
    <w:p w14:paraId="49C25C1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专用合同条件约定由发包人和承包人共同作为</w:t>
      </w:r>
      <w:r>
        <w:rPr>
          <w:rFonts w:hint="eastAsia" w:ascii="宋体" w:hAnsi="宋体" w:eastAsia="宋体" w:cs="宋体"/>
          <w:color w:val="000000" w:themeColor="text1"/>
          <w:highlight w:val="none"/>
          <w:lang w:eastAsia="zh-CN"/>
          <w14:textFill>
            <w14:solidFill>
              <w14:schemeClr w14:val="tx1"/>
            </w14:solidFill>
          </w14:textFill>
        </w:rPr>
        <w:t>采购人</w:t>
      </w:r>
      <w:r>
        <w:rPr>
          <w:rFonts w:hint="eastAsia" w:ascii="宋体" w:hAnsi="宋体" w:eastAsia="宋体" w:cs="宋体"/>
          <w:color w:val="000000" w:themeColor="text1"/>
          <w:highlight w:val="none"/>
          <w14:textFill>
            <w14:solidFill>
              <w14:schemeClr w14:val="tx1"/>
            </w14:solidFill>
          </w14:textFill>
        </w:rPr>
        <w:t>的，与组织招标工作有关的费用在专用合同条件中约定。</w:t>
      </w:r>
    </w:p>
    <w:p w14:paraId="4AA19DA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具体的招标程序以及发包人和承包人权利义务关系可在专用合同条件中约定。暂估价项目的</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金额与价格清单中所列暂估价的金额差以及相应的税金等其他费用应列入合同价格。</w:t>
      </w:r>
    </w:p>
    <w:p w14:paraId="4738253D">
      <w:pPr>
        <w:bidi w:val="0"/>
        <w:rPr>
          <w:rFonts w:hint="eastAsia" w:ascii="宋体" w:hAnsi="宋体" w:eastAsia="宋体" w:cs="宋体"/>
          <w:color w:val="000000" w:themeColor="text1"/>
          <w:highlight w:val="none"/>
          <w14:textFill>
            <w14:solidFill>
              <w14:schemeClr w14:val="tx1"/>
            </w14:solidFill>
          </w14:textFill>
        </w:rPr>
      </w:pPr>
      <w:bookmarkStart w:id="1022" w:name="_Ref4682312"/>
      <w:r>
        <w:rPr>
          <w:rFonts w:hint="eastAsia" w:ascii="宋体" w:hAnsi="宋体" w:eastAsia="宋体" w:cs="宋体"/>
          <w:color w:val="000000" w:themeColor="text1"/>
          <w:highlight w:val="none"/>
          <w14:textFill>
            <w14:solidFill>
              <w14:schemeClr w14:val="tx1"/>
            </w14:solidFill>
          </w14:textFill>
        </w:rPr>
        <w:t>13.4.2 不属于依法必须招标的暂估价项目</w:t>
      </w:r>
      <w:bookmarkEnd w:id="1022"/>
    </w:p>
    <w:p w14:paraId="3EBAEAA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58E6E5F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4C82532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23" w:name="_Ref4431250"/>
      <w:bookmarkStart w:id="1024" w:name="_Toc54862287"/>
      <w:r>
        <w:rPr>
          <w:rFonts w:hint="eastAsia" w:ascii="宋体" w:hAnsi="宋体" w:eastAsia="宋体" w:cs="宋体"/>
          <w:color w:val="000000" w:themeColor="text1"/>
          <w:highlight w:val="none"/>
          <w:lang w:val="zh-CN" w:eastAsia="zh-CN"/>
          <w14:textFill>
            <w14:solidFill>
              <w14:schemeClr w14:val="tx1"/>
            </w14:solidFill>
          </w14:textFill>
        </w:rPr>
        <w:t>13.5 暂列金额</w:t>
      </w:r>
      <w:bookmarkEnd w:id="1023"/>
      <w:bookmarkEnd w:id="1024"/>
      <w:r>
        <w:rPr>
          <w:rFonts w:hint="eastAsia" w:ascii="宋体" w:hAnsi="宋体" w:eastAsia="宋体" w:cs="宋体"/>
          <w:color w:val="000000" w:themeColor="text1"/>
          <w:highlight w:val="none"/>
          <w:lang w:val="zh-CN" w:eastAsia="zh-CN"/>
          <w14:textFill>
            <w14:solidFill>
              <w14:schemeClr w14:val="tx1"/>
            </w14:solidFill>
          </w14:textFill>
        </w:rPr>
        <w:t xml:space="preserve"> </w:t>
      </w:r>
      <w:bookmarkEnd w:id="1014"/>
      <w:bookmarkEnd w:id="1015"/>
    </w:p>
    <w:bookmarkEnd w:id="1016"/>
    <w:bookmarkEnd w:id="1017"/>
    <w:bookmarkEnd w:id="1018"/>
    <w:p w14:paraId="4AFD51C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218B58D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对于每笔暂列金额，发包人可以指示用于下列支付：</w:t>
      </w:r>
    </w:p>
    <w:p w14:paraId="10A640A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发包人根据第13.1款[发包人变更权]指示变更，决定对合同价格和付款计划表（如有）进行调整的、由承包人实施的工作（包括要提供的工程设备、材料和服务）；</w:t>
      </w:r>
    </w:p>
    <w:p w14:paraId="46E8C9B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承包人购买的工程设备、材料、工作或服务，应支付包括承包人已付（或应付）的实际金额以及相应的管理费等费用和利润（管理费和利润应以实际金额为基数根据合同约定的费率（如有）或百分比计算）。</w:t>
      </w:r>
    </w:p>
    <w:p w14:paraId="24344B7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3020600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每份包含暂列金额的文件还应包括用以证明暂列金额的所有有效的发票、凭证和账户或收据。</w:t>
      </w:r>
    </w:p>
    <w:p w14:paraId="25EE2C9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25" w:name="_Toc337558845"/>
      <w:bookmarkStart w:id="1026" w:name="_Toc296346653"/>
      <w:bookmarkStart w:id="1027" w:name="_Ref4431438"/>
      <w:bookmarkStart w:id="1028" w:name="_Toc296503152"/>
      <w:bookmarkStart w:id="1029" w:name="_Toc54862288"/>
      <w:r>
        <w:rPr>
          <w:rFonts w:hint="eastAsia" w:ascii="宋体" w:hAnsi="宋体" w:eastAsia="宋体" w:cs="宋体"/>
          <w:color w:val="000000" w:themeColor="text1"/>
          <w:highlight w:val="none"/>
          <w:lang w:val="zh-CN" w:eastAsia="zh-CN"/>
          <w14:textFill>
            <w14:solidFill>
              <w14:schemeClr w14:val="tx1"/>
            </w14:solidFill>
          </w14:textFill>
        </w:rPr>
        <w:t>13.6 计日工</w:t>
      </w:r>
      <w:bookmarkEnd w:id="1025"/>
      <w:bookmarkEnd w:id="1026"/>
      <w:bookmarkEnd w:id="1027"/>
      <w:bookmarkEnd w:id="1028"/>
      <w:bookmarkEnd w:id="1029"/>
    </w:p>
    <w:p w14:paraId="159C631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55819D9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13.6.2 采用计日工计价的任何一项工作，承包人应在该项工作实施过程中，每天提交以下报表和有关凭证报送工程师审查：</w:t>
      </w:r>
    </w:p>
    <w:p w14:paraId="20289D9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工作名称、内容和数量；</w:t>
      </w:r>
    </w:p>
    <w:p w14:paraId="48ED544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投入该工作的所有人员的姓名、专业、工种、级别和耗用工时；</w:t>
      </w:r>
    </w:p>
    <w:p w14:paraId="2935D01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投入该工作的材料类别和数量；</w:t>
      </w:r>
    </w:p>
    <w:p w14:paraId="5A6EFB3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投入该工作的施工设备型号、台数和耗用台时；</w:t>
      </w:r>
    </w:p>
    <w:p w14:paraId="5026E93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其他有关资料和凭证。</w:t>
      </w:r>
    </w:p>
    <w:p w14:paraId="577FCF2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计日工由承包人汇总后，列入最近一期进度付款申请单，由工程师审查并经发包人批准后列入进度付款。</w:t>
      </w:r>
    </w:p>
    <w:p w14:paraId="6EFD5D4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30" w:name="_Toc54862289"/>
      <w:bookmarkStart w:id="1031" w:name="_Ref4617318"/>
      <w:bookmarkStart w:id="1032" w:name="_Ref4617331"/>
      <w:r>
        <w:rPr>
          <w:rFonts w:hint="eastAsia" w:ascii="宋体" w:hAnsi="宋体" w:eastAsia="宋体" w:cs="宋体"/>
          <w:color w:val="000000" w:themeColor="text1"/>
          <w:highlight w:val="none"/>
          <w:lang w:val="zh-CN" w:eastAsia="zh-CN"/>
          <w14:textFill>
            <w14:solidFill>
              <w14:schemeClr w14:val="tx1"/>
            </w14:solidFill>
          </w14:textFill>
        </w:rPr>
        <w:t>13.7 法律变化引起的调整</w:t>
      </w:r>
      <w:bookmarkEnd w:id="1030"/>
      <w:bookmarkEnd w:id="1031"/>
      <w:bookmarkEnd w:id="1032"/>
    </w:p>
    <w:p w14:paraId="5F5915A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288D376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13.7.2 因法律变化引起的合同价格和工期调整，合同当事人无法达成一致的，由工程师按第3.6款[商定或确定]的约定处理。</w:t>
      </w:r>
    </w:p>
    <w:p w14:paraId="29711AB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13.7.3 因承包人原因造成工期延误，在工期延误期间出现法律变化的，由此增加的费用和（或）延误的工期由承包人承担。</w:t>
      </w:r>
    </w:p>
    <w:p w14:paraId="78C7909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13.7.4 因法律变化而需要对工程的实施进行任何调整的，承包人应迅速通知发包人，或者发包人应迅速通知承包人，并附上详细的辅助资料。发包人接到通知后，应根据第13.3款[变更程序]发出变更指示。</w:t>
      </w:r>
    </w:p>
    <w:p w14:paraId="3AA0EC8C">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33" w:name="_Ref18977613"/>
      <w:bookmarkStart w:id="1034" w:name="_Toc54862290"/>
      <w:bookmarkStart w:id="1035" w:name="_Ref531955627"/>
      <w:bookmarkStart w:id="1036" w:name="_Ref531955630"/>
      <w:r>
        <w:rPr>
          <w:rFonts w:hint="eastAsia" w:ascii="宋体" w:hAnsi="宋体" w:eastAsia="宋体" w:cs="宋体"/>
          <w:color w:val="000000" w:themeColor="text1"/>
          <w:highlight w:val="none"/>
          <w:lang w:val="zh-CN" w:eastAsia="zh-CN"/>
          <w14:textFill>
            <w14:solidFill>
              <w14:schemeClr w14:val="tx1"/>
            </w14:solidFill>
          </w14:textFill>
        </w:rPr>
        <w:t>13.8 市场价格波动引起的调整</w:t>
      </w:r>
      <w:bookmarkEnd w:id="1033"/>
      <w:bookmarkEnd w:id="1034"/>
      <w:bookmarkEnd w:id="1035"/>
      <w:bookmarkEnd w:id="1036"/>
    </w:p>
    <w:p w14:paraId="44012C15">
      <w:pPr>
        <w:bidi w:val="0"/>
        <w:rPr>
          <w:rFonts w:hint="eastAsia" w:ascii="宋体" w:hAnsi="宋体" w:eastAsia="宋体" w:cs="宋体"/>
          <w:color w:val="000000" w:themeColor="text1"/>
          <w:highlight w:val="none"/>
          <w14:textFill>
            <w14:solidFill>
              <w14:schemeClr w14:val="tx1"/>
            </w14:solidFill>
          </w14:textFill>
        </w:rPr>
      </w:pPr>
      <w:bookmarkStart w:id="1037" w:name="_Ref4709841"/>
      <w:r>
        <w:rPr>
          <w:rFonts w:hint="eastAsia" w:ascii="宋体" w:hAnsi="宋体" w:eastAsia="宋体" w:cs="宋体"/>
          <w:color w:val="000000" w:themeColor="text1"/>
          <w:highlight w:val="none"/>
          <w14:textFill>
            <w14:solidFill>
              <w14:schemeClr w14:val="tx1"/>
            </w14:solidFill>
          </w14:textFill>
        </w:rPr>
        <w:t>13.8.1 主要工程材料、设备、人工价格与招标时基期价相比，波动幅度超过合同约定幅度的，双方按照合同约定的价格调整方式调整。</w:t>
      </w:r>
    </w:p>
    <w:p w14:paraId="20FA52D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13.8.2 发包人与承包人在专用合同条件中约定采用《价格指数权重表》的，适用本项约定。</w:t>
      </w:r>
    </w:p>
    <w:p w14:paraId="19B8932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13.8.2.1 双方当事人可以将部分主要工程材料、工程设备、人工价格及其他双方认为应当根据市场价格调整的费用列入附件6[价格指数权重表]，并根据以下公式计算差额并调整合同价格：</w:t>
      </w:r>
    </w:p>
    <w:bookmarkEnd w:id="1037"/>
    <w:p w14:paraId="19CF14BE">
      <w:pPr>
        <w:bidi w:val="0"/>
        <w:rPr>
          <w:rFonts w:hint="eastAsia" w:ascii="宋体" w:hAnsi="宋体" w:eastAsia="宋体" w:cs="宋体"/>
          <w:color w:val="000000" w:themeColor="text1"/>
          <w:highlight w:val="none"/>
          <w14:textFill>
            <w14:solidFill>
              <w14:schemeClr w14:val="tx1"/>
            </w14:solidFill>
          </w14:textFill>
        </w:rPr>
      </w:pPr>
      <w:bookmarkStart w:id="1038" w:name="_Ref4616996"/>
      <w:r>
        <w:rPr>
          <w:rFonts w:hint="eastAsia" w:ascii="宋体" w:hAnsi="宋体" w:eastAsia="宋体" w:cs="宋体"/>
          <w:color w:val="000000" w:themeColor="text1"/>
          <w:highlight w:val="none"/>
          <w14:textFill>
            <w14:solidFill>
              <w14:schemeClr w14:val="tx1"/>
            </w14:solidFill>
          </w14:textFill>
        </w:rPr>
        <w:t>（1） 价格调整公式</w:t>
      </w:r>
      <w:bookmarkEnd w:id="1038"/>
    </w:p>
    <w:p w14:paraId="2A0B130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drawing>
          <wp:inline distT="0" distB="0" distL="114300" distR="114300">
            <wp:extent cx="4777740" cy="678815"/>
            <wp:effectExtent l="0" t="0" r="381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7"/>
                    <a:stretch>
                      <a:fillRect/>
                    </a:stretch>
                  </pic:blipFill>
                  <pic:spPr>
                    <a:xfrm>
                      <a:off x="0" y="0"/>
                      <a:ext cx="4777740" cy="678815"/>
                    </a:xfrm>
                    <a:prstGeom prst="rect">
                      <a:avLst/>
                    </a:prstGeom>
                    <a:noFill/>
                    <a:ln>
                      <a:noFill/>
                    </a:ln>
                  </pic:spPr>
                </pic:pic>
              </a:graphicData>
            </a:graphic>
          </wp:inline>
        </w:drawing>
      </w:r>
    </w:p>
    <w:p w14:paraId="492D4BC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公式中：△P---需调整的价格差额；</w:t>
      </w:r>
    </w:p>
    <w:p w14:paraId="6B8FB3B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PO---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3A2A0AB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A ---定值权重（即不调部分的权重）； </w:t>
      </w:r>
    </w:p>
    <w:p w14:paraId="0FD577A8">
      <w:pPr>
        <w:bidi w:val="0"/>
        <w:rPr>
          <w:rFonts w:hint="eastAsia" w:ascii="宋体" w:hAnsi="宋体" w:eastAsia="宋体" w:cs="宋体"/>
          <w:color w:val="000000" w:themeColor="text1"/>
          <w:highlight w:val="none"/>
          <w14:textFill>
            <w14:solidFill>
              <w14:schemeClr w14:val="tx1"/>
            </w14:solidFill>
          </w14:textFill>
        </w:rPr>
      </w:pPr>
      <w:bookmarkStart w:id="1039" w:name="_Hlk24103184"/>
      <w:r>
        <w:rPr>
          <w:rFonts w:hint="eastAsia" w:ascii="宋体" w:hAnsi="宋体" w:eastAsia="宋体" w:cs="宋体"/>
          <w:color w:val="000000" w:themeColor="text1"/>
          <w:highlight w:val="none"/>
          <w14:textFill>
            <w14:solidFill>
              <w14:schemeClr w14:val="tx1"/>
            </w14:solidFill>
          </w14:textFill>
        </w:rPr>
        <w:t>B1</w:t>
      </w:r>
      <w:bookmarkEnd w:id="1039"/>
      <w:r>
        <w:rPr>
          <w:rFonts w:hint="eastAsia" w:ascii="宋体" w:hAnsi="宋体" w:eastAsia="宋体" w:cs="宋体"/>
          <w:color w:val="000000" w:themeColor="text1"/>
          <w:highlight w:val="none"/>
          <w14:textFill>
            <w14:solidFill>
              <w14:schemeClr w14:val="tx1"/>
            </w14:solidFill>
          </w14:textFill>
        </w:rPr>
        <w:t>；</w:t>
      </w:r>
      <w:bookmarkStart w:id="1040" w:name="_Hlk24103205"/>
      <w:r>
        <w:rPr>
          <w:rFonts w:hint="eastAsia" w:ascii="宋体" w:hAnsi="宋体" w:eastAsia="宋体" w:cs="宋体"/>
          <w:color w:val="000000" w:themeColor="text1"/>
          <w:highlight w:val="none"/>
          <w14:textFill>
            <w14:solidFill>
              <w14:schemeClr w14:val="tx1"/>
            </w14:solidFill>
          </w14:textFill>
        </w:rPr>
        <w:t>B2</w:t>
      </w:r>
      <w:bookmarkEnd w:id="1040"/>
      <w:r>
        <w:rPr>
          <w:rFonts w:hint="eastAsia" w:ascii="宋体" w:hAnsi="宋体" w:eastAsia="宋体" w:cs="宋体"/>
          <w:color w:val="000000" w:themeColor="text1"/>
          <w:highlight w:val="none"/>
          <w14:textFill>
            <w14:solidFill>
              <w14:schemeClr w14:val="tx1"/>
            </w14:solidFill>
          </w14:textFill>
        </w:rPr>
        <w:t>；</w:t>
      </w:r>
      <w:bookmarkStart w:id="1041" w:name="_Hlk24103220"/>
      <w:r>
        <w:rPr>
          <w:rFonts w:hint="eastAsia" w:ascii="宋体" w:hAnsi="宋体" w:eastAsia="宋体" w:cs="宋体"/>
          <w:color w:val="000000" w:themeColor="text1"/>
          <w:highlight w:val="none"/>
          <w14:textFill>
            <w14:solidFill>
              <w14:schemeClr w14:val="tx1"/>
            </w14:solidFill>
          </w14:textFill>
        </w:rPr>
        <w:t>B3</w:t>
      </w:r>
      <w:bookmarkEnd w:id="1041"/>
      <w:r>
        <w:rPr>
          <w:rFonts w:hint="eastAsia" w:ascii="宋体" w:hAnsi="宋体" w:eastAsia="宋体" w:cs="宋体"/>
          <w:color w:val="000000" w:themeColor="text1"/>
          <w:highlight w:val="none"/>
          <w14:textFill>
            <w14:solidFill>
              <w14:schemeClr w14:val="tx1"/>
            </w14:solidFill>
          </w14:textFill>
        </w:rPr>
        <w:t>；……</w:t>
      </w:r>
      <w:bookmarkStart w:id="1042" w:name="_Hlk24103245"/>
      <w:r>
        <w:rPr>
          <w:rFonts w:hint="eastAsia" w:ascii="宋体" w:hAnsi="宋体" w:eastAsia="宋体" w:cs="宋体"/>
          <w:color w:val="000000" w:themeColor="text1"/>
          <w:highlight w:val="none"/>
          <w14:textFill>
            <w14:solidFill>
              <w14:schemeClr w14:val="tx1"/>
            </w14:solidFill>
          </w14:textFill>
        </w:rPr>
        <w:t>Bn</w:t>
      </w:r>
      <w:bookmarkEnd w:id="1042"/>
      <w:r>
        <w:rPr>
          <w:rFonts w:hint="eastAsia" w:ascii="宋体" w:hAnsi="宋体" w:eastAsia="宋体" w:cs="宋体"/>
          <w:color w:val="000000" w:themeColor="text1"/>
          <w:highlight w:val="none"/>
          <w14:textFill>
            <w14:solidFill>
              <w14:schemeClr w14:val="tx1"/>
            </w14:solidFill>
          </w14:textFill>
        </w:rPr>
        <w:t>---各可调因子的变值权重（即可调部分的权重）为各可调因子在投标函投标总报价中所占的比例，且A+B1+B2+B3+……+Bn=1；</w:t>
      </w:r>
    </w:p>
    <w:p w14:paraId="6715618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Ft1；Ft2；Ft3；……Ftn---各可调因子的当期价格指数，指付款证书相关周期最后一天的前42天的各可调因子的价格指数；</w:t>
      </w:r>
    </w:p>
    <w:p w14:paraId="55CCB0C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F01；F02；F03；……F0n---各可调因子的基本价格指数，指基准日期的各可调因子的价格指数。</w:t>
      </w:r>
    </w:p>
    <w:p w14:paraId="7AD412C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766A7E2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暂时确定调整差额</w:t>
      </w:r>
    </w:p>
    <w:p w14:paraId="12C4672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在计算调整差额时得不到当期价格指数的，可暂用上一次价格指数计算，并在以后的付款中再按实际价格指数进行调整。</w:t>
      </w:r>
    </w:p>
    <w:p w14:paraId="2096881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权重的调整</w:t>
      </w:r>
    </w:p>
    <w:p w14:paraId="026E267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按第13.1款[发包人变更权]约定的变更导致原定合同中的权重不合理的，由工程师与承包人和发包人协商后进行调整。</w:t>
      </w:r>
    </w:p>
    <w:p w14:paraId="52A8ADB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承包人原因工期延误后的价格调整</w:t>
      </w:r>
    </w:p>
    <w:p w14:paraId="3970B62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0B72A3A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发包人引起的工期延误后的价格调整</w:t>
      </w:r>
    </w:p>
    <w:p w14:paraId="4ED7F07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62746C2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13.8.2.2 未列入</w:t>
      </w:r>
      <w:bookmarkStart w:id="1043" w:name="_Hlk24494865"/>
      <w:r>
        <w:rPr>
          <w:rFonts w:hint="eastAsia" w:ascii="宋体" w:hAnsi="宋体" w:eastAsia="宋体" w:cs="宋体"/>
          <w:color w:val="000000" w:themeColor="text1"/>
          <w:highlight w:val="none"/>
          <w14:textFill>
            <w14:solidFill>
              <w14:schemeClr w14:val="tx1"/>
            </w14:solidFill>
          </w14:textFill>
        </w:rPr>
        <w:t>《价格指数权重表》</w:t>
      </w:r>
      <w:bookmarkEnd w:id="1043"/>
      <w:r>
        <w:rPr>
          <w:rFonts w:hint="eastAsia" w:ascii="宋体" w:hAnsi="宋体" w:eastAsia="宋体" w:cs="宋体"/>
          <w:color w:val="000000" w:themeColor="text1"/>
          <w:highlight w:val="none"/>
          <w14:textFill>
            <w14:solidFill>
              <w14:schemeClr w14:val="tx1"/>
            </w14:solidFill>
          </w14:textFill>
        </w:rPr>
        <w:t>的费用不因市场变化而调整。</w:t>
      </w:r>
    </w:p>
    <w:p w14:paraId="5D9211F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13.8.3 双方约定采用其他方式调整合同价款的，以专用合同条件约定为准。</w:t>
      </w:r>
    </w:p>
    <w:p w14:paraId="3BB0BDBE">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1044" w:name="_Toc8485"/>
      <w:bookmarkStart w:id="1045" w:name="_Ref531955880"/>
      <w:bookmarkStart w:id="1046" w:name="_Toc54862291"/>
      <w:bookmarkStart w:id="1047" w:name="_Toc29272"/>
      <w:bookmarkStart w:id="1048" w:name="_Toc19711"/>
      <w:bookmarkStart w:id="1049" w:name="_Ref531955885"/>
      <w:r>
        <w:rPr>
          <w:rFonts w:hint="eastAsia" w:ascii="宋体" w:hAnsi="宋体" w:eastAsia="宋体" w:cs="宋体"/>
          <w:color w:val="000000" w:themeColor="text1"/>
          <w:highlight w:val="none"/>
          <w:lang w:val="zh-CN" w:eastAsia="zh-CN"/>
          <w14:textFill>
            <w14:solidFill>
              <w14:schemeClr w14:val="tx1"/>
            </w14:solidFill>
          </w14:textFill>
        </w:rPr>
        <w:t>第14条 合同价格与支付</w:t>
      </w:r>
      <w:bookmarkEnd w:id="1044"/>
      <w:bookmarkEnd w:id="1045"/>
      <w:bookmarkEnd w:id="1046"/>
      <w:bookmarkEnd w:id="1047"/>
      <w:bookmarkEnd w:id="1048"/>
      <w:bookmarkEnd w:id="1049"/>
    </w:p>
    <w:p w14:paraId="282DED75">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50" w:name="_Ref4431521"/>
      <w:bookmarkStart w:id="1051" w:name="_Ref4431531"/>
      <w:bookmarkStart w:id="1052" w:name="_Toc54862292"/>
      <w:r>
        <w:rPr>
          <w:rFonts w:hint="eastAsia" w:ascii="宋体" w:hAnsi="宋体" w:eastAsia="宋体" w:cs="宋体"/>
          <w:color w:val="000000" w:themeColor="text1"/>
          <w:highlight w:val="none"/>
          <w:lang w:val="zh-CN" w:eastAsia="zh-CN"/>
          <w14:textFill>
            <w14:solidFill>
              <w14:schemeClr w14:val="tx1"/>
            </w14:solidFill>
          </w14:textFill>
        </w:rPr>
        <w:t>14.1 合同价格形式</w:t>
      </w:r>
      <w:bookmarkEnd w:id="1050"/>
      <w:bookmarkEnd w:id="1051"/>
      <w:bookmarkEnd w:id="1052"/>
    </w:p>
    <w:p w14:paraId="020AE2E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14.1.1 除专用合同条件中另有约定外，本合同为总价合同，除根据第13条[变更与调整]，以及合同中其它相关增减金额的约定进行调整外，合同价格不做调整。</w:t>
      </w:r>
    </w:p>
    <w:p w14:paraId="53015C3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14.1.2 除专用合同条件另有约定外：</w:t>
      </w:r>
    </w:p>
    <w:p w14:paraId="20CF045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工程款的支付应以合同协议书约定的签约合同价格为基础，按照合同约定进行调整；</w:t>
      </w:r>
    </w:p>
    <w:p w14:paraId="1CFFF35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承包人应支付根据法律规定或合同约定应由其支付的各项税费，除第13.7款[法律变化引起的调整]约定外，合同价格不应因任何这些税费进行调整；</w:t>
      </w:r>
    </w:p>
    <w:p w14:paraId="6D12083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1FF5F52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14.1.3 合同约定工程的某部分按照实际完成的工程量进行支付的，应按照专用合同条件的约定进行计量和估价，并据此调整合同价格。</w:t>
      </w:r>
    </w:p>
    <w:p w14:paraId="2A2AE54B">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53" w:name="_Ref531956881"/>
      <w:bookmarkStart w:id="1054" w:name="_Ref531956884"/>
      <w:bookmarkStart w:id="1055" w:name="_Toc54862293"/>
      <w:r>
        <w:rPr>
          <w:rFonts w:hint="eastAsia" w:ascii="宋体" w:hAnsi="宋体" w:eastAsia="宋体" w:cs="宋体"/>
          <w:color w:val="000000" w:themeColor="text1"/>
          <w:highlight w:val="none"/>
          <w:lang w:val="zh-CN" w:eastAsia="zh-CN"/>
          <w14:textFill>
            <w14:solidFill>
              <w14:schemeClr w14:val="tx1"/>
            </w14:solidFill>
          </w14:textFill>
        </w:rPr>
        <w:t>14.2 预付款</w:t>
      </w:r>
      <w:bookmarkEnd w:id="1053"/>
      <w:bookmarkEnd w:id="1054"/>
      <w:bookmarkEnd w:id="1055"/>
    </w:p>
    <w:p w14:paraId="4E6A7EB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14.2.1 预付款支付</w:t>
      </w:r>
    </w:p>
    <w:p w14:paraId="5B26129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预付款的额度和支付按照专用合同条件约定执行。预付款应当专用于承包人为合同工程的设计和工程实施购置材料、工程设备、施工设备、修建临时设施以及组织施工队伍进场等合同工作。</w:t>
      </w:r>
    </w:p>
    <w:p w14:paraId="1BE3CD1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除专用合同条件另有约定外，预付款在进度付款中同比例扣回。在颁发工程接收证书前，提前解除合同的，尚未扣完的预付款应与合同价款一并结算。</w:t>
      </w:r>
    </w:p>
    <w:p w14:paraId="5F57E2D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发包人逾期支付预付款超过7天的，承包人有权向发包人发出要求预付的催告通知，发包人收到通知后7天内仍未支付的，承包人有权暂停施工，并按第15.1.1项[发包人违约的情形]执行。</w:t>
      </w:r>
    </w:p>
    <w:p w14:paraId="12C3A1C8">
      <w:pPr>
        <w:bidi w:val="0"/>
        <w:rPr>
          <w:rFonts w:hint="eastAsia" w:ascii="宋体" w:hAnsi="宋体" w:eastAsia="宋体" w:cs="宋体"/>
          <w:color w:val="000000" w:themeColor="text1"/>
          <w:highlight w:val="none"/>
          <w14:textFill>
            <w14:solidFill>
              <w14:schemeClr w14:val="tx1"/>
            </w14:solidFill>
          </w14:textFill>
        </w:rPr>
      </w:pPr>
      <w:bookmarkStart w:id="1056" w:name="_Ref531956907"/>
      <w:bookmarkStart w:id="1057" w:name="_Ref4797624"/>
      <w:bookmarkStart w:id="1058" w:name="_Hlk54429963"/>
      <w:r>
        <w:rPr>
          <w:rFonts w:hint="eastAsia" w:ascii="宋体" w:hAnsi="宋体" w:eastAsia="宋体" w:cs="宋体"/>
          <w:color w:val="000000" w:themeColor="text1"/>
          <w:highlight w:val="none"/>
          <w14:textFill>
            <w14:solidFill>
              <w14:schemeClr w14:val="tx1"/>
            </w14:solidFill>
          </w14:textFill>
        </w:rPr>
        <w:t>14.2.2 预付款</w:t>
      </w:r>
      <w:bookmarkEnd w:id="1056"/>
      <w:r>
        <w:rPr>
          <w:rFonts w:hint="eastAsia" w:ascii="宋体" w:hAnsi="宋体" w:eastAsia="宋体" w:cs="宋体"/>
          <w:color w:val="000000" w:themeColor="text1"/>
          <w:highlight w:val="none"/>
          <w14:textFill>
            <w14:solidFill>
              <w14:schemeClr w14:val="tx1"/>
            </w14:solidFill>
          </w14:textFill>
        </w:rPr>
        <w:t>担保</w:t>
      </w:r>
      <w:bookmarkEnd w:id="1057"/>
    </w:p>
    <w:bookmarkEnd w:id="1058"/>
    <w:p w14:paraId="5776585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08D020C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153035B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59" w:name="_Toc4784193"/>
      <w:bookmarkEnd w:id="1059"/>
      <w:bookmarkStart w:id="1060" w:name="_Toc4784195"/>
      <w:bookmarkEnd w:id="1060"/>
      <w:bookmarkStart w:id="1061" w:name="_Toc4784194"/>
      <w:bookmarkEnd w:id="1061"/>
      <w:bookmarkStart w:id="1062" w:name="_Ref531956963"/>
      <w:bookmarkStart w:id="1063" w:name="_Toc54862294"/>
      <w:bookmarkStart w:id="1064" w:name="_Ref4623398"/>
      <w:bookmarkStart w:id="1065" w:name="_Ref531956967"/>
      <w:r>
        <w:rPr>
          <w:rFonts w:hint="eastAsia" w:ascii="宋体" w:hAnsi="宋体" w:eastAsia="宋体" w:cs="宋体"/>
          <w:color w:val="000000" w:themeColor="text1"/>
          <w:highlight w:val="none"/>
          <w:lang w:val="zh-CN" w:eastAsia="zh-CN"/>
          <w14:textFill>
            <w14:solidFill>
              <w14:schemeClr w14:val="tx1"/>
            </w14:solidFill>
          </w14:textFill>
        </w:rPr>
        <w:t>14.3 工程进度款</w:t>
      </w:r>
      <w:bookmarkEnd w:id="1062"/>
      <w:bookmarkEnd w:id="1063"/>
      <w:bookmarkEnd w:id="1064"/>
      <w:bookmarkEnd w:id="1065"/>
    </w:p>
    <w:p w14:paraId="2B4CB3C0">
      <w:pPr>
        <w:bidi w:val="0"/>
        <w:rPr>
          <w:rFonts w:hint="eastAsia" w:ascii="宋体" w:hAnsi="宋体" w:eastAsia="宋体" w:cs="宋体"/>
          <w:color w:val="000000" w:themeColor="text1"/>
          <w:highlight w:val="none"/>
          <w14:textFill>
            <w14:solidFill>
              <w14:schemeClr w14:val="tx1"/>
            </w14:solidFill>
          </w14:textFill>
        </w:rPr>
      </w:pPr>
      <w:bookmarkStart w:id="1066" w:name="_Ref532679934"/>
      <w:bookmarkStart w:id="1067" w:name="_Ref531956987"/>
      <w:r>
        <w:rPr>
          <w:rFonts w:hint="eastAsia" w:ascii="宋体" w:hAnsi="宋体" w:eastAsia="宋体" w:cs="宋体"/>
          <w:color w:val="000000" w:themeColor="text1"/>
          <w:highlight w:val="none"/>
          <w14:textFill>
            <w14:solidFill>
              <w14:schemeClr w14:val="tx1"/>
            </w14:solidFill>
          </w14:textFill>
        </w:rPr>
        <w:t>14.3.1 工程进度付款申请</w:t>
      </w:r>
      <w:bookmarkEnd w:id="1066"/>
      <w:bookmarkEnd w:id="1067"/>
    </w:p>
    <w:p w14:paraId="2176FAD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（1）人工费的申请</w:t>
      </w:r>
    </w:p>
    <w:p w14:paraId="638B49A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2F78E16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（2）除专用合同条件另有约定外，承包人应在每月月末向工程师提交进度付款申请单，该进度付款申请单应包括下列内容：</w:t>
      </w:r>
    </w:p>
    <w:p w14:paraId="35EC9156">
      <w:pPr>
        <w:bidi w:val="0"/>
        <w:rPr>
          <w:rFonts w:hint="eastAsia" w:ascii="宋体" w:hAnsi="宋体" w:eastAsia="宋体" w:cs="宋体"/>
          <w:color w:val="000000" w:themeColor="text1"/>
          <w:highlight w:val="none"/>
          <w14:textFill>
            <w14:solidFill>
              <w14:schemeClr w14:val="tx1"/>
            </w14:solidFill>
          </w14:textFill>
        </w:rPr>
      </w:pPr>
      <w:bookmarkStart w:id="1068" w:name="_Ref24496054"/>
      <w:r>
        <w:rPr>
          <w:rFonts w:hint="eastAsia" w:ascii="宋体" w:hAnsi="宋体" w:eastAsia="宋体" w:cs="宋体"/>
          <w:color w:val="000000" w:themeColor="text1"/>
          <w:highlight w:val="none"/>
          <w14:textFill>
            <w14:solidFill>
              <w14:schemeClr w14:val="tx1"/>
            </w14:solidFill>
          </w14:textFill>
        </w:rPr>
        <w:t>1） 截至本次付款周期内已完成工作对应的金额；</w:t>
      </w:r>
      <w:bookmarkEnd w:id="1068"/>
    </w:p>
    <w:p w14:paraId="3AEB7C5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扣除依据本款第（1）目约定中已扣除的人工费金额；</w:t>
      </w:r>
    </w:p>
    <w:p w14:paraId="70D8347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根据第13条[变更与调整]应增加和扣减的变更金额；</w:t>
      </w:r>
    </w:p>
    <w:p w14:paraId="7439122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根据第14.2款[预付款]约定应支付的预付款和扣减的返还预付款；</w:t>
      </w:r>
    </w:p>
    <w:p w14:paraId="52F45F4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根据第14.6.2项[质量保证金的预留]约定应预留的质量保证金金额；</w:t>
      </w:r>
    </w:p>
    <w:p w14:paraId="3AF77D7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根据第19条[索赔]应增加和扣减的索赔金额；</w:t>
      </w:r>
    </w:p>
    <w:p w14:paraId="7405550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 对已签发的进度款支付证书中出现错误的修正，应在本次进度付款中支付或扣除的金额；</w:t>
      </w:r>
    </w:p>
    <w:p w14:paraId="52963A1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 根据合同约定应增加和扣减的其他金额。</w:t>
      </w:r>
    </w:p>
    <w:p w14:paraId="4CD5D461">
      <w:pPr>
        <w:bidi w:val="0"/>
        <w:rPr>
          <w:rFonts w:hint="eastAsia" w:ascii="宋体" w:hAnsi="宋体" w:eastAsia="宋体" w:cs="宋体"/>
          <w:color w:val="000000" w:themeColor="text1"/>
          <w:highlight w:val="none"/>
          <w14:textFill>
            <w14:solidFill>
              <w14:schemeClr w14:val="tx1"/>
            </w14:solidFill>
          </w14:textFill>
        </w:rPr>
      </w:pPr>
      <w:bookmarkStart w:id="1069" w:name="_Ref531957608"/>
      <w:r>
        <w:rPr>
          <w:rFonts w:hint="eastAsia" w:ascii="宋体" w:hAnsi="宋体" w:eastAsia="宋体" w:cs="宋体"/>
          <w:color w:val="000000" w:themeColor="text1"/>
          <w:highlight w:val="none"/>
          <w14:textFill>
            <w14:solidFill>
              <w14:schemeClr w14:val="tx1"/>
            </w14:solidFill>
          </w14:textFill>
        </w:rPr>
        <w:t>14.3.2 进度付款审核和支付</w:t>
      </w:r>
      <w:bookmarkEnd w:id="1069"/>
    </w:p>
    <w:p w14:paraId="20EC9F0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4E99651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75A60EC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59B7758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发包人签发进度款支付证书，不表明发包人已同意、批准或接受了承包人完成的相应部分的工作。</w:t>
      </w:r>
    </w:p>
    <w:p w14:paraId="4B9F9BBA">
      <w:pPr>
        <w:bidi w:val="0"/>
        <w:rPr>
          <w:rFonts w:hint="eastAsia" w:ascii="宋体" w:hAnsi="宋体" w:eastAsia="宋体" w:cs="宋体"/>
          <w:color w:val="000000" w:themeColor="text1"/>
          <w:highlight w:val="none"/>
          <w14:textFill>
            <w14:solidFill>
              <w14:schemeClr w14:val="tx1"/>
            </w14:solidFill>
          </w14:textFill>
        </w:rPr>
      </w:pPr>
      <w:bookmarkStart w:id="1070" w:name="_Ref531957023"/>
      <w:r>
        <w:rPr>
          <w:rFonts w:hint="eastAsia" w:ascii="宋体" w:hAnsi="宋体" w:eastAsia="宋体" w:cs="宋体"/>
          <w:color w:val="000000" w:themeColor="text1"/>
          <w:highlight w:val="none"/>
          <w14:textFill>
            <w14:solidFill>
              <w14:schemeClr w14:val="tx1"/>
            </w14:solidFill>
          </w14:textFill>
        </w:rPr>
        <w:t>14.3.3 进度付款的修正</w:t>
      </w:r>
      <w:bookmarkEnd w:id="1070"/>
    </w:p>
    <w:p w14:paraId="326041A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5DFF2F85">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71" w:name="_Toc54862295"/>
      <w:bookmarkStart w:id="1072" w:name="_Ref4538578"/>
      <w:bookmarkStart w:id="1073" w:name="_Ref536647814"/>
      <w:bookmarkStart w:id="1074" w:name="_Ref536647822"/>
      <w:r>
        <w:rPr>
          <w:rFonts w:hint="eastAsia" w:ascii="宋体" w:hAnsi="宋体" w:eastAsia="宋体" w:cs="宋体"/>
          <w:color w:val="000000" w:themeColor="text1"/>
          <w:highlight w:val="none"/>
          <w:lang w:val="zh-CN" w:eastAsia="zh-CN"/>
          <w14:textFill>
            <w14:solidFill>
              <w14:schemeClr w14:val="tx1"/>
            </w14:solidFill>
          </w14:textFill>
        </w:rPr>
        <w:t>14.4 付款计划表</w:t>
      </w:r>
      <w:bookmarkEnd w:id="1071"/>
      <w:bookmarkEnd w:id="1072"/>
    </w:p>
    <w:p w14:paraId="2A494364">
      <w:pPr>
        <w:bidi w:val="0"/>
        <w:rPr>
          <w:rFonts w:hint="eastAsia" w:ascii="宋体" w:hAnsi="宋体" w:eastAsia="宋体" w:cs="宋体"/>
          <w:color w:val="000000" w:themeColor="text1"/>
          <w:highlight w:val="none"/>
          <w14:textFill>
            <w14:solidFill>
              <w14:schemeClr w14:val="tx1"/>
            </w14:solidFill>
          </w14:textFill>
        </w:rPr>
      </w:pPr>
      <w:bookmarkStart w:id="1075" w:name="_Ref4570974"/>
      <w:r>
        <w:rPr>
          <w:rFonts w:hint="eastAsia" w:ascii="宋体" w:hAnsi="宋体" w:eastAsia="宋体" w:cs="宋体"/>
          <w:color w:val="000000" w:themeColor="text1"/>
          <w:highlight w:val="none"/>
          <w14:textFill>
            <w14:solidFill>
              <w14:schemeClr w14:val="tx1"/>
            </w14:solidFill>
          </w14:textFill>
        </w:rPr>
        <w:t>14.4.1 付款计划表的编制要求</w:t>
      </w:r>
      <w:bookmarkEnd w:id="1075"/>
    </w:p>
    <w:p w14:paraId="1B3013B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除专用合同条件另有约定外，付款计划表按如下要求编制：</w:t>
      </w:r>
    </w:p>
    <w:p w14:paraId="074F1A7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付款计划表中所列的每期付款金额，应为第14.3.1项[工程进度付款申请]每期进度款的估算金额；</w:t>
      </w:r>
    </w:p>
    <w:p w14:paraId="66BE440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实际进度与项目进度计划不一致的，合同当事人可按照第3.6款[商定或确定]修改付款计划表；</w:t>
      </w:r>
    </w:p>
    <w:p w14:paraId="5DD74B7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不采用付款计划表的，承包人应向工程师提交按季度编制的支付估算付款计划表，用于支付参考。</w:t>
      </w:r>
    </w:p>
    <w:p w14:paraId="7D2BEF57">
      <w:pPr>
        <w:bidi w:val="0"/>
        <w:rPr>
          <w:rFonts w:hint="eastAsia" w:ascii="宋体" w:hAnsi="宋体" w:eastAsia="宋体" w:cs="宋体"/>
          <w:color w:val="000000" w:themeColor="text1"/>
          <w:highlight w:val="none"/>
          <w14:textFill>
            <w14:solidFill>
              <w14:schemeClr w14:val="tx1"/>
            </w14:solidFill>
          </w14:textFill>
        </w:rPr>
      </w:pPr>
      <w:bookmarkStart w:id="1076" w:name="_Ref4571011"/>
      <w:r>
        <w:rPr>
          <w:rFonts w:hint="eastAsia" w:ascii="宋体" w:hAnsi="宋体" w:eastAsia="宋体" w:cs="宋体"/>
          <w:color w:val="000000" w:themeColor="text1"/>
          <w:highlight w:val="none"/>
          <w14:textFill>
            <w14:solidFill>
              <w14:schemeClr w14:val="tx1"/>
            </w14:solidFill>
          </w14:textFill>
        </w:rPr>
        <w:t>14.4.2 付款计划表的编制与审批</w:t>
      </w:r>
      <w:bookmarkEnd w:id="1076"/>
    </w:p>
    <w:p w14:paraId="40E7B31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5E2FBCA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工程师应在收到付款计划表后7天内完成审核并报送发包人。发包人应在收到经工程师审核的付款计划表后7天内完成审批，经发包人批准的付款计划表为有约束力的付款计划表。</w:t>
      </w:r>
    </w:p>
    <w:p w14:paraId="5CCBF99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发包人逾期未完成付款计划表审批的，也未及时要求承包人进行修正和提供补充资料的，则承包人提交的付款计划表视为已经获得发包人批准。</w:t>
      </w:r>
    </w:p>
    <w:p w14:paraId="6F13E0D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77" w:name="_Toc54862296"/>
      <w:bookmarkStart w:id="1078" w:name="_Ref4538634"/>
      <w:r>
        <w:rPr>
          <w:rFonts w:hint="eastAsia" w:ascii="宋体" w:hAnsi="宋体" w:eastAsia="宋体" w:cs="宋体"/>
          <w:color w:val="000000" w:themeColor="text1"/>
          <w:highlight w:val="none"/>
          <w:lang w:val="zh-CN" w:eastAsia="zh-CN"/>
          <w14:textFill>
            <w14:solidFill>
              <w14:schemeClr w14:val="tx1"/>
            </w14:solidFill>
          </w14:textFill>
        </w:rPr>
        <w:t>14.5 竣工结算</w:t>
      </w:r>
      <w:bookmarkEnd w:id="1077"/>
      <w:bookmarkEnd w:id="1078"/>
    </w:p>
    <w:p w14:paraId="16F42AF0">
      <w:pPr>
        <w:bidi w:val="0"/>
        <w:rPr>
          <w:rFonts w:hint="eastAsia" w:ascii="宋体" w:hAnsi="宋体" w:eastAsia="宋体" w:cs="宋体"/>
          <w:color w:val="000000" w:themeColor="text1"/>
          <w:highlight w:val="none"/>
          <w14:textFill>
            <w14:solidFill>
              <w14:schemeClr w14:val="tx1"/>
            </w14:solidFill>
          </w14:textFill>
        </w:rPr>
      </w:pPr>
      <w:bookmarkStart w:id="1079" w:name="_Ref4571361"/>
      <w:r>
        <w:rPr>
          <w:rFonts w:hint="eastAsia" w:ascii="宋体" w:hAnsi="宋体" w:eastAsia="宋体" w:cs="宋体"/>
          <w:color w:val="000000" w:themeColor="text1"/>
          <w:highlight w:val="none"/>
          <w14:textFill>
            <w14:solidFill>
              <w14:schemeClr w14:val="tx1"/>
            </w14:solidFill>
          </w14:textFill>
        </w:rPr>
        <w:t>14.5.1 竣工结算申请</w:t>
      </w:r>
      <w:bookmarkEnd w:id="1079"/>
    </w:p>
    <w:p w14:paraId="3836B10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1FE2A97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除专用合同条件另有约定外，竣工结算申请单应包括以下内容：</w:t>
      </w:r>
    </w:p>
    <w:p w14:paraId="357258D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竣工结算合同价格；</w:t>
      </w:r>
    </w:p>
    <w:p w14:paraId="0376BD2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发包人已支付承包人的款项；</w:t>
      </w:r>
    </w:p>
    <w:p w14:paraId="5C086A7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2427193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发包人应支付承包人的合同价款。</w:t>
      </w:r>
    </w:p>
    <w:p w14:paraId="2AD66CAD">
      <w:pPr>
        <w:bidi w:val="0"/>
        <w:rPr>
          <w:rFonts w:hint="eastAsia" w:ascii="宋体" w:hAnsi="宋体" w:eastAsia="宋体" w:cs="宋体"/>
          <w:color w:val="000000" w:themeColor="text1"/>
          <w:highlight w:val="none"/>
          <w14:textFill>
            <w14:solidFill>
              <w14:schemeClr w14:val="tx1"/>
            </w14:solidFill>
          </w14:textFill>
        </w:rPr>
      </w:pPr>
      <w:bookmarkStart w:id="1080" w:name="_Ref4571384"/>
      <w:r>
        <w:rPr>
          <w:rFonts w:hint="eastAsia" w:ascii="宋体" w:hAnsi="宋体" w:eastAsia="宋体" w:cs="宋体"/>
          <w:color w:val="000000" w:themeColor="text1"/>
          <w:highlight w:val="none"/>
          <w14:textFill>
            <w14:solidFill>
              <w14:schemeClr w14:val="tx1"/>
            </w14:solidFill>
          </w14:textFill>
        </w:rPr>
        <w:t>14.5.2 竣工结算审核</w:t>
      </w:r>
      <w:bookmarkEnd w:id="1080"/>
    </w:p>
    <w:p w14:paraId="5457B2C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57839FC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3B075E04">
      <w:pPr>
        <w:bidi w:val="0"/>
        <w:rPr>
          <w:rFonts w:hint="eastAsia" w:ascii="宋体" w:hAnsi="宋体" w:eastAsia="宋体" w:cs="宋体"/>
          <w:color w:val="000000" w:themeColor="text1"/>
          <w:highlight w:val="none"/>
          <w14:textFill>
            <w14:solidFill>
              <w14:schemeClr w14:val="tx1"/>
            </w14:solidFill>
          </w14:textFill>
        </w:rPr>
      </w:pPr>
      <w:bookmarkStart w:id="1081" w:name="_Ref4618006"/>
      <w:r>
        <w:rPr>
          <w:rFonts w:hint="eastAsia" w:ascii="宋体" w:hAnsi="宋体" w:eastAsia="宋体" w:cs="宋体"/>
          <w:color w:val="000000" w:themeColor="text1"/>
          <w:highlight w:val="none"/>
          <w14:textFill>
            <w14:solidFill>
              <w14:schemeClr w14:val="tx1"/>
            </w14:solidFill>
          </w14:textFill>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1081"/>
    </w:p>
    <w:p w14:paraId="1C03F27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14B22B2C">
      <w:pPr>
        <w:bidi w:val="0"/>
        <w:rPr>
          <w:rFonts w:hint="eastAsia" w:ascii="宋体" w:hAnsi="宋体" w:eastAsia="宋体" w:cs="宋体"/>
          <w:color w:val="000000" w:themeColor="text1"/>
          <w:highlight w:val="none"/>
          <w14:textFill>
            <w14:solidFill>
              <w14:schemeClr w14:val="tx1"/>
            </w14:solidFill>
          </w14:textFill>
        </w:rPr>
      </w:pPr>
      <w:bookmarkStart w:id="1082" w:name="_Ref15484305"/>
      <w:r>
        <w:rPr>
          <w:rFonts w:hint="eastAsia" w:ascii="宋体" w:hAnsi="宋体" w:eastAsia="宋体" w:cs="宋体"/>
          <w:color w:val="000000" w:themeColor="text1"/>
          <w:highlight w:val="none"/>
          <w14:textFill>
            <w14:solidFill>
              <w14:schemeClr w14:val="tx1"/>
            </w14:solidFill>
          </w14:textFill>
        </w:rPr>
        <w:t>14.5.3 扫尾工作清单</w:t>
      </w:r>
      <w:bookmarkEnd w:id="1082"/>
    </w:p>
    <w:p w14:paraId="2BC1540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经双方协商，部分工作在工程竣工验收后进行的，承包人应当编制扫尾工作清单，扫尾工作清单中应当列明承包人应当完成的扫尾工作的内容及完成时间。</w:t>
      </w:r>
    </w:p>
    <w:p w14:paraId="6DD9A5C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承包人完成扫尾工作清单中的内容应取得的费用包含在第14.5.1项[竣工结算申请]及第14.5.2项[竣工结算审核]中一并结算。</w:t>
      </w:r>
    </w:p>
    <w:p w14:paraId="59CFB37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扫尾工作的缺陷责任期按第11条[缺陷责任与保修]处理。承包人未能按照扫尾工作清单约定的完成时间完成扫尾工作的，视为承包人原因导致的工程质量缺陷按照第11.3款[缺陷调查]处理。</w:t>
      </w:r>
    </w:p>
    <w:p w14:paraId="15ABA5B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083" w:name="_Ref4617592"/>
      <w:bookmarkStart w:id="1084" w:name="_Ref4617582"/>
      <w:bookmarkStart w:id="1085" w:name="_Ref4582115"/>
      <w:bookmarkStart w:id="1086" w:name="_Ref4571100"/>
      <w:bookmarkStart w:id="1087" w:name="_Ref4571127"/>
      <w:bookmarkStart w:id="1088" w:name="_Toc54862297"/>
      <w:bookmarkStart w:id="1089" w:name="_Ref15395020"/>
      <w:bookmarkStart w:id="1090" w:name="_Hlk15394931"/>
      <w:r>
        <w:rPr>
          <w:rFonts w:hint="eastAsia" w:ascii="宋体" w:hAnsi="宋体" w:eastAsia="宋体" w:cs="宋体"/>
          <w:color w:val="000000" w:themeColor="text1"/>
          <w:highlight w:val="none"/>
          <w:lang w:val="zh-CN" w:eastAsia="zh-CN"/>
          <w14:textFill>
            <w14:solidFill>
              <w14:schemeClr w14:val="tx1"/>
            </w14:solidFill>
          </w14:textFill>
        </w:rPr>
        <w:t>14.6 质量保证金</w:t>
      </w:r>
      <w:bookmarkEnd w:id="1073"/>
      <w:bookmarkEnd w:id="1074"/>
      <w:bookmarkEnd w:id="1083"/>
      <w:bookmarkEnd w:id="1084"/>
      <w:bookmarkEnd w:id="1085"/>
      <w:bookmarkEnd w:id="1086"/>
      <w:bookmarkEnd w:id="1087"/>
      <w:bookmarkEnd w:id="1088"/>
      <w:bookmarkEnd w:id="1089"/>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30D3764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经合同当事人协商一致提供质量保证金的，应在专用合同条件中予以明确。在工程项目竣工前，承包人已经提供履约担保的，发包人不得同时要求承包人提供质量保证金。</w:t>
      </w:r>
    </w:p>
    <w:bookmarkEnd w:id="1090"/>
    <w:p w14:paraId="587CB6D8">
      <w:pPr>
        <w:bidi w:val="0"/>
        <w:rPr>
          <w:rFonts w:hint="eastAsia" w:ascii="宋体" w:hAnsi="宋体" w:eastAsia="宋体" w:cs="宋体"/>
          <w:color w:val="000000" w:themeColor="text1"/>
          <w:highlight w:val="none"/>
          <w14:textFill>
            <w14:solidFill>
              <w14:schemeClr w14:val="tx1"/>
            </w14:solidFill>
          </w14:textFill>
        </w:rPr>
      </w:pPr>
      <w:bookmarkStart w:id="1091" w:name="_Ref531955069"/>
      <w:bookmarkStart w:id="1092" w:name="_Ref531957153"/>
      <w:r>
        <w:rPr>
          <w:rFonts w:hint="eastAsia" w:ascii="宋体" w:hAnsi="宋体" w:eastAsia="宋体" w:cs="宋体"/>
          <w:color w:val="000000" w:themeColor="text1"/>
          <w:highlight w:val="none"/>
          <w14:textFill>
            <w14:solidFill>
              <w14:schemeClr w14:val="tx1"/>
            </w14:solidFill>
          </w14:textFill>
        </w:rPr>
        <w:t>14.6.1 承包人提供质量保证金的方式</w:t>
      </w:r>
      <w:bookmarkEnd w:id="1091"/>
    </w:p>
    <w:p w14:paraId="16EB20F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承包人提供质量保证金有以下三种方式：</w:t>
      </w:r>
    </w:p>
    <w:p w14:paraId="035A4024">
      <w:pPr>
        <w:bidi w:val="0"/>
        <w:rPr>
          <w:rFonts w:hint="eastAsia" w:ascii="宋体" w:hAnsi="宋体" w:eastAsia="宋体" w:cs="宋体"/>
          <w:color w:val="000000" w:themeColor="text1"/>
          <w:highlight w:val="none"/>
          <w14:textFill>
            <w14:solidFill>
              <w14:schemeClr w14:val="tx1"/>
            </w14:solidFill>
          </w14:textFill>
        </w:rPr>
      </w:pPr>
      <w:bookmarkStart w:id="1093" w:name="_Ref531955096"/>
      <w:r>
        <w:rPr>
          <w:rFonts w:hint="eastAsia" w:ascii="宋体" w:hAnsi="宋体" w:eastAsia="宋体" w:cs="宋体"/>
          <w:color w:val="000000" w:themeColor="text1"/>
          <w:highlight w:val="none"/>
          <w14:textFill>
            <w14:solidFill>
              <w14:schemeClr w14:val="tx1"/>
            </w14:solidFill>
          </w14:textFill>
        </w:rPr>
        <w:t>（1） 提交工程质量保证担保；</w:t>
      </w:r>
      <w:bookmarkEnd w:id="1093"/>
    </w:p>
    <w:p w14:paraId="1208F4EE">
      <w:pPr>
        <w:bidi w:val="0"/>
        <w:rPr>
          <w:rFonts w:hint="eastAsia" w:ascii="宋体" w:hAnsi="宋体" w:eastAsia="宋体" w:cs="宋体"/>
          <w:color w:val="000000" w:themeColor="text1"/>
          <w:highlight w:val="none"/>
          <w14:textFill>
            <w14:solidFill>
              <w14:schemeClr w14:val="tx1"/>
            </w14:solidFill>
          </w14:textFill>
        </w:rPr>
      </w:pPr>
      <w:bookmarkStart w:id="1094" w:name="_Ref531955107"/>
      <w:r>
        <w:rPr>
          <w:rFonts w:hint="eastAsia" w:ascii="宋体" w:hAnsi="宋体" w:eastAsia="宋体" w:cs="宋体"/>
          <w:color w:val="000000" w:themeColor="text1"/>
          <w:highlight w:val="none"/>
          <w14:textFill>
            <w14:solidFill>
              <w14:schemeClr w14:val="tx1"/>
            </w14:solidFill>
          </w14:textFill>
        </w:rPr>
        <w:t>（2） 预留相应比例的工程款；</w:t>
      </w:r>
      <w:bookmarkEnd w:id="1094"/>
    </w:p>
    <w:p w14:paraId="2B3ED1DF">
      <w:pPr>
        <w:bidi w:val="0"/>
        <w:rPr>
          <w:rFonts w:hint="eastAsia" w:ascii="宋体" w:hAnsi="宋体" w:eastAsia="宋体" w:cs="宋体"/>
          <w:color w:val="000000" w:themeColor="text1"/>
          <w:highlight w:val="none"/>
          <w14:textFill>
            <w14:solidFill>
              <w14:schemeClr w14:val="tx1"/>
            </w14:solidFill>
          </w14:textFill>
        </w:rPr>
      </w:pPr>
      <w:bookmarkStart w:id="1095" w:name="_Ref531955117"/>
      <w:r>
        <w:rPr>
          <w:rFonts w:hint="eastAsia" w:ascii="宋体" w:hAnsi="宋体" w:eastAsia="宋体" w:cs="宋体"/>
          <w:color w:val="000000" w:themeColor="text1"/>
          <w:highlight w:val="none"/>
          <w14:textFill>
            <w14:solidFill>
              <w14:schemeClr w14:val="tx1"/>
            </w14:solidFill>
          </w14:textFill>
        </w:rPr>
        <w:t>（3） 双方约定的其他方式。</w:t>
      </w:r>
      <w:bookmarkEnd w:id="1095"/>
    </w:p>
    <w:p w14:paraId="5C8CE79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634DE318">
      <w:pPr>
        <w:bidi w:val="0"/>
        <w:rPr>
          <w:rFonts w:hint="eastAsia" w:ascii="宋体" w:hAnsi="宋体" w:eastAsia="宋体" w:cs="宋体"/>
          <w:color w:val="000000" w:themeColor="text1"/>
          <w:highlight w:val="none"/>
          <w14:textFill>
            <w14:solidFill>
              <w14:schemeClr w14:val="tx1"/>
            </w14:solidFill>
          </w14:textFill>
        </w:rPr>
      </w:pPr>
      <w:bookmarkStart w:id="1096" w:name="_Ref18931667"/>
      <w:bookmarkStart w:id="1097" w:name="_Ref15419738"/>
      <w:r>
        <w:rPr>
          <w:rFonts w:hint="eastAsia" w:ascii="宋体" w:hAnsi="宋体" w:eastAsia="宋体" w:cs="宋体"/>
          <w:color w:val="000000" w:themeColor="text1"/>
          <w:highlight w:val="none"/>
          <w14:textFill>
            <w14:solidFill>
              <w14:schemeClr w14:val="tx1"/>
            </w14:solidFill>
          </w14:textFill>
        </w:rPr>
        <w:t>14.6.2 质量保证金的预留</w:t>
      </w:r>
      <w:bookmarkEnd w:id="1096"/>
      <w:bookmarkEnd w:id="1097"/>
    </w:p>
    <w:p w14:paraId="35EDC83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双方约定采用预留相应比例的工程款方式提供质量保证金的，质量保证金的预留有以下三种方式：</w:t>
      </w:r>
    </w:p>
    <w:p w14:paraId="4BC7F67E">
      <w:pPr>
        <w:bidi w:val="0"/>
        <w:rPr>
          <w:rFonts w:hint="eastAsia" w:ascii="宋体" w:hAnsi="宋体" w:eastAsia="宋体" w:cs="宋体"/>
          <w:color w:val="000000" w:themeColor="text1"/>
          <w:highlight w:val="none"/>
          <w14:textFill>
            <w14:solidFill>
              <w14:schemeClr w14:val="tx1"/>
            </w14:solidFill>
          </w14:textFill>
        </w:rPr>
      </w:pPr>
      <w:bookmarkStart w:id="1098" w:name="_Hlk18840714"/>
      <w:bookmarkStart w:id="1099" w:name="_Ref531955143"/>
      <w:r>
        <w:rPr>
          <w:rFonts w:hint="eastAsia" w:ascii="宋体" w:hAnsi="宋体" w:eastAsia="宋体" w:cs="宋体"/>
          <w:color w:val="000000" w:themeColor="text1"/>
          <w:highlight w:val="none"/>
          <w14:textFill>
            <w14:solidFill>
              <w14:schemeClr w14:val="tx1"/>
            </w14:solidFill>
          </w14:textFill>
        </w:rPr>
        <w:t>（1） 按专用合同条件的约定在支付工程进度款时逐次预留，直至预留的质量保证金总额达到专用合同条件约定的金额或比例为止</w:t>
      </w:r>
      <w:bookmarkEnd w:id="1098"/>
      <w:r>
        <w:rPr>
          <w:rFonts w:hint="eastAsia" w:ascii="宋体" w:hAnsi="宋体" w:eastAsia="宋体" w:cs="宋体"/>
          <w:color w:val="000000" w:themeColor="text1"/>
          <w:highlight w:val="none"/>
          <w14:textFill>
            <w14:solidFill>
              <w14:schemeClr w14:val="tx1"/>
            </w14:solidFill>
          </w14:textFill>
        </w:rPr>
        <w:t>。在此情形下，质量保证金的计算基数不包括预付款的支付、扣回以及价格调整的金额；</w:t>
      </w:r>
      <w:bookmarkEnd w:id="1099"/>
    </w:p>
    <w:p w14:paraId="7BB7C821">
      <w:pPr>
        <w:bidi w:val="0"/>
        <w:rPr>
          <w:rFonts w:hint="eastAsia" w:ascii="宋体" w:hAnsi="宋体" w:eastAsia="宋体" w:cs="宋体"/>
          <w:color w:val="000000" w:themeColor="text1"/>
          <w:highlight w:val="none"/>
          <w14:textFill>
            <w14:solidFill>
              <w14:schemeClr w14:val="tx1"/>
            </w14:solidFill>
          </w14:textFill>
        </w:rPr>
      </w:pPr>
      <w:bookmarkStart w:id="1100" w:name="_Ref531955151"/>
      <w:r>
        <w:rPr>
          <w:rFonts w:hint="eastAsia" w:ascii="宋体" w:hAnsi="宋体" w:eastAsia="宋体" w:cs="宋体"/>
          <w:color w:val="000000" w:themeColor="text1"/>
          <w:highlight w:val="none"/>
          <w14:textFill>
            <w14:solidFill>
              <w14:schemeClr w14:val="tx1"/>
            </w14:solidFill>
          </w14:textFill>
        </w:rPr>
        <w:t>（2） 工程竣工结算时一次性预留质量保证金；</w:t>
      </w:r>
      <w:bookmarkEnd w:id="1100"/>
    </w:p>
    <w:p w14:paraId="459A4452">
      <w:pPr>
        <w:bidi w:val="0"/>
        <w:rPr>
          <w:rFonts w:hint="eastAsia" w:ascii="宋体" w:hAnsi="宋体" w:eastAsia="宋体" w:cs="宋体"/>
          <w:color w:val="000000" w:themeColor="text1"/>
          <w:highlight w:val="none"/>
          <w14:textFill>
            <w14:solidFill>
              <w14:schemeClr w14:val="tx1"/>
            </w14:solidFill>
          </w14:textFill>
        </w:rPr>
      </w:pPr>
      <w:bookmarkStart w:id="1101" w:name="_Ref531955161"/>
      <w:r>
        <w:rPr>
          <w:rFonts w:hint="eastAsia" w:ascii="宋体" w:hAnsi="宋体" w:eastAsia="宋体" w:cs="宋体"/>
          <w:color w:val="000000" w:themeColor="text1"/>
          <w:highlight w:val="none"/>
          <w14:textFill>
            <w14:solidFill>
              <w14:schemeClr w14:val="tx1"/>
            </w14:solidFill>
          </w14:textFill>
        </w:rPr>
        <w:t>（3） 双方约定的其他预留方式。</w:t>
      </w:r>
      <w:bookmarkEnd w:id="1101"/>
    </w:p>
    <w:p w14:paraId="772989D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4FDD34BB">
      <w:pPr>
        <w:bidi w:val="0"/>
        <w:rPr>
          <w:rFonts w:hint="eastAsia" w:ascii="宋体" w:hAnsi="宋体" w:eastAsia="宋体" w:cs="宋体"/>
          <w:color w:val="000000" w:themeColor="text1"/>
          <w:highlight w:val="none"/>
          <w14:textFill>
            <w14:solidFill>
              <w14:schemeClr w14:val="tx1"/>
            </w14:solidFill>
          </w14:textFill>
        </w:rPr>
      </w:pPr>
      <w:bookmarkStart w:id="1102" w:name="_Ref532690096"/>
      <w:bookmarkStart w:id="1103" w:name="_Ref4571243"/>
      <w:r>
        <w:rPr>
          <w:rFonts w:hint="eastAsia" w:ascii="宋体" w:hAnsi="宋体" w:eastAsia="宋体" w:cs="宋体"/>
          <w:color w:val="000000" w:themeColor="text1"/>
          <w:highlight w:val="none"/>
          <w14:textFill>
            <w14:solidFill>
              <w14:schemeClr w14:val="tx1"/>
            </w14:solidFill>
          </w14:textFill>
        </w:rPr>
        <w:t>14.6.3 质量保证金的</w:t>
      </w:r>
      <w:bookmarkEnd w:id="1102"/>
      <w:r>
        <w:rPr>
          <w:rFonts w:hint="eastAsia" w:ascii="宋体" w:hAnsi="宋体" w:eastAsia="宋体" w:cs="宋体"/>
          <w:color w:val="000000" w:themeColor="text1"/>
          <w:highlight w:val="none"/>
          <w14:textFill>
            <w14:solidFill>
              <w14:schemeClr w14:val="tx1"/>
            </w14:solidFill>
          </w14:textFill>
        </w:rPr>
        <w:t>返还</w:t>
      </w:r>
      <w:bookmarkEnd w:id="1103"/>
    </w:p>
    <w:p w14:paraId="15B209E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缺陷责任期内，承包人认真履行合同约定的责任，缺陷责任期满，发包人根据第11.6款[缺陷责任期终止证书]向承包人颁发缺陷责任期终止证书后，承包人可向发包人申请返还质量保证金。</w:t>
      </w:r>
    </w:p>
    <w:p w14:paraId="117970C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55E7B54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发包人和承包人对质量保证金预留、返还以及工程维修质量、费用有争议的，按本合同第20条[争议解决]约定的争议和纠纷解决程序处理。</w:t>
      </w:r>
    </w:p>
    <w:bookmarkEnd w:id="1092"/>
    <w:p w14:paraId="2B8164AE">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04" w:name="_Ref531957339"/>
      <w:bookmarkStart w:id="1105" w:name="_Ref531957341"/>
      <w:bookmarkStart w:id="1106" w:name="_Toc54862298"/>
      <w:r>
        <w:rPr>
          <w:rFonts w:hint="eastAsia" w:ascii="宋体" w:hAnsi="宋体" w:eastAsia="宋体" w:cs="宋体"/>
          <w:color w:val="000000" w:themeColor="text1"/>
          <w:highlight w:val="none"/>
          <w:lang w:val="zh-CN" w:eastAsia="zh-CN"/>
          <w14:textFill>
            <w14:solidFill>
              <w14:schemeClr w14:val="tx1"/>
            </w14:solidFill>
          </w14:textFill>
        </w:rPr>
        <w:t>14.7 最终结清</w:t>
      </w:r>
      <w:bookmarkEnd w:id="1104"/>
      <w:bookmarkEnd w:id="1105"/>
      <w:bookmarkEnd w:id="1106"/>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528AC40F">
      <w:pPr>
        <w:bidi w:val="0"/>
        <w:rPr>
          <w:rFonts w:hint="eastAsia" w:ascii="宋体" w:hAnsi="宋体" w:eastAsia="宋体" w:cs="宋体"/>
          <w:color w:val="000000" w:themeColor="text1"/>
          <w:highlight w:val="none"/>
          <w14:textFill>
            <w14:solidFill>
              <w14:schemeClr w14:val="tx1"/>
            </w14:solidFill>
          </w14:textFill>
        </w:rPr>
      </w:pPr>
      <w:bookmarkStart w:id="1107" w:name="_Ref531957350"/>
      <w:r>
        <w:rPr>
          <w:rFonts w:hint="eastAsia" w:ascii="宋体" w:hAnsi="宋体" w:eastAsia="宋体" w:cs="宋体"/>
          <w:color w:val="000000" w:themeColor="text1"/>
          <w:highlight w:val="none"/>
          <w14:textFill>
            <w14:solidFill>
              <w14:schemeClr w14:val="tx1"/>
            </w14:solidFill>
          </w14:textFill>
        </w:rPr>
        <w:t>14.7.1 最终结清申请</w:t>
      </w:r>
      <w:bookmarkEnd w:id="1107"/>
      <w:r>
        <w:rPr>
          <w:rFonts w:hint="eastAsia" w:ascii="宋体" w:hAnsi="宋体" w:eastAsia="宋体" w:cs="宋体"/>
          <w:color w:val="000000" w:themeColor="text1"/>
          <w:highlight w:val="none"/>
          <w14:textFill>
            <w14:solidFill>
              <w14:schemeClr w14:val="tx1"/>
            </w14:solidFill>
          </w14:textFill>
        </w:rPr>
        <w:t>单</w:t>
      </w:r>
    </w:p>
    <w:p w14:paraId="664A6EF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除专用合同条件另有约定外，承包人应在缺陷责任期终止证书颁发后7天内，按专用合同条件约定的份数向发包人提交最终结清申请单，并提供相关证明材料。</w:t>
      </w:r>
    </w:p>
    <w:p w14:paraId="5F0A4C5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除专用合同条件另有约定外，最终结清申请单应列明质量保证金、应扣除的质量保证金、缺陷责任期内发生的增减费用。</w:t>
      </w:r>
    </w:p>
    <w:p w14:paraId="576D901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发包人对最终结清申请单内容有异议的，有权要求承包人进行修正和提供补充资料，承包人应向发包人提交修正后的最终结清申请单。</w:t>
      </w:r>
    </w:p>
    <w:p w14:paraId="20FE398F">
      <w:pPr>
        <w:bidi w:val="0"/>
        <w:rPr>
          <w:rFonts w:hint="eastAsia" w:ascii="宋体" w:hAnsi="宋体" w:eastAsia="宋体" w:cs="宋体"/>
          <w:color w:val="000000" w:themeColor="text1"/>
          <w:highlight w:val="none"/>
          <w14:textFill>
            <w14:solidFill>
              <w14:schemeClr w14:val="tx1"/>
            </w14:solidFill>
          </w14:textFill>
        </w:rPr>
      </w:pPr>
      <w:bookmarkStart w:id="1108" w:name="_Ref531957369"/>
      <w:bookmarkStart w:id="1109" w:name="_Ref4624099"/>
      <w:r>
        <w:rPr>
          <w:rFonts w:hint="eastAsia" w:ascii="宋体" w:hAnsi="宋体" w:eastAsia="宋体" w:cs="宋体"/>
          <w:color w:val="000000" w:themeColor="text1"/>
          <w:highlight w:val="none"/>
          <w14:textFill>
            <w14:solidFill>
              <w14:schemeClr w14:val="tx1"/>
            </w14:solidFill>
          </w14:textFill>
        </w:rPr>
        <w:t>14.7.2 最终结清证书</w:t>
      </w:r>
      <w:bookmarkEnd w:id="1108"/>
      <w:r>
        <w:rPr>
          <w:rFonts w:hint="eastAsia" w:ascii="宋体" w:hAnsi="宋体" w:eastAsia="宋体" w:cs="宋体"/>
          <w:color w:val="000000" w:themeColor="text1"/>
          <w:highlight w:val="none"/>
          <w14:textFill>
            <w14:solidFill>
              <w14:schemeClr w14:val="tx1"/>
            </w14:solidFill>
          </w14:textFill>
        </w:rPr>
        <w:t>和支付</w:t>
      </w:r>
      <w:bookmarkEnd w:id="1109"/>
    </w:p>
    <w:p w14:paraId="5111D72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733F9CD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除专用合同条件另有约定外，发包人应在颁发最终结清证书后7天内完成支付。发包人逾期支付的，按照贷款市场报价利率（LPR）支付利息；逾期支付超过56天的，按照贷款市场报价利率（LPR）的两倍支付利息。</w:t>
      </w:r>
    </w:p>
    <w:p w14:paraId="60DEE6D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承包人对发包人颁发的最终结清证书有异议的，按第20条[争议解决]的约定办理。</w:t>
      </w:r>
    </w:p>
    <w:p w14:paraId="3C2FE1B7">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1110" w:name="_Toc20385"/>
      <w:bookmarkStart w:id="1111" w:name="_Ref11920396"/>
      <w:bookmarkStart w:id="1112" w:name="_Toc15747"/>
      <w:bookmarkStart w:id="1113" w:name="_Ref11920407"/>
      <w:bookmarkStart w:id="1114" w:name="_Toc26675"/>
      <w:bookmarkStart w:id="1115" w:name="_Ref11874957"/>
      <w:bookmarkStart w:id="1116" w:name="_Toc54862299"/>
      <w:r>
        <w:rPr>
          <w:rFonts w:hint="eastAsia" w:ascii="宋体" w:hAnsi="宋体" w:eastAsia="宋体" w:cs="宋体"/>
          <w:color w:val="000000" w:themeColor="text1"/>
          <w:highlight w:val="none"/>
          <w:lang w:val="zh-CN" w:eastAsia="zh-CN"/>
          <w14:textFill>
            <w14:solidFill>
              <w14:schemeClr w14:val="tx1"/>
            </w14:solidFill>
          </w14:textFill>
        </w:rPr>
        <w:t>第15条 违约</w:t>
      </w:r>
      <w:bookmarkEnd w:id="959"/>
      <w:bookmarkEnd w:id="966"/>
      <w:bookmarkEnd w:id="967"/>
      <w:bookmarkEnd w:id="1110"/>
      <w:bookmarkEnd w:id="1111"/>
      <w:bookmarkEnd w:id="1112"/>
      <w:bookmarkEnd w:id="1113"/>
      <w:bookmarkEnd w:id="1114"/>
      <w:bookmarkEnd w:id="1115"/>
      <w:bookmarkEnd w:id="1116"/>
    </w:p>
    <w:p w14:paraId="637C7FF5">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17" w:name="_Toc54862300"/>
      <w:bookmarkStart w:id="1118" w:name="_Ref4534376"/>
      <w:bookmarkStart w:id="1119" w:name="_Ref4534399"/>
      <w:bookmarkStart w:id="1120" w:name="_Ref4534384"/>
      <w:bookmarkStart w:id="1121" w:name="_Ref4534411"/>
      <w:r>
        <w:rPr>
          <w:rFonts w:hint="eastAsia" w:ascii="宋体" w:hAnsi="宋体" w:eastAsia="宋体" w:cs="宋体"/>
          <w:color w:val="000000" w:themeColor="text1"/>
          <w:highlight w:val="none"/>
          <w:lang w:val="zh-CN" w:eastAsia="zh-CN"/>
          <w14:textFill>
            <w14:solidFill>
              <w14:schemeClr w14:val="tx1"/>
            </w14:solidFill>
          </w14:textFill>
        </w:rPr>
        <w:t>15.1 发包人违约</w:t>
      </w:r>
      <w:bookmarkEnd w:id="1117"/>
      <w:bookmarkEnd w:id="1118"/>
      <w:bookmarkEnd w:id="1119"/>
      <w:bookmarkEnd w:id="1120"/>
      <w:bookmarkEnd w:id="1121"/>
    </w:p>
    <w:p w14:paraId="2B485CDD">
      <w:pPr>
        <w:bidi w:val="0"/>
        <w:rPr>
          <w:rFonts w:hint="eastAsia" w:ascii="宋体" w:hAnsi="宋体" w:eastAsia="宋体" w:cs="宋体"/>
          <w:color w:val="000000" w:themeColor="text1"/>
          <w:highlight w:val="none"/>
          <w14:textFill>
            <w14:solidFill>
              <w14:schemeClr w14:val="tx1"/>
            </w14:solidFill>
          </w14:textFill>
        </w:rPr>
      </w:pPr>
      <w:bookmarkStart w:id="1122" w:name="_Ref3841087"/>
      <w:r>
        <w:rPr>
          <w:rFonts w:hint="eastAsia" w:ascii="宋体" w:hAnsi="宋体" w:eastAsia="宋体" w:cs="宋体"/>
          <w:color w:val="000000" w:themeColor="text1"/>
          <w:highlight w:val="none"/>
          <w14:textFill>
            <w14:solidFill>
              <w14:schemeClr w14:val="tx1"/>
            </w14:solidFill>
          </w14:textFill>
        </w:rPr>
        <w:t>15.1.1 发包人违约的情形</w:t>
      </w:r>
      <w:bookmarkEnd w:id="1122"/>
    </w:p>
    <w:p w14:paraId="681A420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除专用合同条件另有约定外，在合同履行过程中发生的下列情形，属于发包人违约：</w:t>
      </w:r>
    </w:p>
    <w:p w14:paraId="44ACAC5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 因发包人原因导致开始工作日期延误的； </w:t>
      </w:r>
    </w:p>
    <w:p w14:paraId="5C96DE1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因发包人原因未能按合同约定支付合同价款的；</w:t>
      </w:r>
    </w:p>
    <w:p w14:paraId="4533C42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发包人违反第13.1.1项约定，自行实施被取消的工作或转由他人实施的；</w:t>
      </w:r>
    </w:p>
    <w:p w14:paraId="384D25A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因发包人违反合同约定造成工程暂停施工的；</w:t>
      </w:r>
    </w:p>
    <w:p w14:paraId="6BA8263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工程师无正当理由没有在约定期限内发出复工指示，导致承包人无法复工的；</w:t>
      </w:r>
    </w:p>
    <w:p w14:paraId="5C6AE96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发包人明确表示或者以其行为表明不履行合同主要义务的；</w:t>
      </w:r>
    </w:p>
    <w:p w14:paraId="3037BFF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 发包人未能按照合同约定履行其他义务的。</w:t>
      </w:r>
    </w:p>
    <w:p w14:paraId="6A2D56AA">
      <w:pPr>
        <w:bidi w:val="0"/>
        <w:rPr>
          <w:rFonts w:hint="eastAsia" w:ascii="宋体" w:hAnsi="宋体" w:eastAsia="宋体" w:cs="宋体"/>
          <w:color w:val="000000" w:themeColor="text1"/>
          <w:highlight w:val="none"/>
          <w14:textFill>
            <w14:solidFill>
              <w14:schemeClr w14:val="tx1"/>
            </w14:solidFill>
          </w14:textFill>
        </w:rPr>
      </w:pPr>
      <w:bookmarkStart w:id="1123" w:name="_Ref4535692"/>
      <w:r>
        <w:rPr>
          <w:rFonts w:hint="eastAsia" w:ascii="宋体" w:hAnsi="宋体" w:eastAsia="宋体" w:cs="宋体"/>
          <w:color w:val="000000" w:themeColor="text1"/>
          <w:highlight w:val="none"/>
          <w14:textFill>
            <w14:solidFill>
              <w14:schemeClr w14:val="tx1"/>
            </w14:solidFill>
          </w14:textFill>
        </w:rPr>
        <w:t>15.1.2 通知改正</w:t>
      </w:r>
      <w:bookmarkEnd w:id="1123"/>
    </w:p>
    <w:p w14:paraId="3E6007FE">
      <w:pPr>
        <w:bidi w:val="0"/>
        <w:rPr>
          <w:rFonts w:hint="eastAsia" w:ascii="宋体" w:hAnsi="宋体" w:eastAsia="宋体" w:cs="宋体"/>
          <w:color w:val="000000" w:themeColor="text1"/>
          <w:highlight w:val="none"/>
          <w14:textFill>
            <w14:solidFill>
              <w14:schemeClr w14:val="tx1"/>
            </w14:solidFill>
          </w14:textFill>
        </w:rPr>
      </w:pPr>
      <w:bookmarkStart w:id="1124" w:name="_Hlk16248297"/>
      <w:r>
        <w:rPr>
          <w:rFonts w:hint="eastAsia" w:ascii="宋体" w:hAnsi="宋体" w:eastAsia="宋体" w:cs="宋体"/>
          <w:color w:val="000000" w:themeColor="text1"/>
          <w:highlight w:val="none"/>
          <w14:textFill>
            <w14:solidFill>
              <w14:schemeClr w14:val="tx1"/>
            </w14:solidFill>
          </w14:textFill>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bookmarkEnd w:id="1124"/>
    </w:p>
    <w:p w14:paraId="70D5F5F8">
      <w:pPr>
        <w:bidi w:val="0"/>
        <w:rPr>
          <w:rFonts w:hint="eastAsia" w:ascii="宋体" w:hAnsi="宋体" w:eastAsia="宋体" w:cs="宋体"/>
          <w:color w:val="000000" w:themeColor="text1"/>
          <w:highlight w:val="none"/>
          <w14:textFill>
            <w14:solidFill>
              <w14:schemeClr w14:val="tx1"/>
            </w14:solidFill>
          </w14:textFill>
        </w:rPr>
      </w:pPr>
      <w:bookmarkStart w:id="1125" w:name="_Ref3841132"/>
      <w:r>
        <w:rPr>
          <w:rFonts w:hint="eastAsia" w:ascii="宋体" w:hAnsi="宋体" w:eastAsia="宋体" w:cs="宋体"/>
          <w:color w:val="000000" w:themeColor="text1"/>
          <w:highlight w:val="none"/>
          <w14:textFill>
            <w14:solidFill>
              <w14:schemeClr w14:val="tx1"/>
            </w14:solidFill>
          </w14:textFill>
        </w:rPr>
        <w:t>15.1.3 发包人违约的责任</w:t>
      </w:r>
      <w:bookmarkEnd w:id="1125"/>
    </w:p>
    <w:p w14:paraId="22E2E5D9">
      <w:pPr>
        <w:bidi w:val="0"/>
        <w:rPr>
          <w:rFonts w:hint="eastAsia" w:ascii="宋体" w:hAnsi="宋体" w:eastAsia="宋体" w:cs="宋体"/>
          <w:color w:val="000000" w:themeColor="text1"/>
          <w:highlight w:val="none"/>
          <w14:textFill>
            <w14:solidFill>
              <w14:schemeClr w14:val="tx1"/>
            </w14:solidFill>
          </w14:textFill>
        </w:rPr>
      </w:pPr>
      <w:bookmarkStart w:id="1126" w:name="_Hlk16247984"/>
      <w:r>
        <w:rPr>
          <w:rFonts w:hint="eastAsia" w:ascii="宋体" w:hAnsi="宋体" w:eastAsia="宋体" w:cs="宋体"/>
          <w:color w:val="000000" w:themeColor="text1"/>
          <w:highlight w:val="none"/>
          <w14:textFill>
            <w14:solidFill>
              <w14:schemeClr w14:val="tx1"/>
            </w14:solidFill>
          </w14:textFill>
        </w:rPr>
        <w:t>发包人应承担因其违约给承包人增加的费用和（或）延误的工期，并支付承包人合理的利润。此外，合同当事人可在专用合同条件中另行约定发包人违约责任的承担方式和计算方法。</w:t>
      </w:r>
      <w:bookmarkEnd w:id="1126"/>
    </w:p>
    <w:p w14:paraId="681B95F6">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27" w:name="_Toc54862301"/>
      <w:bookmarkStart w:id="1128" w:name="_Ref11958660"/>
      <w:bookmarkStart w:id="1129" w:name="_Ref11958663"/>
      <w:r>
        <w:rPr>
          <w:rFonts w:hint="eastAsia" w:ascii="宋体" w:hAnsi="宋体" w:eastAsia="宋体" w:cs="宋体"/>
          <w:color w:val="000000" w:themeColor="text1"/>
          <w:highlight w:val="none"/>
          <w:lang w:val="zh-CN" w:eastAsia="zh-CN"/>
          <w14:textFill>
            <w14:solidFill>
              <w14:schemeClr w14:val="tx1"/>
            </w14:solidFill>
          </w14:textFill>
        </w:rPr>
        <w:t>15.2 承包人违约</w:t>
      </w:r>
      <w:bookmarkEnd w:id="1127"/>
      <w:bookmarkEnd w:id="1128"/>
      <w:bookmarkEnd w:id="1129"/>
    </w:p>
    <w:p w14:paraId="65BBBB39">
      <w:pPr>
        <w:bidi w:val="0"/>
        <w:rPr>
          <w:rFonts w:hint="eastAsia" w:ascii="宋体" w:hAnsi="宋体" w:eastAsia="宋体" w:cs="宋体"/>
          <w:color w:val="000000" w:themeColor="text1"/>
          <w:highlight w:val="none"/>
          <w14:textFill>
            <w14:solidFill>
              <w14:schemeClr w14:val="tx1"/>
            </w14:solidFill>
          </w14:textFill>
        </w:rPr>
      </w:pPr>
      <w:bookmarkStart w:id="1130" w:name="_Ref3841153"/>
      <w:r>
        <w:rPr>
          <w:rFonts w:hint="eastAsia" w:ascii="宋体" w:hAnsi="宋体" w:eastAsia="宋体" w:cs="宋体"/>
          <w:color w:val="000000" w:themeColor="text1"/>
          <w:highlight w:val="none"/>
          <w14:textFill>
            <w14:solidFill>
              <w14:schemeClr w14:val="tx1"/>
            </w14:solidFill>
          </w14:textFill>
        </w:rPr>
        <w:t>15.2.1 承包人违约的情形</w:t>
      </w:r>
      <w:bookmarkEnd w:id="1130"/>
    </w:p>
    <w:p w14:paraId="44F62E3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除专用合同条件另有约定外，在履行合同过程中发生的下列情况之一的，属于承包人违约：</w:t>
      </w:r>
    </w:p>
    <w:p w14:paraId="21D0BDC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承包人的原因导致的承包人文件、实施和竣工的工程不符合法律法规、工程质量验收标准以及合同约定；</w:t>
      </w:r>
    </w:p>
    <w:p w14:paraId="1233CEF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承包人违反合同约定进行转包或违法分包的；</w:t>
      </w:r>
    </w:p>
    <w:p w14:paraId="2888865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承包人违反约定采购和使用不合格材料或工程设备；</w:t>
      </w:r>
    </w:p>
    <w:p w14:paraId="7933C4B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因承包人原因导致工程质量不符合合同要求的；</w:t>
      </w:r>
    </w:p>
    <w:p w14:paraId="2195DC3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承包人未经工程师批准，擅自将已按合同约定进入施工现场的施工设备、临时设施或材料撤离施工现场；</w:t>
      </w:r>
    </w:p>
    <w:p w14:paraId="22676C5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承包人未能按项目进度计划及时完成合同约定的工作，造成工期延误；</w:t>
      </w:r>
    </w:p>
    <w:p w14:paraId="653B0B6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 由于承包人原因未能通过竣工试验或竣工后试验的；</w:t>
      </w:r>
    </w:p>
    <w:p w14:paraId="122D229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 承包人在缺陷责任期及保修期内，未能在合理期限对工程缺陷进行修复，或拒绝按发包人指示进行修复的；</w:t>
      </w:r>
    </w:p>
    <w:p w14:paraId="1D6573D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 承包人明确表示或者以其行为表明不履行合同主要义务的；</w:t>
      </w:r>
    </w:p>
    <w:p w14:paraId="3DB9E6E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 承包人未能按照合同约定履行其他义务的。</w:t>
      </w:r>
    </w:p>
    <w:p w14:paraId="766432AE">
      <w:pPr>
        <w:bidi w:val="0"/>
        <w:rPr>
          <w:rFonts w:hint="eastAsia" w:ascii="宋体" w:hAnsi="宋体" w:eastAsia="宋体" w:cs="宋体"/>
          <w:color w:val="000000" w:themeColor="text1"/>
          <w:highlight w:val="none"/>
          <w14:textFill>
            <w14:solidFill>
              <w14:schemeClr w14:val="tx1"/>
            </w14:solidFill>
          </w14:textFill>
        </w:rPr>
      </w:pPr>
      <w:bookmarkStart w:id="1131" w:name="_Ref531958512"/>
      <w:r>
        <w:rPr>
          <w:rFonts w:hint="eastAsia" w:ascii="宋体" w:hAnsi="宋体" w:eastAsia="宋体" w:cs="宋体"/>
          <w:color w:val="000000" w:themeColor="text1"/>
          <w:highlight w:val="none"/>
          <w14:textFill>
            <w14:solidFill>
              <w14:schemeClr w14:val="tx1"/>
            </w14:solidFill>
          </w14:textFill>
        </w:rPr>
        <w:t>15.2.2 通知改正</w:t>
      </w:r>
      <w:bookmarkEnd w:id="1131"/>
    </w:p>
    <w:p w14:paraId="1FCCB11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承包人发生除第15.2.1项第(7)目、第(9)目约定以外的其他违约情况时，工程师可在专用合同条件约定的合理期限内向承包人发出整改通知，要求其在指定的期限内改正。</w:t>
      </w:r>
    </w:p>
    <w:p w14:paraId="472A176C">
      <w:pPr>
        <w:bidi w:val="0"/>
        <w:rPr>
          <w:rFonts w:hint="eastAsia" w:ascii="宋体" w:hAnsi="宋体" w:eastAsia="宋体" w:cs="宋体"/>
          <w:color w:val="000000" w:themeColor="text1"/>
          <w:highlight w:val="none"/>
          <w14:textFill>
            <w14:solidFill>
              <w14:schemeClr w14:val="tx1"/>
            </w14:solidFill>
          </w14:textFill>
        </w:rPr>
      </w:pPr>
      <w:bookmarkStart w:id="1132" w:name="_Ref3841166"/>
      <w:r>
        <w:rPr>
          <w:rFonts w:hint="eastAsia" w:ascii="宋体" w:hAnsi="宋体" w:eastAsia="宋体" w:cs="宋体"/>
          <w:color w:val="000000" w:themeColor="text1"/>
          <w:highlight w:val="none"/>
          <w14:textFill>
            <w14:solidFill>
              <w14:schemeClr w14:val="tx1"/>
            </w14:solidFill>
          </w14:textFill>
        </w:rPr>
        <w:t>15.2.3 承包人违约的责任</w:t>
      </w:r>
      <w:bookmarkEnd w:id="1132"/>
    </w:p>
    <w:p w14:paraId="7833E8E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承包人应承担因其违约行为而增加的费用和（或）延误的工期。此外，合同当事人可在专用合同条件中另行约定承包人违约责任的承担方式和计算方法。</w:t>
      </w:r>
    </w:p>
    <w:p w14:paraId="6C1FC93B">
      <w:pPr>
        <w:bidi w:val="0"/>
        <w:rPr>
          <w:rFonts w:hint="eastAsia" w:ascii="宋体" w:hAnsi="宋体" w:eastAsia="宋体" w:cs="宋体"/>
          <w:color w:val="000000" w:themeColor="text1"/>
          <w:highlight w:val="none"/>
          <w14:textFill>
            <w14:solidFill>
              <w14:schemeClr w14:val="tx1"/>
            </w14:solidFill>
          </w14:textFill>
        </w:rPr>
      </w:pPr>
      <w:bookmarkStart w:id="1133" w:name="_Toc54862302"/>
      <w:r>
        <w:rPr>
          <w:rFonts w:hint="eastAsia" w:ascii="宋体" w:hAnsi="宋体" w:eastAsia="宋体" w:cs="宋体"/>
          <w:color w:val="000000" w:themeColor="text1"/>
          <w:highlight w:val="none"/>
          <w14:textFill>
            <w14:solidFill>
              <w14:schemeClr w14:val="tx1"/>
            </w14:solidFill>
          </w14:textFill>
        </w:rPr>
        <w:t>15.3 第三人造成的违约</w:t>
      </w:r>
      <w:bookmarkEnd w:id="1133"/>
    </w:p>
    <w:p w14:paraId="35CAE99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407D7C71">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1134" w:name="_Ref4510572"/>
      <w:bookmarkStart w:id="1135" w:name="_Toc19513"/>
      <w:bookmarkStart w:id="1136" w:name="_Toc15272"/>
      <w:bookmarkStart w:id="1137" w:name="_Toc28494"/>
      <w:bookmarkStart w:id="1138" w:name="_Toc54862303"/>
      <w:bookmarkStart w:id="1139" w:name="_Ref3840457"/>
      <w:bookmarkStart w:id="1140" w:name="_Ref532142069"/>
      <w:r>
        <w:rPr>
          <w:rFonts w:hint="eastAsia" w:ascii="宋体" w:hAnsi="宋体" w:eastAsia="宋体" w:cs="宋体"/>
          <w:color w:val="000000" w:themeColor="text1"/>
          <w:highlight w:val="none"/>
          <w:lang w:val="zh-CN" w:eastAsia="zh-CN"/>
          <w14:textFill>
            <w14:solidFill>
              <w14:schemeClr w14:val="tx1"/>
            </w14:solidFill>
          </w14:textFill>
        </w:rPr>
        <w:t>第16条 合同解除</w:t>
      </w:r>
      <w:bookmarkEnd w:id="1134"/>
      <w:bookmarkEnd w:id="1135"/>
      <w:bookmarkEnd w:id="1136"/>
      <w:bookmarkEnd w:id="1137"/>
      <w:bookmarkEnd w:id="1138"/>
    </w:p>
    <w:p w14:paraId="02BE5EBF">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41" w:name="_Ref531958499"/>
      <w:bookmarkStart w:id="1142" w:name="_Toc54862304"/>
      <w:bookmarkStart w:id="1143" w:name="_Ref531958502"/>
      <w:r>
        <w:rPr>
          <w:rFonts w:hint="eastAsia" w:ascii="宋体" w:hAnsi="宋体" w:eastAsia="宋体" w:cs="宋体"/>
          <w:color w:val="000000" w:themeColor="text1"/>
          <w:highlight w:val="none"/>
          <w:lang w:val="zh-CN" w:eastAsia="zh-CN"/>
          <w14:textFill>
            <w14:solidFill>
              <w14:schemeClr w14:val="tx1"/>
            </w14:solidFill>
          </w14:textFill>
        </w:rPr>
        <w:t>16.1 由发包人解除合同</w:t>
      </w:r>
      <w:bookmarkEnd w:id="1141"/>
      <w:bookmarkEnd w:id="1142"/>
      <w:bookmarkEnd w:id="1143"/>
    </w:p>
    <w:p w14:paraId="54F32E9D">
      <w:pPr>
        <w:bidi w:val="0"/>
        <w:rPr>
          <w:rFonts w:hint="eastAsia" w:ascii="宋体" w:hAnsi="宋体" w:eastAsia="宋体" w:cs="宋体"/>
          <w:color w:val="000000" w:themeColor="text1"/>
          <w:highlight w:val="none"/>
          <w14:textFill>
            <w14:solidFill>
              <w14:schemeClr w14:val="tx1"/>
            </w14:solidFill>
          </w14:textFill>
        </w:rPr>
      </w:pPr>
      <w:bookmarkStart w:id="1144" w:name="_Ref4535422"/>
      <w:r>
        <w:rPr>
          <w:rFonts w:hint="eastAsia" w:ascii="宋体" w:hAnsi="宋体" w:eastAsia="宋体" w:cs="宋体"/>
          <w:color w:val="000000" w:themeColor="text1"/>
          <w:highlight w:val="none"/>
          <w14:textFill>
            <w14:solidFill>
              <w14:schemeClr w14:val="tx1"/>
            </w14:solidFill>
          </w14:textFill>
        </w:rPr>
        <w:t>16.1.1 因承包人违约解除合同</w:t>
      </w:r>
      <w:bookmarkEnd w:id="1144"/>
    </w:p>
    <w:p w14:paraId="3F82DB4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14:paraId="4F9A1030">
      <w:pPr>
        <w:bidi w:val="0"/>
        <w:rPr>
          <w:rFonts w:hint="eastAsia" w:ascii="宋体" w:hAnsi="宋体" w:eastAsia="宋体" w:cs="宋体"/>
          <w:color w:val="000000" w:themeColor="text1"/>
          <w:highlight w:val="none"/>
          <w14:textFill>
            <w14:solidFill>
              <w14:schemeClr w14:val="tx1"/>
            </w14:solidFill>
          </w14:textFill>
        </w:rPr>
      </w:pPr>
      <w:bookmarkStart w:id="1145" w:name="_Ref531958536"/>
      <w:r>
        <w:rPr>
          <w:rFonts w:hint="eastAsia" w:ascii="宋体" w:hAnsi="宋体" w:eastAsia="宋体" w:cs="宋体"/>
          <w:color w:val="000000" w:themeColor="text1"/>
          <w:highlight w:val="none"/>
          <w14:textFill>
            <w14:solidFill>
              <w14:schemeClr w14:val="tx1"/>
            </w14:solidFill>
          </w14:textFill>
        </w:rPr>
        <w:t>（1） 承包人未能遵守第4.2款</w:t>
      </w:r>
      <w:bookmarkStart w:id="1146" w:name="_Hlk18839947"/>
      <w:r>
        <w:rPr>
          <w:rFonts w:hint="eastAsia" w:ascii="宋体" w:hAnsi="宋体" w:eastAsia="宋体" w:cs="宋体"/>
          <w:color w:val="000000" w:themeColor="text1"/>
          <w:highlight w:val="none"/>
          <w14:textFill>
            <w14:solidFill>
              <w14:schemeClr w14:val="tx1"/>
            </w14:solidFill>
          </w14:textFill>
        </w:rPr>
        <w:t>[履约担保]</w:t>
      </w:r>
      <w:bookmarkEnd w:id="1146"/>
      <w:r>
        <w:rPr>
          <w:rFonts w:hint="eastAsia" w:ascii="宋体" w:hAnsi="宋体" w:eastAsia="宋体" w:cs="宋体"/>
          <w:color w:val="000000" w:themeColor="text1"/>
          <w:highlight w:val="none"/>
          <w14:textFill>
            <w14:solidFill>
              <w14:schemeClr w14:val="tx1"/>
            </w14:solidFill>
          </w14:textFill>
        </w:rPr>
        <w:t>的约定；</w:t>
      </w:r>
    </w:p>
    <w:p w14:paraId="21801D7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承包人未能遵守第4.5款[分包]有关分包和转包的约定；</w:t>
      </w:r>
    </w:p>
    <w:p w14:paraId="5C62A30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承包人实际进度明显落后于进度计划，并且未按发包人的指令采取措施并修正进度计划；</w:t>
      </w:r>
    </w:p>
    <w:p w14:paraId="6274E95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工程质量有严重缺陷，承包人无正当理由使修复开始日期拖延达28天以上；</w:t>
      </w:r>
    </w:p>
    <w:p w14:paraId="6748F95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35ADD2C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承包人明确表示或以自己的行为表明不履行合同、或经发包人以书面形式通知其履约后仍未能依约履行合同、或以不适当的方式履行合同；</w:t>
      </w:r>
    </w:p>
    <w:p w14:paraId="5784708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 未能通过的竣工试验、未能通过的竣工后试验，使工程的任何部分和（或）整个工程丧失了主要使用功能、生产功能；</w:t>
      </w:r>
    </w:p>
    <w:p w14:paraId="17F00DD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 因承包人的原因暂停工作超过56天且暂停影响到整个工程，或因承包人的原因暂停工作超过182天；</w:t>
      </w:r>
    </w:p>
    <w:p w14:paraId="44F1A96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 承包人未能遵守第8.2款[竣工日期]规定，延误超过182天；</w:t>
      </w:r>
    </w:p>
    <w:p w14:paraId="71D22B5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 工程师根据第15.2.2项[通知改正]发出整改通知后，承包人在指定的合理期限内仍不纠正违约行为并致使合同目的不能实现的。</w:t>
      </w:r>
    </w:p>
    <w:bookmarkEnd w:id="1145"/>
    <w:p w14:paraId="1FF24BFC">
      <w:pPr>
        <w:bidi w:val="0"/>
        <w:rPr>
          <w:rFonts w:hint="eastAsia" w:ascii="宋体" w:hAnsi="宋体" w:eastAsia="宋体" w:cs="宋体"/>
          <w:color w:val="000000" w:themeColor="text1"/>
          <w:highlight w:val="none"/>
          <w14:textFill>
            <w14:solidFill>
              <w14:schemeClr w14:val="tx1"/>
            </w14:solidFill>
          </w14:textFill>
        </w:rPr>
      </w:pPr>
      <w:bookmarkStart w:id="1147" w:name="_Ref3841839"/>
      <w:bookmarkStart w:id="1148" w:name="_Ref4624315"/>
      <w:r>
        <w:rPr>
          <w:rFonts w:hint="eastAsia" w:ascii="宋体" w:hAnsi="宋体" w:eastAsia="宋体" w:cs="宋体"/>
          <w:color w:val="000000" w:themeColor="text1"/>
          <w:highlight w:val="none"/>
          <w14:textFill>
            <w14:solidFill>
              <w14:schemeClr w14:val="tx1"/>
            </w14:solidFill>
          </w14:textFill>
        </w:rPr>
        <w:t>16.1.2 因承包人违约解除合同后</w:t>
      </w:r>
      <w:bookmarkEnd w:id="1147"/>
      <w:r>
        <w:rPr>
          <w:rFonts w:hint="eastAsia" w:ascii="宋体" w:hAnsi="宋体" w:eastAsia="宋体" w:cs="宋体"/>
          <w:color w:val="000000" w:themeColor="text1"/>
          <w:highlight w:val="none"/>
          <w14:textFill>
            <w14:solidFill>
              <w14:schemeClr w14:val="tx1"/>
            </w14:solidFill>
          </w14:textFill>
        </w:rPr>
        <w:t>承包人的义务</w:t>
      </w:r>
      <w:bookmarkEnd w:id="1148"/>
    </w:p>
    <w:p w14:paraId="5293781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合同解除后，承包人应按以下约定执行：</w:t>
      </w:r>
    </w:p>
    <w:p w14:paraId="0AEA49C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除了为保护生命、财产或工程安全、清理和必须执行的工作外，停止执行所有被通知解除的工作，并将相关人员撤离现场；</w:t>
      </w:r>
    </w:p>
    <w:p w14:paraId="3950EF2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经发包人批准，承包人应将与被解除合同相关的和正在执行的分包合同及相关的责任和义务转让至发包人和（或）发包人指定方的名下，包括永久性工程及工程物资，以及相关工作；</w:t>
      </w:r>
    </w:p>
    <w:p w14:paraId="65DEA7F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移交已完成的永久性工程及负责已运抵现场的工程物资。在移交前，妥善做好己完工程和已运抵现场的工程物资的保管、维护和保养；</w:t>
      </w:r>
    </w:p>
    <w:p w14:paraId="7F95696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将发包人提供的所有信息及承包人为本工程编制的设计文件、技术资料及其它文件移交给发包人。在承包人留有的资料文件中，销毁与发包人提供的所有信息相关的数据及资料的备份；</w:t>
      </w:r>
    </w:p>
    <w:p w14:paraId="1124BD0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移交相应实施阶段已经付款的并已完成的和尚待完成的设计文件、图纸、资料、操作维修手册、施工组织设计、质检资料、竣工资料等；</w:t>
      </w:r>
    </w:p>
    <w:p w14:paraId="62D9A4E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16.1.3 因承包人违约解除合同后的估价、付款和结算</w:t>
      </w:r>
    </w:p>
    <w:p w14:paraId="24E00F5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因承包人原因导致合同解除的，则合同当事人应在合同解除后28天内完成估价、付款和清算，并按以下约定执行：</w:t>
      </w:r>
    </w:p>
    <w:p w14:paraId="086016F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合同解除后，按第3.6款[商定或确定]商定或确定承包人实际完成工作对应的合同价款，以及承包人已提供的材料、工程设备、施工设备和临时工程等的价值；</w:t>
      </w:r>
    </w:p>
    <w:p w14:paraId="6BD9F92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合同解除后，承包人应支付的违约金；</w:t>
      </w:r>
    </w:p>
    <w:p w14:paraId="7CA6E69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合同解除后，因解除合同给发包人造成的损失；</w:t>
      </w:r>
    </w:p>
    <w:p w14:paraId="50E5D63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合同解除后，承包人应按照发包人的指示完成现场的清理和撤离；</w:t>
      </w:r>
    </w:p>
    <w:p w14:paraId="406B09B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发包人和承包人应在合同解除后进行清算，出具最终结清付款证书，结清全部款项。</w:t>
      </w:r>
    </w:p>
    <w:p w14:paraId="4075081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因承包人违约解除合同的，发包人有权暂停对承包人的付款，查清各项付款和已扣款项，发包人和承包人未能就合同解除后的清算和款项支付达成一致的，按照第20条[争议解决]的约定处理。</w:t>
      </w:r>
    </w:p>
    <w:p w14:paraId="13AA772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16.1.4 因承包人违约解除合同的合同权益转让</w:t>
      </w:r>
    </w:p>
    <w:p w14:paraId="03F66F0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10EE25DC">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49" w:name="_Ref531958554"/>
      <w:bookmarkStart w:id="1150" w:name="_Toc54862305"/>
      <w:bookmarkStart w:id="1151" w:name="_Ref531958549"/>
      <w:r>
        <w:rPr>
          <w:rFonts w:hint="eastAsia" w:ascii="宋体" w:hAnsi="宋体" w:eastAsia="宋体" w:cs="宋体"/>
          <w:color w:val="000000" w:themeColor="text1"/>
          <w:highlight w:val="none"/>
          <w:lang w:val="zh-CN" w:eastAsia="zh-CN"/>
          <w14:textFill>
            <w14:solidFill>
              <w14:schemeClr w14:val="tx1"/>
            </w14:solidFill>
          </w14:textFill>
        </w:rPr>
        <w:t>16.2 由承包人解除合同</w:t>
      </w:r>
      <w:bookmarkEnd w:id="1149"/>
      <w:bookmarkEnd w:id="1150"/>
      <w:bookmarkEnd w:id="1151"/>
    </w:p>
    <w:p w14:paraId="60FA6E7A">
      <w:pPr>
        <w:bidi w:val="0"/>
        <w:rPr>
          <w:rFonts w:hint="eastAsia" w:ascii="宋体" w:hAnsi="宋体" w:eastAsia="宋体" w:cs="宋体"/>
          <w:color w:val="000000" w:themeColor="text1"/>
          <w:highlight w:val="none"/>
          <w14:textFill>
            <w14:solidFill>
              <w14:schemeClr w14:val="tx1"/>
            </w14:solidFill>
          </w14:textFill>
        </w:rPr>
      </w:pPr>
      <w:bookmarkStart w:id="1152" w:name="_Ref3841758"/>
      <w:r>
        <w:rPr>
          <w:rFonts w:hint="eastAsia" w:ascii="宋体" w:hAnsi="宋体" w:eastAsia="宋体" w:cs="宋体"/>
          <w:color w:val="000000" w:themeColor="text1"/>
          <w:highlight w:val="none"/>
          <w14:textFill>
            <w14:solidFill>
              <w14:schemeClr w14:val="tx1"/>
            </w14:solidFill>
          </w14:textFill>
        </w:rPr>
        <w:t>16.2.1 因发包人违约解除合同</w:t>
      </w:r>
      <w:bookmarkEnd w:id="1152"/>
    </w:p>
    <w:p w14:paraId="1BD2F59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2639F3B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承包人就发包人未能遵守第2.5.2项关于发包人的资金安排发出通知后42天内，仍未收到合理的证明；</w:t>
      </w:r>
    </w:p>
    <w:p w14:paraId="3C9DC50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 在第14条规定的付款时间到期后42天内，承包人仍未收到应付款项； </w:t>
      </w:r>
    </w:p>
    <w:p w14:paraId="726DC25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发包人实质上未能根据合同约定履行其义务，构成根本性违约；</w:t>
      </w:r>
    </w:p>
    <w:p w14:paraId="688B901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发承包双方订立本合同协议书后的84天内，承包人未收到根据第8.1款[开始工作]的开始工作通知；</w:t>
      </w:r>
    </w:p>
    <w:p w14:paraId="1464C2B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29F6974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发包人未能遵守第2.5.3项的约定提交支付担保；</w:t>
      </w:r>
    </w:p>
    <w:p w14:paraId="25903B8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 发包人未能执行第15.1.2项[通知改正]的约定，致使合同目的不能实现的；</w:t>
      </w:r>
    </w:p>
    <w:p w14:paraId="3DFD994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 因发包人的原因暂停工作超过56天且暂停影响到整个工程，或因发包人的原因暂停工作超过182天的；</w:t>
      </w:r>
    </w:p>
    <w:p w14:paraId="147E309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 因发包人原因造成开始工作日期迟于承包人收到</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通知书（或在无</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通知书的情况下，订立本合同之日）后第84天的。</w:t>
      </w:r>
    </w:p>
    <w:p w14:paraId="1781792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3301C9CD">
      <w:pPr>
        <w:bidi w:val="0"/>
        <w:rPr>
          <w:rFonts w:hint="eastAsia" w:ascii="宋体" w:hAnsi="宋体" w:eastAsia="宋体" w:cs="宋体"/>
          <w:color w:val="000000" w:themeColor="text1"/>
          <w:highlight w:val="none"/>
          <w14:textFill>
            <w14:solidFill>
              <w14:schemeClr w14:val="tx1"/>
            </w14:solidFill>
          </w14:textFill>
        </w:rPr>
      </w:pPr>
      <w:bookmarkStart w:id="1153" w:name="_Ref3842018"/>
      <w:bookmarkStart w:id="1154" w:name="_Ref4624336"/>
      <w:r>
        <w:rPr>
          <w:rFonts w:hint="eastAsia" w:ascii="宋体" w:hAnsi="宋体" w:eastAsia="宋体" w:cs="宋体"/>
          <w:color w:val="000000" w:themeColor="text1"/>
          <w:highlight w:val="none"/>
          <w14:textFill>
            <w14:solidFill>
              <w14:schemeClr w14:val="tx1"/>
            </w14:solidFill>
          </w14:textFill>
        </w:rPr>
        <w:t>16.2.2 因发包人违约解除合同后</w:t>
      </w:r>
      <w:bookmarkEnd w:id="1153"/>
      <w:r>
        <w:rPr>
          <w:rFonts w:hint="eastAsia" w:ascii="宋体" w:hAnsi="宋体" w:eastAsia="宋体" w:cs="宋体"/>
          <w:color w:val="000000" w:themeColor="text1"/>
          <w:highlight w:val="none"/>
          <w14:textFill>
            <w14:solidFill>
              <w14:schemeClr w14:val="tx1"/>
            </w14:solidFill>
          </w14:textFill>
        </w:rPr>
        <w:t>承包人的义务</w:t>
      </w:r>
      <w:bookmarkEnd w:id="1154"/>
    </w:p>
    <w:p w14:paraId="0119743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合同解除后，承包人应按以下约定执行：</w:t>
      </w:r>
    </w:p>
    <w:p w14:paraId="0D1EBE9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除为保护生命、财产、工程安全的工作外，停止所有进一步的工作；承包人因执行该保护工作而产生费用的，由发包人承担；</w:t>
      </w:r>
    </w:p>
    <w:p w14:paraId="1789C55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向发包人移交承包人已获得支付的承包人文件、生产设备、材料和其他工作；</w:t>
      </w:r>
    </w:p>
    <w:p w14:paraId="272AE0C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从现场运走除为了安全需要以外的所有属于承包人的其他货物，并撤离现场。</w:t>
      </w:r>
    </w:p>
    <w:p w14:paraId="249E37C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16.2.3 因发包人违约解除合同后的付款</w:t>
      </w:r>
    </w:p>
    <w:p w14:paraId="491999D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承包人按照本款约定解除合同的，发包人应在解除合同后28天内支付下列款项，并退还履约担保：</w:t>
      </w:r>
    </w:p>
    <w:p w14:paraId="56A2F8B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合同解除前所完成工作的价款；</w:t>
      </w:r>
    </w:p>
    <w:p w14:paraId="1096B47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承包人为工程施工订购并已付款的材料、工程设备和其他物品的价款；发包人付款后，该材料、工程设备和其他物品归发包人所有；</w:t>
      </w:r>
    </w:p>
    <w:p w14:paraId="5D5FB5B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承包人为完成工程所发生的，而发包人未支付的金额；</w:t>
      </w:r>
    </w:p>
    <w:p w14:paraId="4FF83CC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承包人撤离施工现场以及遣散承包人人员的款项；</w:t>
      </w:r>
    </w:p>
    <w:p w14:paraId="54EBC8A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按照合同约定在合同解除前应支付的违约金；</w:t>
      </w:r>
    </w:p>
    <w:p w14:paraId="225DD21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按照合同约定应当支付给承包人的其他款项；</w:t>
      </w:r>
    </w:p>
    <w:p w14:paraId="364CAA8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 按照合同约定应返还的质量保证金；</w:t>
      </w:r>
    </w:p>
    <w:p w14:paraId="1F4F8FF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 因解除合同给承包人造成的损失。</w:t>
      </w:r>
    </w:p>
    <w:p w14:paraId="212C333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4230284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55" w:name="_Toc54862306"/>
      <w:bookmarkStart w:id="1156" w:name="_Ref3841966"/>
      <w:r>
        <w:rPr>
          <w:rFonts w:hint="eastAsia" w:ascii="宋体" w:hAnsi="宋体" w:eastAsia="宋体" w:cs="宋体"/>
          <w:color w:val="000000" w:themeColor="text1"/>
          <w:highlight w:val="none"/>
          <w:lang w:val="zh-CN" w:eastAsia="zh-CN"/>
          <w14:textFill>
            <w14:solidFill>
              <w14:schemeClr w14:val="tx1"/>
            </w14:solidFill>
          </w14:textFill>
        </w:rPr>
        <w:t>16.3 合同解除后的事项</w:t>
      </w:r>
      <w:bookmarkEnd w:id="1155"/>
      <w:bookmarkEnd w:id="1156"/>
    </w:p>
    <w:p w14:paraId="293BED8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16.3.1 结算约定依然有效</w:t>
      </w:r>
    </w:p>
    <w:p w14:paraId="5D1106A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合同解除后，由发包人或由承包人解除合同的结算及结算后的付款约定仍然有效，直至解除合同的结算工作结清。</w:t>
      </w:r>
    </w:p>
    <w:p w14:paraId="2693FFC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16.3.2 解除合同的争议</w:t>
      </w:r>
    </w:p>
    <w:p w14:paraId="696C989A">
      <w:pPr>
        <w:bidi w:val="0"/>
        <w:rPr>
          <w:rFonts w:hint="eastAsia" w:ascii="宋体" w:hAnsi="宋体" w:eastAsia="宋体" w:cs="宋体"/>
          <w:color w:val="000000" w:themeColor="text1"/>
          <w:highlight w:val="none"/>
          <w14:textFill>
            <w14:solidFill>
              <w14:schemeClr w14:val="tx1"/>
            </w14:solidFill>
          </w14:textFill>
        </w:rPr>
      </w:pPr>
      <w:bookmarkStart w:id="1157" w:name="_Hlk18988355"/>
      <w:r>
        <w:rPr>
          <w:rFonts w:hint="eastAsia" w:ascii="宋体" w:hAnsi="宋体" w:eastAsia="宋体" w:cs="宋体"/>
          <w:color w:val="000000" w:themeColor="text1"/>
          <w:highlight w:val="none"/>
          <w14:textFill>
            <w14:solidFill>
              <w14:schemeClr w14:val="tx1"/>
            </w14:solidFill>
          </w14:textFill>
        </w:rPr>
        <w:t>双方对解除合同或解除合同后的结算有争议的，按照第20条[争议解决]的约定处理。</w:t>
      </w:r>
      <w:bookmarkEnd w:id="1157"/>
    </w:p>
    <w:p w14:paraId="4B8EB41C">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1158" w:name="_Toc8257"/>
      <w:bookmarkStart w:id="1159" w:name="_Ref3840974"/>
      <w:bookmarkStart w:id="1160" w:name="_Toc780"/>
      <w:bookmarkStart w:id="1161" w:name="_Toc20914"/>
      <w:bookmarkStart w:id="1162" w:name="_Toc54862307"/>
      <w:bookmarkStart w:id="1163" w:name="_Ref3840605"/>
      <w:r>
        <w:rPr>
          <w:rFonts w:hint="eastAsia" w:ascii="宋体" w:hAnsi="宋体" w:eastAsia="宋体" w:cs="宋体"/>
          <w:color w:val="000000" w:themeColor="text1"/>
          <w:highlight w:val="none"/>
          <w:lang w:val="zh-CN" w:eastAsia="zh-CN"/>
          <w14:textFill>
            <w14:solidFill>
              <w14:schemeClr w14:val="tx1"/>
            </w14:solidFill>
          </w14:textFill>
        </w:rPr>
        <w:t>第17条 不可抗力</w:t>
      </w:r>
      <w:bookmarkEnd w:id="1158"/>
      <w:bookmarkEnd w:id="1159"/>
      <w:bookmarkEnd w:id="1160"/>
      <w:bookmarkEnd w:id="1161"/>
      <w:bookmarkEnd w:id="1162"/>
    </w:p>
    <w:p w14:paraId="607F5CA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64" w:name="_Ref531958161"/>
      <w:bookmarkStart w:id="1165" w:name="_Ref531958158"/>
      <w:bookmarkStart w:id="1166" w:name="_Toc54862308"/>
      <w:r>
        <w:rPr>
          <w:rFonts w:hint="eastAsia" w:ascii="宋体" w:hAnsi="宋体" w:eastAsia="宋体" w:cs="宋体"/>
          <w:color w:val="000000" w:themeColor="text1"/>
          <w:highlight w:val="none"/>
          <w:lang w:val="zh-CN" w:eastAsia="zh-CN"/>
          <w14:textFill>
            <w14:solidFill>
              <w14:schemeClr w14:val="tx1"/>
            </w14:solidFill>
          </w14:textFill>
        </w:rPr>
        <w:t>17.1 不可抗力的</w:t>
      </w:r>
      <w:bookmarkEnd w:id="1164"/>
      <w:bookmarkEnd w:id="1165"/>
      <w:r>
        <w:rPr>
          <w:rFonts w:hint="eastAsia" w:ascii="宋体" w:hAnsi="宋体" w:eastAsia="宋体" w:cs="宋体"/>
          <w:color w:val="000000" w:themeColor="text1"/>
          <w:highlight w:val="none"/>
          <w:lang w:val="zh-CN" w:eastAsia="zh-CN"/>
          <w14:textFill>
            <w14:solidFill>
              <w14:schemeClr w14:val="tx1"/>
            </w14:solidFill>
          </w14:textFill>
        </w:rPr>
        <w:t>定义</w:t>
      </w:r>
      <w:bookmarkEnd w:id="1166"/>
    </w:p>
    <w:p w14:paraId="5480A1C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35BB945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67" w:name="_Toc54862309"/>
      <w:r>
        <w:rPr>
          <w:rFonts w:hint="eastAsia" w:ascii="宋体" w:hAnsi="宋体" w:eastAsia="宋体" w:cs="宋体"/>
          <w:color w:val="000000" w:themeColor="text1"/>
          <w:highlight w:val="none"/>
          <w:lang w:val="zh-CN" w:eastAsia="zh-CN"/>
          <w14:textFill>
            <w14:solidFill>
              <w14:schemeClr w14:val="tx1"/>
            </w14:solidFill>
          </w14:textFill>
        </w:rPr>
        <w:t>17.2 不可抗力的通知</w:t>
      </w:r>
      <w:bookmarkEnd w:id="1167"/>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3998B7AD">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合同一方当事人觉察或发现不可抗力事件发生，使其履行合同义务受到阻碍时，有义务立即通知合同另一方当事人和工程师，书面说明不可抗力和受阻碍的详细情况，并提供必要的证明。</w:t>
      </w:r>
    </w:p>
    <w:p w14:paraId="1D90FC0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不可抗力持续发生的，合同一方当事人应每隔28天向合同另一方当事人和工程师提交中间报告，说明不可抗力和履行合同受阻的情况，并于不可抗力事件结束后28天内提交最终报告及有关资料。</w:t>
      </w:r>
    </w:p>
    <w:p w14:paraId="1CF00085">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68" w:name="_Toc54862310"/>
      <w:r>
        <w:rPr>
          <w:rFonts w:hint="eastAsia" w:ascii="宋体" w:hAnsi="宋体" w:eastAsia="宋体" w:cs="宋体"/>
          <w:color w:val="000000" w:themeColor="text1"/>
          <w:highlight w:val="none"/>
          <w:lang w:val="zh-CN" w:eastAsia="zh-CN"/>
          <w14:textFill>
            <w14:solidFill>
              <w14:schemeClr w14:val="tx1"/>
            </w14:solidFill>
          </w14:textFill>
        </w:rPr>
        <w:t>17.3 将损失减至最小的义务</w:t>
      </w:r>
      <w:bookmarkEnd w:id="1168"/>
    </w:p>
    <w:p w14:paraId="52A650A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1D0A017B">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69" w:name="_Ref531958170"/>
      <w:bookmarkStart w:id="1170" w:name="_Ref531958172"/>
      <w:bookmarkStart w:id="1171" w:name="_Ref3840916"/>
      <w:bookmarkStart w:id="1172" w:name="_Toc54862311"/>
      <w:r>
        <w:rPr>
          <w:rFonts w:hint="eastAsia" w:ascii="宋体" w:hAnsi="宋体" w:eastAsia="宋体" w:cs="宋体"/>
          <w:color w:val="000000" w:themeColor="text1"/>
          <w:highlight w:val="none"/>
          <w:lang w:val="zh-CN" w:eastAsia="zh-CN"/>
          <w14:textFill>
            <w14:solidFill>
              <w14:schemeClr w14:val="tx1"/>
            </w14:solidFill>
          </w14:textFill>
        </w:rPr>
        <w:t>17.4 不可抗力后果</w:t>
      </w:r>
      <w:bookmarkEnd w:id="1169"/>
      <w:bookmarkEnd w:id="1170"/>
      <w:r>
        <w:rPr>
          <w:rFonts w:hint="eastAsia" w:ascii="宋体" w:hAnsi="宋体" w:eastAsia="宋体" w:cs="宋体"/>
          <w:color w:val="000000" w:themeColor="text1"/>
          <w:highlight w:val="none"/>
          <w:lang w:val="zh-CN" w:eastAsia="zh-CN"/>
          <w14:textFill>
            <w14:solidFill>
              <w14:schemeClr w14:val="tx1"/>
            </w14:solidFill>
          </w14:textFill>
        </w:rPr>
        <w:t>的承担</w:t>
      </w:r>
      <w:bookmarkEnd w:id="1171"/>
      <w:bookmarkEnd w:id="1172"/>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4FFD569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不可抗力导致的人员伤亡、财产损失、费用增加和（或）工期延误等后果，由合同当事人按以下原则承担：</w:t>
      </w:r>
    </w:p>
    <w:p w14:paraId="4736DFB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永久工程，包括已运至施工现场的材料和工程设备的损害，以及因工程损害造成的第三人人员伤亡和财产损失由发包人承担；</w:t>
      </w:r>
    </w:p>
    <w:p w14:paraId="27A337B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承包人提供的施工设备的损坏由承包人承担；</w:t>
      </w:r>
    </w:p>
    <w:p w14:paraId="3EC23E7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发包人和承包人各自承担其人员伤亡及其他财产损失；</w:t>
      </w:r>
    </w:p>
    <w:p w14:paraId="6ADC37E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因不可抗力影响承包人履行合同约定的义务，已经引起或将引起工期延误的，应当顺延工期，由此导致承包人停工的费用损失由发包人和承包人合理分担，</w:t>
      </w:r>
      <w:bookmarkStart w:id="1173" w:name="_Hlk51507024"/>
      <w:r>
        <w:rPr>
          <w:rFonts w:hint="eastAsia" w:ascii="宋体" w:hAnsi="宋体" w:eastAsia="宋体" w:cs="宋体"/>
          <w:color w:val="000000" w:themeColor="text1"/>
          <w:highlight w:val="none"/>
          <w14:textFill>
            <w14:solidFill>
              <w14:schemeClr w14:val="tx1"/>
            </w14:solidFill>
          </w14:textFill>
        </w:rPr>
        <w:t>停工期间必须支付的现场必要的工人工资</w:t>
      </w:r>
      <w:bookmarkEnd w:id="1173"/>
      <w:r>
        <w:rPr>
          <w:rFonts w:hint="eastAsia" w:ascii="宋体" w:hAnsi="宋体" w:eastAsia="宋体" w:cs="宋体"/>
          <w:color w:val="000000" w:themeColor="text1"/>
          <w:highlight w:val="none"/>
          <w14:textFill>
            <w14:solidFill>
              <w14:schemeClr w14:val="tx1"/>
            </w14:solidFill>
          </w14:textFill>
        </w:rPr>
        <w:t>由发包人承担；</w:t>
      </w:r>
    </w:p>
    <w:p w14:paraId="4B4BCAF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因不可抗力引起或将引起工期延误，发包人指示赶工的，由此增加的赶工费用由发包人承担；</w:t>
      </w:r>
    </w:p>
    <w:p w14:paraId="4252B72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承包人在停工期间按照工程师或发包人要求照管、清理和修复工程的费用由发包人承担。</w:t>
      </w:r>
    </w:p>
    <w:p w14:paraId="10D477D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不可抗力引起的后果及造成的损失由合同当事人按照法律规定及合同约定各自承担。不可抗力发生前已完成的工程应当按照合同约定进行支付。</w:t>
      </w:r>
    </w:p>
    <w:p w14:paraId="71EF9878">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74" w:name="_Toc54862312"/>
      <w:r>
        <w:rPr>
          <w:rFonts w:hint="eastAsia" w:ascii="宋体" w:hAnsi="宋体" w:eastAsia="宋体" w:cs="宋体"/>
          <w:color w:val="000000" w:themeColor="text1"/>
          <w:highlight w:val="none"/>
          <w:lang w:val="zh-CN" w:eastAsia="zh-CN"/>
          <w14:textFill>
            <w14:solidFill>
              <w14:schemeClr w14:val="tx1"/>
            </w14:solidFill>
          </w14:textFill>
        </w:rPr>
        <w:t>17.5 不可抗力影响分包人</w:t>
      </w:r>
      <w:bookmarkEnd w:id="1174"/>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4E9EC64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分包人根据分包合同的约定，有权获得更多或者更广的不可抗力而免除某些义务时，承包人不得以分包合同中不可抗力约定向发包人抗辩免除其义务。</w:t>
      </w:r>
    </w:p>
    <w:p w14:paraId="364C1998">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75" w:name="_Ref531958184"/>
      <w:bookmarkStart w:id="1176" w:name="_Ref531958181"/>
      <w:bookmarkStart w:id="1177" w:name="_Toc54862313"/>
      <w:bookmarkStart w:id="1178" w:name="_Ref4538024"/>
      <w:bookmarkStart w:id="1179" w:name="_Ref3840892"/>
      <w:r>
        <w:rPr>
          <w:rFonts w:hint="eastAsia" w:ascii="宋体" w:hAnsi="宋体" w:eastAsia="宋体" w:cs="宋体"/>
          <w:color w:val="000000" w:themeColor="text1"/>
          <w:highlight w:val="none"/>
          <w:lang w:val="zh-CN" w:eastAsia="zh-CN"/>
          <w14:textFill>
            <w14:solidFill>
              <w14:schemeClr w14:val="tx1"/>
            </w14:solidFill>
          </w14:textFill>
        </w:rPr>
        <w:t>17.6 因不可抗力解除</w:t>
      </w:r>
      <w:bookmarkEnd w:id="1175"/>
      <w:bookmarkEnd w:id="1176"/>
      <w:r>
        <w:rPr>
          <w:rFonts w:hint="eastAsia" w:ascii="宋体" w:hAnsi="宋体" w:eastAsia="宋体" w:cs="宋体"/>
          <w:color w:val="000000" w:themeColor="text1"/>
          <w:highlight w:val="none"/>
          <w:lang w:val="zh-CN" w:eastAsia="zh-CN"/>
          <w14:textFill>
            <w14:solidFill>
              <w14:schemeClr w14:val="tx1"/>
            </w14:solidFill>
          </w14:textFill>
        </w:rPr>
        <w:t>合同</w:t>
      </w:r>
      <w:bookmarkEnd w:id="1177"/>
      <w:bookmarkEnd w:id="1178"/>
      <w:bookmarkEnd w:id="1179"/>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2F27CCB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2906F0D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合同解除前承包人已完成工作的价款；</w:t>
      </w:r>
    </w:p>
    <w:p w14:paraId="340D55D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70A82DE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发包人指示承包人退货或解除订货合同而产生的费用，或因不能退货或解除合同而产生的损失；</w:t>
      </w:r>
    </w:p>
    <w:p w14:paraId="09DA435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 承包人撤离施工现场以及遣散承包人人员的费用；</w:t>
      </w:r>
    </w:p>
    <w:p w14:paraId="3EF2D82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按照合同约定在合同解除前应支付给承包人的其他款项；</w:t>
      </w:r>
    </w:p>
    <w:p w14:paraId="3E53F7B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 扣减承包人按照合同约定应向发包人支付的款项；</w:t>
      </w:r>
    </w:p>
    <w:p w14:paraId="78BF119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 双方商定或确定的其他款项。</w:t>
      </w:r>
    </w:p>
    <w:p w14:paraId="7F752EC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除专用合同条件另有约定外，合同解除后，发包人应当在商定或确定上述款项后28天内完成上述款项的支付。</w:t>
      </w:r>
    </w:p>
    <w:p w14:paraId="5F227B99">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1180" w:name="_Toc23282"/>
      <w:bookmarkStart w:id="1181" w:name="_Ref11848264"/>
      <w:bookmarkStart w:id="1182" w:name="_Ref11848274"/>
      <w:bookmarkStart w:id="1183" w:name="_Toc2381"/>
      <w:bookmarkStart w:id="1184" w:name="_Toc32663"/>
      <w:bookmarkStart w:id="1185" w:name="_Toc54862314"/>
      <w:r>
        <w:rPr>
          <w:rFonts w:hint="eastAsia" w:ascii="宋体" w:hAnsi="宋体" w:eastAsia="宋体" w:cs="宋体"/>
          <w:color w:val="000000" w:themeColor="text1"/>
          <w:highlight w:val="none"/>
          <w:lang w:val="zh-CN" w:eastAsia="zh-CN"/>
          <w14:textFill>
            <w14:solidFill>
              <w14:schemeClr w14:val="tx1"/>
            </w14:solidFill>
          </w14:textFill>
        </w:rPr>
        <w:t>第18条 保险</w:t>
      </w:r>
      <w:bookmarkEnd w:id="1163"/>
      <w:bookmarkEnd w:id="1180"/>
      <w:bookmarkEnd w:id="1181"/>
      <w:bookmarkEnd w:id="1182"/>
      <w:bookmarkEnd w:id="1183"/>
      <w:bookmarkEnd w:id="1184"/>
      <w:bookmarkEnd w:id="1185"/>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3D57C98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86" w:name="_Ref3840730"/>
      <w:bookmarkStart w:id="1187" w:name="_Ref3840734"/>
      <w:bookmarkStart w:id="1188" w:name="_Toc54862315"/>
      <w:bookmarkStart w:id="1189" w:name="_Ref531957914"/>
      <w:bookmarkStart w:id="1190" w:name="_Ref531957911"/>
      <w:bookmarkStart w:id="1191" w:name="_Toc351203616"/>
      <w:r>
        <w:rPr>
          <w:rFonts w:hint="eastAsia" w:ascii="宋体" w:hAnsi="宋体" w:eastAsia="宋体" w:cs="宋体"/>
          <w:color w:val="000000" w:themeColor="text1"/>
          <w:highlight w:val="none"/>
          <w:lang w:val="zh-CN" w:eastAsia="zh-CN"/>
          <w14:textFill>
            <w14:solidFill>
              <w14:schemeClr w14:val="tx1"/>
            </w14:solidFill>
          </w14:textFill>
        </w:rPr>
        <w:t>18.1 设计和工程保险</w:t>
      </w:r>
      <w:bookmarkEnd w:id="1186"/>
      <w:bookmarkEnd w:id="1187"/>
      <w:bookmarkEnd w:id="1188"/>
    </w:p>
    <w:bookmarkEnd w:id="1189"/>
    <w:bookmarkEnd w:id="1190"/>
    <w:p w14:paraId="7D85356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5027CFE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18.1.2 双方应按照专用合同条件的约定投保第三者责任险，并在缺陷责任期终止证书颁发前维持其持续有效。第三者责任险最低投保额应在专用合同条件内约定。</w:t>
      </w:r>
    </w:p>
    <w:p w14:paraId="50A0E55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92" w:name="_Toc54862316"/>
      <w:bookmarkStart w:id="1193" w:name="_Ref3840683"/>
      <w:r>
        <w:rPr>
          <w:rFonts w:hint="eastAsia" w:ascii="宋体" w:hAnsi="宋体" w:eastAsia="宋体" w:cs="宋体"/>
          <w:color w:val="000000" w:themeColor="text1"/>
          <w:highlight w:val="none"/>
          <w:lang w:val="zh-CN" w:eastAsia="zh-CN"/>
          <w14:textFill>
            <w14:solidFill>
              <w14:schemeClr w14:val="tx1"/>
            </w14:solidFill>
          </w14:textFill>
        </w:rPr>
        <w:t>18.2 工伤和意外伤害保险</w:t>
      </w:r>
      <w:bookmarkEnd w:id="1192"/>
      <w:bookmarkEnd w:id="1193"/>
    </w:p>
    <w:p w14:paraId="088432E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18.2.1 发包人应依照法律规定为其在施工现场的雇用人员办理工伤保险，缴纳工伤保险费；并要求工程师及由发包人为履行合同聘请的第三方在施工现场的雇用人员依法办理工伤保险。</w:t>
      </w:r>
    </w:p>
    <w:p w14:paraId="4DEB6CA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18.2.2 承包人应依照法律规定为其履行合同雇用的全部人员办理工伤保险，缴纳工伤保险费，并要求分包人及由承包人为履行合同聘请的第三方雇用的全部人员依法办理工伤保险。</w:t>
      </w:r>
    </w:p>
    <w:p w14:paraId="6FF35BF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18.2.3 发包人和承包人可以为其施工现场的全部人员办理意外伤害保险并支付保险费，包括其员工及为履行合同聘请的第三方的人员，具体事项由合同当事人在专用合同条件约定。</w:t>
      </w:r>
    </w:p>
    <w:p w14:paraId="30702253">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94" w:name="_Ref3840782"/>
      <w:bookmarkStart w:id="1195" w:name="_Toc54862317"/>
      <w:r>
        <w:rPr>
          <w:rFonts w:hint="eastAsia" w:ascii="宋体" w:hAnsi="宋体" w:eastAsia="宋体" w:cs="宋体"/>
          <w:color w:val="000000" w:themeColor="text1"/>
          <w:highlight w:val="none"/>
          <w:lang w:val="zh-CN" w:eastAsia="zh-CN"/>
          <w14:textFill>
            <w14:solidFill>
              <w14:schemeClr w14:val="tx1"/>
            </w14:solidFill>
          </w14:textFill>
        </w:rPr>
        <w:t>18.3 货物保险</w:t>
      </w:r>
      <w:bookmarkEnd w:id="1194"/>
      <w:bookmarkEnd w:id="1195"/>
    </w:p>
    <w:p w14:paraId="165034E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承包人应按照专用合同条件的约定为运抵现场的施工设备、材料、工程设备和临时工程等办理财产保险，保险期限自上述货物运抵现场至其不再为工程所需要为止。</w:t>
      </w:r>
    </w:p>
    <w:p w14:paraId="560920D5">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196" w:name="_Ref4692238"/>
      <w:bookmarkStart w:id="1197" w:name="_Toc54862318"/>
      <w:bookmarkStart w:id="1198" w:name="_Ref4692231"/>
      <w:r>
        <w:rPr>
          <w:rFonts w:hint="eastAsia" w:ascii="宋体" w:hAnsi="宋体" w:eastAsia="宋体" w:cs="宋体"/>
          <w:color w:val="000000" w:themeColor="text1"/>
          <w:highlight w:val="none"/>
          <w:lang w:val="zh-CN" w:eastAsia="zh-CN"/>
          <w14:textFill>
            <w14:solidFill>
              <w14:schemeClr w14:val="tx1"/>
            </w14:solidFill>
          </w14:textFill>
        </w:rPr>
        <w:t>18.4 其他保险</w:t>
      </w:r>
      <w:bookmarkEnd w:id="1196"/>
      <w:bookmarkEnd w:id="1197"/>
      <w:bookmarkEnd w:id="1198"/>
    </w:p>
    <w:p w14:paraId="4D46B4A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1191"/>
      <w:r>
        <w:rPr>
          <w:rFonts w:hint="eastAsia" w:ascii="宋体" w:hAnsi="宋体" w:eastAsia="宋体" w:cs="宋体"/>
          <w:color w:val="000000" w:themeColor="text1"/>
          <w:highlight w:val="none"/>
          <w14:textFill>
            <w14:solidFill>
              <w14:schemeClr w14:val="tx1"/>
            </w14:solidFill>
          </w14:textFill>
        </w:rPr>
        <w:t>保费用包含在合同价格中，但在合同执行过程中，新颁布适用的法律法规规定由承包人投保的强制保险，应根据本合同</w:t>
      </w:r>
      <w:bookmarkStart w:id="1199" w:name="_Toc351203617"/>
      <w:bookmarkStart w:id="1200" w:name="_Toc296503126"/>
      <w:bookmarkStart w:id="1201" w:name="_Toc296346627"/>
      <w:bookmarkStart w:id="1202" w:name="_Toc337558832"/>
      <w:r>
        <w:rPr>
          <w:rFonts w:hint="eastAsia" w:ascii="宋体" w:hAnsi="宋体" w:eastAsia="宋体" w:cs="宋体"/>
          <w:color w:val="000000" w:themeColor="text1"/>
          <w:highlight w:val="none"/>
          <w14:textFill>
            <w14:solidFill>
              <w14:schemeClr w14:val="tx1"/>
            </w14:solidFill>
          </w14:textFill>
        </w:rPr>
        <w:t>第13条[变更与调整]的约定增加合同价款。</w:t>
      </w:r>
    </w:p>
    <w:p w14:paraId="5971D5E4">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203" w:name="_Toc54862319"/>
      <w:bookmarkStart w:id="1204" w:name="_Ref3840659"/>
      <w:r>
        <w:rPr>
          <w:rFonts w:hint="eastAsia" w:ascii="宋体" w:hAnsi="宋体" w:eastAsia="宋体" w:cs="宋体"/>
          <w:color w:val="000000" w:themeColor="text1"/>
          <w:highlight w:val="none"/>
          <w:lang w:val="zh-CN" w:eastAsia="zh-CN"/>
          <w14:textFill>
            <w14:solidFill>
              <w14:schemeClr w14:val="tx1"/>
            </w14:solidFill>
          </w14:textFill>
        </w:rPr>
        <w:t>18.5 对各项保险的一般要求</w:t>
      </w:r>
      <w:bookmarkEnd w:id="1203"/>
      <w:bookmarkEnd w:id="1204"/>
    </w:p>
    <w:p w14:paraId="51CED1B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18.5.1 持续保险</w:t>
      </w:r>
    </w:p>
    <w:p w14:paraId="0CC0A18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合同当事人应与保险人保持联系，使保险人能够随时了</w:t>
      </w:r>
      <w:bookmarkEnd w:id="1199"/>
      <w:r>
        <w:rPr>
          <w:rFonts w:hint="eastAsia" w:ascii="宋体" w:hAnsi="宋体" w:eastAsia="宋体" w:cs="宋体"/>
          <w:color w:val="000000" w:themeColor="text1"/>
          <w:highlight w:val="none"/>
          <w14:textFill>
            <w14:solidFill>
              <w14:schemeClr w14:val="tx1"/>
            </w14:solidFill>
          </w14:textFill>
        </w:rPr>
        <w:t>解</w:t>
      </w:r>
      <w:bookmarkEnd w:id="1200"/>
      <w:bookmarkEnd w:id="1201"/>
      <w:bookmarkEnd w:id="1202"/>
      <w:r>
        <w:rPr>
          <w:rFonts w:hint="eastAsia" w:ascii="宋体" w:hAnsi="宋体" w:eastAsia="宋体" w:cs="宋体"/>
          <w:color w:val="000000" w:themeColor="text1"/>
          <w:highlight w:val="none"/>
          <w14:textFill>
            <w14:solidFill>
              <w14:schemeClr w14:val="tx1"/>
            </w14:solidFill>
          </w14:textFill>
        </w:rPr>
        <w:t>工程实施中的变动，并确保按保险合同条款要求持续保险。</w:t>
      </w:r>
    </w:p>
    <w:p w14:paraId="54F37F38">
      <w:pPr>
        <w:bidi w:val="0"/>
        <w:rPr>
          <w:rFonts w:hint="eastAsia" w:ascii="宋体" w:hAnsi="宋体" w:eastAsia="宋体" w:cs="宋体"/>
          <w:color w:val="000000" w:themeColor="text1"/>
          <w:highlight w:val="none"/>
          <w14:textFill>
            <w14:solidFill>
              <w14:schemeClr w14:val="tx1"/>
            </w14:solidFill>
          </w14:textFill>
        </w:rPr>
      </w:pPr>
      <w:bookmarkStart w:id="1205" w:name="_Ref4777650"/>
      <w:r>
        <w:rPr>
          <w:rFonts w:hint="eastAsia" w:ascii="宋体" w:hAnsi="宋体" w:eastAsia="宋体" w:cs="宋体"/>
          <w:color w:val="000000" w:themeColor="text1"/>
          <w:highlight w:val="none"/>
          <w14:textFill>
            <w14:solidFill>
              <w14:schemeClr w14:val="tx1"/>
            </w14:solidFill>
          </w14:textFill>
        </w:rPr>
        <w:t>18.5.2 保险凭证</w:t>
      </w:r>
      <w:bookmarkEnd w:id="1205"/>
    </w:p>
    <w:p w14:paraId="577402F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合同当事人应及时向另一方当事人提交其已投保的各项保险的凭证和保险单复印件，保险单必须与专用合同条件约定的条件保持一致。</w:t>
      </w:r>
    </w:p>
    <w:p w14:paraId="068962B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18.5.3 未按约定投保的补救</w:t>
      </w:r>
    </w:p>
    <w:p w14:paraId="2713C7D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负有投保义务的一方当事人未按合同约定办理保险，或未能使保险持续有效的，则另一方当事人可代为办理，所需费用由负有投保义务的一方当事人承担。</w:t>
      </w:r>
    </w:p>
    <w:p w14:paraId="0466DF0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负有投保</w:t>
      </w:r>
      <w:bookmarkStart w:id="1206" w:name="_Toc351203619"/>
      <w:bookmarkStart w:id="1207" w:name="_Toc337558834"/>
      <w:r>
        <w:rPr>
          <w:rFonts w:hint="eastAsia" w:ascii="宋体" w:hAnsi="宋体" w:eastAsia="宋体" w:cs="宋体"/>
          <w:color w:val="000000" w:themeColor="text1"/>
          <w:highlight w:val="none"/>
          <w14:textFill>
            <w14:solidFill>
              <w14:schemeClr w14:val="tx1"/>
            </w14:solidFill>
          </w14:textFill>
        </w:rPr>
        <w:t>义务的一方当事人未</w:t>
      </w:r>
      <w:bookmarkEnd w:id="1206"/>
      <w:r>
        <w:rPr>
          <w:rFonts w:hint="eastAsia" w:ascii="宋体" w:hAnsi="宋体" w:eastAsia="宋体" w:cs="宋体"/>
          <w:color w:val="000000" w:themeColor="text1"/>
          <w:highlight w:val="none"/>
          <w14:textFill>
            <w14:solidFill>
              <w14:schemeClr w14:val="tx1"/>
            </w14:solidFill>
          </w14:textFill>
        </w:rPr>
        <w:t>按</w:t>
      </w:r>
      <w:bookmarkEnd w:id="1207"/>
      <w:r>
        <w:rPr>
          <w:rFonts w:hint="eastAsia" w:ascii="宋体" w:hAnsi="宋体" w:eastAsia="宋体" w:cs="宋体"/>
          <w:color w:val="000000" w:themeColor="text1"/>
          <w:highlight w:val="none"/>
          <w14:textFill>
            <w14:solidFill>
              <w14:schemeClr w14:val="tx1"/>
            </w14:solidFill>
          </w14:textFill>
        </w:rPr>
        <w:t>合同约定办理某项保险，导致受益人未能得到足额赔偿的，由负有投保义务的一方当事人负责按照原应从该项保险得到的保险金数额进行补足。</w:t>
      </w:r>
    </w:p>
    <w:p w14:paraId="6B527975">
      <w:pPr>
        <w:bidi w:val="0"/>
        <w:rPr>
          <w:rFonts w:hint="eastAsia" w:ascii="宋体" w:hAnsi="宋体" w:eastAsia="宋体" w:cs="宋体"/>
          <w:color w:val="000000" w:themeColor="text1"/>
          <w:highlight w:val="none"/>
          <w14:textFill>
            <w14:solidFill>
              <w14:schemeClr w14:val="tx1"/>
            </w14:solidFill>
          </w14:textFill>
        </w:rPr>
      </w:pPr>
      <w:bookmarkStart w:id="1208" w:name="_Ref4692685"/>
      <w:r>
        <w:rPr>
          <w:rFonts w:hint="eastAsia" w:ascii="宋体" w:hAnsi="宋体" w:eastAsia="宋体" w:cs="宋体"/>
          <w:color w:val="000000" w:themeColor="text1"/>
          <w:highlight w:val="none"/>
          <w14:textFill>
            <w14:solidFill>
              <w14:schemeClr w14:val="tx1"/>
            </w14:solidFill>
          </w14:textFill>
        </w:rPr>
        <w:t>18.5.4 通知义务</w:t>
      </w:r>
      <w:bookmarkEnd w:id="1208"/>
    </w:p>
    <w:p w14:paraId="78FFCCB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除专用合同条件另有约定外，任何一方当事人变更除工伤保险之外的保险合同时，应事先征得另一方当事人同意，并通知工程师。</w:t>
      </w:r>
    </w:p>
    <w:p w14:paraId="76279F7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5E911EF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双方按本条规定投保不减少双方在合同下的其他义务。</w:t>
      </w:r>
    </w:p>
    <w:p w14:paraId="7B9BCFBF">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1209" w:name="_Toc11885"/>
      <w:bookmarkStart w:id="1210" w:name="_Toc6032"/>
      <w:bookmarkStart w:id="1211" w:name="_Ref11874997"/>
      <w:bookmarkStart w:id="1212" w:name="_Toc54862320"/>
      <w:bookmarkStart w:id="1213" w:name="_Toc397"/>
      <w:r>
        <w:rPr>
          <w:rFonts w:hint="eastAsia" w:ascii="宋体" w:hAnsi="宋体" w:eastAsia="宋体" w:cs="宋体"/>
          <w:color w:val="000000" w:themeColor="text1"/>
          <w:highlight w:val="none"/>
          <w:lang w:val="zh-CN" w:eastAsia="zh-CN"/>
          <w14:textFill>
            <w14:solidFill>
              <w14:schemeClr w14:val="tx1"/>
            </w14:solidFill>
          </w14:textFill>
        </w:rPr>
        <w:t>第19条 索赔</w:t>
      </w:r>
      <w:bookmarkEnd w:id="1139"/>
      <w:bookmarkEnd w:id="1140"/>
      <w:bookmarkEnd w:id="1209"/>
      <w:bookmarkEnd w:id="1210"/>
      <w:bookmarkEnd w:id="1211"/>
      <w:bookmarkEnd w:id="1212"/>
      <w:bookmarkEnd w:id="1213"/>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5184E18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214" w:name="_Ref4798164"/>
      <w:bookmarkStart w:id="1215" w:name="_Ref4798173"/>
      <w:bookmarkStart w:id="1216" w:name="_Toc54862321"/>
      <w:r>
        <w:rPr>
          <w:rFonts w:hint="eastAsia" w:ascii="宋体" w:hAnsi="宋体" w:eastAsia="宋体" w:cs="宋体"/>
          <w:color w:val="000000" w:themeColor="text1"/>
          <w:highlight w:val="none"/>
          <w:lang w:val="zh-CN" w:eastAsia="zh-CN"/>
          <w14:textFill>
            <w14:solidFill>
              <w14:schemeClr w14:val="tx1"/>
            </w14:solidFill>
          </w14:textFill>
        </w:rPr>
        <w:t>19.1 索赔</w:t>
      </w:r>
      <w:bookmarkEnd w:id="1214"/>
      <w:bookmarkEnd w:id="1215"/>
      <w:r>
        <w:rPr>
          <w:rFonts w:hint="eastAsia" w:ascii="宋体" w:hAnsi="宋体" w:eastAsia="宋体" w:cs="宋体"/>
          <w:color w:val="000000" w:themeColor="text1"/>
          <w:highlight w:val="none"/>
          <w:lang w:val="zh-CN" w:eastAsia="zh-CN"/>
          <w14:textFill>
            <w14:solidFill>
              <w14:schemeClr w14:val="tx1"/>
            </w14:solidFill>
          </w14:textFill>
        </w:rPr>
        <w:t>的提出</w:t>
      </w:r>
      <w:bookmarkEnd w:id="1216"/>
    </w:p>
    <w:p w14:paraId="3E37D0C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根据合同约定，任意一方认为有权得到追加/减少付款、延长缺陷责任期和（或）延长工期的，应按以下程序向对方提出索赔：</w:t>
      </w:r>
    </w:p>
    <w:p w14:paraId="6B74CB4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7FF597E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索赔方应在发出索赔意向通知书后28天内，向对方正式递交索赔报告；索赔报告应详细说明索赔理由以及要求追加的付款金额、延长缺陷责任期和（或）延长的工期，并附必要的记录和证明材料；</w:t>
      </w:r>
    </w:p>
    <w:p w14:paraId="1C6AD759">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索赔事件具有持续影响的，索赔方应每月递交延续索赔通知，说明持续影响的实际情况和记录，列出累计的追加付款金额、延长缺陷责任期和（或）工期延长天数；</w:t>
      </w:r>
    </w:p>
    <w:p w14:paraId="3320C096">
      <w:pPr>
        <w:bidi w:val="0"/>
        <w:rPr>
          <w:rFonts w:hint="eastAsia" w:ascii="宋体" w:hAnsi="宋体" w:eastAsia="宋体" w:cs="宋体"/>
          <w:color w:val="000000" w:themeColor="text1"/>
          <w:highlight w:val="none"/>
          <w14:textFill>
            <w14:solidFill>
              <w14:schemeClr w14:val="tx1"/>
            </w14:solidFill>
          </w14:textFill>
        </w:rPr>
      </w:pPr>
      <w:bookmarkStart w:id="1217" w:name="_Ref4796178"/>
      <w:r>
        <w:rPr>
          <w:rFonts w:hint="eastAsia" w:ascii="宋体" w:hAnsi="宋体" w:eastAsia="宋体" w:cs="宋体"/>
          <w:color w:val="000000" w:themeColor="text1"/>
          <w:highlight w:val="none"/>
          <w14:textFill>
            <w14:solidFill>
              <w14:schemeClr w14:val="tx1"/>
            </w14:solidFill>
          </w14:textFill>
        </w:rPr>
        <w:t>（4） 在索赔事件影响结束后28天内，索赔方应向对方递交最终索赔报告，说明最终要求索赔的追加付款金额、延长缺陷责任期和（或）延长的工期，并附必要的记录和证明材料。</w:t>
      </w:r>
      <w:bookmarkEnd w:id="1217"/>
    </w:p>
    <w:p w14:paraId="19B076CC">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44EDCC8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218" w:name="_Ref4796254"/>
      <w:bookmarkStart w:id="1219" w:name="_Toc54862322"/>
      <w:bookmarkStart w:id="1220" w:name="_Ref4796262"/>
      <w:r>
        <w:rPr>
          <w:rFonts w:hint="eastAsia" w:ascii="宋体" w:hAnsi="宋体" w:eastAsia="宋体" w:cs="宋体"/>
          <w:color w:val="000000" w:themeColor="text1"/>
          <w:highlight w:val="none"/>
          <w:lang w:val="zh-CN" w:eastAsia="zh-CN"/>
          <w14:textFill>
            <w14:solidFill>
              <w14:schemeClr w14:val="tx1"/>
            </w14:solidFill>
          </w14:textFill>
        </w:rPr>
        <w:t>19.2 承包人索赔的处理程序</w:t>
      </w:r>
      <w:bookmarkEnd w:id="1218"/>
      <w:bookmarkEnd w:id="1219"/>
      <w:bookmarkEnd w:id="1220"/>
    </w:p>
    <w:p w14:paraId="10319190">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工程师收到承包人提交的索赔报告后，应及时审查索赔报告的内容、查验承包人的记录和证明材料，必要时工程师可要求承包人提交全部原始记录副本。</w:t>
      </w:r>
    </w:p>
    <w:p w14:paraId="7D4449A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1EEBB41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承包人接受索赔处理结果的，发包人应在作出索赔处理结果答复后28天内完成支付。承包人不接受索赔处理结果的，按照第20条[争议解决]约定处理。</w:t>
      </w:r>
    </w:p>
    <w:p w14:paraId="11348B45">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221" w:name="_Toc54862323"/>
      <w:r>
        <w:rPr>
          <w:rFonts w:hint="eastAsia" w:ascii="宋体" w:hAnsi="宋体" w:eastAsia="宋体" w:cs="宋体"/>
          <w:color w:val="000000" w:themeColor="text1"/>
          <w:highlight w:val="none"/>
          <w:lang w:val="zh-CN" w:eastAsia="zh-CN"/>
          <w14:textFill>
            <w14:solidFill>
              <w14:schemeClr w14:val="tx1"/>
            </w14:solidFill>
          </w14:textFill>
        </w:rPr>
        <w:t>19.3 发包人索赔的处理程序</w:t>
      </w:r>
      <w:bookmarkEnd w:id="1221"/>
    </w:p>
    <w:p w14:paraId="78AFF9D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承包人收到发包人提交的索赔报告后，应及时审查索赔报告的内容、查验发包人证明材料；</w:t>
      </w:r>
    </w:p>
    <w:p w14:paraId="77A17A1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承包人应在收到上述索赔报告或有关索赔的进一步证明材料后42天内，将索赔处理结果答复发包人。承包人在收到索赔通知书或有关索赔的进一步证明材料后的42天内不予答复的，视为认可索赔。</w:t>
      </w:r>
    </w:p>
    <w:p w14:paraId="41D36F44">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 发包人接受索赔处理结果的，发包人可从应支付给承包人的合同价款中扣除赔付的金额或延长缺陷责任期；发包人不接受索赔处理结果的，按第20条[争议解决]约定处理。</w:t>
      </w:r>
    </w:p>
    <w:p w14:paraId="42927B5D">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222" w:name="_Toc54862324"/>
      <w:r>
        <w:rPr>
          <w:rFonts w:hint="eastAsia" w:ascii="宋体" w:hAnsi="宋体" w:eastAsia="宋体" w:cs="宋体"/>
          <w:color w:val="000000" w:themeColor="text1"/>
          <w:highlight w:val="none"/>
          <w:lang w:val="zh-CN" w:eastAsia="zh-CN"/>
          <w14:textFill>
            <w14:solidFill>
              <w14:schemeClr w14:val="tx1"/>
            </w14:solidFill>
          </w14:textFill>
        </w:rPr>
        <w:t>19.4 提出索赔的期限</w:t>
      </w:r>
      <w:bookmarkEnd w:id="1222"/>
    </w:p>
    <w:p w14:paraId="784FE2F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承包人按第14.5款[竣工结算</w:t>
      </w:r>
      <w:bookmarkStart w:id="1223" w:name="_Ref3826634"/>
      <w:bookmarkStart w:id="1224" w:name="_Ref3826629"/>
      <w:r>
        <w:rPr>
          <w:rFonts w:hint="eastAsia" w:ascii="宋体" w:hAnsi="宋体" w:eastAsia="宋体" w:cs="宋体"/>
          <w:color w:val="000000" w:themeColor="text1"/>
          <w:highlight w:val="none"/>
          <w14:textFill>
            <w14:solidFill>
              <w14:schemeClr w14:val="tx1"/>
            </w14:solidFill>
          </w14:textFill>
        </w:rPr>
        <w:t>]约定接收竣工付款证书后，应被认为已无权再提出在合同工程接收证书颁发前所发生的任何索赔。</w:t>
      </w:r>
    </w:p>
    <w:p w14:paraId="6B484C0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承包人按第14.7款[最终结清]提交的最终结清申请单中，只限于提出工程接收证书颁发后发生的索赔。提出索赔的期限均自接受最终结清证书时终止。</w:t>
      </w:r>
      <w:bookmarkEnd w:id="1223"/>
      <w:bookmarkEnd w:id="1224"/>
    </w:p>
    <w:p w14:paraId="6101CCED">
      <w:pPr>
        <w:pStyle w:val="6"/>
        <w:bidi w:val="0"/>
        <w:rPr>
          <w:rFonts w:hint="eastAsia" w:ascii="宋体" w:hAnsi="宋体" w:eastAsia="宋体" w:cs="宋体"/>
          <w:color w:val="000000" w:themeColor="text1"/>
          <w:highlight w:val="none"/>
          <w:lang w:val="zh-CN" w:eastAsia="zh-CN"/>
          <w14:textFill>
            <w14:solidFill>
              <w14:schemeClr w14:val="tx1"/>
            </w14:solidFill>
          </w14:textFill>
        </w:rPr>
      </w:pPr>
      <w:bookmarkStart w:id="1225" w:name="_Ref532142075"/>
      <w:bookmarkStart w:id="1226" w:name="_Toc54862325"/>
      <w:bookmarkStart w:id="1227" w:name="_Toc25203"/>
      <w:bookmarkStart w:id="1228" w:name="_Toc1447"/>
      <w:bookmarkStart w:id="1229" w:name="_Toc10357"/>
      <w:bookmarkStart w:id="1230" w:name="_Ref532197861"/>
      <w:r>
        <w:rPr>
          <w:rFonts w:hint="eastAsia" w:ascii="宋体" w:hAnsi="宋体" w:eastAsia="宋体" w:cs="宋体"/>
          <w:color w:val="000000" w:themeColor="text1"/>
          <w:highlight w:val="none"/>
          <w:lang w:val="zh-CN" w:eastAsia="zh-CN"/>
          <w14:textFill>
            <w14:solidFill>
              <w14:schemeClr w14:val="tx1"/>
            </w14:solidFill>
          </w14:textFill>
        </w:rPr>
        <w:t>第20条 争议解决</w:t>
      </w:r>
      <w:bookmarkEnd w:id="1225"/>
      <w:bookmarkEnd w:id="1226"/>
      <w:bookmarkEnd w:id="1227"/>
      <w:bookmarkEnd w:id="1228"/>
      <w:bookmarkEnd w:id="1229"/>
      <w:bookmarkEnd w:id="1230"/>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0D2CC012">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231" w:name="_Toc54862326"/>
      <w:bookmarkStart w:id="1232" w:name="_Ref415507198"/>
      <w:r>
        <w:rPr>
          <w:rFonts w:hint="eastAsia" w:ascii="宋体" w:hAnsi="宋体" w:eastAsia="宋体" w:cs="宋体"/>
          <w:color w:val="000000" w:themeColor="text1"/>
          <w:highlight w:val="none"/>
          <w:lang w:val="zh-CN" w:eastAsia="zh-CN"/>
          <w14:textFill>
            <w14:solidFill>
              <w14:schemeClr w14:val="tx1"/>
            </w14:solidFill>
          </w14:textFill>
        </w:rPr>
        <w:t>20.1 和解</w:t>
      </w:r>
      <w:bookmarkEnd w:id="1231"/>
      <w:bookmarkEnd w:id="1232"/>
    </w:p>
    <w:p w14:paraId="699EA96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合同当事人可以就争议自行和解，自行和解达成协议的经双方签字并盖章后作为合同补充文件，双方均应遵照执行。</w:t>
      </w:r>
    </w:p>
    <w:p w14:paraId="112CBBF5">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233" w:name="_Toc54862327"/>
      <w:r>
        <w:rPr>
          <w:rFonts w:hint="eastAsia" w:ascii="宋体" w:hAnsi="宋体" w:eastAsia="宋体" w:cs="宋体"/>
          <w:color w:val="000000" w:themeColor="text1"/>
          <w:highlight w:val="none"/>
          <w:lang w:val="zh-CN" w:eastAsia="zh-CN"/>
          <w14:textFill>
            <w14:solidFill>
              <w14:schemeClr w14:val="tx1"/>
            </w14:solidFill>
          </w14:textFill>
        </w:rPr>
        <w:t>20.2 调解</w:t>
      </w:r>
      <w:bookmarkEnd w:id="1233"/>
      <w:r>
        <w:rPr>
          <w:rFonts w:hint="eastAsia" w:ascii="宋体" w:hAnsi="宋体" w:eastAsia="宋体" w:cs="宋体"/>
          <w:color w:val="000000" w:themeColor="text1"/>
          <w:highlight w:val="none"/>
          <w:lang w:val="zh-CN" w:eastAsia="zh-CN"/>
          <w14:textFill>
            <w14:solidFill>
              <w14:schemeClr w14:val="tx1"/>
            </w14:solidFill>
          </w14:textFill>
        </w:rPr>
        <w:t xml:space="preserve"> </w:t>
      </w:r>
    </w:p>
    <w:p w14:paraId="3B3DF813">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合同当事人可以就争议请求建设行政主管部门、行业协会或其他第三方进行调解，调解达成协议的，经双方签字盖章后作为合同补充文件，双方均应遵照执行。</w:t>
      </w:r>
    </w:p>
    <w:p w14:paraId="35CEAD30">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234" w:name="_Toc54862328"/>
      <w:bookmarkStart w:id="1235" w:name="_Ref532221527"/>
      <w:bookmarkStart w:id="1236" w:name="_Ref532221532"/>
      <w:r>
        <w:rPr>
          <w:rFonts w:hint="eastAsia" w:ascii="宋体" w:hAnsi="宋体" w:eastAsia="宋体" w:cs="宋体"/>
          <w:color w:val="000000" w:themeColor="text1"/>
          <w:highlight w:val="none"/>
          <w:lang w:val="zh-CN" w:eastAsia="zh-CN"/>
          <w14:textFill>
            <w14:solidFill>
              <w14:schemeClr w14:val="tx1"/>
            </w14:solidFill>
          </w14:textFill>
        </w:rPr>
        <w:t>20.3 争议评审</w:t>
      </w:r>
      <w:bookmarkEnd w:id="1234"/>
      <w:bookmarkEnd w:id="1235"/>
      <w:bookmarkEnd w:id="1236"/>
    </w:p>
    <w:p w14:paraId="7E57C7DE">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合同当事人在专用合同条件中约定采取争议评审方式及评审规则解决争议的，按下列约定执行：</w:t>
      </w:r>
    </w:p>
    <w:p w14:paraId="6C8B42B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20.3.1 争议评审小组的确定</w:t>
      </w:r>
    </w:p>
    <w:p w14:paraId="4D23D3F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6B5EFD3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401D0A5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除专用合同条件另有约定外，争议评审员报酬由发包人和承包人各承担一半。</w:t>
      </w:r>
    </w:p>
    <w:p w14:paraId="35BAE17D">
      <w:pPr>
        <w:bidi w:val="0"/>
        <w:rPr>
          <w:rFonts w:hint="eastAsia" w:ascii="宋体" w:hAnsi="宋体" w:eastAsia="宋体" w:cs="宋体"/>
          <w:color w:val="000000" w:themeColor="text1"/>
          <w:highlight w:val="none"/>
          <w14:textFill>
            <w14:solidFill>
              <w14:schemeClr w14:val="tx1"/>
            </w14:solidFill>
          </w14:textFill>
        </w:rPr>
      </w:pPr>
      <w:bookmarkStart w:id="1237" w:name="_Ref532287270"/>
      <w:r>
        <w:rPr>
          <w:rFonts w:hint="eastAsia" w:ascii="宋体" w:hAnsi="宋体" w:eastAsia="宋体" w:cs="宋体"/>
          <w:color w:val="000000" w:themeColor="text1"/>
          <w:highlight w:val="none"/>
          <w14:textFill>
            <w14:solidFill>
              <w14:schemeClr w14:val="tx1"/>
            </w14:solidFill>
          </w14:textFill>
        </w:rPr>
        <w:t>20.3.2 争议的避免</w:t>
      </w:r>
      <w:bookmarkEnd w:id="1237"/>
    </w:p>
    <w:p w14:paraId="14DA215B">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合同当事人协商一致，可以共同书面请求争议评审小组，就合同履行过程中可能出现争议的情况提供协助或进行非正式讨论，争议评审小组应给出公正的意见或建议。</w:t>
      </w:r>
    </w:p>
    <w:p w14:paraId="40E20005">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此类协助或非正式讨论可在任何会议、施工现场视察或其他场合进行，并且除专用合同条件另有约定外，发包人和承包人均应出席。</w:t>
      </w:r>
    </w:p>
    <w:p w14:paraId="02FD0DC1">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争议评审小组在此类非正式讨论上给出的任何意见或建议，无论是口头还是书面的，对发包人和承包人不具有约束力，争议评审小组在之后的争议评审程序或决定中也不受此类意见或建议的约束。</w:t>
      </w:r>
    </w:p>
    <w:p w14:paraId="6118D5B3">
      <w:pPr>
        <w:bidi w:val="0"/>
        <w:rPr>
          <w:rFonts w:hint="eastAsia" w:ascii="宋体" w:hAnsi="宋体" w:eastAsia="宋体" w:cs="宋体"/>
          <w:color w:val="000000" w:themeColor="text1"/>
          <w:highlight w:val="none"/>
          <w14:textFill>
            <w14:solidFill>
              <w14:schemeClr w14:val="tx1"/>
            </w14:solidFill>
          </w14:textFill>
        </w:rPr>
      </w:pPr>
      <w:bookmarkStart w:id="1238" w:name="_Ref4695594"/>
      <w:r>
        <w:rPr>
          <w:rFonts w:hint="eastAsia" w:ascii="宋体" w:hAnsi="宋体" w:eastAsia="宋体" w:cs="宋体"/>
          <w:color w:val="000000" w:themeColor="text1"/>
          <w:highlight w:val="none"/>
          <w14:textFill>
            <w14:solidFill>
              <w14:schemeClr w14:val="tx1"/>
            </w14:solidFill>
          </w14:textFill>
        </w:rPr>
        <w:t>20.3.3 争议评审小组的决定</w:t>
      </w:r>
      <w:bookmarkEnd w:id="1238"/>
    </w:p>
    <w:p w14:paraId="7A259F1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7AA30B9A">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20.3.4 争议评审小组决定的效力</w:t>
      </w:r>
    </w:p>
    <w:p w14:paraId="6C5ECFA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争议评审小组作出的书面决定经合同当事人签字确认后，对双方具有约束力，双方应遵照执行。</w:t>
      </w:r>
    </w:p>
    <w:p w14:paraId="1302BA26">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任何一方当事人不接受争议评审小组决定或不履行争议评审小组决定的，双方可选择采用其他争议解决方式。</w:t>
      </w:r>
    </w:p>
    <w:p w14:paraId="06DAE4F8">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任何一方当事人不接受争议评审小组的决定，并不影响暂时执行争议评审小组的决定，直到在后续的采用其他争议解决方式中对争议评审小组的决定进行了改变。</w:t>
      </w:r>
    </w:p>
    <w:p w14:paraId="06767D7F">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239" w:name="_Ref532221752"/>
      <w:bookmarkStart w:id="1240" w:name="_Toc54862329"/>
      <w:bookmarkStart w:id="1241" w:name="_Ref532221748"/>
      <w:r>
        <w:rPr>
          <w:rFonts w:hint="eastAsia" w:ascii="宋体" w:hAnsi="宋体" w:eastAsia="宋体" w:cs="宋体"/>
          <w:color w:val="000000" w:themeColor="text1"/>
          <w:highlight w:val="none"/>
          <w:lang w:val="zh-CN" w:eastAsia="zh-CN"/>
          <w14:textFill>
            <w14:solidFill>
              <w14:schemeClr w14:val="tx1"/>
            </w14:solidFill>
          </w14:textFill>
        </w:rPr>
        <w:t>20.4 仲裁或诉讼</w:t>
      </w:r>
      <w:bookmarkEnd w:id="1239"/>
      <w:bookmarkEnd w:id="1240"/>
      <w:bookmarkEnd w:id="1241"/>
    </w:p>
    <w:p w14:paraId="1B1600E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因合同及合同有关事项产生的争议，合同当事人可以在专用合同条件中约定以下一种方式解决争议：</w:t>
      </w:r>
    </w:p>
    <w:p w14:paraId="254D2DBF">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 向约定的仲裁委员会申请仲裁；</w:t>
      </w:r>
    </w:p>
    <w:p w14:paraId="7B094E72">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向有管辖权的人民法院起诉。</w:t>
      </w:r>
    </w:p>
    <w:p w14:paraId="133A8289">
      <w:pPr>
        <w:bidi w:val="0"/>
        <w:rPr>
          <w:rFonts w:hint="eastAsia" w:ascii="宋体" w:hAnsi="宋体" w:eastAsia="宋体" w:cs="宋体"/>
          <w:color w:val="000000" w:themeColor="text1"/>
          <w:highlight w:val="none"/>
          <w:lang w:val="zh-CN" w:eastAsia="zh-CN"/>
          <w14:textFill>
            <w14:solidFill>
              <w14:schemeClr w14:val="tx1"/>
            </w14:solidFill>
          </w14:textFill>
        </w:rPr>
      </w:pPr>
      <w:bookmarkStart w:id="1242" w:name="_Toc54862330"/>
      <w:r>
        <w:rPr>
          <w:rFonts w:hint="eastAsia" w:ascii="宋体" w:hAnsi="宋体" w:eastAsia="宋体" w:cs="宋体"/>
          <w:color w:val="000000" w:themeColor="text1"/>
          <w:highlight w:val="none"/>
          <w:lang w:val="zh-CN" w:eastAsia="zh-CN"/>
          <w14:textFill>
            <w14:solidFill>
              <w14:schemeClr w14:val="tx1"/>
            </w14:solidFill>
          </w14:textFill>
        </w:rPr>
        <w:t>20.5 争议解决条款效力</w:t>
      </w:r>
      <w:bookmarkEnd w:id="1242"/>
    </w:p>
    <w:p w14:paraId="67BD7697">
      <w:pP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合同有关争议解决的条款独立存在，合同的不生效、无效、被撤销或者终止的，不影响合同中有关争议解决条款的效力。</w:t>
      </w:r>
    </w:p>
    <w:p w14:paraId="765804E3">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48857EB7">
      <w:pPr>
        <w:pStyle w:val="4"/>
        <w:bidi w:val="0"/>
        <w:rPr>
          <w:rFonts w:hint="eastAsia" w:ascii="宋体" w:hAnsi="宋体" w:eastAsia="宋体" w:cs="宋体"/>
          <w:color w:val="000000" w:themeColor="text1"/>
          <w:highlight w:val="none"/>
          <w:lang w:val="zh-CN" w:eastAsia="zh-CN"/>
          <w14:textFill>
            <w14:solidFill>
              <w14:schemeClr w14:val="tx1"/>
            </w14:solidFill>
          </w14:textFill>
        </w:rPr>
      </w:pPr>
      <w:bookmarkStart w:id="1243" w:name="_Toc9856"/>
      <w:bookmarkStart w:id="1244" w:name="_Toc54862331"/>
      <w:r>
        <w:rPr>
          <w:rFonts w:hint="eastAsia" w:ascii="宋体" w:hAnsi="宋体" w:eastAsia="宋体" w:cs="宋体"/>
          <w:color w:val="000000" w:themeColor="text1"/>
          <w:highlight w:val="none"/>
          <w:lang w:val="zh-CN" w:eastAsia="zh-CN"/>
          <w14:textFill>
            <w14:solidFill>
              <w14:schemeClr w14:val="tx1"/>
            </w14:solidFill>
          </w14:textFill>
        </w:rPr>
        <w:t>第三部分 专用合同条件</w:t>
      </w:r>
      <w:bookmarkEnd w:id="1243"/>
      <w:bookmarkEnd w:id="1244"/>
    </w:p>
    <w:p w14:paraId="28DFDE78">
      <w:pPr>
        <w:pStyle w:val="5"/>
        <w:bidi w:val="0"/>
        <w:rPr>
          <w:rFonts w:hint="eastAsia" w:ascii="宋体" w:hAnsi="宋体" w:eastAsia="宋体" w:cs="宋体"/>
          <w:color w:val="000000" w:themeColor="text1"/>
          <w:highlight w:val="none"/>
          <w:lang w:val="zh-CN" w:eastAsia="zh-CN"/>
          <w14:textFill>
            <w14:solidFill>
              <w14:schemeClr w14:val="tx1"/>
            </w14:solidFill>
          </w14:textFill>
        </w:rPr>
      </w:pPr>
      <w:bookmarkStart w:id="1245" w:name="_Toc19294"/>
      <w:bookmarkStart w:id="1246" w:name="_Toc54862332"/>
      <w:bookmarkStart w:id="1247" w:name="_Toc10892"/>
      <w:bookmarkStart w:id="1248" w:name="_Toc21011"/>
      <w:r>
        <w:rPr>
          <w:rFonts w:hint="eastAsia" w:ascii="宋体" w:hAnsi="宋体" w:eastAsia="宋体" w:cs="宋体"/>
          <w:color w:val="000000" w:themeColor="text1"/>
          <w:highlight w:val="none"/>
          <w:lang w:val="zh-CN" w:eastAsia="zh-CN"/>
          <w14:textFill>
            <w14:solidFill>
              <w14:schemeClr w14:val="tx1"/>
            </w14:solidFill>
          </w14:textFill>
        </w:rPr>
        <w:t>第1条 一般约定</w:t>
      </w:r>
      <w:bookmarkEnd w:id="1245"/>
      <w:bookmarkEnd w:id="1246"/>
      <w:bookmarkEnd w:id="1247"/>
      <w:bookmarkEnd w:id="1248"/>
    </w:p>
    <w:p w14:paraId="7C04FB3B">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1.1 词语定义和解释</w:t>
      </w:r>
    </w:p>
    <w:p w14:paraId="5E8DA75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 合同</w:t>
      </w:r>
    </w:p>
    <w:p w14:paraId="045AB14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1.1.1.10 其他合同文件：</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B8E71F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 工程和设备</w:t>
      </w:r>
    </w:p>
    <w:p w14:paraId="6F4CB64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1.1.3.5 单位/区段工程的范围：</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1B203AF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1.1.3.9 作为施工场所组成部分的其他场所包括：</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D847B6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1.1.3.10 永久占地包括：</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234BB8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1.1.3.11 临时占地包括：</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692DC67">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1.2 语言文字</w:t>
      </w:r>
    </w:p>
    <w:p w14:paraId="31DB3A6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本合同除使用汉语外，还使用</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语言。</w:t>
      </w:r>
    </w:p>
    <w:p w14:paraId="3AE6D225">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1.3 法律</w:t>
      </w:r>
    </w:p>
    <w:p w14:paraId="5F5C725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适用于合同的其他规范性文件</w:t>
      </w:r>
      <w:r>
        <w:rPr>
          <w:rFonts w:hint="eastAsia" w:ascii="宋体" w:hAnsi="宋体" w:eastAsia="宋体" w:cs="宋体"/>
          <w:color w:val="000000" w:themeColor="text1"/>
          <w:kern w:val="0"/>
          <w:sz w:val="24"/>
          <w:szCs w:val="24"/>
          <w:highlight w:val="none"/>
          <w:u w:val="single"/>
          <w14:textFill>
            <w14:solidFill>
              <w14:schemeClr w14:val="tx1"/>
            </w14:solidFill>
          </w14:textFill>
        </w:rPr>
        <w:t>《中华人民共和国民法典》、《中华人民共和国安全生产法》</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285EBBB">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1.4 标准和规范</w:t>
      </w:r>
    </w:p>
    <w:p w14:paraId="22B5131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 适用于本合同的标准、规范（名称）包括：</w:t>
      </w:r>
      <w:r>
        <w:rPr>
          <w:rFonts w:hint="eastAsia" w:ascii="宋体" w:hAnsi="宋体" w:eastAsia="宋体" w:cs="宋体"/>
          <w:color w:val="000000" w:themeColor="text1"/>
          <w:kern w:val="0"/>
          <w:sz w:val="24"/>
          <w:szCs w:val="30"/>
          <w:highlight w:val="none"/>
          <w:u w:val="single"/>
          <w14:textFill>
            <w14:solidFill>
              <w14:schemeClr w14:val="tx1"/>
            </w14:solidFill>
          </w14:textFill>
        </w:rPr>
        <w:t>国家、云南省颁布的其他标准、规范、规程</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0A4FD1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 发包人提供的国外标准、规范的名称：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；发包人提供的国外标准、规范的份数：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；发包人提供的国外标准、规范的时间</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9F329F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1.4.3 没有成文规范、标准规定的约定：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8B5CEC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 发包人对于工程的技术标准、功能要求</w:t>
      </w:r>
      <w:r>
        <w:rPr>
          <w:rFonts w:hint="eastAsia" w:ascii="宋体" w:hAnsi="宋体" w:eastAsia="宋体" w:cs="宋体"/>
          <w:color w:val="000000" w:themeColor="text1"/>
          <w:kern w:val="0"/>
          <w:sz w:val="24"/>
          <w:szCs w:val="24"/>
          <w:highlight w:val="none"/>
          <w:u w:val="single"/>
          <w14:textFill>
            <w14:solidFill>
              <w14:schemeClr w14:val="tx1"/>
            </w14:solidFill>
          </w14:textFill>
        </w:rPr>
        <w:t>按国家标准、行业标准以及相应规范、规程执行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E45B777">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1.5 合同文件的优先顺序</w:t>
      </w:r>
    </w:p>
    <w:p w14:paraId="509A200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合同文件组成及优先顺序为：</w:t>
      </w:r>
      <w:r>
        <w:rPr>
          <w:rFonts w:hint="eastAsia" w:ascii="宋体" w:hAnsi="宋体" w:eastAsia="宋体" w:cs="宋体"/>
          <w:color w:val="000000" w:themeColor="text1"/>
          <w:kern w:val="0"/>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D6AF213">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1.6 文件的提供和照管</w:t>
      </w:r>
    </w:p>
    <w:p w14:paraId="4DA85C8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 发包人文件的提供</w:t>
      </w:r>
    </w:p>
    <w:p w14:paraId="302FBD46">
      <w:pPr>
        <w:widowControl/>
        <w:wordWrap/>
        <w:ind w:firstLine="48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发包人文件的提供期限、名称、数量和形式：</w:t>
      </w:r>
      <w:r>
        <w:rPr>
          <w:rFonts w:hint="eastAsia" w:ascii="宋体" w:hAnsi="宋体" w:eastAsia="宋体" w:cs="宋体"/>
          <w:color w:val="000000" w:themeColor="text1"/>
          <w:kern w:val="0"/>
          <w:sz w:val="24"/>
          <w:szCs w:val="30"/>
          <w:highlight w:val="none"/>
          <w:u w:val="single"/>
          <w14:textFill>
            <w14:solidFill>
              <w14:schemeClr w14:val="tx1"/>
            </w14:solidFill>
          </w14:textFill>
        </w:rPr>
        <w:t>发包人最迟在合同签订14 日内提供前期工作成果资料，形式包括电子文稿、纸质文本等</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37EDC1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 承包人文件的提供</w:t>
      </w:r>
    </w:p>
    <w:p w14:paraId="75783DD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承包人文件的内容、提供期限、名称、数量和形式：</w:t>
      </w:r>
      <w:r>
        <w:rPr>
          <w:rFonts w:hint="eastAsia" w:ascii="宋体" w:hAnsi="宋体" w:eastAsia="宋体" w:cs="宋体"/>
          <w:color w:val="000000" w:themeColor="text1"/>
          <w:kern w:val="0"/>
          <w:sz w:val="24"/>
          <w:szCs w:val="30"/>
          <w:highlight w:val="none"/>
          <w:u w:val="single"/>
          <w14:textFill>
            <w14:solidFill>
              <w14:schemeClr w14:val="tx1"/>
            </w14:solidFill>
          </w14:textFill>
        </w:rPr>
        <w:t>承包人应按批准的进度计划提供勘察设计成果、施工组织设计、工程进度计划、劳动力及用款计划、现场签证、材料进场验收、隐蔽工程验收、施工图预算、竣工结算资料、竣工图等材料，形式包括电子文稿、纸质文本等，数量根据实际需要确定</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E458E1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1.6.4 文件的照管</w:t>
      </w:r>
    </w:p>
    <w:p w14:paraId="0917594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关于现场文件准备的约定：</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955BAA1">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1.7 联络</w:t>
      </w:r>
    </w:p>
    <w:p w14:paraId="3AB1AE0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1.7.2 发包人指定的送达方式（包括电子传输方式）：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。发包人的送达地址：</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。承包人指定的送达方式（包括电子传输方式）：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。承包人的送达地址：</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808D4E8">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1.10 知识产权</w:t>
      </w:r>
    </w:p>
    <w:p w14:paraId="40A2E7D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1.10.1 由发包人（或以发包人名义）编制的《发包人要求》和其他文件的著作权归属：</w:t>
      </w:r>
      <w:r>
        <w:rPr>
          <w:rFonts w:hint="eastAsia" w:ascii="宋体" w:hAnsi="宋体" w:eastAsia="宋体" w:cs="宋体"/>
          <w:color w:val="000000" w:themeColor="text1"/>
          <w:kern w:val="0"/>
          <w:sz w:val="24"/>
          <w:szCs w:val="30"/>
          <w:highlight w:val="none"/>
          <w:u w:val="single"/>
          <w14:textFill>
            <w14:solidFill>
              <w14:schemeClr w14:val="tx1"/>
            </w14:solidFill>
          </w14:textFill>
        </w:rPr>
        <w:t>归发包人所有</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D57D36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1.10.2 由承包人（或以承包人名义）为实施工程所编制的文件、承包人完成的设计工作成果和建造完成的建筑物的知识产权归属：</w:t>
      </w:r>
      <w:r>
        <w:rPr>
          <w:rFonts w:hint="eastAsia" w:ascii="宋体" w:hAnsi="宋体" w:eastAsia="宋体" w:cs="宋体"/>
          <w:color w:val="000000" w:themeColor="text1"/>
          <w:kern w:val="0"/>
          <w:sz w:val="24"/>
          <w:szCs w:val="30"/>
          <w:highlight w:val="none"/>
          <w:u w:val="single"/>
          <w14:textFill>
            <w14:solidFill>
              <w14:schemeClr w14:val="tx1"/>
            </w14:solidFill>
          </w14:textFill>
        </w:rPr>
        <w:t>归承包人所有</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45223B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1.10.4 承包人在投标文件中采用的专利、专有技术、技术秘密的使用费的承担方式</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3996D3C">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1.11 保密</w:t>
      </w:r>
    </w:p>
    <w:p w14:paraId="0431805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双方订立的商业保密协议（名称）：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，作为本合同附件。</w:t>
      </w:r>
    </w:p>
    <w:p w14:paraId="3B428E9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双方订立的技术保密协议（名称）：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，作为本合同附件。</w:t>
      </w:r>
    </w:p>
    <w:p w14:paraId="4D514307">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1.13 责任限制</w:t>
      </w:r>
    </w:p>
    <w:p w14:paraId="2624FA9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承包人对发包人赔偿责任的最高限额为</w:t>
      </w:r>
      <w:r>
        <w:rPr>
          <w:rFonts w:hint="eastAsia" w:ascii="宋体" w:hAnsi="宋体" w:eastAsia="宋体" w:cs="宋体"/>
          <w:color w:val="000000" w:themeColor="text1"/>
          <w:kern w:val="0"/>
          <w:sz w:val="24"/>
          <w:szCs w:val="30"/>
          <w:highlight w:val="none"/>
          <w:u w:val="single"/>
          <w14:textFill>
            <w14:solidFill>
              <w14:schemeClr w14:val="tx1"/>
            </w14:solidFill>
          </w14:textFill>
        </w:rPr>
        <w:t>签约合同价的2%</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2C5010">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1.14 建筑信息模型技术的应用</w:t>
      </w:r>
    </w:p>
    <w:p w14:paraId="700CA19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关于建筑信息模型技术的开发、使用、存储、传输、交付及费用约定如下：</w:t>
      </w:r>
      <w:r>
        <w:rPr>
          <w:rFonts w:hint="eastAsia" w:ascii="宋体" w:hAnsi="宋体" w:eastAsia="宋体" w:cs="宋体"/>
          <w:color w:val="000000" w:themeColor="text1"/>
          <w:kern w:val="0"/>
          <w:sz w:val="24"/>
          <w:szCs w:val="30"/>
          <w:highlight w:val="none"/>
          <w:u w:val="single"/>
          <w14:textFill>
            <w14:solidFill>
              <w14:schemeClr w14:val="tx1"/>
            </w14:solidFill>
          </w14:textFill>
        </w:rPr>
        <w:t>不适用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B95BA47">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49" w:name="_Toc11316"/>
      <w:bookmarkStart w:id="1250" w:name="_Toc8980"/>
      <w:bookmarkStart w:id="1251" w:name="_Toc31682"/>
      <w:bookmarkStart w:id="1252" w:name="_Toc54862333"/>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第2条 发包人</w:t>
      </w:r>
      <w:bookmarkEnd w:id="1249"/>
      <w:bookmarkEnd w:id="1250"/>
      <w:bookmarkEnd w:id="1251"/>
      <w:bookmarkEnd w:id="1252"/>
    </w:p>
    <w:p w14:paraId="21EC7F72">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2.2 提供施工现场和工作条件</w:t>
      </w:r>
    </w:p>
    <w:p w14:paraId="497B991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2.2.1 提供施工现场</w:t>
      </w:r>
    </w:p>
    <w:p w14:paraId="597DC2B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关于发包人提供施工现场的范围和期限：</w:t>
      </w:r>
      <w:r>
        <w:rPr>
          <w:rFonts w:hint="eastAsia" w:ascii="宋体" w:hAnsi="宋体" w:eastAsia="宋体" w:cs="宋体"/>
          <w:color w:val="000000" w:themeColor="text1"/>
          <w:kern w:val="0"/>
          <w:sz w:val="24"/>
          <w:szCs w:val="30"/>
          <w:highlight w:val="none"/>
          <w:u w:val="single"/>
          <w14:textFill>
            <w14:solidFill>
              <w14:schemeClr w14:val="tx1"/>
            </w14:solidFill>
          </w14:textFill>
        </w:rPr>
        <w:t>发包人应最迟于计划开始现场施工日期7天前向承包人移交施工现场，并应在计划开始工作日期3天前提供承包人进入现场开展详细勘察的工作条件，若在计划开始工作日期无法提供承包人进入现场开展详细勘察的工作条件则工期予以顺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8B2D53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2.2.2 提供工作条件</w:t>
      </w:r>
    </w:p>
    <w:p w14:paraId="65D5697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关于发包人应负责提供的工作条件包括：</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67795D2">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2.3 提供基础资料</w:t>
      </w:r>
    </w:p>
    <w:p w14:paraId="5D4FF0A8">
      <w:pPr>
        <w:widowControl/>
        <w:wordWrap/>
        <w:ind w:firstLine="480"/>
        <w:rPr>
          <w:rFonts w:hint="eastAsia" w:ascii="宋体" w:hAnsi="宋体" w:eastAsia="宋体" w:cs="宋体"/>
          <w:color w:val="000000" w:themeColor="text1"/>
          <w:kern w:val="0"/>
          <w:sz w:val="24"/>
          <w:szCs w:val="30"/>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关于发包人应提供的基础资料的范围和期限：</w:t>
      </w:r>
      <w:r>
        <w:rPr>
          <w:rFonts w:hint="eastAsia" w:ascii="宋体" w:hAnsi="宋体" w:eastAsia="宋体" w:cs="宋体"/>
          <w:color w:val="000000" w:themeColor="text1"/>
          <w:kern w:val="0"/>
          <w:sz w:val="24"/>
          <w:szCs w:val="30"/>
          <w:highlight w:val="none"/>
          <w:u w:val="single"/>
          <w14:textFill>
            <w14:solidFill>
              <w14:schemeClr w14:val="tx1"/>
            </w14:solidFill>
          </w14:textFill>
        </w:rPr>
        <w:t>发包人最迟在合同签订14 日内提供</w:t>
      </w:r>
    </w:p>
    <w:p w14:paraId="2825D07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30"/>
          <w:highlight w:val="none"/>
          <w:u w:val="single"/>
          <w14:textFill>
            <w14:solidFill>
              <w14:schemeClr w14:val="tx1"/>
            </w14:solidFill>
          </w14:textFill>
        </w:rPr>
        <w:t>前期工作成果资料，形式包括电子文稿、纸质文本等</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0610750">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2.5 支付合同价款</w:t>
      </w:r>
    </w:p>
    <w:p w14:paraId="586ED2F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2.5.2 发包人提供资金来源证明及资金安排的期限要求：</w:t>
      </w:r>
      <w:r>
        <w:rPr>
          <w:rFonts w:hint="eastAsia" w:ascii="宋体" w:hAnsi="宋体" w:eastAsia="宋体" w:cs="宋体"/>
          <w:color w:val="000000" w:themeColor="text1"/>
          <w:kern w:val="0"/>
          <w:sz w:val="24"/>
          <w:szCs w:val="30"/>
          <w:highlight w:val="none"/>
          <w:u w:val="single"/>
          <w14:textFill>
            <w14:solidFill>
              <w14:schemeClr w14:val="tx1"/>
            </w14:solidFill>
          </w14:textFill>
        </w:rPr>
        <w:t>28天内</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D4565C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2.5.3 发包人提供支付担保的形式、期限、金额（或比例）：</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现金或银行保函或保证保险或资金证明文件等，金额、期限等同于承包人提供的履约担保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27360E6">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2.7 其他义务</w:t>
      </w:r>
    </w:p>
    <w:p w14:paraId="5467DA7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发包人应履行的其他义务：</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095600E7">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53" w:name="_Toc32450"/>
      <w:bookmarkStart w:id="1254" w:name="_Toc22035"/>
      <w:bookmarkStart w:id="1255" w:name="_Toc54862334"/>
      <w:bookmarkStart w:id="1256" w:name="_Toc16931"/>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第3条 发包人的管理</w:t>
      </w:r>
      <w:bookmarkEnd w:id="1253"/>
      <w:bookmarkEnd w:id="1254"/>
      <w:bookmarkEnd w:id="1255"/>
      <w:bookmarkEnd w:id="1256"/>
    </w:p>
    <w:p w14:paraId="6344D379">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3.1 发包人代表</w:t>
      </w:r>
    </w:p>
    <w:p w14:paraId="4E21817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发包人代表的姓名：</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D45642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发包人代表的身份证号：</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06F2F07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发包人代表的职务：</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6844B9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发包人代表的联系电话：</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F78722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发包人代表的电子邮箱：</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B87B2D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发包人代表的通信地址：</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284D4A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发包人对发包人代表的授权范围如下：</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AB1287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发包人代表的职责：</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5F501A">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3.2 发包人人员</w:t>
      </w:r>
    </w:p>
    <w:p w14:paraId="4C33E3C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发包人人员姓名：</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BBD1C0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发包人人员职务：</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493876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发包人人员职责：</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51697E2">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3.3 工程师</w:t>
      </w:r>
    </w:p>
    <w:p w14:paraId="6AF015B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3.3.1 工程师名称</w:t>
      </w:r>
      <w:r>
        <w:rPr>
          <w:rFonts w:hint="eastAsia" w:ascii="宋体" w:hAnsi="宋体" w:eastAsia="宋体" w:cs="宋体"/>
          <w:color w:val="000000" w:themeColor="text1"/>
          <w:kern w:val="0"/>
          <w:sz w:val="24"/>
          <w:szCs w:val="30"/>
          <w:highlight w:val="none"/>
          <w:u w:val="single"/>
          <w14:textFill>
            <w14:solidFill>
              <w14:schemeClr w14:val="tx1"/>
            </w14:solidFill>
          </w14:textFill>
        </w:rPr>
        <w:t>本项目由发包人委托第三方监理进行现场监督、管理，工程师的相关职责、权利由监理人行使</w:t>
      </w:r>
      <w:r>
        <w:rPr>
          <w:rFonts w:hint="eastAsia" w:ascii="宋体" w:hAnsi="宋体" w:eastAsia="宋体" w:cs="宋体"/>
          <w:color w:val="000000" w:themeColor="text1"/>
          <w:kern w:val="0"/>
          <w:sz w:val="24"/>
          <w:szCs w:val="24"/>
          <w:highlight w:val="none"/>
          <w14:textFill>
            <w14:solidFill>
              <w14:schemeClr w14:val="tx1"/>
            </w14:solidFill>
          </w14:textFill>
        </w:rPr>
        <w:t>；工程师监督管理范围、内容：</w:t>
      </w:r>
      <w:r>
        <w:rPr>
          <w:rFonts w:hint="eastAsia" w:ascii="宋体" w:hAnsi="宋体" w:eastAsia="宋体" w:cs="宋体"/>
          <w:color w:val="000000" w:themeColor="text1"/>
          <w:kern w:val="0"/>
          <w:sz w:val="24"/>
          <w:szCs w:val="30"/>
          <w:highlight w:val="none"/>
          <w:u w:val="single"/>
          <w14:textFill>
            <w14:solidFill>
              <w14:schemeClr w14:val="tx1"/>
            </w14:solidFill>
          </w14:textFill>
        </w:rPr>
        <w:t>见工程监理合同</w:t>
      </w:r>
      <w:r>
        <w:rPr>
          <w:rFonts w:hint="eastAsia" w:ascii="宋体" w:hAnsi="宋体" w:eastAsia="宋体" w:cs="宋体"/>
          <w:color w:val="000000" w:themeColor="text1"/>
          <w:kern w:val="0"/>
          <w:sz w:val="24"/>
          <w:szCs w:val="24"/>
          <w:highlight w:val="none"/>
          <w14:textFill>
            <w14:solidFill>
              <w14:schemeClr w14:val="tx1"/>
            </w14:solidFill>
          </w14:textFill>
        </w:rPr>
        <w:t>；工程师权限：</w:t>
      </w:r>
      <w:r>
        <w:rPr>
          <w:rFonts w:hint="eastAsia" w:ascii="宋体" w:hAnsi="宋体" w:eastAsia="宋体" w:cs="宋体"/>
          <w:color w:val="000000" w:themeColor="text1"/>
          <w:kern w:val="0"/>
          <w:sz w:val="24"/>
          <w:szCs w:val="30"/>
          <w:highlight w:val="none"/>
          <w:u w:val="single"/>
          <w14:textFill>
            <w14:solidFill>
              <w14:schemeClr w14:val="tx1"/>
            </w14:solidFill>
          </w14:textFill>
        </w:rPr>
        <w:t>见工程监理合同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66B7749">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3.6 商定或确定</w:t>
      </w:r>
    </w:p>
    <w:p w14:paraId="21E046C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3.6.2 关于商定时间限制的具体约定：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B7B2D2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3.6.3 关于商定或确定效力的具体约定：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；关于对工程师的确定提出异议的具体约定：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48D5AD5">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3.7 会议</w:t>
      </w:r>
    </w:p>
    <w:p w14:paraId="19153D8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3.7.1 关于召开会议的具体约定：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8A26F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3.7.2 关于保存和提供会议纪要的具体约定：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8585395">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57" w:name="_Toc25390"/>
      <w:bookmarkStart w:id="1258" w:name="_Toc54862335"/>
      <w:bookmarkStart w:id="1259" w:name="_Toc31750"/>
      <w:bookmarkStart w:id="1260" w:name="_Toc830"/>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第4条 承包人</w:t>
      </w:r>
      <w:bookmarkEnd w:id="1257"/>
      <w:bookmarkEnd w:id="1258"/>
      <w:bookmarkEnd w:id="1259"/>
      <w:bookmarkEnd w:id="1260"/>
    </w:p>
    <w:p w14:paraId="327D2111">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4.1 承包人的一般义务</w:t>
      </w:r>
    </w:p>
    <w:p w14:paraId="4A541A1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承包人应履行的其他义务：</w:t>
      </w:r>
    </w:p>
    <w:p w14:paraId="6068FB38">
      <w:pPr>
        <w:pStyle w:val="81"/>
        <w:spacing w:line="360" w:lineRule="auto"/>
        <w:ind w:firstLine="480" w:firstLineChars="200"/>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（1）乙方应按甲方的指令，完成甲方要求的合同工程范围内的增加和删减。</w:t>
      </w:r>
    </w:p>
    <w:p w14:paraId="2CA21B1E">
      <w:pPr>
        <w:pStyle w:val="81"/>
        <w:spacing w:line="360" w:lineRule="auto"/>
        <w:ind w:firstLine="480" w:firstLineChars="200"/>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2）乙方应积极主动核对图纸中的标高、轴线等技术数据，充分理解设计意图。若由于明显的设计图纸问题（例如尺寸标注不闭合、文字标识相互矛盾等）和甲方（包括监理）不正确的指令，乙方发现后有口头或书面告知义务，否则造成工程质量、安全、进度损失，也不能免除乙方的责任。</w:t>
      </w:r>
    </w:p>
    <w:p w14:paraId="14DF539B">
      <w:pPr>
        <w:pStyle w:val="81"/>
        <w:spacing w:line="360" w:lineRule="auto"/>
        <w:ind w:firstLine="480" w:firstLineChars="200"/>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3）乙方应按照政府相关规定，建立健全农民工工资发放和劳动保障制度。如因农民工的工资发放和劳动保障制度不健全而引发纠纷，导致民工围堵甲方等的，甲方有权解除合同，并要求乙方退场并支付10万元的违约金，违约金从计量工程款中扣除。</w:t>
      </w:r>
    </w:p>
    <w:p w14:paraId="6F883BB2">
      <w:pPr>
        <w:pStyle w:val="81"/>
        <w:spacing w:line="360" w:lineRule="auto"/>
        <w:ind w:firstLine="480" w:firstLineChars="200"/>
        <w:rPr>
          <w:rFonts w:hint="eastAsia" w:ascii="宋体" w:hAnsi="宋体" w:eastAsia="宋体" w:cs="宋体"/>
          <w:color w:val="000000" w:themeColor="text1"/>
          <w:kern w:val="0"/>
          <w:sz w:val="24"/>
          <w:szCs w:val="24"/>
          <w:highlight w:val="none"/>
          <w:u w:val="singl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（4）乙方使用的临时用水、临时用电等设施在合同执行期间，如甲方要求为其他方提供分表接口的，乙方应予无条件同意。</w:t>
      </w:r>
    </w:p>
    <w:p w14:paraId="758A8CEC">
      <w:pPr>
        <w:pStyle w:val="81"/>
        <w:spacing w:line="360" w:lineRule="auto"/>
        <w:ind w:firstLine="480" w:firstLineChars="200"/>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5）乙方进入现场施工，做好现场安全文明施工及已有成品保护工作，费用由乙方承担。现场运输材料、堆放材料等造成的路面的污染，乙方应该有专人负责跟踪打扫；做好市政等公用设施施工期间的保护工作；现场施工及生活产生的垃圾应该每天有人清除。</w:t>
      </w:r>
    </w:p>
    <w:p w14:paraId="735AC125">
      <w:pPr>
        <w:pageBreakBefore w:val="0"/>
        <w:widowControl/>
        <w:tabs>
          <w:tab w:val="left" w:pos="3193"/>
        </w:tabs>
        <w:overflowPunct/>
        <w:bidi w:val="0"/>
        <w:adjustRightInd w:val="0"/>
        <w:snapToGrid w:val="0"/>
        <w:spacing w:line="360" w:lineRule="auto"/>
        <w:ind w:firstLine="480"/>
        <w:textAlignment w:val="auto"/>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6）乙方必须保障农民工工资的按时按量发放，涉及农民工工资保障事宜执行《国务院办公厅关于全面治理拖欠农民工工资问题的意见》（国办发〔2016〕1号）、《保障农民工工资支付条例》（中华人民共和国国务院令第724号）、《云南省人民政府办公厅关于全面治理拖欠农民工工资问题的实施意见》（云政办发〔2016〕68号）、《云南省人民政府办公厅关于印发云南省农民工工资准备金管理办法等3个办法的通知》（云政办发[2011]115号）、《云南省农民工工资支付保障规定》、《昆明市人民政府办公厅关于印发全面治理拖欠农民工工资问题实施方案的通知》（昆政办〔2016〕203号）和《关于印发进一步构建解决农民工工资拖欠长效机制实施办法的通知》（昆政办【2017】179号）、《昆明市工资支付条例》，对农民工实行实名制管理并由银行进行农民工工资发放，并每月向甲方提供农民工工资按时发放的记录资料：</w:t>
      </w:r>
      <w:r>
        <w:rPr>
          <w:rFonts w:hint="eastAsia" w:ascii="宋体" w:hAnsi="宋体" w:eastAsia="宋体" w:cs="宋体"/>
          <w:color w:val="000000" w:themeColor="text1"/>
          <w:kern w:val="0"/>
          <w:sz w:val="24"/>
          <w:szCs w:val="24"/>
          <w:highlight w:val="none"/>
          <w:u w:val="single"/>
          <w:lang w:val="zh-CN"/>
          <w14:textFill>
            <w14:solidFill>
              <w14:schemeClr w14:val="tx1"/>
            </w14:solidFill>
          </w14:textFill>
        </w:rPr>
        <w:t>①承包人应按相关的政策文件规定及发包人的有关规定及时支付农民工工资。</w:t>
      </w:r>
      <w:r>
        <w:rPr>
          <w:rFonts w:hint="eastAsia" w:ascii="宋体" w:hAnsi="宋体" w:eastAsia="宋体" w:cs="宋体"/>
          <w:color w:val="000000" w:themeColor="text1"/>
          <w:kern w:val="0"/>
          <w:sz w:val="24"/>
          <w:szCs w:val="24"/>
          <w:highlight w:val="none"/>
          <w:u w:val="single"/>
          <w14:textFill>
            <w14:solidFill>
              <w14:schemeClr w14:val="tx1"/>
            </w14:solidFill>
          </w14:textFill>
        </w:rPr>
        <w:t>②承包人除须为本项目设立工程款专户外，还须在工程建设项目所在地银行开设农民工工资（劳务费）专用账户（人工费用未明确的，按照不低于工程款25%的比例拨付）。③承包人须无条件接受发包人对其农民工工资的检查、监督。④</w:t>
      </w:r>
      <w:r>
        <w:rPr>
          <w:rFonts w:hint="eastAsia" w:ascii="宋体" w:hAnsi="宋体" w:eastAsia="宋体" w:cs="宋体"/>
          <w:color w:val="000000" w:themeColor="text1"/>
          <w:kern w:val="0"/>
          <w:sz w:val="24"/>
          <w:szCs w:val="24"/>
          <w:highlight w:val="none"/>
          <w:u w:val="single"/>
          <w:lang w:val="zh-CN"/>
          <w14:textFill>
            <w14:solidFill>
              <w14:schemeClr w14:val="tx1"/>
            </w14:solidFill>
          </w14:textFill>
        </w:rPr>
        <w:t>承包人应按时足额支付参与施工的农民工工资，避免发生与此有关的纠纷。若因承包人拖欠农民工工资，造成窝工、阻工或其他群体性事件的，除接受劳动监察部门处罚整改外，还应向发包人支付</w:t>
      </w:r>
      <w:r>
        <w:rPr>
          <w:rFonts w:hint="eastAsia" w:ascii="宋体" w:hAnsi="宋体" w:eastAsia="宋体" w:cs="宋体"/>
          <w:b/>
          <w:bCs/>
          <w:color w:val="000000" w:themeColor="text1"/>
          <w:kern w:val="0"/>
          <w:sz w:val="24"/>
          <w:szCs w:val="24"/>
          <w:highlight w:val="none"/>
          <w:u w:val="single"/>
          <w:lang w:val="zh-CN"/>
          <w14:textFill>
            <w14:solidFill>
              <w14:schemeClr w14:val="tx1"/>
            </w14:solidFill>
          </w14:textFill>
        </w:rPr>
        <w:t>50000元/次</w:t>
      </w:r>
      <w:r>
        <w:rPr>
          <w:rFonts w:hint="eastAsia" w:ascii="宋体" w:hAnsi="宋体" w:eastAsia="宋体" w:cs="宋体"/>
          <w:color w:val="000000" w:themeColor="text1"/>
          <w:kern w:val="0"/>
          <w:sz w:val="24"/>
          <w:szCs w:val="24"/>
          <w:highlight w:val="none"/>
          <w:u w:val="single"/>
          <w:lang w:val="zh-CN"/>
          <w14:textFill>
            <w14:solidFill>
              <w14:schemeClr w14:val="tx1"/>
            </w14:solidFill>
          </w14:textFill>
        </w:rPr>
        <w:t>的违约金，</w:t>
      </w:r>
      <w:r>
        <w:rPr>
          <w:rFonts w:hint="eastAsia" w:ascii="宋体" w:hAnsi="宋体" w:eastAsia="宋体" w:cs="宋体"/>
          <w:color w:val="000000" w:themeColor="text1"/>
          <w:kern w:val="0"/>
          <w:sz w:val="24"/>
          <w:szCs w:val="24"/>
          <w:highlight w:val="none"/>
          <w:u w:val="single"/>
          <w14:textFill>
            <w14:solidFill>
              <w14:schemeClr w14:val="tx1"/>
            </w14:solidFill>
          </w14:textFill>
        </w:rPr>
        <w:t>违约金自发包人应支付给承包人的进度付款中扣除。</w:t>
      </w:r>
    </w:p>
    <w:p w14:paraId="46742CBB">
      <w:pPr>
        <w:pStyle w:val="81"/>
        <w:spacing w:line="360" w:lineRule="auto"/>
        <w:ind w:firstLine="480" w:firstLineChars="200"/>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（7）若甲方对乙方所用材料有疑虑，以云南省质量技术监督局或其他有资格的鉴定机构鉴定结果为准，若检验不合格，检验费用由乙方承担，若检验合格，检验费用由甲方承担。</w:t>
      </w:r>
    </w:p>
    <w:p w14:paraId="56A05AE9">
      <w:pPr>
        <w:pStyle w:val="81"/>
        <w:spacing w:line="360" w:lineRule="auto"/>
        <w:ind w:firstLine="480" w:firstLineChars="200"/>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（8）若缺陷责任期满24个月之前进行移交的，移交之前的电费由乙方承担；移交之后的电费由接收方承担。若缺陷责任期满24个月之后未进行移交，之后的电费双方另行协商。</w:t>
      </w:r>
    </w:p>
    <w:p w14:paraId="7FB13421">
      <w:pPr>
        <w:pStyle w:val="81"/>
        <w:spacing w:line="360" w:lineRule="auto"/>
        <w:ind w:firstLine="480" w:firstLineChars="200"/>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（9）必须遵守甲方的相关制度,服从甲方管理的规定。</w:t>
      </w:r>
    </w:p>
    <w:p w14:paraId="4EE84194">
      <w:pPr>
        <w:widowControl/>
        <w:spacing w:line="360" w:lineRule="auto"/>
        <w:ind w:firstLine="480" w:firstLineChars="200"/>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（10）绿色施工措施费：施工图预算暂按云南省建设工程造价计价规则（2020版）所示相关费率计算，结算时以监理单位、甲方、造价咨询单位及乙方四方确认的方案按实结算。</w:t>
      </w:r>
    </w:p>
    <w:p w14:paraId="2C25D506">
      <w:pPr>
        <w:widowControl/>
        <w:spacing w:line="360" w:lineRule="auto"/>
        <w:ind w:firstLine="480" w:firstLineChars="200"/>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（11）设备发生事故须紧急抢修的，乙方在接到事故通知后，应当2小时内到达事故现场抢修。</w:t>
      </w:r>
    </w:p>
    <w:p w14:paraId="070C342E">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4.2 履约担保</w:t>
      </w:r>
    </w:p>
    <w:p w14:paraId="6A32884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承包人是否提供履约担保：</w:t>
      </w:r>
      <w:r>
        <w:rPr>
          <w:rFonts w:hint="eastAsia" w:ascii="宋体" w:hAnsi="宋体" w:eastAsia="宋体" w:cs="宋体"/>
          <w:color w:val="000000" w:themeColor="text1"/>
          <w:kern w:val="0"/>
          <w:sz w:val="24"/>
          <w:szCs w:val="24"/>
          <w:highlight w:val="none"/>
          <w:u w:val="single"/>
          <w14:textFill>
            <w14:solidFill>
              <w14:schemeClr w14:val="tx1"/>
            </w14:solidFill>
          </w14:textFill>
        </w:rPr>
        <w:t>是</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ACC4AD6">
      <w:pPr>
        <w:widowControl/>
        <w:bidi w:val="0"/>
        <w:ind w:firstLine="64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履约担保的方式: </w:t>
      </w:r>
      <w:r>
        <w:rPr>
          <w:rFonts w:hint="eastAsia" w:ascii="宋体" w:hAnsi="宋体" w:eastAsia="宋体" w:cs="宋体"/>
          <w:color w:val="000000" w:themeColor="text1"/>
          <w:kern w:val="0"/>
          <w:sz w:val="24"/>
          <w:szCs w:val="24"/>
          <w:highlight w:val="none"/>
          <w:u w:val="single"/>
          <w14:textFill>
            <w14:solidFill>
              <w14:schemeClr w14:val="tx1"/>
            </w14:solidFill>
          </w14:textFill>
        </w:rPr>
        <w:t>现金或银行保函或保证保险等方式</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w:t>
      </w:r>
    </w:p>
    <w:p w14:paraId="0AD3E2C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履约担保的金额</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10%的签约合同金额</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7A4C0BB">
      <w:pPr>
        <w:widowControl/>
        <w:bidi w:val="0"/>
        <w:ind w:firstLine="64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履约担保的期限</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工程验收合格后28天内退还</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p>
    <w:p w14:paraId="2634E8A1">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4.3 工程总承包项目经理</w:t>
      </w:r>
    </w:p>
    <w:p w14:paraId="309090B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4.3.1 工程总承包项目经理姓名：</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1FA15A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执业资格或职称类型：</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0DD307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执业资格证或职称证号码：</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6BFB30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联系电话：</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F23795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电子邮箱：</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BF35DA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通信地址：</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B2FEA4A">
      <w:pPr>
        <w:widowControl/>
        <w:bidi w:val="0"/>
        <w:ind w:firstLine="640"/>
        <w:rPr>
          <w:rFonts w:hint="eastAsia" w:ascii="宋体" w:hAnsi="宋体" w:eastAsia="宋体" w:cs="宋体"/>
          <w:color w:val="000000" w:themeColor="text1"/>
          <w:kern w:val="0"/>
          <w:sz w:val="24"/>
          <w:szCs w:val="24"/>
          <w:highlight w:val="none"/>
          <w:u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承包人未提交劳动合同，以及没有为工程总承包项目经理缴纳社会保险证明的违约责任：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合同签订前经发包人查实，承包人委派的工程总承包项目经理、</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设计项目负责人</w:t>
      </w:r>
      <w:r>
        <w:rPr>
          <w:rFonts w:hint="eastAsia" w:ascii="宋体" w:hAnsi="宋体" w:eastAsia="宋体" w:cs="宋体"/>
          <w:color w:val="000000" w:themeColor="text1"/>
          <w:kern w:val="0"/>
          <w:sz w:val="24"/>
          <w:szCs w:val="24"/>
          <w:highlight w:val="none"/>
          <w:u w:val="single"/>
          <w14:textFill>
            <w14:solidFill>
              <w14:schemeClr w14:val="tx1"/>
            </w14:solidFill>
          </w14:textFill>
        </w:rPr>
        <w:t>、施工项目负责人等投标文件中非承包人本单位人员的，发包人有权拒绝与承包人签订合同，其投标保证金不予退还。</w:t>
      </w:r>
    </w:p>
    <w:p w14:paraId="37EA2BE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4.3.2 工程总承包项目经理每月在现场的时间要求：</w:t>
      </w:r>
      <w:r>
        <w:rPr>
          <w:rFonts w:hint="eastAsia" w:ascii="宋体" w:hAnsi="宋体" w:eastAsia="宋体" w:cs="宋体"/>
          <w:color w:val="000000" w:themeColor="text1"/>
          <w:kern w:val="0"/>
          <w:sz w:val="24"/>
          <w:szCs w:val="24"/>
          <w:highlight w:val="none"/>
          <w:u w:val="single"/>
          <w14:textFill>
            <w14:solidFill>
              <w14:schemeClr w14:val="tx1"/>
            </w14:solidFill>
          </w14:textFill>
        </w:rPr>
        <w:t>不得少于22天</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115B44F">
      <w:pPr>
        <w:widowControl/>
        <w:topLinePunct/>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工程总承包项目经理未经批准擅自离开施工现场的违约责任：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（1）工程总承包项目经理擅自离开施工现场的，承包人按</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15</w:t>
      </w:r>
      <w:r>
        <w:rPr>
          <w:rFonts w:hint="eastAsia" w:ascii="宋体" w:hAnsi="宋体" w:eastAsia="宋体" w:cs="宋体"/>
          <w:color w:val="000000" w:themeColor="text1"/>
          <w:kern w:val="0"/>
          <w:sz w:val="24"/>
          <w:szCs w:val="24"/>
          <w:highlight w:val="none"/>
          <w:u w:val="single"/>
          <w14:textFill>
            <w14:solidFill>
              <w14:schemeClr w14:val="tx1"/>
            </w14:solidFill>
          </w14:textFill>
        </w:rPr>
        <w:t>000元/天承担违约责任，月累计超过6天的，按</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10</w:t>
      </w:r>
      <w:r>
        <w:rPr>
          <w:rFonts w:hint="eastAsia" w:ascii="宋体" w:hAnsi="宋体" w:eastAsia="宋体" w:cs="宋体"/>
          <w:color w:val="000000" w:themeColor="text1"/>
          <w:kern w:val="0"/>
          <w:sz w:val="24"/>
          <w:szCs w:val="24"/>
          <w:highlight w:val="none"/>
          <w:u w:val="single"/>
          <w14:textFill>
            <w14:solidFill>
              <w14:schemeClr w14:val="tx1"/>
            </w14:solidFill>
          </w14:textFill>
        </w:rPr>
        <w:t>0000元/月承担违约责任；（2）工程总承包项目经理擅自离开施工现场月累计达到10天的，发包人有权要求承包人更换工程总承包项目经理，且工程总承包项目经理每更换一次承包人按1000000元/</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次</w:t>
      </w:r>
      <w:r>
        <w:rPr>
          <w:rFonts w:hint="eastAsia" w:ascii="宋体" w:hAnsi="宋体" w:eastAsia="宋体" w:cs="宋体"/>
          <w:color w:val="000000" w:themeColor="text1"/>
          <w:kern w:val="0"/>
          <w:sz w:val="24"/>
          <w:szCs w:val="24"/>
          <w:highlight w:val="none"/>
          <w:u w:val="single"/>
          <w14:textFill>
            <w14:solidFill>
              <w14:schemeClr w14:val="tx1"/>
            </w14:solidFill>
          </w14:textFill>
        </w:rPr>
        <w:t>承担违约责任。</w:t>
      </w:r>
    </w:p>
    <w:p w14:paraId="546AA14E">
      <w:pPr>
        <w:widowControl/>
        <w:bidi w:val="0"/>
        <w:ind w:firstLine="64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4.3.3 承包人对工程总承包项目经理的授权范围:</w:t>
      </w:r>
      <w:r>
        <w:rPr>
          <w:rFonts w:hint="eastAsia" w:ascii="宋体" w:hAnsi="宋体" w:eastAsia="宋体" w:cs="宋体"/>
          <w:color w:val="000000" w:themeColor="text1"/>
          <w:kern w:val="0"/>
          <w:sz w:val="24"/>
          <w:szCs w:val="24"/>
          <w:highlight w:val="none"/>
          <w:u w:val="single"/>
          <w14:textFill>
            <w14:solidFill>
              <w14:schemeClr w14:val="tx1"/>
            </w14:solidFill>
          </w14:textFill>
        </w:rPr>
        <w:t>全面负责合同的履行，代表承包人履行合同义务，作为承包人总协调人与发包人进行工作联系。</w:t>
      </w:r>
    </w:p>
    <w:p w14:paraId="2D0E906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4.3.4 承包人擅自更换工程总承包项目经理、施工项目负责人、设计项目负责人的违约责任：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派驻本项目的工程总承包项目经理、施工项目负责人、</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设计项目负责人</w:t>
      </w:r>
      <w:r>
        <w:rPr>
          <w:rFonts w:hint="eastAsia" w:ascii="宋体" w:hAnsi="宋体" w:eastAsia="宋体" w:cs="宋体"/>
          <w:color w:val="000000" w:themeColor="text1"/>
          <w:kern w:val="0"/>
          <w:sz w:val="24"/>
          <w:szCs w:val="24"/>
          <w:highlight w:val="none"/>
          <w:u w:val="single"/>
          <w14:textFill>
            <w14:solidFill>
              <w14:schemeClr w14:val="tx1"/>
            </w14:solidFill>
          </w14:textFill>
        </w:rPr>
        <w:t>应与承包人投标时投报一致，且不得兼职其它未竣工项目任何工作。未经发包人同意更换，或在本项目执行期间兼职其它未竣工项目任何工作，承包人按</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20</w:t>
      </w:r>
      <w:r>
        <w:rPr>
          <w:rFonts w:hint="eastAsia" w:ascii="宋体" w:hAnsi="宋体" w:eastAsia="宋体" w:cs="宋体"/>
          <w:color w:val="000000" w:themeColor="text1"/>
          <w:kern w:val="0"/>
          <w:sz w:val="24"/>
          <w:szCs w:val="24"/>
          <w:highlight w:val="none"/>
          <w:u w:val="single"/>
          <w14:textFill>
            <w14:solidFill>
              <w14:schemeClr w14:val="tx1"/>
            </w14:solidFill>
          </w14:textFill>
        </w:rPr>
        <w:t>0000元/次承担违约责任，且发包人有权单方面解除合同；经发包人同意更换的，承包人应重新派驻不低于资格资历的人员</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2E08C2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4.3.5 承包人无正当理由拒绝更换工程总承包项目经理、施工项目负责人、设计项目负责人的违约责任: </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承包人按</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20</w:t>
      </w:r>
      <w:r>
        <w:rPr>
          <w:rFonts w:hint="eastAsia" w:ascii="宋体" w:hAnsi="宋体" w:eastAsia="宋体" w:cs="宋体"/>
          <w:color w:val="000000" w:themeColor="text1"/>
          <w:kern w:val="0"/>
          <w:sz w:val="24"/>
          <w:szCs w:val="24"/>
          <w:highlight w:val="none"/>
          <w:u w:val="single"/>
          <w14:textFill>
            <w14:solidFill>
              <w14:schemeClr w14:val="tx1"/>
            </w14:solidFill>
          </w14:textFill>
        </w:rPr>
        <w:t>0000元/次承担违约责任，且发包人有权单方面解除合同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36526CE">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4.4 承包人人员</w:t>
      </w:r>
    </w:p>
    <w:p w14:paraId="5753D06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4.4.1 人员安排</w:t>
      </w:r>
    </w:p>
    <w:p w14:paraId="4EE6423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承包人提交项目管理机构及施工现场人员安排的报告的期限：</w:t>
      </w:r>
      <w:r>
        <w:rPr>
          <w:rFonts w:hint="eastAsia" w:ascii="宋体" w:hAnsi="宋体" w:eastAsia="宋体" w:cs="宋体"/>
          <w:color w:val="000000" w:themeColor="text1"/>
          <w:kern w:val="0"/>
          <w:sz w:val="24"/>
          <w:szCs w:val="30"/>
          <w:highlight w:val="none"/>
          <w:u w:val="single"/>
          <w14:textFill>
            <w14:solidFill>
              <w14:schemeClr w14:val="tx1"/>
            </w14:solidFill>
          </w14:textFill>
        </w:rPr>
        <w:t>发包人或其委托的监理人下发开工令之日起14天内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7E929A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承包人提交关键人员信息及注册执业资格等证明其具备担任关键人员能力的相关文件的期限：</w:t>
      </w:r>
      <w:r>
        <w:rPr>
          <w:rFonts w:hint="eastAsia" w:ascii="宋体" w:hAnsi="宋体" w:eastAsia="宋体" w:cs="宋体"/>
          <w:color w:val="000000" w:themeColor="text1"/>
          <w:kern w:val="0"/>
          <w:sz w:val="24"/>
          <w:szCs w:val="30"/>
          <w:highlight w:val="none"/>
          <w:u w:val="single"/>
          <w14:textFill>
            <w14:solidFill>
              <w14:schemeClr w14:val="tx1"/>
            </w14:solidFill>
          </w14:textFill>
        </w:rPr>
        <w:t>发包人或其委托的监理人下发开工令之日起14天内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C60810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4.4.2 关键人员更换</w:t>
      </w:r>
    </w:p>
    <w:p w14:paraId="07E7EB4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承包人擅自更换关键人员的违约责任：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承包人应按投标文件提交的项目管理机构及施工现场人员安排报告，派出相关人员，否则承包人按20</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0</w:t>
      </w:r>
      <w:r>
        <w:rPr>
          <w:rFonts w:hint="eastAsia" w:ascii="宋体" w:hAnsi="宋体" w:eastAsia="宋体" w:cs="宋体"/>
          <w:color w:val="000000" w:themeColor="text1"/>
          <w:kern w:val="0"/>
          <w:sz w:val="24"/>
          <w:szCs w:val="24"/>
          <w:highlight w:val="none"/>
          <w:u w:val="single"/>
          <w14:textFill>
            <w14:solidFill>
              <w14:schemeClr w14:val="tx1"/>
            </w14:solidFill>
          </w14:textFill>
        </w:rPr>
        <w:t>000元/次承担违约责任</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3A0632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承包人无正当理由拒绝撤换关键人员的违约责任： </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承包人按200</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0</w:t>
      </w:r>
      <w:r>
        <w:rPr>
          <w:rFonts w:hint="eastAsia" w:ascii="宋体" w:hAnsi="宋体" w:eastAsia="宋体" w:cs="宋体"/>
          <w:color w:val="000000" w:themeColor="text1"/>
          <w:kern w:val="0"/>
          <w:sz w:val="24"/>
          <w:szCs w:val="24"/>
          <w:highlight w:val="none"/>
          <w:u w:val="single"/>
          <w14:textFill>
            <w14:solidFill>
              <w14:schemeClr w14:val="tx1"/>
            </w14:solidFill>
          </w14:textFill>
        </w:rPr>
        <w:t>00元/次承担违约责任</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479CFF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4.4.3 现场管理关键人员在岗要求</w:t>
      </w:r>
    </w:p>
    <w:p w14:paraId="16952E3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承包人现场管理关键人员离开施工现场的批准要求：</w:t>
      </w:r>
      <w:r>
        <w:rPr>
          <w:rFonts w:hint="eastAsia" w:ascii="宋体" w:hAnsi="宋体" w:eastAsia="宋体" w:cs="宋体"/>
          <w:color w:val="000000" w:themeColor="text1"/>
          <w:kern w:val="0"/>
          <w:sz w:val="24"/>
          <w:szCs w:val="24"/>
          <w:highlight w:val="none"/>
          <w:u w:val="single"/>
          <w14:textFill>
            <w14:solidFill>
              <w14:schemeClr w14:val="tx1"/>
            </w14:solidFill>
          </w14:textFill>
        </w:rPr>
        <w:t>经发包人同意</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2D9BE7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承包人现场管理关键人员擅自离开施工现场的违约责任：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承包人按1000元/人·考勤天承担违约责任；月累计达10人.考勤天，按50000元/月承担违约责任。月累计达到10次的人员，发包人有权要求承包人更换，并按承包人擅自更换关键人员的违约责任处理</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7C60CB3">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4.5 分包</w:t>
      </w:r>
    </w:p>
    <w:p w14:paraId="674B3A5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4.5.1 一般约定</w:t>
      </w:r>
    </w:p>
    <w:p w14:paraId="732734E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禁止分包的工程包括</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关键部分及主体工程</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470440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4.5.2 分包的确定</w:t>
      </w:r>
    </w:p>
    <w:p w14:paraId="53E5751C">
      <w:pPr>
        <w:widowControl/>
        <w:spacing w:line="480" w:lineRule="exact"/>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允许分包的工程包括</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需分包才能完成的项目，承包人必须报经发包人书面同意后依法依规进行分包，属于依法必须进行招标的项目范围且达到国家规定规模标准的，应当依法招标；不属于依法必须进行招标的项目，承包人应按相关的企业内控制度依法依规选取供应商，并留有相关流程记录等资料提供发包人检查。承包人对其承包的全部建设工程质量负责，分包单位对其分包工程的质量负责，分包不免除承包人对其承包的全部建设工程所负的质量责任。承包人对承包范围内工程的安全生产负总责。分包单位应当服从工程承包人的安全生产管理，分包单位不服从管理导致生产安全事故的，由分包单位承担主要责任，分包不免除承包人的安全责任。</w:t>
      </w:r>
    </w:p>
    <w:p w14:paraId="6B4CAE4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其他关于分包的约定：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F27CA6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4.5.5 分包合同价款支付</w:t>
      </w:r>
    </w:p>
    <w:p w14:paraId="5F25AC7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关于分包合同价款支付的约定：</w:t>
      </w:r>
      <w:r>
        <w:rPr>
          <w:rFonts w:hint="eastAsia" w:ascii="宋体" w:hAnsi="宋体" w:eastAsia="宋体" w:cs="宋体"/>
          <w:color w:val="000000" w:themeColor="text1"/>
          <w:kern w:val="0"/>
          <w:sz w:val="24"/>
          <w:szCs w:val="30"/>
          <w:highlight w:val="none"/>
          <w:u w:val="single"/>
          <w14:textFill>
            <w14:solidFill>
              <w14:schemeClr w14:val="tx1"/>
            </w14:solidFill>
          </w14:textFill>
        </w:rPr>
        <w:t>分包合同价款由承包人与分包人结算</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25DACF6">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4.6 联合体</w:t>
      </w:r>
    </w:p>
    <w:p w14:paraId="4FDD0CF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4.6.2 联合体各成员的分工、费用收取、发票开具等事项：</w:t>
      </w:r>
      <w:r>
        <w:rPr>
          <w:rFonts w:hint="eastAsia" w:ascii="宋体" w:hAnsi="宋体" w:eastAsia="宋体" w:cs="宋体"/>
          <w:color w:val="000000" w:themeColor="text1"/>
          <w:kern w:val="0"/>
          <w:sz w:val="24"/>
          <w:szCs w:val="24"/>
          <w:highlight w:val="none"/>
          <w:u w:val="single"/>
          <w14:textFill>
            <w14:solidFill>
              <w14:schemeClr w14:val="tx1"/>
            </w14:solidFill>
          </w14:textFill>
        </w:rPr>
        <w:t>联合体各成员的分工按联合体协议执行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3D3CCEE">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4.7 承包人现场查勘</w:t>
      </w:r>
    </w:p>
    <w:p w14:paraId="18829BD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4.7.1 双方当事人对现场查勘的责任承担的约定：</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50A317">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4.8 不可预见的困难</w:t>
      </w:r>
    </w:p>
    <w:p w14:paraId="4CE0B18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不可预见的困难包括：</w:t>
      </w:r>
      <w:r>
        <w:rPr>
          <w:rFonts w:hint="eastAsia" w:ascii="宋体" w:hAnsi="宋体" w:eastAsia="宋体" w:cs="宋体"/>
          <w:color w:val="000000" w:themeColor="text1"/>
          <w:kern w:val="0"/>
          <w:sz w:val="24"/>
          <w:szCs w:val="30"/>
          <w:highlight w:val="none"/>
          <w:u w:val="single"/>
          <w14:textFill>
            <w14:solidFill>
              <w14:schemeClr w14:val="tx1"/>
            </w14:solidFill>
          </w14:textFill>
        </w:rPr>
        <w:t>指有经验的承包人在施工现场遇到的不可预见的自然物质条件、非自然的物质障碍和污染物，包括地表以下物质条件和水文条件以及疫情防控、抗洪抢险等严重影响工程进度的情形，不包括恶劣气候条件</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E526143">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61" w:name="_Toc2971"/>
      <w:bookmarkStart w:id="1262" w:name="_Toc7713"/>
      <w:bookmarkStart w:id="1263" w:name="_Toc54862336"/>
      <w:bookmarkStart w:id="1264" w:name="_Toc31959"/>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第5条 设计</w:t>
      </w:r>
      <w:bookmarkEnd w:id="1261"/>
      <w:bookmarkEnd w:id="1262"/>
      <w:bookmarkEnd w:id="1263"/>
      <w:bookmarkEnd w:id="1264"/>
    </w:p>
    <w:p w14:paraId="60D4F2B0">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5.2 承包人文件审查</w:t>
      </w:r>
    </w:p>
    <w:p w14:paraId="2919E37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5.2.1 承包人文件审查的期限：</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ABE907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5.2.2 审查会议的审查形式和时间安排为：</w:t>
      </w:r>
      <w:r>
        <w:rPr>
          <w:rFonts w:hint="eastAsia" w:ascii="宋体" w:hAnsi="宋体" w:eastAsia="宋体" w:cs="宋体"/>
          <w:color w:val="000000" w:themeColor="text1"/>
          <w:kern w:val="0"/>
          <w:sz w:val="24"/>
          <w:szCs w:val="24"/>
          <w:highlight w:val="none"/>
          <w:u w:val="single"/>
          <w14:textFill>
            <w14:solidFill>
              <w14:schemeClr w14:val="tx1"/>
            </w14:solidFill>
          </w14:textFill>
        </w:rPr>
        <w:t>另行约定</w:t>
      </w:r>
      <w:r>
        <w:rPr>
          <w:rFonts w:hint="eastAsia" w:ascii="宋体" w:hAnsi="宋体" w:eastAsia="宋体" w:cs="宋体"/>
          <w:color w:val="000000" w:themeColor="text1"/>
          <w:kern w:val="0"/>
          <w:sz w:val="24"/>
          <w:szCs w:val="24"/>
          <w:highlight w:val="none"/>
          <w14:textFill>
            <w14:solidFill>
              <w14:schemeClr w14:val="tx1"/>
            </w14:solidFill>
          </w14:textFill>
        </w:rPr>
        <w:t>，审查会议的相关费用由</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72BA645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5.2.3 关于第三方审查单位的约定：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按发包人要求执行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51B8AD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 培训</w:t>
      </w:r>
    </w:p>
    <w:p w14:paraId="212F602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培训的时长为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，承包人应为培训提供的人员、设施和其它必要条件为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4E336F3D">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5.4 竣工文件</w:t>
      </w:r>
    </w:p>
    <w:p w14:paraId="0F2AAD7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5.4.1 竣工文件的形式、提供的份数、技术标准以及其它相关要求：</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30"/>
          <w:highlight w:val="none"/>
          <w:u w:val="single"/>
          <w14:textFill>
            <w14:solidFill>
              <w14:schemeClr w14:val="tx1"/>
            </w14:solidFill>
          </w14:textFill>
        </w:rPr>
        <w:t>按有关规定执行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B31D710">
      <w:pPr>
        <w:widowControl/>
        <w:wordWrap/>
        <w:ind w:firstLine="48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5.4.3 关于竣工文件的其他约定：</w:t>
      </w:r>
      <w:r>
        <w:rPr>
          <w:rFonts w:hint="eastAsia" w:ascii="宋体" w:hAnsi="宋体" w:eastAsia="宋体" w:cs="宋体"/>
          <w:color w:val="000000" w:themeColor="text1"/>
          <w:kern w:val="0"/>
          <w:sz w:val="24"/>
          <w:szCs w:val="30"/>
          <w:highlight w:val="none"/>
          <w:u w:val="single"/>
          <w14:textFill>
            <w14:solidFill>
              <w14:schemeClr w14:val="tx1"/>
            </w14:solidFill>
          </w14:textFill>
        </w:rPr>
        <w:t>承包人应按现行有关技术标准自评质量等级、编制竣工报告，竣工验收报告由承包人编制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787DADD">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5.5 操作和维修手册</w:t>
      </w:r>
    </w:p>
    <w:p w14:paraId="31E7368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5.5.3 对最终操作和维修手册的约定：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B048F0D">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65" w:name="_Toc54862337"/>
      <w:bookmarkStart w:id="1266" w:name="_Toc9229"/>
      <w:bookmarkStart w:id="1267" w:name="_Toc4910"/>
      <w:bookmarkStart w:id="1268" w:name="_Toc21085"/>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第6条 材料、工程设备</w:t>
      </w:r>
      <w:bookmarkEnd w:id="1265"/>
      <w:bookmarkEnd w:id="1266"/>
      <w:bookmarkEnd w:id="1267"/>
      <w:bookmarkEnd w:id="1268"/>
    </w:p>
    <w:p w14:paraId="07EFCDE8">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6.1 实施方法</w:t>
      </w:r>
    </w:p>
    <w:p w14:paraId="185DE04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双方当事人约定的实施方法、设备、设施和材料：</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2643030">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6.2 材料和工程设备</w:t>
      </w:r>
    </w:p>
    <w:p w14:paraId="08B4D5C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6.2.1 发包人提供的材料和工程设备</w:t>
      </w:r>
    </w:p>
    <w:p w14:paraId="75785D0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发包人提供的材料和工程设备验收后，由</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30"/>
          <w:highlight w:val="none"/>
          <w:u w:val="single"/>
          <w14:textFill>
            <w14:solidFill>
              <w14:schemeClr w14:val="tx1"/>
            </w14:solidFill>
          </w14:textFill>
        </w:rPr>
        <w:t>承包人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负责接收、运输和保管。</w:t>
      </w:r>
    </w:p>
    <w:p w14:paraId="23CD3BC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6.2.2 承包人提供的材料和工程设备</w:t>
      </w:r>
    </w:p>
    <w:p w14:paraId="10E96E9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材料和工程设备的类别、估算数量：</w:t>
      </w:r>
      <w:r>
        <w:rPr>
          <w:rFonts w:hint="eastAsia" w:ascii="宋体" w:hAnsi="宋体" w:eastAsia="宋体" w:cs="宋体"/>
          <w:color w:val="000000" w:themeColor="text1"/>
          <w:kern w:val="0"/>
          <w:sz w:val="24"/>
          <w:szCs w:val="30"/>
          <w:highlight w:val="none"/>
          <w:u w:val="single"/>
          <w14:textFill>
            <w14:solidFill>
              <w14:schemeClr w14:val="tx1"/>
            </w14:solidFill>
          </w14:textFill>
        </w:rPr>
        <w:t>由承包人根据施工组织设计和现场需要进行合理安排、调整</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DEF679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竣工后试验的生产性材料的类别或（和）清单：</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0636BE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6.2.3 材料和工程设备的保管</w:t>
      </w:r>
    </w:p>
    <w:p w14:paraId="7E6A3E9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发包人供应的材料和工程设备的保管费用由</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发包人 </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4E90037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承包人提交保管、维护方案的时间：</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8DD3DF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发包人提供的库房、堆场、设施和设备：</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C6E8652">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6.3 样品</w:t>
      </w:r>
    </w:p>
    <w:p w14:paraId="5E87EC6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6.3.1 样品的报送与封存</w:t>
      </w:r>
    </w:p>
    <w:p w14:paraId="3F4E8ED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需要承包人报送样品的材料或工程设备，样品种类、名称、规格、数量：</w:t>
      </w:r>
      <w:r>
        <w:rPr>
          <w:rFonts w:hint="eastAsia" w:ascii="宋体" w:hAnsi="宋体" w:eastAsia="宋体" w:cs="宋体"/>
          <w:color w:val="000000" w:themeColor="text1"/>
          <w:kern w:val="0"/>
          <w:sz w:val="24"/>
          <w:szCs w:val="30"/>
          <w:highlight w:val="none"/>
          <w:u w:val="single"/>
          <w14:textFill>
            <w14:solidFill>
              <w14:schemeClr w14:val="tx1"/>
            </w14:solidFill>
          </w14:textFill>
        </w:rPr>
        <w:t>发包人不提供库房、堆场、设施和设备，由承包人自行搭建临时库房、堆场</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8090263">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6.4 质量检查</w:t>
      </w:r>
    </w:p>
    <w:p w14:paraId="6FB18AD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6.4.1 工程质量要求</w:t>
      </w:r>
    </w:p>
    <w:p w14:paraId="2CCD040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工程质量的特殊标准或要求：</w:t>
      </w:r>
      <w:r>
        <w:rPr>
          <w:rFonts w:hint="eastAsia" w:ascii="宋体" w:hAnsi="宋体" w:eastAsia="宋体" w:cs="宋体"/>
          <w:color w:val="000000" w:themeColor="text1"/>
          <w:kern w:val="0"/>
          <w:sz w:val="24"/>
          <w:szCs w:val="30"/>
          <w:highlight w:val="none"/>
          <w:u w:val="single"/>
          <w14:textFill>
            <w14:solidFill>
              <w14:schemeClr w14:val="tx1"/>
            </w14:solidFill>
          </w14:textFill>
        </w:rPr>
        <w:t>工程实行见证取样的试块、试件及有关材料按相关要求执行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46AAA7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6.4.2 质量检查</w:t>
      </w:r>
    </w:p>
    <w:p w14:paraId="47722D2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除通用合同条件已列明的质量检查的地点外，发包人有权进行质量检查的其他地点：</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DB6378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6.4.3 隐蔽工程检查</w:t>
      </w:r>
    </w:p>
    <w:p w14:paraId="3905494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关于隐蔽工程和中间验收的特别约定：</w:t>
      </w:r>
      <w:r>
        <w:rPr>
          <w:rFonts w:hint="eastAsia" w:ascii="宋体" w:hAnsi="宋体" w:eastAsia="宋体" w:cs="宋体"/>
          <w:color w:val="000000" w:themeColor="text1"/>
          <w:kern w:val="0"/>
          <w:sz w:val="24"/>
          <w:szCs w:val="30"/>
          <w:highlight w:val="none"/>
          <w:u w:val="single"/>
          <w14:textFill>
            <w14:solidFill>
              <w14:schemeClr w14:val="tx1"/>
            </w14:solidFill>
          </w14:textFill>
        </w:rPr>
        <w:t>隐蔽工程还应邀请发包人参与验收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FADD361">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6.5 由承包人试验和检验</w:t>
      </w:r>
    </w:p>
    <w:p w14:paraId="0475F0C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6.5.1 试验设备与试验人员</w:t>
      </w:r>
    </w:p>
    <w:p w14:paraId="69D8C5A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试验的内容、时间和地点：</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604DCCF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试验所需要的试验设备、取样装置、试验场所和试验条件：</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645CA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试验和检验费用的计价原则：</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CCD3D2C">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69" w:name="_Toc22824"/>
      <w:bookmarkStart w:id="1270" w:name="_Toc28733"/>
      <w:bookmarkStart w:id="1271" w:name="_Toc54862338"/>
      <w:bookmarkStart w:id="1272" w:name="_Toc24508"/>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第7条 施工</w:t>
      </w:r>
      <w:bookmarkEnd w:id="1269"/>
      <w:bookmarkEnd w:id="1270"/>
      <w:bookmarkEnd w:id="1271"/>
      <w:bookmarkEnd w:id="1272"/>
    </w:p>
    <w:p w14:paraId="52E31132">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7.1 交通运输</w:t>
      </w:r>
    </w:p>
    <w:p w14:paraId="25D9FBD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7.1.1 出入现场的权利</w:t>
      </w:r>
    </w:p>
    <w:p w14:paraId="4F58E51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关于出入现场的权利的约定：</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3D6A41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7.1.2 场外交通</w:t>
      </w:r>
    </w:p>
    <w:p w14:paraId="2B2AFBD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关于场外交通的特别约定：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EB7842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7.1.3 场内交通</w:t>
      </w:r>
    </w:p>
    <w:p w14:paraId="1AE194C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关于场内交通的特别约定：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350F12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关于场内交通与场外交通边界的约定：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73882B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7.1.4 超大件和超重件的运输</w:t>
      </w:r>
    </w:p>
    <w:p w14:paraId="22E0817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eastAsia="宋体" w:cs="宋体"/>
          <w:color w:val="000000" w:themeColor="text1"/>
          <w:kern w:val="0"/>
          <w:sz w:val="24"/>
          <w:szCs w:val="24"/>
          <w:highlight w:val="none"/>
          <w:u w:val="single"/>
          <w14:textFill>
            <w14:solidFill>
              <w14:schemeClr w14:val="tx1"/>
            </w14:solidFill>
          </w14:textFill>
        </w:rPr>
        <w:t>双方协商</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017B860D">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7.2 施工设备和临时设施</w:t>
      </w:r>
    </w:p>
    <w:p w14:paraId="393626E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7.2.1 承包人提供的施工设备和临时设施</w:t>
      </w:r>
    </w:p>
    <w:p w14:paraId="2C64AB5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临时设施的费用和临时占地手续和费用承担的特别约定：</w:t>
      </w:r>
      <w:r>
        <w:rPr>
          <w:rFonts w:hint="eastAsia" w:ascii="宋体" w:hAnsi="宋体" w:eastAsia="宋体" w:cs="宋体"/>
          <w:color w:val="000000" w:themeColor="text1"/>
          <w:kern w:val="0"/>
          <w:sz w:val="24"/>
          <w:szCs w:val="30"/>
          <w:highlight w:val="none"/>
          <w:u w:val="single"/>
          <w14:textFill>
            <w14:solidFill>
              <w14:schemeClr w14:val="tx1"/>
            </w14:solidFill>
          </w14:textFill>
        </w:rPr>
        <w:t>承包人应自行承担修建临时设施的费用及临时占地手续和费用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13EFED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7.2.2 发包人提供的施工设备和临时设施</w:t>
      </w:r>
    </w:p>
    <w:p w14:paraId="2E4D608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发包人提供的施工设备或临时设施范围：</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70BC5C">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7.3 现场合作</w:t>
      </w:r>
    </w:p>
    <w:p w14:paraId="3BE4D8D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关于现场合作费用的特别约定：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F8308F5">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7.4 测量放线</w:t>
      </w:r>
    </w:p>
    <w:p w14:paraId="6D59616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7.4.1 关于测量放线的特别约定的技术规范：</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。施工控制网资料的告知期限：</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954C98F">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7.5 现场劳动用工</w:t>
      </w:r>
    </w:p>
    <w:p w14:paraId="166D26D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7.5.2 合同当事人对建筑工人工资清偿事宜和违约责任的约定：</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B67E93D">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7.6 安全文明施工</w:t>
      </w:r>
    </w:p>
    <w:p w14:paraId="73054A6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7.6.1 安全生产要求</w:t>
      </w:r>
    </w:p>
    <w:p w14:paraId="05E7CF4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合同当事人对安全施工的要求：</w:t>
      </w:r>
      <w:r>
        <w:rPr>
          <w:rFonts w:hint="eastAsia" w:ascii="宋体" w:hAnsi="宋体" w:eastAsia="宋体" w:cs="宋体"/>
          <w:color w:val="000000" w:themeColor="text1"/>
          <w:kern w:val="0"/>
          <w:sz w:val="24"/>
          <w:szCs w:val="30"/>
          <w:highlight w:val="none"/>
          <w:u w:val="single"/>
          <w14:textFill>
            <w14:solidFill>
              <w14:schemeClr w14:val="tx1"/>
            </w14:solidFill>
          </w14:textFill>
        </w:rPr>
        <w:t>按国家和工程所在地有关安全生产的有关规定执行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622882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7.6.3 文明施工</w:t>
      </w:r>
    </w:p>
    <w:p w14:paraId="35F82A3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合同当事人对文明施工的要求：</w:t>
      </w:r>
      <w:r>
        <w:rPr>
          <w:rFonts w:hint="eastAsia" w:ascii="宋体" w:hAnsi="宋体" w:eastAsia="宋体" w:cs="宋体"/>
          <w:color w:val="000000" w:themeColor="text1"/>
          <w:kern w:val="0"/>
          <w:sz w:val="24"/>
          <w:szCs w:val="30"/>
          <w:highlight w:val="none"/>
          <w:u w:val="single"/>
          <w14:textFill>
            <w14:solidFill>
              <w14:schemeClr w14:val="tx1"/>
            </w14:solidFill>
          </w14:textFill>
        </w:rPr>
        <w:t>按国家和工程所在地有关安全生产的有关规定执行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B8D5912">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7.9 临时性公用设施</w:t>
      </w:r>
    </w:p>
    <w:p w14:paraId="4AA8B9F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关于临时性公用设施的特别约定：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D79B31A">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7.10 现场安保</w:t>
      </w:r>
    </w:p>
    <w:p w14:paraId="543CEB1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承包人现场安保义务的特别约定：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E4309C1">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73" w:name="_Toc19226"/>
      <w:bookmarkStart w:id="1274" w:name="_Toc19908"/>
      <w:bookmarkStart w:id="1275" w:name="_Toc4969"/>
      <w:bookmarkStart w:id="1276" w:name="_Toc54862339"/>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第8条 工期和进度</w:t>
      </w:r>
      <w:bookmarkEnd w:id="1273"/>
      <w:bookmarkEnd w:id="1274"/>
      <w:bookmarkEnd w:id="1275"/>
      <w:bookmarkEnd w:id="1276"/>
    </w:p>
    <w:p w14:paraId="34D178E8">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8.1 开始工作</w:t>
      </w:r>
    </w:p>
    <w:p w14:paraId="08EC6624">
      <w:pPr>
        <w:widowControl/>
        <w:adjustRightInd w:val="0"/>
        <w:snapToGrid w:val="0"/>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8.1.1 开始准备工作</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发包人及承包人的开始准备工作应满足开工时间的要求，且发包人有权对承包人的开工准备工作进行检查，检查内容包括但不限于</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EB8AD87">
      <w:pPr>
        <w:widowControl/>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（1）项目组管理人员到位情况；</w:t>
      </w:r>
    </w:p>
    <w:p w14:paraId="045754D9">
      <w:pPr>
        <w:widowControl/>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（2）投入的机械、设备到位情况；</w:t>
      </w:r>
    </w:p>
    <w:p w14:paraId="7AF31766">
      <w:pPr>
        <w:widowControl/>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（3）安全文明施工实施及准备情况；</w:t>
      </w:r>
    </w:p>
    <w:p w14:paraId="1602CD2F">
      <w:pPr>
        <w:widowControl/>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（4）经监理人和发包人批准审核的施工组织设计和施工进度计划、项目总体安全文明施工专项措施方案和预算方案；</w:t>
      </w:r>
    </w:p>
    <w:p w14:paraId="4C9BCBDC">
      <w:pPr>
        <w:widowControl/>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（5）施工临时设施、用房准备情况；</w:t>
      </w:r>
    </w:p>
    <w:p w14:paraId="6714DAFC">
      <w:pPr>
        <w:widowControl/>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（6）设计交底、图纸会审记录；</w:t>
      </w:r>
    </w:p>
    <w:p w14:paraId="4F5E9BC3">
      <w:pPr>
        <w:widowControl/>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（7）农民工工资准备金交存凭据；</w:t>
      </w:r>
    </w:p>
    <w:p w14:paraId="0543312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8.1.2 发包人可在计划开始工作之日起84日后发出开始工作通知的特殊情形：</w:t>
      </w:r>
      <w:r>
        <w:rPr>
          <w:rFonts w:hint="eastAsia" w:ascii="宋体" w:hAnsi="宋体" w:eastAsia="宋体" w:cs="宋体"/>
          <w:b w:val="0"/>
          <w:bCs w:val="0"/>
          <w:color w:val="000000" w:themeColor="text1"/>
          <w:kern w:val="0"/>
          <w:sz w:val="24"/>
          <w:szCs w:val="24"/>
          <w:highlight w:val="none"/>
          <w:u w:val="single"/>
          <w14:textFill>
            <w14:solidFill>
              <w14:schemeClr w14:val="tx1"/>
            </w14:solidFill>
          </w14:textFill>
        </w:rPr>
        <w:t>①不可抗力；②项目初步设计（含概算）及功能需求发生重大调整等</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5E99092">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8.2 竣工日期</w:t>
      </w:r>
    </w:p>
    <w:p w14:paraId="5C80736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竣工日期的约定：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D8A28CF">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8.3 项目实施计划</w:t>
      </w:r>
    </w:p>
    <w:p w14:paraId="05DF4C5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8.3.1 项目实施计划的内容</w:t>
      </w:r>
    </w:p>
    <w:p w14:paraId="7F2A1F4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项目实施计划的内容：</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5E9454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8.3.2 项目实施计划的提交和修改</w:t>
      </w:r>
    </w:p>
    <w:p w14:paraId="7577022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项目实施计划的提交及修改期限：</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6A64FDD">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8.4 项目进度计划</w:t>
      </w:r>
    </w:p>
    <w:p w14:paraId="258CC96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8.4.1 工程师在收到进度计划后确认或提出修改意见的期限：</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5E3CBA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8.4.2 进度计划的具体要求：</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44BEB9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关键路径及关键路径变化的确定原则：</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A8583E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承包人提交项目进度计划的份数和时间：</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CD6954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8.4.3 进度计划的修订</w:t>
      </w:r>
    </w:p>
    <w:p w14:paraId="2500828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承包人提交修订项目进度计划申请报告的期限：</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01DCBB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发包人批复修订项目进度计划申请报告的期限：</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6EE429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承包人答复发包人提出修订合同计划的期限：</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C4E1311">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8.5 进度报告</w:t>
      </w:r>
    </w:p>
    <w:p w14:paraId="6183DE6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进度报告的具体要求：</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4E28037">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8.7 工期延误</w:t>
      </w:r>
    </w:p>
    <w:p w14:paraId="6115FFC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8.7.2 因承包人原因导致工期延误</w:t>
      </w:r>
    </w:p>
    <w:p w14:paraId="0BD63CFF">
      <w:pPr>
        <w:widowControl/>
        <w:bidi w:val="0"/>
        <w:ind w:firstLine="640"/>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因承包人原因使竣工日期延误，每延误1日的误期赔偿金额为人民币金额为：</w:t>
      </w:r>
      <w:r>
        <w:rPr>
          <w:rFonts w:hint="eastAsia" w:ascii="宋体" w:hAnsi="宋体" w:eastAsia="宋体" w:cs="宋体"/>
          <w:b/>
          <w:bCs/>
          <w:color w:val="000000" w:themeColor="text1"/>
          <w:kern w:val="0"/>
          <w:sz w:val="24"/>
          <w:szCs w:val="24"/>
          <w:highlight w:val="none"/>
          <w:u w:val="single"/>
          <w:lang w:val="en-US" w:eastAsia="zh-CN"/>
          <w14:textFill>
            <w14:solidFill>
              <w14:schemeClr w14:val="tx1"/>
            </w14:solidFill>
          </w14:textFill>
        </w:rPr>
        <w:t xml:space="preserve">20000元/日 </w:t>
      </w:r>
      <w:r>
        <w:rPr>
          <w:rFonts w:hint="eastAsia" w:ascii="宋体" w:hAnsi="宋体" w:eastAsia="宋体" w:cs="宋体"/>
          <w:b/>
          <w:bCs/>
          <w:color w:val="000000" w:themeColor="text1"/>
          <w:kern w:val="0"/>
          <w:sz w:val="24"/>
          <w:szCs w:val="24"/>
          <w:highlight w:val="none"/>
          <w14:textFill>
            <w14:solidFill>
              <w14:schemeClr w14:val="tx1"/>
            </w14:solidFill>
          </w14:textFill>
        </w:rPr>
        <w:t>、累计最高赔偿金额为合同协议书的合同价格的：</w:t>
      </w:r>
      <w:r>
        <w:rPr>
          <w:rFonts w:hint="eastAsia" w:ascii="宋体" w:hAnsi="宋体" w:eastAsia="宋体" w:cs="宋体"/>
          <w:b/>
          <w:bCs/>
          <w:color w:val="000000" w:themeColor="text1"/>
          <w:kern w:val="0"/>
          <w:sz w:val="24"/>
          <w:szCs w:val="24"/>
          <w:highlight w:val="none"/>
          <w:u w:val="single"/>
          <w:lang w:val="en-US" w:eastAsia="zh-CN"/>
          <w14:textFill>
            <w14:solidFill>
              <w14:schemeClr w14:val="tx1"/>
            </w14:solidFill>
          </w14:textFill>
        </w:rPr>
        <w:t>5</w:t>
      </w:r>
      <w:r>
        <w:rPr>
          <w:rFonts w:hint="eastAsia" w:ascii="宋体" w:hAnsi="宋体" w:eastAsia="宋体" w:cs="宋体"/>
          <w:b/>
          <w:bCs/>
          <w:color w:val="000000" w:themeColor="text1"/>
          <w:kern w:val="0"/>
          <w:sz w:val="24"/>
          <w:szCs w:val="24"/>
          <w:highlight w:val="none"/>
          <w14:textFill>
            <w14:solidFill>
              <w14:schemeClr w14:val="tx1"/>
            </w14:solidFill>
          </w14:textFill>
        </w:rPr>
        <w:t>%。</w:t>
      </w:r>
    </w:p>
    <w:p w14:paraId="1AEE395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8.7.3 行政审批迟延</w:t>
      </w:r>
    </w:p>
    <w:p w14:paraId="5D5CA3B2">
      <w:pPr>
        <w:widowControl/>
        <w:bidi w:val="0"/>
        <w:ind w:firstLine="640"/>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行政审批报送的职责分工：</w:t>
      </w:r>
      <w:r>
        <w:rPr>
          <w:rFonts w:hint="eastAsia" w:ascii="宋体" w:hAnsi="宋体" w:eastAsia="宋体" w:cs="宋体"/>
          <w:color w:val="000000" w:themeColor="text1"/>
          <w:kern w:val="0"/>
          <w:sz w:val="24"/>
          <w:szCs w:val="24"/>
          <w:highlight w:val="none"/>
          <w:u w:val="single"/>
          <w14:textFill>
            <w14:solidFill>
              <w14:schemeClr w14:val="tx1"/>
            </w14:solidFill>
          </w14:textFill>
        </w:rPr>
        <w:t>根据合同约定应由发包人完成的由承包人协助发包人完成，由承包人完成的，承包人自行负责，发包人不再另行支付</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w:t>
      </w:r>
    </w:p>
    <w:p w14:paraId="3489E9F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8.7.4 异常恶劣的气候条件</w:t>
      </w:r>
    </w:p>
    <w:p w14:paraId="76306E3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双方约定视为异常恶劣的气候条件的情形：</w:t>
      </w:r>
      <w:r>
        <w:rPr>
          <w:rFonts w:hint="eastAsia" w:ascii="宋体" w:hAnsi="宋体" w:eastAsia="宋体" w:cs="宋体"/>
          <w:color w:val="000000" w:themeColor="text1"/>
          <w:kern w:val="0"/>
          <w:sz w:val="24"/>
          <w:szCs w:val="30"/>
          <w:highlight w:val="none"/>
          <w:u w:val="single"/>
          <w14:textFill>
            <w14:solidFill>
              <w14:schemeClr w14:val="tx1"/>
            </w14:solidFill>
          </w14:textFill>
        </w:rPr>
        <w:t>（1）日降雨量大于10mm的雨日超过30天；（2）风速大于10.8m/s的6级以上台风灾害；（3）日气温超过35℃的高温大于10 天；（4）日气温低于-5℃的严寒大于10天；（5）造成工程损坏的冰雹和大雪灾害，中雹和10mm的大雪持续5天以上；（6）其他异常恶劣气候灾害；以上以江西省气象局发布的气象资料为准</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694CCCA">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8.8 工期提前</w:t>
      </w:r>
    </w:p>
    <w:p w14:paraId="1E7725C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8.8.2 承包人提前竣工的奖励：</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D75DB37">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77" w:name="_Toc2694"/>
      <w:bookmarkStart w:id="1278" w:name="_Toc54862340"/>
      <w:bookmarkStart w:id="1279" w:name="_Toc17437"/>
      <w:bookmarkStart w:id="1280" w:name="_Toc15415"/>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第9条 竣工试验</w:t>
      </w:r>
      <w:bookmarkEnd w:id="1277"/>
      <w:bookmarkEnd w:id="1278"/>
      <w:bookmarkEnd w:id="1279"/>
      <w:bookmarkEnd w:id="1280"/>
    </w:p>
    <w:p w14:paraId="4FE8532B">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9.1 竣工试验的义务</w:t>
      </w:r>
    </w:p>
    <w:p w14:paraId="0D8D0BB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9.1.3 竣工试验的阶段、内容和顺序：</w:t>
      </w:r>
      <w:r>
        <w:rPr>
          <w:rFonts w:hint="eastAsia" w:ascii="宋体" w:hAnsi="宋体" w:eastAsia="宋体" w:cs="宋体"/>
          <w:color w:val="000000" w:themeColor="text1"/>
          <w:kern w:val="0"/>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809EFA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竣工试验的操作要求：</w:t>
      </w:r>
      <w:r>
        <w:rPr>
          <w:rFonts w:hint="eastAsia" w:ascii="宋体" w:hAnsi="宋体" w:eastAsia="宋体" w:cs="宋体"/>
          <w:color w:val="000000" w:themeColor="text1"/>
          <w:kern w:val="0"/>
          <w:sz w:val="24"/>
          <w:szCs w:val="24"/>
          <w:highlight w:val="none"/>
          <w:u w:val="single"/>
          <w14:textFill>
            <w14:solidFill>
              <w14:schemeClr w14:val="tx1"/>
            </w14:solidFill>
          </w14:textFill>
        </w:rPr>
        <w:t>竣工验收前必须满足调试合格，试生产产品符合国家相关标准，该部分费用及试生产期间的原材料及相关费用发包人不再另行支付，未尽事宜按国家政策规定及发包人指示执行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BD94EBF">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81" w:name="_Toc4784272"/>
      <w:bookmarkEnd w:id="1281"/>
      <w:bookmarkStart w:id="1282" w:name="_Toc4784273"/>
      <w:bookmarkEnd w:id="1282"/>
      <w:bookmarkStart w:id="1283" w:name="_Toc29874"/>
      <w:bookmarkStart w:id="1284" w:name="_Toc54862341"/>
      <w:bookmarkStart w:id="1285" w:name="_Toc17968"/>
      <w:bookmarkStart w:id="1286" w:name="_Toc5183"/>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第10条 验收和工程接收</w:t>
      </w:r>
      <w:bookmarkEnd w:id="1283"/>
      <w:bookmarkEnd w:id="1284"/>
      <w:bookmarkEnd w:id="1285"/>
      <w:bookmarkEnd w:id="1286"/>
    </w:p>
    <w:p w14:paraId="3A69817D">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10.1 竣工验收</w:t>
      </w:r>
    </w:p>
    <w:p w14:paraId="1FFFD35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10.1.2 关于竣工验收程序的约定：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按发包人的竣工验收管理办法执行。承包人必须保证分部分项工程及整体工程一次性达到100%验收合格</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B66B5F8">
      <w:pPr>
        <w:widowControl/>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1）承包人提供竣工图的约定：承包人在工程竣工验收后，应在有关法规规定的期限内，向发包人提供一式不少于陆份完整的、经核验签证后的竣工资料及竣工图，竣工档案，且必须保证其符合城建档案规定的要求。监理单位在收到上述材料后20日内经予签认，经发包人批准后由承包人报送城建档案馆。</w:t>
      </w:r>
    </w:p>
    <w:p w14:paraId="466CC179">
      <w:pPr>
        <w:widowControl/>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（2）中间交工工程的范围和竣工时间：</w:t>
      </w:r>
    </w:p>
    <w:p w14:paraId="665E6EF2">
      <w:pPr>
        <w:widowControl/>
        <w:adjustRightInd w:val="0"/>
        <w:snapToGrid w:val="0"/>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隐蔽工程的验收：隐蔽工程完工后，由承包人发出隐蔽工程验收通知，由监理组织相关人员验收。</w:t>
      </w:r>
    </w:p>
    <w:p w14:paraId="334388CD">
      <w:pPr>
        <w:widowControl/>
        <w:adjustRightInd w:val="0"/>
        <w:snapToGrid w:val="0"/>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分部分项工程验收：分部分项工程完工后承包人应在三天内向监理提出书面验收通知，监理方在接到通知后应在三天的时间内组织相关人员进行验收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AA0CE1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bookmarkStart w:id="1287" w:name="_Hlk46406260"/>
      <w:r>
        <w:rPr>
          <w:rFonts w:hint="eastAsia" w:ascii="宋体" w:hAnsi="宋体" w:eastAsia="宋体" w:cs="宋体"/>
          <w:color w:val="000000" w:themeColor="text1"/>
          <w:kern w:val="0"/>
          <w:sz w:val="24"/>
          <w:szCs w:val="24"/>
          <w:highlight w:val="none"/>
          <w14:textFill>
            <w14:solidFill>
              <w14:schemeClr w14:val="tx1"/>
            </w14:solidFill>
          </w14:textFill>
        </w:rPr>
        <w:t>发包人不按照合同约定组织竣工验收、颁发工程接受证书的违约金的计算方式：</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bookmarkEnd w:id="1287"/>
    <w:p w14:paraId="73234995">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10.3</w:t>
      </w: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ab/>
      </w: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 xml:space="preserve"> 工程的接收</w:t>
      </w:r>
    </w:p>
    <w:p w14:paraId="0120C96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10.3.1工程接收的先后顺序、时间安排和其他要求：</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F13B2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10.3.2 接受工程时承包人需提交竣工验收资料的类别、内容、份数和提交时间：</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8A8A49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10.3.3 发包人逾期接收工程的违约责任：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8906C5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10.3.4 承包人无正当理由不移交工程的违约责任：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2A5FE37">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10.4 接收证书</w:t>
      </w:r>
    </w:p>
    <w:p w14:paraId="28F18CF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10.4.1 工程接收证书颁发时间：</w:t>
      </w:r>
      <w:r>
        <w:rPr>
          <w:rFonts w:hint="eastAsia" w:ascii="宋体" w:hAnsi="宋体" w:eastAsia="宋体" w:cs="宋体"/>
          <w:color w:val="000000" w:themeColor="text1"/>
          <w:kern w:val="0"/>
          <w:sz w:val="24"/>
          <w:szCs w:val="30"/>
          <w:highlight w:val="none"/>
          <w:u w:val="single"/>
          <w14:textFill>
            <w14:solidFill>
              <w14:schemeClr w14:val="tx1"/>
            </w14:solidFill>
          </w14:textFill>
        </w:rPr>
        <w:t>发包人在竣工验收合格且工程具备接收条件后的14天内向承包人颁发工程接收证书</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309E5A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10.5 竣工退场</w:t>
      </w:r>
    </w:p>
    <w:p w14:paraId="2BA6D55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10.5.1 竣工退场的相关约定：</w:t>
      </w:r>
      <w:r>
        <w:rPr>
          <w:rFonts w:hint="eastAsia" w:ascii="宋体" w:hAnsi="宋体" w:eastAsia="宋体" w:cs="宋体"/>
          <w:color w:val="000000" w:themeColor="text1"/>
          <w:kern w:val="0"/>
          <w:sz w:val="24"/>
          <w:szCs w:val="30"/>
          <w:highlight w:val="none"/>
          <w:u w:val="single"/>
          <w14:textFill>
            <w14:solidFill>
              <w14:schemeClr w14:val="tx1"/>
            </w14:solidFill>
          </w14:textFill>
        </w:rPr>
        <w:t>发包人在颁发工程接收证书后15 日内完成竣工退场</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256437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10.5.3人员撤离</w:t>
      </w:r>
    </w:p>
    <w:p w14:paraId="7CAEBF1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工程师同意需在缺陷责任期内继续工作和使用的人员、施工设备和临时工程的内容：</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08802B6">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88" w:name="_Toc26950"/>
      <w:bookmarkStart w:id="1289" w:name="_Toc54862342"/>
      <w:bookmarkStart w:id="1290" w:name="_Toc18392"/>
      <w:bookmarkStart w:id="1291" w:name="_Toc10504"/>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第11条 缺陷责任与保修</w:t>
      </w:r>
      <w:bookmarkEnd w:id="1288"/>
      <w:bookmarkEnd w:id="1289"/>
      <w:bookmarkEnd w:id="1290"/>
      <w:bookmarkEnd w:id="1291"/>
    </w:p>
    <w:p w14:paraId="204059C8">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11.2 缺陷责任期</w:t>
      </w:r>
    </w:p>
    <w:p w14:paraId="40CA726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缺陷责任期的期限：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自竣工验收报告列明的工程竣工验收合格之日起计算</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12</w:t>
      </w:r>
      <w:r>
        <w:rPr>
          <w:rFonts w:hint="eastAsia" w:ascii="宋体" w:hAnsi="宋体" w:eastAsia="宋体" w:cs="宋体"/>
          <w:color w:val="000000" w:themeColor="text1"/>
          <w:kern w:val="0"/>
          <w:sz w:val="24"/>
          <w:szCs w:val="24"/>
          <w:highlight w:val="none"/>
          <w:u w:val="single"/>
          <w14:textFill>
            <w14:solidFill>
              <w14:schemeClr w14:val="tx1"/>
            </w14:solidFill>
          </w14:textFill>
        </w:rPr>
        <w:t>个月</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65CF0E2">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11.3 缺陷调查</w:t>
      </w:r>
    </w:p>
    <w:p w14:paraId="51E6C71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11.3.4 修复通知</w:t>
      </w:r>
    </w:p>
    <w:p w14:paraId="486A775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eastAsia="宋体" w:cs="宋体"/>
          <w:color w:val="000000" w:themeColor="text1"/>
          <w:kern w:val="0"/>
          <w:sz w:val="24"/>
          <w:szCs w:val="24"/>
          <w:highlight w:val="none"/>
          <w:u w:val="single"/>
          <w14:textFill>
            <w14:solidFill>
              <w14:schemeClr w14:val="tx1"/>
            </w14:solidFill>
          </w14:textFill>
        </w:rPr>
        <w:t>24小时内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21D2397">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11.6 缺陷责任期终止证书</w:t>
      </w:r>
    </w:p>
    <w:p w14:paraId="0AE2E75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承包人应于缺陷责任期届满后</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7</w:t>
      </w:r>
      <w:r>
        <w:rPr>
          <w:rFonts w:hint="eastAsia" w:ascii="宋体" w:hAnsi="宋体" w:eastAsia="宋体" w:cs="宋体"/>
          <w:color w:val="000000" w:themeColor="text1"/>
          <w:kern w:val="0"/>
          <w:sz w:val="24"/>
          <w:szCs w:val="24"/>
          <w:highlight w:val="none"/>
          <w14:textFill>
            <w14:solidFill>
              <w14:schemeClr w14:val="tx1"/>
            </w14:solidFill>
          </w14:textFill>
        </w:rPr>
        <w:t>天内向发包人发出缺陷责任期届满通知，发包人应在收到缺陷责任期满通知后</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7</w:t>
      </w:r>
      <w:r>
        <w:rPr>
          <w:rFonts w:hint="eastAsia" w:ascii="宋体" w:hAnsi="宋体" w:eastAsia="宋体" w:cs="宋体"/>
          <w:color w:val="000000" w:themeColor="text1"/>
          <w:kern w:val="0"/>
          <w:sz w:val="24"/>
          <w:szCs w:val="24"/>
          <w:highlight w:val="none"/>
          <w14:textFill>
            <w14:solidFill>
              <w14:schemeClr w14:val="tx1"/>
            </w14:solidFill>
          </w14:textFill>
        </w:rPr>
        <w:t>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天内，向承包人颁发缺陷责任期终止证书。</w:t>
      </w:r>
    </w:p>
    <w:p w14:paraId="697720F8">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11.7 保修责任</w:t>
      </w:r>
    </w:p>
    <w:p w14:paraId="3F1142E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工程质量保修范围、期限和责任为：</w:t>
      </w:r>
      <w:r>
        <w:rPr>
          <w:rFonts w:hint="eastAsia" w:ascii="宋体" w:hAnsi="宋体" w:eastAsia="宋体" w:cs="宋体"/>
          <w:color w:val="000000" w:themeColor="text1"/>
          <w:kern w:val="0"/>
          <w:sz w:val="24"/>
          <w:szCs w:val="24"/>
          <w:highlight w:val="none"/>
          <w:u w:val="single"/>
          <w14:textFill>
            <w14:solidFill>
              <w14:schemeClr w14:val="tx1"/>
            </w14:solidFill>
          </w14:textFill>
        </w:rPr>
        <w:t>见“工程质量保修书”</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0688A18">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92" w:name="_Toc29949"/>
      <w:bookmarkStart w:id="1293" w:name="_Toc54862343"/>
      <w:bookmarkStart w:id="1294" w:name="_Toc8433"/>
      <w:bookmarkStart w:id="1295" w:name="_Toc29730"/>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第12条 竣工后试验</w:t>
      </w:r>
      <w:bookmarkEnd w:id="1292"/>
      <w:bookmarkEnd w:id="1293"/>
      <w:bookmarkEnd w:id="1294"/>
      <w:bookmarkEnd w:id="1295"/>
    </w:p>
    <w:p w14:paraId="39FC6B9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本合同工程是否包含竣工后试验：</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053D983">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12.1 竣工后试验的程序</w:t>
      </w:r>
    </w:p>
    <w:p w14:paraId="63AE97C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EF28BF2">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296" w:name="_Toc24624"/>
      <w:bookmarkStart w:id="1297" w:name="_Toc54862344"/>
      <w:bookmarkStart w:id="1298" w:name="_Toc18280"/>
      <w:bookmarkStart w:id="1299" w:name="_Toc5664"/>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第13条 变更与调整</w:t>
      </w:r>
      <w:bookmarkEnd w:id="1296"/>
      <w:bookmarkEnd w:id="1297"/>
      <w:bookmarkEnd w:id="1298"/>
      <w:bookmarkEnd w:id="1299"/>
    </w:p>
    <w:p w14:paraId="7097B530">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13.2 承包人的合理化建议</w:t>
      </w:r>
    </w:p>
    <w:p w14:paraId="7EA09FF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13.2.2 工程师应在收到承包人提交的合理化建议后</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7</w:t>
      </w:r>
      <w:r>
        <w:rPr>
          <w:rFonts w:hint="eastAsia" w:ascii="宋体" w:hAnsi="宋体" w:eastAsia="宋体" w:cs="宋体"/>
          <w:color w:val="000000" w:themeColor="text1"/>
          <w:kern w:val="0"/>
          <w:sz w:val="24"/>
          <w:szCs w:val="24"/>
          <w:highlight w:val="none"/>
          <w14:textFill>
            <w14:solidFill>
              <w14:schemeClr w14:val="tx1"/>
            </w14:solidFill>
          </w14:textFill>
        </w:rPr>
        <w:t>日内审查完毕并报送发包人，发现其中存在技术上的缺陷，应通知承包人修改。发包人应在收到工程师报送的合理化建议后</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7</w:t>
      </w:r>
      <w:r>
        <w:rPr>
          <w:rFonts w:hint="eastAsia" w:ascii="宋体" w:hAnsi="宋体" w:eastAsia="宋体" w:cs="宋体"/>
          <w:color w:val="000000" w:themeColor="text1"/>
          <w:kern w:val="0"/>
          <w:sz w:val="24"/>
          <w:szCs w:val="24"/>
          <w:highlight w:val="none"/>
          <w14:textFill>
            <w14:solidFill>
              <w14:schemeClr w14:val="tx1"/>
            </w14:solidFill>
          </w14:textFill>
        </w:rPr>
        <w:t>日内审批完毕。合理化建议经发包人批准的，工程师应及时发出变更指示，由此引起的合同价格调整按照</w:t>
      </w:r>
      <w:r>
        <w:rPr>
          <w:rFonts w:hint="eastAsia" w:ascii="宋体" w:hAnsi="宋体" w:eastAsia="宋体" w:cs="宋体"/>
          <w:color w:val="000000" w:themeColor="text1"/>
          <w:kern w:val="0"/>
          <w:sz w:val="24"/>
          <w:szCs w:val="30"/>
          <w:highlight w:val="none"/>
          <w:u w:val="single"/>
          <w14:textFill>
            <w14:solidFill>
              <w14:schemeClr w14:val="tx1"/>
            </w14:solidFill>
          </w14:textFill>
        </w:rPr>
        <w:t>第13.3.3项[变更估价]约定</w:t>
      </w:r>
      <w:r>
        <w:rPr>
          <w:rFonts w:hint="eastAsia" w:ascii="宋体" w:hAnsi="宋体" w:eastAsia="宋体" w:cs="宋体"/>
          <w:color w:val="000000" w:themeColor="text1"/>
          <w:kern w:val="0"/>
          <w:sz w:val="24"/>
          <w:szCs w:val="24"/>
          <w:highlight w:val="none"/>
          <w14:textFill>
            <w14:solidFill>
              <w14:schemeClr w14:val="tx1"/>
            </w14:solidFill>
          </w14:textFill>
        </w:rPr>
        <w:t>执行。发包人不同意变更的，工程师应书面通知承包人</w:t>
      </w:r>
    </w:p>
    <w:p w14:paraId="50AFA4C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13.2.3 承包人提出的合理化变更建议的利益分享约定：</w:t>
      </w:r>
      <w:r>
        <w:rPr>
          <w:rFonts w:hint="eastAsia" w:ascii="宋体" w:hAnsi="宋体" w:eastAsia="宋体" w:cs="宋体"/>
          <w:color w:val="000000" w:themeColor="text1"/>
          <w:kern w:val="0"/>
          <w:sz w:val="24"/>
          <w:szCs w:val="30"/>
          <w:highlight w:val="none"/>
          <w:u w:val="single"/>
          <w14:textFill>
            <w14:solidFill>
              <w14:schemeClr w14:val="tx1"/>
            </w14:solidFill>
          </w14:textFill>
        </w:rPr>
        <w:t>原则上归发包人所有，发包人酌情给予承包人一定奖励</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0842F65">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13.3 变更程序</w:t>
      </w:r>
    </w:p>
    <w:p w14:paraId="03EDB20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13.3.3 变更估价</w:t>
      </w:r>
    </w:p>
    <w:p w14:paraId="5CBF75B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13.3.3.1 变更估价原则</w:t>
      </w:r>
    </w:p>
    <w:p w14:paraId="17A39D12">
      <w:pPr>
        <w:widowControl/>
        <w:spacing w:line="480" w:lineRule="exact"/>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关于变更估价原则的约定：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在施工图审查合格以后，由于图纸设计缺陷等原因造成的变更属于技术变更，费用由承包人承担，发包人不予支付。由专用条款13.1.1约定的变更造成分部分项工程增加新的工程量清单项目，新增项目综合单价的确定方法如下：</w:t>
      </w:r>
    </w:p>
    <w:p w14:paraId="7BA268A4">
      <w:pPr>
        <w:widowControl/>
        <w:spacing w:line="480" w:lineRule="exact"/>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a、执行</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《建设工程工程量清单计价标准》(GB/T 50500-2024)、</w:t>
      </w:r>
      <w:r>
        <w:rPr>
          <w:rFonts w:hint="eastAsia" w:ascii="宋体" w:hAnsi="宋体" w:eastAsia="宋体" w:cs="宋体"/>
          <w:color w:val="000000" w:themeColor="text1"/>
          <w:kern w:val="0"/>
          <w:sz w:val="24"/>
          <w:szCs w:val="24"/>
          <w:highlight w:val="none"/>
          <w:u w:val="single"/>
          <w14:textFill>
            <w14:solidFill>
              <w14:schemeClr w14:val="tx1"/>
            </w14:solidFill>
          </w14:textFill>
        </w:rPr>
        <w:t>相关配套定额及云南省现行计价调整文件（若施工期间发布新的政策性文件时，在符合要求的前提下按新发布的文件执行）。</w:t>
      </w:r>
    </w:p>
    <w:p w14:paraId="451D5E6B">
      <w:pPr>
        <w:widowControl/>
        <w:spacing w:line="480" w:lineRule="exact"/>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b、新增项目的组价原则：审定预算中已有适用的综合单价，按审定预算已有的综合单价确定；审定预算中有类似的综合单价的，参照类似的综合单价确定；审定预算中没有适用或类似的综合单价，按照相关计价依据以及同期材料价格（同期材料价格：当期《昆明市建设材料市场价格指导》执行，如该价格指导没有的材料，《云南省建设工程材料及设备价格信息（昆明市）》中有，按照同期《云南省建设工程材料及设备价格信息（昆明市）》执行；如以上两个价格信息都没有对应材料价格的，材料价格由发包人、监理、造价咨询单位、承包人四方按认质认价确定）进行组价。对另行组价的新增项目部分的工程造价，经监理工程师、发包人、造价咨询单位、审计部门审核后进行结算。</w:t>
      </w:r>
    </w:p>
    <w:p w14:paraId="0FD7F358">
      <w:pPr>
        <w:widowControl/>
        <w:spacing w:line="480" w:lineRule="exact"/>
        <w:ind w:firstLine="480" w:firstLineChars="20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c、新增项目综合单价及工程量由承包人编制报送，经监理工程师、造价咨询单位、发包人、审计部门审定后确定。</w:t>
      </w:r>
    </w:p>
    <w:p w14:paraId="611D3B36">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13.4 暂估价</w:t>
      </w:r>
    </w:p>
    <w:p w14:paraId="5DAE89C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13.4.1 依法必须招标的暂估价项目</w:t>
      </w:r>
    </w:p>
    <w:p w14:paraId="69AE8CF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承包人可以参与投标的暂估价项目范围：</w:t>
      </w:r>
      <w:r>
        <w:rPr>
          <w:rFonts w:hint="eastAsia" w:ascii="宋体" w:hAnsi="宋体" w:eastAsia="宋体" w:cs="宋体"/>
          <w:color w:val="000000" w:themeColor="text1"/>
          <w:kern w:val="0"/>
          <w:sz w:val="24"/>
          <w:szCs w:val="24"/>
          <w:highlight w:val="none"/>
          <w:u w:val="single"/>
          <w14:textFill>
            <w14:solidFill>
              <w14:schemeClr w14:val="tx1"/>
            </w14:solidFill>
          </w14:textFill>
        </w:rPr>
        <w:t>在承包范围以外的项目承包人可以参与投标。</w:t>
      </w:r>
    </w:p>
    <w:p w14:paraId="615D3BF4">
      <w:pPr>
        <w:widowControl/>
        <w:bidi w:val="0"/>
        <w:ind w:firstLine="640"/>
        <w:rPr>
          <w:rFonts w:hint="eastAsia"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承包人不得参与投标的暂估价项目范围：</w:t>
      </w:r>
      <w:r>
        <w:rPr>
          <w:rFonts w:hint="eastAsia" w:ascii="宋体" w:hAnsi="宋体" w:eastAsia="宋体" w:cs="宋体"/>
          <w:color w:val="000000" w:themeColor="text1"/>
          <w:kern w:val="0"/>
          <w:sz w:val="24"/>
          <w:szCs w:val="24"/>
          <w:highlight w:val="none"/>
          <w:u w:val="single"/>
          <w14:textFill>
            <w14:solidFill>
              <w14:schemeClr w14:val="tx1"/>
            </w14:solidFill>
          </w14:textFill>
        </w:rPr>
        <w:t>在承包范围以内的项目承包人不可以参与投标。</w:t>
      </w:r>
    </w:p>
    <w:p w14:paraId="4EBDF01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招投标程序及其他约定：</w:t>
      </w:r>
      <w:r>
        <w:rPr>
          <w:rFonts w:hint="eastAsia" w:ascii="宋体" w:hAnsi="宋体" w:eastAsia="宋体" w:cs="宋体"/>
          <w:color w:val="000000" w:themeColor="text1"/>
          <w:kern w:val="0"/>
          <w:sz w:val="24"/>
          <w:szCs w:val="24"/>
          <w:highlight w:val="none"/>
          <w:u w:val="single"/>
          <w14:textFill>
            <w14:solidFill>
              <w14:schemeClr w14:val="tx1"/>
            </w14:solidFill>
          </w14:textFill>
        </w:rPr>
        <w:t>以暂估价形式包括在总承包范围内的工程、货物、服务分包时，属于依法必须进行招标的项目范围且达到国家规定规模标准的，由承包人作为</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采购人</w:t>
      </w:r>
      <w:r>
        <w:rPr>
          <w:rFonts w:hint="eastAsia" w:ascii="宋体" w:hAnsi="宋体" w:eastAsia="宋体" w:cs="宋体"/>
          <w:color w:val="000000" w:themeColor="text1"/>
          <w:kern w:val="0"/>
          <w:sz w:val="24"/>
          <w:szCs w:val="24"/>
          <w:highlight w:val="none"/>
          <w:u w:val="single"/>
          <w14:textFill>
            <w14:solidFill>
              <w14:schemeClr w14:val="tx1"/>
            </w14:solidFill>
          </w14:textFill>
        </w:rPr>
        <w:t>进行招标，并接受发包人监督。</w:t>
      </w:r>
    </w:p>
    <w:p w14:paraId="7C3C6F9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13.4.2 不属于依法必须招标的暂估价项目</w:t>
      </w:r>
    </w:p>
    <w:p w14:paraId="570CBB6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不属于依法必须招标的暂估价项目的协商及估价的约定：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属于依法必须招标的暂估价项目的协商及估价的约定：以暂估价形式包括在总承包范围内的工程、货物、服务采购时，不属于依法必须进行招标的项目，承包人应按相关的企业内控制度选取供应商，并留有相关的流程记录提供发包人检查</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5B53B7F">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13.5 暂列金额</w:t>
      </w:r>
    </w:p>
    <w:p w14:paraId="506BCEA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其他关于暂列金额使用的约定</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由发包人掌握使用，含在已签合同总价款内，使用后余额为发包方所有；用于支付施工合同签订时尚未确定或不可预见的所需材料、设备、服务的采购，施工中可能发生的工程变更、合同约定调整因素出现时的工程价款调整以及发生的索赔、现场签证确认等的费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2FCD34">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13.8 市场价格波动引起的调整</w:t>
      </w:r>
    </w:p>
    <w:p w14:paraId="70361BB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13.8.2 关于是否采用《价格指数权重表》的约定：</w:t>
      </w:r>
      <w:r>
        <w:rPr>
          <w:rFonts w:hint="eastAsia" w:ascii="宋体" w:hAnsi="宋体" w:eastAsia="宋体" w:cs="宋体"/>
          <w:color w:val="000000" w:themeColor="text1"/>
          <w:kern w:val="0"/>
          <w:sz w:val="24"/>
          <w:szCs w:val="30"/>
          <w:highlight w:val="none"/>
          <w:u w:val="single"/>
          <w14:textFill>
            <w14:solidFill>
              <w14:schemeClr w14:val="tx1"/>
            </w14:solidFill>
          </w14:textFill>
        </w:rPr>
        <w:t>不采用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2A16AB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13.8.3 关于采用其他方式调整合同价款的约定：</w:t>
      </w:r>
      <w:r>
        <w:rPr>
          <w:rFonts w:hint="eastAsia" w:ascii="宋体" w:hAnsi="宋体" w:eastAsia="宋体" w:cs="宋体"/>
          <w:color w:val="000000" w:themeColor="text1"/>
          <w:kern w:val="0"/>
          <w:sz w:val="24"/>
          <w:szCs w:val="30"/>
          <w:highlight w:val="none"/>
          <w:u w:val="single"/>
          <w14:textFill>
            <w14:solidFill>
              <w14:schemeClr w14:val="tx1"/>
            </w14:solidFill>
          </w14:textFill>
        </w:rPr>
        <w:t>按信息价进行价格调差，信息价调差适用于施工期间主要材料超过预算±10%以上的部分进行调差</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E132CD0">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00" w:name="_Toc54862345"/>
      <w:bookmarkStart w:id="1301" w:name="_Toc21378"/>
      <w:bookmarkStart w:id="1302" w:name="_Toc19383"/>
      <w:bookmarkStart w:id="1303" w:name="_Toc22126"/>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第14条 合同价格与支付</w:t>
      </w:r>
      <w:bookmarkEnd w:id="1300"/>
      <w:bookmarkEnd w:id="1301"/>
      <w:bookmarkEnd w:id="1302"/>
      <w:bookmarkEnd w:id="1303"/>
    </w:p>
    <w:p w14:paraId="3332033F">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14.1 合同价格形式</w:t>
      </w:r>
    </w:p>
    <w:p w14:paraId="0C780436">
      <w:pPr>
        <w:widowControl/>
        <w:bidi w:val="0"/>
        <w:ind w:firstLine="640"/>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14.1.1 关于合同价格形式的约定：</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p>
    <w:p w14:paraId="6DCD2E1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14.1.2 关于合同价格调整的约定：</w:t>
      </w:r>
      <w:r>
        <w:rPr>
          <w:rFonts w:hint="eastAsia" w:ascii="宋体" w:hAnsi="宋体" w:eastAsia="宋体" w:cs="宋体"/>
          <w:bCs/>
          <w:color w:val="000000" w:themeColor="text1"/>
          <w:kern w:val="0"/>
          <w:sz w:val="24"/>
          <w:szCs w:val="24"/>
          <w:highlight w:val="none"/>
          <w14:textFill>
            <w14:solidFill>
              <w14:schemeClr w14:val="tx1"/>
            </w14:solidFill>
          </w14:textFill>
        </w:rPr>
        <w:t>按13.3.3条变更估价约定</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3DCCB8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14.1.3 按实际完成的工程量支付工程价款的计量方法、估价方法：</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B9A037C">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14.2 预付款</w:t>
      </w:r>
    </w:p>
    <w:p w14:paraId="3344475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14.2.1 预付款支付</w:t>
      </w:r>
    </w:p>
    <w:p w14:paraId="08A7695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预付款的金额或比例为：</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799BFF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预付款支付期限：</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6B441C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预付款扣回的方式：</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005514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14.2.2预付款担保</w:t>
      </w:r>
    </w:p>
    <w:p w14:paraId="2661A74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提供预付款担保期限：</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150349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预付款担保形式：</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BFAE2B0">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14.3 工程进度款</w:t>
      </w:r>
    </w:p>
    <w:p w14:paraId="1DA9B44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14.3.1 工程进度付款申请</w:t>
      </w:r>
    </w:p>
    <w:p w14:paraId="4E0E1BE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工程进度付款申请方式：</w:t>
      </w:r>
    </w:p>
    <w:p w14:paraId="486104AD">
      <w:pPr>
        <w:keepNext w:val="0"/>
        <w:keepLines w:val="0"/>
        <w:pageBreakBefore w:val="0"/>
        <w:widowControl/>
        <w:kinsoku/>
        <w:wordWrap w:val="0"/>
        <w:overflowPunct/>
        <w:topLinePunct w:val="0"/>
        <w:autoSpaceDE w:val="0"/>
        <w:autoSpaceDN w:val="0"/>
        <w:bidi w:val="0"/>
        <w:adjustRightInd w:val="0"/>
        <w:snapToGrid w:val="0"/>
        <w:ind w:firstLine="640"/>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第一次</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支付</w:t>
      </w:r>
      <w:r>
        <w:rPr>
          <w:rFonts w:hint="eastAsia" w:ascii="宋体" w:hAnsi="宋体" w:eastAsia="宋体" w:cs="宋体"/>
          <w:b/>
          <w:bCs/>
          <w:color w:val="000000" w:themeColor="text1"/>
          <w:kern w:val="0"/>
          <w:sz w:val="24"/>
          <w:szCs w:val="24"/>
          <w:highlight w:val="none"/>
          <w14:textFill>
            <w14:solidFill>
              <w14:schemeClr w14:val="tx1"/>
            </w14:solidFill>
          </w14:textFill>
        </w:rPr>
        <w:t>：施工图设计完成、相关成果提交后，设计人提出付款申请，发包人支付至暂定合同总额的</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kern w:val="0"/>
          <w:sz w:val="24"/>
          <w:szCs w:val="24"/>
          <w:highlight w:val="none"/>
          <w14:textFill>
            <w14:solidFill>
              <w14:schemeClr w14:val="tx1"/>
            </w14:solidFill>
          </w14:textFill>
        </w:rPr>
        <w:t>0％；</w:t>
      </w:r>
    </w:p>
    <w:p w14:paraId="371432DA">
      <w:pPr>
        <w:keepNext w:val="0"/>
        <w:keepLines w:val="0"/>
        <w:pageBreakBefore w:val="0"/>
        <w:widowControl/>
        <w:kinsoku/>
        <w:wordWrap w:val="0"/>
        <w:overflowPunct/>
        <w:topLinePunct w:val="0"/>
        <w:autoSpaceDE w:val="0"/>
        <w:autoSpaceDN w:val="0"/>
        <w:bidi w:val="0"/>
        <w:adjustRightInd w:val="0"/>
        <w:snapToGrid w:val="0"/>
        <w:ind w:firstLine="640"/>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第二次</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支付</w:t>
      </w:r>
      <w:r>
        <w:rPr>
          <w:rFonts w:hint="eastAsia" w:ascii="宋体" w:hAnsi="宋体" w:eastAsia="宋体" w:cs="宋体"/>
          <w:b/>
          <w:bCs/>
          <w:color w:val="000000" w:themeColor="text1"/>
          <w:kern w:val="0"/>
          <w:sz w:val="24"/>
          <w:szCs w:val="24"/>
          <w:highlight w:val="none"/>
          <w14:textFill>
            <w14:solidFill>
              <w14:schemeClr w14:val="tx1"/>
            </w14:solidFill>
          </w14:textFill>
        </w:rPr>
        <w:t>：工程施工完成后，乙方提出付款申请，发包人支付至暂定合同总额的</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85</w:t>
      </w:r>
      <w:r>
        <w:rPr>
          <w:rFonts w:hint="eastAsia" w:ascii="宋体" w:hAnsi="宋体" w:eastAsia="宋体" w:cs="宋体"/>
          <w:b/>
          <w:bCs/>
          <w:color w:val="000000" w:themeColor="text1"/>
          <w:kern w:val="0"/>
          <w:sz w:val="24"/>
          <w:szCs w:val="24"/>
          <w:highlight w:val="none"/>
          <w14:textFill>
            <w14:solidFill>
              <w14:schemeClr w14:val="tx1"/>
            </w14:solidFill>
          </w14:textFill>
        </w:rPr>
        <w:t>％；</w:t>
      </w:r>
    </w:p>
    <w:p w14:paraId="2C97C432">
      <w:pPr>
        <w:keepNext w:val="0"/>
        <w:keepLines w:val="0"/>
        <w:pageBreakBefore w:val="0"/>
        <w:widowControl/>
        <w:kinsoku/>
        <w:wordWrap w:val="0"/>
        <w:overflowPunct/>
        <w:topLinePunct w:val="0"/>
        <w:autoSpaceDE w:val="0"/>
        <w:autoSpaceDN w:val="0"/>
        <w:bidi w:val="0"/>
        <w:adjustRightInd w:val="0"/>
        <w:snapToGrid w:val="0"/>
        <w:ind w:firstLine="640"/>
        <w:rPr>
          <w:rFonts w:hint="eastAsia" w:ascii="宋体" w:hAnsi="宋体" w:eastAsia="宋体" w:cs="宋体"/>
          <w:b/>
          <w:bCs/>
          <w:color w:val="000000" w:themeColor="text1"/>
          <w:kern w:val="0"/>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第三次付费：配合甲方完成财务竣工结算后，乙方提出付款申请，发包人</w:t>
      </w:r>
      <w:r>
        <w:rPr>
          <w:rFonts w:hint="eastAsia" w:ascii="宋体" w:hAnsi="宋体" w:eastAsia="宋体" w:cs="宋体"/>
          <w:b/>
          <w:bCs/>
          <w:color w:val="000000" w:themeColor="text1"/>
          <w:kern w:val="0"/>
          <w:sz w:val="24"/>
          <w:szCs w:val="24"/>
          <w:highlight w:val="none"/>
          <w14:textFill>
            <w14:solidFill>
              <w14:schemeClr w14:val="tx1"/>
            </w14:solidFill>
          </w14:textFill>
        </w:rPr>
        <w:t>支付至</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审定结算费用</w:t>
      </w:r>
      <w:r>
        <w:rPr>
          <w:rFonts w:hint="eastAsia" w:ascii="宋体" w:hAnsi="宋体" w:eastAsia="宋体" w:cs="宋体"/>
          <w:b/>
          <w:bCs/>
          <w:color w:val="000000" w:themeColor="text1"/>
          <w:kern w:val="0"/>
          <w:sz w:val="24"/>
          <w:szCs w:val="24"/>
          <w:highlight w:val="none"/>
          <w14:textFill>
            <w14:solidFill>
              <w14:schemeClr w14:val="tx1"/>
            </w14:solidFill>
          </w14:textFill>
        </w:rPr>
        <w:t>的</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97</w:t>
      </w:r>
      <w:r>
        <w:rPr>
          <w:rFonts w:hint="eastAsia" w:ascii="宋体" w:hAnsi="宋体" w:eastAsia="宋体" w:cs="宋体"/>
          <w:b/>
          <w:bCs/>
          <w:color w:val="000000" w:themeColor="text1"/>
          <w:kern w:val="0"/>
          <w:sz w:val="24"/>
          <w:szCs w:val="24"/>
          <w:highlight w:val="none"/>
          <w14:textFill>
            <w14:solidFill>
              <w14:schemeClr w14:val="tx1"/>
            </w14:solidFill>
          </w14:textFill>
        </w:rPr>
        <w:t>％</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kern w:val="0"/>
          <w:sz w:val="24"/>
          <w:szCs w:val="24"/>
          <w:highlight w:val="none"/>
          <w:u w:val="none"/>
          <w14:textFill>
            <w14:solidFill>
              <w14:schemeClr w14:val="tx1"/>
            </w14:solidFill>
          </w14:textFill>
        </w:rPr>
        <w:t>留3％作为质量保证金，待项目保修期满且无质量问题一次性支付（不计息）。</w:t>
      </w:r>
    </w:p>
    <w:p w14:paraId="0DB537F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承包人提交进度付款申请单的格式、内容、份数和时间：</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AE96201">
      <w:pPr>
        <w:widowControl/>
        <w:wordWrap/>
        <w:ind w:firstLine="480"/>
        <w:rPr>
          <w:rFonts w:hint="eastAsia" w:ascii="宋体" w:hAnsi="宋体" w:eastAsia="宋体" w:cs="宋体"/>
          <w:color w:val="000000" w:themeColor="text1"/>
          <w:kern w:val="0"/>
          <w:sz w:val="24"/>
          <w:szCs w:val="30"/>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进度付款申请单应包括的内容：</w:t>
      </w:r>
      <w:r>
        <w:rPr>
          <w:rFonts w:hint="eastAsia" w:ascii="宋体" w:hAnsi="宋体" w:eastAsia="宋体" w:cs="宋体"/>
          <w:color w:val="000000" w:themeColor="text1"/>
          <w:kern w:val="0"/>
          <w:sz w:val="24"/>
          <w:szCs w:val="30"/>
          <w:highlight w:val="none"/>
          <w:u w:val="single"/>
          <w14:textFill>
            <w14:solidFill>
              <w14:schemeClr w14:val="tx1"/>
            </w14:solidFill>
          </w14:textFill>
        </w:rPr>
        <w:t>（1）截至本次付款周期已完成工作对应的金额；（2）应增加和扣减的变更金额；（</w:t>
      </w:r>
      <w:r>
        <w:rPr>
          <w:rFonts w:hint="eastAsia" w:ascii="宋体" w:hAnsi="宋体" w:eastAsia="宋体" w:cs="宋体"/>
          <w:color w:val="000000" w:themeColor="text1"/>
          <w:kern w:val="0"/>
          <w:sz w:val="24"/>
          <w:szCs w:val="30"/>
          <w:highlight w:val="none"/>
          <w:u w:val="single"/>
          <w:lang w:val="en-US" w:eastAsia="zh-CN"/>
          <w14:textFill>
            <w14:solidFill>
              <w14:schemeClr w14:val="tx1"/>
            </w14:solidFill>
          </w14:textFill>
        </w:rPr>
        <w:t>3</w:t>
      </w:r>
      <w:r>
        <w:rPr>
          <w:rFonts w:hint="eastAsia" w:ascii="宋体" w:hAnsi="宋体" w:eastAsia="宋体" w:cs="宋体"/>
          <w:color w:val="000000" w:themeColor="text1"/>
          <w:kern w:val="0"/>
          <w:sz w:val="24"/>
          <w:szCs w:val="30"/>
          <w:highlight w:val="none"/>
          <w:u w:val="single"/>
          <w14:textFill>
            <w14:solidFill>
              <w14:schemeClr w14:val="tx1"/>
            </w14:solidFill>
          </w14:textFill>
        </w:rPr>
        <w:t>）应增加和扣减的索赔金额；（</w:t>
      </w:r>
      <w:r>
        <w:rPr>
          <w:rFonts w:hint="eastAsia" w:ascii="宋体" w:hAnsi="宋体" w:eastAsia="宋体" w:cs="宋体"/>
          <w:color w:val="000000" w:themeColor="text1"/>
          <w:kern w:val="0"/>
          <w:sz w:val="24"/>
          <w:szCs w:val="30"/>
          <w:highlight w:val="none"/>
          <w:u w:val="single"/>
          <w:lang w:val="en-US" w:eastAsia="zh-CN"/>
          <w14:textFill>
            <w14:solidFill>
              <w14:schemeClr w14:val="tx1"/>
            </w14:solidFill>
          </w14:textFill>
        </w:rPr>
        <w:t>4</w:t>
      </w:r>
      <w:r>
        <w:rPr>
          <w:rFonts w:hint="eastAsia" w:ascii="宋体" w:hAnsi="宋体" w:eastAsia="宋体" w:cs="宋体"/>
          <w:color w:val="000000" w:themeColor="text1"/>
          <w:kern w:val="0"/>
          <w:sz w:val="24"/>
          <w:szCs w:val="30"/>
          <w:highlight w:val="none"/>
          <w:u w:val="single"/>
          <w14:textFill>
            <w14:solidFill>
              <w14:schemeClr w14:val="tx1"/>
            </w14:solidFill>
          </w14:textFill>
        </w:rPr>
        <w:t>）对已签发的进度款支付证书中出现错误的修正，应在本次进度付款中支付或扣除的金额；（</w:t>
      </w:r>
      <w:r>
        <w:rPr>
          <w:rFonts w:hint="eastAsia" w:ascii="宋体" w:hAnsi="宋体" w:eastAsia="宋体" w:cs="宋体"/>
          <w:color w:val="000000" w:themeColor="text1"/>
          <w:kern w:val="0"/>
          <w:sz w:val="24"/>
          <w:szCs w:val="30"/>
          <w:highlight w:val="none"/>
          <w:u w:val="single"/>
          <w:lang w:val="en-US" w:eastAsia="zh-CN"/>
          <w14:textFill>
            <w14:solidFill>
              <w14:schemeClr w14:val="tx1"/>
            </w14:solidFill>
          </w14:textFill>
        </w:rPr>
        <w:t>5</w:t>
      </w:r>
      <w:r>
        <w:rPr>
          <w:rFonts w:hint="eastAsia" w:ascii="宋体" w:hAnsi="宋体" w:eastAsia="宋体" w:cs="宋体"/>
          <w:color w:val="000000" w:themeColor="text1"/>
          <w:kern w:val="0"/>
          <w:sz w:val="24"/>
          <w:szCs w:val="30"/>
          <w:highlight w:val="none"/>
          <w:u w:val="single"/>
          <w14:textFill>
            <w14:solidFill>
              <w14:schemeClr w14:val="tx1"/>
            </w14:solidFill>
          </w14:textFill>
        </w:rPr>
        <w:t xml:space="preserve">）根据合同约定应增加和扣减的其他金额。 </w:t>
      </w:r>
    </w:p>
    <w:p w14:paraId="1DB98BD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14.3.2 进度付款审核和支付</w:t>
      </w:r>
    </w:p>
    <w:p w14:paraId="30AF527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进度付款的审核方式和支付的约定</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监理人收到承包人提交的进度付款申请单后3天内完成审查并报送发包人；发包人收到经监理人审查确认的进度付款申请单后15天内完成审批并签发进度款支付证书</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C380AC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发包人应在进度款支付证书或临时进度款支付证书签发后的</w:t>
      </w:r>
      <w:r>
        <w:rPr>
          <w:rFonts w:hint="eastAsia" w:ascii="宋体" w:hAnsi="宋体" w:eastAsia="宋体" w:cs="宋体"/>
          <w:color w:val="000000" w:themeColor="text1"/>
          <w:kern w:val="0"/>
          <w:sz w:val="24"/>
          <w:szCs w:val="24"/>
          <w:highlight w:val="none"/>
          <w:u w:val="single"/>
          <w14:textFill>
            <w14:solidFill>
              <w14:schemeClr w14:val="tx1"/>
            </w14:solidFill>
          </w14:textFill>
        </w:rPr>
        <w:t>7</w:t>
      </w:r>
      <w:r>
        <w:rPr>
          <w:rFonts w:hint="eastAsia" w:ascii="宋体" w:hAnsi="宋体" w:eastAsia="宋体" w:cs="宋体"/>
          <w:color w:val="000000" w:themeColor="text1"/>
          <w:kern w:val="0"/>
          <w:sz w:val="24"/>
          <w:szCs w:val="24"/>
          <w:highlight w:val="none"/>
          <w14:textFill>
            <w14:solidFill>
              <w14:schemeClr w14:val="tx1"/>
            </w14:solidFill>
          </w14:textFill>
        </w:rPr>
        <w:t>天内完成支付，发包人逾期支付进度款的，应按照</w:t>
      </w:r>
      <w:r>
        <w:rPr>
          <w:rFonts w:hint="eastAsia" w:ascii="宋体" w:hAnsi="宋体" w:eastAsia="宋体" w:cs="宋体"/>
          <w:color w:val="000000" w:themeColor="text1"/>
          <w:kern w:val="0"/>
          <w:sz w:val="24"/>
          <w:szCs w:val="24"/>
          <w:highlight w:val="none"/>
          <w:u w:val="single"/>
          <w14:textFill>
            <w14:solidFill>
              <w14:schemeClr w14:val="tx1"/>
            </w14:solidFill>
          </w14:textFill>
        </w:rPr>
        <w:t>同期</w:t>
      </w:r>
      <w:r>
        <w:rPr>
          <w:rFonts w:hint="eastAsia" w:ascii="宋体" w:hAnsi="宋体" w:eastAsia="宋体" w:cs="宋体"/>
          <w:color w:val="000000" w:themeColor="text1"/>
          <w:kern w:val="0"/>
          <w:sz w:val="24"/>
          <w:szCs w:val="30"/>
          <w:highlight w:val="none"/>
          <w:u w:val="single"/>
          <w14:textFill>
            <w14:solidFill>
              <w14:schemeClr w14:val="tx1"/>
            </w14:solidFill>
          </w14:textFill>
        </w:rPr>
        <w:t>贷款市场报价利率（LPR）</w:t>
      </w:r>
      <w:r>
        <w:rPr>
          <w:rFonts w:hint="eastAsia" w:ascii="宋体" w:hAnsi="宋体" w:eastAsia="宋体" w:cs="宋体"/>
          <w:color w:val="000000" w:themeColor="text1"/>
          <w:kern w:val="0"/>
          <w:sz w:val="24"/>
          <w:szCs w:val="24"/>
          <w:highlight w:val="none"/>
          <w14:textFill>
            <w14:solidFill>
              <w14:schemeClr w14:val="tx1"/>
            </w14:solidFill>
          </w14:textFill>
        </w:rPr>
        <w:t>支付违约金。</w:t>
      </w:r>
    </w:p>
    <w:p w14:paraId="6105CD17">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14.4 付款计划表</w:t>
      </w:r>
    </w:p>
    <w:p w14:paraId="3F93ACE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14.4.1 付款计划表的编制要求：</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C072A0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14.4.2 付款计划表的编制与审批</w:t>
      </w:r>
    </w:p>
    <w:p w14:paraId="0E729E3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付款计划表的编制：</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0D92FB3">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14.5 竣工结算</w:t>
      </w:r>
    </w:p>
    <w:p w14:paraId="43334FB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14.5.1 竣工结算申请</w:t>
      </w:r>
    </w:p>
    <w:p w14:paraId="7F709A5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承包人提交竣工结算申请的时间：</w:t>
      </w:r>
      <w:r>
        <w:rPr>
          <w:rFonts w:hint="eastAsia" w:ascii="宋体" w:hAnsi="宋体" w:eastAsia="宋体" w:cs="宋体"/>
          <w:color w:val="000000" w:themeColor="text1"/>
          <w:kern w:val="0"/>
          <w:sz w:val="24"/>
          <w:szCs w:val="30"/>
          <w:highlight w:val="none"/>
          <w:u w:val="single"/>
          <w14:textFill>
            <w14:solidFill>
              <w14:schemeClr w14:val="tx1"/>
            </w14:solidFill>
          </w14:textFill>
        </w:rPr>
        <w:t>承包人应在工程竣工验收合格后28天内向发包人和工程师提交竣工结算申请单，并提交完整的结算资料</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6E2C8F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竣工结算申请的资料清单和份数：</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按通用合同条款执行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444B3E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竣工结算申请单的内容应包括</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按通用合同条款执行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46873D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14.5.2 竣工结算审核</w:t>
      </w:r>
    </w:p>
    <w:p w14:paraId="3E005B6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发包人审批竣工付款申请单的期限：</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按通用合同条款执行</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4F3C602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发包人完成竣工付款的期限：</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按通用合同条款执行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30DD84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关于竣工付款证书异议部分复核的方式和程序：</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按通用合同条款执行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AF94775">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14.6 质量保证金</w:t>
      </w:r>
    </w:p>
    <w:p w14:paraId="208DCE8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14.6.1 承包人提供质量保证金的方式</w:t>
      </w:r>
    </w:p>
    <w:p w14:paraId="5C3D97F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质量保证金采用以下第</w:t>
      </w:r>
      <w:r>
        <w:rPr>
          <w:rFonts w:hint="eastAsia" w:ascii="宋体" w:hAnsi="宋体" w:eastAsia="宋体" w:cs="宋体"/>
          <w:color w:val="000000" w:themeColor="text1"/>
          <w:kern w:val="0"/>
          <w:sz w:val="24"/>
          <w:szCs w:val="30"/>
          <w:highlight w:val="none"/>
          <w:u w:val="single"/>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种方式：</w:t>
      </w:r>
    </w:p>
    <w:p w14:paraId="66CD3F9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 工程质量保证担保，保证金额为：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9B8E45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color w:val="000000" w:themeColor="text1"/>
          <w:kern w:val="0"/>
          <w:sz w:val="24"/>
          <w:szCs w:val="24"/>
          <w:highlight w:val="none"/>
          <w:u w:val="single"/>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%的工程款；</w:t>
      </w:r>
    </w:p>
    <w:p w14:paraId="3919B90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 其他方式：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EF13D7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14.6.2 质量保证金的预留</w:t>
      </w:r>
    </w:p>
    <w:p w14:paraId="3434FF9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质量保证金的预留采取以下第</w:t>
      </w:r>
      <w:r>
        <w:rPr>
          <w:rFonts w:hint="eastAsia" w:ascii="宋体" w:hAnsi="宋体" w:eastAsia="宋体" w:cs="宋体"/>
          <w:color w:val="000000" w:themeColor="text1"/>
          <w:kern w:val="0"/>
          <w:sz w:val="24"/>
          <w:szCs w:val="24"/>
          <w:highlight w:val="none"/>
          <w:u w:val="single"/>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种方式：</w:t>
      </w:r>
    </w:p>
    <w:p w14:paraId="54703B9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 在支付工程进度款时逐次预留的质量保证金的比例：</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，在此情形下，质量保证金的计算基数不包括预付款的支付、扣回以及价格调整的金额；</w:t>
      </w:r>
    </w:p>
    <w:p w14:paraId="261600F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 工程竣工结算时一次性预留专用合同条件第14.6.1项第(2)目约定的工程款预留比例的质量保证金；</w:t>
      </w:r>
    </w:p>
    <w:p w14:paraId="2E599A7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 其他预留方式:</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575E5D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关于质量保证金的补充约定：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809B3E0">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14.7 最终结清</w:t>
      </w:r>
    </w:p>
    <w:p w14:paraId="1721033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14.7.1 最终结清申请单</w:t>
      </w:r>
    </w:p>
    <w:p w14:paraId="0A8CCBA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当事人双方关于最终结清申请的其他约定：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1C3295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14.7.2 最终结清证书和支付</w:t>
      </w:r>
    </w:p>
    <w:p w14:paraId="2ABA429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当事人双方关于最终结清支付的其他约定：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C9C0354">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04" w:name="_Toc10223"/>
      <w:bookmarkStart w:id="1305" w:name="_Toc6925"/>
      <w:bookmarkStart w:id="1306" w:name="_Toc31485"/>
      <w:bookmarkStart w:id="1307" w:name="_Toc54862346"/>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第15条 违约</w:t>
      </w:r>
      <w:bookmarkEnd w:id="1304"/>
      <w:bookmarkEnd w:id="1305"/>
      <w:bookmarkEnd w:id="1306"/>
      <w:bookmarkEnd w:id="1307"/>
    </w:p>
    <w:p w14:paraId="0C990AF6">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15.1 发包人违约</w:t>
      </w:r>
    </w:p>
    <w:p w14:paraId="0B23174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15.1.1 发包人违约的情形</w:t>
      </w:r>
    </w:p>
    <w:p w14:paraId="2EACA43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AE29A2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15.1.3 发包人违约的责任</w:t>
      </w:r>
    </w:p>
    <w:p w14:paraId="7FEA8BF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发包人违约责任的承担方式和计算方法：</w:t>
      </w:r>
      <w:r>
        <w:rPr>
          <w:rFonts w:hint="eastAsia" w:ascii="宋体" w:hAnsi="宋体" w:eastAsia="宋体" w:cs="宋体"/>
          <w:color w:val="000000" w:themeColor="text1"/>
          <w:kern w:val="0"/>
          <w:sz w:val="24"/>
          <w:szCs w:val="30"/>
          <w:highlight w:val="none"/>
          <w:u w:val="single"/>
          <w14:textFill>
            <w14:solidFill>
              <w14:schemeClr w14:val="tx1"/>
            </w14:solidFill>
          </w14:textFill>
        </w:rPr>
        <w:t>承担由此增加的费用和（或）工期延误损失，并向承包人支付合理利润</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A5BC60F">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15.2 承包人违约</w:t>
      </w:r>
    </w:p>
    <w:p w14:paraId="203296D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15.2.1 承包人违约的情形</w:t>
      </w:r>
    </w:p>
    <w:p w14:paraId="0F878D1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承担由此增加的费用和（或）工期延误损失，并向发包人支付合理利润</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承担设计中缺漏项造成的一切</w:t>
      </w:r>
      <w:r>
        <w:rPr>
          <w:rFonts w:hint="eastAsia" w:ascii="宋体" w:hAnsi="宋体" w:eastAsia="宋体" w:cs="宋体"/>
          <w:color w:val="000000" w:themeColor="text1"/>
          <w:kern w:val="0"/>
          <w:sz w:val="24"/>
          <w:szCs w:val="24"/>
          <w:highlight w:val="none"/>
          <w:u w:val="single"/>
          <w14:textFill>
            <w14:solidFill>
              <w14:schemeClr w14:val="tx1"/>
            </w14:solidFill>
          </w14:textFill>
        </w:rPr>
        <w:t>损失</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581815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15.2.2 通知改正</w:t>
      </w:r>
    </w:p>
    <w:p w14:paraId="4A7AEE8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工程师通知承包人改正的合理期限是：</w:t>
      </w:r>
      <w:r>
        <w:rPr>
          <w:rFonts w:hint="eastAsia" w:ascii="宋体" w:hAnsi="宋体" w:eastAsia="宋体" w:cs="宋体"/>
          <w:color w:val="000000" w:themeColor="text1"/>
          <w:kern w:val="0"/>
          <w:sz w:val="24"/>
          <w:szCs w:val="24"/>
          <w:highlight w:val="none"/>
          <w:u w:val="single"/>
          <w14:textFill>
            <w14:solidFill>
              <w14:schemeClr w14:val="tx1"/>
            </w14:solidFill>
          </w14:textFill>
        </w:rPr>
        <w:t>自承包人违约行为发现之日起7日内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3360AC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15.2.3 承包人违约的责任</w:t>
      </w:r>
    </w:p>
    <w:p w14:paraId="1373E37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A25771A">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08" w:name="_Toc27961"/>
      <w:bookmarkStart w:id="1309" w:name="_Toc24489"/>
      <w:bookmarkStart w:id="1310" w:name="_Toc19782"/>
      <w:bookmarkStart w:id="1311" w:name="_Toc54862347"/>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第16条 合同解除</w:t>
      </w:r>
      <w:bookmarkEnd w:id="1308"/>
      <w:bookmarkEnd w:id="1309"/>
      <w:bookmarkEnd w:id="1310"/>
      <w:bookmarkEnd w:id="1311"/>
    </w:p>
    <w:p w14:paraId="0BCE63F8">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16.1 由发包人解除合同</w:t>
      </w:r>
    </w:p>
    <w:p w14:paraId="4AEF143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16.1.1 因承包人违约解除合同</w:t>
      </w:r>
    </w:p>
    <w:p w14:paraId="69A4310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双方约定可由发包人解除合同的其他事由：</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1276444">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16.2 由承包人解除合同</w:t>
      </w:r>
    </w:p>
    <w:p w14:paraId="7949F9D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16.2.1 因发包人违约解除合同</w:t>
      </w:r>
    </w:p>
    <w:p w14:paraId="7632229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双方约定可由承包人解除合同的其他事由：</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按通用合同条款执行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FA783CD">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12" w:name="_Toc16895"/>
      <w:bookmarkStart w:id="1313" w:name="_Toc23735"/>
      <w:bookmarkStart w:id="1314" w:name="_Toc54862348"/>
      <w:bookmarkStart w:id="1315" w:name="_Toc30412"/>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第17条 不可抗力</w:t>
      </w:r>
      <w:bookmarkEnd w:id="1312"/>
      <w:bookmarkEnd w:id="1313"/>
      <w:bookmarkEnd w:id="1314"/>
      <w:bookmarkEnd w:id="1315"/>
    </w:p>
    <w:p w14:paraId="426FDE16">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17.1 不可抗力的定义</w:t>
      </w:r>
    </w:p>
    <w:p w14:paraId="7C02893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除通用合同条件约定的不可抗力事件之外，视为不可抗力的其他情形：</w:t>
      </w:r>
      <w:r>
        <w:rPr>
          <w:rFonts w:hint="eastAsia" w:ascii="宋体" w:hAnsi="宋体" w:eastAsia="宋体" w:cs="宋体"/>
          <w:color w:val="000000" w:themeColor="text1"/>
          <w:kern w:val="0"/>
          <w:sz w:val="24"/>
          <w:szCs w:val="30"/>
          <w:highlight w:val="none"/>
          <w:u w:val="single"/>
          <w14:textFill>
            <w14:solidFill>
              <w14:schemeClr w14:val="tx1"/>
            </w14:solidFill>
          </w14:textFill>
        </w:rPr>
        <w:t>按通用合同条款执行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FD9E38F">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17.6 因不可抗力解除合同</w:t>
      </w:r>
    </w:p>
    <w:p w14:paraId="791EF9B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合同解除后，发包人应当在商定或确定发包人应支付款项后的</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28 </w:t>
      </w:r>
      <w:r>
        <w:rPr>
          <w:rFonts w:hint="eastAsia" w:ascii="宋体" w:hAnsi="宋体" w:eastAsia="宋体" w:cs="宋体"/>
          <w:color w:val="000000" w:themeColor="text1"/>
          <w:kern w:val="0"/>
          <w:sz w:val="24"/>
          <w:szCs w:val="24"/>
          <w:highlight w:val="none"/>
          <w14:textFill>
            <w14:solidFill>
              <w14:schemeClr w14:val="tx1"/>
            </w14:solidFill>
          </w14:textFill>
        </w:rPr>
        <w:t>天内完成款项的支付。</w:t>
      </w:r>
    </w:p>
    <w:p w14:paraId="37578BB6">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16" w:name="_Toc4784276"/>
      <w:bookmarkEnd w:id="1316"/>
      <w:bookmarkStart w:id="1317" w:name="_Toc4784277"/>
      <w:bookmarkEnd w:id="1317"/>
      <w:bookmarkStart w:id="1318" w:name="_Toc54862349"/>
      <w:bookmarkStart w:id="1319" w:name="_Toc10397"/>
      <w:bookmarkStart w:id="1320" w:name="_Toc14426"/>
      <w:bookmarkStart w:id="1321" w:name="_Toc17631"/>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第18条 保险</w:t>
      </w:r>
      <w:bookmarkEnd w:id="1318"/>
      <w:bookmarkEnd w:id="1319"/>
      <w:bookmarkEnd w:id="1320"/>
      <w:bookmarkEnd w:id="1321"/>
    </w:p>
    <w:p w14:paraId="25116222">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18.1 设计和工程保险</w:t>
      </w:r>
    </w:p>
    <w:p w14:paraId="0AF7612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18.1.1 双方当事人关于设计和工程保险的特别约定：</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承包人购买、费用发包人承担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3AE762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18.1.2 双方当事人关于第三方责任险的特别约定：</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承包人购买、费用发包人承担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FC6FDB5">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18.2 工伤和意外伤害保险</w:t>
      </w:r>
    </w:p>
    <w:p w14:paraId="606C838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18.2.3 关于工伤保险和意外伤害保险的特别约定：</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承包人应为其履行合同雇用的全部人员办理工伤保险并支付保险费，包括其员工及为履行合同聘请的第三方雇佣的全部人员</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C5B546A">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18.3 货物保险</w:t>
      </w:r>
    </w:p>
    <w:p w14:paraId="1B91090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关于承包人应为其施工设备、材料、工程设备和临时工程等办理财产保险的特别约定：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AB333D5">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18.4 其他保险</w:t>
      </w:r>
    </w:p>
    <w:p w14:paraId="7878738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关于其他保险的约定：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D7BF147">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18.5 对各项保险的一般要求</w:t>
      </w:r>
    </w:p>
    <w:p w14:paraId="163AD4B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18.5.2 保险凭证</w:t>
      </w:r>
    </w:p>
    <w:p w14:paraId="5D37C1D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保险单的条件：</w:t>
      </w:r>
      <w:r>
        <w:rPr>
          <w:rFonts w:hint="eastAsia" w:ascii="宋体" w:hAnsi="宋体" w:eastAsia="宋体" w:cs="宋体"/>
          <w:color w:val="000000" w:themeColor="text1"/>
          <w:kern w:val="0"/>
          <w:sz w:val="24"/>
          <w:szCs w:val="30"/>
          <w:highlight w:val="none"/>
          <w:u w:val="single"/>
          <w14:textFill>
            <w14:solidFill>
              <w14:schemeClr w14:val="tx1"/>
            </w14:solidFill>
          </w14:textFill>
        </w:rPr>
        <w:t>同当事人应及时向另一方当事人提交其已投保的各项保险的凭证和保险单复印件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E6186A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18.5.4 通知义务</w:t>
      </w:r>
    </w:p>
    <w:p w14:paraId="6ECBC28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0A302D7">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22" w:name="_Toc32064"/>
      <w:bookmarkStart w:id="1323" w:name="_Toc11393"/>
      <w:bookmarkStart w:id="1324" w:name="_Toc54862350"/>
      <w:bookmarkStart w:id="1325" w:name="_Toc28105"/>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第20条 争议解决</w:t>
      </w:r>
      <w:bookmarkEnd w:id="1322"/>
      <w:bookmarkEnd w:id="1323"/>
      <w:bookmarkEnd w:id="1324"/>
      <w:bookmarkEnd w:id="1325"/>
    </w:p>
    <w:p w14:paraId="53A1A210">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20.3 争议评审</w:t>
      </w:r>
    </w:p>
    <w:p w14:paraId="60B5411B">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合同当事人是否同意将工程争议提交争议评审小组决定：</w:t>
      </w:r>
      <w:r>
        <w:rPr>
          <w:rFonts w:hint="eastAsia" w:ascii="宋体" w:hAnsi="宋体" w:eastAsia="宋体" w:cs="宋体"/>
          <w:color w:val="000000" w:themeColor="text1"/>
          <w:kern w:val="0"/>
          <w:sz w:val="24"/>
          <w:szCs w:val="30"/>
          <w:highlight w:val="none"/>
          <w:u w:val="single"/>
          <w14:textFill>
            <w14:solidFill>
              <w14:schemeClr w14:val="tx1"/>
            </w14:solidFill>
          </w14:textFill>
        </w:rPr>
        <w:t>否</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346D2A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20.3.1 争议评审小组的确定</w:t>
      </w:r>
    </w:p>
    <w:p w14:paraId="6446A4A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争议评审小组成员的人数：</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5D945C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争议评审小组成员的确定：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BEE0ED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选定争议避免/评审组的期限：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062682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评审机构：</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CB78E0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其他事项的约定：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BFFBE1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争议评审员报酬的承担人：</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7891EE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20.3.2 争议的避免</w:t>
      </w:r>
    </w:p>
    <w:p w14:paraId="2DEB2D0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发包人和承包人是否均出席争议避免的非正式讨论：</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3E8CA5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20.3.3 争议评审小组的决定</w:t>
      </w:r>
    </w:p>
    <w:p w14:paraId="1EC9854F">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关于争议评审小组的决定的特别约定：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752FDE3">
      <w:pPr>
        <w:keepNext/>
        <w:keepLines/>
        <w:widowControl w:val="0"/>
        <w:wordWrap w:val="0"/>
        <w:autoSpaceDE w:val="0"/>
        <w:autoSpaceDN w:val="0"/>
        <w:bidi w:val="0"/>
        <w:spacing w:line="360" w:lineRule="auto"/>
        <w:ind w:firstLine="562" w:firstLineChars="200"/>
        <w:outlineLvl w:val="3"/>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pPr>
      <w:r>
        <w:rPr>
          <w:rFonts w:hint="eastAsia" w:ascii="宋体" w:hAnsi="宋体" w:eastAsia="宋体" w:cs="宋体"/>
          <w:b/>
          <w:bCs/>
          <w:color w:val="000000" w:themeColor="text1"/>
          <w:kern w:val="0"/>
          <w:sz w:val="28"/>
          <w:szCs w:val="28"/>
          <w:highlight w:val="none"/>
          <w:lang w:val="zh-CN" w:eastAsia="zh-CN" w:bidi="zh-CN"/>
          <w14:textFill>
            <w14:solidFill>
              <w14:schemeClr w14:val="tx1"/>
            </w14:solidFill>
          </w14:textFill>
        </w:rPr>
        <w:t>20.4 仲裁或诉讼</w:t>
      </w:r>
    </w:p>
    <w:p w14:paraId="7CA23CE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因合同及合同有关事项发生的争议，按下列第</w:t>
      </w:r>
      <w:r>
        <w:rPr>
          <w:rFonts w:hint="eastAsia" w:ascii="宋体" w:hAnsi="宋体" w:eastAsia="宋体" w:cs="宋体"/>
          <w:color w:val="000000" w:themeColor="text1"/>
          <w:kern w:val="0"/>
          <w:sz w:val="24"/>
          <w:szCs w:val="24"/>
          <w:highlight w:val="none"/>
          <w:u w:val="single"/>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种方式解决：</w:t>
      </w:r>
    </w:p>
    <w:p w14:paraId="428A66C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（1）向</w:t>
      </w:r>
      <w:r>
        <w:rPr>
          <w:rFonts w:hint="eastAsia" w:ascii="宋体" w:hAnsi="宋体" w:eastAsia="宋体" w:cs="宋体"/>
          <w:color w:val="000000" w:themeColor="text1"/>
          <w:kern w:val="0"/>
          <w:sz w:val="24"/>
          <w:szCs w:val="24"/>
          <w:highlight w:val="none"/>
          <w:u w:val="single"/>
          <w14:textFill>
            <w14:solidFill>
              <w14:schemeClr w14:val="tx1"/>
            </w14:solidFill>
          </w14:textFill>
        </w:rPr>
        <w:t>工程所在地</w:t>
      </w:r>
      <w:r>
        <w:rPr>
          <w:rFonts w:hint="eastAsia" w:ascii="宋体" w:hAnsi="宋体" w:eastAsia="宋体" w:cs="宋体"/>
          <w:color w:val="000000" w:themeColor="text1"/>
          <w:kern w:val="0"/>
          <w:sz w:val="24"/>
          <w:szCs w:val="24"/>
          <w:highlight w:val="none"/>
          <w14:textFill>
            <w14:solidFill>
              <w14:schemeClr w14:val="tx1"/>
            </w14:solidFill>
          </w14:textFill>
        </w:rPr>
        <w:t>人民法院起诉。</w:t>
      </w:r>
    </w:p>
    <w:p w14:paraId="7BBDA8DE">
      <w:pPr>
        <w:bidi w:val="0"/>
        <w:rPr>
          <w:rFonts w:hint="eastAsia" w:ascii="宋体" w:hAnsi="宋体" w:eastAsia="宋体" w:cs="宋体"/>
          <w:color w:val="000000" w:themeColor="text1"/>
          <w:highlight w:val="none"/>
          <w14:textFill>
            <w14:solidFill>
              <w14:schemeClr w14:val="tx1"/>
            </w14:solidFill>
          </w14:textFill>
        </w:rPr>
        <w:sectPr>
          <w:headerReference r:id="rId12" w:type="default"/>
          <w:pgSz w:w="11906" w:h="16838"/>
          <w:pgMar w:top="1440" w:right="1080" w:bottom="1440" w:left="1080" w:header="720" w:footer="998" w:gutter="0"/>
          <w:pgNumType w:fmt="decimal"/>
          <w:cols w:space="720" w:num="1"/>
          <w:docGrid w:linePitch="326" w:charSpace="0"/>
        </w:sectPr>
      </w:pPr>
    </w:p>
    <w:p w14:paraId="0004D66A">
      <w:pPr>
        <w:keepNext/>
        <w:keepLines/>
        <w:widowControl w:val="0"/>
        <w:wordWrap w:val="0"/>
        <w:autoSpaceDE w:val="0"/>
        <w:autoSpaceDN w:val="0"/>
        <w:bidi w:val="0"/>
        <w:spacing w:line="360" w:lineRule="auto"/>
        <w:ind w:left="0" w:leftChars="0" w:firstLine="0" w:firstLineChars="0"/>
        <w:jc w:val="center"/>
        <w:outlineLvl w:val="1"/>
        <w:rPr>
          <w:rFonts w:hint="eastAsia" w:ascii="宋体" w:hAnsi="宋体" w:eastAsia="宋体" w:cs="宋体"/>
          <w:b/>
          <w:color w:val="000000" w:themeColor="text1"/>
          <w:kern w:val="0"/>
          <w:sz w:val="30"/>
          <w:szCs w:val="32"/>
          <w:highlight w:val="none"/>
          <w:lang w:val="zh-CN" w:eastAsia="zh-CN" w:bidi="zh-CN"/>
          <w14:textFill>
            <w14:solidFill>
              <w14:schemeClr w14:val="tx1"/>
            </w14:solidFill>
          </w14:textFill>
        </w:rPr>
      </w:pPr>
      <w:bookmarkStart w:id="1326" w:name="_Toc1538"/>
      <w:bookmarkStart w:id="1327" w:name="_Toc54862351"/>
      <w:r>
        <w:rPr>
          <w:rFonts w:hint="eastAsia" w:ascii="宋体" w:hAnsi="宋体" w:eastAsia="宋体" w:cs="宋体"/>
          <w:b/>
          <w:color w:val="000000" w:themeColor="text1"/>
          <w:kern w:val="0"/>
          <w:sz w:val="30"/>
          <w:szCs w:val="32"/>
          <w:highlight w:val="none"/>
          <w:lang w:val="zh-CN" w:eastAsia="zh-CN" w:bidi="zh-CN"/>
          <w14:textFill>
            <w14:solidFill>
              <w14:schemeClr w14:val="tx1"/>
            </w14:solidFill>
          </w14:textFill>
        </w:rPr>
        <w:t>专用合同条件附件</w:t>
      </w:r>
      <w:bookmarkEnd w:id="1326"/>
      <w:bookmarkEnd w:id="1327"/>
    </w:p>
    <w:p w14:paraId="0B788BF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53C1927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附件1：发包人要求</w:t>
      </w:r>
    </w:p>
    <w:p w14:paraId="02AD691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附件2：发包人供应材料设备一览表</w:t>
      </w:r>
    </w:p>
    <w:p w14:paraId="36F5054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附件3：工程质量保修书</w:t>
      </w:r>
    </w:p>
    <w:p w14:paraId="2C8F1AE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附件4：主要建设工程文件目录</w:t>
      </w:r>
    </w:p>
    <w:p w14:paraId="6C7F08EC">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附件5：承包人主要管理人员表</w:t>
      </w:r>
    </w:p>
    <w:p w14:paraId="2069144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附件6：价格指数权重表</w:t>
      </w:r>
    </w:p>
    <w:p w14:paraId="6BA6E84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26E3E65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3E8FE31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468FEDAA">
      <w:pPr>
        <w:widowControl/>
        <w:wordWrap/>
        <w:topLinePunct w:val="0"/>
        <w:adjustRightInd/>
        <w:snapToGrid/>
        <w:spacing w:after="0" w:afterLines="0" w:line="240" w:lineRule="auto"/>
        <w:ind w:firstLine="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br w:type="page"/>
      </w:r>
    </w:p>
    <w:p w14:paraId="6AF79168">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28" w:name="_Toc18572"/>
      <w:bookmarkStart w:id="1329" w:name="_Toc54862352"/>
      <w:bookmarkStart w:id="1330" w:name="_Toc30429"/>
      <w:bookmarkStart w:id="1331" w:name="_Toc13862"/>
      <w:bookmarkStart w:id="1332" w:name="_Hlk38571789"/>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附件1 《发包人要求》</w:t>
      </w:r>
      <w:bookmarkEnd w:id="1328"/>
      <w:bookmarkEnd w:id="1329"/>
      <w:bookmarkEnd w:id="1330"/>
      <w:bookmarkEnd w:id="1331"/>
    </w:p>
    <w:bookmarkEnd w:id="1332"/>
    <w:p w14:paraId="59730869">
      <w:pP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br w:type="page"/>
      </w:r>
    </w:p>
    <w:p w14:paraId="00E0787B">
      <w:pPr>
        <w:widowControl/>
        <w:wordWrap/>
        <w:topLinePunct w:val="0"/>
        <w:adjustRightInd/>
        <w:snapToGrid/>
        <w:spacing w:after="0" w:afterLines="0" w:line="240" w:lineRule="auto"/>
        <w:ind w:firstLine="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p>
    <w:p w14:paraId="3A7115BC">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33" w:name="_Toc20171894"/>
      <w:bookmarkStart w:id="1334" w:name="_Toc27442"/>
      <w:bookmarkStart w:id="1335" w:name="_Toc54862353"/>
      <w:bookmarkStart w:id="1336" w:name="_Toc8"/>
      <w:bookmarkStart w:id="1337" w:name="_Toc7456"/>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附件2 发包人供应材料设备一览表</w:t>
      </w:r>
      <w:bookmarkEnd w:id="1333"/>
      <w:bookmarkEnd w:id="1334"/>
      <w:bookmarkEnd w:id="1335"/>
      <w:bookmarkEnd w:id="1336"/>
      <w:bookmarkEnd w:id="1337"/>
    </w:p>
    <w:tbl>
      <w:tblPr>
        <w:tblStyle w:val="3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1A9CC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noWrap w:val="0"/>
            <w:vAlign w:val="center"/>
          </w:tcPr>
          <w:p w14:paraId="1AEF7181">
            <w:pPr>
              <w:widowControl w:val="0"/>
              <w:wordWrap/>
              <w:topLinePunct w:val="0"/>
              <w:autoSpaceDE w:val="0"/>
              <w:autoSpaceDN w:val="0"/>
              <w:spacing w:after="0" w:afterLines="0" w:line="24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序号</w:t>
            </w:r>
          </w:p>
        </w:tc>
        <w:tc>
          <w:tcPr>
            <w:tcW w:w="1165" w:type="dxa"/>
            <w:tcBorders>
              <w:top w:val="single" w:color="auto" w:sz="12" w:space="0"/>
              <w:bottom w:val="double" w:color="auto" w:sz="6" w:space="0"/>
            </w:tcBorders>
            <w:noWrap w:val="0"/>
            <w:vAlign w:val="center"/>
          </w:tcPr>
          <w:p w14:paraId="057A9216">
            <w:pPr>
              <w:widowControl w:val="0"/>
              <w:wordWrap/>
              <w:topLinePunct w:val="0"/>
              <w:autoSpaceDE w:val="0"/>
              <w:autoSpaceDN w:val="0"/>
              <w:spacing w:after="0" w:afterLines="0" w:line="24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材料、设备品种</w:t>
            </w:r>
          </w:p>
        </w:tc>
        <w:tc>
          <w:tcPr>
            <w:tcW w:w="1126" w:type="dxa"/>
            <w:tcBorders>
              <w:top w:val="single" w:color="auto" w:sz="12" w:space="0"/>
              <w:bottom w:val="double" w:color="auto" w:sz="6" w:space="0"/>
            </w:tcBorders>
            <w:noWrap w:val="0"/>
            <w:vAlign w:val="center"/>
          </w:tcPr>
          <w:p w14:paraId="7D089CA8">
            <w:pPr>
              <w:widowControl w:val="0"/>
              <w:wordWrap/>
              <w:topLinePunct w:val="0"/>
              <w:autoSpaceDE w:val="0"/>
              <w:autoSpaceDN w:val="0"/>
              <w:spacing w:after="0" w:afterLines="0" w:line="24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规格型号</w:t>
            </w:r>
          </w:p>
        </w:tc>
        <w:tc>
          <w:tcPr>
            <w:tcW w:w="567" w:type="dxa"/>
            <w:tcBorders>
              <w:top w:val="single" w:color="auto" w:sz="12" w:space="0"/>
              <w:bottom w:val="double" w:color="auto" w:sz="6" w:space="0"/>
            </w:tcBorders>
            <w:noWrap w:val="0"/>
            <w:vAlign w:val="center"/>
          </w:tcPr>
          <w:p w14:paraId="1B680F6B">
            <w:pPr>
              <w:widowControl w:val="0"/>
              <w:wordWrap/>
              <w:topLinePunct w:val="0"/>
              <w:autoSpaceDE w:val="0"/>
              <w:autoSpaceDN w:val="0"/>
              <w:spacing w:after="0" w:afterLines="0" w:line="24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单位</w:t>
            </w:r>
          </w:p>
        </w:tc>
        <w:tc>
          <w:tcPr>
            <w:tcW w:w="686" w:type="dxa"/>
            <w:tcBorders>
              <w:top w:val="single" w:color="auto" w:sz="12" w:space="0"/>
              <w:bottom w:val="double" w:color="auto" w:sz="6" w:space="0"/>
            </w:tcBorders>
            <w:noWrap w:val="0"/>
            <w:vAlign w:val="center"/>
          </w:tcPr>
          <w:p w14:paraId="303010CA">
            <w:pPr>
              <w:widowControl w:val="0"/>
              <w:wordWrap/>
              <w:topLinePunct w:val="0"/>
              <w:autoSpaceDE w:val="0"/>
              <w:autoSpaceDN w:val="0"/>
              <w:spacing w:after="0" w:afterLines="0" w:line="24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数量</w:t>
            </w:r>
          </w:p>
        </w:tc>
        <w:tc>
          <w:tcPr>
            <w:tcW w:w="992" w:type="dxa"/>
            <w:tcBorders>
              <w:top w:val="single" w:color="auto" w:sz="12" w:space="0"/>
              <w:bottom w:val="double" w:color="auto" w:sz="6" w:space="0"/>
            </w:tcBorders>
            <w:noWrap w:val="0"/>
            <w:vAlign w:val="center"/>
          </w:tcPr>
          <w:p w14:paraId="42DEC4CB">
            <w:pPr>
              <w:widowControl w:val="0"/>
              <w:wordWrap/>
              <w:topLinePunct w:val="0"/>
              <w:autoSpaceDE w:val="0"/>
              <w:autoSpaceDN w:val="0"/>
              <w:spacing w:after="0" w:afterLines="0" w:line="24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单价（元）</w:t>
            </w:r>
          </w:p>
        </w:tc>
        <w:tc>
          <w:tcPr>
            <w:tcW w:w="1134" w:type="dxa"/>
            <w:tcBorders>
              <w:top w:val="single" w:color="auto" w:sz="12" w:space="0"/>
              <w:bottom w:val="double" w:color="auto" w:sz="6" w:space="0"/>
            </w:tcBorders>
            <w:noWrap w:val="0"/>
            <w:vAlign w:val="center"/>
          </w:tcPr>
          <w:p w14:paraId="0F3E3BEB">
            <w:pPr>
              <w:widowControl w:val="0"/>
              <w:wordWrap/>
              <w:topLinePunct w:val="0"/>
              <w:autoSpaceDE w:val="0"/>
              <w:autoSpaceDN w:val="0"/>
              <w:spacing w:after="0" w:afterLines="0" w:line="24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质量等级</w:t>
            </w:r>
          </w:p>
        </w:tc>
        <w:tc>
          <w:tcPr>
            <w:tcW w:w="1134" w:type="dxa"/>
            <w:tcBorders>
              <w:top w:val="single" w:color="auto" w:sz="12" w:space="0"/>
              <w:bottom w:val="double" w:color="auto" w:sz="6" w:space="0"/>
            </w:tcBorders>
            <w:noWrap w:val="0"/>
            <w:vAlign w:val="center"/>
          </w:tcPr>
          <w:p w14:paraId="29BF92E3">
            <w:pPr>
              <w:widowControl w:val="0"/>
              <w:wordWrap/>
              <w:topLinePunct w:val="0"/>
              <w:autoSpaceDE w:val="0"/>
              <w:autoSpaceDN w:val="0"/>
              <w:spacing w:after="0" w:afterLines="0" w:line="24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供应时间</w:t>
            </w:r>
          </w:p>
        </w:tc>
        <w:tc>
          <w:tcPr>
            <w:tcW w:w="1134" w:type="dxa"/>
            <w:tcBorders>
              <w:top w:val="single" w:color="auto" w:sz="12" w:space="0"/>
              <w:bottom w:val="double" w:color="auto" w:sz="6" w:space="0"/>
            </w:tcBorders>
            <w:noWrap w:val="0"/>
            <w:vAlign w:val="center"/>
          </w:tcPr>
          <w:p w14:paraId="46374FD7">
            <w:pPr>
              <w:widowControl w:val="0"/>
              <w:wordWrap/>
              <w:topLinePunct w:val="0"/>
              <w:autoSpaceDE w:val="0"/>
              <w:autoSpaceDN w:val="0"/>
              <w:spacing w:after="0" w:afterLines="0" w:line="24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送达地点</w:t>
            </w:r>
          </w:p>
        </w:tc>
        <w:tc>
          <w:tcPr>
            <w:tcW w:w="709" w:type="dxa"/>
            <w:tcBorders>
              <w:top w:val="single" w:color="auto" w:sz="12" w:space="0"/>
              <w:bottom w:val="double" w:color="auto" w:sz="6" w:space="0"/>
            </w:tcBorders>
            <w:noWrap w:val="0"/>
            <w:vAlign w:val="center"/>
          </w:tcPr>
          <w:p w14:paraId="31DBCA39">
            <w:pPr>
              <w:widowControl w:val="0"/>
              <w:wordWrap/>
              <w:topLinePunct w:val="0"/>
              <w:autoSpaceDE w:val="0"/>
              <w:autoSpaceDN w:val="0"/>
              <w:spacing w:after="0" w:afterLines="0" w:line="24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备注</w:t>
            </w:r>
          </w:p>
        </w:tc>
      </w:tr>
      <w:tr w14:paraId="7FDDE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noWrap w:val="0"/>
            <w:vAlign w:val="center"/>
          </w:tcPr>
          <w:p w14:paraId="0FA3BC73">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65" w:type="dxa"/>
            <w:tcBorders>
              <w:top w:val="double" w:color="auto" w:sz="6" w:space="0"/>
              <w:bottom w:val="single" w:color="auto" w:sz="6" w:space="0"/>
            </w:tcBorders>
            <w:noWrap w:val="0"/>
            <w:vAlign w:val="center"/>
          </w:tcPr>
          <w:p w14:paraId="6222E8E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26" w:type="dxa"/>
            <w:tcBorders>
              <w:top w:val="double" w:color="auto" w:sz="6" w:space="0"/>
              <w:bottom w:val="single" w:color="auto" w:sz="6" w:space="0"/>
            </w:tcBorders>
            <w:noWrap w:val="0"/>
            <w:vAlign w:val="center"/>
          </w:tcPr>
          <w:p w14:paraId="52572AD9">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567" w:type="dxa"/>
            <w:tcBorders>
              <w:top w:val="double" w:color="auto" w:sz="6" w:space="0"/>
              <w:bottom w:val="single" w:color="auto" w:sz="6" w:space="0"/>
            </w:tcBorders>
            <w:noWrap w:val="0"/>
            <w:vAlign w:val="center"/>
          </w:tcPr>
          <w:p w14:paraId="7DC2AEBC">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86" w:type="dxa"/>
            <w:tcBorders>
              <w:top w:val="double" w:color="auto" w:sz="6" w:space="0"/>
              <w:bottom w:val="single" w:color="auto" w:sz="6" w:space="0"/>
            </w:tcBorders>
            <w:noWrap w:val="0"/>
            <w:vAlign w:val="center"/>
          </w:tcPr>
          <w:p w14:paraId="13CA330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92" w:type="dxa"/>
            <w:tcBorders>
              <w:top w:val="double" w:color="auto" w:sz="6" w:space="0"/>
              <w:bottom w:val="single" w:color="auto" w:sz="6" w:space="0"/>
            </w:tcBorders>
            <w:noWrap w:val="0"/>
            <w:vAlign w:val="top"/>
          </w:tcPr>
          <w:p w14:paraId="0AC62A7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tcBorders>
              <w:top w:val="double" w:color="auto" w:sz="6" w:space="0"/>
              <w:bottom w:val="single" w:color="auto" w:sz="6" w:space="0"/>
            </w:tcBorders>
            <w:noWrap w:val="0"/>
            <w:vAlign w:val="center"/>
          </w:tcPr>
          <w:p w14:paraId="2D50C459">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tcBorders>
              <w:top w:val="double" w:color="auto" w:sz="6" w:space="0"/>
              <w:bottom w:val="single" w:color="auto" w:sz="6" w:space="0"/>
            </w:tcBorders>
            <w:noWrap w:val="0"/>
            <w:vAlign w:val="center"/>
          </w:tcPr>
          <w:p w14:paraId="1207F673">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tcBorders>
              <w:top w:val="double" w:color="auto" w:sz="6" w:space="0"/>
              <w:bottom w:val="single" w:color="auto" w:sz="6" w:space="0"/>
            </w:tcBorders>
            <w:noWrap w:val="0"/>
            <w:vAlign w:val="center"/>
          </w:tcPr>
          <w:p w14:paraId="19B88240">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09" w:type="dxa"/>
            <w:tcBorders>
              <w:top w:val="double" w:color="auto" w:sz="6" w:space="0"/>
              <w:bottom w:val="single" w:color="auto" w:sz="6" w:space="0"/>
            </w:tcBorders>
            <w:noWrap w:val="0"/>
            <w:vAlign w:val="center"/>
          </w:tcPr>
          <w:p w14:paraId="49D85263">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24C7F1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noWrap w:val="0"/>
            <w:vAlign w:val="center"/>
          </w:tcPr>
          <w:p w14:paraId="24DEBAF9">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65" w:type="dxa"/>
            <w:tcBorders>
              <w:top w:val="nil"/>
            </w:tcBorders>
            <w:noWrap w:val="0"/>
            <w:vAlign w:val="center"/>
          </w:tcPr>
          <w:p w14:paraId="0656895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26" w:type="dxa"/>
            <w:tcBorders>
              <w:top w:val="nil"/>
            </w:tcBorders>
            <w:noWrap w:val="0"/>
            <w:vAlign w:val="center"/>
          </w:tcPr>
          <w:p w14:paraId="4EFB414C">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567" w:type="dxa"/>
            <w:tcBorders>
              <w:top w:val="nil"/>
            </w:tcBorders>
            <w:noWrap w:val="0"/>
            <w:vAlign w:val="center"/>
          </w:tcPr>
          <w:p w14:paraId="19136A21">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86" w:type="dxa"/>
            <w:tcBorders>
              <w:top w:val="nil"/>
            </w:tcBorders>
            <w:noWrap w:val="0"/>
            <w:vAlign w:val="center"/>
          </w:tcPr>
          <w:p w14:paraId="5D58E038">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92" w:type="dxa"/>
            <w:tcBorders>
              <w:top w:val="nil"/>
            </w:tcBorders>
            <w:noWrap w:val="0"/>
            <w:vAlign w:val="top"/>
          </w:tcPr>
          <w:p w14:paraId="165494C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tcBorders>
              <w:top w:val="nil"/>
            </w:tcBorders>
            <w:noWrap w:val="0"/>
            <w:vAlign w:val="center"/>
          </w:tcPr>
          <w:p w14:paraId="28DFFD9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tcBorders>
              <w:top w:val="nil"/>
            </w:tcBorders>
            <w:noWrap w:val="0"/>
            <w:vAlign w:val="center"/>
          </w:tcPr>
          <w:p w14:paraId="18516790">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tcBorders>
              <w:top w:val="nil"/>
            </w:tcBorders>
            <w:noWrap w:val="0"/>
            <w:vAlign w:val="center"/>
          </w:tcPr>
          <w:p w14:paraId="1D26535F">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09" w:type="dxa"/>
            <w:tcBorders>
              <w:top w:val="nil"/>
            </w:tcBorders>
            <w:noWrap w:val="0"/>
            <w:vAlign w:val="center"/>
          </w:tcPr>
          <w:p w14:paraId="32A1979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290B2A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A03BAB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65" w:type="dxa"/>
            <w:noWrap w:val="0"/>
            <w:vAlign w:val="center"/>
          </w:tcPr>
          <w:p w14:paraId="47A9DC58">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26" w:type="dxa"/>
            <w:noWrap w:val="0"/>
            <w:vAlign w:val="center"/>
          </w:tcPr>
          <w:p w14:paraId="4298229D">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567" w:type="dxa"/>
            <w:noWrap w:val="0"/>
            <w:vAlign w:val="center"/>
          </w:tcPr>
          <w:p w14:paraId="7AB4884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86" w:type="dxa"/>
            <w:noWrap w:val="0"/>
            <w:vAlign w:val="center"/>
          </w:tcPr>
          <w:p w14:paraId="0D1F9790">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92" w:type="dxa"/>
            <w:noWrap w:val="0"/>
            <w:vAlign w:val="top"/>
          </w:tcPr>
          <w:p w14:paraId="0FBACF4C">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13A39FE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21653AC8">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1BD8AB8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09" w:type="dxa"/>
            <w:noWrap w:val="0"/>
            <w:vAlign w:val="center"/>
          </w:tcPr>
          <w:p w14:paraId="195DA1FD">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2F2E0D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26B5CCCC">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65" w:type="dxa"/>
            <w:noWrap w:val="0"/>
            <w:vAlign w:val="center"/>
          </w:tcPr>
          <w:p w14:paraId="58A7A1E7">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26" w:type="dxa"/>
            <w:noWrap w:val="0"/>
            <w:vAlign w:val="center"/>
          </w:tcPr>
          <w:p w14:paraId="6154BE9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567" w:type="dxa"/>
            <w:noWrap w:val="0"/>
            <w:vAlign w:val="center"/>
          </w:tcPr>
          <w:p w14:paraId="5F5613BF">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86" w:type="dxa"/>
            <w:noWrap w:val="0"/>
            <w:vAlign w:val="center"/>
          </w:tcPr>
          <w:p w14:paraId="504E3270">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92" w:type="dxa"/>
            <w:noWrap w:val="0"/>
            <w:vAlign w:val="top"/>
          </w:tcPr>
          <w:p w14:paraId="6973F62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7D84087C">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4FD717BC">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626B9013">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09" w:type="dxa"/>
            <w:noWrap w:val="0"/>
            <w:vAlign w:val="center"/>
          </w:tcPr>
          <w:p w14:paraId="60CE21E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22F8BB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516AE3C">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65" w:type="dxa"/>
            <w:noWrap w:val="0"/>
            <w:vAlign w:val="center"/>
          </w:tcPr>
          <w:p w14:paraId="616341D0">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26" w:type="dxa"/>
            <w:noWrap w:val="0"/>
            <w:vAlign w:val="center"/>
          </w:tcPr>
          <w:p w14:paraId="2C35233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567" w:type="dxa"/>
            <w:noWrap w:val="0"/>
            <w:vAlign w:val="center"/>
          </w:tcPr>
          <w:p w14:paraId="14856D7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86" w:type="dxa"/>
            <w:noWrap w:val="0"/>
            <w:vAlign w:val="center"/>
          </w:tcPr>
          <w:p w14:paraId="3D1AB17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92" w:type="dxa"/>
            <w:noWrap w:val="0"/>
            <w:vAlign w:val="top"/>
          </w:tcPr>
          <w:p w14:paraId="4FFF8483">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5D54C30D">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67870C7C">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1DFB3EB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09" w:type="dxa"/>
            <w:noWrap w:val="0"/>
            <w:vAlign w:val="center"/>
          </w:tcPr>
          <w:p w14:paraId="59AE8B5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0ECD52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B6DFCE7">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65" w:type="dxa"/>
            <w:noWrap w:val="0"/>
            <w:vAlign w:val="center"/>
          </w:tcPr>
          <w:p w14:paraId="4609DCE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26" w:type="dxa"/>
            <w:noWrap w:val="0"/>
            <w:vAlign w:val="center"/>
          </w:tcPr>
          <w:p w14:paraId="2DB79FDD">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567" w:type="dxa"/>
            <w:noWrap w:val="0"/>
            <w:vAlign w:val="center"/>
          </w:tcPr>
          <w:p w14:paraId="1302F78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86" w:type="dxa"/>
            <w:noWrap w:val="0"/>
            <w:vAlign w:val="center"/>
          </w:tcPr>
          <w:p w14:paraId="16624E61">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92" w:type="dxa"/>
            <w:noWrap w:val="0"/>
            <w:vAlign w:val="top"/>
          </w:tcPr>
          <w:p w14:paraId="20037719">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0233037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72FEF93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5C539CC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09" w:type="dxa"/>
            <w:noWrap w:val="0"/>
            <w:vAlign w:val="center"/>
          </w:tcPr>
          <w:p w14:paraId="63D373F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7B7EA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473FE9C9">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65" w:type="dxa"/>
            <w:noWrap w:val="0"/>
            <w:vAlign w:val="center"/>
          </w:tcPr>
          <w:p w14:paraId="588E71C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26" w:type="dxa"/>
            <w:noWrap w:val="0"/>
            <w:vAlign w:val="center"/>
          </w:tcPr>
          <w:p w14:paraId="4BC8956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567" w:type="dxa"/>
            <w:noWrap w:val="0"/>
            <w:vAlign w:val="center"/>
          </w:tcPr>
          <w:p w14:paraId="4D20A4E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86" w:type="dxa"/>
            <w:noWrap w:val="0"/>
            <w:vAlign w:val="center"/>
          </w:tcPr>
          <w:p w14:paraId="65BE942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92" w:type="dxa"/>
            <w:noWrap w:val="0"/>
            <w:vAlign w:val="top"/>
          </w:tcPr>
          <w:p w14:paraId="7B9A8839">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7EAA4A7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313BB0A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6691F39F">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09" w:type="dxa"/>
            <w:noWrap w:val="0"/>
            <w:vAlign w:val="center"/>
          </w:tcPr>
          <w:p w14:paraId="36C1696F">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2CBC99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563E388">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65" w:type="dxa"/>
            <w:noWrap w:val="0"/>
            <w:vAlign w:val="center"/>
          </w:tcPr>
          <w:p w14:paraId="400A4C3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26" w:type="dxa"/>
            <w:noWrap w:val="0"/>
            <w:vAlign w:val="center"/>
          </w:tcPr>
          <w:p w14:paraId="158FF168">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567" w:type="dxa"/>
            <w:noWrap w:val="0"/>
            <w:vAlign w:val="center"/>
          </w:tcPr>
          <w:p w14:paraId="3D461258">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86" w:type="dxa"/>
            <w:noWrap w:val="0"/>
            <w:vAlign w:val="center"/>
          </w:tcPr>
          <w:p w14:paraId="40DDF80F">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92" w:type="dxa"/>
            <w:noWrap w:val="0"/>
            <w:vAlign w:val="top"/>
          </w:tcPr>
          <w:p w14:paraId="52FE4ED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3722664C">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025CA3D9">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1B181CF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09" w:type="dxa"/>
            <w:noWrap w:val="0"/>
            <w:vAlign w:val="center"/>
          </w:tcPr>
          <w:p w14:paraId="50A65F6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66CDFD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4FD46F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65" w:type="dxa"/>
            <w:noWrap w:val="0"/>
            <w:vAlign w:val="center"/>
          </w:tcPr>
          <w:p w14:paraId="0668C83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26" w:type="dxa"/>
            <w:noWrap w:val="0"/>
            <w:vAlign w:val="center"/>
          </w:tcPr>
          <w:p w14:paraId="2890735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67" w:type="dxa"/>
            <w:noWrap w:val="0"/>
            <w:vAlign w:val="center"/>
          </w:tcPr>
          <w:p w14:paraId="37CEEFF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86" w:type="dxa"/>
            <w:noWrap w:val="0"/>
            <w:vAlign w:val="center"/>
          </w:tcPr>
          <w:p w14:paraId="7B055494">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92" w:type="dxa"/>
            <w:noWrap w:val="0"/>
            <w:vAlign w:val="top"/>
          </w:tcPr>
          <w:p w14:paraId="0DD03B6F">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2C1B2CCE">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11F41962">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27801D4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09" w:type="dxa"/>
            <w:noWrap w:val="0"/>
            <w:vAlign w:val="center"/>
          </w:tcPr>
          <w:p w14:paraId="327DF0B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4331BB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BA5A88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65" w:type="dxa"/>
            <w:noWrap w:val="0"/>
            <w:vAlign w:val="center"/>
          </w:tcPr>
          <w:p w14:paraId="300194E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26" w:type="dxa"/>
            <w:noWrap w:val="0"/>
            <w:vAlign w:val="center"/>
          </w:tcPr>
          <w:p w14:paraId="0E16358B">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567" w:type="dxa"/>
            <w:noWrap w:val="0"/>
            <w:vAlign w:val="center"/>
          </w:tcPr>
          <w:p w14:paraId="19982497">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86" w:type="dxa"/>
            <w:noWrap w:val="0"/>
            <w:vAlign w:val="center"/>
          </w:tcPr>
          <w:p w14:paraId="7802C16F">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92" w:type="dxa"/>
            <w:noWrap w:val="0"/>
            <w:vAlign w:val="top"/>
          </w:tcPr>
          <w:p w14:paraId="12CD3C99">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1248DA9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37A96049">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1134" w:type="dxa"/>
            <w:noWrap w:val="0"/>
            <w:vAlign w:val="center"/>
          </w:tcPr>
          <w:p w14:paraId="6A97D68B">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09" w:type="dxa"/>
            <w:noWrap w:val="0"/>
            <w:vAlign w:val="center"/>
          </w:tcPr>
          <w:p w14:paraId="4D590F81">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309AEF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42352C7C">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65" w:type="dxa"/>
            <w:noWrap w:val="0"/>
            <w:vAlign w:val="center"/>
          </w:tcPr>
          <w:p w14:paraId="37CDA8BF">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26" w:type="dxa"/>
            <w:noWrap w:val="0"/>
            <w:vAlign w:val="center"/>
          </w:tcPr>
          <w:p w14:paraId="6971157F">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67" w:type="dxa"/>
            <w:noWrap w:val="0"/>
            <w:vAlign w:val="center"/>
          </w:tcPr>
          <w:p w14:paraId="47B5F79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86" w:type="dxa"/>
            <w:noWrap w:val="0"/>
            <w:vAlign w:val="center"/>
          </w:tcPr>
          <w:p w14:paraId="2CBC19B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92" w:type="dxa"/>
            <w:noWrap w:val="0"/>
            <w:vAlign w:val="top"/>
          </w:tcPr>
          <w:p w14:paraId="04B1A82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775FB81B">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7A36F14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2B334BA4">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09" w:type="dxa"/>
            <w:noWrap w:val="0"/>
            <w:vAlign w:val="center"/>
          </w:tcPr>
          <w:p w14:paraId="403004E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4896E6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0CC269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65" w:type="dxa"/>
            <w:noWrap w:val="0"/>
            <w:vAlign w:val="center"/>
          </w:tcPr>
          <w:p w14:paraId="5411CF7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26" w:type="dxa"/>
            <w:noWrap w:val="0"/>
            <w:vAlign w:val="center"/>
          </w:tcPr>
          <w:p w14:paraId="5AD6576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67" w:type="dxa"/>
            <w:noWrap w:val="0"/>
            <w:vAlign w:val="center"/>
          </w:tcPr>
          <w:p w14:paraId="2C9CB21C">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86" w:type="dxa"/>
            <w:noWrap w:val="0"/>
            <w:vAlign w:val="center"/>
          </w:tcPr>
          <w:p w14:paraId="4100B4D3">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92" w:type="dxa"/>
            <w:noWrap w:val="0"/>
            <w:vAlign w:val="top"/>
          </w:tcPr>
          <w:p w14:paraId="70FCB757">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04030A3E">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009F74D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24DFA1F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09" w:type="dxa"/>
            <w:noWrap w:val="0"/>
            <w:vAlign w:val="center"/>
          </w:tcPr>
          <w:p w14:paraId="3E1D9E3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1922BF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9C18A5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65" w:type="dxa"/>
            <w:noWrap w:val="0"/>
            <w:vAlign w:val="center"/>
          </w:tcPr>
          <w:p w14:paraId="6F47A910">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26" w:type="dxa"/>
            <w:noWrap w:val="0"/>
            <w:vAlign w:val="center"/>
          </w:tcPr>
          <w:p w14:paraId="4B6B7DB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67" w:type="dxa"/>
            <w:noWrap w:val="0"/>
            <w:vAlign w:val="center"/>
          </w:tcPr>
          <w:p w14:paraId="5774DF32">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86" w:type="dxa"/>
            <w:noWrap w:val="0"/>
            <w:vAlign w:val="center"/>
          </w:tcPr>
          <w:p w14:paraId="57ED4FF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92" w:type="dxa"/>
            <w:noWrap w:val="0"/>
            <w:vAlign w:val="top"/>
          </w:tcPr>
          <w:p w14:paraId="575D6C1B">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10C85E15">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18EA3C9F">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560325D4">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09" w:type="dxa"/>
            <w:noWrap w:val="0"/>
            <w:vAlign w:val="center"/>
          </w:tcPr>
          <w:p w14:paraId="51A8966E">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36C814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3584B47">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65" w:type="dxa"/>
            <w:noWrap w:val="0"/>
            <w:vAlign w:val="center"/>
          </w:tcPr>
          <w:p w14:paraId="7447D5D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26" w:type="dxa"/>
            <w:noWrap w:val="0"/>
            <w:vAlign w:val="center"/>
          </w:tcPr>
          <w:p w14:paraId="6AD8FFC7">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67" w:type="dxa"/>
            <w:noWrap w:val="0"/>
            <w:vAlign w:val="center"/>
          </w:tcPr>
          <w:p w14:paraId="36BE151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86" w:type="dxa"/>
            <w:noWrap w:val="0"/>
            <w:vAlign w:val="center"/>
          </w:tcPr>
          <w:p w14:paraId="46360F6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92" w:type="dxa"/>
            <w:noWrap w:val="0"/>
            <w:vAlign w:val="top"/>
          </w:tcPr>
          <w:p w14:paraId="407A01EB">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780C2E1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2DBBA615">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71159AF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09" w:type="dxa"/>
            <w:noWrap w:val="0"/>
            <w:vAlign w:val="center"/>
          </w:tcPr>
          <w:p w14:paraId="6B98F7DF">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3C7BBC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B8573E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65" w:type="dxa"/>
            <w:noWrap w:val="0"/>
            <w:vAlign w:val="center"/>
          </w:tcPr>
          <w:p w14:paraId="2104BD7C">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26" w:type="dxa"/>
            <w:noWrap w:val="0"/>
            <w:vAlign w:val="center"/>
          </w:tcPr>
          <w:p w14:paraId="134AD35F">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67" w:type="dxa"/>
            <w:noWrap w:val="0"/>
            <w:vAlign w:val="center"/>
          </w:tcPr>
          <w:p w14:paraId="3A574D5B">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86" w:type="dxa"/>
            <w:noWrap w:val="0"/>
            <w:vAlign w:val="center"/>
          </w:tcPr>
          <w:p w14:paraId="6719B7B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92" w:type="dxa"/>
            <w:noWrap w:val="0"/>
            <w:vAlign w:val="top"/>
          </w:tcPr>
          <w:p w14:paraId="26D538E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2D07CBC3">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0D00319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4144E133">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09" w:type="dxa"/>
            <w:noWrap w:val="0"/>
            <w:vAlign w:val="center"/>
          </w:tcPr>
          <w:p w14:paraId="53368653">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6B3ACA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6A19662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65" w:type="dxa"/>
            <w:noWrap w:val="0"/>
            <w:vAlign w:val="center"/>
          </w:tcPr>
          <w:p w14:paraId="20382F94">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26" w:type="dxa"/>
            <w:noWrap w:val="0"/>
            <w:vAlign w:val="center"/>
          </w:tcPr>
          <w:p w14:paraId="1B18A08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67" w:type="dxa"/>
            <w:noWrap w:val="0"/>
            <w:vAlign w:val="center"/>
          </w:tcPr>
          <w:p w14:paraId="4B9C875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86" w:type="dxa"/>
            <w:noWrap w:val="0"/>
            <w:vAlign w:val="center"/>
          </w:tcPr>
          <w:p w14:paraId="02BC05B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92" w:type="dxa"/>
            <w:noWrap w:val="0"/>
            <w:vAlign w:val="top"/>
          </w:tcPr>
          <w:p w14:paraId="5CC9668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0CFB89DB">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7FB28CB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0B9190B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09" w:type="dxa"/>
            <w:noWrap w:val="0"/>
            <w:vAlign w:val="center"/>
          </w:tcPr>
          <w:p w14:paraId="2F1A8A4B">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168663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4B2A0103">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65" w:type="dxa"/>
            <w:noWrap w:val="0"/>
            <w:vAlign w:val="center"/>
          </w:tcPr>
          <w:p w14:paraId="1B1D4EB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26" w:type="dxa"/>
            <w:noWrap w:val="0"/>
            <w:vAlign w:val="center"/>
          </w:tcPr>
          <w:p w14:paraId="36F7AAD0">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67" w:type="dxa"/>
            <w:noWrap w:val="0"/>
            <w:vAlign w:val="center"/>
          </w:tcPr>
          <w:p w14:paraId="2200150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86" w:type="dxa"/>
            <w:noWrap w:val="0"/>
            <w:vAlign w:val="center"/>
          </w:tcPr>
          <w:p w14:paraId="6792B36C">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92" w:type="dxa"/>
            <w:noWrap w:val="0"/>
            <w:vAlign w:val="top"/>
          </w:tcPr>
          <w:p w14:paraId="42463E3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381B0975">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1A58E39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2DCC15EF">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09" w:type="dxa"/>
            <w:noWrap w:val="0"/>
            <w:vAlign w:val="center"/>
          </w:tcPr>
          <w:p w14:paraId="115F466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55AF3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B64E777">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65" w:type="dxa"/>
            <w:noWrap w:val="0"/>
            <w:vAlign w:val="center"/>
          </w:tcPr>
          <w:p w14:paraId="6356FB3C">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26" w:type="dxa"/>
            <w:noWrap w:val="0"/>
            <w:vAlign w:val="center"/>
          </w:tcPr>
          <w:p w14:paraId="7F3FBE4E">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67" w:type="dxa"/>
            <w:noWrap w:val="0"/>
            <w:vAlign w:val="center"/>
          </w:tcPr>
          <w:p w14:paraId="754E3DE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86" w:type="dxa"/>
            <w:noWrap w:val="0"/>
            <w:vAlign w:val="center"/>
          </w:tcPr>
          <w:p w14:paraId="5270D43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92" w:type="dxa"/>
            <w:noWrap w:val="0"/>
            <w:vAlign w:val="top"/>
          </w:tcPr>
          <w:p w14:paraId="6DCECDC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4F38490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697726C0">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134" w:type="dxa"/>
            <w:noWrap w:val="0"/>
            <w:vAlign w:val="center"/>
          </w:tcPr>
          <w:p w14:paraId="2A01641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09" w:type="dxa"/>
            <w:noWrap w:val="0"/>
            <w:vAlign w:val="center"/>
          </w:tcPr>
          <w:p w14:paraId="09124EC0">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bl>
    <w:p w14:paraId="2815ED07">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0B95D0C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bookmarkStart w:id="1338" w:name="_Toc20171895"/>
      <w:bookmarkStart w:id="1339" w:name="_Toc54862354"/>
    </w:p>
    <w:p w14:paraId="5F48F6B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060F9A3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383F5425">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40" w:name="_Toc23466"/>
      <w:bookmarkStart w:id="1341" w:name="_Toc4021"/>
      <w:bookmarkStart w:id="1342" w:name="_Toc18774"/>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附件3 工程质量保修书</w:t>
      </w:r>
      <w:bookmarkEnd w:id="1338"/>
      <w:bookmarkEnd w:id="1339"/>
      <w:bookmarkEnd w:id="1340"/>
      <w:bookmarkEnd w:id="1341"/>
      <w:bookmarkEnd w:id="1342"/>
    </w:p>
    <w:p w14:paraId="7AF5D015">
      <w:pPr>
        <w:widowControl/>
        <w:bidi w:val="0"/>
        <w:ind w:left="0" w:leftChars="0"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发包人（全称）：                                  </w:t>
      </w:r>
    </w:p>
    <w:p w14:paraId="15D8602B">
      <w:pPr>
        <w:widowControl/>
        <w:bidi w:val="0"/>
        <w:ind w:left="0" w:leftChars="0"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承包人（全称）：                                  </w:t>
      </w:r>
    </w:p>
    <w:p w14:paraId="5AA0839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发包人和承包人根据《中华人民共和国建筑法》和《建设工程质量管理条例》，经协商一致就</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订立工程质量保修书。</w:t>
      </w:r>
    </w:p>
    <w:p w14:paraId="476DE32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一、工程质量保修范围和内容</w:t>
      </w:r>
    </w:p>
    <w:p w14:paraId="1DC7FB3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承包人在质量保修期内，按照有关法律规定和合同约定，承担工程质量保修责任。</w:t>
      </w:r>
    </w:p>
    <w:p w14:paraId="72CA68B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44BE36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二、质量保修期</w:t>
      </w:r>
    </w:p>
    <w:p w14:paraId="0805889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根据《建设工程质量管理条例》及有关规定，工程的质量保修期如下：</w:t>
      </w:r>
    </w:p>
    <w:p w14:paraId="77DA4B4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1．地基基础工程和主体结构工程为设计文件规定的工程合理使用年限；</w:t>
      </w:r>
    </w:p>
    <w:p w14:paraId="51B9529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2．屋面防水工程、有防水要求的卫生间、房间和外墙面的防渗为</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年；</w:t>
      </w:r>
    </w:p>
    <w:p w14:paraId="3916B39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3．装修工程为         年；</w:t>
      </w:r>
    </w:p>
    <w:p w14:paraId="3CA524C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4．电气管线、给排水管道、设备安装工程为           年；</w:t>
      </w:r>
    </w:p>
    <w:p w14:paraId="73A5C35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5．供热与供冷系统为        个采暖期、供冷期；</w:t>
      </w:r>
    </w:p>
    <w:p w14:paraId="51FF45D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6．住宅小区内的给排水设施、道路等配套工程为         年；</w:t>
      </w:r>
    </w:p>
    <w:p w14:paraId="24281985">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7．其他项目保修期限约定如下：                      。</w:t>
      </w:r>
    </w:p>
    <w:p w14:paraId="0584A040">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质量保修期自工程竣工验收合格之日起计算。</w:t>
      </w:r>
    </w:p>
    <w:p w14:paraId="1033741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三、缺陷责任期</w:t>
      </w:r>
    </w:p>
    <w:p w14:paraId="42D3BC8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工程缺陷责任期为      个月，缺陷责任期自工程通过竣工验收之日起计算。单位/区段工程先于全部工程进行验收，单位/区段工程缺陷责任期自单位/区段工程验收合格之日起算。</w:t>
      </w:r>
    </w:p>
    <w:p w14:paraId="4ACA672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缺陷责任期终止后，发包人应返还剩余的质量保证金。</w:t>
      </w:r>
    </w:p>
    <w:p w14:paraId="7F05C01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四、质量保修责任</w:t>
      </w:r>
    </w:p>
    <w:p w14:paraId="06DFC5D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1．属于保修范围、内容的项目，承包人应当在接到保修通知之日起7天内派人保修。承包人不在约定期限内派人保修的，发包人可以委托他人修理。</w:t>
      </w:r>
    </w:p>
    <w:p w14:paraId="77718138">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2．发生紧急事故需抢修的，承包人在接到事故通知后，应当立即到达事故现场抢修。</w:t>
      </w:r>
    </w:p>
    <w:p w14:paraId="2D83D4F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020863E2">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4．质量保修完成后，由发包人组织验收。</w:t>
      </w:r>
    </w:p>
    <w:p w14:paraId="0C2DC7DA">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五、保修费用</w:t>
      </w:r>
    </w:p>
    <w:p w14:paraId="6B3A34E3">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保修费用由造成质量缺陷的责任方承担。</w:t>
      </w:r>
    </w:p>
    <w:p w14:paraId="16C6B3F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六、双方约定的其他工程质量保修事项：                。</w:t>
      </w:r>
    </w:p>
    <w:p w14:paraId="15C965E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工程质量保修书由发包人、承包人在工程竣工验收前共同签署，作为工程总承包合同附件，其有效期限至保修期满。</w:t>
      </w:r>
    </w:p>
    <w:p w14:paraId="6588D7D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6C9E3A0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发包人(公章)：               承包人(公章)：          </w:t>
      </w:r>
    </w:p>
    <w:p w14:paraId="7D776AC1">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地  址：                     地  址：       </w:t>
      </w:r>
    </w:p>
    <w:p w14:paraId="4614AE8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法定代表人(签字)：           法定代表人(签字)：       </w:t>
      </w:r>
    </w:p>
    <w:p w14:paraId="70C0BA2E">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委托代理人(签字)：           委托代理人(签字)：       </w:t>
      </w:r>
    </w:p>
    <w:p w14:paraId="002CC3A4">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电  话：                     电  话：</w:t>
      </w:r>
    </w:p>
    <w:p w14:paraId="6B1CC879">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传  真：                     传  真：  </w:t>
      </w:r>
    </w:p>
    <w:p w14:paraId="3312ED2D">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开户银行：                   开户银行：</w:t>
      </w:r>
    </w:p>
    <w:p w14:paraId="52500316">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账  号：                     账  号： </w:t>
      </w:r>
    </w:p>
    <w:p w14:paraId="7B752557">
      <w:pPr>
        <w:widowControl/>
        <w:bidi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邮政编码：                   邮政编码：   </w:t>
      </w:r>
    </w:p>
    <w:p w14:paraId="5D2E7223">
      <w:pP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br w:type="page"/>
      </w:r>
    </w:p>
    <w:p w14:paraId="7054A730">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43" w:name="_Toc20171896"/>
      <w:bookmarkStart w:id="1344" w:name="_Toc54862355"/>
      <w:bookmarkStart w:id="1345" w:name="_Toc3584"/>
      <w:bookmarkStart w:id="1346" w:name="_Toc1457"/>
      <w:bookmarkStart w:id="1347" w:name="_Toc32074"/>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附件4 主要建设工程文件目录</w:t>
      </w:r>
      <w:bookmarkEnd w:id="1343"/>
      <w:bookmarkEnd w:id="1344"/>
      <w:bookmarkEnd w:id="1345"/>
      <w:bookmarkEnd w:id="1346"/>
      <w:bookmarkEnd w:id="1347"/>
    </w:p>
    <w:tbl>
      <w:tblPr>
        <w:tblStyle w:val="35"/>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2261"/>
        <w:gridCol w:w="1357"/>
        <w:gridCol w:w="1541"/>
        <w:gridCol w:w="1322"/>
        <w:gridCol w:w="1541"/>
        <w:gridCol w:w="1776"/>
      </w:tblGrid>
      <w:tr w14:paraId="38391E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53" w:type="pct"/>
            <w:tcBorders>
              <w:top w:val="single" w:color="auto" w:sz="12" w:space="0"/>
              <w:bottom w:val="double" w:color="auto" w:sz="6" w:space="0"/>
            </w:tcBorders>
            <w:noWrap w:val="0"/>
            <w:vAlign w:val="center"/>
          </w:tcPr>
          <w:p w14:paraId="251AA9E1">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文件名称</w:t>
            </w:r>
          </w:p>
        </w:tc>
        <w:tc>
          <w:tcPr>
            <w:tcW w:w="692" w:type="pct"/>
            <w:tcBorders>
              <w:top w:val="single" w:color="auto" w:sz="12" w:space="0"/>
              <w:bottom w:val="double" w:color="auto" w:sz="6" w:space="0"/>
            </w:tcBorders>
            <w:noWrap w:val="0"/>
            <w:vAlign w:val="center"/>
          </w:tcPr>
          <w:p w14:paraId="202B9B1B">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套数</w:t>
            </w:r>
          </w:p>
        </w:tc>
        <w:tc>
          <w:tcPr>
            <w:tcW w:w="786" w:type="pct"/>
            <w:tcBorders>
              <w:top w:val="single" w:color="auto" w:sz="12" w:space="0"/>
              <w:bottom w:val="double" w:color="auto" w:sz="6" w:space="0"/>
            </w:tcBorders>
            <w:noWrap w:val="0"/>
            <w:vAlign w:val="center"/>
          </w:tcPr>
          <w:p w14:paraId="0EBCD4DA">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费用（元）</w:t>
            </w:r>
          </w:p>
        </w:tc>
        <w:tc>
          <w:tcPr>
            <w:tcW w:w="674" w:type="pct"/>
            <w:tcBorders>
              <w:top w:val="single" w:color="auto" w:sz="12" w:space="0"/>
              <w:bottom w:val="double" w:color="auto" w:sz="6" w:space="0"/>
            </w:tcBorders>
            <w:noWrap w:val="0"/>
            <w:vAlign w:val="center"/>
          </w:tcPr>
          <w:p w14:paraId="013D8043">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4"/>
                <w:highlight w:val="none"/>
                <w:lang w:val="zh-CN" w:eastAsia="zh-CN" w:bidi="zh-CN"/>
                <w14:textFill>
                  <w14:solidFill>
                    <w14:schemeClr w14:val="tx1"/>
                  </w14:solidFill>
                </w14:textFill>
              </w:rPr>
              <w:t>质量</w:t>
            </w:r>
          </w:p>
        </w:tc>
        <w:tc>
          <w:tcPr>
            <w:tcW w:w="786" w:type="pct"/>
            <w:tcBorders>
              <w:top w:val="single" w:color="auto" w:sz="12" w:space="0"/>
              <w:bottom w:val="double" w:color="auto" w:sz="6" w:space="0"/>
            </w:tcBorders>
            <w:noWrap w:val="0"/>
            <w:vAlign w:val="top"/>
          </w:tcPr>
          <w:p w14:paraId="793FD52C">
            <w:pPr>
              <w:widowControl/>
              <w:wordWrap/>
              <w:topLinePunct w:val="0"/>
              <w:spacing w:after="0" w:afterLines="0"/>
              <w:ind w:firstLine="0" w:firstLineChars="0"/>
              <w:jc w:val="center"/>
              <w:rPr>
                <w:rFonts w:hint="eastAsia" w:ascii="宋体" w:hAnsi="宋体" w:eastAsia="宋体" w:cs="宋体"/>
                <w:color w:val="000000" w:themeColor="text1"/>
                <w:kern w:val="0"/>
                <w:sz w:val="21"/>
                <w:szCs w:val="24"/>
                <w:highlight w:val="none"/>
                <w14:textFill>
                  <w14:solidFill>
                    <w14:schemeClr w14:val="tx1"/>
                  </w14:solidFill>
                </w14:textFill>
              </w:rPr>
            </w:pPr>
            <w:r>
              <w:rPr>
                <w:rFonts w:hint="eastAsia" w:ascii="宋体" w:hAnsi="宋体" w:eastAsia="宋体" w:cs="宋体"/>
                <w:color w:val="000000" w:themeColor="text1"/>
                <w:kern w:val="0"/>
                <w:sz w:val="21"/>
                <w:szCs w:val="24"/>
                <w:highlight w:val="none"/>
                <w14:textFill>
                  <w14:solidFill>
                    <w14:schemeClr w14:val="tx1"/>
                  </w14:solidFill>
                </w14:textFill>
              </w:rPr>
              <w:t>移交时间</w:t>
            </w:r>
          </w:p>
        </w:tc>
        <w:tc>
          <w:tcPr>
            <w:tcW w:w="906" w:type="pct"/>
            <w:tcBorders>
              <w:top w:val="single" w:color="auto" w:sz="12" w:space="0"/>
              <w:bottom w:val="double" w:color="auto" w:sz="6" w:space="0"/>
            </w:tcBorders>
            <w:noWrap w:val="0"/>
            <w:vAlign w:val="top"/>
          </w:tcPr>
          <w:p w14:paraId="25389FA3">
            <w:pPr>
              <w:widowControl/>
              <w:wordWrap/>
              <w:topLinePunct w:val="0"/>
              <w:spacing w:after="0" w:afterLines="0"/>
              <w:ind w:firstLine="0" w:firstLineChars="0"/>
              <w:jc w:val="center"/>
              <w:rPr>
                <w:rFonts w:hint="eastAsia" w:ascii="宋体" w:hAnsi="宋体" w:eastAsia="宋体" w:cs="宋体"/>
                <w:color w:val="000000" w:themeColor="text1"/>
                <w:kern w:val="0"/>
                <w:sz w:val="21"/>
                <w:szCs w:val="24"/>
                <w:highlight w:val="none"/>
                <w14:textFill>
                  <w14:solidFill>
                    <w14:schemeClr w14:val="tx1"/>
                  </w14:solidFill>
                </w14:textFill>
              </w:rPr>
            </w:pPr>
            <w:r>
              <w:rPr>
                <w:rFonts w:hint="eastAsia" w:ascii="宋体" w:hAnsi="宋体" w:eastAsia="宋体" w:cs="宋体"/>
                <w:color w:val="000000" w:themeColor="text1"/>
                <w:kern w:val="0"/>
                <w:sz w:val="21"/>
                <w:szCs w:val="24"/>
                <w:highlight w:val="none"/>
                <w14:textFill>
                  <w14:solidFill>
                    <w14:schemeClr w14:val="tx1"/>
                  </w14:solidFill>
                </w14:textFill>
              </w:rPr>
              <w:t>责任人</w:t>
            </w:r>
          </w:p>
        </w:tc>
      </w:tr>
      <w:tr w14:paraId="671CE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tcBorders>
              <w:top w:val="double" w:color="auto" w:sz="6" w:space="0"/>
              <w:bottom w:val="single" w:color="auto" w:sz="6" w:space="0"/>
            </w:tcBorders>
            <w:noWrap w:val="0"/>
            <w:vAlign w:val="center"/>
          </w:tcPr>
          <w:p w14:paraId="29761B68">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92" w:type="pct"/>
            <w:tcBorders>
              <w:top w:val="double" w:color="auto" w:sz="6" w:space="0"/>
              <w:bottom w:val="single" w:color="auto" w:sz="6" w:space="0"/>
            </w:tcBorders>
            <w:noWrap w:val="0"/>
            <w:vAlign w:val="center"/>
          </w:tcPr>
          <w:p w14:paraId="1E3797BD">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tcBorders>
              <w:top w:val="double" w:color="auto" w:sz="6" w:space="0"/>
              <w:bottom w:val="single" w:color="auto" w:sz="6" w:space="0"/>
            </w:tcBorders>
            <w:noWrap w:val="0"/>
            <w:vAlign w:val="center"/>
          </w:tcPr>
          <w:p w14:paraId="6F5B992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74" w:type="pct"/>
            <w:tcBorders>
              <w:top w:val="double" w:color="auto" w:sz="6" w:space="0"/>
              <w:bottom w:val="single" w:color="auto" w:sz="6" w:space="0"/>
            </w:tcBorders>
            <w:noWrap w:val="0"/>
            <w:vAlign w:val="center"/>
          </w:tcPr>
          <w:p w14:paraId="035177AD">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tcBorders>
              <w:top w:val="double" w:color="auto" w:sz="6" w:space="0"/>
              <w:bottom w:val="single" w:color="auto" w:sz="6" w:space="0"/>
            </w:tcBorders>
            <w:noWrap w:val="0"/>
            <w:vAlign w:val="center"/>
          </w:tcPr>
          <w:p w14:paraId="3B98811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06" w:type="pct"/>
            <w:tcBorders>
              <w:top w:val="double" w:color="auto" w:sz="6" w:space="0"/>
              <w:bottom w:val="single" w:color="auto" w:sz="6" w:space="0"/>
            </w:tcBorders>
            <w:noWrap w:val="0"/>
            <w:vAlign w:val="center"/>
          </w:tcPr>
          <w:p w14:paraId="5241EB77">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1BCDAD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tcBorders>
              <w:top w:val="nil"/>
            </w:tcBorders>
            <w:noWrap w:val="0"/>
            <w:vAlign w:val="center"/>
          </w:tcPr>
          <w:p w14:paraId="1C78434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92" w:type="pct"/>
            <w:tcBorders>
              <w:top w:val="nil"/>
            </w:tcBorders>
            <w:noWrap w:val="0"/>
            <w:vAlign w:val="center"/>
          </w:tcPr>
          <w:p w14:paraId="7D3E55E1">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tcBorders>
              <w:top w:val="nil"/>
            </w:tcBorders>
            <w:noWrap w:val="0"/>
            <w:vAlign w:val="center"/>
          </w:tcPr>
          <w:p w14:paraId="3F201AB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74" w:type="pct"/>
            <w:tcBorders>
              <w:top w:val="nil"/>
            </w:tcBorders>
            <w:noWrap w:val="0"/>
            <w:vAlign w:val="center"/>
          </w:tcPr>
          <w:p w14:paraId="62B7D457">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tcBorders>
              <w:top w:val="nil"/>
            </w:tcBorders>
            <w:noWrap w:val="0"/>
            <w:vAlign w:val="center"/>
          </w:tcPr>
          <w:p w14:paraId="27C0E027">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06" w:type="pct"/>
            <w:tcBorders>
              <w:top w:val="nil"/>
            </w:tcBorders>
            <w:noWrap w:val="0"/>
            <w:vAlign w:val="center"/>
          </w:tcPr>
          <w:p w14:paraId="3030978D">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08A0D4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center"/>
          </w:tcPr>
          <w:p w14:paraId="169B361F">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92" w:type="pct"/>
            <w:noWrap w:val="0"/>
            <w:vAlign w:val="center"/>
          </w:tcPr>
          <w:p w14:paraId="09E88B98">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4C20233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74" w:type="pct"/>
            <w:noWrap w:val="0"/>
            <w:vAlign w:val="center"/>
          </w:tcPr>
          <w:p w14:paraId="60EF97F8">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32EE12B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06" w:type="pct"/>
            <w:noWrap w:val="0"/>
            <w:vAlign w:val="center"/>
          </w:tcPr>
          <w:p w14:paraId="0182727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338545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center"/>
          </w:tcPr>
          <w:p w14:paraId="2A8AB91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92" w:type="pct"/>
            <w:noWrap w:val="0"/>
            <w:vAlign w:val="center"/>
          </w:tcPr>
          <w:p w14:paraId="22BCF4E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42CD6EA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74" w:type="pct"/>
            <w:noWrap w:val="0"/>
            <w:vAlign w:val="center"/>
          </w:tcPr>
          <w:p w14:paraId="4FB4D1F1">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0DB8745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06" w:type="pct"/>
            <w:noWrap w:val="0"/>
            <w:vAlign w:val="center"/>
          </w:tcPr>
          <w:p w14:paraId="43DE4E6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7EF747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center"/>
          </w:tcPr>
          <w:p w14:paraId="14614ECF">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92" w:type="pct"/>
            <w:noWrap w:val="0"/>
            <w:vAlign w:val="center"/>
          </w:tcPr>
          <w:p w14:paraId="43D3F0D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7E86352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74" w:type="pct"/>
            <w:noWrap w:val="0"/>
            <w:vAlign w:val="center"/>
          </w:tcPr>
          <w:p w14:paraId="3414B07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35ED88A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06" w:type="pct"/>
            <w:noWrap w:val="0"/>
            <w:vAlign w:val="center"/>
          </w:tcPr>
          <w:p w14:paraId="556CD99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27CBF2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center"/>
          </w:tcPr>
          <w:p w14:paraId="3D903D9F">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92" w:type="pct"/>
            <w:noWrap w:val="0"/>
            <w:vAlign w:val="center"/>
          </w:tcPr>
          <w:p w14:paraId="5F2639A3">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27952F7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74" w:type="pct"/>
            <w:noWrap w:val="0"/>
            <w:vAlign w:val="center"/>
          </w:tcPr>
          <w:p w14:paraId="5CAE47BD">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4A1723F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06" w:type="pct"/>
            <w:noWrap w:val="0"/>
            <w:vAlign w:val="center"/>
          </w:tcPr>
          <w:p w14:paraId="38785C63">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69AA7D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center"/>
          </w:tcPr>
          <w:p w14:paraId="280A7981">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92" w:type="pct"/>
            <w:noWrap w:val="0"/>
            <w:vAlign w:val="center"/>
          </w:tcPr>
          <w:p w14:paraId="6DD262D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649004B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74" w:type="pct"/>
            <w:noWrap w:val="0"/>
            <w:vAlign w:val="center"/>
          </w:tcPr>
          <w:p w14:paraId="10276253">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751609B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06" w:type="pct"/>
            <w:noWrap w:val="0"/>
            <w:vAlign w:val="center"/>
          </w:tcPr>
          <w:p w14:paraId="5CA76CC0">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27993A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center"/>
          </w:tcPr>
          <w:p w14:paraId="0AD11BAE">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92" w:type="pct"/>
            <w:noWrap w:val="0"/>
            <w:vAlign w:val="center"/>
          </w:tcPr>
          <w:p w14:paraId="477C7B27">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119FC95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74" w:type="pct"/>
            <w:noWrap w:val="0"/>
            <w:vAlign w:val="center"/>
          </w:tcPr>
          <w:p w14:paraId="561FDF9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30C3AFB2">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06" w:type="pct"/>
            <w:noWrap w:val="0"/>
            <w:vAlign w:val="center"/>
          </w:tcPr>
          <w:p w14:paraId="4D8C7D4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150C3F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top"/>
          </w:tcPr>
          <w:p w14:paraId="4CF5218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92" w:type="pct"/>
            <w:noWrap w:val="0"/>
            <w:vAlign w:val="top"/>
          </w:tcPr>
          <w:p w14:paraId="0A591FF5">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75C6A06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74" w:type="pct"/>
            <w:noWrap w:val="0"/>
            <w:vAlign w:val="top"/>
          </w:tcPr>
          <w:p w14:paraId="73013012">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06427F84">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06" w:type="pct"/>
            <w:noWrap w:val="0"/>
            <w:vAlign w:val="top"/>
          </w:tcPr>
          <w:p w14:paraId="6820B2F0">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0E7C5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center"/>
          </w:tcPr>
          <w:p w14:paraId="3742D5C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92" w:type="pct"/>
            <w:noWrap w:val="0"/>
            <w:vAlign w:val="center"/>
          </w:tcPr>
          <w:p w14:paraId="1AA8F5C8">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5C22CA50">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74" w:type="pct"/>
            <w:noWrap w:val="0"/>
            <w:vAlign w:val="center"/>
          </w:tcPr>
          <w:p w14:paraId="77B2AC4A">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6" w:type="pct"/>
            <w:noWrap w:val="0"/>
            <w:vAlign w:val="center"/>
          </w:tcPr>
          <w:p w14:paraId="4B1B9156">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906" w:type="pct"/>
            <w:noWrap w:val="0"/>
            <w:vAlign w:val="center"/>
          </w:tcPr>
          <w:p w14:paraId="3FA5D695">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r w14:paraId="0C3B37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top"/>
          </w:tcPr>
          <w:p w14:paraId="0DED36B0">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92" w:type="pct"/>
            <w:noWrap w:val="0"/>
            <w:vAlign w:val="top"/>
          </w:tcPr>
          <w:p w14:paraId="5BF7FF55">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4B512F3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74" w:type="pct"/>
            <w:noWrap w:val="0"/>
            <w:vAlign w:val="top"/>
          </w:tcPr>
          <w:p w14:paraId="39ED55E7">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005ACA4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06" w:type="pct"/>
            <w:noWrap w:val="0"/>
            <w:vAlign w:val="top"/>
          </w:tcPr>
          <w:p w14:paraId="7B1FF5A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14B72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top"/>
          </w:tcPr>
          <w:p w14:paraId="126570B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92" w:type="pct"/>
            <w:noWrap w:val="0"/>
            <w:vAlign w:val="top"/>
          </w:tcPr>
          <w:p w14:paraId="412342B0">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5F10F64B">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74" w:type="pct"/>
            <w:noWrap w:val="0"/>
            <w:vAlign w:val="top"/>
          </w:tcPr>
          <w:p w14:paraId="20F346B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1C4BF6CE">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06" w:type="pct"/>
            <w:noWrap w:val="0"/>
            <w:vAlign w:val="top"/>
          </w:tcPr>
          <w:p w14:paraId="1A5EC51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75C9F5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top"/>
          </w:tcPr>
          <w:p w14:paraId="640E8883">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92" w:type="pct"/>
            <w:noWrap w:val="0"/>
            <w:vAlign w:val="top"/>
          </w:tcPr>
          <w:p w14:paraId="1517DFD3">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79E7EDC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74" w:type="pct"/>
            <w:noWrap w:val="0"/>
            <w:vAlign w:val="top"/>
          </w:tcPr>
          <w:p w14:paraId="088CCD9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6A08B6B4">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06" w:type="pct"/>
            <w:noWrap w:val="0"/>
            <w:vAlign w:val="top"/>
          </w:tcPr>
          <w:p w14:paraId="724A7A4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611FAC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top"/>
          </w:tcPr>
          <w:p w14:paraId="01C4070C">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92" w:type="pct"/>
            <w:noWrap w:val="0"/>
            <w:vAlign w:val="top"/>
          </w:tcPr>
          <w:p w14:paraId="1BC6C15C">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4C961F34">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74" w:type="pct"/>
            <w:noWrap w:val="0"/>
            <w:vAlign w:val="top"/>
          </w:tcPr>
          <w:p w14:paraId="4C443DBF">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6A70BB14">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06" w:type="pct"/>
            <w:noWrap w:val="0"/>
            <w:vAlign w:val="top"/>
          </w:tcPr>
          <w:p w14:paraId="334D26F3">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519C5C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top"/>
          </w:tcPr>
          <w:p w14:paraId="74BE7EF2">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92" w:type="pct"/>
            <w:noWrap w:val="0"/>
            <w:vAlign w:val="top"/>
          </w:tcPr>
          <w:p w14:paraId="551B2D15">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7F804CA0">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74" w:type="pct"/>
            <w:noWrap w:val="0"/>
            <w:vAlign w:val="top"/>
          </w:tcPr>
          <w:p w14:paraId="3EB48A5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72491BB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06" w:type="pct"/>
            <w:noWrap w:val="0"/>
            <w:vAlign w:val="top"/>
          </w:tcPr>
          <w:p w14:paraId="06EDABC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6F11D4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top"/>
          </w:tcPr>
          <w:p w14:paraId="231582B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92" w:type="pct"/>
            <w:noWrap w:val="0"/>
            <w:vAlign w:val="top"/>
          </w:tcPr>
          <w:p w14:paraId="75FD6ACF">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7EE2294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74" w:type="pct"/>
            <w:noWrap w:val="0"/>
            <w:vAlign w:val="top"/>
          </w:tcPr>
          <w:p w14:paraId="0D2CEB5F">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3F819E2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06" w:type="pct"/>
            <w:noWrap w:val="0"/>
            <w:vAlign w:val="top"/>
          </w:tcPr>
          <w:p w14:paraId="39152ED2">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180FD1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top"/>
          </w:tcPr>
          <w:p w14:paraId="4A29FFA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92" w:type="pct"/>
            <w:noWrap w:val="0"/>
            <w:vAlign w:val="top"/>
          </w:tcPr>
          <w:p w14:paraId="04DD6CFE">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0C87E231">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74" w:type="pct"/>
            <w:noWrap w:val="0"/>
            <w:vAlign w:val="top"/>
          </w:tcPr>
          <w:p w14:paraId="4EE829E3">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70EAEAE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06" w:type="pct"/>
            <w:noWrap w:val="0"/>
            <w:vAlign w:val="top"/>
          </w:tcPr>
          <w:p w14:paraId="52D3743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539E58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top"/>
          </w:tcPr>
          <w:p w14:paraId="18049AC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92" w:type="pct"/>
            <w:noWrap w:val="0"/>
            <w:vAlign w:val="top"/>
          </w:tcPr>
          <w:p w14:paraId="3D4336A0">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23D6481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74" w:type="pct"/>
            <w:noWrap w:val="0"/>
            <w:vAlign w:val="top"/>
          </w:tcPr>
          <w:p w14:paraId="781A37BC">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28BBF87D">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06" w:type="pct"/>
            <w:noWrap w:val="0"/>
            <w:vAlign w:val="top"/>
          </w:tcPr>
          <w:p w14:paraId="47B45F4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r w14:paraId="39E48B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53" w:type="pct"/>
            <w:noWrap w:val="0"/>
            <w:vAlign w:val="top"/>
          </w:tcPr>
          <w:p w14:paraId="0B085BC6">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92" w:type="pct"/>
            <w:noWrap w:val="0"/>
            <w:vAlign w:val="top"/>
          </w:tcPr>
          <w:p w14:paraId="05D3E263">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08A51EA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74" w:type="pct"/>
            <w:noWrap w:val="0"/>
            <w:vAlign w:val="top"/>
          </w:tcPr>
          <w:p w14:paraId="7D96C1B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86" w:type="pct"/>
            <w:noWrap w:val="0"/>
            <w:vAlign w:val="top"/>
          </w:tcPr>
          <w:p w14:paraId="32334E22">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c>
          <w:tcPr>
            <w:tcW w:w="906" w:type="pct"/>
            <w:noWrap w:val="0"/>
            <w:vAlign w:val="top"/>
          </w:tcPr>
          <w:p w14:paraId="48D6F1DC">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tc>
      </w:tr>
    </w:tbl>
    <w:p w14:paraId="63191A68">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73594CFA">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52248231">
      <w:pPr>
        <w:wordWrap/>
        <w:topLinePunct w:val="0"/>
        <w:rPr>
          <w:rFonts w:hint="eastAsia" w:ascii="宋体" w:hAnsi="宋体" w:eastAsia="宋体" w:cs="宋体"/>
          <w:color w:val="000000" w:themeColor="text1"/>
          <w:highlight w:val="none"/>
          <w14:textFill>
            <w14:solidFill>
              <w14:schemeClr w14:val="tx1"/>
            </w14:solidFill>
          </w14:textFill>
        </w:rPr>
        <w:sectPr>
          <w:pgSz w:w="11906" w:h="16838"/>
          <w:pgMar w:top="1440" w:right="1080" w:bottom="1440" w:left="1080" w:header="720" w:footer="998" w:gutter="0"/>
          <w:pgNumType w:fmt="decimal"/>
          <w:cols w:space="720" w:num="1"/>
          <w:docGrid w:linePitch="326" w:charSpace="0"/>
        </w:sectPr>
      </w:pPr>
    </w:p>
    <w:p w14:paraId="5FE5009A">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48" w:name="_Toc20171897"/>
      <w:bookmarkStart w:id="1349" w:name="_Toc54862356"/>
      <w:bookmarkStart w:id="1350" w:name="_Toc24051"/>
      <w:bookmarkStart w:id="1351" w:name="_Toc18250"/>
      <w:bookmarkStart w:id="1352" w:name="_Toc17470"/>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附件5 承包人主要管理人员表</w:t>
      </w:r>
      <w:bookmarkEnd w:id="1348"/>
      <w:bookmarkEnd w:id="1349"/>
      <w:bookmarkEnd w:id="1350"/>
      <w:bookmarkEnd w:id="1351"/>
      <w:bookmarkEnd w:id="1352"/>
    </w:p>
    <w:tbl>
      <w:tblPr>
        <w:tblStyle w:val="35"/>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621"/>
        <w:gridCol w:w="1528"/>
        <w:gridCol w:w="1220"/>
        <w:gridCol w:w="1220"/>
        <w:gridCol w:w="4203"/>
      </w:tblGrid>
      <w:tr w14:paraId="7A639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12" w:space="0"/>
              <w:bottom w:val="double" w:color="auto" w:sz="6" w:space="0"/>
            </w:tcBorders>
            <w:noWrap w:val="0"/>
            <w:vAlign w:val="center"/>
          </w:tcPr>
          <w:p w14:paraId="5D446DD0">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名    称</w:t>
            </w:r>
          </w:p>
        </w:tc>
        <w:tc>
          <w:tcPr>
            <w:tcW w:w="780" w:type="pct"/>
            <w:tcBorders>
              <w:top w:val="single" w:color="auto" w:sz="12" w:space="0"/>
              <w:bottom w:val="double" w:color="auto" w:sz="6" w:space="0"/>
            </w:tcBorders>
            <w:noWrap w:val="0"/>
            <w:vAlign w:val="center"/>
          </w:tcPr>
          <w:p w14:paraId="51621025">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姓名</w:t>
            </w:r>
          </w:p>
        </w:tc>
        <w:tc>
          <w:tcPr>
            <w:tcW w:w="623" w:type="pct"/>
            <w:tcBorders>
              <w:top w:val="single" w:color="auto" w:sz="12" w:space="0"/>
              <w:bottom w:val="double" w:color="auto" w:sz="6" w:space="0"/>
            </w:tcBorders>
            <w:noWrap w:val="0"/>
            <w:vAlign w:val="center"/>
          </w:tcPr>
          <w:p w14:paraId="787901BF">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职务</w:t>
            </w:r>
          </w:p>
        </w:tc>
        <w:tc>
          <w:tcPr>
            <w:tcW w:w="623" w:type="pct"/>
            <w:tcBorders>
              <w:top w:val="single" w:color="auto" w:sz="12" w:space="0"/>
              <w:bottom w:val="double" w:color="auto" w:sz="6" w:space="0"/>
            </w:tcBorders>
            <w:noWrap w:val="0"/>
            <w:vAlign w:val="center"/>
          </w:tcPr>
          <w:p w14:paraId="56A6DB00">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职称</w:t>
            </w:r>
          </w:p>
        </w:tc>
        <w:tc>
          <w:tcPr>
            <w:tcW w:w="2143" w:type="pct"/>
            <w:tcBorders>
              <w:top w:val="single" w:color="auto" w:sz="12" w:space="0"/>
              <w:bottom w:val="double" w:color="auto" w:sz="6" w:space="0"/>
            </w:tcBorders>
            <w:noWrap w:val="0"/>
            <w:vAlign w:val="center"/>
          </w:tcPr>
          <w:p w14:paraId="1F939038">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主要资历、经验及承担过的项目</w:t>
            </w:r>
          </w:p>
        </w:tc>
      </w:tr>
      <w:tr w14:paraId="02936A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double" w:color="auto" w:sz="6" w:space="0"/>
              <w:bottom w:val="single" w:color="auto" w:sz="6" w:space="0"/>
            </w:tcBorders>
            <w:noWrap w:val="0"/>
            <w:vAlign w:val="center"/>
          </w:tcPr>
          <w:p w14:paraId="48028767">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一、总部人员</w:t>
            </w:r>
          </w:p>
        </w:tc>
      </w:tr>
      <w:tr w14:paraId="427178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nil"/>
              <w:bottom w:val="nil"/>
            </w:tcBorders>
            <w:noWrap w:val="0"/>
            <w:vAlign w:val="center"/>
          </w:tcPr>
          <w:p w14:paraId="2136541F">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项目主管</w:t>
            </w:r>
          </w:p>
        </w:tc>
        <w:tc>
          <w:tcPr>
            <w:tcW w:w="780" w:type="pct"/>
            <w:tcBorders>
              <w:top w:val="nil"/>
            </w:tcBorders>
            <w:noWrap w:val="0"/>
            <w:vAlign w:val="center"/>
          </w:tcPr>
          <w:p w14:paraId="6AA79CFC">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tcBorders>
              <w:top w:val="nil"/>
            </w:tcBorders>
            <w:noWrap w:val="0"/>
            <w:vAlign w:val="center"/>
          </w:tcPr>
          <w:p w14:paraId="49A7EC9C">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tcBorders>
              <w:top w:val="nil"/>
            </w:tcBorders>
            <w:noWrap w:val="0"/>
            <w:vAlign w:val="center"/>
          </w:tcPr>
          <w:p w14:paraId="43E75AF7">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tcBorders>
              <w:top w:val="nil"/>
            </w:tcBorders>
            <w:noWrap w:val="0"/>
            <w:vAlign w:val="center"/>
          </w:tcPr>
          <w:p w14:paraId="7F2C76E9">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02863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nil"/>
            </w:tcBorders>
            <w:noWrap w:val="0"/>
            <w:vAlign w:val="center"/>
          </w:tcPr>
          <w:p w14:paraId="08D39A82">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780" w:type="pct"/>
            <w:noWrap w:val="0"/>
            <w:vAlign w:val="center"/>
          </w:tcPr>
          <w:p w14:paraId="05D19DA6">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1DA7444F">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746B426A">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51BB5388">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09A739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nil"/>
              <w:bottom w:val="nil"/>
            </w:tcBorders>
            <w:noWrap w:val="0"/>
            <w:vAlign w:val="center"/>
          </w:tcPr>
          <w:p w14:paraId="14A1FE63">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其他人员</w:t>
            </w:r>
          </w:p>
        </w:tc>
        <w:tc>
          <w:tcPr>
            <w:tcW w:w="780" w:type="pct"/>
            <w:noWrap w:val="0"/>
            <w:vAlign w:val="center"/>
          </w:tcPr>
          <w:p w14:paraId="2C48CA5D">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539F1C5E">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0A5D7E2E">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7EA4D4A2">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4EF76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nil"/>
              <w:bottom w:val="nil"/>
            </w:tcBorders>
            <w:noWrap w:val="0"/>
            <w:vAlign w:val="center"/>
          </w:tcPr>
          <w:p w14:paraId="7A2DA91A">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780" w:type="pct"/>
            <w:noWrap w:val="0"/>
            <w:vAlign w:val="center"/>
          </w:tcPr>
          <w:p w14:paraId="5D1E8AF1">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79D6551A">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0832B876">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3A1FA621">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4CE33A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single" w:color="auto" w:sz="6" w:space="0"/>
              <w:bottom w:val="single" w:color="auto" w:sz="6" w:space="0"/>
            </w:tcBorders>
            <w:noWrap w:val="0"/>
            <w:vAlign w:val="center"/>
          </w:tcPr>
          <w:p w14:paraId="5E43F4FC">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二、现场人员</w:t>
            </w:r>
          </w:p>
        </w:tc>
      </w:tr>
      <w:tr w14:paraId="111D8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2E4F1251">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工程总承包</w:t>
            </w:r>
          </w:p>
          <w:p w14:paraId="2C76E562">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项目经理</w:t>
            </w:r>
          </w:p>
        </w:tc>
        <w:tc>
          <w:tcPr>
            <w:tcW w:w="780" w:type="pct"/>
            <w:noWrap w:val="0"/>
            <w:vAlign w:val="center"/>
          </w:tcPr>
          <w:p w14:paraId="18C1B293">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088D8D78">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1D81466D">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7F1451BA">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p w14:paraId="17F19235">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5A0E99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2841D621">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项目副经理</w:t>
            </w:r>
          </w:p>
        </w:tc>
        <w:tc>
          <w:tcPr>
            <w:tcW w:w="780" w:type="pct"/>
            <w:noWrap w:val="0"/>
            <w:vAlign w:val="center"/>
          </w:tcPr>
          <w:p w14:paraId="0DF14FCA">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7B3A648F">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74B3EDBD">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1C63CCF6">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285AA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374EBF8F">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设计项目负责人</w:t>
            </w:r>
          </w:p>
        </w:tc>
        <w:tc>
          <w:tcPr>
            <w:tcW w:w="780" w:type="pct"/>
            <w:noWrap w:val="0"/>
            <w:vAlign w:val="center"/>
          </w:tcPr>
          <w:p w14:paraId="6028E827">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354015F1">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77F6CDD2">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1767A89D">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261278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0AA5BDFF">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采购负责人</w:t>
            </w:r>
          </w:p>
        </w:tc>
        <w:tc>
          <w:tcPr>
            <w:tcW w:w="780" w:type="pct"/>
            <w:noWrap w:val="0"/>
            <w:vAlign w:val="center"/>
          </w:tcPr>
          <w:p w14:paraId="04A4447D">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02D6F037">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6DE376A0">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3798B2D0">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0990D6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356B1958">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施工项目负责人</w:t>
            </w:r>
          </w:p>
        </w:tc>
        <w:tc>
          <w:tcPr>
            <w:tcW w:w="780" w:type="pct"/>
            <w:noWrap w:val="0"/>
            <w:vAlign w:val="center"/>
          </w:tcPr>
          <w:p w14:paraId="54A75299">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3C7F9761">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15F2A9B4">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53A605F8">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14AF6C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6258F095">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技术负责人</w:t>
            </w:r>
          </w:p>
        </w:tc>
        <w:tc>
          <w:tcPr>
            <w:tcW w:w="780" w:type="pct"/>
            <w:noWrap w:val="0"/>
            <w:vAlign w:val="center"/>
          </w:tcPr>
          <w:p w14:paraId="42AC2EA3">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53ECE90C">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02E9BEAD">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3FCB946F">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753478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2AE17856">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造价管理</w:t>
            </w:r>
          </w:p>
        </w:tc>
        <w:tc>
          <w:tcPr>
            <w:tcW w:w="780" w:type="pct"/>
            <w:noWrap w:val="0"/>
            <w:vAlign w:val="center"/>
          </w:tcPr>
          <w:p w14:paraId="0B8BF69C">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527D8DC0">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49A47429">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4D757440">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6D978C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18B255B9">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质量管理</w:t>
            </w:r>
          </w:p>
        </w:tc>
        <w:tc>
          <w:tcPr>
            <w:tcW w:w="780" w:type="pct"/>
            <w:noWrap w:val="0"/>
            <w:vAlign w:val="center"/>
          </w:tcPr>
          <w:p w14:paraId="222E8BD0">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0E1EF457">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45E3F7D4">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1C1748F1">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274C6D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0FD4F9BA">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计划管理</w:t>
            </w:r>
          </w:p>
        </w:tc>
        <w:tc>
          <w:tcPr>
            <w:tcW w:w="780" w:type="pct"/>
            <w:noWrap w:val="0"/>
            <w:vAlign w:val="center"/>
          </w:tcPr>
          <w:p w14:paraId="4A2061E4">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54B3927D">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52958A67">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7E1530B3">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5A6662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48EB42E7">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安全管理</w:t>
            </w:r>
          </w:p>
        </w:tc>
        <w:tc>
          <w:tcPr>
            <w:tcW w:w="780" w:type="pct"/>
            <w:noWrap w:val="0"/>
            <w:vAlign w:val="center"/>
          </w:tcPr>
          <w:p w14:paraId="13C9D423">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28D7DCDE">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3B5F633C">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607A372B">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5703D2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tcBorders>
              <w:top w:val="single" w:color="auto" w:sz="6" w:space="0"/>
              <w:bottom w:val="single" w:color="auto" w:sz="6" w:space="0"/>
            </w:tcBorders>
            <w:noWrap w:val="0"/>
            <w:vAlign w:val="center"/>
          </w:tcPr>
          <w:p w14:paraId="1F58668B">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环境管理</w:t>
            </w:r>
          </w:p>
        </w:tc>
        <w:tc>
          <w:tcPr>
            <w:tcW w:w="780" w:type="pct"/>
            <w:noWrap w:val="0"/>
            <w:vAlign w:val="center"/>
          </w:tcPr>
          <w:p w14:paraId="0132BDAE">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09BF2760">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3AADD79D">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24FE54DC">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63274A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vMerge w:val="restart"/>
            <w:tcBorders>
              <w:top w:val="single" w:color="auto" w:sz="6" w:space="0"/>
            </w:tcBorders>
            <w:noWrap w:val="0"/>
            <w:vAlign w:val="center"/>
          </w:tcPr>
          <w:p w14:paraId="5E28E2C8">
            <w:pPr>
              <w:widowControl w:val="0"/>
              <w:wordWrap/>
              <w:topLinePunct w:val="0"/>
              <w:autoSpaceDE w:val="0"/>
              <w:autoSpaceDN w:val="0"/>
              <w:spacing w:after="0" w:afterLines="0" w:line="360" w:lineRule="auto"/>
              <w:ind w:firstLine="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t>其他人员</w:t>
            </w:r>
          </w:p>
        </w:tc>
        <w:tc>
          <w:tcPr>
            <w:tcW w:w="780" w:type="pct"/>
            <w:noWrap w:val="0"/>
            <w:vAlign w:val="center"/>
          </w:tcPr>
          <w:p w14:paraId="5248B802">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42452A39">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4286FC81">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040EA6BD">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3D7727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vMerge w:val="continue"/>
            <w:noWrap w:val="0"/>
            <w:vAlign w:val="center"/>
          </w:tcPr>
          <w:p w14:paraId="36A01F5D">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780" w:type="pct"/>
            <w:tcBorders>
              <w:bottom w:val="nil"/>
            </w:tcBorders>
            <w:noWrap w:val="0"/>
            <w:vAlign w:val="center"/>
          </w:tcPr>
          <w:p w14:paraId="2E6AF34A">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tcBorders>
              <w:bottom w:val="nil"/>
            </w:tcBorders>
            <w:noWrap w:val="0"/>
            <w:vAlign w:val="center"/>
          </w:tcPr>
          <w:p w14:paraId="3A8C0597">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tcBorders>
              <w:bottom w:val="nil"/>
            </w:tcBorders>
            <w:noWrap w:val="0"/>
            <w:vAlign w:val="center"/>
          </w:tcPr>
          <w:p w14:paraId="5716AD7F">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tcBorders>
              <w:bottom w:val="nil"/>
            </w:tcBorders>
            <w:noWrap w:val="0"/>
            <w:vAlign w:val="center"/>
          </w:tcPr>
          <w:p w14:paraId="0260A2C2">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21A7B8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vMerge w:val="continue"/>
            <w:noWrap w:val="0"/>
            <w:vAlign w:val="center"/>
          </w:tcPr>
          <w:p w14:paraId="43AC2A68">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780" w:type="pct"/>
            <w:noWrap w:val="0"/>
            <w:vAlign w:val="center"/>
          </w:tcPr>
          <w:p w14:paraId="1D9F49BC">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1C54DA7C">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43FC46A7">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1D48E740">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4ACC3D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vMerge w:val="continue"/>
            <w:noWrap w:val="0"/>
            <w:vAlign w:val="center"/>
          </w:tcPr>
          <w:p w14:paraId="75A31463">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780" w:type="pct"/>
            <w:noWrap w:val="0"/>
            <w:vAlign w:val="center"/>
          </w:tcPr>
          <w:p w14:paraId="655AFC25">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20E15E2B">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0BE6908C">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3B340F98">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1E2729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vMerge w:val="continue"/>
            <w:noWrap w:val="0"/>
            <w:vAlign w:val="center"/>
          </w:tcPr>
          <w:p w14:paraId="18DA4EB8">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780" w:type="pct"/>
            <w:noWrap w:val="0"/>
            <w:vAlign w:val="center"/>
          </w:tcPr>
          <w:p w14:paraId="73410776">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4B473592">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623" w:type="pct"/>
            <w:noWrap w:val="0"/>
            <w:vAlign w:val="center"/>
          </w:tcPr>
          <w:p w14:paraId="2F795063">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c>
          <w:tcPr>
            <w:tcW w:w="2143" w:type="pct"/>
            <w:noWrap w:val="0"/>
            <w:vAlign w:val="center"/>
          </w:tcPr>
          <w:p w14:paraId="1FAFF106">
            <w:pPr>
              <w:widowControl w:val="0"/>
              <w:wordWrap/>
              <w:topLinePunct w:val="0"/>
              <w:autoSpaceDE w:val="0"/>
              <w:autoSpaceDN w:val="0"/>
              <w:spacing w:after="0" w:afterLines="0" w:line="360" w:lineRule="auto"/>
              <w:ind w:firstLine="420" w:firstLineChars="0"/>
              <w:jc w:val="center"/>
              <w:rPr>
                <w:rFonts w:hint="eastAsia" w:ascii="宋体" w:hAnsi="宋体" w:eastAsia="宋体" w:cs="宋体"/>
                <w:color w:val="000000" w:themeColor="text1"/>
                <w:kern w:val="0"/>
                <w:sz w:val="21"/>
                <w:szCs w:val="21"/>
                <w:highlight w:val="none"/>
                <w:lang w:val="zh-CN" w:eastAsia="zh-CN" w:bidi="zh-CN"/>
                <w14:textFill>
                  <w14:solidFill>
                    <w14:schemeClr w14:val="tx1"/>
                  </w14:solidFill>
                </w14:textFill>
              </w:rPr>
            </w:pPr>
          </w:p>
        </w:tc>
      </w:tr>
      <w:tr w14:paraId="075B65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28" w:type="pct"/>
            <w:vMerge w:val="continue"/>
            <w:tcBorders>
              <w:bottom w:val="single" w:color="auto" w:sz="12" w:space="0"/>
            </w:tcBorders>
            <w:noWrap w:val="0"/>
            <w:vAlign w:val="center"/>
          </w:tcPr>
          <w:p w14:paraId="0D2009E9">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780" w:type="pct"/>
            <w:tcBorders>
              <w:bottom w:val="single" w:color="auto" w:sz="12" w:space="0"/>
            </w:tcBorders>
            <w:noWrap w:val="0"/>
            <w:vAlign w:val="center"/>
          </w:tcPr>
          <w:p w14:paraId="41EC1474">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23" w:type="pct"/>
            <w:tcBorders>
              <w:bottom w:val="single" w:color="auto" w:sz="12" w:space="0"/>
            </w:tcBorders>
            <w:noWrap w:val="0"/>
            <w:vAlign w:val="center"/>
          </w:tcPr>
          <w:p w14:paraId="31800BA3">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623" w:type="pct"/>
            <w:tcBorders>
              <w:bottom w:val="single" w:color="auto" w:sz="12" w:space="0"/>
            </w:tcBorders>
            <w:noWrap w:val="0"/>
            <w:vAlign w:val="center"/>
          </w:tcPr>
          <w:p w14:paraId="4F892E4D">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c>
          <w:tcPr>
            <w:tcW w:w="2143" w:type="pct"/>
            <w:tcBorders>
              <w:bottom w:val="single" w:color="auto" w:sz="12" w:space="0"/>
            </w:tcBorders>
            <w:noWrap w:val="0"/>
            <w:vAlign w:val="center"/>
          </w:tcPr>
          <w:p w14:paraId="68C53C50">
            <w:pPr>
              <w:widowControl w:val="0"/>
              <w:wordWrap/>
              <w:topLinePunct w:val="0"/>
              <w:autoSpaceDE w:val="0"/>
              <w:autoSpaceDN w:val="0"/>
              <w:spacing w:line="360" w:lineRule="auto"/>
              <w:ind w:firstLine="0" w:firstLineChars="0"/>
              <w:jc w:val="center"/>
              <w:rPr>
                <w:rFonts w:hint="eastAsia" w:ascii="宋体" w:hAnsi="宋体" w:eastAsia="宋体" w:cs="宋体"/>
                <w:color w:val="000000" w:themeColor="text1"/>
                <w:kern w:val="0"/>
                <w:sz w:val="24"/>
                <w:szCs w:val="24"/>
                <w:highlight w:val="none"/>
                <w:lang w:val="zh-CN" w:eastAsia="zh-CN" w:bidi="zh-CN"/>
                <w14:textFill>
                  <w14:solidFill>
                    <w14:schemeClr w14:val="tx1"/>
                  </w14:solidFill>
                </w14:textFill>
              </w:rPr>
            </w:pPr>
          </w:p>
        </w:tc>
      </w:tr>
    </w:tbl>
    <w:p w14:paraId="411682A6">
      <w:pPr>
        <w:rPr>
          <w:rFonts w:hint="eastAsia" w:ascii="宋体" w:hAnsi="宋体" w:eastAsia="宋体" w:cs="宋体"/>
          <w:color w:val="000000" w:themeColor="text1"/>
          <w:kern w:val="0"/>
          <w:sz w:val="24"/>
          <w:szCs w:val="24"/>
          <w:highlight w:val="none"/>
          <w14:textFill>
            <w14:solidFill>
              <w14:schemeClr w14:val="tx1"/>
            </w14:solidFill>
          </w14:textFill>
        </w:rPr>
      </w:pPr>
      <w:bookmarkStart w:id="1353" w:name="_Toc54862357"/>
      <w:r>
        <w:rPr>
          <w:rFonts w:hint="eastAsia" w:ascii="宋体" w:hAnsi="宋体" w:eastAsia="宋体" w:cs="宋体"/>
          <w:color w:val="000000" w:themeColor="text1"/>
          <w:kern w:val="0"/>
          <w:sz w:val="24"/>
          <w:szCs w:val="24"/>
          <w:highlight w:val="none"/>
          <w14:textFill>
            <w14:solidFill>
              <w14:schemeClr w14:val="tx1"/>
            </w14:solidFill>
          </w14:textFill>
        </w:rPr>
        <w:br w:type="page"/>
      </w:r>
    </w:p>
    <w:p w14:paraId="105BEC67">
      <w:pPr>
        <w:keepNext/>
        <w:keepLines/>
        <w:widowControl w:val="0"/>
        <w:wordWrap w:val="0"/>
        <w:bidi w:val="0"/>
        <w:spacing w:line="360" w:lineRule="auto"/>
        <w:ind w:firstLine="562" w:firstLineChars="200"/>
        <w:jc w:val="both"/>
        <w:outlineLvl w:val="2"/>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pPr>
      <w:bookmarkStart w:id="1354" w:name="_Toc8885"/>
      <w:bookmarkStart w:id="1355" w:name="_Toc8225"/>
      <w:bookmarkStart w:id="1356" w:name="_Toc24887"/>
      <w:r>
        <w:rPr>
          <w:rFonts w:hint="eastAsia" w:ascii="宋体" w:hAnsi="宋体" w:eastAsia="宋体" w:cs="宋体"/>
          <w:b/>
          <w:bCs/>
          <w:color w:val="000000" w:themeColor="text1"/>
          <w:kern w:val="2"/>
          <w:sz w:val="28"/>
          <w:szCs w:val="32"/>
          <w:highlight w:val="none"/>
          <w:lang w:val="zh-CN" w:eastAsia="zh-CN" w:bidi="ar-SA"/>
          <w14:textFill>
            <w14:solidFill>
              <w14:schemeClr w14:val="tx1"/>
            </w14:solidFill>
          </w14:textFill>
        </w:rPr>
        <w:t>附件6 价格指数权重表</w:t>
      </w:r>
      <w:bookmarkEnd w:id="1353"/>
      <w:bookmarkEnd w:id="1354"/>
      <w:bookmarkEnd w:id="1355"/>
      <w:bookmarkEnd w:id="1356"/>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689"/>
        <w:gridCol w:w="1039"/>
        <w:gridCol w:w="1438"/>
        <w:gridCol w:w="1278"/>
        <w:gridCol w:w="1438"/>
        <w:gridCol w:w="1456"/>
        <w:gridCol w:w="1633"/>
      </w:tblGrid>
      <w:tr w14:paraId="71FB4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493" w:type="pct"/>
            <w:vMerge w:val="restart"/>
            <w:shd w:val="clear" w:color="auto" w:fill="auto"/>
            <w:noWrap w:val="0"/>
            <w:vAlign w:val="top"/>
          </w:tcPr>
          <w:p w14:paraId="7C6B5080">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序号</w:t>
            </w:r>
          </w:p>
        </w:tc>
        <w:tc>
          <w:tcPr>
            <w:tcW w:w="868" w:type="pct"/>
            <w:gridSpan w:val="2"/>
            <w:vMerge w:val="restart"/>
            <w:shd w:val="clear" w:color="auto" w:fill="auto"/>
            <w:noWrap w:val="0"/>
            <w:vAlign w:val="top"/>
          </w:tcPr>
          <w:p w14:paraId="08A40931">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名称</w:t>
            </w:r>
          </w:p>
        </w:tc>
        <w:tc>
          <w:tcPr>
            <w:tcW w:w="1364" w:type="pct"/>
            <w:gridSpan w:val="2"/>
            <w:shd w:val="clear" w:color="auto" w:fill="auto"/>
            <w:noWrap w:val="0"/>
            <w:vAlign w:val="top"/>
          </w:tcPr>
          <w:p w14:paraId="0652F725">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变更权重B</w:t>
            </w:r>
          </w:p>
        </w:tc>
        <w:tc>
          <w:tcPr>
            <w:tcW w:w="1453" w:type="pct"/>
            <w:gridSpan w:val="2"/>
            <w:shd w:val="clear" w:color="auto" w:fill="auto"/>
            <w:noWrap w:val="0"/>
            <w:vAlign w:val="top"/>
          </w:tcPr>
          <w:p w14:paraId="3114CB28">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基本价格指数F0</w:t>
            </w:r>
          </w:p>
        </w:tc>
        <w:tc>
          <w:tcPr>
            <w:tcW w:w="820" w:type="pct"/>
            <w:shd w:val="clear" w:color="auto" w:fill="auto"/>
            <w:noWrap w:val="0"/>
            <w:vAlign w:val="top"/>
          </w:tcPr>
          <w:p w14:paraId="1705E848">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备注</w:t>
            </w:r>
          </w:p>
        </w:tc>
      </w:tr>
      <w:tr w14:paraId="6DF92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93" w:type="pct"/>
            <w:vMerge w:val="continue"/>
            <w:shd w:val="clear" w:color="auto" w:fill="auto"/>
            <w:noWrap w:val="0"/>
            <w:vAlign w:val="top"/>
          </w:tcPr>
          <w:p w14:paraId="0AC156AE">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868" w:type="pct"/>
            <w:gridSpan w:val="2"/>
            <w:vMerge w:val="continue"/>
            <w:shd w:val="clear" w:color="auto" w:fill="auto"/>
            <w:noWrap w:val="0"/>
            <w:vAlign w:val="top"/>
          </w:tcPr>
          <w:p w14:paraId="18901C92">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4BD2F98E">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代号</w:t>
            </w:r>
          </w:p>
        </w:tc>
        <w:tc>
          <w:tcPr>
            <w:tcW w:w="642" w:type="pct"/>
            <w:shd w:val="clear" w:color="auto" w:fill="auto"/>
            <w:noWrap w:val="0"/>
            <w:vAlign w:val="top"/>
          </w:tcPr>
          <w:p w14:paraId="5C549AF0">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权重</w:t>
            </w:r>
          </w:p>
        </w:tc>
        <w:tc>
          <w:tcPr>
            <w:tcW w:w="722" w:type="pct"/>
            <w:shd w:val="clear" w:color="auto" w:fill="auto"/>
            <w:noWrap w:val="0"/>
            <w:vAlign w:val="top"/>
          </w:tcPr>
          <w:p w14:paraId="3EEF861B">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代号</w:t>
            </w:r>
          </w:p>
        </w:tc>
        <w:tc>
          <w:tcPr>
            <w:tcW w:w="731" w:type="pct"/>
            <w:shd w:val="clear" w:color="auto" w:fill="auto"/>
            <w:noWrap w:val="0"/>
            <w:vAlign w:val="top"/>
          </w:tcPr>
          <w:p w14:paraId="7F655DD1">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指数</w:t>
            </w:r>
          </w:p>
        </w:tc>
        <w:tc>
          <w:tcPr>
            <w:tcW w:w="820" w:type="pct"/>
            <w:shd w:val="clear" w:color="auto" w:fill="auto"/>
            <w:noWrap w:val="0"/>
            <w:vAlign w:val="top"/>
          </w:tcPr>
          <w:p w14:paraId="4D34669D">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r>
      <w:tr w14:paraId="0EC4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shd w:val="clear" w:color="auto" w:fill="auto"/>
            <w:noWrap w:val="0"/>
            <w:vAlign w:val="top"/>
          </w:tcPr>
          <w:p w14:paraId="3894A102">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346" w:type="pct"/>
            <w:vMerge w:val="restart"/>
            <w:shd w:val="clear" w:color="auto" w:fill="auto"/>
            <w:noWrap w:val="0"/>
            <w:vAlign w:val="top"/>
          </w:tcPr>
          <w:p w14:paraId="1004DAAD">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变</w:t>
            </w:r>
          </w:p>
          <w:p w14:paraId="62437562">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值</w:t>
            </w:r>
          </w:p>
          <w:p w14:paraId="0FC0BC95">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部</w:t>
            </w:r>
          </w:p>
          <w:p w14:paraId="6C78E8B8">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分</w:t>
            </w:r>
          </w:p>
        </w:tc>
        <w:tc>
          <w:tcPr>
            <w:tcW w:w="521" w:type="pct"/>
            <w:shd w:val="clear" w:color="auto" w:fill="auto"/>
            <w:noWrap w:val="0"/>
            <w:vAlign w:val="top"/>
          </w:tcPr>
          <w:p w14:paraId="70838BDA">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71AF5100">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B1</w:t>
            </w:r>
          </w:p>
        </w:tc>
        <w:tc>
          <w:tcPr>
            <w:tcW w:w="642" w:type="pct"/>
            <w:shd w:val="clear" w:color="auto" w:fill="auto"/>
            <w:noWrap w:val="0"/>
            <w:vAlign w:val="top"/>
          </w:tcPr>
          <w:p w14:paraId="7CE8C4F4">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17F9143C">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F01</w:t>
            </w:r>
          </w:p>
        </w:tc>
        <w:tc>
          <w:tcPr>
            <w:tcW w:w="731" w:type="pct"/>
            <w:shd w:val="clear" w:color="auto" w:fill="auto"/>
            <w:noWrap w:val="0"/>
            <w:vAlign w:val="top"/>
          </w:tcPr>
          <w:p w14:paraId="507B12DF">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820" w:type="pct"/>
            <w:shd w:val="clear" w:color="auto" w:fill="auto"/>
            <w:noWrap w:val="0"/>
            <w:vAlign w:val="top"/>
          </w:tcPr>
          <w:p w14:paraId="7107042A">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r>
      <w:tr w14:paraId="2848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shd w:val="clear" w:color="auto" w:fill="auto"/>
            <w:noWrap w:val="0"/>
            <w:vAlign w:val="top"/>
          </w:tcPr>
          <w:p w14:paraId="427FD0FA">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346" w:type="pct"/>
            <w:vMerge w:val="continue"/>
            <w:shd w:val="clear" w:color="auto" w:fill="auto"/>
            <w:noWrap w:val="0"/>
            <w:vAlign w:val="top"/>
          </w:tcPr>
          <w:p w14:paraId="59D56A08">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21" w:type="pct"/>
            <w:shd w:val="clear" w:color="auto" w:fill="auto"/>
            <w:noWrap w:val="0"/>
            <w:vAlign w:val="top"/>
          </w:tcPr>
          <w:p w14:paraId="3C2E1C20">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78A3D650">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B2</w:t>
            </w:r>
          </w:p>
        </w:tc>
        <w:tc>
          <w:tcPr>
            <w:tcW w:w="642" w:type="pct"/>
            <w:shd w:val="clear" w:color="auto" w:fill="auto"/>
            <w:noWrap w:val="0"/>
            <w:vAlign w:val="top"/>
          </w:tcPr>
          <w:p w14:paraId="0EC9A002">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43C5F526">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F02</w:t>
            </w:r>
          </w:p>
        </w:tc>
        <w:tc>
          <w:tcPr>
            <w:tcW w:w="731" w:type="pct"/>
            <w:shd w:val="clear" w:color="auto" w:fill="auto"/>
            <w:noWrap w:val="0"/>
            <w:vAlign w:val="top"/>
          </w:tcPr>
          <w:p w14:paraId="5BEC4FC7">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820" w:type="pct"/>
            <w:shd w:val="clear" w:color="auto" w:fill="auto"/>
            <w:noWrap w:val="0"/>
            <w:vAlign w:val="top"/>
          </w:tcPr>
          <w:p w14:paraId="25461D96">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r>
      <w:tr w14:paraId="56FEA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shd w:val="clear" w:color="auto" w:fill="auto"/>
            <w:noWrap w:val="0"/>
            <w:vAlign w:val="top"/>
          </w:tcPr>
          <w:p w14:paraId="0ADA98CE">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346" w:type="pct"/>
            <w:vMerge w:val="continue"/>
            <w:shd w:val="clear" w:color="auto" w:fill="auto"/>
            <w:noWrap w:val="0"/>
            <w:vAlign w:val="top"/>
          </w:tcPr>
          <w:p w14:paraId="1C8E36EA">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21" w:type="pct"/>
            <w:shd w:val="clear" w:color="auto" w:fill="auto"/>
            <w:noWrap w:val="0"/>
            <w:vAlign w:val="top"/>
          </w:tcPr>
          <w:p w14:paraId="7293FE2F">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13DB513D">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B3</w:t>
            </w:r>
          </w:p>
        </w:tc>
        <w:tc>
          <w:tcPr>
            <w:tcW w:w="642" w:type="pct"/>
            <w:shd w:val="clear" w:color="auto" w:fill="auto"/>
            <w:noWrap w:val="0"/>
            <w:vAlign w:val="top"/>
          </w:tcPr>
          <w:p w14:paraId="7A0E0689">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2147A742">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F03</w:t>
            </w:r>
          </w:p>
        </w:tc>
        <w:tc>
          <w:tcPr>
            <w:tcW w:w="731" w:type="pct"/>
            <w:shd w:val="clear" w:color="auto" w:fill="auto"/>
            <w:noWrap w:val="0"/>
            <w:vAlign w:val="top"/>
          </w:tcPr>
          <w:p w14:paraId="0ABE8FEF">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820" w:type="pct"/>
            <w:shd w:val="clear" w:color="auto" w:fill="auto"/>
            <w:noWrap w:val="0"/>
            <w:vAlign w:val="top"/>
          </w:tcPr>
          <w:p w14:paraId="1575D948">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r>
      <w:tr w14:paraId="7C259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shd w:val="clear" w:color="auto" w:fill="auto"/>
            <w:noWrap w:val="0"/>
            <w:vAlign w:val="top"/>
          </w:tcPr>
          <w:p w14:paraId="458245AB">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346" w:type="pct"/>
            <w:vMerge w:val="continue"/>
            <w:shd w:val="clear" w:color="auto" w:fill="auto"/>
            <w:noWrap w:val="0"/>
            <w:vAlign w:val="top"/>
          </w:tcPr>
          <w:p w14:paraId="7F0FD057">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21" w:type="pct"/>
            <w:shd w:val="clear" w:color="auto" w:fill="auto"/>
            <w:noWrap w:val="0"/>
            <w:vAlign w:val="top"/>
          </w:tcPr>
          <w:p w14:paraId="7AE7BBF0">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18ECF0AF">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B4</w:t>
            </w:r>
          </w:p>
        </w:tc>
        <w:tc>
          <w:tcPr>
            <w:tcW w:w="642" w:type="pct"/>
            <w:shd w:val="clear" w:color="auto" w:fill="auto"/>
            <w:noWrap w:val="0"/>
            <w:vAlign w:val="top"/>
          </w:tcPr>
          <w:p w14:paraId="05A35509">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78ACFF83">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F04</w:t>
            </w:r>
          </w:p>
        </w:tc>
        <w:tc>
          <w:tcPr>
            <w:tcW w:w="731" w:type="pct"/>
            <w:shd w:val="clear" w:color="auto" w:fill="auto"/>
            <w:noWrap w:val="0"/>
            <w:vAlign w:val="top"/>
          </w:tcPr>
          <w:p w14:paraId="52983467">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820" w:type="pct"/>
            <w:shd w:val="clear" w:color="auto" w:fill="auto"/>
            <w:noWrap w:val="0"/>
            <w:vAlign w:val="top"/>
          </w:tcPr>
          <w:p w14:paraId="023D1CA5">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r>
      <w:tr w14:paraId="5292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shd w:val="clear" w:color="auto" w:fill="auto"/>
            <w:noWrap w:val="0"/>
            <w:vAlign w:val="top"/>
          </w:tcPr>
          <w:p w14:paraId="4C68E1A3">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346" w:type="pct"/>
            <w:vMerge w:val="continue"/>
            <w:shd w:val="clear" w:color="auto" w:fill="auto"/>
            <w:noWrap w:val="0"/>
            <w:vAlign w:val="top"/>
          </w:tcPr>
          <w:p w14:paraId="42107AE3">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21" w:type="pct"/>
            <w:shd w:val="clear" w:color="auto" w:fill="auto"/>
            <w:noWrap w:val="0"/>
            <w:vAlign w:val="top"/>
          </w:tcPr>
          <w:p w14:paraId="7174DFD4">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10794801">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42" w:type="pct"/>
            <w:shd w:val="clear" w:color="auto" w:fill="auto"/>
            <w:noWrap w:val="0"/>
            <w:vAlign w:val="top"/>
          </w:tcPr>
          <w:p w14:paraId="69F697CF">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5739E127">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31" w:type="pct"/>
            <w:shd w:val="clear" w:color="auto" w:fill="auto"/>
            <w:noWrap w:val="0"/>
            <w:vAlign w:val="top"/>
          </w:tcPr>
          <w:p w14:paraId="31870E0E">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820" w:type="pct"/>
            <w:shd w:val="clear" w:color="auto" w:fill="auto"/>
            <w:noWrap w:val="0"/>
            <w:vAlign w:val="top"/>
          </w:tcPr>
          <w:p w14:paraId="7E0ECF0F">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r>
      <w:tr w14:paraId="1C49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shd w:val="clear" w:color="auto" w:fill="auto"/>
            <w:noWrap w:val="0"/>
            <w:vAlign w:val="top"/>
          </w:tcPr>
          <w:p w14:paraId="5F9C4798">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346" w:type="pct"/>
            <w:vMerge w:val="continue"/>
            <w:shd w:val="clear" w:color="auto" w:fill="auto"/>
            <w:noWrap w:val="0"/>
            <w:vAlign w:val="top"/>
          </w:tcPr>
          <w:p w14:paraId="2D36A674">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521" w:type="pct"/>
            <w:shd w:val="clear" w:color="auto" w:fill="auto"/>
            <w:noWrap w:val="0"/>
            <w:vAlign w:val="top"/>
          </w:tcPr>
          <w:p w14:paraId="27963CA9">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02B266EE">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42" w:type="pct"/>
            <w:shd w:val="clear" w:color="auto" w:fill="auto"/>
            <w:noWrap w:val="0"/>
            <w:vAlign w:val="top"/>
          </w:tcPr>
          <w:p w14:paraId="5FD52233">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734B7B7A">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31" w:type="pct"/>
            <w:shd w:val="clear" w:color="auto" w:fill="auto"/>
            <w:noWrap w:val="0"/>
            <w:vAlign w:val="top"/>
          </w:tcPr>
          <w:p w14:paraId="0BB202F6">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820" w:type="pct"/>
            <w:shd w:val="clear" w:color="auto" w:fill="auto"/>
            <w:noWrap w:val="0"/>
            <w:vAlign w:val="top"/>
          </w:tcPr>
          <w:p w14:paraId="3A5B83CB">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r>
      <w:tr w14:paraId="5DBD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pct"/>
            <w:gridSpan w:val="3"/>
            <w:shd w:val="clear" w:color="auto" w:fill="auto"/>
            <w:noWrap w:val="0"/>
            <w:vAlign w:val="top"/>
          </w:tcPr>
          <w:p w14:paraId="1570A814">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定值部分权重A</w:t>
            </w:r>
          </w:p>
        </w:tc>
        <w:tc>
          <w:tcPr>
            <w:tcW w:w="722" w:type="pct"/>
            <w:shd w:val="clear" w:color="auto" w:fill="auto"/>
            <w:noWrap w:val="0"/>
            <w:vAlign w:val="top"/>
          </w:tcPr>
          <w:p w14:paraId="43BD27A8">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642" w:type="pct"/>
            <w:shd w:val="clear" w:color="auto" w:fill="auto"/>
            <w:noWrap w:val="0"/>
            <w:vAlign w:val="top"/>
          </w:tcPr>
          <w:p w14:paraId="3141E46E">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22" w:type="pct"/>
            <w:shd w:val="clear" w:color="auto" w:fill="auto"/>
            <w:noWrap w:val="0"/>
            <w:vAlign w:val="top"/>
          </w:tcPr>
          <w:p w14:paraId="41386207">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731" w:type="pct"/>
            <w:shd w:val="clear" w:color="auto" w:fill="auto"/>
            <w:noWrap w:val="0"/>
            <w:vAlign w:val="top"/>
          </w:tcPr>
          <w:p w14:paraId="04C8EF74">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820" w:type="pct"/>
            <w:shd w:val="clear" w:color="auto" w:fill="auto"/>
            <w:noWrap w:val="0"/>
            <w:vAlign w:val="top"/>
          </w:tcPr>
          <w:p w14:paraId="6073882D">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r>
      <w:tr w14:paraId="43309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pct"/>
            <w:gridSpan w:val="3"/>
            <w:shd w:val="clear" w:color="auto" w:fill="auto"/>
            <w:noWrap w:val="0"/>
            <w:vAlign w:val="top"/>
          </w:tcPr>
          <w:p w14:paraId="3C4CBA05">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合计</w:t>
            </w:r>
          </w:p>
        </w:tc>
        <w:tc>
          <w:tcPr>
            <w:tcW w:w="1364" w:type="pct"/>
            <w:gridSpan w:val="2"/>
            <w:shd w:val="clear" w:color="auto" w:fill="auto"/>
            <w:noWrap w:val="0"/>
            <w:vAlign w:val="top"/>
          </w:tcPr>
          <w:p w14:paraId="64610F10">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1453" w:type="pct"/>
            <w:gridSpan w:val="2"/>
            <w:shd w:val="clear" w:color="auto" w:fill="auto"/>
            <w:noWrap w:val="0"/>
            <w:vAlign w:val="top"/>
          </w:tcPr>
          <w:p w14:paraId="2D18A9C8">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c>
          <w:tcPr>
            <w:tcW w:w="820" w:type="pct"/>
            <w:shd w:val="clear" w:color="auto" w:fill="auto"/>
            <w:noWrap w:val="0"/>
            <w:vAlign w:val="top"/>
          </w:tcPr>
          <w:p w14:paraId="3D4F0DE7">
            <w:pPr>
              <w:widowControl/>
              <w:wordWrap/>
              <w:topLinePunct w:val="0"/>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tc>
      </w:tr>
    </w:tbl>
    <w:p w14:paraId="658406E9">
      <w:pPr>
        <w:widowControl/>
        <w:wordWrap/>
        <w:topLinePunct w:val="0"/>
        <w:ind w:firstLine="640"/>
        <w:rPr>
          <w:rFonts w:hint="eastAsia" w:ascii="宋体" w:hAnsi="宋体" w:eastAsia="宋体" w:cs="宋体"/>
          <w:color w:val="000000" w:themeColor="text1"/>
          <w:kern w:val="0"/>
          <w:sz w:val="24"/>
          <w:szCs w:val="24"/>
          <w:highlight w:val="none"/>
          <w14:textFill>
            <w14:solidFill>
              <w14:schemeClr w14:val="tx1"/>
            </w14:solidFill>
          </w14:textFill>
        </w:rPr>
      </w:pPr>
    </w:p>
    <w:p w14:paraId="70B66261">
      <w:pPr>
        <w:widowControl/>
        <w:wordWrap/>
        <w:topLinePunct w:val="0"/>
        <w:adjustRightInd/>
        <w:snapToGrid/>
        <w:spacing w:after="0" w:afterLines="0" w:line="240" w:lineRule="auto"/>
        <w:ind w:firstLine="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p>
    <w:p w14:paraId="41D38637">
      <w:pPr>
        <w:widowControl/>
        <w:wordWrap/>
        <w:ind w:left="0" w:leftChars="0" w:firstLine="0" w:firstLineChars="0"/>
        <w:jc w:val="both"/>
        <w:rPr>
          <w:rFonts w:hint="eastAsia" w:ascii="宋体" w:hAnsi="宋体" w:eastAsia="宋体" w:cs="宋体"/>
          <w:color w:val="000000" w:themeColor="text1"/>
          <w:sz w:val="24"/>
          <w:szCs w:val="24"/>
          <w:highlight w:val="none"/>
          <w14:textFill>
            <w14:solidFill>
              <w14:schemeClr w14:val="tx1"/>
            </w14:solidFill>
          </w14:textFill>
        </w:rPr>
      </w:pPr>
    </w:p>
    <w:p w14:paraId="769A3D7E">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16360BE1">
      <w:pPr>
        <w:pStyle w:val="2"/>
        <w:wordWrap/>
        <w:adjustRightInd/>
        <w:snapToGrid/>
        <w:spacing w:before="120" w:after="120"/>
        <w:ind w:firstLine="883"/>
        <w:rPr>
          <w:rFonts w:hint="eastAsia" w:ascii="宋体" w:hAnsi="宋体" w:eastAsia="宋体" w:cs="宋体"/>
          <w:color w:val="000000" w:themeColor="text1"/>
          <w:highlight w:val="none"/>
          <w14:textFill>
            <w14:solidFill>
              <w14:schemeClr w14:val="tx1"/>
            </w14:solidFill>
          </w14:textFill>
        </w:rPr>
      </w:pPr>
      <w:bookmarkStart w:id="1357" w:name="_Toc24303"/>
      <w:r>
        <w:rPr>
          <w:rFonts w:hint="eastAsia" w:ascii="宋体" w:hAnsi="宋体" w:eastAsia="宋体" w:cs="宋体"/>
          <w:color w:val="000000" w:themeColor="text1"/>
          <w:highlight w:val="none"/>
          <w14:textFill>
            <w14:solidFill>
              <w14:schemeClr w14:val="tx1"/>
            </w14:solidFill>
          </w14:textFill>
        </w:rPr>
        <w:t>第六章 响应文件的格式</w:t>
      </w:r>
      <w:bookmarkEnd w:id="1357"/>
    </w:p>
    <w:p w14:paraId="32726904">
      <w:pPr>
        <w:ind w:firstLine="0" w:firstLineChars="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供应商编制文件须知</w:t>
      </w:r>
    </w:p>
    <w:p w14:paraId="6A3393B8">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供应商按照本部分编制响应文件（资格文件）、响应文件（商务报价文件）、响应文件（技术文件），并按照“政采云”平台的要求编制、加密后在提交响应文件截止时间前通过网络上传至“政采云”平台，编制中涉及格式资料的，应按照本部分提供的内容和格式（所有表格的格式可扩展）填写提交。</w:t>
      </w:r>
    </w:p>
    <w:p w14:paraId="57B6EECE">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2、对于竞争性磋商文件</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color w:val="000000" w:themeColor="text1"/>
          <w:highlight w:val="none"/>
          <w14:textFill>
            <w14:solidFill>
              <w14:schemeClr w14:val="tx1"/>
            </w14:solidFill>
          </w14:textFill>
        </w:rPr>
        <w:t>否则磋商申请无效</w:t>
      </w:r>
      <w:r>
        <w:rPr>
          <w:rFonts w:hint="eastAsia" w:ascii="宋体" w:hAnsi="宋体" w:eastAsia="宋体" w:cs="宋体"/>
          <w:color w:val="000000" w:themeColor="text1"/>
          <w:highlight w:val="none"/>
          <w14:textFill>
            <w14:solidFill>
              <w14:schemeClr w14:val="tx1"/>
            </w14:solidFill>
          </w14:textFill>
        </w:rPr>
        <w:t>。未标记“实质性格式”的文件和竞争性磋商文件未提供格式的内容，可由供应商自行编写。</w:t>
      </w:r>
    </w:p>
    <w:p w14:paraId="1FF4436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3、全部声明（承诺）和问题的回答及所附材料必须是真实的、准确的和完整的。</w:t>
      </w:r>
    </w:p>
    <w:p w14:paraId="78CBB0B1">
      <w:pPr>
        <w:ind w:firstLine="560"/>
        <w:rPr>
          <w:rFonts w:hint="eastAsia" w:ascii="宋体" w:hAnsi="宋体" w:eastAsia="宋体" w:cs="宋体"/>
          <w:color w:val="000000" w:themeColor="text1"/>
          <w:highlight w:val="none"/>
          <w14:textFill>
            <w14:solidFill>
              <w14:schemeClr w14:val="tx1"/>
            </w14:solidFill>
          </w14:textFill>
        </w:rPr>
      </w:pPr>
      <w:bookmarkStart w:id="1358" w:name="_Toc27789"/>
      <w:r>
        <w:rPr>
          <w:rFonts w:hint="eastAsia" w:ascii="宋体" w:hAnsi="宋体" w:eastAsia="宋体" w:cs="宋体"/>
          <w:color w:val="000000" w:themeColor="text1"/>
          <w:highlight w:val="none"/>
          <w14:textFill>
            <w14:solidFill>
              <w14:schemeClr w14:val="tx1"/>
            </w14:solidFill>
          </w14:textFill>
        </w:rPr>
        <w:br w:type="page"/>
      </w:r>
    </w:p>
    <w:p w14:paraId="39467F6C">
      <w:pPr>
        <w:pStyle w:val="3"/>
        <w:ind w:firstLine="0" w:firstLineChars="0"/>
        <w:jc w:val="center"/>
        <w:rPr>
          <w:rFonts w:hint="eastAsia" w:ascii="宋体" w:hAnsi="宋体" w:eastAsia="宋体" w:cs="宋体"/>
          <w:color w:val="000000" w:themeColor="text1"/>
          <w:highlight w:val="none"/>
          <w14:textFill>
            <w14:solidFill>
              <w14:schemeClr w14:val="tx1"/>
            </w14:solidFill>
          </w14:textFill>
        </w:rPr>
      </w:pPr>
      <w:bookmarkStart w:id="1359" w:name="_Toc22228"/>
      <w:bookmarkStart w:id="1360" w:name="_Toc858434985"/>
      <w:bookmarkStart w:id="1361" w:name="_Toc6551"/>
      <w:bookmarkStart w:id="1362" w:name="_Toc264223195"/>
      <w:r>
        <w:rPr>
          <w:rFonts w:hint="eastAsia" w:ascii="宋体" w:hAnsi="宋体" w:eastAsia="宋体" w:cs="宋体"/>
          <w:color w:val="000000" w:themeColor="text1"/>
          <w:highlight w:val="none"/>
          <w14:textFill>
            <w14:solidFill>
              <w14:schemeClr w14:val="tx1"/>
            </w14:solidFill>
          </w14:textFill>
        </w:rPr>
        <w:t>一、资格文件</w:t>
      </w:r>
      <w:bookmarkEnd w:id="1358"/>
      <w:bookmarkEnd w:id="1359"/>
      <w:bookmarkEnd w:id="1360"/>
      <w:bookmarkEnd w:id="1361"/>
      <w:bookmarkEnd w:id="1362"/>
    </w:p>
    <w:p w14:paraId="6093154B">
      <w:pPr>
        <w:pStyle w:val="14"/>
        <w:spacing w:before="78" w:line="220" w:lineRule="auto"/>
        <w:ind w:firstLine="0" w:firstLineChars="0"/>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响应文件</w:t>
      </w:r>
      <w:r>
        <w:rPr>
          <w:rFonts w:hint="eastAsia" w:ascii="宋体" w:hAnsi="宋体" w:eastAsia="宋体" w:cs="宋体"/>
          <w:b/>
          <w:bCs/>
          <w:color w:val="000000" w:themeColor="text1"/>
          <w:spacing w:val="-1"/>
          <w:sz w:val="24"/>
          <w:szCs w:val="24"/>
          <w:highlight w:val="none"/>
          <w14:textFill>
            <w14:solidFill>
              <w14:schemeClr w14:val="tx1"/>
            </w14:solidFill>
          </w14:textFill>
        </w:rPr>
        <w:t>（资格文件</w:t>
      </w:r>
      <w:r>
        <w:rPr>
          <w:rFonts w:hint="eastAsia" w:ascii="宋体" w:hAnsi="宋体" w:eastAsia="宋体" w:cs="宋体"/>
          <w:b/>
          <w:bCs/>
          <w:color w:val="000000" w:themeColor="text1"/>
          <w:spacing w:val="-44"/>
          <w:sz w:val="24"/>
          <w:szCs w:val="24"/>
          <w:highlight w:val="none"/>
          <w14:textFill>
            <w14:solidFill>
              <w14:schemeClr w14:val="tx1"/>
            </w14:solidFill>
          </w14:textFill>
        </w:rPr>
        <w:t xml:space="preserve"> </w:t>
      </w:r>
      <w:r>
        <w:rPr>
          <w:rFonts w:hint="eastAsia" w:ascii="宋体" w:hAnsi="宋体" w:eastAsia="宋体" w:cs="宋体"/>
          <w:b/>
          <w:bCs/>
          <w:color w:val="000000" w:themeColor="text1"/>
          <w:spacing w:val="-1"/>
          <w:sz w:val="24"/>
          <w:szCs w:val="24"/>
          <w:highlight w:val="none"/>
          <w14:textFill>
            <w14:solidFill>
              <w14:schemeClr w14:val="tx1"/>
            </w14:solidFill>
          </w14:textFill>
        </w:rPr>
        <w:t>）封面</w:t>
      </w:r>
    </w:p>
    <w:p w14:paraId="1E7B7008">
      <w:pPr>
        <w:ind w:firstLine="0" w:firstLineChars="0"/>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0754A3F5">
      <w:pPr>
        <w:pStyle w:val="21"/>
        <w:rPr>
          <w:rFonts w:hint="eastAsia" w:ascii="宋体" w:hAnsi="宋体" w:eastAsia="宋体" w:cs="宋体"/>
          <w:b/>
          <w:bCs/>
          <w:color w:val="000000" w:themeColor="text1"/>
          <w:sz w:val="48"/>
          <w:szCs w:val="48"/>
          <w:highlight w:val="none"/>
          <w:lang w:eastAsia="zh-CN"/>
          <w14:textFill>
            <w14:solidFill>
              <w14:schemeClr w14:val="tx1"/>
            </w14:solidFill>
          </w14:textFill>
        </w:rPr>
      </w:pPr>
      <w:r>
        <w:rPr>
          <w:rFonts w:hint="eastAsia" w:ascii="宋体" w:hAnsi="宋体" w:eastAsia="宋体" w:cs="宋体"/>
          <w:b/>
          <w:bCs/>
          <w:color w:val="000000" w:themeColor="text1"/>
          <w:sz w:val="48"/>
          <w:szCs w:val="48"/>
          <w:highlight w:val="none"/>
          <w:lang w:eastAsia="zh-CN"/>
          <w14:textFill>
            <w14:solidFill>
              <w14:schemeClr w14:val="tx1"/>
            </w14:solidFill>
          </w14:textFill>
        </w:rPr>
        <w:t>云南水利水电职业学院校史馆建设项目</w:t>
      </w:r>
    </w:p>
    <w:p w14:paraId="0E69E898">
      <w:pPr>
        <w:ind w:firstLine="0" w:firstLineChars="0"/>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2874430A">
      <w:pPr>
        <w:ind w:firstLine="560"/>
        <w:rPr>
          <w:rFonts w:hint="eastAsia" w:ascii="宋体" w:hAnsi="宋体" w:eastAsia="宋体" w:cs="宋体"/>
          <w:color w:val="000000" w:themeColor="text1"/>
          <w:highlight w:val="none"/>
          <w14:textFill>
            <w14:solidFill>
              <w14:schemeClr w14:val="tx1"/>
            </w14:solidFill>
          </w14:textFill>
        </w:rPr>
      </w:pPr>
    </w:p>
    <w:p w14:paraId="0F3CA2A7">
      <w:pPr>
        <w:ind w:firstLine="560"/>
        <w:rPr>
          <w:rFonts w:hint="eastAsia" w:ascii="宋体" w:hAnsi="宋体" w:eastAsia="宋体" w:cs="宋体"/>
          <w:color w:val="000000" w:themeColor="text1"/>
          <w:highlight w:val="none"/>
          <w14:textFill>
            <w14:solidFill>
              <w14:schemeClr w14:val="tx1"/>
            </w14:solidFill>
          </w14:textFill>
        </w:rPr>
      </w:pPr>
    </w:p>
    <w:p w14:paraId="2DBBE682">
      <w:pPr>
        <w:pStyle w:val="14"/>
        <w:rPr>
          <w:rFonts w:hint="eastAsia" w:ascii="宋体" w:hAnsi="宋体" w:eastAsia="宋体" w:cs="宋体"/>
          <w:color w:val="000000" w:themeColor="text1"/>
          <w:highlight w:val="none"/>
          <w14:textFill>
            <w14:solidFill>
              <w14:schemeClr w14:val="tx1"/>
            </w14:solidFill>
          </w14:textFill>
        </w:rPr>
      </w:pPr>
    </w:p>
    <w:p w14:paraId="24388B7E">
      <w:pPr>
        <w:ind w:firstLine="560"/>
        <w:rPr>
          <w:rFonts w:hint="eastAsia" w:ascii="宋体" w:hAnsi="宋体" w:eastAsia="宋体" w:cs="宋体"/>
          <w:color w:val="000000" w:themeColor="text1"/>
          <w:highlight w:val="none"/>
          <w14:textFill>
            <w14:solidFill>
              <w14:schemeClr w14:val="tx1"/>
            </w14:solidFill>
          </w14:textFill>
        </w:rPr>
      </w:pPr>
    </w:p>
    <w:p w14:paraId="284C200D">
      <w:pPr>
        <w:pStyle w:val="21"/>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96"/>
          <w:szCs w:val="96"/>
          <w:highlight w:val="none"/>
          <w14:textFill>
            <w14:solidFill>
              <w14:schemeClr w14:val="tx1"/>
            </w14:solidFill>
          </w14:textFill>
        </w:rPr>
        <w:t>响应文件</w:t>
      </w:r>
    </w:p>
    <w:p w14:paraId="0B76688E">
      <w:pPr>
        <w:pStyle w:val="34"/>
        <w:ind w:left="0" w:leftChars="0" w:firstLine="0" w:firstLineChars="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（资格文件）</w:t>
      </w:r>
    </w:p>
    <w:p w14:paraId="5895D8E7">
      <w:pPr>
        <w:pStyle w:val="34"/>
        <w:ind w:left="0" w:leftChars="0" w:firstLine="0" w:firstLineChars="0"/>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项目编号：</w:t>
      </w:r>
      <w:r>
        <w:rPr>
          <w:rFonts w:hint="eastAsia" w:ascii="宋体" w:hAnsi="宋体" w:eastAsia="宋体" w:cs="宋体"/>
          <w:color w:val="000000" w:themeColor="text1"/>
          <w:sz w:val="28"/>
          <w:szCs w:val="28"/>
          <w:highlight w:val="none"/>
          <w:lang w:eastAsia="zh-CN"/>
          <w14:textFill>
            <w14:solidFill>
              <w14:schemeClr w14:val="tx1"/>
            </w14:solidFill>
          </w14:textFill>
        </w:rPr>
        <w:t>云赛招字2025-183</w:t>
      </w:r>
    </w:p>
    <w:p w14:paraId="07AEF8CA">
      <w:pPr>
        <w:ind w:firstLine="560"/>
        <w:rPr>
          <w:rFonts w:hint="eastAsia" w:ascii="宋体" w:hAnsi="宋体" w:eastAsia="宋体" w:cs="宋体"/>
          <w:color w:val="000000" w:themeColor="text1"/>
          <w:highlight w:val="none"/>
          <w14:textFill>
            <w14:solidFill>
              <w14:schemeClr w14:val="tx1"/>
            </w14:solidFill>
          </w14:textFill>
        </w:rPr>
      </w:pPr>
    </w:p>
    <w:p w14:paraId="5E8B1787">
      <w:pPr>
        <w:pStyle w:val="21"/>
        <w:spacing w:line="500" w:lineRule="exact"/>
        <w:rPr>
          <w:rFonts w:hint="eastAsia" w:ascii="宋体" w:hAnsi="宋体" w:eastAsia="宋体" w:cs="宋体"/>
          <w:b/>
          <w:color w:val="000000" w:themeColor="text1"/>
          <w:sz w:val="72"/>
          <w:szCs w:val="72"/>
          <w:highlight w:val="none"/>
          <w14:textFill>
            <w14:solidFill>
              <w14:schemeClr w14:val="tx1"/>
            </w14:solidFill>
          </w14:textFill>
        </w:rPr>
      </w:pPr>
    </w:p>
    <w:p w14:paraId="19126E16">
      <w:pPr>
        <w:ind w:firstLine="0" w:firstLineChars="0"/>
        <w:rPr>
          <w:rFonts w:hint="eastAsia" w:ascii="宋体" w:hAnsi="宋体" w:eastAsia="宋体" w:cs="宋体"/>
          <w:color w:val="000000" w:themeColor="text1"/>
          <w:highlight w:val="none"/>
          <w14:textFill>
            <w14:solidFill>
              <w14:schemeClr w14:val="tx1"/>
            </w14:solidFill>
          </w14:textFill>
        </w:rPr>
      </w:pPr>
    </w:p>
    <w:p w14:paraId="0F23A18B">
      <w:pPr>
        <w:pStyle w:val="14"/>
        <w:rPr>
          <w:rFonts w:hint="eastAsia"/>
          <w:color w:val="000000" w:themeColor="text1"/>
          <w:highlight w:val="none"/>
          <w14:textFill>
            <w14:solidFill>
              <w14:schemeClr w14:val="tx1"/>
            </w14:solidFill>
          </w14:textFill>
        </w:rPr>
      </w:pPr>
    </w:p>
    <w:p w14:paraId="731605E0">
      <w:pPr>
        <w:pStyle w:val="11"/>
        <w:ind w:firstLine="420"/>
        <w:rPr>
          <w:rFonts w:hint="eastAsia" w:ascii="宋体" w:hAnsi="宋体" w:eastAsia="宋体" w:cs="宋体"/>
          <w:color w:val="000000" w:themeColor="text1"/>
          <w:highlight w:val="none"/>
          <w14:textFill>
            <w14:solidFill>
              <w14:schemeClr w14:val="tx1"/>
            </w14:solidFill>
          </w14:textFill>
        </w:rPr>
      </w:pPr>
    </w:p>
    <w:p w14:paraId="2EEC51F2">
      <w:pPr>
        <w:pStyle w:val="21"/>
        <w:spacing w:line="500" w:lineRule="exact"/>
        <w:rPr>
          <w:rFonts w:hint="eastAsia" w:ascii="宋体" w:hAnsi="宋体" w:eastAsia="宋体" w:cs="宋体"/>
          <w:b/>
          <w:color w:val="000000" w:themeColor="text1"/>
          <w:sz w:val="28"/>
          <w:szCs w:val="28"/>
          <w:highlight w:val="none"/>
          <w14:textFill>
            <w14:solidFill>
              <w14:schemeClr w14:val="tx1"/>
            </w14:solidFill>
          </w14:textFill>
        </w:rPr>
      </w:pPr>
    </w:p>
    <w:p w14:paraId="3B107639">
      <w:pPr>
        <w:pStyle w:val="21"/>
        <w:ind w:firstLine="843" w:firstLineChars="300"/>
        <w:jc w:val="both"/>
        <w:rPr>
          <w:rFonts w:hint="eastAsia" w:ascii="宋体" w:hAnsi="宋体" w:eastAsia="宋体" w:cs="宋体"/>
          <w:b/>
          <w:bCs/>
          <w:color w:val="000000" w:themeColor="text1"/>
          <w:sz w:val="28"/>
          <w:szCs w:val="22"/>
          <w:highlight w:val="none"/>
          <w:u w:val="single"/>
          <w:lang w:eastAsia="zh-CN"/>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供应商</w:t>
      </w:r>
      <w:r>
        <w:rPr>
          <w:rFonts w:hint="eastAsia" w:ascii="宋体" w:hAnsi="宋体" w:eastAsia="宋体" w:cs="宋体"/>
          <w:b/>
          <w:bCs/>
          <w:color w:val="000000" w:themeColor="text1"/>
          <w:sz w:val="28"/>
          <w:highlight w:val="none"/>
          <w:lang w:eastAsia="zh-CN"/>
          <w14:textFill>
            <w14:solidFill>
              <w14:schemeClr w14:val="tx1"/>
            </w14:solidFill>
          </w14:textFill>
        </w:rPr>
        <w:t>（</w:t>
      </w:r>
      <w:r>
        <w:rPr>
          <w:rFonts w:hint="eastAsia" w:ascii="宋体" w:hAnsi="宋体" w:eastAsia="宋体" w:cs="宋体"/>
          <w:b/>
          <w:bCs/>
          <w:color w:val="000000" w:themeColor="text1"/>
          <w:sz w:val="28"/>
          <w:highlight w:val="none"/>
          <w:lang w:val="en-US" w:eastAsia="zh-CN"/>
          <w14:textFill>
            <w14:solidFill>
              <w14:schemeClr w14:val="tx1"/>
            </w14:solidFill>
          </w14:textFill>
        </w:rPr>
        <w:t>联合体牵头人</w:t>
      </w:r>
      <w:r>
        <w:rPr>
          <w:rFonts w:hint="eastAsia" w:ascii="宋体" w:hAnsi="宋体" w:eastAsia="宋体" w:cs="宋体"/>
          <w:b/>
          <w:bCs/>
          <w:color w:val="000000" w:themeColor="text1"/>
          <w:sz w:val="28"/>
          <w:highlight w:val="none"/>
          <w:lang w:eastAsia="zh-CN"/>
          <w14:textFill>
            <w14:solidFill>
              <w14:schemeClr w14:val="tx1"/>
            </w14:solidFill>
          </w14:textFill>
        </w:rPr>
        <w:t>）</w:t>
      </w:r>
      <w:r>
        <w:rPr>
          <w:rFonts w:hint="eastAsia" w:ascii="宋体" w:hAnsi="宋体" w:eastAsia="宋体" w:cs="宋体"/>
          <w:b/>
          <w:bCs/>
          <w:color w:val="000000" w:themeColor="text1"/>
          <w:sz w:val="28"/>
          <w:szCs w:val="22"/>
          <w:highlight w:val="none"/>
          <w14:textFill>
            <w14:solidFill>
              <w14:schemeClr w14:val="tx1"/>
            </w14:solidFill>
          </w14:textFill>
        </w:rPr>
        <w:t>：</w:t>
      </w:r>
      <w:r>
        <w:rPr>
          <w:rFonts w:hint="eastAsia" w:ascii="宋体" w:hAnsi="宋体" w:eastAsia="宋体" w:cs="宋体"/>
          <w:b/>
          <w:bCs/>
          <w:color w:val="000000" w:themeColor="text1"/>
          <w:sz w:val="28"/>
          <w:szCs w:val="22"/>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2"/>
          <w:highlight w:val="none"/>
          <w:lang w:eastAsia="zh-CN"/>
          <w14:textFill>
            <w14:solidFill>
              <w14:schemeClr w14:val="tx1"/>
            </w14:solidFill>
          </w14:textFill>
        </w:rPr>
        <w:t>（电子签章或盖章）</w:t>
      </w:r>
    </w:p>
    <w:p w14:paraId="01944339">
      <w:pPr>
        <w:pStyle w:val="34"/>
        <w:spacing w:line="360" w:lineRule="auto"/>
        <w:ind w:firstLine="843" w:firstLineChars="30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日  期：</w:t>
      </w:r>
      <w:r>
        <w:rPr>
          <w:rFonts w:hint="eastAsia" w:ascii="宋体" w:hAnsi="宋体" w:eastAsia="宋体" w:cs="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年 </w:t>
      </w:r>
      <w:r>
        <w:rPr>
          <w:rFonts w:hint="eastAsia" w:ascii="宋体" w:hAnsi="宋体" w:eastAsia="宋体" w:cs="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月</w:t>
      </w:r>
      <w:r>
        <w:rPr>
          <w:rFonts w:hint="eastAsia" w:ascii="宋体" w:hAnsi="宋体" w:eastAsia="宋体" w:cs="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日</w:t>
      </w:r>
    </w:p>
    <w:p w14:paraId="38C85FE8">
      <w:pPr>
        <w:ind w:left="0" w:leftChars="0" w:firstLine="0" w:firstLineChars="0"/>
        <w:jc w:val="center"/>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r>
      <w:r>
        <w:rPr>
          <w:rFonts w:hint="eastAsia" w:ascii="宋体" w:hAnsi="宋体" w:eastAsia="宋体" w:cs="宋体"/>
          <w:b/>
          <w:bCs/>
          <w:color w:val="000000" w:themeColor="text1"/>
          <w:highlight w:val="none"/>
          <w:lang w:val="en-US" w:eastAsia="zh-CN"/>
          <w14:textFill>
            <w14:solidFill>
              <w14:schemeClr w14:val="tx1"/>
            </w14:solidFill>
          </w14:textFill>
        </w:rPr>
        <w:t>目录</w:t>
      </w:r>
    </w:p>
    <w:p w14:paraId="2FE3A55E">
      <w:pPr>
        <w:bidi w:val="0"/>
        <w:ind w:left="0" w:leftChars="0" w:firstLine="0" w:firstLineChars="0"/>
        <w:jc w:val="center"/>
        <w:rPr>
          <w:rFonts w:hint="eastAsia" w:ascii="宋体" w:hAnsi="宋体" w:eastAsia="宋体" w:cs="宋体"/>
          <w:b/>
          <w:bCs/>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（格式自拟）</w:t>
      </w:r>
      <w:r>
        <w:rPr>
          <w:rFonts w:hint="eastAsia" w:ascii="宋体" w:hAnsi="宋体" w:eastAsia="宋体" w:cs="宋体"/>
          <w:b/>
          <w:bCs/>
          <w:color w:val="000000" w:themeColor="text1"/>
          <w:highlight w:val="none"/>
          <w14:textFill>
            <w14:solidFill>
              <w14:schemeClr w14:val="tx1"/>
            </w14:solidFill>
          </w14:textFill>
        </w:rPr>
        <w:br w:type="page"/>
      </w:r>
    </w:p>
    <w:p w14:paraId="34BF25AC">
      <w:pPr>
        <w:pStyle w:val="14"/>
        <w:rPr>
          <w:rFonts w:hint="eastAsia"/>
          <w:color w:val="000000" w:themeColor="text1"/>
          <w:highlight w:val="none"/>
          <w14:textFill>
            <w14:solidFill>
              <w14:schemeClr w14:val="tx1"/>
            </w14:solidFill>
          </w14:textFill>
        </w:rPr>
      </w:pPr>
    </w:p>
    <w:p w14:paraId="4B4BE1D0">
      <w:pPr>
        <w:pStyle w:val="4"/>
        <w:ind w:firstLine="0" w:firstLineChars="0"/>
        <w:rPr>
          <w:rFonts w:hint="eastAsia" w:ascii="宋体" w:hAnsi="宋体" w:eastAsia="宋体" w:cs="宋体"/>
          <w:color w:val="000000" w:themeColor="text1"/>
          <w:highlight w:val="none"/>
          <w14:textFill>
            <w14:solidFill>
              <w14:schemeClr w14:val="tx1"/>
            </w14:solidFill>
          </w14:textFill>
        </w:rPr>
      </w:pPr>
      <w:bookmarkStart w:id="1363" w:name="_Toc10065"/>
      <w:bookmarkStart w:id="1364" w:name="_Toc16648"/>
      <w:bookmarkStart w:id="1365" w:name="_Toc1230058435"/>
      <w:bookmarkStart w:id="1366" w:name="_Toc30739"/>
      <w:bookmarkStart w:id="1367" w:name="_Toc885632956"/>
      <w:bookmarkStart w:id="1368" w:name="_Toc25626"/>
      <w:r>
        <w:rPr>
          <w:rFonts w:hint="eastAsia" w:ascii="宋体" w:hAnsi="宋体" w:eastAsia="宋体" w:cs="宋体"/>
          <w:color w:val="000000" w:themeColor="text1"/>
          <w:highlight w:val="none"/>
          <w14:textFill>
            <w14:solidFill>
              <w14:schemeClr w14:val="tx1"/>
            </w14:solidFill>
          </w14:textFill>
        </w:rPr>
        <w:t>格式1：满足《中华人民共和国政府采购法》第二十二条规定；</w:t>
      </w:r>
      <w:bookmarkEnd w:id="1363"/>
      <w:bookmarkEnd w:id="1364"/>
      <w:bookmarkEnd w:id="1365"/>
      <w:bookmarkEnd w:id="1366"/>
      <w:bookmarkEnd w:id="1367"/>
      <w:bookmarkEnd w:id="1368"/>
    </w:p>
    <w:p w14:paraId="3922C5A9">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格式1-1：供应商必须是具有独立承担民事责任能力的法人或其他组织或自然人：</w:t>
      </w:r>
    </w:p>
    <w:p w14:paraId="2676A8ED">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说明：此处提供法人或者其他组织的营业执照等证明文件或自然人的身份证明的原件扫描件（或复印件）</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eastAsia="zh-CN"/>
          <w14:textFill>
            <w14:solidFill>
              <w14:schemeClr w14:val="tx1"/>
            </w14:solidFill>
          </w14:textFill>
        </w:rPr>
        <w:t>若为联合体参加磋商的</w:t>
      </w:r>
      <w:r>
        <w:rPr>
          <w:rFonts w:hint="eastAsia" w:ascii="宋体" w:hAnsi="宋体" w:eastAsia="宋体" w:cs="宋体"/>
          <w:b/>
          <w:bCs/>
          <w:color w:val="000000" w:themeColor="text1"/>
          <w:szCs w:val="21"/>
          <w:highlight w:val="none"/>
          <w14:textFill>
            <w14:solidFill>
              <w14:schemeClr w14:val="tx1"/>
            </w14:solidFill>
          </w14:textFill>
        </w:rPr>
        <w:t>，联合体成员各方</w:t>
      </w:r>
      <w:r>
        <w:rPr>
          <w:rFonts w:hint="eastAsia" w:ascii="宋体" w:hAnsi="宋体" w:eastAsia="宋体" w:cs="宋体"/>
          <w:b/>
          <w:bCs/>
          <w:color w:val="000000" w:themeColor="text1"/>
          <w:szCs w:val="21"/>
          <w:highlight w:val="none"/>
          <w:lang w:eastAsia="zh-CN"/>
          <w14:textFill>
            <w14:solidFill>
              <w14:schemeClr w14:val="tx1"/>
            </w14:solidFill>
          </w14:textFill>
        </w:rPr>
        <w:t>均须</w:t>
      </w:r>
      <w:r>
        <w:rPr>
          <w:rFonts w:hint="eastAsia" w:ascii="宋体" w:hAnsi="宋体" w:eastAsia="宋体" w:cs="宋体"/>
          <w:b/>
          <w:bCs/>
          <w:color w:val="000000" w:themeColor="text1"/>
          <w:szCs w:val="21"/>
          <w:highlight w:val="none"/>
          <w:lang w:val="en-US" w:eastAsia="zh-CN"/>
          <w14:textFill>
            <w14:solidFill>
              <w14:schemeClr w14:val="tx1"/>
            </w14:solidFill>
          </w14:textFill>
        </w:rPr>
        <w:t>分别</w:t>
      </w:r>
      <w:r>
        <w:rPr>
          <w:rFonts w:hint="eastAsia" w:ascii="宋体" w:hAnsi="宋体" w:eastAsia="宋体" w:cs="宋体"/>
          <w:b/>
          <w:bCs/>
          <w:color w:val="000000" w:themeColor="text1"/>
          <w:szCs w:val="21"/>
          <w:highlight w:val="none"/>
          <w:lang w:eastAsia="zh-CN"/>
          <w14:textFill>
            <w14:solidFill>
              <w14:schemeClr w14:val="tx1"/>
            </w14:solidFill>
          </w14:textFill>
        </w:rPr>
        <w:t>提供。</w:t>
      </w:r>
      <w:r>
        <w:rPr>
          <w:rFonts w:hint="eastAsia" w:ascii="宋体" w:hAnsi="宋体" w:eastAsia="宋体" w:cs="宋体"/>
          <w:color w:val="000000" w:themeColor="text1"/>
          <w:highlight w:val="none"/>
          <w14:textFill>
            <w14:solidFill>
              <w14:schemeClr w14:val="tx1"/>
            </w14:solidFill>
          </w14:textFill>
        </w:rPr>
        <w:br w:type="page"/>
      </w:r>
    </w:p>
    <w:p w14:paraId="313B5561">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格式1-2：财务状况报告的相关材料：</w:t>
      </w:r>
    </w:p>
    <w:p w14:paraId="63005C79">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此处提供2024年度经审计的财务报告（财务报告须包括“四表一注”，即：资产负债表、利润表、现金流量表、所有者权益变动表及其附注；经审计的财务报告须有注册会计师统一监管平台所赋验证码，如财务报告未赋验证码，供应商应同时提共出具报告的会计师事务所盖章的情况说明，说明中应明确未赋码原因；若供应商成立时间不足1年，可提供自成立之日起至今的财务报告或财务状况说明）</w:t>
      </w:r>
      <w:r>
        <w:rPr>
          <w:rFonts w:hint="eastAsia" w:ascii="宋体" w:hAnsi="宋体" w:eastAsia="宋体" w:cs="宋体"/>
          <w:b/>
          <w:bCs/>
          <w:color w:val="000000" w:themeColor="text1"/>
          <w:highlight w:val="none"/>
          <w14:textFill>
            <w14:solidFill>
              <w14:schemeClr w14:val="tx1"/>
            </w14:solidFill>
          </w14:textFill>
        </w:rPr>
        <w:t>或</w:t>
      </w:r>
      <w:r>
        <w:rPr>
          <w:rFonts w:hint="eastAsia" w:ascii="宋体" w:hAnsi="宋体" w:eastAsia="宋体" w:cs="宋体"/>
          <w:color w:val="000000" w:themeColor="text1"/>
          <w:highlight w:val="none"/>
          <w14:textFill>
            <w14:solidFill>
              <w14:schemeClr w14:val="tx1"/>
            </w14:solidFill>
          </w14:textFill>
        </w:rPr>
        <w:t>提供近三个月内其基本开户银行出具的资信证明</w:t>
      </w:r>
      <w:r>
        <w:rPr>
          <w:rFonts w:hint="eastAsia" w:ascii="宋体" w:hAnsi="宋体" w:eastAsia="宋体" w:cs="宋体"/>
          <w:b/>
          <w:bCs/>
          <w:color w:val="000000" w:themeColor="text1"/>
          <w:highlight w:val="none"/>
          <w14:textFill>
            <w14:solidFill>
              <w14:schemeClr w14:val="tx1"/>
            </w14:solidFill>
          </w14:textFill>
        </w:rPr>
        <w:t>或</w:t>
      </w:r>
      <w:r>
        <w:rPr>
          <w:rFonts w:hint="eastAsia" w:ascii="宋体" w:hAnsi="宋体" w:eastAsia="宋体" w:cs="宋体"/>
          <w:color w:val="000000" w:themeColor="text1"/>
          <w:highlight w:val="none"/>
          <w14:textFill>
            <w14:solidFill>
              <w14:schemeClr w14:val="tx1"/>
            </w14:solidFill>
          </w14:textFill>
        </w:rPr>
        <w:t>提供财政部门认可的政府采购专业担保机构出具的投标担保函（但须同时提供专业担保机构经财政部门认可的证明文件）的原件扫描件（或复印件）</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eastAsia="zh-CN"/>
          <w14:textFill>
            <w14:solidFill>
              <w14:schemeClr w14:val="tx1"/>
            </w14:solidFill>
          </w14:textFill>
        </w:rPr>
        <w:t>若为联合体参加磋商的</w:t>
      </w:r>
      <w:r>
        <w:rPr>
          <w:rFonts w:hint="eastAsia" w:ascii="宋体" w:hAnsi="宋体" w:eastAsia="宋体" w:cs="宋体"/>
          <w:b/>
          <w:bCs/>
          <w:color w:val="000000" w:themeColor="text1"/>
          <w:szCs w:val="21"/>
          <w:highlight w:val="none"/>
          <w14:textFill>
            <w14:solidFill>
              <w14:schemeClr w14:val="tx1"/>
            </w14:solidFill>
          </w14:textFill>
        </w:rPr>
        <w:t>，联合体成员各方</w:t>
      </w:r>
      <w:r>
        <w:rPr>
          <w:rFonts w:hint="eastAsia" w:ascii="宋体" w:hAnsi="宋体" w:eastAsia="宋体" w:cs="宋体"/>
          <w:b/>
          <w:bCs/>
          <w:color w:val="000000" w:themeColor="text1"/>
          <w:szCs w:val="21"/>
          <w:highlight w:val="none"/>
          <w:lang w:eastAsia="zh-CN"/>
          <w14:textFill>
            <w14:solidFill>
              <w14:schemeClr w14:val="tx1"/>
            </w14:solidFill>
          </w14:textFill>
        </w:rPr>
        <w:t>均须</w:t>
      </w:r>
      <w:r>
        <w:rPr>
          <w:rFonts w:hint="eastAsia" w:ascii="宋体" w:hAnsi="宋体" w:eastAsia="宋体" w:cs="宋体"/>
          <w:b/>
          <w:bCs/>
          <w:color w:val="000000" w:themeColor="text1"/>
          <w:szCs w:val="21"/>
          <w:highlight w:val="none"/>
          <w:lang w:val="en-US" w:eastAsia="zh-CN"/>
          <w14:textFill>
            <w14:solidFill>
              <w14:schemeClr w14:val="tx1"/>
            </w14:solidFill>
          </w14:textFill>
        </w:rPr>
        <w:t>分别</w:t>
      </w:r>
      <w:r>
        <w:rPr>
          <w:rFonts w:hint="eastAsia" w:ascii="宋体" w:hAnsi="宋体" w:eastAsia="宋体" w:cs="宋体"/>
          <w:b/>
          <w:bCs/>
          <w:color w:val="000000" w:themeColor="text1"/>
          <w:szCs w:val="21"/>
          <w:highlight w:val="none"/>
          <w:lang w:eastAsia="zh-CN"/>
          <w14:textFill>
            <w14:solidFill>
              <w14:schemeClr w14:val="tx1"/>
            </w14:solidFill>
          </w14:textFill>
        </w:rPr>
        <w:t>提供。</w:t>
      </w:r>
      <w:r>
        <w:rPr>
          <w:rFonts w:hint="eastAsia" w:ascii="宋体" w:hAnsi="宋体" w:eastAsia="宋体" w:cs="宋体"/>
          <w:color w:val="000000" w:themeColor="text1"/>
          <w:highlight w:val="none"/>
          <w14:textFill>
            <w14:solidFill>
              <w14:schemeClr w14:val="tx1"/>
            </w14:solidFill>
          </w14:textFill>
        </w:rPr>
        <w:br w:type="page"/>
      </w:r>
    </w:p>
    <w:p w14:paraId="1FE87C7B">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格式1-3：具有履行合同所必需的设备和专业技术能力：</w:t>
      </w:r>
    </w:p>
    <w:p w14:paraId="27C6F703">
      <w:pPr>
        <w:ind w:firstLine="56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说明：此处提供书面声明</w:t>
      </w:r>
      <w:r>
        <w:rPr>
          <w:rFonts w:hint="eastAsia" w:ascii="宋体" w:hAnsi="宋体" w:eastAsia="宋体" w:cs="宋体"/>
          <w:color w:val="000000" w:themeColor="text1"/>
          <w:highlight w:val="none"/>
          <w:lang w:eastAsia="zh-CN"/>
          <w14:textFill>
            <w14:solidFill>
              <w14:schemeClr w14:val="tx1"/>
            </w14:solidFill>
          </w14:textFill>
        </w:rPr>
        <w:t>。</w:t>
      </w:r>
    </w:p>
    <w:p w14:paraId="16FEF666">
      <w:pPr>
        <w:ind w:firstLine="0" w:firstLineChars="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书面声明</w:t>
      </w:r>
      <w:r>
        <w:rPr>
          <w:rFonts w:hint="eastAsia" w:ascii="宋体" w:hAnsi="宋体" w:eastAsia="宋体" w:cs="宋体"/>
          <w:color w:val="000000" w:themeColor="text1"/>
          <w:highlight w:val="none"/>
          <w14:textFill>
            <w14:solidFill>
              <w14:schemeClr w14:val="tx1"/>
            </w14:solidFill>
          </w14:textFill>
        </w:rPr>
        <w:t>（参考格式）</w:t>
      </w:r>
    </w:p>
    <w:p w14:paraId="4E3F6565">
      <w:pPr>
        <w:ind w:left="0" w:leftChars="0" w:firstLine="0" w:firstLineChars="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（采购人名称）</w:t>
      </w:r>
    </w:p>
    <w:p w14:paraId="7121B253">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本单位</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名称</w:t>
      </w:r>
      <w:r>
        <w:rPr>
          <w:rFonts w:hint="eastAsia" w:ascii="宋体" w:hAnsi="宋体" w:eastAsia="宋体" w:cs="宋体"/>
          <w:color w:val="000000" w:themeColor="text1"/>
          <w:highlight w:val="none"/>
          <w:lang w:val="en-US" w:eastAsia="zh-CN"/>
          <w14:textFill>
            <w14:solidFill>
              <w14:schemeClr w14:val="tx1"/>
            </w14:solidFill>
          </w14:textFill>
        </w:rPr>
        <w:t>或联合体全部成员名称</w:t>
      </w:r>
      <w:r>
        <w:rPr>
          <w:rFonts w:hint="eastAsia" w:ascii="宋体" w:hAnsi="宋体" w:eastAsia="宋体" w:cs="宋体"/>
          <w:color w:val="000000" w:themeColor="text1"/>
          <w:highlight w:val="none"/>
          <w14:textFill>
            <w14:solidFill>
              <w14:schemeClr w14:val="tx1"/>
            </w14:solidFill>
          </w14:textFill>
        </w:rPr>
        <w:t>）就参加</w:t>
      </w:r>
      <w:r>
        <w:rPr>
          <w:rFonts w:hint="eastAsia" w:ascii="宋体" w:hAnsi="宋体" w:eastAsia="宋体" w:cs="宋体"/>
          <w:b/>
          <w:bCs/>
          <w:color w:val="000000" w:themeColor="text1"/>
          <w:highlight w:val="none"/>
          <w:u w:val="single"/>
          <w:lang w:eastAsia="zh-CN"/>
          <w14:textFill>
            <w14:solidFill>
              <w14:schemeClr w14:val="tx1"/>
            </w14:solidFill>
          </w14:textFill>
        </w:rPr>
        <w:t>云南水利水电职业学院校史馆建设项目</w:t>
      </w:r>
      <w:r>
        <w:rPr>
          <w:rFonts w:hint="eastAsia" w:ascii="宋体" w:hAnsi="宋体" w:eastAsia="宋体" w:cs="宋体"/>
          <w:color w:val="000000" w:themeColor="text1"/>
          <w:highlight w:val="none"/>
          <w:lang w:val="en-US" w:eastAsia="zh-CN"/>
          <w14:textFill>
            <w14:solidFill>
              <w14:schemeClr w14:val="tx1"/>
            </w14:solidFill>
          </w14:textFill>
        </w:rPr>
        <w:t>（项目名称）</w:t>
      </w:r>
      <w:r>
        <w:rPr>
          <w:rFonts w:hint="eastAsia" w:ascii="宋体" w:hAnsi="宋体" w:eastAsia="宋体" w:cs="宋体"/>
          <w:color w:val="000000" w:themeColor="text1"/>
          <w:highlight w:val="none"/>
          <w14:textFill>
            <w14:solidFill>
              <w14:schemeClr w14:val="tx1"/>
            </w14:solidFill>
          </w14:textFill>
        </w:rPr>
        <w:t>政府采购活动，特作如下声明：​</w:t>
      </w:r>
    </w:p>
    <w:p w14:paraId="34C303CD">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1.我单位具备履行合同所必需的设备和专业技术能力。</w:t>
      </w:r>
    </w:p>
    <w:p w14:paraId="3875ADCF">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我单位承诺，上述声明内容真实、准确、完整，不存在任何虚假陈述或隐瞒。若本声明存在不实，如有虚假，愿意承担相应的法律责任。</w:t>
      </w:r>
    </w:p>
    <w:p w14:paraId="1599ABFA">
      <w:pPr>
        <w:ind w:firstLine="560"/>
        <w:jc w:val="both"/>
        <w:rPr>
          <w:rFonts w:hint="eastAsia" w:ascii="宋体" w:hAnsi="宋体" w:eastAsia="宋体" w:cs="宋体"/>
          <w:color w:val="000000" w:themeColor="text1"/>
          <w:highlight w:val="none"/>
          <w14:textFill>
            <w14:solidFill>
              <w14:schemeClr w14:val="tx1"/>
            </w14:solidFill>
          </w14:textFill>
        </w:rPr>
      </w:pPr>
    </w:p>
    <w:p w14:paraId="43675E20">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联合体牵头人</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（电子签章）</w:t>
      </w:r>
    </w:p>
    <w:p w14:paraId="6F92D653">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法定代表人或委托代理人：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（电子签章或电子签名）</w:t>
      </w:r>
    </w:p>
    <w:p w14:paraId="6F353326">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490DD1DE">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32391A8D">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格式1-4：依法缴纳税收和社会保障资金的相关材料：</w:t>
      </w:r>
    </w:p>
    <w:p w14:paraId="7AA5FF0A">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说明：此处提供在</w:t>
      </w:r>
      <w:r>
        <w:rPr>
          <w:rFonts w:hint="eastAsia" w:ascii="宋体" w:hAnsi="宋体" w:eastAsia="宋体" w:cs="宋体"/>
          <w:color w:val="000000" w:themeColor="text1"/>
          <w:highlight w:val="none"/>
          <w:lang w:eastAsia="zh-CN"/>
          <w14:textFill>
            <w14:solidFill>
              <w14:schemeClr w14:val="tx1"/>
            </w14:solidFill>
          </w14:textFill>
        </w:rPr>
        <w:t>响应文件</w:t>
      </w:r>
      <w:r>
        <w:rPr>
          <w:rFonts w:hint="eastAsia" w:ascii="宋体" w:hAnsi="宋体" w:eastAsia="宋体" w:cs="宋体"/>
          <w:color w:val="000000" w:themeColor="text1"/>
          <w:highlight w:val="none"/>
          <w14:textFill>
            <w14:solidFill>
              <w14:schemeClr w14:val="tx1"/>
            </w14:solidFill>
          </w14:textFill>
        </w:rPr>
        <w:t>提交截止时间前12个月内任意1个月的依法缴纳税收</w:t>
      </w:r>
      <w:r>
        <w:rPr>
          <w:rFonts w:hint="eastAsia" w:ascii="宋体" w:hAnsi="宋体" w:eastAsia="宋体" w:cs="宋体"/>
          <w:b/>
          <w:bCs/>
          <w:color w:val="000000" w:themeColor="text1"/>
          <w:highlight w:val="none"/>
          <w14:textFill>
            <w14:solidFill>
              <w14:schemeClr w14:val="tx1"/>
            </w14:solidFill>
          </w14:textFill>
        </w:rPr>
        <w:t>和</w:t>
      </w:r>
      <w:r>
        <w:rPr>
          <w:rFonts w:hint="eastAsia" w:ascii="宋体" w:hAnsi="宋体" w:eastAsia="宋体" w:cs="宋体"/>
          <w:color w:val="000000" w:themeColor="text1"/>
          <w:highlight w:val="none"/>
          <w14:textFill>
            <w14:solidFill>
              <w14:schemeClr w14:val="tx1"/>
            </w14:solidFill>
          </w14:textFill>
        </w:rPr>
        <w:t>依法缴纳社会保障资金的证明材料（供应商成立时间不足1个月的，提供相关情况说明；依法免税或不需要缴纳社会保障资金的供应商，应提供相应文件证明其依法免税或不需要缴纳社会保障资金）的原件扫描件（或复印件）</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eastAsia="zh-CN"/>
          <w14:textFill>
            <w14:solidFill>
              <w14:schemeClr w14:val="tx1"/>
            </w14:solidFill>
          </w14:textFill>
        </w:rPr>
        <w:t>若为联合体参加磋商的</w:t>
      </w:r>
      <w:r>
        <w:rPr>
          <w:rFonts w:hint="eastAsia" w:ascii="宋体" w:hAnsi="宋体" w:eastAsia="宋体" w:cs="宋体"/>
          <w:b/>
          <w:bCs/>
          <w:color w:val="000000" w:themeColor="text1"/>
          <w:szCs w:val="21"/>
          <w:highlight w:val="none"/>
          <w14:textFill>
            <w14:solidFill>
              <w14:schemeClr w14:val="tx1"/>
            </w14:solidFill>
          </w14:textFill>
        </w:rPr>
        <w:t>，联合体成员各方</w:t>
      </w:r>
      <w:r>
        <w:rPr>
          <w:rFonts w:hint="eastAsia" w:ascii="宋体" w:hAnsi="宋体" w:eastAsia="宋体" w:cs="宋体"/>
          <w:b/>
          <w:bCs/>
          <w:color w:val="000000" w:themeColor="text1"/>
          <w:szCs w:val="21"/>
          <w:highlight w:val="none"/>
          <w:lang w:eastAsia="zh-CN"/>
          <w14:textFill>
            <w14:solidFill>
              <w14:schemeClr w14:val="tx1"/>
            </w14:solidFill>
          </w14:textFill>
        </w:rPr>
        <w:t>均须</w:t>
      </w:r>
      <w:r>
        <w:rPr>
          <w:rFonts w:hint="eastAsia" w:ascii="宋体" w:hAnsi="宋体" w:eastAsia="宋体" w:cs="宋体"/>
          <w:b/>
          <w:bCs/>
          <w:color w:val="000000" w:themeColor="text1"/>
          <w:szCs w:val="21"/>
          <w:highlight w:val="none"/>
          <w:lang w:val="en-US" w:eastAsia="zh-CN"/>
          <w14:textFill>
            <w14:solidFill>
              <w14:schemeClr w14:val="tx1"/>
            </w14:solidFill>
          </w14:textFill>
        </w:rPr>
        <w:t>分别</w:t>
      </w:r>
      <w:r>
        <w:rPr>
          <w:rFonts w:hint="eastAsia" w:ascii="宋体" w:hAnsi="宋体" w:eastAsia="宋体" w:cs="宋体"/>
          <w:b/>
          <w:bCs/>
          <w:color w:val="000000" w:themeColor="text1"/>
          <w:szCs w:val="21"/>
          <w:highlight w:val="none"/>
          <w:lang w:eastAsia="zh-CN"/>
          <w14:textFill>
            <w14:solidFill>
              <w14:schemeClr w14:val="tx1"/>
            </w14:solidFill>
          </w14:textFill>
        </w:rPr>
        <w:t>提供</w:t>
      </w:r>
      <w:r>
        <w:rPr>
          <w:rFonts w:hint="eastAsia" w:ascii="宋体" w:hAnsi="宋体" w:eastAsia="宋体" w:cs="宋体"/>
          <w:color w:val="000000" w:themeColor="text1"/>
          <w:highlight w:val="none"/>
          <w14:textFill>
            <w14:solidFill>
              <w14:schemeClr w14:val="tx1"/>
            </w14:solidFill>
          </w14:textFill>
        </w:rPr>
        <w:br w:type="page"/>
      </w:r>
    </w:p>
    <w:p w14:paraId="4D3615CC">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格式1-5：</w:t>
      </w:r>
      <w:r>
        <w:rPr>
          <w:rFonts w:hint="eastAsia" w:ascii="宋体" w:hAnsi="宋体" w:eastAsia="宋体" w:cs="宋体"/>
          <w:color w:val="000000" w:themeColor="text1"/>
          <w:highlight w:val="none"/>
          <w:lang w:eastAsia="zh-CN"/>
          <w14:textFill>
            <w14:solidFill>
              <w14:schemeClr w14:val="tx1"/>
            </w14:solidFill>
          </w14:textFill>
        </w:rPr>
        <w:t>响应文件</w:t>
      </w:r>
      <w:r>
        <w:rPr>
          <w:rFonts w:hint="eastAsia" w:ascii="宋体" w:hAnsi="宋体" w:eastAsia="宋体" w:cs="宋体"/>
          <w:color w:val="000000" w:themeColor="text1"/>
          <w:highlight w:val="none"/>
          <w14:textFill>
            <w14:solidFill>
              <w14:schemeClr w14:val="tx1"/>
            </w14:solidFill>
          </w14:textFill>
        </w:rPr>
        <w:t>递交截止日前3年内，在经营活动中没有重大违法记录（重大违法记录指供应商因违法经营受到刑事处罚或者责令停产停业、吊销许可证或者执照、较大数额罚款等行政处罚）：</w:t>
      </w:r>
    </w:p>
    <w:p w14:paraId="60559285">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说明：此处提供书面声明</w:t>
      </w:r>
      <w:r>
        <w:rPr>
          <w:rFonts w:hint="eastAsia" w:ascii="宋体" w:hAnsi="宋体" w:eastAsia="宋体" w:cs="宋体"/>
          <w:b/>
          <w:color w:val="000000" w:themeColor="text1"/>
          <w:szCs w:val="21"/>
          <w:highlight w:val="none"/>
          <w14:textFill>
            <w14:solidFill>
              <w14:schemeClr w14:val="tx1"/>
            </w14:solidFill>
          </w14:textFill>
        </w:rPr>
        <w:t>。</w:t>
      </w:r>
    </w:p>
    <w:p w14:paraId="2A814E03">
      <w:pPr>
        <w:ind w:firstLine="0" w:firstLineChars="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书面声明</w:t>
      </w:r>
      <w:r>
        <w:rPr>
          <w:rFonts w:hint="eastAsia" w:ascii="宋体" w:hAnsi="宋体" w:eastAsia="宋体" w:cs="宋体"/>
          <w:color w:val="000000" w:themeColor="text1"/>
          <w:highlight w:val="none"/>
          <w14:textFill>
            <w14:solidFill>
              <w14:schemeClr w14:val="tx1"/>
            </w14:solidFill>
          </w14:textFill>
        </w:rPr>
        <w:t>（参考格式）</w:t>
      </w:r>
    </w:p>
    <w:p w14:paraId="3D9A93F2">
      <w:pPr>
        <w:ind w:firstLine="0" w:firstLineChars="0"/>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（采购人名称）</w:t>
      </w:r>
    </w:p>
    <w:p w14:paraId="6E2A6FF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本单位</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名称</w:t>
      </w:r>
      <w:r>
        <w:rPr>
          <w:rFonts w:hint="eastAsia" w:ascii="宋体" w:hAnsi="宋体" w:eastAsia="宋体" w:cs="宋体"/>
          <w:color w:val="000000" w:themeColor="text1"/>
          <w:highlight w:val="none"/>
          <w:lang w:val="en-US" w:eastAsia="zh-CN"/>
          <w14:textFill>
            <w14:solidFill>
              <w14:schemeClr w14:val="tx1"/>
            </w14:solidFill>
          </w14:textFill>
        </w:rPr>
        <w:t>或联合体全部成员名称</w:t>
      </w:r>
      <w:r>
        <w:rPr>
          <w:rFonts w:hint="eastAsia" w:ascii="宋体" w:hAnsi="宋体" w:eastAsia="宋体" w:cs="宋体"/>
          <w:color w:val="000000" w:themeColor="text1"/>
          <w:highlight w:val="none"/>
          <w14:textFill>
            <w14:solidFill>
              <w14:schemeClr w14:val="tx1"/>
            </w14:solidFill>
          </w14:textFill>
        </w:rPr>
        <w:t>）就参加</w:t>
      </w:r>
      <w:r>
        <w:rPr>
          <w:rFonts w:hint="eastAsia" w:ascii="宋体" w:hAnsi="宋体" w:eastAsia="宋体" w:cs="宋体"/>
          <w:b/>
          <w:bCs/>
          <w:color w:val="000000" w:themeColor="text1"/>
          <w:highlight w:val="none"/>
          <w:u w:val="single"/>
          <w:lang w:eastAsia="zh-CN"/>
          <w14:textFill>
            <w14:solidFill>
              <w14:schemeClr w14:val="tx1"/>
            </w14:solidFill>
          </w14:textFill>
        </w:rPr>
        <w:t>云南水利水电职业学院校史馆建设项目</w:t>
      </w:r>
      <w:r>
        <w:rPr>
          <w:rFonts w:hint="eastAsia" w:ascii="宋体" w:hAnsi="宋体" w:eastAsia="宋体" w:cs="宋体"/>
          <w:color w:val="000000" w:themeColor="text1"/>
          <w:highlight w:val="none"/>
          <w14:textFill>
            <w14:solidFill>
              <w14:schemeClr w14:val="tx1"/>
            </w14:solidFill>
          </w14:textFill>
        </w:rPr>
        <w:t>（项目名称）的政府采购活动，特作如下声明：</w:t>
      </w:r>
    </w:p>
    <w:p w14:paraId="6D17759B">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1.我单位在投标文件递交截止日前3年至今，在经营活动中没有重大违法记录（重大违法记录指</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因违法经营受到刑事处罚或者责令停产停业、吊销许可证或者执照、较大数额罚款的行政处罚）。</w:t>
      </w:r>
    </w:p>
    <w:p w14:paraId="3807B1C5">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我单位承诺，上述声明内容真实、准确、完整，不存在任何虚假陈述或隐瞒。若本声明存在不实，如有虚假，愿意承担相应的法律责任。</w:t>
      </w:r>
    </w:p>
    <w:p w14:paraId="1A3BB327">
      <w:pPr>
        <w:ind w:firstLine="560"/>
        <w:rPr>
          <w:rFonts w:hint="eastAsia" w:ascii="宋体" w:hAnsi="宋体" w:eastAsia="宋体" w:cs="宋体"/>
          <w:color w:val="000000" w:themeColor="text1"/>
          <w:highlight w:val="none"/>
          <w14:textFill>
            <w14:solidFill>
              <w14:schemeClr w14:val="tx1"/>
            </w14:solidFill>
          </w14:textFill>
        </w:rPr>
      </w:pPr>
    </w:p>
    <w:p w14:paraId="7F5497C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联合体牵头人</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（电子签章）</w:t>
      </w:r>
    </w:p>
    <w:p w14:paraId="6B50ECB0">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法定代表人或委托代理人：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（电子签章或电子签名）</w:t>
      </w:r>
    </w:p>
    <w:p w14:paraId="1A950BF5">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24DECBCB">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123D0064">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格式1-6：符合法律、行政法规规定的其他条件。</w:t>
      </w:r>
    </w:p>
    <w:p w14:paraId="75A64C51">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说明：此处提供书面声明</w:t>
      </w:r>
      <w:r>
        <w:rPr>
          <w:rFonts w:hint="eastAsia" w:ascii="宋体" w:hAnsi="宋体" w:eastAsia="宋体" w:cs="宋体"/>
          <w:b/>
          <w:color w:val="000000" w:themeColor="text1"/>
          <w:szCs w:val="21"/>
          <w:highlight w:val="none"/>
          <w14:textFill>
            <w14:solidFill>
              <w14:schemeClr w14:val="tx1"/>
            </w14:solidFill>
          </w14:textFill>
        </w:rPr>
        <w:t>。</w:t>
      </w:r>
    </w:p>
    <w:p w14:paraId="34795CAA">
      <w:pPr>
        <w:ind w:firstLine="0" w:firstLineChars="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书面声明</w:t>
      </w:r>
      <w:r>
        <w:rPr>
          <w:rFonts w:hint="eastAsia" w:ascii="宋体" w:hAnsi="宋体" w:eastAsia="宋体" w:cs="宋体"/>
          <w:color w:val="000000" w:themeColor="text1"/>
          <w:highlight w:val="none"/>
          <w14:textFill>
            <w14:solidFill>
              <w14:schemeClr w14:val="tx1"/>
            </w14:solidFill>
          </w14:textFill>
        </w:rPr>
        <w:t>（参考格式）</w:t>
      </w:r>
    </w:p>
    <w:p w14:paraId="2EE4B5C8">
      <w:pPr>
        <w:ind w:firstLine="0" w:firstLineChars="0"/>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（采购人名称）</w:t>
      </w:r>
    </w:p>
    <w:p w14:paraId="171E9333">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本单位</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名称</w:t>
      </w:r>
      <w:r>
        <w:rPr>
          <w:rFonts w:hint="eastAsia" w:ascii="宋体" w:hAnsi="宋体" w:eastAsia="宋体" w:cs="宋体"/>
          <w:color w:val="000000" w:themeColor="text1"/>
          <w:highlight w:val="none"/>
          <w:lang w:val="en-US" w:eastAsia="zh-CN"/>
          <w14:textFill>
            <w14:solidFill>
              <w14:schemeClr w14:val="tx1"/>
            </w14:solidFill>
          </w14:textFill>
        </w:rPr>
        <w:t>或联合体全部成员名称</w:t>
      </w:r>
      <w:r>
        <w:rPr>
          <w:rFonts w:hint="eastAsia" w:ascii="宋体" w:hAnsi="宋体" w:eastAsia="宋体" w:cs="宋体"/>
          <w:color w:val="000000" w:themeColor="text1"/>
          <w:highlight w:val="none"/>
          <w14:textFill>
            <w14:solidFill>
              <w14:schemeClr w14:val="tx1"/>
            </w14:solidFill>
          </w14:textFill>
        </w:rPr>
        <w:t>）就参加</w:t>
      </w:r>
      <w:r>
        <w:rPr>
          <w:rFonts w:hint="eastAsia" w:ascii="宋体" w:hAnsi="宋体" w:eastAsia="宋体" w:cs="宋体"/>
          <w:b/>
          <w:bCs/>
          <w:color w:val="000000" w:themeColor="text1"/>
          <w:highlight w:val="none"/>
          <w:u w:val="single"/>
          <w:lang w:eastAsia="zh-CN"/>
          <w14:textFill>
            <w14:solidFill>
              <w14:schemeClr w14:val="tx1"/>
            </w14:solidFill>
          </w14:textFill>
        </w:rPr>
        <w:t>云南水利水电职业学院校史馆建设项目</w:t>
      </w:r>
      <w:r>
        <w:rPr>
          <w:rFonts w:hint="eastAsia" w:ascii="宋体" w:hAnsi="宋体" w:eastAsia="宋体" w:cs="宋体"/>
          <w:color w:val="000000" w:themeColor="text1"/>
          <w:highlight w:val="none"/>
          <w14:textFill>
            <w14:solidFill>
              <w14:schemeClr w14:val="tx1"/>
            </w14:solidFill>
          </w14:textFill>
        </w:rPr>
        <w:t>（项目名称）的政府采购活动，特作如下声明：​</w:t>
      </w:r>
    </w:p>
    <w:p w14:paraId="0B01C154">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1.我单位符合法律、行政法规规定的其他条件。</w:t>
      </w:r>
    </w:p>
    <w:p w14:paraId="5D627706">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我单位承诺，上述声明内容真实、准确、完整，不存在任何虚假陈述或隐瞒。若本声明存在不实，如有虚假，愿意承担相应的法律责任。</w:t>
      </w:r>
    </w:p>
    <w:p w14:paraId="257D1446">
      <w:pPr>
        <w:ind w:firstLine="560"/>
        <w:rPr>
          <w:rFonts w:hint="eastAsia" w:ascii="宋体" w:hAnsi="宋体" w:eastAsia="宋体" w:cs="宋体"/>
          <w:color w:val="000000" w:themeColor="text1"/>
          <w:highlight w:val="none"/>
          <w14:textFill>
            <w14:solidFill>
              <w14:schemeClr w14:val="tx1"/>
            </w14:solidFill>
          </w14:textFill>
        </w:rPr>
      </w:pPr>
    </w:p>
    <w:p w14:paraId="4A7F74E8">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联合体牵头人</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（电子签章）</w:t>
      </w:r>
    </w:p>
    <w:p w14:paraId="16B4B9F5">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法定代表人或委托代理人：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（电子签章或电子签名）</w:t>
      </w:r>
    </w:p>
    <w:p w14:paraId="2E4E9F08">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73E3F72C">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0B8E4A80">
      <w:pPr>
        <w:pStyle w:val="4"/>
        <w:ind w:firstLine="562"/>
        <w:rPr>
          <w:rFonts w:hint="eastAsia" w:ascii="宋体" w:hAnsi="宋体" w:eastAsia="宋体" w:cs="宋体"/>
          <w:color w:val="000000" w:themeColor="text1"/>
          <w:highlight w:val="none"/>
          <w14:textFill>
            <w14:solidFill>
              <w14:schemeClr w14:val="tx1"/>
            </w14:solidFill>
          </w14:textFill>
        </w:rPr>
      </w:pPr>
      <w:bookmarkStart w:id="1369" w:name="_Toc18584"/>
      <w:bookmarkStart w:id="1370" w:name="_Toc12251"/>
      <w:bookmarkStart w:id="1371" w:name="_Toc427693203"/>
      <w:bookmarkStart w:id="1372" w:name="_Toc20035"/>
      <w:bookmarkStart w:id="1373" w:name="_Toc11405"/>
      <w:bookmarkStart w:id="1374" w:name="_Toc832528053"/>
      <w:r>
        <w:rPr>
          <w:rFonts w:hint="eastAsia" w:ascii="宋体" w:hAnsi="宋体" w:eastAsia="宋体" w:cs="宋体"/>
          <w:color w:val="000000" w:themeColor="text1"/>
          <w:highlight w:val="none"/>
          <w14:textFill>
            <w14:solidFill>
              <w14:schemeClr w14:val="tx1"/>
            </w14:solidFill>
          </w14:textFill>
        </w:rPr>
        <w:t>格式2：落实政府采购政策需满足的资格要求：</w:t>
      </w:r>
      <w:bookmarkEnd w:id="1369"/>
      <w:bookmarkEnd w:id="1370"/>
      <w:bookmarkEnd w:id="1371"/>
      <w:bookmarkEnd w:id="1372"/>
      <w:bookmarkEnd w:id="1373"/>
      <w:bookmarkEnd w:id="1374"/>
    </w:p>
    <w:p w14:paraId="6CCCB92F">
      <w:pPr>
        <w:pStyle w:val="5"/>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格式2-1 中小企业声明函、监狱企业证明文件及残疾人福利性单位声明函</w:t>
      </w:r>
    </w:p>
    <w:p w14:paraId="3D762282">
      <w:pPr>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中小企业声明函（工程、服务）</w:t>
      </w:r>
    </w:p>
    <w:p w14:paraId="320357C5">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本公司（联合体）郑重声明，根据《政府采购促进中小 企业发展管理办法》（财库﹝2020﹞46 号）的规定，本公司（联合体）参加</w:t>
      </w:r>
      <w:r>
        <w:rPr>
          <w:rFonts w:hint="eastAsia" w:ascii="宋体" w:hAnsi="宋体" w:eastAsia="宋体" w:cs="宋体"/>
          <w:b/>
          <w:bCs/>
          <w:color w:val="000000" w:themeColor="text1"/>
          <w:highlight w:val="none"/>
          <w:u w:val="single"/>
          <w14:textFill>
            <w14:solidFill>
              <w14:schemeClr w14:val="tx1"/>
            </w14:solidFill>
          </w14:textFill>
        </w:rPr>
        <w:t>云南水利水电职业学院</w:t>
      </w:r>
      <w:r>
        <w:rPr>
          <w:rFonts w:hint="eastAsia" w:ascii="宋体" w:hAnsi="宋体" w:eastAsia="宋体" w:cs="宋体"/>
          <w:color w:val="000000" w:themeColor="text1"/>
          <w:highlight w:val="none"/>
          <w14:textFill>
            <w14:solidFill>
              <w14:schemeClr w14:val="tx1"/>
            </w14:solidFill>
          </w14:textFill>
        </w:rPr>
        <w:t>的</w:t>
      </w:r>
      <w:r>
        <w:rPr>
          <w:rFonts w:hint="eastAsia" w:ascii="宋体" w:hAnsi="宋体" w:eastAsia="宋体" w:cs="宋体"/>
          <w:b/>
          <w:bCs/>
          <w:color w:val="000000" w:themeColor="text1"/>
          <w:highlight w:val="none"/>
          <w:u w:val="single"/>
          <w:lang w:eastAsia="zh-CN"/>
          <w14:textFill>
            <w14:solidFill>
              <w14:schemeClr w14:val="tx1"/>
            </w14:solidFill>
          </w14:textFill>
        </w:rPr>
        <w:t>云南水利水电职业学院校史馆建设项目</w:t>
      </w:r>
      <w:r>
        <w:rPr>
          <w:rFonts w:hint="eastAsia" w:ascii="宋体" w:hAnsi="宋体" w:eastAsia="宋体" w:cs="宋体"/>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1CE9D196">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b/>
          <w:bCs/>
          <w:color w:val="000000" w:themeColor="text1"/>
          <w:highlight w:val="none"/>
          <w:u w:val="single"/>
          <w:lang w:eastAsia="zh-CN"/>
          <w14:textFill>
            <w14:solidFill>
              <w14:schemeClr w14:val="tx1"/>
            </w14:solidFill>
          </w14:textFill>
        </w:rPr>
        <w:t>云南水利水电职业学院校史馆建设项目</w:t>
      </w:r>
      <w:r>
        <w:rPr>
          <w:rFonts w:hint="eastAsia" w:ascii="宋体" w:hAnsi="宋体" w:eastAsia="宋体" w:cs="宋体"/>
          <w:color w:val="000000" w:themeColor="text1"/>
          <w:highlight w:val="none"/>
          <w14:textFill>
            <w14:solidFill>
              <w14:schemeClr w14:val="tx1"/>
            </w14:solidFill>
          </w14:textFill>
        </w:rPr>
        <w:t>（标的名称），属于</w:t>
      </w:r>
      <w:r>
        <w:rPr>
          <w:rFonts w:hint="eastAsia" w:ascii="宋体" w:hAnsi="宋体" w:eastAsia="宋体" w:cs="宋体"/>
          <w:b/>
          <w:bCs/>
          <w:color w:val="000000" w:themeColor="text1"/>
          <w:highlight w:val="none"/>
          <w:u w:val="single"/>
          <w14:textFill>
            <w14:solidFill>
              <w14:schemeClr w14:val="tx1"/>
            </w14:solidFill>
          </w14:textFill>
        </w:rPr>
        <w:t>建筑业</w:t>
      </w:r>
      <w:r>
        <w:rPr>
          <w:rFonts w:hint="eastAsia" w:ascii="宋体" w:hAnsi="宋体" w:eastAsia="宋体" w:cs="宋体"/>
          <w:color w:val="000000" w:themeColor="text1"/>
          <w:highlight w:val="none"/>
          <w14:textFill>
            <w14:solidFill>
              <w14:schemeClr w14:val="tx1"/>
            </w14:solidFill>
          </w14:textFill>
        </w:rPr>
        <w:t>；承接企业为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（企业名称），从业人员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（中型企业、小型企业、微型企业）。</w:t>
      </w:r>
    </w:p>
    <w:p w14:paraId="5C786D92">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b/>
          <w:bCs/>
          <w:color w:val="000000" w:themeColor="text1"/>
          <w:highlight w:val="none"/>
          <w:u w:val="single"/>
          <w:lang w:eastAsia="zh-CN"/>
          <w14:textFill>
            <w14:solidFill>
              <w14:schemeClr w14:val="tx1"/>
            </w14:solidFill>
          </w14:textFill>
        </w:rPr>
        <w:t>云南水利水电职业学院校史馆建设项目</w:t>
      </w:r>
      <w:r>
        <w:rPr>
          <w:rFonts w:hint="eastAsia" w:ascii="宋体" w:hAnsi="宋体" w:eastAsia="宋体" w:cs="宋体"/>
          <w:color w:val="000000" w:themeColor="text1"/>
          <w:highlight w:val="none"/>
          <w14:textFill>
            <w14:solidFill>
              <w14:schemeClr w14:val="tx1"/>
            </w14:solidFill>
          </w14:textFill>
        </w:rPr>
        <w:t>（标的名称），属于</w:t>
      </w:r>
      <w:r>
        <w:rPr>
          <w:rFonts w:hint="eastAsia" w:ascii="宋体" w:hAnsi="宋体" w:eastAsia="宋体" w:cs="宋体"/>
          <w:b/>
          <w:bCs/>
          <w:color w:val="000000" w:themeColor="text1"/>
          <w:highlight w:val="none"/>
          <w:u w:val="single"/>
          <w14:textFill>
            <w14:solidFill>
              <w14:schemeClr w14:val="tx1"/>
            </w14:solidFill>
          </w14:textFill>
        </w:rPr>
        <w:t>建筑业</w:t>
      </w:r>
      <w:r>
        <w:rPr>
          <w:rFonts w:hint="eastAsia" w:ascii="宋体" w:hAnsi="宋体" w:eastAsia="宋体" w:cs="宋体"/>
          <w:color w:val="000000" w:themeColor="text1"/>
          <w:highlight w:val="none"/>
          <w14:textFill>
            <w14:solidFill>
              <w14:schemeClr w14:val="tx1"/>
            </w14:solidFill>
          </w14:textFill>
        </w:rPr>
        <w:t>；承接企业为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（企业名称），从业人员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（中型企业、小型企业、微型企业）；</w:t>
      </w:r>
    </w:p>
    <w:p w14:paraId="392FF26A">
      <w:pPr>
        <w:ind w:firstLine="56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p>
    <w:p w14:paraId="3CAD768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以上企业，不属于大企业的分支机构，不存在控股股东 为大企业的情形，也不存在与大企业的负责人为同一人的情形。</w:t>
      </w:r>
    </w:p>
    <w:p w14:paraId="3A519EBE">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本企业对上述声明内容的真实性负责。如有虚假，将依 法承担相应责任。 </w:t>
      </w:r>
    </w:p>
    <w:p w14:paraId="429B2119">
      <w:pPr>
        <w:ind w:firstLine="5600" w:firstLineChars="20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企业名称</w:t>
      </w:r>
      <w:r>
        <w:rPr>
          <w:rFonts w:hint="eastAsia" w:ascii="宋体" w:hAnsi="宋体" w:eastAsia="宋体" w:cs="宋体"/>
          <w:color w:val="000000" w:themeColor="text1"/>
          <w:highlight w:val="none"/>
          <w:lang w:eastAsia="zh-CN"/>
          <w14:textFill>
            <w14:solidFill>
              <w14:schemeClr w14:val="tx1"/>
            </w14:solidFill>
          </w14:textFill>
        </w:rPr>
        <w:t>（电子签章或盖章）</w:t>
      </w:r>
      <w:r>
        <w:rPr>
          <w:rFonts w:hint="eastAsia" w:ascii="宋体" w:hAnsi="宋体" w:eastAsia="宋体" w:cs="宋体"/>
          <w:color w:val="000000" w:themeColor="text1"/>
          <w:highlight w:val="none"/>
          <w14:textFill>
            <w14:solidFill>
              <w14:schemeClr w14:val="tx1"/>
            </w14:solidFill>
          </w14:textFill>
        </w:rPr>
        <w:t xml:space="preserve">： </w:t>
      </w:r>
    </w:p>
    <w:p w14:paraId="54518297">
      <w:pPr>
        <w:ind w:firstLine="5600" w:firstLineChars="20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 </w:t>
      </w:r>
    </w:p>
    <w:p w14:paraId="5F4A9395">
      <w:pPr>
        <w:ind w:firstLine="56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说明：</w:t>
      </w:r>
    </w:p>
    <w:p w14:paraId="5F377AA8">
      <w:pPr>
        <w:ind w:firstLine="56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1.</w:t>
      </w:r>
      <w:r>
        <w:rPr>
          <w:rFonts w:hint="eastAsia" w:ascii="宋体" w:hAnsi="宋体" w:eastAsia="宋体" w:cs="宋体"/>
          <w:b/>
          <w:bCs/>
          <w:color w:val="000000" w:themeColor="text1"/>
          <w:highlight w:val="none"/>
          <w:lang w:eastAsia="zh-CN"/>
          <w14:textFill>
            <w14:solidFill>
              <w14:schemeClr w14:val="tx1"/>
            </w14:solidFill>
          </w14:textFill>
        </w:rPr>
        <w:t>供应商</w:t>
      </w:r>
      <w:r>
        <w:rPr>
          <w:rFonts w:hint="eastAsia" w:ascii="宋体" w:hAnsi="宋体" w:eastAsia="宋体" w:cs="宋体"/>
          <w:b/>
          <w:bCs/>
          <w:color w:val="000000" w:themeColor="text1"/>
          <w:highlight w:val="none"/>
          <w14:textFill>
            <w14:solidFill>
              <w14:schemeClr w14:val="tx1"/>
            </w14:solidFill>
          </w14:textFill>
        </w:rPr>
        <w:t>符合《政府采购促进中小企业发展管理办法》（财库﹝2020﹞46号）的规定，如实填写出具“中小企业声明函”。</w:t>
      </w:r>
    </w:p>
    <w:p w14:paraId="5A9B0586">
      <w:pPr>
        <w:ind w:firstLine="56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2</w:t>
      </w:r>
      <w:r>
        <w:rPr>
          <w:rFonts w:hint="eastAsia" w:ascii="宋体" w:hAnsi="宋体" w:eastAsia="宋体" w:cs="宋体"/>
          <w:b/>
          <w:bCs/>
          <w:color w:val="000000" w:themeColor="text1"/>
          <w:highlight w:val="none"/>
          <w14:textFill>
            <w14:solidFill>
              <w14:schemeClr w14:val="tx1"/>
            </w14:solidFill>
          </w14:textFill>
        </w:rPr>
        <w:t>.</w:t>
      </w:r>
      <w:r>
        <w:rPr>
          <w:rFonts w:hint="eastAsia" w:ascii="宋体" w:hAnsi="宋体" w:eastAsia="宋体" w:cs="宋体"/>
          <w:b/>
          <w:bCs/>
          <w:color w:val="000000" w:themeColor="text1"/>
          <w:highlight w:val="none"/>
          <w:lang w:eastAsia="zh-CN"/>
          <w14:textFill>
            <w14:solidFill>
              <w14:schemeClr w14:val="tx1"/>
            </w14:solidFill>
          </w14:textFill>
        </w:rPr>
        <w:t>供应商</w:t>
      </w:r>
      <w:r>
        <w:rPr>
          <w:rFonts w:hint="eastAsia" w:ascii="宋体" w:hAnsi="宋体" w:eastAsia="宋体" w:cs="宋体"/>
          <w:b/>
          <w:bCs/>
          <w:color w:val="000000" w:themeColor="text1"/>
          <w:highlight w:val="none"/>
          <w14:textFill>
            <w14:solidFill>
              <w14:schemeClr w14:val="tx1"/>
            </w14:solidFill>
          </w14:textFill>
        </w:rPr>
        <w:t>提供声明函内容不实的，属于提供虚假材料谋取中标、成交，依照《中华人民共和国政府采购法》等国家有关规定追究相应责任。</w:t>
      </w:r>
    </w:p>
    <w:p w14:paraId="2D3F9E54">
      <w:pPr>
        <w:ind w:firstLine="56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3</w:t>
      </w:r>
      <w:r>
        <w:rPr>
          <w:rFonts w:hint="eastAsia" w:ascii="宋体" w:hAnsi="宋体" w:eastAsia="宋体" w:cs="宋体"/>
          <w:b/>
          <w:bCs/>
          <w:color w:val="000000" w:themeColor="text1"/>
          <w:highlight w:val="none"/>
          <w14:textFill>
            <w14:solidFill>
              <w14:schemeClr w14:val="tx1"/>
            </w14:solidFill>
          </w14:textFill>
        </w:rPr>
        <w:t>.</w:t>
      </w:r>
      <w:r>
        <w:rPr>
          <w:rFonts w:hint="eastAsia" w:ascii="宋体" w:hAnsi="宋体" w:eastAsia="宋体" w:cs="宋体"/>
          <w:b/>
          <w:bCs/>
          <w:color w:val="000000" w:themeColor="text1"/>
          <w:highlight w:val="none"/>
          <w:lang w:eastAsia="zh-CN"/>
          <w14:textFill>
            <w14:solidFill>
              <w14:schemeClr w14:val="tx1"/>
            </w14:solidFill>
          </w14:textFill>
        </w:rPr>
        <w:t>本项目专门面向中小微企业采购</w:t>
      </w:r>
      <w:r>
        <w:rPr>
          <w:rFonts w:hint="eastAsia" w:ascii="宋体" w:hAnsi="宋体" w:eastAsia="宋体" w:cs="宋体"/>
          <w:b/>
          <w:bCs/>
          <w:color w:val="000000" w:themeColor="text1"/>
          <w:highlight w:val="none"/>
          <w14:textFill>
            <w14:solidFill>
              <w14:schemeClr w14:val="tx1"/>
            </w14:solidFill>
          </w14:textFill>
        </w:rPr>
        <w:t>，采购代理机构随中标结果公开中标人的《中小企业声明函》，接受社会监督。</w:t>
      </w:r>
    </w:p>
    <w:p w14:paraId="3255A2A1">
      <w:pPr>
        <w:ind w:firstLine="56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4..</w:t>
      </w:r>
      <w:r>
        <w:rPr>
          <w:rFonts w:hint="eastAsia" w:ascii="宋体" w:hAnsi="宋体" w:eastAsia="宋体" w:cs="宋体"/>
          <w:b/>
          <w:bCs/>
          <w:color w:val="000000" w:themeColor="text1"/>
          <w:highlight w:val="none"/>
          <w14:textFill>
            <w14:solidFill>
              <w14:schemeClr w14:val="tx1"/>
            </w14:solidFill>
          </w14:textFill>
        </w:rPr>
        <w:t>本项目所属行业：</w:t>
      </w:r>
      <w:r>
        <w:rPr>
          <w:rFonts w:hint="eastAsia" w:ascii="宋体" w:hAnsi="宋体" w:eastAsia="宋体" w:cs="宋体"/>
          <w:b/>
          <w:bCs/>
          <w:color w:val="000000" w:themeColor="text1"/>
          <w:highlight w:val="none"/>
          <w:u w:val="single"/>
          <w14:textFill>
            <w14:solidFill>
              <w14:schemeClr w14:val="tx1"/>
            </w14:solidFill>
          </w14:textFill>
        </w:rPr>
        <w:t>建筑业</w:t>
      </w:r>
      <w:r>
        <w:rPr>
          <w:rFonts w:hint="eastAsia" w:ascii="宋体" w:hAnsi="宋体" w:eastAsia="宋体" w:cs="宋体"/>
          <w:b/>
          <w:bCs/>
          <w:color w:val="000000" w:themeColor="text1"/>
          <w:highlight w:val="none"/>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A4CC472">
      <w:pPr>
        <w:ind w:firstLine="402"/>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br w:type="page"/>
      </w:r>
    </w:p>
    <w:p w14:paraId="0E19079C">
      <w:pPr>
        <w:ind w:firstLine="0" w:firstLineChars="0"/>
        <w:jc w:val="center"/>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监狱企业证明文件</w:t>
      </w:r>
    </w:p>
    <w:p w14:paraId="71459601">
      <w:pPr>
        <w:ind w:firstLine="560"/>
        <w:rPr>
          <w:rFonts w:hint="eastAsia" w:ascii="宋体" w:hAnsi="宋体" w:eastAsia="宋体" w:cs="宋体"/>
          <w:color w:val="000000" w:themeColor="text1"/>
          <w:highlight w:val="none"/>
          <w14:textFill>
            <w14:solidFill>
              <w14:schemeClr w14:val="tx1"/>
            </w14:solidFill>
          </w14:textFill>
        </w:rPr>
      </w:pPr>
    </w:p>
    <w:p w14:paraId="15989642">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C9190D">
      <w:pPr>
        <w:ind w:firstLine="560"/>
        <w:rPr>
          <w:rStyle w:val="66"/>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52D2CE9B">
      <w:pPr>
        <w:ind w:firstLine="480"/>
        <w:rPr>
          <w:rStyle w:val="66"/>
          <w:rFonts w:hint="eastAsia" w:ascii="宋体" w:hAnsi="宋体" w:eastAsia="宋体" w:cs="宋体"/>
          <w:color w:val="000000" w:themeColor="text1"/>
          <w:highlight w:val="none"/>
          <w14:textFill>
            <w14:solidFill>
              <w14:schemeClr w14:val="tx1"/>
            </w14:solidFill>
          </w14:textFill>
        </w:rPr>
      </w:pPr>
    </w:p>
    <w:p w14:paraId="7C4CE3B3">
      <w:pPr>
        <w:ind w:firstLine="480"/>
        <w:rPr>
          <w:rStyle w:val="66"/>
          <w:rFonts w:hint="eastAsia" w:ascii="宋体" w:hAnsi="宋体" w:eastAsia="宋体" w:cs="宋体"/>
          <w:color w:val="000000" w:themeColor="text1"/>
          <w:highlight w:val="none"/>
          <w14:textFill>
            <w14:solidFill>
              <w14:schemeClr w14:val="tx1"/>
            </w14:solidFill>
          </w14:textFill>
        </w:rPr>
      </w:pPr>
    </w:p>
    <w:p w14:paraId="1BC8E01E">
      <w:pPr>
        <w:spacing w:line="240" w:lineRule="auto"/>
        <w:ind w:firstLine="0" w:firstLineChars="0"/>
        <w:rPr>
          <w:rFonts w:hint="eastAsia" w:ascii="宋体" w:hAnsi="宋体" w:eastAsia="宋体" w:cs="宋体"/>
          <w:b/>
          <w:bCs/>
          <w:color w:val="000000" w:themeColor="text1"/>
          <w:sz w:val="18"/>
          <w:szCs w:val="18"/>
          <w:highlight w:val="none"/>
          <w14:textFill>
            <w14:solidFill>
              <w14:schemeClr w14:val="tx1"/>
            </w14:solidFill>
          </w14:textFill>
        </w:rPr>
      </w:pPr>
    </w:p>
    <w:p w14:paraId="044A8CE9">
      <w:pPr>
        <w:spacing w:line="240" w:lineRule="auto"/>
        <w:ind w:firstLine="0" w:firstLine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说明：1、供应商为监狱企业参加的提供；2、符合条件的监狱企业在参加政府采购活动时，应当按《财政部 司法部关于政府采购支持监狱企业发展有关问题的通知》（财库[2014]68号）提供规定的《监狱企业证明文件》，并对提供的证明文件真实性负责。</w:t>
      </w:r>
    </w:p>
    <w:p w14:paraId="3B0C67FD">
      <w:pPr>
        <w:ind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r>
    </w:p>
    <w:p w14:paraId="65FE283A">
      <w:pPr>
        <w:ind w:firstLine="0" w:firstLineChars="0"/>
        <w:jc w:val="center"/>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残疾人福利性单位声明函</w:t>
      </w:r>
    </w:p>
    <w:p w14:paraId="625A38AC">
      <w:pPr>
        <w:ind w:firstLine="0" w:firstLineChars="0"/>
        <w:jc w:val="center"/>
        <w:rPr>
          <w:rFonts w:hint="eastAsia" w:ascii="宋体" w:hAnsi="宋体" w:eastAsia="宋体" w:cs="宋体"/>
          <w:color w:val="000000" w:themeColor="text1"/>
          <w:sz w:val="18"/>
          <w:highlight w:val="none"/>
          <w:u w:val="single"/>
          <w14:textFill>
            <w14:solidFill>
              <w14:schemeClr w14:val="tx1"/>
            </w14:solidFill>
          </w14:textFill>
        </w:rPr>
      </w:pPr>
    </w:p>
    <w:p w14:paraId="3A3D0523">
      <w:pPr>
        <w:ind w:firstLine="584"/>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highlight w:val="none"/>
          <w14:textFill>
            <w14:solidFill>
              <w14:schemeClr w14:val="tx1"/>
            </w14:solidFill>
          </w14:textFill>
        </w:rPr>
        <w:t>〔2017〕 141</w:t>
      </w:r>
      <w:r>
        <w:rPr>
          <w:rFonts w:hint="eastAsia" w:ascii="宋体" w:hAnsi="宋体" w:eastAsia="宋体" w:cs="宋体"/>
          <w:color w:val="000000" w:themeColor="text1"/>
          <w:spacing w:val="6"/>
          <w:highlight w:val="none"/>
          <w14:textFill>
            <w14:solidFill>
              <w14:schemeClr w14:val="tx1"/>
            </w14:solidFill>
          </w14:textFill>
        </w:rPr>
        <w:t>号）的规定，本单位为符合条件的残疾人福利性单位，且本单位参加</w:t>
      </w:r>
      <w:r>
        <w:rPr>
          <w:rFonts w:hint="eastAsia" w:ascii="宋体" w:hAnsi="宋体" w:eastAsia="宋体" w:cs="宋体"/>
          <w:b/>
          <w:bCs/>
          <w:color w:val="000000" w:themeColor="text1"/>
          <w:spacing w:val="6"/>
          <w:highlight w:val="none"/>
          <w:u w:val="single"/>
          <w14:textFill>
            <w14:solidFill>
              <w14:schemeClr w14:val="tx1"/>
            </w14:solidFill>
          </w14:textFill>
        </w:rPr>
        <w:t>云南水利水电职业学院</w:t>
      </w:r>
      <w:r>
        <w:rPr>
          <w:rFonts w:hint="eastAsia" w:ascii="宋体" w:hAnsi="宋体" w:eastAsia="宋体" w:cs="宋体"/>
          <w:color w:val="000000" w:themeColor="text1"/>
          <w:spacing w:val="6"/>
          <w:highlight w:val="none"/>
          <w14:textFill>
            <w14:solidFill>
              <w14:schemeClr w14:val="tx1"/>
            </w14:solidFill>
          </w14:textFill>
        </w:rPr>
        <w:t>单位的</w:t>
      </w:r>
      <w:r>
        <w:rPr>
          <w:rFonts w:hint="eastAsia" w:ascii="宋体" w:hAnsi="宋体" w:eastAsia="宋体" w:cs="宋体"/>
          <w:b/>
          <w:bCs/>
          <w:color w:val="000000" w:themeColor="text1"/>
          <w:highlight w:val="none"/>
          <w:u w:val="single"/>
          <w:lang w:eastAsia="zh-CN"/>
          <w14:textFill>
            <w14:solidFill>
              <w14:schemeClr w14:val="tx1"/>
            </w14:solidFill>
          </w14:textFill>
        </w:rPr>
        <w:t>云南水利水电职业学院校史馆建设项目</w:t>
      </w:r>
      <w:r>
        <w:rPr>
          <w:rFonts w:hint="eastAsia" w:ascii="宋体" w:hAnsi="宋体" w:eastAsia="宋体" w:cs="宋体"/>
          <w:color w:val="000000" w:themeColor="text1"/>
          <w:spacing w:val="6"/>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51FAE3B5">
      <w:pPr>
        <w:ind w:firstLine="584"/>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t>本单位对上述声明的真实性负责。如有虚假，将依法承担相应责任。</w:t>
      </w:r>
    </w:p>
    <w:p w14:paraId="20FE8859">
      <w:pPr>
        <w:ind w:firstLine="584"/>
        <w:rPr>
          <w:rFonts w:hint="eastAsia" w:ascii="宋体" w:hAnsi="宋体" w:eastAsia="宋体" w:cs="宋体"/>
          <w:color w:val="000000" w:themeColor="text1"/>
          <w:spacing w:val="6"/>
          <w:highlight w:val="none"/>
          <w14:textFill>
            <w14:solidFill>
              <w14:schemeClr w14:val="tx1"/>
            </w14:solidFill>
          </w14:textFill>
        </w:rPr>
      </w:pPr>
    </w:p>
    <w:p w14:paraId="5FC17FE5">
      <w:pPr>
        <w:pStyle w:val="21"/>
        <w:jc w:val="righ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供应商：</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lang w:eastAsia="zh-CN"/>
          <w14:textFill>
            <w14:solidFill>
              <w14:schemeClr w14:val="tx1"/>
            </w14:solidFill>
          </w14:textFill>
        </w:rPr>
        <w:t>（电子签章或盖章）</w:t>
      </w:r>
    </w:p>
    <w:p w14:paraId="1D544B8F">
      <w:pPr>
        <w:pStyle w:val="21"/>
        <w:jc w:val="righ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法定代表人或委托代理人：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（电子签章或电子签名）</w:t>
      </w:r>
    </w:p>
    <w:p w14:paraId="45E37ED9">
      <w:pPr>
        <w:pStyle w:val="21"/>
        <w:ind w:firstLine="840" w:firstLineChars="300"/>
        <w:jc w:val="righ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  期：     年     月     日</w:t>
      </w:r>
    </w:p>
    <w:p w14:paraId="098AAB12">
      <w:pPr>
        <w:spacing w:line="240" w:lineRule="auto"/>
        <w:ind w:firstLine="0" w:firstLineChars="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说明：1、供应商为残疾人福利性单位参加的提供；2、符合条件的残疾人福利性单位在参加政府采购活动时，应当按《三部门联合发布关于促进残疾人就业政府采购政策的通知》（财库〔2017〕141号）提供规定的《残疾人福利性单位声明函》，并对声明的真实性负责。采购代理机构在随成交结果同时公告其《残疾人福利性单位声明函》，接受社会监督。供应商提供的《残疾人福利性单位声明函》与事实不符的，依照《政府采购法》第七十七条第一款的规定追究法律责任。</w:t>
      </w:r>
    </w:p>
    <w:p w14:paraId="27D1780E">
      <w:pPr>
        <w:ind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r>
    </w:p>
    <w:p w14:paraId="29F77280">
      <w:pPr>
        <w:pStyle w:val="4"/>
        <w:ind w:firstLine="562"/>
        <w:rPr>
          <w:rFonts w:hint="eastAsia" w:ascii="宋体" w:hAnsi="宋体" w:eastAsia="宋体" w:cs="宋体"/>
          <w:color w:val="000000" w:themeColor="text1"/>
          <w:sz w:val="28"/>
          <w:szCs w:val="28"/>
          <w:highlight w:val="none"/>
          <w14:textFill>
            <w14:solidFill>
              <w14:schemeClr w14:val="tx1"/>
            </w14:solidFill>
          </w14:textFill>
        </w:rPr>
      </w:pPr>
      <w:bookmarkStart w:id="1375" w:name="_Toc27989"/>
      <w:bookmarkStart w:id="1376" w:name="_Toc1477325104"/>
      <w:bookmarkStart w:id="1377" w:name="_Toc21710"/>
      <w:bookmarkStart w:id="1378" w:name="_Toc939204129"/>
      <w:bookmarkStart w:id="1379" w:name="_Toc3457"/>
      <w:bookmarkStart w:id="1380" w:name="_Toc139"/>
      <w:r>
        <w:rPr>
          <w:rFonts w:hint="eastAsia" w:ascii="宋体" w:hAnsi="宋体" w:eastAsia="宋体" w:cs="宋体"/>
          <w:color w:val="000000" w:themeColor="text1"/>
          <w:sz w:val="28"/>
          <w:szCs w:val="28"/>
          <w:highlight w:val="none"/>
          <w14:textFill>
            <w14:solidFill>
              <w14:schemeClr w14:val="tx1"/>
            </w14:solidFill>
          </w14:textFill>
        </w:rPr>
        <w:t>格式3：本项目的特定资格要求</w:t>
      </w:r>
      <w:bookmarkEnd w:id="1375"/>
      <w:bookmarkEnd w:id="1376"/>
      <w:bookmarkEnd w:id="1377"/>
      <w:bookmarkEnd w:id="1378"/>
      <w:bookmarkEnd w:id="1379"/>
      <w:bookmarkEnd w:id="1380"/>
    </w:p>
    <w:p w14:paraId="4E0ED0B3">
      <w:pPr>
        <w:pStyle w:val="5"/>
        <w:bidi w:val="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格式3</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 xml:space="preserve">1 </w:t>
      </w: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须同时具备以下</w:t>
      </w:r>
      <w:r>
        <w:rPr>
          <w:rFonts w:hint="eastAsia" w:ascii="宋体" w:hAnsi="宋体" w:eastAsia="宋体" w:cs="宋体"/>
          <w:color w:val="000000" w:themeColor="text1"/>
          <w:highlight w:val="none"/>
          <w:lang w:val="en-US" w:eastAsia="zh-CN"/>
          <w14:textFill>
            <w14:solidFill>
              <w14:schemeClr w14:val="tx1"/>
            </w14:solidFill>
          </w14:textFill>
        </w:rPr>
        <w:t>（1）、（2）</w:t>
      </w:r>
      <w:r>
        <w:rPr>
          <w:rFonts w:hint="eastAsia" w:ascii="宋体" w:hAnsi="宋体" w:eastAsia="宋体" w:cs="宋体"/>
          <w:color w:val="000000" w:themeColor="text1"/>
          <w:highlight w:val="none"/>
          <w14:textFill>
            <w14:solidFill>
              <w14:schemeClr w14:val="tx1"/>
            </w14:solidFill>
          </w14:textFill>
        </w:rPr>
        <w:t>资质</w:t>
      </w:r>
      <w:r>
        <w:rPr>
          <w:rFonts w:hint="eastAsia" w:ascii="宋体" w:hAnsi="宋体" w:eastAsia="宋体" w:cs="宋体"/>
          <w:color w:val="000000" w:themeColor="text1"/>
          <w:highlight w:val="none"/>
          <w:lang w:eastAsia="zh-CN"/>
          <w14:textFill>
            <w14:solidFill>
              <w14:schemeClr w14:val="tx1"/>
            </w14:solidFill>
          </w14:textFill>
        </w:rPr>
        <w:t>，资质证书处于有效期内：</w:t>
      </w:r>
    </w:p>
    <w:p w14:paraId="2B6562E6">
      <w:pPr>
        <w:shd w:val="clear"/>
        <w:ind w:firstLine="56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（1）具备建设行政主管部门核发的工程设计综合甲级资质或建筑行业（建筑工程）专业乙级及以上资质或建筑装饰工程设计专项乙级及以上资质；</w:t>
      </w:r>
    </w:p>
    <w:p w14:paraId="4599BD31">
      <w:pPr>
        <w:shd w:val="clear"/>
        <w:ind w:firstLine="56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（2）具备建设行政主管部门颁发的建筑工程施工总承包三级及以上资质或建筑装修装饰工程专业承包二级及以上资质，且具备安全生产许可证。</w:t>
      </w:r>
    </w:p>
    <w:p w14:paraId="44638ABD">
      <w:pPr>
        <w:shd w:val="clear"/>
        <w:ind w:firstLine="560"/>
        <w:jc w:val="both"/>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注：此处提供资质证书及安全生产许可证（负责施工的单位提供）</w:t>
      </w:r>
      <w:r>
        <w:rPr>
          <w:rFonts w:hint="eastAsia" w:ascii="宋体" w:hAnsi="宋体" w:eastAsia="宋体" w:cs="宋体"/>
          <w:color w:val="000000" w:themeColor="text1"/>
          <w:highlight w:val="none"/>
          <w14:textFill>
            <w14:solidFill>
              <w14:schemeClr w14:val="tx1"/>
            </w14:solidFill>
          </w14:textFill>
        </w:rPr>
        <w:t>原件扫描件（或复印件）</w:t>
      </w:r>
      <w:r>
        <w:rPr>
          <w:rFonts w:hint="eastAsia" w:ascii="宋体" w:hAnsi="宋体" w:eastAsia="宋体" w:cs="宋体"/>
          <w:color w:val="000000" w:themeColor="text1"/>
          <w:highlight w:val="none"/>
          <w:lang w:val="en-US" w:eastAsia="zh-CN"/>
          <w14:textFill>
            <w14:solidFill>
              <w14:schemeClr w14:val="tx1"/>
            </w14:solidFill>
          </w14:textFill>
        </w:rPr>
        <w:t>，未在有效期内的应提供行政主管部门的证明文件。</w:t>
      </w:r>
      <w:r>
        <w:rPr>
          <w:rFonts w:hint="eastAsia" w:ascii="宋体" w:hAnsi="宋体" w:eastAsia="宋体" w:cs="宋体"/>
          <w:b/>
          <w:bCs/>
          <w:color w:val="000000" w:themeColor="text1"/>
          <w:szCs w:val="21"/>
          <w:highlight w:val="none"/>
          <w:lang w:eastAsia="zh-CN"/>
          <w14:textFill>
            <w14:solidFill>
              <w14:schemeClr w14:val="tx1"/>
            </w14:solidFill>
          </w14:textFill>
        </w:rPr>
        <w:t>若为联合体参加磋商的</w:t>
      </w:r>
      <w:r>
        <w:rPr>
          <w:rFonts w:hint="eastAsia" w:ascii="宋体" w:hAnsi="宋体" w:eastAsia="宋体" w:cs="宋体"/>
          <w:b/>
          <w:bCs/>
          <w:color w:val="000000" w:themeColor="text1"/>
          <w:szCs w:val="21"/>
          <w:highlight w:val="none"/>
          <w14:textFill>
            <w14:solidFill>
              <w14:schemeClr w14:val="tx1"/>
            </w14:solidFill>
          </w14:textFill>
        </w:rPr>
        <w:t>，联合体成员各方</w:t>
      </w:r>
      <w:r>
        <w:rPr>
          <w:rFonts w:hint="eastAsia" w:ascii="宋体" w:hAnsi="宋体" w:eastAsia="宋体" w:cs="宋体"/>
          <w:b/>
          <w:bCs/>
          <w:color w:val="000000" w:themeColor="text1"/>
          <w:szCs w:val="21"/>
          <w:highlight w:val="none"/>
          <w:lang w:val="en-US" w:eastAsia="zh-CN"/>
          <w14:textFill>
            <w14:solidFill>
              <w14:schemeClr w14:val="tx1"/>
            </w14:solidFill>
          </w14:textFill>
        </w:rPr>
        <w:t>分别</w:t>
      </w:r>
      <w:r>
        <w:rPr>
          <w:rFonts w:hint="eastAsia" w:ascii="宋体" w:hAnsi="宋体" w:eastAsia="宋体" w:cs="宋体"/>
          <w:b/>
          <w:bCs/>
          <w:color w:val="000000" w:themeColor="text1"/>
          <w:szCs w:val="21"/>
          <w:highlight w:val="none"/>
          <w:lang w:eastAsia="zh-CN"/>
          <w14:textFill>
            <w14:solidFill>
              <w14:schemeClr w14:val="tx1"/>
            </w14:solidFill>
          </w14:textFill>
        </w:rPr>
        <w:t>提供。</w:t>
      </w:r>
    </w:p>
    <w:p w14:paraId="02435EE0">
      <w:pPr>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br w:type="page"/>
      </w:r>
    </w:p>
    <w:p w14:paraId="0B7DADCF">
      <w:pPr>
        <w:pStyle w:val="5"/>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格式3</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拟派往本项目的人员资格</w:t>
      </w:r>
    </w:p>
    <w:p w14:paraId="65A64579">
      <w:pPr>
        <w:shd w:val="clear"/>
        <w:ind w:firstLine="56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（1）设计项目负责人：具有中级及以上专业技术职称证书，为供应商单位正式员工。</w:t>
      </w:r>
    </w:p>
    <w:p w14:paraId="247A10F0">
      <w:pPr>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注：</w:t>
      </w:r>
      <w:r>
        <w:rPr>
          <w:rFonts w:hint="eastAsia" w:ascii="宋体" w:hAnsi="宋体" w:eastAsia="宋体" w:cs="宋体"/>
          <w:color w:val="000000" w:themeColor="text1"/>
          <w:sz w:val="24"/>
          <w:szCs w:val="24"/>
          <w14:textFill>
            <w14:solidFill>
              <w14:schemeClr w14:val="tx1"/>
            </w14:solidFill>
          </w14:textFill>
        </w:rPr>
        <w:t>此处提供</w:t>
      </w:r>
      <w:r>
        <w:rPr>
          <w:rFonts w:hint="eastAsia" w:ascii="宋体" w:hAnsi="宋体" w:eastAsia="宋体" w:cs="宋体"/>
          <w:color w:val="000000" w:themeColor="text1"/>
          <w:sz w:val="24"/>
          <w:szCs w:val="24"/>
          <w:lang w:val="en-US" w:eastAsia="zh-CN"/>
          <w14:textFill>
            <w14:solidFill>
              <w14:schemeClr w14:val="tx1"/>
            </w14:solidFill>
          </w14:textFill>
        </w:rPr>
        <w:t>证书和其在供应商单位参加社会保险证明资料的</w:t>
      </w:r>
      <w:r>
        <w:rPr>
          <w:rFonts w:hint="eastAsia" w:ascii="宋体" w:hAnsi="宋体" w:eastAsia="宋体" w:cs="宋体"/>
          <w:color w:val="000000" w:themeColor="text1"/>
          <w:highlight w:val="none"/>
          <w14:textFill>
            <w14:solidFill>
              <w14:schemeClr w14:val="tx1"/>
            </w14:solidFill>
          </w14:textFill>
        </w:rPr>
        <w:t>原件扫描件（或复印件）</w:t>
      </w:r>
      <w:r>
        <w:rPr>
          <w:rFonts w:hint="eastAsia" w:ascii="宋体" w:hAnsi="宋体" w:eastAsia="宋体" w:cs="宋体"/>
          <w:color w:val="000000" w:themeColor="text1"/>
          <w:sz w:val="24"/>
          <w:szCs w:val="24"/>
          <w14:textFill>
            <w14:solidFill>
              <w14:schemeClr w14:val="tx1"/>
            </w14:solidFill>
          </w14:textFill>
        </w:rPr>
        <w:t>。</w:t>
      </w:r>
    </w:p>
    <w:p w14:paraId="5353CA77">
      <w:pPr>
        <w:shd w:val="clear"/>
        <w:bidi w:val="0"/>
        <w:ind w:left="0" w:leftChars="0" w:firstLine="560" w:firstLineChars="200"/>
        <w:rPr>
          <w:rFonts w:hint="eastAsia" w:ascii="宋体" w:hAnsi="宋体" w:eastAsia="宋体" w:cs="宋体"/>
          <w:color w:val="000000" w:themeColor="text1"/>
          <w:highlight w:val="none"/>
          <w:lang w:val="en-US" w:eastAsia="zh-CN"/>
          <w14:textFill>
            <w14:solidFill>
              <w14:schemeClr w14:val="tx1"/>
            </w14:solidFill>
          </w14:textFill>
        </w:rPr>
      </w:pPr>
    </w:p>
    <w:p w14:paraId="6BED0C7D">
      <w:pPr>
        <w:shd w:val="clear"/>
        <w:bidi w:val="0"/>
        <w:ind w:left="0" w:leftChars="0" w:firstLine="560" w:firstLineChars="200"/>
        <w:rPr>
          <w:rFonts w:hint="eastAsia" w:ascii="宋体" w:hAnsi="宋体" w:eastAsia="宋体" w:cs="宋体"/>
          <w:color w:val="000000" w:themeColor="text1"/>
          <w:highlight w:val="none"/>
          <w:lang w:val="en-US" w:eastAsia="zh-CN"/>
          <w14:textFill>
            <w14:solidFill>
              <w14:schemeClr w14:val="tx1"/>
            </w14:solidFill>
          </w14:textFill>
        </w:rPr>
      </w:pPr>
    </w:p>
    <w:p w14:paraId="1179A61A">
      <w:pPr>
        <w:shd w:val="clear"/>
        <w:bidi w:val="0"/>
        <w:ind w:left="0" w:leftChars="0" w:firstLine="560" w:firstLineChars="20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（2）施工项目负责人：</w:t>
      </w:r>
    </w:p>
    <w:p w14:paraId="6B77F073">
      <w:pPr>
        <w:shd w:val="clear"/>
        <w:bidi w:val="0"/>
        <w:ind w:left="0" w:leftChars="0" w:firstLine="48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①具有二级及以上注册建造师执业资格证书（建筑工程专业），并取得住建部门颁发或核发的有效B类安全生产考核合格证书，为供应商单位正式员工。</w:t>
      </w:r>
    </w:p>
    <w:p w14:paraId="1F8F9EAD">
      <w:pPr>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注：</w:t>
      </w:r>
      <w:r>
        <w:rPr>
          <w:rFonts w:hint="eastAsia" w:ascii="宋体" w:hAnsi="宋体" w:eastAsia="宋体" w:cs="宋体"/>
          <w:color w:val="000000" w:themeColor="text1"/>
          <w:sz w:val="22"/>
          <w:szCs w:val="22"/>
          <w14:textFill>
            <w14:solidFill>
              <w14:schemeClr w14:val="tx1"/>
            </w14:solidFill>
          </w14:textFill>
        </w:rPr>
        <w:t>此处提供</w:t>
      </w:r>
      <w:r>
        <w:rPr>
          <w:rFonts w:hint="eastAsia" w:ascii="宋体" w:hAnsi="宋体" w:eastAsia="宋体" w:cs="宋体"/>
          <w:color w:val="000000" w:themeColor="text1"/>
          <w:sz w:val="22"/>
          <w:szCs w:val="22"/>
          <w:lang w:val="en-US" w:eastAsia="zh-CN"/>
          <w14:textFill>
            <w14:solidFill>
              <w14:schemeClr w14:val="tx1"/>
            </w14:solidFill>
          </w14:textFill>
        </w:rPr>
        <w:t>证书和其在供应商单位参加社会保险证明资料的</w:t>
      </w:r>
      <w:r>
        <w:rPr>
          <w:rFonts w:hint="eastAsia" w:ascii="宋体" w:hAnsi="宋体" w:eastAsia="宋体" w:cs="宋体"/>
          <w:color w:val="000000" w:themeColor="text1"/>
          <w:sz w:val="24"/>
          <w:szCs w:val="24"/>
          <w:highlight w:val="none"/>
          <w14:textFill>
            <w14:solidFill>
              <w14:schemeClr w14:val="tx1"/>
            </w14:solidFill>
          </w14:textFill>
        </w:rPr>
        <w:t>原件扫描件（或复印件）</w:t>
      </w:r>
      <w:r>
        <w:rPr>
          <w:rFonts w:hint="eastAsia" w:ascii="宋体" w:hAnsi="宋体" w:eastAsia="宋体" w:cs="宋体"/>
          <w:color w:val="000000" w:themeColor="text1"/>
          <w:sz w:val="22"/>
          <w:szCs w:val="22"/>
          <w14:textFill>
            <w14:solidFill>
              <w14:schemeClr w14:val="tx1"/>
            </w14:solidFill>
          </w14:textFill>
        </w:rPr>
        <w:t>。</w:t>
      </w:r>
    </w:p>
    <w:p w14:paraId="4A7C2FBC">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14:paraId="051FE75F">
      <w:pPr>
        <w:shd w:val="clea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②不得同时在两个或者两个以上工程项目担任施工项目负责人，且不得兼任本项目设计项目负责人。</w:t>
      </w:r>
    </w:p>
    <w:p w14:paraId="04713139">
      <w:pPr>
        <w:bidi w:val="0"/>
        <w:ind w:left="0" w:leftChars="0" w:firstLine="0" w:firstLineChars="0"/>
        <w:jc w:val="center"/>
        <w:rPr>
          <w:rFonts w:hint="eastAsia" w:ascii="宋体" w:hAnsi="宋体" w:eastAsia="宋体" w:cs="宋体"/>
          <w:b/>
          <w:bCs/>
          <w:color w:val="000000" w:themeColor="text1"/>
          <w:sz w:val="40"/>
          <w:szCs w:val="40"/>
          <w:highlight w:val="none"/>
          <w:lang w:val="en-US" w:eastAsia="zh-CN"/>
          <w14:textFill>
            <w14:solidFill>
              <w14:schemeClr w14:val="tx1"/>
            </w14:solidFill>
          </w14:textFill>
        </w:rPr>
      </w:pPr>
      <w:r>
        <w:rPr>
          <w:rFonts w:hint="eastAsia" w:ascii="宋体" w:hAnsi="宋体" w:eastAsia="宋体" w:cs="宋体"/>
          <w:b/>
          <w:bCs/>
          <w:color w:val="000000" w:themeColor="text1"/>
          <w:sz w:val="40"/>
          <w:szCs w:val="40"/>
          <w:highlight w:val="none"/>
          <w:lang w:val="en-US" w:eastAsia="zh-CN"/>
          <w14:textFill>
            <w14:solidFill>
              <w14:schemeClr w14:val="tx1"/>
            </w14:solidFill>
          </w14:textFill>
        </w:rPr>
        <w:t>承诺书</w:t>
      </w:r>
    </w:p>
    <w:p w14:paraId="5A4E3738">
      <w:pPr>
        <w:pStyle w:val="30"/>
        <w:shd w:val="clear"/>
        <w:wordWrap w:val="0"/>
        <w:adjustRightInd w:val="0"/>
        <w:snapToGrid w:val="0"/>
        <w:spacing w:before="0" w:beforeAutospacing="0" w:after="0" w:afterAutospacing="0" w:line="360" w:lineRule="auto"/>
        <w:ind w:left="0" w:leftChars="0" w:firstLine="0" w:firstLineChars="0"/>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致：</w:t>
      </w:r>
      <w:r>
        <w:rPr>
          <w:rFonts w:hint="eastAsia" w:ascii="宋体" w:hAnsi="宋体" w:eastAsia="宋体" w:cs="宋体"/>
          <w:b/>
          <w:bCs/>
          <w:color w:val="000000" w:themeColor="text1"/>
          <w:sz w:val="28"/>
          <w:szCs w:val="28"/>
          <w:highlight w:val="none"/>
          <w:u w:val="single"/>
          <w:lang w:eastAsia="zh-CN"/>
          <w14:textFill>
            <w14:solidFill>
              <w14:schemeClr w14:val="tx1"/>
            </w14:solidFill>
          </w14:textFill>
        </w:rPr>
        <w:t>云南水利水电职业学院</w:t>
      </w:r>
    </w:p>
    <w:p w14:paraId="461DFBD3">
      <w:pPr>
        <w:pStyle w:val="14"/>
        <w:shd w:val="clear"/>
        <w:ind w:firstLine="560" w:firstLineChars="200"/>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本企业参与</w:t>
      </w:r>
      <w:r>
        <w:rPr>
          <w:rFonts w:hint="eastAsia" w:ascii="宋体" w:hAnsi="宋体" w:eastAsia="宋体" w:cs="宋体"/>
          <w:b/>
          <w:bCs/>
          <w:color w:val="000000" w:themeColor="text1"/>
          <w:sz w:val="28"/>
          <w:szCs w:val="28"/>
          <w:highlight w:val="none"/>
          <w:u w:val="single"/>
          <w:lang w:val="en-US" w:eastAsia="zh-CN"/>
          <w14:textFill>
            <w14:solidFill>
              <w14:schemeClr w14:val="tx1"/>
            </w14:solidFill>
          </w14:textFill>
        </w:rPr>
        <w:t>云南水利水电职业学院校史馆建设项目</w:t>
      </w:r>
      <w:r>
        <w:rPr>
          <w:rFonts w:hint="eastAsia" w:ascii="宋体" w:hAnsi="宋体" w:eastAsia="宋体" w:cs="宋体"/>
          <w:color w:val="000000" w:themeColor="text1"/>
          <w:sz w:val="28"/>
          <w:szCs w:val="28"/>
          <w:highlight w:val="none"/>
          <w14:textFill>
            <w14:solidFill>
              <w14:schemeClr w14:val="tx1"/>
            </w14:solidFill>
          </w14:textFill>
        </w:rPr>
        <w:t>的</w:t>
      </w:r>
      <w:r>
        <w:rPr>
          <w:rFonts w:hint="eastAsia" w:ascii="宋体" w:hAnsi="宋体" w:eastAsia="宋体" w:cs="宋体"/>
          <w:color w:val="000000" w:themeColor="text1"/>
          <w:sz w:val="28"/>
          <w:szCs w:val="28"/>
          <w:highlight w:val="none"/>
          <w:lang w:val="en-US" w:eastAsia="zh-CN"/>
          <w14:textFill>
            <w14:solidFill>
              <w14:schemeClr w14:val="tx1"/>
            </w14:solidFill>
          </w14:textFill>
        </w:rPr>
        <w:t>磋商</w:t>
      </w:r>
      <w:r>
        <w:rPr>
          <w:rFonts w:hint="eastAsia" w:ascii="宋体" w:hAnsi="宋体" w:eastAsia="宋体" w:cs="宋体"/>
          <w:color w:val="000000" w:themeColor="text1"/>
          <w:sz w:val="28"/>
          <w:szCs w:val="28"/>
          <w:highlight w:val="none"/>
          <w14:textFill>
            <w14:solidFill>
              <w14:schemeClr w14:val="tx1"/>
            </w14:solidFill>
          </w14:textFill>
        </w:rPr>
        <w:t>，我单位郑重承诺：</w:t>
      </w:r>
    </w:p>
    <w:p w14:paraId="51229FBD">
      <w:pPr>
        <w:shd w:val="clear"/>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.我公司</w:t>
      </w:r>
      <w:r>
        <w:rPr>
          <w:rFonts w:hint="eastAsia" w:ascii="宋体" w:hAnsi="宋体" w:eastAsia="宋体" w:cs="宋体"/>
          <w:color w:val="000000" w:themeColor="text1"/>
          <w:highlight w:val="none"/>
          <w14:textFill>
            <w14:solidFill>
              <w14:schemeClr w14:val="tx1"/>
            </w14:solidFill>
          </w14:textFill>
        </w:rPr>
        <w:t>拟派往本项目</w:t>
      </w:r>
      <w:r>
        <w:rPr>
          <w:rFonts w:hint="eastAsia" w:ascii="宋体" w:hAnsi="宋体" w:eastAsia="宋体" w:cs="宋体"/>
          <w:b w:val="0"/>
          <w:bCs w:val="0"/>
          <w:color w:val="000000" w:themeColor="text1"/>
          <w:highlight w:val="none"/>
          <w14:textFill>
            <w14:solidFill>
              <w14:schemeClr w14:val="tx1"/>
            </w14:solidFill>
          </w14:textFill>
        </w:rPr>
        <w:t>的施工项目</w:t>
      </w:r>
      <w:r>
        <w:rPr>
          <w:rFonts w:hint="eastAsia" w:ascii="宋体" w:hAnsi="宋体" w:eastAsia="宋体" w:cs="宋体"/>
          <w:b w:val="0"/>
          <w:bCs w:val="0"/>
          <w:color w:val="000000" w:themeColor="text1"/>
          <w:highlight w:val="none"/>
          <w:lang w:val="en-US" w:eastAsia="zh-CN"/>
          <w14:textFill>
            <w14:solidFill>
              <w14:schemeClr w14:val="tx1"/>
            </w14:solidFill>
          </w14:textFill>
        </w:rPr>
        <w:t>负责人</w:t>
      </w:r>
      <w:r>
        <w:rPr>
          <w:rFonts w:hint="eastAsia" w:ascii="宋体" w:hAnsi="宋体" w:eastAsia="宋体" w:cs="宋体"/>
          <w:b w:val="0"/>
          <w:bCs w:val="0"/>
          <w:color w:val="000000" w:themeColor="text1"/>
          <w:highlight w:val="none"/>
          <w14:textFill>
            <w14:solidFill>
              <w14:schemeClr w14:val="tx1"/>
            </w14:solidFill>
          </w14:textFill>
        </w:rPr>
        <w:t>未</w:t>
      </w:r>
      <w:r>
        <w:rPr>
          <w:rFonts w:hint="eastAsia" w:ascii="宋体" w:hAnsi="宋体" w:eastAsia="宋体" w:cs="宋体"/>
          <w:b w:val="0"/>
          <w:bCs w:val="0"/>
          <w:color w:val="000000" w:themeColor="text1"/>
          <w:highlight w:val="none"/>
          <w:lang w:val="en-US" w:eastAsia="zh-CN"/>
          <w14:textFill>
            <w14:solidFill>
              <w14:schemeClr w14:val="tx1"/>
            </w14:solidFill>
          </w14:textFill>
        </w:rPr>
        <w:t>同时</w:t>
      </w:r>
      <w:r>
        <w:rPr>
          <w:rFonts w:hint="eastAsia" w:ascii="宋体" w:hAnsi="宋体" w:eastAsia="宋体" w:cs="宋体"/>
          <w:color w:val="000000" w:themeColor="text1"/>
          <w:highlight w:val="none"/>
          <w:lang w:val="en-US" w:eastAsia="zh-CN"/>
          <w14:textFill>
            <w14:solidFill>
              <w14:schemeClr w14:val="tx1"/>
            </w14:solidFill>
          </w14:textFill>
        </w:rPr>
        <w:t>在两个或者两个以上工程项目担任施工项目负责人</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且不兼任本项目设计项目负责人</w:t>
      </w:r>
      <w:r>
        <w:rPr>
          <w:rFonts w:hint="eastAsia" w:ascii="宋体" w:hAnsi="宋体" w:eastAsia="宋体" w:cs="宋体"/>
          <w:color w:val="000000" w:themeColor="text1"/>
          <w:highlight w:val="none"/>
          <w:lang w:eastAsia="zh-CN"/>
          <w14:textFill>
            <w14:solidFill>
              <w14:schemeClr w14:val="tx1"/>
            </w14:solidFill>
          </w14:textFill>
        </w:rPr>
        <w:t>。</w:t>
      </w:r>
    </w:p>
    <w:p w14:paraId="464E7409">
      <w:pPr>
        <w:shd w:val="clear"/>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如我方违背了上述承诺，</w:t>
      </w:r>
      <w:r>
        <w:rPr>
          <w:rFonts w:hint="eastAsia" w:ascii="宋体" w:hAnsi="宋体" w:eastAsia="宋体" w:cs="宋体"/>
          <w:color w:val="000000" w:themeColor="text1"/>
          <w:highlight w:val="none"/>
          <w:lang w:eastAsia="zh-CN"/>
          <w14:textFill>
            <w14:solidFill>
              <w14:schemeClr w14:val="tx1"/>
            </w14:solidFill>
          </w14:textFill>
        </w:rPr>
        <w:t>采购人</w:t>
      </w:r>
      <w:r>
        <w:rPr>
          <w:rFonts w:hint="eastAsia" w:ascii="宋体" w:hAnsi="宋体" w:eastAsia="宋体" w:cs="宋体"/>
          <w:color w:val="000000" w:themeColor="text1"/>
          <w:highlight w:val="none"/>
          <w14:textFill>
            <w14:solidFill>
              <w14:schemeClr w14:val="tx1"/>
            </w14:solidFill>
          </w14:textFill>
        </w:rPr>
        <w:t>有权取消我方的</w:t>
      </w:r>
      <w:r>
        <w:rPr>
          <w:rFonts w:hint="eastAsia" w:ascii="宋体" w:hAnsi="宋体" w:eastAsia="宋体" w:cs="宋体"/>
          <w:color w:val="000000" w:themeColor="text1"/>
          <w:highlight w:val="none"/>
          <w:lang w:eastAsia="zh-CN"/>
          <w14:textFill>
            <w14:solidFill>
              <w14:schemeClr w14:val="tx1"/>
            </w14:solidFill>
          </w14:textFill>
        </w:rPr>
        <w:t>成交</w:t>
      </w:r>
      <w:r>
        <w:rPr>
          <w:rFonts w:hint="eastAsia" w:ascii="宋体" w:hAnsi="宋体" w:eastAsia="宋体" w:cs="宋体"/>
          <w:color w:val="000000" w:themeColor="text1"/>
          <w:highlight w:val="none"/>
          <w14:textFill>
            <w14:solidFill>
              <w14:schemeClr w14:val="tx1"/>
            </w14:solidFill>
          </w14:textFill>
        </w:rPr>
        <w:t>资格。</w:t>
      </w:r>
    </w:p>
    <w:p w14:paraId="09E5E505">
      <w:pPr>
        <w:pStyle w:val="30"/>
        <w:shd w:val="clear"/>
        <w:wordWrap w:val="0"/>
        <w:adjustRightInd w:val="0"/>
        <w:snapToGrid w:val="0"/>
        <w:spacing w:before="0" w:beforeAutospacing="0" w:after="0" w:afterAutospacing="0" w:line="360" w:lineRule="auto"/>
        <w:ind w:left="0" w:leftChars="0" w:firstLine="0" w:firstLineChars="0"/>
        <w:rPr>
          <w:rFonts w:hint="eastAsia" w:ascii="宋体" w:hAnsi="宋体" w:eastAsia="宋体" w:cs="宋体"/>
          <w:b w:val="0"/>
          <w:bCs w:val="0"/>
          <w:color w:val="000000" w:themeColor="text1"/>
          <w:sz w:val="24"/>
          <w:szCs w:val="24"/>
          <w:highlight w:val="none"/>
          <w14:textFill>
            <w14:solidFill>
              <w14:schemeClr w14:val="tx1"/>
            </w14:solidFill>
          </w14:textFill>
        </w:rPr>
      </w:pPr>
    </w:p>
    <w:p w14:paraId="4A8227FF">
      <w:pPr>
        <w:shd w:val="clear"/>
        <w:bidi w:val="0"/>
        <w:ind w:left="0" w:leftChars="0" w:firstLine="1120" w:firstLineChars="400"/>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联合体牵头人</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sz w:val="28"/>
          <w:szCs w:val="28"/>
          <w:highlight w:val="none"/>
          <w14:textFill>
            <w14:solidFill>
              <w14:schemeClr w14:val="tx1"/>
            </w14:solidFill>
          </w14:textFill>
        </w:rPr>
        <w:t>：</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（电子签章或盖章）</w:t>
      </w:r>
    </w:p>
    <w:p w14:paraId="34D005E6">
      <w:pPr>
        <w:shd w:val="clear"/>
        <w:bidi w:val="0"/>
        <w:ind w:left="0" w:leftChars="0" w:firstLine="1120" w:firstLineChars="400"/>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法定</w:t>
      </w:r>
      <w:bookmarkStart w:id="1469" w:name="_GoBack"/>
      <w:bookmarkEnd w:id="1469"/>
      <w:r>
        <w:rPr>
          <w:rFonts w:hint="eastAsia" w:ascii="宋体" w:hAnsi="宋体" w:eastAsia="宋体" w:cs="宋体"/>
          <w:b w:val="0"/>
          <w:bCs w:val="0"/>
          <w:color w:val="000000" w:themeColor="text1"/>
          <w:sz w:val="28"/>
          <w:szCs w:val="28"/>
          <w:highlight w:val="none"/>
          <w14:textFill>
            <w14:solidFill>
              <w14:schemeClr w14:val="tx1"/>
            </w14:solidFill>
          </w14:textFill>
        </w:rPr>
        <w:t>代表人</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或其委托代理人</w:t>
      </w:r>
      <w:r>
        <w:rPr>
          <w:rFonts w:hint="eastAsia" w:ascii="宋体" w:hAnsi="宋体" w:eastAsia="宋体" w:cs="宋体"/>
          <w:b w:val="0"/>
          <w:bCs w:val="0"/>
          <w:color w:val="000000" w:themeColor="text1"/>
          <w:sz w:val="28"/>
          <w:szCs w:val="28"/>
          <w:highlight w:val="none"/>
          <w14:textFill>
            <w14:solidFill>
              <w14:schemeClr w14:val="tx1"/>
            </w14:solidFill>
          </w14:textFill>
        </w:rPr>
        <w:t>：</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（电子签章</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或</w:t>
      </w:r>
      <w:r>
        <w:rPr>
          <w:rFonts w:hint="eastAsia" w:ascii="宋体" w:hAnsi="宋体" w:eastAsia="宋体" w:cs="宋体"/>
          <w:b w:val="0"/>
          <w:bCs w:val="0"/>
          <w:color w:val="000000" w:themeColor="text1"/>
          <w:sz w:val="28"/>
          <w:szCs w:val="28"/>
          <w:highlight w:val="none"/>
          <w14:textFill>
            <w14:solidFill>
              <w14:schemeClr w14:val="tx1"/>
            </w14:solidFill>
          </w14:textFill>
        </w:rPr>
        <w:t>电子</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签名</w:t>
      </w:r>
      <w:r>
        <w:rPr>
          <w:rFonts w:hint="eastAsia" w:ascii="宋体" w:hAnsi="宋体" w:eastAsia="宋体" w:cs="宋体"/>
          <w:b w:val="0"/>
          <w:bCs w:val="0"/>
          <w:color w:val="000000" w:themeColor="text1"/>
          <w:sz w:val="28"/>
          <w:szCs w:val="28"/>
          <w:highlight w:val="none"/>
          <w14:textFill>
            <w14:solidFill>
              <w14:schemeClr w14:val="tx1"/>
            </w14:solidFill>
          </w14:textFill>
        </w:rPr>
        <w:t>）</w:t>
      </w:r>
    </w:p>
    <w:p w14:paraId="0BF2CCD3">
      <w:pPr>
        <w:shd w:val="clear"/>
        <w:bidi w:val="0"/>
        <w:ind w:left="0" w:leftChars="0" w:firstLine="1120" w:firstLineChars="400"/>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日期： </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年</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月</w:t>
      </w:r>
      <w:r>
        <w:rPr>
          <w:rFonts w:hint="eastAsia" w:ascii="宋体" w:hAnsi="宋体" w:eastAsia="宋体" w:cs="宋体"/>
          <w:b w:val="0"/>
          <w:bCs w:val="0"/>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日</w:t>
      </w:r>
    </w:p>
    <w:p w14:paraId="39692613">
      <w:pPr>
        <w:shd w:val="clear"/>
        <w:ind w:firstLine="560"/>
        <w:jc w:val="both"/>
        <w:rPr>
          <w:rFonts w:hint="eastAsia" w:ascii="宋体" w:hAnsi="宋体" w:eastAsia="宋体" w:cs="宋体"/>
          <w:color w:val="000000" w:themeColor="text1"/>
          <w:highlight w:val="none"/>
          <w:lang w:val="en-US" w:eastAsia="zh-CN"/>
          <w14:textFill>
            <w14:solidFill>
              <w14:schemeClr w14:val="tx1"/>
            </w14:solidFill>
          </w14:textFill>
        </w:rPr>
      </w:pPr>
    </w:p>
    <w:p w14:paraId="4DC6428C">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br w:type="page"/>
      </w:r>
    </w:p>
    <w:p w14:paraId="4FC4D5CE">
      <w:pPr>
        <w:pStyle w:val="5"/>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格式3</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 xml:space="preserve"> 单位负责人为同一人或者存在直接控股、管理关系的不同供应商，不得参加同一合同项下的政府采购活动；为本项目提供整体设计、规范编制或者项目管理、监理、检测等服务的供应商，不得再参加本项目的采购活动；提供书面声明；</w:t>
      </w:r>
    </w:p>
    <w:p w14:paraId="2A4806C7">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说明：此处提供书面声明</w:t>
      </w:r>
      <w:r>
        <w:rPr>
          <w:rFonts w:hint="eastAsia" w:ascii="宋体" w:hAnsi="宋体" w:eastAsia="宋体" w:cs="宋体"/>
          <w:color w:val="000000" w:themeColor="text1"/>
          <w:highlight w:val="none"/>
          <w:lang w:eastAsia="zh-CN"/>
          <w14:textFill>
            <w14:solidFill>
              <w14:schemeClr w14:val="tx1"/>
            </w14:solidFill>
          </w14:textFill>
        </w:rPr>
        <w:t>；</w:t>
      </w:r>
    </w:p>
    <w:p w14:paraId="2838D0B1">
      <w:pPr>
        <w:ind w:firstLine="0" w:firstLineChars="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书面声明</w:t>
      </w:r>
      <w:r>
        <w:rPr>
          <w:rFonts w:hint="eastAsia" w:ascii="宋体" w:hAnsi="宋体" w:eastAsia="宋体" w:cs="宋体"/>
          <w:color w:val="000000" w:themeColor="text1"/>
          <w:highlight w:val="none"/>
          <w14:textFill>
            <w14:solidFill>
              <w14:schemeClr w14:val="tx1"/>
            </w14:solidFill>
          </w14:textFill>
        </w:rPr>
        <w:t>（参考格式）</w:t>
      </w:r>
    </w:p>
    <w:p w14:paraId="26AAEC52">
      <w:pPr>
        <w:ind w:firstLine="0" w:firstLineChars="0"/>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（采购人名称）</w:t>
      </w:r>
    </w:p>
    <w:p w14:paraId="0638CD59">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本单位</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名称</w:t>
      </w:r>
      <w:r>
        <w:rPr>
          <w:rFonts w:hint="eastAsia" w:ascii="宋体" w:hAnsi="宋体" w:eastAsia="宋体" w:cs="宋体"/>
          <w:color w:val="000000" w:themeColor="text1"/>
          <w:highlight w:val="none"/>
          <w:lang w:val="en-US" w:eastAsia="zh-CN"/>
          <w14:textFill>
            <w14:solidFill>
              <w14:schemeClr w14:val="tx1"/>
            </w14:solidFill>
          </w14:textFill>
        </w:rPr>
        <w:t>或联合体全部成员名称</w:t>
      </w:r>
      <w:r>
        <w:rPr>
          <w:rFonts w:hint="eastAsia" w:ascii="宋体" w:hAnsi="宋体" w:eastAsia="宋体" w:cs="宋体"/>
          <w:color w:val="000000" w:themeColor="text1"/>
          <w:highlight w:val="none"/>
          <w14:textFill>
            <w14:solidFill>
              <w14:schemeClr w14:val="tx1"/>
            </w14:solidFill>
          </w14:textFill>
        </w:rPr>
        <w:t>）就参加</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（项目名称）</w:t>
      </w:r>
      <w:r>
        <w:rPr>
          <w:rFonts w:hint="eastAsia" w:ascii="宋体" w:hAnsi="宋体" w:eastAsia="宋体" w:cs="宋体"/>
          <w:color w:val="000000" w:themeColor="text1"/>
          <w:highlight w:val="none"/>
          <w14:textFill>
            <w14:solidFill>
              <w14:schemeClr w14:val="tx1"/>
            </w14:solidFill>
          </w14:textFill>
        </w:rPr>
        <w:t>的政府采购活动，特作如下声明：​</w:t>
      </w:r>
    </w:p>
    <w:p w14:paraId="4C2A94B7">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1.我单位不存在“单位负责人为同一人或者存在直接控股、管理关系的不同</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，参加同一合同项下的政府采购活动”的情形。</w:t>
      </w:r>
    </w:p>
    <w:p w14:paraId="189811F7">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2.我单位不存在“为本项目提供整体设计、规范编制或者项目管理、监理、检测等服务的</w:t>
      </w:r>
      <w:r>
        <w:rPr>
          <w:rFonts w:hint="eastAsia" w:ascii="宋体" w:hAnsi="宋体" w:eastAsia="宋体" w:cs="宋体"/>
          <w:color w:val="000000" w:themeColor="text1"/>
          <w:highlight w:val="none"/>
          <w:lang w:eastAsia="zh-CN"/>
          <w14:textFill>
            <w14:solidFill>
              <w14:schemeClr w14:val="tx1"/>
            </w14:solidFill>
          </w14:textFill>
        </w:rPr>
        <w:t>供应商</w:t>
      </w:r>
      <w:r>
        <w:rPr>
          <w:rFonts w:hint="eastAsia" w:ascii="宋体" w:hAnsi="宋体" w:eastAsia="宋体" w:cs="宋体"/>
          <w:color w:val="000000" w:themeColor="text1"/>
          <w:highlight w:val="none"/>
          <w14:textFill>
            <w14:solidFill>
              <w14:schemeClr w14:val="tx1"/>
            </w14:solidFill>
          </w14:textFill>
        </w:rPr>
        <w:t>，再参加本项目的采购活动”的情形。</w:t>
      </w:r>
    </w:p>
    <w:p w14:paraId="1CF5F046">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我单位承诺，上述声明内容真实、准确、完整，不存在任何虚假陈述或隐瞒。若本声明存在不实，如有虚假，愿意承担相应的法律责任。</w:t>
      </w:r>
    </w:p>
    <w:p w14:paraId="220F621B">
      <w:pPr>
        <w:ind w:firstLine="560"/>
        <w:rPr>
          <w:rFonts w:hint="eastAsia" w:ascii="宋体" w:hAnsi="宋体" w:eastAsia="宋体" w:cs="宋体"/>
          <w:color w:val="000000" w:themeColor="text1"/>
          <w:highlight w:val="none"/>
          <w14:textFill>
            <w14:solidFill>
              <w14:schemeClr w14:val="tx1"/>
            </w14:solidFill>
          </w14:textFill>
        </w:rPr>
      </w:pPr>
    </w:p>
    <w:p w14:paraId="433373E2">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联合体牵头人</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（电子签章）</w:t>
      </w:r>
    </w:p>
    <w:p w14:paraId="27F18948">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法定代表人或委托代理人：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（电子签章或电子签名）</w:t>
      </w:r>
    </w:p>
    <w:p w14:paraId="782C635F">
      <w:p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62C33D0B">
      <w:pPr>
        <w:rPr>
          <w:rFonts w:hint="eastAsia" w:ascii="宋体" w:hAnsi="宋体" w:eastAsia="宋体" w:cs="宋体"/>
          <w:color w:val="000000" w:themeColor="text1"/>
          <w:highlight w:val="none"/>
          <w14:textFill>
            <w14:solidFill>
              <w14:schemeClr w14:val="tx1"/>
            </w14:solidFill>
          </w14:textFill>
        </w:rPr>
      </w:pPr>
    </w:p>
    <w:p w14:paraId="288F04D9">
      <w:pPr>
        <w:pStyle w:val="14"/>
        <w:rPr>
          <w:rFonts w:hint="eastAsia" w:ascii="宋体" w:hAnsi="宋体" w:eastAsia="宋体" w:cs="宋体"/>
          <w:color w:val="000000" w:themeColor="text1"/>
          <w:highlight w:val="none"/>
          <w14:textFill>
            <w14:solidFill>
              <w14:schemeClr w14:val="tx1"/>
            </w14:solidFill>
          </w14:textFill>
        </w:rPr>
      </w:pPr>
    </w:p>
    <w:p w14:paraId="230A936F">
      <w:pPr>
        <w:rPr>
          <w:rFonts w:hint="eastAsia" w:ascii="宋体" w:hAnsi="宋体" w:eastAsia="宋体" w:cs="宋体"/>
          <w:color w:val="000000" w:themeColor="text1"/>
          <w:highlight w:val="none"/>
          <w14:textFill>
            <w14:solidFill>
              <w14:schemeClr w14:val="tx1"/>
            </w14:solidFill>
          </w14:textFill>
        </w:rPr>
      </w:pPr>
    </w:p>
    <w:p w14:paraId="031F773B">
      <w:pPr>
        <w:pStyle w:val="5"/>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格式3</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 xml:space="preserve"> 列入失信被执行人或重大税收违法失信主体或政府采购严重违法失信行为记录名单的供应商，不得参加政府采购活动。</w:t>
      </w:r>
    </w:p>
    <w:p w14:paraId="62ECF2D9">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说明：此处由采购人或采购代理机构查询，供应商无需在响应文件中提供此处要求的内容。</w:t>
      </w:r>
    </w:p>
    <w:p w14:paraId="62331B83">
      <w:pPr>
        <w:pStyle w:val="3"/>
        <w:bidi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r>
      <w:bookmarkStart w:id="1381" w:name="_Toc1680"/>
      <w:bookmarkStart w:id="1382" w:name="_Toc16559"/>
      <w:bookmarkStart w:id="1383" w:name="_Toc30521"/>
      <w:bookmarkStart w:id="1384" w:name="_Toc845417895"/>
      <w:bookmarkStart w:id="1385" w:name="_Toc1234675310"/>
      <w:r>
        <w:rPr>
          <w:rFonts w:hint="eastAsia" w:ascii="宋体" w:hAnsi="宋体" w:eastAsia="宋体" w:cs="宋体"/>
          <w:color w:val="000000" w:themeColor="text1"/>
          <w:highlight w:val="none"/>
          <w14:textFill>
            <w14:solidFill>
              <w14:schemeClr w14:val="tx1"/>
            </w14:solidFill>
          </w14:textFill>
        </w:rPr>
        <w:t>二、商务报价文件</w:t>
      </w:r>
      <w:bookmarkEnd w:id="1381"/>
      <w:bookmarkEnd w:id="1382"/>
      <w:bookmarkEnd w:id="1383"/>
      <w:bookmarkEnd w:id="1384"/>
      <w:bookmarkEnd w:id="1385"/>
    </w:p>
    <w:p w14:paraId="5DB35810">
      <w:pPr>
        <w:pStyle w:val="14"/>
        <w:spacing w:before="78" w:line="220" w:lineRule="auto"/>
        <w:ind w:left="12" w:firstLine="478"/>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响应文件</w:t>
      </w:r>
      <w:r>
        <w:rPr>
          <w:rFonts w:hint="eastAsia" w:ascii="宋体" w:hAnsi="宋体" w:eastAsia="宋体" w:cs="宋体"/>
          <w:b/>
          <w:bCs/>
          <w:color w:val="000000" w:themeColor="text1"/>
          <w:spacing w:val="-1"/>
          <w:sz w:val="24"/>
          <w:szCs w:val="24"/>
          <w:highlight w:val="none"/>
          <w14:textFill>
            <w14:solidFill>
              <w14:schemeClr w14:val="tx1"/>
            </w14:solidFill>
          </w14:textFill>
        </w:rPr>
        <w:t>（商务报价文件）封面</w:t>
      </w:r>
    </w:p>
    <w:p w14:paraId="44465818">
      <w:pPr>
        <w:ind w:firstLine="0" w:firstLineChars="0"/>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5C944C2C">
      <w:pPr>
        <w:pStyle w:val="21"/>
        <w:rPr>
          <w:rFonts w:hint="eastAsia" w:ascii="宋体" w:hAnsi="宋体" w:eastAsia="宋体" w:cs="宋体"/>
          <w:b/>
          <w:bCs/>
          <w:color w:val="000000" w:themeColor="text1"/>
          <w:sz w:val="48"/>
          <w:szCs w:val="48"/>
          <w:highlight w:val="none"/>
          <w:lang w:eastAsia="zh-CN"/>
          <w14:textFill>
            <w14:solidFill>
              <w14:schemeClr w14:val="tx1"/>
            </w14:solidFill>
          </w14:textFill>
        </w:rPr>
      </w:pPr>
      <w:r>
        <w:rPr>
          <w:rFonts w:hint="eastAsia" w:ascii="宋体" w:hAnsi="宋体" w:eastAsia="宋体" w:cs="宋体"/>
          <w:b/>
          <w:bCs/>
          <w:color w:val="000000" w:themeColor="text1"/>
          <w:sz w:val="48"/>
          <w:szCs w:val="48"/>
          <w:highlight w:val="none"/>
          <w:lang w:eastAsia="zh-CN"/>
          <w14:textFill>
            <w14:solidFill>
              <w14:schemeClr w14:val="tx1"/>
            </w14:solidFill>
          </w14:textFill>
        </w:rPr>
        <w:t>云南水利水电职业学院校史馆建设项目</w:t>
      </w:r>
    </w:p>
    <w:p w14:paraId="03D44D71">
      <w:pPr>
        <w:pStyle w:val="34"/>
        <w:ind w:left="0" w:leftChars="0" w:firstLine="0" w:firstLineChars="0"/>
        <w:jc w:val="center"/>
        <w:rPr>
          <w:rFonts w:hint="eastAsia" w:ascii="宋体" w:hAnsi="宋体" w:eastAsia="宋体" w:cs="宋体"/>
          <w:color w:val="000000" w:themeColor="text1"/>
          <w:sz w:val="22"/>
          <w:szCs w:val="22"/>
          <w:highlight w:val="none"/>
          <w14:textFill>
            <w14:solidFill>
              <w14:schemeClr w14:val="tx1"/>
            </w14:solidFill>
          </w14:textFill>
        </w:rPr>
      </w:pPr>
    </w:p>
    <w:p w14:paraId="30C8B574">
      <w:pPr>
        <w:pStyle w:val="33"/>
        <w:rPr>
          <w:rFonts w:hint="eastAsia" w:ascii="宋体" w:hAnsi="宋体" w:eastAsia="宋体" w:cs="宋体"/>
          <w:color w:val="000000" w:themeColor="text1"/>
          <w:sz w:val="22"/>
          <w:szCs w:val="22"/>
          <w:highlight w:val="none"/>
          <w14:textFill>
            <w14:solidFill>
              <w14:schemeClr w14:val="tx1"/>
            </w14:solidFill>
          </w14:textFill>
        </w:rPr>
      </w:pPr>
    </w:p>
    <w:p w14:paraId="5CD1BD95">
      <w:pPr>
        <w:rPr>
          <w:rFonts w:hint="eastAsia"/>
          <w:color w:val="000000" w:themeColor="text1"/>
          <w:highlight w:val="none"/>
          <w14:textFill>
            <w14:solidFill>
              <w14:schemeClr w14:val="tx1"/>
            </w14:solidFill>
          </w14:textFill>
        </w:rPr>
      </w:pPr>
    </w:p>
    <w:p w14:paraId="4DBF71A9">
      <w:pPr>
        <w:ind w:firstLine="560"/>
        <w:rPr>
          <w:rFonts w:hint="eastAsia" w:ascii="宋体" w:hAnsi="宋体" w:eastAsia="宋体" w:cs="宋体"/>
          <w:color w:val="000000" w:themeColor="text1"/>
          <w:highlight w:val="none"/>
          <w14:textFill>
            <w14:solidFill>
              <w14:schemeClr w14:val="tx1"/>
            </w14:solidFill>
          </w14:textFill>
        </w:rPr>
      </w:pPr>
    </w:p>
    <w:p w14:paraId="447835D0">
      <w:pPr>
        <w:ind w:firstLine="560"/>
        <w:rPr>
          <w:rFonts w:hint="eastAsia" w:ascii="宋体" w:hAnsi="宋体" w:eastAsia="宋体" w:cs="宋体"/>
          <w:color w:val="000000" w:themeColor="text1"/>
          <w:highlight w:val="none"/>
          <w14:textFill>
            <w14:solidFill>
              <w14:schemeClr w14:val="tx1"/>
            </w14:solidFill>
          </w14:textFill>
        </w:rPr>
      </w:pPr>
    </w:p>
    <w:p w14:paraId="52B54919">
      <w:pPr>
        <w:ind w:firstLine="0" w:firstLineChars="0"/>
        <w:rPr>
          <w:rFonts w:hint="eastAsia" w:ascii="宋体" w:hAnsi="宋体" w:eastAsia="宋体" w:cs="宋体"/>
          <w:color w:val="000000" w:themeColor="text1"/>
          <w:highlight w:val="none"/>
          <w14:textFill>
            <w14:solidFill>
              <w14:schemeClr w14:val="tx1"/>
            </w14:solidFill>
          </w14:textFill>
        </w:rPr>
      </w:pPr>
    </w:p>
    <w:p w14:paraId="0FC22A70">
      <w:pPr>
        <w:pStyle w:val="21"/>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96"/>
          <w:szCs w:val="96"/>
          <w:highlight w:val="none"/>
          <w14:textFill>
            <w14:solidFill>
              <w14:schemeClr w14:val="tx1"/>
            </w14:solidFill>
          </w14:textFill>
        </w:rPr>
        <w:t>响应文件</w:t>
      </w:r>
    </w:p>
    <w:p w14:paraId="26E2C2D0">
      <w:pPr>
        <w:pStyle w:val="34"/>
        <w:ind w:left="0" w:leftChars="0" w:firstLine="0" w:firstLineChars="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（商务报价文件）</w:t>
      </w:r>
    </w:p>
    <w:p w14:paraId="64585AE9">
      <w:pPr>
        <w:pStyle w:val="34"/>
        <w:ind w:left="0" w:leftChars="0" w:firstLine="0" w:firstLineChars="0"/>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项目编号：</w:t>
      </w:r>
      <w:r>
        <w:rPr>
          <w:rFonts w:hint="eastAsia" w:ascii="宋体" w:hAnsi="宋体" w:eastAsia="宋体" w:cs="宋体"/>
          <w:color w:val="000000" w:themeColor="text1"/>
          <w:sz w:val="28"/>
          <w:szCs w:val="28"/>
          <w:highlight w:val="none"/>
          <w:lang w:eastAsia="zh-CN"/>
          <w14:textFill>
            <w14:solidFill>
              <w14:schemeClr w14:val="tx1"/>
            </w14:solidFill>
          </w14:textFill>
        </w:rPr>
        <w:t>云赛招字2025-183</w:t>
      </w:r>
    </w:p>
    <w:p w14:paraId="2CA48313">
      <w:pPr>
        <w:ind w:firstLine="560"/>
        <w:rPr>
          <w:rFonts w:hint="eastAsia" w:ascii="宋体" w:hAnsi="宋体" w:eastAsia="宋体" w:cs="宋体"/>
          <w:color w:val="000000" w:themeColor="text1"/>
          <w:highlight w:val="none"/>
          <w14:textFill>
            <w14:solidFill>
              <w14:schemeClr w14:val="tx1"/>
            </w14:solidFill>
          </w14:textFill>
        </w:rPr>
      </w:pPr>
    </w:p>
    <w:p w14:paraId="3E452EFE">
      <w:pPr>
        <w:ind w:firstLine="560"/>
        <w:rPr>
          <w:rFonts w:hint="eastAsia" w:ascii="宋体" w:hAnsi="宋体" w:eastAsia="宋体" w:cs="宋体"/>
          <w:color w:val="000000" w:themeColor="text1"/>
          <w:highlight w:val="none"/>
          <w14:textFill>
            <w14:solidFill>
              <w14:schemeClr w14:val="tx1"/>
            </w14:solidFill>
          </w14:textFill>
        </w:rPr>
      </w:pPr>
    </w:p>
    <w:p w14:paraId="7F289DDC">
      <w:pPr>
        <w:pStyle w:val="21"/>
        <w:spacing w:line="500" w:lineRule="exact"/>
        <w:rPr>
          <w:rFonts w:hint="eastAsia" w:ascii="宋体" w:hAnsi="宋体" w:eastAsia="宋体" w:cs="宋体"/>
          <w:b/>
          <w:color w:val="000000" w:themeColor="text1"/>
          <w:sz w:val="72"/>
          <w:szCs w:val="72"/>
          <w:highlight w:val="none"/>
          <w14:textFill>
            <w14:solidFill>
              <w14:schemeClr w14:val="tx1"/>
            </w14:solidFill>
          </w14:textFill>
        </w:rPr>
      </w:pPr>
    </w:p>
    <w:p w14:paraId="543D0E16">
      <w:pPr>
        <w:pStyle w:val="21"/>
        <w:spacing w:line="500" w:lineRule="exact"/>
        <w:jc w:val="both"/>
        <w:rPr>
          <w:rFonts w:hint="eastAsia" w:ascii="宋体" w:hAnsi="宋体" w:eastAsia="宋体" w:cs="宋体"/>
          <w:b/>
          <w:color w:val="000000" w:themeColor="text1"/>
          <w:sz w:val="72"/>
          <w:szCs w:val="72"/>
          <w:highlight w:val="none"/>
          <w14:textFill>
            <w14:solidFill>
              <w14:schemeClr w14:val="tx1"/>
            </w14:solidFill>
          </w14:textFill>
        </w:rPr>
      </w:pPr>
    </w:p>
    <w:p w14:paraId="455243EC">
      <w:pPr>
        <w:ind w:firstLine="560"/>
        <w:rPr>
          <w:rFonts w:hint="eastAsia" w:ascii="宋体" w:hAnsi="宋体" w:eastAsia="宋体" w:cs="宋体"/>
          <w:color w:val="000000" w:themeColor="text1"/>
          <w:highlight w:val="none"/>
          <w14:textFill>
            <w14:solidFill>
              <w14:schemeClr w14:val="tx1"/>
            </w14:solidFill>
          </w14:textFill>
        </w:rPr>
      </w:pPr>
    </w:p>
    <w:p w14:paraId="00049E16">
      <w:pPr>
        <w:pStyle w:val="21"/>
        <w:spacing w:line="500" w:lineRule="exact"/>
        <w:rPr>
          <w:rFonts w:hint="eastAsia" w:ascii="宋体" w:hAnsi="宋体" w:eastAsia="宋体" w:cs="宋体"/>
          <w:b/>
          <w:color w:val="000000" w:themeColor="text1"/>
          <w:sz w:val="28"/>
          <w:szCs w:val="28"/>
          <w:highlight w:val="none"/>
          <w14:textFill>
            <w14:solidFill>
              <w14:schemeClr w14:val="tx1"/>
            </w14:solidFill>
          </w14:textFill>
        </w:rPr>
      </w:pPr>
    </w:p>
    <w:p w14:paraId="0CF88EA1">
      <w:pPr>
        <w:pStyle w:val="21"/>
        <w:ind w:firstLine="562" w:firstLineChars="200"/>
        <w:jc w:val="both"/>
        <w:rPr>
          <w:rFonts w:hint="eastAsia" w:ascii="宋体" w:hAnsi="宋体" w:eastAsia="宋体" w:cs="宋体"/>
          <w:b/>
          <w:bCs/>
          <w:color w:val="000000" w:themeColor="text1"/>
          <w:sz w:val="28"/>
          <w:szCs w:val="22"/>
          <w:highlight w:val="none"/>
          <w:u w:val="single"/>
          <w:lang w:eastAsia="zh-CN"/>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供应商</w:t>
      </w:r>
      <w:r>
        <w:rPr>
          <w:rFonts w:hint="eastAsia" w:ascii="宋体" w:hAnsi="宋体" w:eastAsia="宋体" w:cs="宋体"/>
          <w:b/>
          <w:bCs/>
          <w:color w:val="000000" w:themeColor="text1"/>
          <w:sz w:val="28"/>
          <w:highlight w:val="none"/>
          <w:lang w:eastAsia="zh-CN"/>
          <w14:textFill>
            <w14:solidFill>
              <w14:schemeClr w14:val="tx1"/>
            </w14:solidFill>
          </w14:textFill>
        </w:rPr>
        <w:t>（</w:t>
      </w:r>
      <w:r>
        <w:rPr>
          <w:rFonts w:hint="eastAsia" w:ascii="宋体" w:hAnsi="宋体" w:eastAsia="宋体" w:cs="宋体"/>
          <w:b/>
          <w:bCs/>
          <w:color w:val="000000" w:themeColor="text1"/>
          <w:sz w:val="28"/>
          <w:highlight w:val="none"/>
          <w:lang w:val="en-US" w:eastAsia="zh-CN"/>
          <w14:textFill>
            <w14:solidFill>
              <w14:schemeClr w14:val="tx1"/>
            </w14:solidFill>
          </w14:textFill>
        </w:rPr>
        <w:t>联合体牵头人</w:t>
      </w:r>
      <w:r>
        <w:rPr>
          <w:rFonts w:hint="eastAsia" w:ascii="宋体" w:hAnsi="宋体" w:eastAsia="宋体" w:cs="宋体"/>
          <w:b/>
          <w:bCs/>
          <w:color w:val="000000" w:themeColor="text1"/>
          <w:sz w:val="28"/>
          <w:highlight w:val="none"/>
          <w:lang w:eastAsia="zh-CN"/>
          <w14:textFill>
            <w14:solidFill>
              <w14:schemeClr w14:val="tx1"/>
            </w14:solidFill>
          </w14:textFill>
        </w:rPr>
        <w:t>）</w:t>
      </w:r>
      <w:r>
        <w:rPr>
          <w:rFonts w:hint="eastAsia" w:ascii="宋体" w:hAnsi="宋体" w:eastAsia="宋体" w:cs="宋体"/>
          <w:b/>
          <w:bCs/>
          <w:color w:val="000000" w:themeColor="text1"/>
          <w:sz w:val="28"/>
          <w:szCs w:val="22"/>
          <w:highlight w:val="none"/>
          <w14:textFill>
            <w14:solidFill>
              <w14:schemeClr w14:val="tx1"/>
            </w14:solidFill>
          </w14:textFill>
        </w:rPr>
        <w:t>：</w:t>
      </w:r>
      <w:r>
        <w:rPr>
          <w:rFonts w:hint="eastAsia" w:ascii="宋体" w:hAnsi="宋体" w:eastAsia="宋体" w:cs="宋体"/>
          <w:b/>
          <w:bCs/>
          <w:color w:val="000000" w:themeColor="text1"/>
          <w:sz w:val="28"/>
          <w:szCs w:val="22"/>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2"/>
          <w:highlight w:val="none"/>
          <w:lang w:eastAsia="zh-CN"/>
          <w14:textFill>
            <w14:solidFill>
              <w14:schemeClr w14:val="tx1"/>
            </w14:solidFill>
          </w14:textFill>
        </w:rPr>
        <w:t>（电子签章或盖章）</w:t>
      </w:r>
    </w:p>
    <w:p w14:paraId="6A266CEA">
      <w:pPr>
        <w:pStyle w:val="34"/>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日  期：</w:t>
      </w:r>
      <w:r>
        <w:rPr>
          <w:rFonts w:hint="eastAsia" w:ascii="宋体" w:hAnsi="宋体" w:eastAsia="宋体" w:cs="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年 </w:t>
      </w:r>
      <w:r>
        <w:rPr>
          <w:rFonts w:hint="eastAsia" w:ascii="宋体" w:hAnsi="宋体" w:eastAsia="宋体" w:cs="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月</w:t>
      </w:r>
      <w:r>
        <w:rPr>
          <w:rFonts w:hint="eastAsia" w:ascii="宋体" w:hAnsi="宋体" w:eastAsia="宋体" w:cs="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日</w:t>
      </w:r>
    </w:p>
    <w:p w14:paraId="7863F62C">
      <w:pPr>
        <w:ind w:left="0" w:leftChars="0" w:firstLine="0" w:firstLineChars="0"/>
        <w:jc w:val="center"/>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r>
      <w:r>
        <w:rPr>
          <w:rFonts w:hint="eastAsia" w:ascii="宋体" w:hAnsi="宋体" w:eastAsia="宋体" w:cs="宋体"/>
          <w:b/>
          <w:bCs/>
          <w:color w:val="000000" w:themeColor="text1"/>
          <w:highlight w:val="none"/>
          <w:lang w:val="en-US" w:eastAsia="zh-CN"/>
          <w14:textFill>
            <w14:solidFill>
              <w14:schemeClr w14:val="tx1"/>
            </w14:solidFill>
          </w14:textFill>
        </w:rPr>
        <w:t>目录</w:t>
      </w:r>
    </w:p>
    <w:p w14:paraId="7784C44D">
      <w:pPr>
        <w:ind w:left="0" w:leftChars="0" w:firstLine="0" w:firstLineChars="0"/>
        <w:jc w:val="center"/>
        <w:rPr>
          <w:rFonts w:hint="eastAsia" w:ascii="宋体" w:hAnsi="宋体" w:eastAsia="宋体" w:cs="宋体"/>
          <w:b/>
          <w:bCs/>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（格式自拟）</w:t>
      </w:r>
      <w:r>
        <w:rPr>
          <w:rFonts w:hint="eastAsia" w:ascii="宋体" w:hAnsi="宋体" w:eastAsia="宋体" w:cs="宋体"/>
          <w:b/>
          <w:bCs/>
          <w:color w:val="000000" w:themeColor="text1"/>
          <w:highlight w:val="none"/>
          <w14:textFill>
            <w14:solidFill>
              <w14:schemeClr w14:val="tx1"/>
            </w14:solidFill>
          </w14:textFill>
        </w:rPr>
        <w:br w:type="page"/>
      </w:r>
    </w:p>
    <w:p w14:paraId="3B6BC72B">
      <w:pPr>
        <w:pStyle w:val="4"/>
        <w:ind w:firstLine="562"/>
        <w:rPr>
          <w:rFonts w:hint="eastAsia" w:ascii="宋体" w:hAnsi="宋体" w:eastAsia="宋体" w:cs="宋体"/>
          <w:color w:val="000000" w:themeColor="text1"/>
          <w:highlight w:val="none"/>
          <w14:textFill>
            <w14:solidFill>
              <w14:schemeClr w14:val="tx1"/>
            </w14:solidFill>
          </w14:textFill>
        </w:rPr>
      </w:pPr>
      <w:bookmarkStart w:id="1386" w:name="_Toc12686"/>
      <w:bookmarkStart w:id="1387" w:name="_Toc3427"/>
      <w:bookmarkStart w:id="1388" w:name="_Toc27636"/>
      <w:bookmarkStart w:id="1389" w:name="_Toc11704"/>
      <w:bookmarkStart w:id="1390" w:name="_Toc266055925"/>
      <w:bookmarkStart w:id="1391" w:name="_Toc2981"/>
      <w:bookmarkStart w:id="1392" w:name="_Toc4215"/>
      <w:bookmarkStart w:id="1393" w:name="_Toc1343485916"/>
      <w:r>
        <w:rPr>
          <w:rFonts w:hint="eastAsia" w:ascii="宋体" w:hAnsi="宋体" w:eastAsia="宋体" w:cs="宋体"/>
          <w:color w:val="000000" w:themeColor="text1"/>
          <w:highlight w:val="none"/>
          <w14:textFill>
            <w14:solidFill>
              <w14:schemeClr w14:val="tx1"/>
            </w14:solidFill>
          </w14:textFill>
        </w:rPr>
        <w:t>格式1：</w:t>
      </w:r>
      <w:bookmarkEnd w:id="1386"/>
      <w:bookmarkEnd w:id="1387"/>
      <w:r>
        <w:rPr>
          <w:rFonts w:hint="eastAsia" w:ascii="宋体" w:hAnsi="宋体" w:eastAsia="宋体" w:cs="宋体"/>
          <w:color w:val="000000" w:themeColor="text1"/>
          <w:highlight w:val="none"/>
          <w14:textFill>
            <w14:solidFill>
              <w14:schemeClr w14:val="tx1"/>
            </w14:solidFill>
          </w14:textFill>
        </w:rPr>
        <w:t>磋商申请函</w:t>
      </w:r>
      <w:r>
        <w:rPr>
          <w:rFonts w:hint="eastAsia" w:ascii="宋体" w:hAnsi="宋体" w:eastAsia="宋体" w:cs="宋体"/>
          <w:b w:val="0"/>
          <w:color w:val="000000" w:themeColor="text1"/>
          <w:spacing w:val="-1"/>
          <w:sz w:val="24"/>
          <w:szCs w:val="24"/>
          <w:highlight w:val="none"/>
          <w14:textFill>
            <w14:solidFill>
              <w14:schemeClr w14:val="tx1"/>
            </w14:solidFill>
          </w14:textFill>
        </w:rPr>
        <w:t>（实质性格式）</w:t>
      </w:r>
      <w:bookmarkEnd w:id="1388"/>
      <w:bookmarkEnd w:id="1389"/>
      <w:bookmarkEnd w:id="1390"/>
      <w:bookmarkEnd w:id="1391"/>
      <w:bookmarkEnd w:id="1392"/>
      <w:bookmarkEnd w:id="1393"/>
    </w:p>
    <w:p w14:paraId="30C48694">
      <w:pPr>
        <w:pStyle w:val="21"/>
        <w:rPr>
          <w:rFonts w:hint="eastAsia" w:ascii="宋体" w:hAnsi="宋体" w:eastAsia="宋体" w:cs="宋体"/>
          <w:b/>
          <w:bCs/>
          <w:color w:val="000000" w:themeColor="text1"/>
          <w:sz w:val="48"/>
          <w:szCs w:val="40"/>
          <w:highlight w:val="none"/>
          <w14:textFill>
            <w14:solidFill>
              <w14:schemeClr w14:val="tx1"/>
            </w14:solidFill>
          </w14:textFill>
        </w:rPr>
      </w:pPr>
      <w:r>
        <w:rPr>
          <w:rFonts w:hint="eastAsia" w:ascii="宋体" w:hAnsi="宋体" w:eastAsia="宋体" w:cs="宋体"/>
          <w:b/>
          <w:bCs/>
          <w:color w:val="000000" w:themeColor="text1"/>
          <w:sz w:val="48"/>
          <w:szCs w:val="40"/>
          <w:highlight w:val="none"/>
          <w14:textFill>
            <w14:solidFill>
              <w14:schemeClr w14:val="tx1"/>
            </w14:solidFill>
          </w14:textFill>
        </w:rPr>
        <w:t>磋商申请函</w:t>
      </w:r>
    </w:p>
    <w:p w14:paraId="7E6B99F4">
      <w:pPr>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致：</w:t>
      </w:r>
      <w:r>
        <w:rPr>
          <w:rFonts w:hint="eastAsia" w:ascii="宋体" w:hAnsi="宋体" w:eastAsia="宋体" w:cs="宋体"/>
          <w:b/>
          <w:bCs/>
          <w:color w:val="000000" w:themeColor="text1"/>
          <w:sz w:val="24"/>
          <w:szCs w:val="24"/>
          <w:highlight w:val="none"/>
          <w:u w:val="single"/>
          <w14:textFill>
            <w14:solidFill>
              <w14:schemeClr w14:val="tx1"/>
            </w14:solidFill>
          </w14:textFill>
        </w:rPr>
        <w:t>云南水利水电职业学院</w:t>
      </w:r>
    </w:p>
    <w:p w14:paraId="00FE1CB5">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我方仔细研究了</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云南水利水电职业学院校史馆建设项目</w:t>
      </w:r>
      <w:r>
        <w:rPr>
          <w:rFonts w:hint="eastAsia" w:ascii="宋体" w:hAnsi="宋体" w:eastAsia="宋体" w:cs="宋体"/>
          <w:b/>
          <w:bCs/>
          <w:color w:val="000000" w:themeColor="text1"/>
          <w:sz w:val="24"/>
          <w:szCs w:val="24"/>
          <w:highlight w:val="none"/>
          <w:u w:val="single"/>
          <w14:textFill>
            <w14:solidFill>
              <w14:schemeClr w14:val="tx1"/>
            </w14:solidFill>
          </w14:textFill>
        </w:rPr>
        <w:t>（项目编号：</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云赛招字2025-183</w:t>
      </w:r>
      <w:r>
        <w:rPr>
          <w:rFonts w:hint="eastAsia" w:ascii="宋体" w:hAnsi="宋体" w:eastAsia="宋体" w:cs="宋体"/>
          <w:b/>
          <w:bCs/>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竞争性磋商文件的全部内容，正式授权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（姓名）全权代表供应商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（供应商全称）参加磋商申请，并提交响应文件。</w:t>
      </w:r>
    </w:p>
    <w:p w14:paraId="2F9FF0FF">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据此磋商申请函，我单位兹宣布同意如下：</w:t>
      </w:r>
    </w:p>
    <w:p w14:paraId="25ED24AE">
      <w:pPr>
        <w:ind w:left="0" w:leftChars="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1、按竞争性磋商文件采购需求，我方首次磋商总报价为：</w:t>
      </w:r>
      <w:r>
        <w:rPr>
          <w:rFonts w:hint="eastAsia" w:ascii="宋体" w:hAnsi="宋体" w:eastAsia="宋体" w:cs="宋体"/>
          <w:b/>
          <w:bCs/>
          <w:color w:val="000000" w:themeColor="text1"/>
          <w:kern w:val="0"/>
          <w:sz w:val="24"/>
          <w:szCs w:val="21"/>
          <w:highlight w:val="none"/>
          <w:u w:val="single"/>
          <w:lang w:val="en-US" w:eastAsia="zh-CN"/>
          <w14:textFill>
            <w14:solidFill>
              <w14:schemeClr w14:val="tx1"/>
            </w14:solidFill>
          </w14:textFill>
        </w:rPr>
        <w:t>设计部分费用为人民币___元；施工部分费用为固定下浮   %</w:t>
      </w:r>
      <w:r>
        <w:rPr>
          <w:rFonts w:hint="eastAsia" w:ascii="宋体" w:hAnsi="宋体" w:eastAsia="宋体" w:cs="宋体"/>
          <w:color w:val="000000" w:themeColor="text1"/>
          <w:kern w:val="0"/>
          <w:sz w:val="24"/>
          <w:szCs w:val="21"/>
          <w:highlight w:val="none"/>
          <w:u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设计项目负责人（姓名）：</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，施工项目负责人（姓名）：</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，质量承诺：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，合同履行期限承诺：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5A4F57A">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我方将按竞争性磋商文件的规定履行合同责任和义务。</w:t>
      </w:r>
    </w:p>
    <w:p w14:paraId="746A055F">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我方已详细审查全部竞争性磋商文件，包括更正公告以及全部参考资料和所有附件。我们完全理解并同意放弃对这方面有不明及误解的权利，并认为全部竞争性磋商文件（包括更正公告以及全部参考资料和所有附件）公平公正，无倾向性和排他性。</w:t>
      </w:r>
    </w:p>
    <w:p w14:paraId="225D10FA">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4、我方的响应文件有效期为从提交响应文件截止之日起</w:t>
      </w:r>
      <w:r>
        <w:rPr>
          <w:rFonts w:hint="eastAsia" w:ascii="宋体" w:hAnsi="宋体" w:eastAsia="宋体" w:cs="宋体"/>
          <w:color w:val="000000" w:themeColor="text1"/>
          <w:sz w:val="24"/>
          <w:szCs w:val="24"/>
          <w:highlight w:val="none"/>
          <w:u w:val="single"/>
          <w14:textFill>
            <w14:solidFill>
              <w14:schemeClr w14:val="tx1"/>
            </w14:solidFill>
          </w14:textFill>
        </w:rPr>
        <w:t>90</w:t>
      </w:r>
      <w:r>
        <w:rPr>
          <w:rFonts w:hint="eastAsia" w:ascii="宋体" w:hAnsi="宋体" w:eastAsia="宋体" w:cs="宋体"/>
          <w:color w:val="000000" w:themeColor="text1"/>
          <w:sz w:val="24"/>
          <w:szCs w:val="24"/>
          <w:highlight w:val="none"/>
          <w14:textFill>
            <w14:solidFill>
              <w14:schemeClr w14:val="tx1"/>
            </w14:solidFill>
          </w14:textFill>
        </w:rPr>
        <w:t>日历天。</w:t>
      </w:r>
    </w:p>
    <w:p w14:paraId="676101A3">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5、我方同意按照采购人要求提供的与磋商申请有关的一切数据或资料，并声明响应文件及所提供的一切资料均真实有效。由于我方提供资料不实而造成的责任和后果由我方自行承担。</w:t>
      </w:r>
    </w:p>
    <w:p w14:paraId="0F88BA9C">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6、我方保证所若成交，则有义务向采购人提供其需要的有效书面证明材料。如果提供非法渠道的商品，视为欺诈，并承担相关责任。</w:t>
      </w:r>
    </w:p>
    <w:p w14:paraId="0B6BB7D6">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我方承诺完全符合《政府采购法》、《政府采购法实施条例》等法律法规规定，并随时接受采购人、采购代理机构的检查验证。在整个采购过程中，我方若有违规行为，我方完全接受采购人依照相关法律法规和竞争性磋商文件的规定给予处罚。</w:t>
      </w:r>
    </w:p>
    <w:p w14:paraId="2447ACE9">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8、我方若成交，本承诺将成为合同不可分割的一部分，与合同具有同等的法律效力。</w:t>
      </w:r>
    </w:p>
    <w:p w14:paraId="6CC11A31">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、如违反上述承诺，我方磋商申请无效且接受相关部门依法作出的处罚，并承担通过“云南省政府采购网”等相关媒体予以公布的任何风险和责任。</w:t>
      </w:r>
    </w:p>
    <w:p w14:paraId="4716C8CE">
      <w:pPr>
        <w:ind w:firstLine="480"/>
        <w:rPr>
          <w:rFonts w:hint="eastAsia" w:ascii="宋体" w:hAnsi="宋体" w:eastAsia="宋体" w:cs="宋体"/>
          <w:color w:val="000000" w:themeColor="text1"/>
          <w:sz w:val="24"/>
          <w:szCs w:val="24"/>
          <w:highlight w:val="none"/>
          <w14:textFill>
            <w14:solidFill>
              <w14:schemeClr w14:val="tx1"/>
            </w14:solidFill>
          </w14:textFill>
        </w:rPr>
      </w:pPr>
    </w:p>
    <w:p w14:paraId="50225C2E">
      <w:pPr>
        <w:ind w:firstLine="48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联合体牵头人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（电子签章或盖章）</w:t>
      </w:r>
    </w:p>
    <w:p w14:paraId="51372647">
      <w:pPr>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法定代表人或委托代理人：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（电子签章或电子签名）</w:t>
      </w:r>
    </w:p>
    <w:p w14:paraId="4BC45C44">
      <w:pPr>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4C869B70">
      <w:pPr>
        <w:ind w:firstLine="480"/>
        <w:rPr>
          <w:rFonts w:hint="eastAsia" w:ascii="宋体" w:hAnsi="宋体" w:eastAsia="宋体" w:cs="宋体"/>
          <w:b/>
          <w:bCs/>
          <w:color w:val="000000" w:themeColor="text1"/>
          <w:highlight w:val="none"/>
          <w14:textFill>
            <w14:solidFill>
              <w14:schemeClr w14:val="tx1"/>
            </w14:solidFill>
          </w14:textFill>
        </w:rPr>
      </w:pPr>
    </w:p>
    <w:p w14:paraId="47147AD0">
      <w:pPr>
        <w:ind w:firstLine="48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77B85CCB">
      <w:pPr>
        <w:pStyle w:val="4"/>
        <w:ind w:firstLine="0" w:firstLineChars="0"/>
        <w:rPr>
          <w:rFonts w:hint="eastAsia" w:ascii="宋体" w:hAnsi="宋体" w:eastAsia="宋体" w:cs="宋体"/>
          <w:color w:val="000000" w:themeColor="text1"/>
          <w:highlight w:val="none"/>
          <w14:textFill>
            <w14:solidFill>
              <w14:schemeClr w14:val="tx1"/>
            </w14:solidFill>
          </w14:textFill>
        </w:rPr>
      </w:pPr>
      <w:bookmarkStart w:id="1394" w:name="_Toc17187"/>
      <w:bookmarkStart w:id="1395" w:name="_Toc2426"/>
      <w:bookmarkStart w:id="1396" w:name="_Toc1721940806"/>
      <w:bookmarkStart w:id="1397" w:name="_Toc1851398327"/>
      <w:bookmarkStart w:id="1398" w:name="_Toc18209"/>
      <w:bookmarkStart w:id="1399" w:name="_Toc21071"/>
      <w:bookmarkStart w:id="1400" w:name="_Toc12029"/>
      <w:bookmarkStart w:id="1401" w:name="_Toc24350"/>
      <w:bookmarkStart w:id="1402" w:name="_Toc11789"/>
      <w:r>
        <w:rPr>
          <w:rFonts w:hint="eastAsia" w:ascii="宋体" w:hAnsi="宋体" w:eastAsia="宋体" w:cs="宋体"/>
          <w:color w:val="000000" w:themeColor="text1"/>
          <w:highlight w:val="none"/>
          <w14:textFill>
            <w14:solidFill>
              <w14:schemeClr w14:val="tx1"/>
            </w14:solidFill>
          </w14:textFill>
        </w:rPr>
        <w:t>格式2：法定代表人身份证明书及授权委托书</w:t>
      </w:r>
      <w:r>
        <w:rPr>
          <w:rFonts w:hint="eastAsia" w:ascii="宋体" w:hAnsi="宋体" w:eastAsia="宋体" w:cs="宋体"/>
          <w:b w:val="0"/>
          <w:color w:val="000000" w:themeColor="text1"/>
          <w:spacing w:val="-1"/>
          <w:sz w:val="24"/>
          <w:szCs w:val="24"/>
          <w:highlight w:val="none"/>
          <w14:textFill>
            <w14:solidFill>
              <w14:schemeClr w14:val="tx1"/>
            </w14:solidFill>
          </w14:textFill>
        </w:rPr>
        <w:t>（实质性格式）</w:t>
      </w:r>
      <w:bookmarkEnd w:id="1394"/>
      <w:bookmarkEnd w:id="1395"/>
      <w:bookmarkEnd w:id="1396"/>
      <w:bookmarkEnd w:id="1397"/>
      <w:bookmarkEnd w:id="1398"/>
      <w:bookmarkEnd w:id="1399"/>
    </w:p>
    <w:bookmarkEnd w:id="1400"/>
    <w:bookmarkEnd w:id="1401"/>
    <w:bookmarkEnd w:id="1402"/>
    <w:p w14:paraId="76CCD2C6">
      <w:pPr>
        <w:pStyle w:val="21"/>
        <w:rPr>
          <w:rFonts w:hint="eastAsia" w:ascii="宋体" w:hAnsi="宋体" w:eastAsia="宋体" w:cs="宋体"/>
          <w:b/>
          <w:bCs/>
          <w:color w:val="000000" w:themeColor="text1"/>
          <w:sz w:val="48"/>
          <w:szCs w:val="40"/>
          <w:highlight w:val="none"/>
          <w14:textFill>
            <w14:solidFill>
              <w14:schemeClr w14:val="tx1"/>
            </w14:solidFill>
          </w14:textFill>
        </w:rPr>
      </w:pPr>
      <w:r>
        <w:rPr>
          <w:rFonts w:hint="eastAsia" w:ascii="宋体" w:hAnsi="宋体" w:eastAsia="宋体" w:cs="宋体"/>
          <w:b/>
          <w:bCs/>
          <w:color w:val="000000" w:themeColor="text1"/>
          <w:sz w:val="48"/>
          <w:szCs w:val="40"/>
          <w:highlight w:val="none"/>
          <w14:textFill>
            <w14:solidFill>
              <w14:schemeClr w14:val="tx1"/>
            </w14:solidFill>
          </w14:textFill>
        </w:rPr>
        <w:t>法定代表人身份证明书</w:t>
      </w:r>
    </w:p>
    <w:p w14:paraId="2ABF0006">
      <w:pPr>
        <w:ind w:firstLine="560"/>
        <w:rPr>
          <w:rFonts w:hint="eastAsia" w:ascii="宋体" w:hAnsi="宋体" w:eastAsia="宋体" w:cs="宋体"/>
          <w:color w:val="000000" w:themeColor="text1"/>
          <w:szCs w:val="21"/>
          <w:highlight w:val="none"/>
          <w14:textFill>
            <w14:solidFill>
              <w14:schemeClr w14:val="tx1"/>
            </w14:solidFill>
          </w14:textFill>
        </w:rPr>
      </w:pPr>
    </w:p>
    <w:p w14:paraId="7C70B706">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供应商名称：</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0B2A6103">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单位性质：</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73D85F11">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成立时间：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4EC40B1B">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经营期限：</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51EAF56E">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姓名：</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性别：</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职务：</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3DD66902">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系</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（供应商名称）的法定代表人。</w:t>
      </w:r>
    </w:p>
    <w:p w14:paraId="658748B7">
      <w:pPr>
        <w:ind w:firstLine="560"/>
        <w:rPr>
          <w:rFonts w:hint="eastAsia" w:ascii="宋体" w:hAnsi="宋体" w:eastAsia="宋体" w:cs="宋体"/>
          <w:color w:val="000000" w:themeColor="text1"/>
          <w:szCs w:val="21"/>
          <w:highlight w:val="none"/>
          <w14:textFill>
            <w14:solidFill>
              <w14:schemeClr w14:val="tx1"/>
            </w14:solidFill>
          </w14:textFill>
        </w:rPr>
      </w:pPr>
    </w:p>
    <w:p w14:paraId="11FD9044">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特此证明。</w:t>
      </w:r>
    </w:p>
    <w:p w14:paraId="4E1361C1">
      <w:pPr>
        <w:pStyle w:val="21"/>
        <w:spacing w:line="500" w:lineRule="exact"/>
        <w:ind w:firstLine="420"/>
        <w:jc w:val="left"/>
        <w:rPr>
          <w:rFonts w:hint="eastAsia" w:ascii="宋体" w:hAnsi="宋体" w:eastAsia="宋体" w:cs="宋体"/>
          <w:b/>
          <w:bCs/>
          <w:color w:val="000000" w:themeColor="text1"/>
          <w:sz w:val="28"/>
          <w:szCs w:val="28"/>
          <w:highlight w:val="none"/>
          <w14:textFill>
            <w14:solidFill>
              <w14:schemeClr w14:val="tx1"/>
            </w14:solidFill>
          </w14:textFill>
        </w:rPr>
      </w:pPr>
    </w:p>
    <w:p w14:paraId="479436E0">
      <w:pPr>
        <w:pStyle w:val="21"/>
        <w:spacing w:line="500" w:lineRule="exact"/>
        <w:ind w:firstLine="420"/>
        <w:jc w:val="lef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注:附法定代表人身份证（原件扫描件）。</w:t>
      </w:r>
    </w:p>
    <w:p w14:paraId="49F05F0E">
      <w:pPr>
        <w:ind w:firstLine="560"/>
        <w:rPr>
          <w:rFonts w:hint="eastAsia" w:ascii="宋体" w:hAnsi="宋体" w:eastAsia="宋体" w:cs="宋体"/>
          <w:color w:val="000000" w:themeColor="text1"/>
          <w:szCs w:val="21"/>
          <w:highlight w:val="none"/>
          <w14:textFill>
            <w14:solidFill>
              <w14:schemeClr w14:val="tx1"/>
            </w14:solidFill>
          </w14:textFill>
        </w:rPr>
      </w:pPr>
    </w:p>
    <w:p w14:paraId="257B77CD">
      <w:pPr>
        <w:pStyle w:val="34"/>
        <w:ind w:left="560" w:firstLine="400"/>
        <w:rPr>
          <w:rFonts w:hint="eastAsia" w:ascii="宋体" w:hAnsi="宋体" w:eastAsia="宋体" w:cs="宋体"/>
          <w:color w:val="000000" w:themeColor="text1"/>
          <w:szCs w:val="21"/>
          <w:highlight w:val="none"/>
          <w14:textFill>
            <w14:solidFill>
              <w14:schemeClr w14:val="tx1"/>
            </w14:solidFill>
          </w14:textFill>
        </w:rPr>
      </w:pPr>
    </w:p>
    <w:p w14:paraId="0CAFB38A">
      <w:pPr>
        <w:pStyle w:val="34"/>
        <w:ind w:left="560" w:firstLine="400"/>
        <w:rPr>
          <w:rFonts w:hint="eastAsia" w:ascii="宋体" w:hAnsi="宋体" w:eastAsia="宋体" w:cs="宋体"/>
          <w:color w:val="000000" w:themeColor="text1"/>
          <w:szCs w:val="21"/>
          <w:highlight w:val="none"/>
          <w14:textFill>
            <w14:solidFill>
              <w14:schemeClr w14:val="tx1"/>
            </w14:solidFill>
          </w14:textFill>
        </w:rPr>
      </w:pPr>
    </w:p>
    <w:p w14:paraId="4B877439">
      <w:pPr>
        <w:ind w:firstLine="56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联合体牵头人</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（电子签章或盖章）</w:t>
      </w:r>
    </w:p>
    <w:p w14:paraId="2682864D">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730E8618">
      <w:pPr>
        <w:ind w:firstLine="480"/>
        <w:rPr>
          <w:rFonts w:hint="eastAsia" w:ascii="宋体" w:hAnsi="宋体" w:eastAsia="宋体" w:cs="宋体"/>
          <w:color w:val="000000" w:themeColor="text1"/>
          <w:sz w:val="24"/>
          <w:szCs w:val="24"/>
          <w:highlight w:val="none"/>
          <w14:textFill>
            <w14:solidFill>
              <w14:schemeClr w14:val="tx1"/>
            </w14:solidFill>
          </w14:textFill>
        </w:rPr>
      </w:pPr>
    </w:p>
    <w:p w14:paraId="670AE548">
      <w:pPr>
        <w:ind w:firstLine="482"/>
        <w:rPr>
          <w:rFonts w:hint="eastAsia" w:ascii="宋体" w:hAnsi="宋体" w:eastAsia="宋体" w:cs="宋体"/>
          <w:b/>
          <w:color w:val="000000" w:themeColor="text1"/>
          <w:kern w:val="0"/>
          <w:sz w:val="24"/>
          <w:szCs w:val="20"/>
          <w:highlight w:val="none"/>
          <w14:textFill>
            <w14:solidFill>
              <w14:schemeClr w14:val="tx1"/>
            </w14:solidFill>
          </w14:textFill>
        </w:rPr>
      </w:pPr>
      <w:r>
        <w:rPr>
          <w:rFonts w:hint="eastAsia" w:ascii="宋体" w:hAnsi="宋体" w:eastAsia="宋体" w:cs="宋体"/>
          <w:b/>
          <w:color w:val="000000" w:themeColor="text1"/>
          <w:kern w:val="0"/>
          <w:sz w:val="24"/>
          <w:szCs w:val="20"/>
          <w:highlight w:val="none"/>
          <w14:textFill>
            <w14:solidFill>
              <w14:schemeClr w14:val="tx1"/>
            </w14:solidFill>
          </w14:textFill>
        </w:rPr>
        <w:t>说明</w:t>
      </w:r>
      <w:r>
        <w:rPr>
          <w:rFonts w:hint="eastAsia" w:ascii="宋体" w:hAnsi="宋体" w:eastAsia="宋体" w:cs="宋体"/>
          <w:b/>
          <w:color w:val="000000" w:themeColor="text1"/>
          <w:kern w:val="0"/>
          <w:sz w:val="24"/>
          <w:szCs w:val="20"/>
          <w:highlight w:val="none"/>
          <w:lang w:val="en-US" w:eastAsia="zh-CN"/>
          <w14:textFill>
            <w14:solidFill>
              <w14:schemeClr w14:val="tx1"/>
            </w14:solidFill>
          </w14:textFill>
        </w:rPr>
        <w:t>：</w:t>
      </w:r>
      <w:r>
        <w:rPr>
          <w:rFonts w:hint="eastAsia" w:ascii="宋体" w:hAnsi="宋体" w:eastAsia="宋体" w:cs="宋体"/>
          <w:b/>
          <w:color w:val="000000" w:themeColor="text1"/>
          <w:kern w:val="0"/>
          <w:sz w:val="24"/>
          <w:szCs w:val="20"/>
          <w:highlight w:val="none"/>
          <w:lang w:eastAsia="zh-CN"/>
          <w14:textFill>
            <w14:solidFill>
              <w14:schemeClr w14:val="tx1"/>
            </w14:solidFill>
          </w14:textFill>
        </w:rPr>
        <w:t>若为联合体参加磋商</w:t>
      </w:r>
      <w:r>
        <w:rPr>
          <w:rFonts w:hint="eastAsia" w:ascii="宋体" w:hAnsi="宋体" w:eastAsia="宋体" w:cs="宋体"/>
          <w:b/>
          <w:color w:val="000000" w:themeColor="text1"/>
          <w:kern w:val="0"/>
          <w:sz w:val="24"/>
          <w:szCs w:val="20"/>
          <w:highlight w:val="none"/>
          <w14:textFill>
            <w14:solidFill>
              <w14:schemeClr w14:val="tx1"/>
            </w14:solidFill>
          </w14:textFill>
        </w:rPr>
        <w:t>，由联合体</w:t>
      </w:r>
      <w:r>
        <w:rPr>
          <w:rFonts w:hint="eastAsia" w:ascii="宋体" w:hAnsi="宋体" w:eastAsia="宋体" w:cs="宋体"/>
          <w:b/>
          <w:color w:val="000000" w:themeColor="text1"/>
          <w:kern w:val="0"/>
          <w:sz w:val="24"/>
          <w:szCs w:val="20"/>
          <w:highlight w:val="none"/>
          <w:lang w:val="en-US" w:eastAsia="zh-CN"/>
          <w14:textFill>
            <w14:solidFill>
              <w14:schemeClr w14:val="tx1"/>
            </w14:solidFill>
          </w14:textFill>
        </w:rPr>
        <w:t>牵头人填写即可</w:t>
      </w:r>
      <w:r>
        <w:rPr>
          <w:rFonts w:hint="eastAsia" w:ascii="宋体" w:hAnsi="宋体" w:eastAsia="宋体" w:cs="宋体"/>
          <w:b/>
          <w:color w:val="000000" w:themeColor="text1"/>
          <w:kern w:val="0"/>
          <w:sz w:val="24"/>
          <w:szCs w:val="20"/>
          <w:highlight w:val="none"/>
          <w:lang w:eastAsia="zh-CN"/>
          <w14:textFill>
            <w14:solidFill>
              <w14:schemeClr w14:val="tx1"/>
            </w14:solidFill>
          </w14:textFill>
        </w:rPr>
        <w:t>。</w:t>
      </w:r>
    </w:p>
    <w:p w14:paraId="7866F868">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2154B614">
      <w:pPr>
        <w:pStyle w:val="21"/>
        <w:rPr>
          <w:rFonts w:hint="eastAsia" w:ascii="宋体" w:hAnsi="宋体" w:eastAsia="宋体" w:cs="宋体"/>
          <w:b/>
          <w:bCs/>
          <w:color w:val="000000" w:themeColor="text1"/>
          <w:sz w:val="48"/>
          <w:szCs w:val="40"/>
          <w:highlight w:val="none"/>
          <w14:textFill>
            <w14:solidFill>
              <w14:schemeClr w14:val="tx1"/>
            </w14:solidFill>
          </w14:textFill>
        </w:rPr>
      </w:pPr>
      <w:bookmarkStart w:id="1403" w:name="_Toc21226"/>
      <w:r>
        <w:rPr>
          <w:rFonts w:hint="eastAsia" w:ascii="宋体" w:hAnsi="宋体" w:eastAsia="宋体" w:cs="宋体"/>
          <w:b/>
          <w:bCs/>
          <w:color w:val="000000" w:themeColor="text1"/>
          <w:sz w:val="48"/>
          <w:szCs w:val="40"/>
          <w:highlight w:val="none"/>
          <w14:textFill>
            <w14:solidFill>
              <w14:schemeClr w14:val="tx1"/>
            </w14:solidFill>
          </w14:textFill>
        </w:rPr>
        <w:t>法定代表人授权委托书</w:t>
      </w:r>
      <w:bookmarkEnd w:id="1403"/>
    </w:p>
    <w:p w14:paraId="49D9E054">
      <w:pPr>
        <w:ind w:firstLine="560"/>
        <w:rPr>
          <w:rFonts w:hint="eastAsia" w:ascii="宋体" w:hAnsi="宋体" w:eastAsia="宋体" w:cs="宋体"/>
          <w:color w:val="000000" w:themeColor="text1"/>
          <w:szCs w:val="21"/>
          <w:highlight w:val="none"/>
          <w14:textFill>
            <w14:solidFill>
              <w14:schemeClr w14:val="tx1"/>
            </w14:solidFill>
          </w14:textFill>
        </w:rPr>
      </w:pPr>
    </w:p>
    <w:p w14:paraId="467FBFCC">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本授权书声明：</w:t>
      </w:r>
      <w:r>
        <w:rPr>
          <w:rFonts w:hint="eastAsia" w:ascii="宋体" w:hAnsi="宋体" w:eastAsia="宋体" w:cs="宋体"/>
          <w:color w:val="000000" w:themeColor="text1"/>
          <w:szCs w:val="21"/>
          <w:highlight w:val="none"/>
          <w:u w:val="single"/>
          <w14:textFill>
            <w14:solidFill>
              <w14:schemeClr w14:val="tx1"/>
            </w14:solidFill>
          </w14:textFill>
        </w:rPr>
        <w:t xml:space="preserve">   （供应商全称） </w:t>
      </w:r>
      <w:r>
        <w:rPr>
          <w:rFonts w:hint="eastAsia" w:ascii="宋体" w:hAnsi="宋体" w:eastAsia="宋体" w:cs="宋体"/>
          <w:color w:val="000000" w:themeColor="text1"/>
          <w:szCs w:val="21"/>
          <w:highlight w:val="none"/>
          <w14:textFill>
            <w14:solidFill>
              <w14:schemeClr w14:val="tx1"/>
            </w14:solidFill>
          </w14:textFill>
        </w:rPr>
        <w:t>的法定代表人代表本公司授权</w:t>
      </w:r>
      <w:r>
        <w:rPr>
          <w:rFonts w:hint="eastAsia" w:ascii="宋体" w:hAnsi="宋体" w:eastAsia="宋体" w:cs="宋体"/>
          <w:color w:val="000000" w:themeColor="text1"/>
          <w:szCs w:val="21"/>
          <w:highlight w:val="none"/>
          <w:u w:val="single"/>
          <w14:textFill>
            <w14:solidFill>
              <w14:schemeClr w14:val="tx1"/>
            </w14:solidFill>
          </w14:textFill>
        </w:rPr>
        <w:t xml:space="preserve">    （委托代理人姓名）</w:t>
      </w:r>
      <w:r>
        <w:rPr>
          <w:rFonts w:hint="eastAsia" w:ascii="宋体" w:hAnsi="宋体" w:eastAsia="宋体" w:cs="宋体"/>
          <w:color w:val="000000" w:themeColor="text1"/>
          <w:szCs w:val="21"/>
          <w:highlight w:val="none"/>
          <w14:textFill>
            <w14:solidFill>
              <w14:schemeClr w14:val="tx1"/>
            </w14:solidFill>
          </w14:textFill>
        </w:rPr>
        <w:t>为本公司合法代理人，就贵方组织的有关</w:t>
      </w:r>
      <w:r>
        <w:rPr>
          <w:rFonts w:hint="eastAsia" w:ascii="宋体" w:hAnsi="宋体" w:eastAsia="宋体" w:cs="宋体"/>
          <w:b/>
          <w:bCs/>
          <w:color w:val="000000" w:themeColor="text1"/>
          <w:szCs w:val="21"/>
          <w:highlight w:val="none"/>
          <w:u w:val="single"/>
          <w:lang w:eastAsia="zh-CN"/>
          <w14:textFill>
            <w14:solidFill>
              <w14:schemeClr w14:val="tx1"/>
            </w14:solidFill>
          </w14:textFill>
        </w:rPr>
        <w:t>云南水利水电职业学院校史馆建设项目</w:t>
      </w:r>
      <w:r>
        <w:rPr>
          <w:rFonts w:hint="eastAsia" w:ascii="宋体" w:hAnsi="宋体" w:eastAsia="宋体" w:cs="宋体"/>
          <w:color w:val="000000" w:themeColor="text1"/>
          <w:szCs w:val="21"/>
          <w:highlight w:val="none"/>
          <w14:textFill>
            <w14:solidFill>
              <w14:schemeClr w14:val="tx1"/>
            </w14:solidFill>
          </w14:textFill>
        </w:rPr>
        <w:t>（项目编号：</w:t>
      </w:r>
      <w:r>
        <w:rPr>
          <w:rFonts w:hint="eastAsia" w:ascii="宋体" w:hAnsi="宋体" w:eastAsia="宋体" w:cs="宋体"/>
          <w:b/>
          <w:bCs/>
          <w:color w:val="000000" w:themeColor="text1"/>
          <w:szCs w:val="21"/>
          <w:highlight w:val="none"/>
          <w:u w:val="single"/>
          <w:lang w:eastAsia="zh-CN"/>
          <w14:textFill>
            <w14:solidFill>
              <w14:schemeClr w14:val="tx1"/>
            </w14:solidFill>
          </w14:textFill>
        </w:rPr>
        <w:t>云赛招字2025-183</w:t>
      </w:r>
      <w:r>
        <w:rPr>
          <w:rFonts w:hint="eastAsia" w:ascii="宋体" w:hAnsi="宋体" w:eastAsia="宋体" w:cs="宋体"/>
          <w:color w:val="000000" w:themeColor="text1"/>
          <w:szCs w:val="21"/>
          <w:highlight w:val="none"/>
          <w14:textFill>
            <w14:solidFill>
              <w14:schemeClr w14:val="tx1"/>
            </w14:solidFill>
          </w14:textFill>
        </w:rPr>
        <w:t>）的磋商申请，以本单位名义参加。代理人在本项目中所签署的一切文件和处理与之有关的一切事务，我方均予承认。</w:t>
      </w:r>
    </w:p>
    <w:p w14:paraId="2DEDC150">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委托期限：</w:t>
      </w:r>
      <w:r>
        <w:rPr>
          <w:rFonts w:hint="eastAsia" w:ascii="宋体" w:hAnsi="宋体" w:eastAsia="宋体" w:cs="宋体"/>
          <w:b/>
          <w:bCs/>
          <w:color w:val="000000" w:themeColor="text1"/>
          <w:highlight w:val="none"/>
          <w:u w:val="single"/>
          <w14:textFill>
            <w14:solidFill>
              <w14:schemeClr w14:val="tx1"/>
            </w14:solidFill>
          </w14:textFill>
        </w:rPr>
        <w:t>提交响应文件截止之日起90日历天</w:t>
      </w:r>
      <w:r>
        <w:rPr>
          <w:rFonts w:hint="eastAsia" w:ascii="宋体" w:hAnsi="宋体" w:eastAsia="宋体" w:cs="宋体"/>
          <w:color w:val="000000" w:themeColor="text1"/>
          <w:highlight w:val="none"/>
          <w14:textFill>
            <w14:solidFill>
              <w14:schemeClr w14:val="tx1"/>
            </w14:solidFill>
          </w14:textFill>
        </w:rPr>
        <w:t>。</w:t>
      </w:r>
    </w:p>
    <w:p w14:paraId="151DE97D">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代理人无转委托权。</w:t>
      </w:r>
    </w:p>
    <w:p w14:paraId="37932891">
      <w:pPr>
        <w:pStyle w:val="21"/>
        <w:spacing w:line="500" w:lineRule="exact"/>
        <w:ind w:firstLine="420"/>
        <w:jc w:val="both"/>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注:附委托代理人身份证（原件扫描件）。</w:t>
      </w:r>
    </w:p>
    <w:p w14:paraId="23881972">
      <w:pPr>
        <w:pStyle w:val="21"/>
        <w:spacing w:line="500" w:lineRule="exact"/>
        <w:ind w:firstLine="420"/>
        <w:rPr>
          <w:rFonts w:hint="eastAsia" w:ascii="宋体" w:hAnsi="宋体" w:eastAsia="宋体" w:cs="宋体"/>
          <w:color w:val="000000" w:themeColor="text1"/>
          <w:highlight w:val="none"/>
          <w14:textFill>
            <w14:solidFill>
              <w14:schemeClr w14:val="tx1"/>
            </w14:solidFill>
          </w14:textFill>
        </w:rPr>
      </w:pPr>
    </w:p>
    <w:p w14:paraId="3744EAEE">
      <w:pPr>
        <w:ind w:firstLine="560"/>
        <w:rPr>
          <w:rFonts w:hint="eastAsia" w:ascii="宋体" w:hAnsi="宋体" w:eastAsia="宋体" w:cs="宋体"/>
          <w:color w:val="000000" w:themeColor="text1"/>
          <w:szCs w:val="21"/>
          <w:highlight w:val="none"/>
          <w14:textFill>
            <w14:solidFill>
              <w14:schemeClr w14:val="tx1"/>
            </w14:solidFill>
          </w14:textFill>
        </w:rPr>
      </w:pPr>
    </w:p>
    <w:p w14:paraId="69F56EFF">
      <w:pPr>
        <w:ind w:firstLine="560"/>
        <w:rPr>
          <w:rFonts w:hint="eastAsia" w:ascii="宋体" w:hAnsi="宋体" w:eastAsia="宋体" w:cs="宋体"/>
          <w:color w:val="000000" w:themeColor="text1"/>
          <w:szCs w:val="21"/>
          <w:highlight w:val="none"/>
          <w14:textFill>
            <w14:solidFill>
              <w14:schemeClr w14:val="tx1"/>
            </w14:solidFill>
          </w14:textFill>
        </w:rPr>
      </w:pPr>
    </w:p>
    <w:p w14:paraId="07B011DE">
      <w:pPr>
        <w:ind w:firstLine="56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联合体牵头人</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（电子签章或盖章）</w:t>
      </w:r>
    </w:p>
    <w:p w14:paraId="08AA3457">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（电子签章或电子签名）</w:t>
      </w:r>
    </w:p>
    <w:p w14:paraId="04A6940C">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法定代表人身份证号码：</w:t>
      </w:r>
      <w:r>
        <w:rPr>
          <w:rFonts w:hint="eastAsia" w:ascii="宋体" w:hAnsi="宋体" w:eastAsia="宋体" w:cs="宋体"/>
          <w:color w:val="000000" w:themeColor="text1"/>
          <w:highlight w:val="none"/>
          <w:u w:val="single"/>
          <w14:textFill>
            <w14:solidFill>
              <w14:schemeClr w14:val="tx1"/>
            </w14:solidFill>
          </w14:textFill>
        </w:rPr>
        <w:t xml:space="preserve">            </w:t>
      </w:r>
    </w:p>
    <w:p w14:paraId="058A4AC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（签字）</w:t>
      </w:r>
    </w:p>
    <w:p w14:paraId="25648E63">
      <w:pPr>
        <w:ind w:firstLine="560"/>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委托代理人身份证号码：</w:t>
      </w:r>
      <w:r>
        <w:rPr>
          <w:rFonts w:hint="eastAsia" w:ascii="宋体" w:hAnsi="宋体" w:eastAsia="宋体" w:cs="宋体"/>
          <w:color w:val="000000" w:themeColor="text1"/>
          <w:highlight w:val="none"/>
          <w:u w:val="single"/>
          <w14:textFill>
            <w14:solidFill>
              <w14:schemeClr w14:val="tx1"/>
            </w14:solidFill>
          </w14:textFill>
        </w:rPr>
        <w:t xml:space="preserve">            </w:t>
      </w:r>
    </w:p>
    <w:p w14:paraId="1DB745BB">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1AFAE1A4">
      <w:pPr>
        <w:autoSpaceDE w:val="0"/>
        <w:autoSpaceDN w:val="0"/>
        <w:adjustRightInd w:val="0"/>
        <w:snapToGrid w:val="0"/>
        <w:ind w:right="315" w:firstLine="562"/>
        <w:rPr>
          <w:rFonts w:hint="eastAsia" w:ascii="宋体" w:hAnsi="宋体" w:eastAsia="宋体" w:cs="宋体"/>
          <w:b/>
          <w:color w:val="000000" w:themeColor="text1"/>
          <w:kern w:val="0"/>
          <w:szCs w:val="21"/>
          <w:highlight w:val="none"/>
          <w14:textFill>
            <w14:solidFill>
              <w14:schemeClr w14:val="tx1"/>
            </w14:solidFill>
          </w14:textFill>
        </w:rPr>
      </w:pPr>
    </w:p>
    <w:p w14:paraId="46C8386C">
      <w:pPr>
        <w:ind w:firstLine="482"/>
        <w:rPr>
          <w:rFonts w:hint="eastAsia" w:ascii="宋体" w:hAnsi="宋体" w:eastAsia="宋体" w:cs="宋体"/>
          <w:b/>
          <w:color w:val="000000" w:themeColor="text1"/>
          <w:kern w:val="0"/>
          <w:sz w:val="24"/>
          <w:szCs w:val="20"/>
          <w:highlight w:val="none"/>
          <w14:textFill>
            <w14:solidFill>
              <w14:schemeClr w14:val="tx1"/>
            </w14:solidFill>
          </w14:textFill>
        </w:rPr>
      </w:pPr>
      <w:r>
        <w:rPr>
          <w:rFonts w:hint="eastAsia" w:ascii="宋体" w:hAnsi="宋体" w:eastAsia="宋体" w:cs="宋体"/>
          <w:b/>
          <w:color w:val="000000" w:themeColor="text1"/>
          <w:kern w:val="0"/>
          <w:sz w:val="24"/>
          <w:szCs w:val="20"/>
          <w:highlight w:val="none"/>
          <w14:textFill>
            <w14:solidFill>
              <w14:schemeClr w14:val="tx1"/>
            </w14:solidFill>
          </w14:textFill>
        </w:rPr>
        <w:t>注：上传系统的电子响应文件中，授权委托书由委托代理人签字后扫描，在扫描件上按上述格式要求加盖供应商电子签章、法定代表人电子签章或电子签名。</w:t>
      </w:r>
      <w:r>
        <w:rPr>
          <w:rFonts w:hint="eastAsia" w:ascii="宋体" w:hAnsi="宋体" w:eastAsia="宋体" w:cs="宋体"/>
          <w:b/>
          <w:color w:val="000000" w:themeColor="text1"/>
          <w:kern w:val="0"/>
          <w:sz w:val="24"/>
          <w:szCs w:val="20"/>
          <w:highlight w:val="none"/>
          <w:lang w:eastAsia="zh-CN"/>
          <w14:textFill>
            <w14:solidFill>
              <w14:schemeClr w14:val="tx1"/>
            </w14:solidFill>
          </w14:textFill>
        </w:rPr>
        <w:t>若为联合体参加磋商</w:t>
      </w:r>
      <w:r>
        <w:rPr>
          <w:rFonts w:hint="eastAsia" w:ascii="宋体" w:hAnsi="宋体" w:eastAsia="宋体" w:cs="宋体"/>
          <w:b/>
          <w:color w:val="000000" w:themeColor="text1"/>
          <w:kern w:val="0"/>
          <w:sz w:val="24"/>
          <w:szCs w:val="20"/>
          <w:highlight w:val="none"/>
          <w14:textFill>
            <w14:solidFill>
              <w14:schemeClr w14:val="tx1"/>
            </w14:solidFill>
          </w14:textFill>
        </w:rPr>
        <w:t>，由联合体</w:t>
      </w:r>
      <w:r>
        <w:rPr>
          <w:rFonts w:hint="eastAsia" w:ascii="宋体" w:hAnsi="宋体" w:eastAsia="宋体" w:cs="宋体"/>
          <w:b/>
          <w:color w:val="000000" w:themeColor="text1"/>
          <w:kern w:val="0"/>
          <w:sz w:val="24"/>
          <w:szCs w:val="20"/>
          <w:highlight w:val="none"/>
          <w:lang w:val="en-US" w:eastAsia="zh-CN"/>
          <w14:textFill>
            <w14:solidFill>
              <w14:schemeClr w14:val="tx1"/>
            </w14:solidFill>
          </w14:textFill>
        </w:rPr>
        <w:t>牵头人填写《法定代表人身份证明书及授权委托书》即可</w:t>
      </w:r>
      <w:r>
        <w:rPr>
          <w:rFonts w:hint="eastAsia" w:ascii="宋体" w:hAnsi="宋体" w:eastAsia="宋体" w:cs="宋体"/>
          <w:b/>
          <w:color w:val="000000" w:themeColor="text1"/>
          <w:kern w:val="0"/>
          <w:sz w:val="24"/>
          <w:szCs w:val="20"/>
          <w:highlight w:val="none"/>
          <w:lang w:eastAsia="zh-CN"/>
          <w14:textFill>
            <w14:solidFill>
              <w14:schemeClr w14:val="tx1"/>
            </w14:solidFill>
          </w14:textFill>
        </w:rPr>
        <w:t>。</w:t>
      </w:r>
      <w:r>
        <w:rPr>
          <w:rFonts w:hint="eastAsia" w:ascii="宋体" w:hAnsi="宋体" w:eastAsia="宋体" w:cs="宋体"/>
          <w:b/>
          <w:color w:val="000000" w:themeColor="text1"/>
          <w:kern w:val="0"/>
          <w:sz w:val="24"/>
          <w:szCs w:val="20"/>
          <w:highlight w:val="none"/>
          <w14:textFill>
            <w14:solidFill>
              <w14:schemeClr w14:val="tx1"/>
            </w14:solidFill>
          </w14:textFill>
        </w:rPr>
        <w:br w:type="page"/>
      </w:r>
    </w:p>
    <w:p w14:paraId="60D22BB4">
      <w:pPr>
        <w:pStyle w:val="4"/>
        <w:ind w:firstLine="562"/>
        <w:rPr>
          <w:rFonts w:hint="eastAsia" w:ascii="宋体" w:hAnsi="宋体" w:eastAsia="宋体" w:cs="宋体"/>
          <w:color w:val="000000" w:themeColor="text1"/>
          <w:highlight w:val="none"/>
          <w14:textFill>
            <w14:solidFill>
              <w14:schemeClr w14:val="tx1"/>
            </w14:solidFill>
          </w14:textFill>
        </w:rPr>
      </w:pPr>
      <w:bookmarkStart w:id="1404" w:name="_Toc1592"/>
      <w:bookmarkStart w:id="1405" w:name="_Toc616095451"/>
      <w:bookmarkStart w:id="1406" w:name="_Toc24973"/>
      <w:bookmarkStart w:id="1407" w:name="_Toc203883650"/>
      <w:bookmarkStart w:id="1408" w:name="_Toc5071"/>
      <w:bookmarkStart w:id="1409" w:name="_Toc17717"/>
      <w:bookmarkStart w:id="1410" w:name="_Toc32059"/>
      <w:r>
        <w:rPr>
          <w:rFonts w:hint="eastAsia" w:ascii="宋体" w:hAnsi="宋体" w:eastAsia="宋体" w:cs="宋体"/>
          <w:color w:val="000000" w:themeColor="text1"/>
          <w:highlight w:val="none"/>
          <w14:textFill>
            <w14:solidFill>
              <w14:schemeClr w14:val="tx1"/>
            </w14:solidFill>
          </w14:textFill>
        </w:rPr>
        <w:t>格式</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：联合体协议书</w:t>
      </w:r>
      <w:bookmarkEnd w:id="1404"/>
    </w:p>
    <w:p w14:paraId="659A4AC2">
      <w:pPr>
        <w:bidi w:val="0"/>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联合体协议书</w:t>
      </w:r>
    </w:p>
    <w:p w14:paraId="4BC4CBD3">
      <w:pPr>
        <w:shd w:val="clea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（所有成员单位名称）自愿组成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（联合体名称）联合体，共同参加</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云南水利水电职业学院校史馆建设项目</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。现就联合体</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事宜订立如下协议。</w:t>
      </w:r>
    </w:p>
    <w:p w14:paraId="6AD3EA26">
      <w:pPr>
        <w:shd w:val="clea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（某成员单位名称）为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（联合体名称）牵头人。</w:t>
      </w:r>
    </w:p>
    <w:p w14:paraId="730AAED8">
      <w:pPr>
        <w:shd w:val="clea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2.联合体各成员授权牵头人代表联合体参加</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活动，签署文件，提交和接收相关的资料、信息及指示，进行合同谈判活动，负责合同实施阶段的组织和协调工作，以及处理与本</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项目有关的一切事宜。</w:t>
      </w:r>
    </w:p>
    <w:p w14:paraId="060C1E5B">
      <w:pPr>
        <w:shd w:val="clea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3.联合体牵头人在本项目中签署的一切文件和处理的一切事宜，联合体各成员均予以承认。联合体各成员将严格按照</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和合同的要求全面履行义务，并向</w:t>
      </w:r>
      <w:r>
        <w:rPr>
          <w:rFonts w:hint="eastAsia" w:ascii="宋体" w:hAnsi="宋体" w:eastAsia="宋体" w:cs="宋体"/>
          <w:color w:val="000000" w:themeColor="text1"/>
          <w:sz w:val="24"/>
          <w:szCs w:val="24"/>
          <w:highlight w:val="none"/>
          <w:lang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承担连带责任。</w:t>
      </w:r>
    </w:p>
    <w:p w14:paraId="2049EF59">
      <w:pPr>
        <w:shd w:val="clea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4.联合体各成员单位内部的职责分工如下：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。按照本条上述分工，联合体成员单位各自所承担的合同工作量比例如下：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425699DB">
      <w:pPr>
        <w:shd w:val="clea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5.联合体在</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后工程实施过程中的有关费用按各自承担的工作量分摊。</w:t>
      </w:r>
    </w:p>
    <w:p w14:paraId="633112DF">
      <w:pPr>
        <w:shd w:val="clea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6.本协议书自所有成员单位法定代表人签字并加盖单位章之日起生效，合同履行完毕后自动失效。</w:t>
      </w:r>
    </w:p>
    <w:p w14:paraId="60988227">
      <w:pPr>
        <w:shd w:val="clea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7.本协议书一式</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份，联合体成员和</w:t>
      </w:r>
      <w:r>
        <w:rPr>
          <w:rFonts w:hint="eastAsia" w:ascii="宋体" w:hAnsi="宋体" w:eastAsia="宋体" w:cs="宋体"/>
          <w:color w:val="000000" w:themeColor="text1"/>
          <w:sz w:val="24"/>
          <w:szCs w:val="24"/>
          <w:highlight w:val="none"/>
          <w:lang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各执一份。</w:t>
      </w:r>
    </w:p>
    <w:p w14:paraId="7B327314">
      <w:pPr>
        <w:shd w:val="clear"/>
        <w:bidi w:val="0"/>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联合体牵头人名称：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（盖章）</w:t>
      </w:r>
    </w:p>
    <w:p w14:paraId="75D05B0D">
      <w:pPr>
        <w:shd w:val="clear"/>
        <w:bidi w:val="0"/>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法定代表人：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签字或盖章</w:t>
      </w:r>
      <w:r>
        <w:rPr>
          <w:rFonts w:hint="eastAsia" w:ascii="宋体" w:hAnsi="宋体" w:eastAsia="宋体" w:cs="宋体"/>
          <w:b w:val="0"/>
          <w:bCs w:val="0"/>
          <w:color w:val="000000" w:themeColor="text1"/>
          <w:sz w:val="24"/>
          <w:szCs w:val="24"/>
          <w:highlight w:val="none"/>
          <w14:textFill>
            <w14:solidFill>
              <w14:schemeClr w14:val="tx1"/>
            </w14:solidFill>
          </w14:textFill>
        </w:rPr>
        <w:t>）</w:t>
      </w:r>
    </w:p>
    <w:p w14:paraId="6E0CE488">
      <w:pPr>
        <w:shd w:val="clear"/>
        <w:bidi w:val="0"/>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联合体成员名称：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（盖章）</w:t>
      </w:r>
    </w:p>
    <w:p w14:paraId="5D06684C">
      <w:pPr>
        <w:shd w:val="clear"/>
        <w:bidi w:val="0"/>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法定代表人：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签字或盖章</w:t>
      </w:r>
      <w:r>
        <w:rPr>
          <w:rFonts w:hint="eastAsia" w:ascii="宋体" w:hAnsi="宋体" w:eastAsia="宋体" w:cs="宋体"/>
          <w:b w:val="0"/>
          <w:bCs w:val="0"/>
          <w:color w:val="000000" w:themeColor="text1"/>
          <w:sz w:val="24"/>
          <w:szCs w:val="24"/>
          <w:highlight w:val="none"/>
          <w14:textFill>
            <w14:solidFill>
              <w14:schemeClr w14:val="tx1"/>
            </w14:solidFill>
          </w14:textFill>
        </w:rPr>
        <w:t>）</w:t>
      </w:r>
    </w:p>
    <w:p w14:paraId="41833D64">
      <w:pPr>
        <w:shd w:val="clea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738B2FA">
      <w:pPr>
        <w:shd w:val="clear"/>
        <w:ind w:firstLine="5760" w:firstLineChars="24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29A19F60">
      <w:pPr>
        <w:shd w:val="clea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kern w:val="0"/>
          <w:sz w:val="24"/>
          <w:szCs w:val="20"/>
          <w:highlight w:val="none"/>
          <w:lang w:val="en-US" w:eastAsia="zh-CN"/>
          <w14:textFill>
            <w14:solidFill>
              <w14:schemeClr w14:val="tx1"/>
            </w14:solidFill>
          </w14:textFill>
        </w:rPr>
        <w:t>注：</w:t>
      </w:r>
      <w:r>
        <w:rPr>
          <w:rFonts w:hint="eastAsia" w:ascii="宋体" w:hAnsi="宋体" w:eastAsia="宋体" w:cs="宋体"/>
          <w:b/>
          <w:bCs/>
          <w:color w:val="000000" w:themeColor="text1"/>
          <w:kern w:val="0"/>
          <w:sz w:val="24"/>
          <w:szCs w:val="20"/>
          <w:highlight w:val="none"/>
          <w:lang w:eastAsia="zh-CN"/>
          <w14:textFill>
            <w14:solidFill>
              <w14:schemeClr w14:val="tx1"/>
            </w14:solidFill>
          </w14:textFill>
        </w:rPr>
        <w:t>若为联合体参加磋商</w:t>
      </w:r>
      <w:r>
        <w:rPr>
          <w:rFonts w:hint="eastAsia" w:ascii="宋体" w:hAnsi="宋体" w:eastAsia="宋体" w:cs="宋体"/>
          <w:b/>
          <w:bCs/>
          <w:color w:val="000000" w:themeColor="text1"/>
          <w:kern w:val="0"/>
          <w:sz w:val="24"/>
          <w:szCs w:val="20"/>
          <w:highlight w:val="none"/>
          <w14:textFill>
            <w14:solidFill>
              <w14:schemeClr w14:val="tx1"/>
            </w14:solidFill>
          </w14:textFill>
        </w:rPr>
        <w:t>，</w:t>
      </w:r>
      <w:r>
        <w:rPr>
          <w:rFonts w:hint="eastAsia" w:ascii="宋体" w:hAnsi="宋体" w:eastAsia="宋体" w:cs="宋体"/>
          <w:b/>
          <w:color w:val="000000" w:themeColor="text1"/>
          <w:kern w:val="0"/>
          <w:sz w:val="24"/>
          <w:szCs w:val="20"/>
          <w:highlight w:val="none"/>
          <w14:textFill>
            <w14:solidFill>
              <w14:schemeClr w14:val="tx1"/>
            </w14:solidFill>
          </w14:textFill>
        </w:rPr>
        <w:t>由联合体各方</w:t>
      </w:r>
      <w:r>
        <w:rPr>
          <w:rFonts w:hint="eastAsia" w:ascii="宋体" w:hAnsi="宋体" w:eastAsia="宋体" w:cs="宋体"/>
          <w:b/>
          <w:color w:val="000000" w:themeColor="text1"/>
          <w:kern w:val="0"/>
          <w:sz w:val="24"/>
          <w:szCs w:val="20"/>
          <w:highlight w:val="none"/>
          <w:lang w:val="en-US" w:eastAsia="zh-CN"/>
          <w14:textFill>
            <w14:solidFill>
              <w14:schemeClr w14:val="tx1"/>
            </w14:solidFill>
          </w14:textFill>
        </w:rPr>
        <w:t>共同填写，</w:t>
      </w:r>
      <w:r>
        <w:rPr>
          <w:rFonts w:hint="eastAsia" w:ascii="宋体" w:hAnsi="宋体" w:eastAsia="宋体" w:cs="宋体"/>
          <w:b/>
          <w:color w:val="000000" w:themeColor="text1"/>
          <w:kern w:val="0"/>
          <w:sz w:val="24"/>
          <w:szCs w:val="20"/>
          <w:highlight w:val="none"/>
          <w14:textFill>
            <w14:solidFill>
              <w14:schemeClr w14:val="tx1"/>
            </w14:solidFill>
          </w14:textFill>
        </w:rPr>
        <w:t>签字盖章之后扫描</w:t>
      </w:r>
      <w:r>
        <w:rPr>
          <w:rFonts w:hint="eastAsia" w:ascii="宋体" w:hAnsi="宋体" w:eastAsia="宋体" w:cs="宋体"/>
          <w:b/>
          <w:color w:val="000000" w:themeColor="text1"/>
          <w:sz w:val="24"/>
          <w:szCs w:val="20"/>
          <w:highlight w:val="none"/>
          <w14:textFill>
            <w14:solidFill>
              <w14:schemeClr w14:val="tx1"/>
            </w14:solidFill>
          </w14:textFill>
        </w:rPr>
        <w:t>放入</w:t>
      </w:r>
      <w:r>
        <w:rPr>
          <w:rFonts w:hint="eastAsia" w:ascii="宋体" w:hAnsi="宋体" w:eastAsia="宋体" w:cs="宋体"/>
          <w:b/>
          <w:color w:val="000000" w:themeColor="text1"/>
          <w:sz w:val="24"/>
          <w:szCs w:val="20"/>
          <w:highlight w:val="none"/>
          <w:lang w:eastAsia="zh-CN"/>
          <w14:textFill>
            <w14:solidFill>
              <w14:schemeClr w14:val="tx1"/>
            </w14:solidFill>
          </w14:textFill>
        </w:rPr>
        <w:t>响应文件</w:t>
      </w:r>
      <w:r>
        <w:rPr>
          <w:rFonts w:hint="eastAsia" w:ascii="宋体" w:hAnsi="宋体" w:eastAsia="宋体" w:cs="宋体"/>
          <w:b/>
          <w:color w:val="000000" w:themeColor="text1"/>
          <w:sz w:val="24"/>
          <w:szCs w:val="20"/>
          <w:highlight w:val="none"/>
          <w14:textFill>
            <w14:solidFill>
              <w14:schemeClr w14:val="tx1"/>
            </w14:solidFill>
          </w14:textFill>
        </w:rPr>
        <w:t>中</w:t>
      </w:r>
      <w:r>
        <w:rPr>
          <w:rFonts w:hint="eastAsia" w:ascii="宋体" w:hAnsi="宋体" w:eastAsia="宋体" w:cs="宋体"/>
          <w:b/>
          <w:color w:val="000000" w:themeColor="text1"/>
          <w:kern w:val="0"/>
          <w:sz w:val="24"/>
          <w:szCs w:val="20"/>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br w:type="page"/>
      </w:r>
    </w:p>
    <w:p w14:paraId="0A295683">
      <w:pPr>
        <w:pStyle w:val="4"/>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格式</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w:t>
      </w:r>
      <w:bookmarkEnd w:id="1405"/>
      <w:bookmarkEnd w:id="1406"/>
      <w:bookmarkEnd w:id="1407"/>
      <w:bookmarkStart w:id="1411" w:name="_Toc7618"/>
      <w:bookmarkStart w:id="1412" w:name="_Toc884913911"/>
      <w:bookmarkStart w:id="1413" w:name="_Toc1340628006"/>
      <w:bookmarkStart w:id="1414" w:name="_Toc19328"/>
      <w:bookmarkStart w:id="1415" w:name="_Toc268785271"/>
      <w:bookmarkStart w:id="1416" w:name="_Toc421194392"/>
      <w:bookmarkStart w:id="1417" w:name="_Toc268762761"/>
      <w:bookmarkStart w:id="1418" w:name="_Toc2175"/>
      <w:bookmarkStart w:id="1419" w:name="_Toc259286941"/>
      <w:bookmarkStart w:id="1420" w:name="_Toc446494201"/>
      <w:r>
        <w:rPr>
          <w:rFonts w:hint="eastAsia" w:ascii="宋体" w:hAnsi="宋体" w:eastAsia="宋体" w:cs="宋体"/>
          <w:color w:val="000000" w:themeColor="text1"/>
          <w:highlight w:val="none"/>
          <w14:textFill>
            <w14:solidFill>
              <w14:schemeClr w14:val="tx1"/>
            </w14:solidFill>
          </w14:textFill>
        </w:rPr>
        <w:t>合同书主要条款偏离表</w:t>
      </w:r>
      <w:r>
        <w:rPr>
          <w:rFonts w:hint="eastAsia" w:ascii="宋体" w:hAnsi="宋体" w:eastAsia="宋体" w:cs="宋体"/>
          <w:b w:val="0"/>
          <w:color w:val="000000" w:themeColor="text1"/>
          <w:spacing w:val="-1"/>
          <w:sz w:val="24"/>
          <w:szCs w:val="24"/>
          <w:highlight w:val="none"/>
          <w14:textFill>
            <w14:solidFill>
              <w14:schemeClr w14:val="tx1"/>
            </w14:solidFill>
          </w14:textFill>
        </w:rPr>
        <w:t>（实质性格式）</w:t>
      </w:r>
      <w:bookmarkEnd w:id="1408"/>
      <w:bookmarkEnd w:id="1409"/>
      <w:bookmarkEnd w:id="1410"/>
      <w:bookmarkEnd w:id="1411"/>
      <w:bookmarkEnd w:id="1412"/>
      <w:bookmarkEnd w:id="1413"/>
    </w:p>
    <w:p w14:paraId="6EE899CE">
      <w:pPr>
        <w:pStyle w:val="21"/>
        <w:rPr>
          <w:rFonts w:hint="eastAsia" w:ascii="宋体" w:hAnsi="宋体" w:eastAsia="宋体" w:cs="宋体"/>
          <w:b/>
          <w:bCs/>
          <w:color w:val="000000" w:themeColor="text1"/>
          <w:sz w:val="48"/>
          <w:szCs w:val="40"/>
          <w:highlight w:val="none"/>
          <w14:textFill>
            <w14:solidFill>
              <w14:schemeClr w14:val="tx1"/>
            </w14:solidFill>
          </w14:textFill>
        </w:rPr>
      </w:pPr>
      <w:r>
        <w:rPr>
          <w:rFonts w:hint="eastAsia" w:ascii="宋体" w:hAnsi="宋体" w:eastAsia="宋体" w:cs="宋体"/>
          <w:b/>
          <w:bCs/>
          <w:color w:val="000000" w:themeColor="text1"/>
          <w:sz w:val="48"/>
          <w:szCs w:val="40"/>
          <w:highlight w:val="none"/>
          <w14:textFill>
            <w14:solidFill>
              <w14:schemeClr w14:val="tx1"/>
            </w14:solidFill>
          </w14:textFill>
        </w:rPr>
        <w:t>合同书主要条款偏离表</w:t>
      </w:r>
    </w:p>
    <w:p w14:paraId="6C617935">
      <w:pPr>
        <w:ind w:firstLine="560"/>
        <w:rPr>
          <w:rFonts w:hint="eastAsia" w:ascii="宋体" w:hAnsi="宋体" w:eastAsia="宋体" w:cs="宋体"/>
          <w:color w:val="000000" w:themeColor="text1"/>
          <w:highlight w:val="none"/>
          <w14:textFill>
            <w14:solidFill>
              <w14:schemeClr w14:val="tx1"/>
            </w14:solidFill>
          </w14:textFill>
        </w:rPr>
      </w:pPr>
    </w:p>
    <w:p w14:paraId="7273CC61">
      <w:pPr>
        <w:ind w:left="0" w:leftChars="0" w:firstLine="0" w:firstLineChars="0"/>
        <w:rPr>
          <w:rFonts w:hint="eastAsia" w:ascii="宋体" w:hAnsi="宋体" w:eastAsia="宋体" w:cs="宋体"/>
          <w:b/>
          <w:bCs/>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项目名称：</w:t>
      </w:r>
      <w:r>
        <w:rPr>
          <w:rFonts w:hint="eastAsia" w:ascii="宋体" w:hAnsi="宋体" w:eastAsia="宋体" w:cs="宋体"/>
          <w:b/>
          <w:bCs/>
          <w:color w:val="000000" w:themeColor="text1"/>
          <w:highlight w:val="none"/>
          <w:u w:val="single"/>
          <w:lang w:eastAsia="zh-CN"/>
          <w14:textFill>
            <w14:solidFill>
              <w14:schemeClr w14:val="tx1"/>
            </w14:solidFill>
          </w14:textFill>
        </w:rPr>
        <w:t>云南水利水电职业学院校史馆建设项目</w:t>
      </w:r>
    </w:p>
    <w:p w14:paraId="5F749541">
      <w:pPr>
        <w:ind w:left="0" w:leftChars="0" w:firstLine="0" w:firstLineChars="0"/>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项目编号：</w:t>
      </w:r>
      <w:r>
        <w:rPr>
          <w:rFonts w:hint="eastAsia" w:ascii="宋体" w:hAnsi="宋体" w:eastAsia="宋体" w:cs="宋体"/>
          <w:b/>
          <w:bCs/>
          <w:color w:val="000000" w:themeColor="text1"/>
          <w:highlight w:val="none"/>
          <w:u w:val="single"/>
          <w:lang w:eastAsia="zh-CN"/>
          <w14:textFill>
            <w14:solidFill>
              <w14:schemeClr w14:val="tx1"/>
            </w14:solidFill>
          </w14:textFill>
        </w:rPr>
        <w:t>云赛招字2025-183</w:t>
      </w:r>
    </w:p>
    <w:tbl>
      <w:tblPr>
        <w:tblStyle w:val="3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
        <w:gridCol w:w="2780"/>
        <w:gridCol w:w="2140"/>
        <w:gridCol w:w="1889"/>
        <w:gridCol w:w="1338"/>
        <w:gridCol w:w="886"/>
      </w:tblGrid>
      <w:tr w14:paraId="2836C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58" w:type="pct"/>
            <w:vAlign w:val="center"/>
          </w:tcPr>
          <w:p w14:paraId="168ECDBC">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1398" w:type="pct"/>
            <w:vAlign w:val="center"/>
          </w:tcPr>
          <w:p w14:paraId="7F776715">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竞争性磋商文件条目号及页码</w:t>
            </w:r>
          </w:p>
        </w:tc>
        <w:tc>
          <w:tcPr>
            <w:tcW w:w="1076" w:type="pct"/>
            <w:vAlign w:val="center"/>
          </w:tcPr>
          <w:p w14:paraId="22BA7CE7">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竞争性磋商文件要求</w:t>
            </w:r>
          </w:p>
        </w:tc>
        <w:tc>
          <w:tcPr>
            <w:tcW w:w="950" w:type="pct"/>
            <w:vAlign w:val="center"/>
          </w:tcPr>
          <w:p w14:paraId="67566F86">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响应文件内容</w:t>
            </w:r>
          </w:p>
        </w:tc>
        <w:tc>
          <w:tcPr>
            <w:tcW w:w="673" w:type="pct"/>
            <w:vAlign w:val="center"/>
          </w:tcPr>
          <w:p w14:paraId="7A015E10">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偏离情况</w:t>
            </w:r>
          </w:p>
        </w:tc>
        <w:tc>
          <w:tcPr>
            <w:tcW w:w="443" w:type="pct"/>
            <w:vAlign w:val="center"/>
          </w:tcPr>
          <w:p w14:paraId="21828BB8">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说明</w:t>
            </w:r>
          </w:p>
        </w:tc>
      </w:tr>
      <w:tr w14:paraId="55CA5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5000" w:type="pct"/>
            <w:gridSpan w:val="6"/>
            <w:vAlign w:val="center"/>
          </w:tcPr>
          <w:p w14:paraId="5898A852">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对本项目竞争性磋商文件“第五章 合同书主要条款及样式”的“合同书主要条款”中的所有条款偏离情况（</w:t>
            </w:r>
            <w:r>
              <w:rPr>
                <w:rFonts w:hint="eastAsia" w:ascii="宋体" w:hAnsi="宋体" w:eastAsia="宋体" w:cs="宋体"/>
                <w:b/>
                <w:bCs/>
                <w:color w:val="000000" w:themeColor="text1"/>
                <w:sz w:val="24"/>
                <w:szCs w:val="24"/>
                <w:highlight w:val="none"/>
                <w14:textFill>
                  <w14:solidFill>
                    <w14:schemeClr w14:val="tx1"/>
                  </w14:solidFill>
                </w14:textFill>
              </w:rPr>
              <w:t>须进行选择，未选择磋商申请无效</w:t>
            </w:r>
            <w:r>
              <w:rPr>
                <w:rFonts w:hint="eastAsia" w:ascii="宋体" w:hAnsi="宋体" w:eastAsia="宋体" w:cs="宋体"/>
                <w:color w:val="000000" w:themeColor="text1"/>
                <w:sz w:val="24"/>
                <w:szCs w:val="24"/>
                <w:highlight w:val="none"/>
                <w14:textFill>
                  <w14:solidFill>
                    <w14:schemeClr w14:val="tx1"/>
                  </w14:solidFill>
                </w14:textFill>
              </w:rPr>
              <w:t>）：</w:t>
            </w:r>
          </w:p>
          <w:p w14:paraId="737E40C1">
            <w:pPr>
              <w:pStyle w:val="21"/>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□无偏离（如无偏离，仅勾选无偏离即可；无偏离即为对所有条款中的所有要求，均视作供应商已对之理解和响应。）</w:t>
            </w:r>
          </w:p>
          <w:p w14:paraId="4D872CB1">
            <w:pPr>
              <w:pStyle w:val="21"/>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□有偏离（如有偏离（正偏离或负偏离），则勾选有偏离，并在本表中对偏离项逐一列明，否则磋商申请无效；对所有条款中的所有要求，除本表列明的偏离外，均视作供应商已对之理解和响应。）</w:t>
            </w:r>
          </w:p>
        </w:tc>
      </w:tr>
      <w:tr w14:paraId="6E6B8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58" w:type="pct"/>
            <w:vAlign w:val="center"/>
          </w:tcPr>
          <w:p w14:paraId="4D7D36ED">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1398" w:type="pct"/>
            <w:vAlign w:val="center"/>
          </w:tcPr>
          <w:p w14:paraId="57B0F232">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1076" w:type="pct"/>
            <w:vAlign w:val="center"/>
          </w:tcPr>
          <w:p w14:paraId="3A4848AC">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950" w:type="pct"/>
            <w:vAlign w:val="center"/>
          </w:tcPr>
          <w:p w14:paraId="0218C687">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673" w:type="pct"/>
            <w:vAlign w:val="center"/>
          </w:tcPr>
          <w:p w14:paraId="0B84ECEE">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443" w:type="pct"/>
            <w:vAlign w:val="center"/>
          </w:tcPr>
          <w:p w14:paraId="05822FAC">
            <w:pPr>
              <w:pStyle w:val="21"/>
              <w:rPr>
                <w:rFonts w:hint="eastAsia" w:ascii="宋体" w:hAnsi="宋体" w:eastAsia="宋体" w:cs="宋体"/>
                <w:b/>
                <w:bCs/>
                <w:color w:val="000000" w:themeColor="text1"/>
                <w:sz w:val="24"/>
                <w:szCs w:val="24"/>
                <w:highlight w:val="none"/>
                <w14:textFill>
                  <w14:solidFill>
                    <w14:schemeClr w14:val="tx1"/>
                  </w14:solidFill>
                </w14:textFill>
              </w:rPr>
            </w:pPr>
          </w:p>
        </w:tc>
      </w:tr>
      <w:tr w14:paraId="5449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58" w:type="pct"/>
            <w:vAlign w:val="center"/>
          </w:tcPr>
          <w:p w14:paraId="2F672AEB">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1398" w:type="pct"/>
            <w:vAlign w:val="center"/>
          </w:tcPr>
          <w:p w14:paraId="23E64760">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1076" w:type="pct"/>
            <w:vAlign w:val="center"/>
          </w:tcPr>
          <w:p w14:paraId="544CE4B9">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950" w:type="pct"/>
            <w:vAlign w:val="center"/>
          </w:tcPr>
          <w:p w14:paraId="24EF658D">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673" w:type="pct"/>
            <w:vAlign w:val="center"/>
          </w:tcPr>
          <w:p w14:paraId="0F178B9F">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443" w:type="pct"/>
            <w:vAlign w:val="center"/>
          </w:tcPr>
          <w:p w14:paraId="15540B7C">
            <w:pPr>
              <w:pStyle w:val="21"/>
              <w:rPr>
                <w:rFonts w:hint="eastAsia" w:ascii="宋体" w:hAnsi="宋体" w:eastAsia="宋体" w:cs="宋体"/>
                <w:b/>
                <w:bCs/>
                <w:color w:val="000000" w:themeColor="text1"/>
                <w:sz w:val="24"/>
                <w:szCs w:val="24"/>
                <w:highlight w:val="none"/>
                <w14:textFill>
                  <w14:solidFill>
                    <w14:schemeClr w14:val="tx1"/>
                  </w14:solidFill>
                </w14:textFill>
              </w:rPr>
            </w:pPr>
          </w:p>
        </w:tc>
      </w:tr>
      <w:tr w14:paraId="74C1F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58" w:type="pct"/>
            <w:vAlign w:val="center"/>
          </w:tcPr>
          <w:p w14:paraId="1D2C701E">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1398" w:type="pct"/>
            <w:vAlign w:val="center"/>
          </w:tcPr>
          <w:p w14:paraId="4CD5F0FC">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1076" w:type="pct"/>
            <w:vAlign w:val="center"/>
          </w:tcPr>
          <w:p w14:paraId="468AD554">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950" w:type="pct"/>
            <w:vAlign w:val="center"/>
          </w:tcPr>
          <w:p w14:paraId="5726D2ED">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673" w:type="pct"/>
            <w:vAlign w:val="center"/>
          </w:tcPr>
          <w:p w14:paraId="0776BF05">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443" w:type="pct"/>
            <w:vAlign w:val="center"/>
          </w:tcPr>
          <w:p w14:paraId="718ACC06">
            <w:pPr>
              <w:pStyle w:val="21"/>
              <w:rPr>
                <w:rFonts w:hint="eastAsia" w:ascii="宋体" w:hAnsi="宋体" w:eastAsia="宋体" w:cs="宋体"/>
                <w:b/>
                <w:bCs/>
                <w:color w:val="000000" w:themeColor="text1"/>
                <w:sz w:val="24"/>
                <w:szCs w:val="24"/>
                <w:highlight w:val="none"/>
                <w14:textFill>
                  <w14:solidFill>
                    <w14:schemeClr w14:val="tx1"/>
                  </w14:solidFill>
                </w14:textFill>
              </w:rPr>
            </w:pPr>
          </w:p>
        </w:tc>
      </w:tr>
      <w:tr w14:paraId="4A01D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58" w:type="pct"/>
            <w:vAlign w:val="center"/>
          </w:tcPr>
          <w:p w14:paraId="515281D0">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1398" w:type="pct"/>
            <w:vAlign w:val="center"/>
          </w:tcPr>
          <w:p w14:paraId="654AF73B">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1076" w:type="pct"/>
            <w:vAlign w:val="center"/>
          </w:tcPr>
          <w:p w14:paraId="07FB7724">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950" w:type="pct"/>
            <w:vAlign w:val="center"/>
          </w:tcPr>
          <w:p w14:paraId="55165859">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673" w:type="pct"/>
            <w:vAlign w:val="center"/>
          </w:tcPr>
          <w:p w14:paraId="554837FB">
            <w:pPr>
              <w:pStyle w:val="21"/>
              <w:rPr>
                <w:rFonts w:hint="eastAsia" w:ascii="宋体" w:hAnsi="宋体" w:eastAsia="宋体" w:cs="宋体"/>
                <w:b/>
                <w:bCs/>
                <w:color w:val="000000" w:themeColor="text1"/>
                <w:sz w:val="24"/>
                <w:szCs w:val="24"/>
                <w:highlight w:val="none"/>
                <w14:textFill>
                  <w14:solidFill>
                    <w14:schemeClr w14:val="tx1"/>
                  </w14:solidFill>
                </w14:textFill>
              </w:rPr>
            </w:pPr>
          </w:p>
        </w:tc>
        <w:tc>
          <w:tcPr>
            <w:tcW w:w="443" w:type="pct"/>
            <w:vAlign w:val="center"/>
          </w:tcPr>
          <w:p w14:paraId="4E98765E">
            <w:pPr>
              <w:pStyle w:val="21"/>
              <w:rPr>
                <w:rFonts w:hint="eastAsia" w:ascii="宋体" w:hAnsi="宋体" w:eastAsia="宋体" w:cs="宋体"/>
                <w:b/>
                <w:bCs/>
                <w:color w:val="000000" w:themeColor="text1"/>
                <w:sz w:val="24"/>
                <w:szCs w:val="24"/>
                <w:highlight w:val="none"/>
                <w14:textFill>
                  <w14:solidFill>
                    <w14:schemeClr w14:val="tx1"/>
                  </w14:solidFill>
                </w14:textFill>
              </w:rPr>
            </w:pPr>
          </w:p>
        </w:tc>
      </w:tr>
      <w:tr w14:paraId="50D46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58" w:type="pct"/>
            <w:vAlign w:val="center"/>
          </w:tcPr>
          <w:p w14:paraId="44227F3E">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p>
        </w:tc>
        <w:tc>
          <w:tcPr>
            <w:tcW w:w="1398" w:type="pct"/>
            <w:vAlign w:val="center"/>
          </w:tcPr>
          <w:p w14:paraId="7A785179">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p>
        </w:tc>
        <w:tc>
          <w:tcPr>
            <w:tcW w:w="1076" w:type="pct"/>
            <w:vAlign w:val="center"/>
          </w:tcPr>
          <w:p w14:paraId="74DA9AFF">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p>
        </w:tc>
        <w:tc>
          <w:tcPr>
            <w:tcW w:w="950" w:type="pct"/>
            <w:vAlign w:val="center"/>
          </w:tcPr>
          <w:p w14:paraId="01791536">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p>
        </w:tc>
        <w:tc>
          <w:tcPr>
            <w:tcW w:w="673" w:type="pct"/>
            <w:vAlign w:val="center"/>
          </w:tcPr>
          <w:p w14:paraId="1D2F73BD">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p>
        </w:tc>
        <w:tc>
          <w:tcPr>
            <w:tcW w:w="443" w:type="pct"/>
            <w:vAlign w:val="center"/>
          </w:tcPr>
          <w:p w14:paraId="4077D933">
            <w:pPr>
              <w:pStyle w:val="2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p>
        </w:tc>
      </w:tr>
    </w:tbl>
    <w:p w14:paraId="7E7648EF">
      <w:pPr>
        <w:spacing w:line="240" w:lineRule="auto"/>
        <w:ind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表格填写说明：</w:t>
      </w:r>
    </w:p>
    <w:p w14:paraId="1AD8F415">
      <w:pPr>
        <w:spacing w:line="240" w:lineRule="auto"/>
        <w:ind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1.“偏离情况”列应据实填写“正偏离”或“负偏离”。</w:t>
      </w:r>
    </w:p>
    <w:p w14:paraId="10189BD4">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联合体牵头人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（电子签章或盖章）</w:t>
      </w:r>
    </w:p>
    <w:p w14:paraId="1B1ED176">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法定代表人或委托代理人：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（电子签章或电子签名）</w:t>
      </w:r>
    </w:p>
    <w:p w14:paraId="08564D40">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71DE3842">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bookmarkEnd w:id="1414"/>
    <w:bookmarkEnd w:id="1415"/>
    <w:bookmarkEnd w:id="1416"/>
    <w:bookmarkEnd w:id="1417"/>
    <w:bookmarkEnd w:id="1418"/>
    <w:bookmarkEnd w:id="1419"/>
    <w:bookmarkEnd w:id="1420"/>
    <w:p w14:paraId="75213C07">
      <w:pPr>
        <w:pStyle w:val="4"/>
        <w:ind w:firstLine="562"/>
        <w:rPr>
          <w:rFonts w:hint="eastAsia" w:ascii="宋体" w:hAnsi="宋体" w:eastAsia="宋体" w:cs="宋体"/>
          <w:color w:val="000000" w:themeColor="text1"/>
          <w:highlight w:val="none"/>
          <w14:textFill>
            <w14:solidFill>
              <w14:schemeClr w14:val="tx1"/>
            </w14:solidFill>
          </w14:textFill>
        </w:rPr>
      </w:pPr>
      <w:bookmarkStart w:id="1421" w:name="_Toc9517"/>
      <w:bookmarkStart w:id="1422" w:name="_Toc700455824"/>
      <w:bookmarkStart w:id="1423" w:name="_Toc22000"/>
      <w:bookmarkStart w:id="1424" w:name="_Toc2346"/>
      <w:bookmarkStart w:id="1425" w:name="_Toc455930763"/>
      <w:bookmarkStart w:id="1426" w:name="_Toc28712"/>
      <w:bookmarkStart w:id="1427" w:name="_Toc45788713"/>
      <w:bookmarkStart w:id="1428" w:name="_Toc14394"/>
      <w:bookmarkStart w:id="1429" w:name="_Toc444606624"/>
      <w:r>
        <w:rPr>
          <w:rFonts w:hint="eastAsia" w:ascii="宋体" w:hAnsi="宋体" w:eastAsia="宋体" w:cs="宋体"/>
          <w:color w:val="000000" w:themeColor="text1"/>
          <w:highlight w:val="none"/>
          <w14:textFill>
            <w14:solidFill>
              <w14:schemeClr w14:val="tx1"/>
            </w14:solidFill>
          </w14:textFill>
        </w:rPr>
        <w:t>格式</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：磋商申请保证书</w:t>
      </w:r>
      <w:r>
        <w:rPr>
          <w:rFonts w:hint="eastAsia" w:ascii="宋体" w:hAnsi="宋体" w:eastAsia="宋体" w:cs="宋体"/>
          <w:b w:val="0"/>
          <w:color w:val="000000" w:themeColor="text1"/>
          <w:spacing w:val="-1"/>
          <w:sz w:val="24"/>
          <w:szCs w:val="24"/>
          <w:highlight w:val="none"/>
          <w14:textFill>
            <w14:solidFill>
              <w14:schemeClr w14:val="tx1"/>
            </w14:solidFill>
          </w14:textFill>
        </w:rPr>
        <w:t>（实质性格式）</w:t>
      </w:r>
      <w:bookmarkEnd w:id="1421"/>
      <w:bookmarkEnd w:id="1422"/>
      <w:bookmarkEnd w:id="1423"/>
      <w:bookmarkEnd w:id="1424"/>
      <w:bookmarkEnd w:id="1425"/>
      <w:bookmarkEnd w:id="1426"/>
    </w:p>
    <w:p w14:paraId="1708C2B8">
      <w:pPr>
        <w:pStyle w:val="21"/>
        <w:rPr>
          <w:rFonts w:hint="eastAsia" w:ascii="宋体" w:hAnsi="宋体" w:eastAsia="宋体" w:cs="宋体"/>
          <w:b/>
          <w:bCs/>
          <w:color w:val="000000" w:themeColor="text1"/>
          <w:sz w:val="48"/>
          <w:szCs w:val="40"/>
          <w:highlight w:val="none"/>
          <w14:textFill>
            <w14:solidFill>
              <w14:schemeClr w14:val="tx1"/>
            </w14:solidFill>
          </w14:textFill>
        </w:rPr>
      </w:pPr>
      <w:bookmarkStart w:id="1430" w:name="_Toc23714"/>
      <w:bookmarkStart w:id="1431" w:name="_Toc29802"/>
      <w:bookmarkStart w:id="1432" w:name="_Toc28587"/>
      <w:r>
        <w:rPr>
          <w:rFonts w:hint="eastAsia" w:ascii="宋体" w:hAnsi="宋体" w:eastAsia="宋体" w:cs="宋体"/>
          <w:b/>
          <w:bCs/>
          <w:color w:val="000000" w:themeColor="text1"/>
          <w:sz w:val="48"/>
          <w:szCs w:val="40"/>
          <w:highlight w:val="none"/>
          <w14:textFill>
            <w14:solidFill>
              <w14:schemeClr w14:val="tx1"/>
            </w14:solidFill>
          </w14:textFill>
        </w:rPr>
        <w:t>磋商申请保证书</w:t>
      </w:r>
      <w:bookmarkEnd w:id="1430"/>
      <w:bookmarkEnd w:id="1431"/>
      <w:bookmarkEnd w:id="1432"/>
    </w:p>
    <w:p w14:paraId="4622CF28">
      <w:pPr>
        <w:ind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致：</w:t>
      </w:r>
      <w:r>
        <w:rPr>
          <w:rFonts w:hint="eastAsia" w:ascii="宋体" w:hAnsi="宋体" w:eastAsia="宋体" w:cs="宋体"/>
          <w:b/>
          <w:bCs/>
          <w:color w:val="000000" w:themeColor="text1"/>
          <w:szCs w:val="21"/>
          <w:highlight w:val="none"/>
          <w:u w:val="single"/>
          <w14:textFill>
            <w14:solidFill>
              <w14:schemeClr w14:val="tx1"/>
            </w14:solidFill>
          </w14:textFill>
        </w:rPr>
        <w:t>云南水利水电职业学院</w:t>
      </w:r>
    </w:p>
    <w:p w14:paraId="407201DB">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本书作为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(供应商名称</w:t>
      </w:r>
      <w:r>
        <w:rPr>
          <w:rFonts w:hint="eastAsia" w:ascii="宋体" w:hAnsi="宋体" w:eastAsia="宋体" w:cs="宋体"/>
          <w:color w:val="000000" w:themeColor="text1"/>
          <w:szCs w:val="21"/>
          <w:highlight w:val="none"/>
          <w:lang w:val="en-US" w:eastAsia="zh-CN"/>
          <w14:textFill>
            <w14:solidFill>
              <w14:schemeClr w14:val="tx1"/>
            </w14:solidFill>
          </w14:textFill>
        </w:rPr>
        <w:t>/联合体牵头人</w:t>
      </w:r>
      <w:r>
        <w:rPr>
          <w:rFonts w:hint="eastAsia" w:ascii="宋体" w:hAnsi="宋体" w:eastAsia="宋体" w:cs="宋体"/>
          <w:color w:val="000000" w:themeColor="text1"/>
          <w:szCs w:val="21"/>
          <w:highlight w:val="none"/>
          <w14:textFill>
            <w14:solidFill>
              <w14:schemeClr w14:val="tx1"/>
            </w14:solidFill>
          </w14:textFill>
        </w:rPr>
        <w:t>)对</w:t>
      </w:r>
      <w:r>
        <w:rPr>
          <w:rFonts w:hint="eastAsia" w:ascii="宋体" w:hAnsi="宋体" w:eastAsia="宋体" w:cs="宋体"/>
          <w:b/>
          <w:bCs/>
          <w:color w:val="000000" w:themeColor="text1"/>
          <w:szCs w:val="21"/>
          <w:highlight w:val="none"/>
          <w:u w:val="single"/>
          <w:lang w:eastAsia="zh-CN"/>
          <w14:textFill>
            <w14:solidFill>
              <w14:schemeClr w14:val="tx1"/>
            </w14:solidFill>
          </w14:textFill>
        </w:rPr>
        <w:t>云南水利水电职业学院校史馆建设项目</w:t>
      </w:r>
      <w:r>
        <w:rPr>
          <w:rFonts w:hint="eastAsia" w:ascii="宋体" w:hAnsi="宋体" w:eastAsia="宋体" w:cs="宋体"/>
          <w:b/>
          <w:bCs/>
          <w:color w:val="000000" w:themeColor="text1"/>
          <w:szCs w:val="21"/>
          <w:highlight w:val="none"/>
          <w:u w:val="single"/>
          <w14:textFill>
            <w14:solidFill>
              <w14:schemeClr w14:val="tx1"/>
            </w14:solidFill>
          </w14:textFill>
        </w:rPr>
        <w:t>（项目编号：</w:t>
      </w:r>
      <w:r>
        <w:rPr>
          <w:rFonts w:hint="eastAsia" w:ascii="宋体" w:hAnsi="宋体" w:eastAsia="宋体" w:cs="宋体"/>
          <w:b/>
          <w:bCs/>
          <w:color w:val="000000" w:themeColor="text1"/>
          <w:szCs w:val="21"/>
          <w:highlight w:val="none"/>
          <w:u w:val="single"/>
          <w:lang w:eastAsia="zh-CN"/>
          <w14:textFill>
            <w14:solidFill>
              <w14:schemeClr w14:val="tx1"/>
            </w14:solidFill>
          </w14:textFill>
        </w:rPr>
        <w:t>云赛招字2025-183</w:t>
      </w:r>
      <w:r>
        <w:rPr>
          <w:rFonts w:hint="eastAsia" w:ascii="宋体" w:hAnsi="宋体" w:eastAsia="宋体" w:cs="宋体"/>
          <w:b/>
          <w:bCs/>
          <w:color w:val="000000" w:themeColor="text1"/>
          <w:szCs w:val="21"/>
          <w:highlight w:val="none"/>
          <w:u w:val="singl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提供投标保证金的保证。</w:t>
      </w:r>
    </w:p>
    <w:p w14:paraId="70BDFD9B">
      <w:pPr>
        <w:ind w:firstLine="56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由</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(开户银行名称或供应商名称)提供的投标保证金</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元，投标保证金形式：</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w:t>
      </w:r>
    </w:p>
    <w:p w14:paraId="43B71559">
      <w:pPr>
        <w:ind w:firstLine="562"/>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一、一旦发生下述行为，我单位(或公司)将放弃追索保证金的权利：</w:t>
      </w:r>
    </w:p>
    <w:p w14:paraId="61BAE2DA">
      <w:pPr>
        <w:spacing w:line="240" w:lineRule="auto"/>
        <w:ind w:firstLine="480"/>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1.从响应文件递交截止之日起到响应文件有效期满前，供应商撤销响应文件；</w:t>
      </w:r>
    </w:p>
    <w:p w14:paraId="599DB822">
      <w:pPr>
        <w:spacing w:line="240" w:lineRule="auto"/>
        <w:ind w:firstLine="480"/>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2.评审到定标期间发生违反竞争性磋商文件规定的行为；</w:t>
      </w:r>
    </w:p>
    <w:p w14:paraId="12ADE29F">
      <w:pPr>
        <w:spacing w:line="240" w:lineRule="auto"/>
        <w:ind w:firstLine="480"/>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3.所提交的所有资料涉及伪造、涂改、假冒等不真实的情况；</w:t>
      </w:r>
    </w:p>
    <w:p w14:paraId="33DBA150">
      <w:pPr>
        <w:spacing w:line="240" w:lineRule="auto"/>
        <w:ind w:firstLine="480"/>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4.在收到</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0"/>
          <w:highlight w:val="none"/>
          <w14:textFill>
            <w14:solidFill>
              <w14:schemeClr w14:val="tx1"/>
            </w14:solidFill>
          </w14:textFill>
        </w:rPr>
        <w:t>通知书后未能按</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0"/>
          <w:highlight w:val="none"/>
          <w14:textFill>
            <w14:solidFill>
              <w14:schemeClr w14:val="tx1"/>
            </w14:solidFill>
          </w14:textFill>
        </w:rPr>
        <w:t>通知书规定的时间地点与需求方签订合同；</w:t>
      </w:r>
    </w:p>
    <w:p w14:paraId="0BC852B5">
      <w:pPr>
        <w:spacing w:line="240" w:lineRule="auto"/>
        <w:ind w:firstLine="480"/>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0"/>
          <w:highlight w:val="none"/>
          <w14:textFill>
            <w14:solidFill>
              <w14:schemeClr w14:val="tx1"/>
            </w14:solidFill>
          </w14:textFill>
        </w:rPr>
        <w:t>后未按规定交付</w:t>
      </w:r>
      <w:r>
        <w:rPr>
          <w:rFonts w:hint="eastAsia" w:ascii="宋体" w:hAnsi="宋体" w:eastAsia="宋体" w:cs="宋体"/>
          <w:color w:val="000000" w:themeColor="text1"/>
          <w:sz w:val="24"/>
          <w:szCs w:val="24"/>
          <w:highlight w:val="none"/>
          <w14:textFill>
            <w14:solidFill>
              <w14:schemeClr w14:val="tx1"/>
            </w14:solidFill>
          </w14:textFill>
        </w:rPr>
        <w:t>成交服务费</w:t>
      </w:r>
      <w:r>
        <w:rPr>
          <w:rFonts w:hint="eastAsia" w:ascii="宋体" w:hAnsi="宋体" w:eastAsia="宋体" w:cs="宋体"/>
          <w:color w:val="000000" w:themeColor="text1"/>
          <w:sz w:val="24"/>
          <w:szCs w:val="20"/>
          <w:highlight w:val="none"/>
          <w14:textFill>
            <w14:solidFill>
              <w14:schemeClr w14:val="tx1"/>
            </w14:solidFill>
          </w14:textFill>
        </w:rPr>
        <w:t>。</w:t>
      </w:r>
    </w:p>
    <w:p w14:paraId="1F1998A9">
      <w:pPr>
        <w:spacing w:line="240" w:lineRule="auto"/>
        <w:ind w:firstLine="480"/>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6.如果在响应文件有效期内有其他违约行为的。</w:t>
      </w:r>
    </w:p>
    <w:p w14:paraId="340259FF">
      <w:pPr>
        <w:ind w:firstLine="562"/>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二、我方已了解竞争性磋商文件的全部内容并作出如下保证：</w:t>
      </w:r>
    </w:p>
    <w:p w14:paraId="594353DE">
      <w:pPr>
        <w:spacing w:line="240" w:lineRule="auto"/>
        <w:ind w:firstLine="480"/>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1.我方已详细审核竞争性磋商文件，我方知道必须放弃提出含糊不清或误解问题的权利。</w:t>
      </w:r>
    </w:p>
    <w:p w14:paraId="06F54963">
      <w:pPr>
        <w:spacing w:line="240" w:lineRule="auto"/>
        <w:ind w:firstLine="480"/>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2.同意应贵方要求提供与本磋商申请有关的任何数据或资料。</w:t>
      </w:r>
    </w:p>
    <w:p w14:paraId="0B0D175C">
      <w:pPr>
        <w:spacing w:line="240" w:lineRule="auto"/>
        <w:ind w:firstLine="480"/>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3.我方完全理解贵方不一定要接受最低报价的供应商为成交人的行为。</w:t>
      </w:r>
    </w:p>
    <w:p w14:paraId="1045E756">
      <w:pPr>
        <w:spacing w:line="240" w:lineRule="auto"/>
        <w:ind w:firstLine="480"/>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4.若贵方需要，我方愿意提供我方作出的一切承诺的证明材料。</w:t>
      </w:r>
    </w:p>
    <w:p w14:paraId="64C88995">
      <w:pPr>
        <w:ind w:firstLine="562"/>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本保证书自</w:t>
      </w:r>
      <w:r>
        <w:rPr>
          <w:rFonts w:hint="eastAsia" w:ascii="宋体" w:hAnsi="宋体" w:eastAsia="宋体" w:cs="宋体"/>
          <w:b/>
          <w:bCs/>
          <w:color w:val="000000" w:themeColor="text1"/>
          <w:highlight w:val="none"/>
          <w14:textFill>
            <w14:solidFill>
              <w14:schemeClr w14:val="tx1"/>
            </w14:solidFill>
          </w14:textFill>
        </w:rPr>
        <w:t>提交响应文件截止之日起90日历天内</w:t>
      </w:r>
      <w:r>
        <w:rPr>
          <w:rFonts w:hint="eastAsia" w:ascii="宋体" w:hAnsi="宋体" w:eastAsia="宋体" w:cs="宋体"/>
          <w:b/>
          <w:bCs/>
          <w:color w:val="000000" w:themeColor="text1"/>
          <w:szCs w:val="21"/>
          <w:highlight w:val="none"/>
          <w14:textFill>
            <w14:solidFill>
              <w14:schemeClr w14:val="tx1"/>
            </w14:solidFill>
          </w14:textFill>
        </w:rPr>
        <w:t>有效，除非贵方提前终止或解除本保证书。</w:t>
      </w:r>
    </w:p>
    <w:p w14:paraId="7C5313EF">
      <w:pPr>
        <w:ind w:firstLine="422"/>
        <w:rPr>
          <w:rFonts w:hint="eastAsia" w:ascii="宋体" w:hAnsi="宋体" w:eastAsia="宋体" w:cs="宋体"/>
          <w:b/>
          <w:bCs/>
          <w:color w:val="000000" w:themeColor="text1"/>
          <w:sz w:val="21"/>
          <w:szCs w:val="16"/>
          <w:highlight w:val="none"/>
          <w14:textFill>
            <w14:solidFill>
              <w14:schemeClr w14:val="tx1"/>
            </w14:solidFill>
          </w14:textFill>
        </w:rPr>
      </w:pPr>
      <w:r>
        <w:rPr>
          <w:rFonts w:hint="eastAsia" w:ascii="宋体" w:hAnsi="宋体" w:eastAsia="宋体" w:cs="宋体"/>
          <w:b/>
          <w:bCs/>
          <w:color w:val="000000" w:themeColor="text1"/>
          <w:sz w:val="21"/>
          <w:szCs w:val="16"/>
          <w:highlight w:val="none"/>
          <w14:textFill>
            <w14:solidFill>
              <w14:schemeClr w14:val="tx1"/>
            </w14:solidFill>
          </w14:textFill>
        </w:rPr>
        <w:t>注：须在本“磋商申请保证书”后附投标保证金缴纳凭据的原件扫描件。</w:t>
      </w:r>
    </w:p>
    <w:bookmarkEnd w:id="1427"/>
    <w:bookmarkEnd w:id="1428"/>
    <w:bookmarkEnd w:id="1429"/>
    <w:p w14:paraId="1A30ACDD">
      <w:pPr>
        <w:ind w:firstLine="56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供应商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联合体牵头人</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（电子签章或盖章）</w:t>
      </w:r>
    </w:p>
    <w:p w14:paraId="586469A2">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法定代表人或委托代理人：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（电子签章或电子签名）</w:t>
      </w:r>
    </w:p>
    <w:p w14:paraId="1565C59F">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日</w:t>
      </w:r>
    </w:p>
    <w:p w14:paraId="1F355368">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5BCD714E">
      <w:pPr>
        <w:pStyle w:val="4"/>
        <w:ind w:firstLine="562"/>
        <w:rPr>
          <w:rFonts w:hint="eastAsia" w:ascii="宋体" w:hAnsi="宋体" w:eastAsia="宋体" w:cs="宋体"/>
          <w:color w:val="000000" w:themeColor="text1"/>
          <w:highlight w:val="none"/>
          <w14:textFill>
            <w14:solidFill>
              <w14:schemeClr w14:val="tx1"/>
            </w14:solidFill>
          </w14:textFill>
        </w:rPr>
      </w:pPr>
      <w:bookmarkStart w:id="1433" w:name="_Toc10997"/>
      <w:bookmarkStart w:id="1434" w:name="_Toc2874"/>
      <w:r>
        <w:rPr>
          <w:rFonts w:hint="eastAsia" w:ascii="宋体" w:hAnsi="宋体" w:eastAsia="宋体" w:cs="宋体"/>
          <w:color w:val="000000" w:themeColor="text1"/>
          <w:highlight w:val="none"/>
          <w14:textFill>
            <w14:solidFill>
              <w14:schemeClr w14:val="tx1"/>
            </w14:solidFill>
          </w14:textFill>
        </w:rPr>
        <w:t>格式</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bookmarkEnd w:id="1433"/>
      <w:bookmarkEnd w:id="1434"/>
      <w:r>
        <w:rPr>
          <w:rFonts w:hint="eastAsia" w:ascii="宋体" w:hAnsi="宋体" w:eastAsia="宋体" w:cs="宋体"/>
          <w:color w:val="000000" w:themeColor="text1"/>
          <w:highlight w:val="none"/>
          <w14:textFill>
            <w14:solidFill>
              <w14:schemeClr w14:val="tx1"/>
            </w14:solidFill>
          </w14:textFill>
        </w:rPr>
        <w:t>项目管理机构</w:t>
      </w:r>
    </w:p>
    <w:p w14:paraId="7380A3D6">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6C2DE758">
      <w:pPr>
        <w:ind w:firstLine="0" w:firstLineChars="0"/>
        <w:jc w:val="center"/>
        <w:rPr>
          <w:rFonts w:hint="eastAsia" w:ascii="宋体" w:hAnsi="宋体" w:eastAsia="宋体" w:cs="宋体"/>
          <w:color w:val="000000" w:themeColor="text1"/>
          <w:highlight w:val="none"/>
          <w14:textFill>
            <w14:solidFill>
              <w14:schemeClr w14:val="tx1"/>
            </w14:solidFill>
          </w14:textFill>
        </w:rPr>
      </w:pPr>
    </w:p>
    <w:p w14:paraId="55C1083D">
      <w:pPr>
        <w:ind w:firstLine="0" w:firstLineChars="0"/>
        <w:jc w:val="center"/>
        <w:rPr>
          <w:rFonts w:hint="eastAsia" w:ascii="宋体" w:hAnsi="宋体" w:eastAsia="宋体" w:cs="宋体"/>
          <w:color w:val="000000" w:themeColor="text1"/>
          <w:highlight w:val="none"/>
          <w14:textFill>
            <w14:solidFill>
              <w14:schemeClr w14:val="tx1"/>
            </w14:solidFill>
          </w14:textFill>
        </w:rPr>
      </w:pPr>
    </w:p>
    <w:p w14:paraId="05A580C9">
      <w:pPr>
        <w:ind w:firstLine="0" w:firstLineChars="0"/>
        <w:jc w:val="center"/>
        <w:rPr>
          <w:rFonts w:hint="eastAsia" w:ascii="宋体" w:hAnsi="宋体" w:eastAsia="宋体" w:cs="宋体"/>
          <w:color w:val="000000" w:themeColor="text1"/>
          <w:highlight w:val="none"/>
          <w14:textFill>
            <w14:solidFill>
              <w14:schemeClr w14:val="tx1"/>
            </w14:solidFill>
          </w14:textFill>
        </w:rPr>
      </w:pPr>
    </w:p>
    <w:p w14:paraId="787AC0C3">
      <w:pPr>
        <w:pStyle w:val="4"/>
        <w:bidi w:val="0"/>
        <w:rPr>
          <w:rFonts w:hint="eastAsia" w:ascii="宋体" w:hAnsi="宋体" w:eastAsia="宋体" w:cs="宋体"/>
          <w:color w:val="000000" w:themeColor="text1"/>
          <w:highlight w:val="none"/>
          <w14:textFill>
            <w14:solidFill>
              <w14:schemeClr w14:val="tx1"/>
            </w14:solidFill>
          </w14:textFill>
        </w:rPr>
      </w:pPr>
      <w:bookmarkStart w:id="1435" w:name="_Toc6721"/>
      <w:r>
        <w:rPr>
          <w:rFonts w:hint="eastAsia" w:ascii="宋体" w:hAnsi="宋体" w:eastAsia="宋体" w:cs="宋体"/>
          <w:color w:val="000000" w:themeColor="text1"/>
          <w:highlight w:val="none"/>
          <w14:textFill>
            <w14:solidFill>
              <w14:schemeClr w14:val="tx1"/>
            </w14:solidFill>
          </w14:textFill>
        </w:rPr>
        <w:t>格式</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w:t>
      </w:r>
      <w:bookmarkEnd w:id="1435"/>
      <w:r>
        <w:rPr>
          <w:rFonts w:hint="eastAsia" w:ascii="宋体" w:hAnsi="宋体" w:eastAsia="宋体" w:cs="宋体"/>
          <w:color w:val="000000" w:themeColor="text1"/>
          <w:highlight w:val="none"/>
          <w14:textFill>
            <w14:solidFill>
              <w14:schemeClr w14:val="tx1"/>
            </w14:solidFill>
          </w14:textFill>
        </w:rPr>
        <w:t>类似业绩</w:t>
      </w:r>
    </w:p>
    <w:p w14:paraId="6A02B283">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4ADD8073">
      <w:pPr>
        <w:ind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r>
    </w:p>
    <w:p w14:paraId="2E9595C5">
      <w:pPr>
        <w:pStyle w:val="4"/>
        <w:ind w:firstLine="562"/>
        <w:rPr>
          <w:rFonts w:hint="eastAsia" w:ascii="宋体" w:hAnsi="宋体" w:eastAsia="宋体" w:cs="宋体"/>
          <w:color w:val="000000" w:themeColor="text1"/>
          <w:highlight w:val="none"/>
          <w14:textFill>
            <w14:solidFill>
              <w14:schemeClr w14:val="tx1"/>
            </w14:solidFill>
          </w14:textFill>
        </w:rPr>
      </w:pPr>
      <w:bookmarkStart w:id="1436" w:name="_Toc7665"/>
      <w:bookmarkStart w:id="1437" w:name="_Toc21415"/>
      <w:bookmarkStart w:id="1438" w:name="_Toc1605205905"/>
      <w:bookmarkStart w:id="1439" w:name="_Toc912686201"/>
      <w:bookmarkStart w:id="1440" w:name="_Toc12460"/>
      <w:r>
        <w:rPr>
          <w:rFonts w:hint="eastAsia" w:ascii="宋体" w:hAnsi="宋体" w:eastAsia="宋体" w:cs="宋体"/>
          <w:color w:val="000000" w:themeColor="text1"/>
          <w:highlight w:val="none"/>
          <w14:textFill>
            <w14:solidFill>
              <w14:schemeClr w14:val="tx1"/>
            </w14:solidFill>
          </w14:textFill>
        </w:rPr>
        <w:t>格式</w:t>
      </w:r>
      <w:bookmarkStart w:id="1441" w:name="_Toc28375"/>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：竞争性磋商文件中所涉及到的其它相关资料或供应商认为应该提供的其他资料。</w:t>
      </w:r>
      <w:bookmarkEnd w:id="1436"/>
      <w:bookmarkEnd w:id="1437"/>
      <w:bookmarkEnd w:id="1438"/>
      <w:bookmarkEnd w:id="1439"/>
      <w:bookmarkEnd w:id="1440"/>
      <w:bookmarkEnd w:id="1441"/>
    </w:p>
    <w:p w14:paraId="3B9F5FD0">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6C2B7FB5">
      <w:pPr>
        <w:pStyle w:val="3"/>
        <w:ind w:firstLine="0" w:firstLineChars="0"/>
        <w:jc w:val="center"/>
        <w:rPr>
          <w:rFonts w:hint="eastAsia" w:ascii="宋体" w:hAnsi="宋体" w:eastAsia="宋体" w:cs="宋体"/>
          <w:color w:val="000000" w:themeColor="text1"/>
          <w:highlight w:val="none"/>
          <w14:textFill>
            <w14:solidFill>
              <w14:schemeClr w14:val="tx1"/>
            </w14:solidFill>
          </w14:textFill>
        </w:rPr>
      </w:pPr>
      <w:bookmarkStart w:id="1442" w:name="_Toc160870906"/>
      <w:bookmarkStart w:id="1443" w:name="_Toc1405408875"/>
      <w:bookmarkStart w:id="1444" w:name="_Toc12490"/>
      <w:bookmarkStart w:id="1445" w:name="_Toc19480"/>
      <w:bookmarkStart w:id="1446" w:name="_Toc12637"/>
      <w:r>
        <w:rPr>
          <w:rFonts w:hint="eastAsia" w:ascii="宋体" w:hAnsi="宋体" w:eastAsia="宋体" w:cs="宋体"/>
          <w:color w:val="000000" w:themeColor="text1"/>
          <w:highlight w:val="none"/>
          <w14:textFill>
            <w14:solidFill>
              <w14:schemeClr w14:val="tx1"/>
            </w14:solidFill>
          </w14:textFill>
        </w:rPr>
        <w:t>三、技术文件</w:t>
      </w:r>
      <w:bookmarkEnd w:id="1442"/>
      <w:bookmarkEnd w:id="1443"/>
      <w:bookmarkEnd w:id="1444"/>
      <w:bookmarkEnd w:id="1445"/>
      <w:bookmarkEnd w:id="1446"/>
    </w:p>
    <w:p w14:paraId="5BCF3817">
      <w:pPr>
        <w:pStyle w:val="14"/>
        <w:spacing w:before="78" w:line="220" w:lineRule="auto"/>
        <w:ind w:firstLine="0" w:firstLineChars="0"/>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响应文件</w:t>
      </w:r>
      <w:r>
        <w:rPr>
          <w:rFonts w:hint="eastAsia" w:ascii="宋体" w:hAnsi="宋体" w:eastAsia="宋体" w:cs="宋体"/>
          <w:b/>
          <w:bCs/>
          <w:color w:val="000000" w:themeColor="text1"/>
          <w:spacing w:val="-1"/>
          <w:sz w:val="24"/>
          <w:szCs w:val="24"/>
          <w:highlight w:val="none"/>
          <w14:textFill>
            <w14:solidFill>
              <w14:schemeClr w14:val="tx1"/>
            </w14:solidFill>
          </w14:textFill>
        </w:rPr>
        <w:t>（技术文件</w:t>
      </w:r>
      <w:r>
        <w:rPr>
          <w:rFonts w:hint="eastAsia" w:ascii="宋体" w:hAnsi="宋体" w:eastAsia="宋体" w:cs="宋体"/>
          <w:b/>
          <w:bCs/>
          <w:color w:val="000000" w:themeColor="text1"/>
          <w:spacing w:val="-44"/>
          <w:sz w:val="24"/>
          <w:szCs w:val="24"/>
          <w:highlight w:val="none"/>
          <w14:textFill>
            <w14:solidFill>
              <w14:schemeClr w14:val="tx1"/>
            </w14:solidFill>
          </w14:textFill>
        </w:rPr>
        <w:t xml:space="preserve"> </w:t>
      </w:r>
      <w:r>
        <w:rPr>
          <w:rFonts w:hint="eastAsia" w:ascii="宋体" w:hAnsi="宋体" w:eastAsia="宋体" w:cs="宋体"/>
          <w:b/>
          <w:bCs/>
          <w:color w:val="000000" w:themeColor="text1"/>
          <w:spacing w:val="-1"/>
          <w:sz w:val="24"/>
          <w:szCs w:val="24"/>
          <w:highlight w:val="none"/>
          <w14:textFill>
            <w14:solidFill>
              <w14:schemeClr w14:val="tx1"/>
            </w14:solidFill>
          </w14:textFill>
        </w:rPr>
        <w:t>）封面</w:t>
      </w:r>
    </w:p>
    <w:p w14:paraId="37A7B594">
      <w:pPr>
        <w:ind w:firstLine="0" w:firstLineChars="0"/>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6264BBBF">
      <w:pPr>
        <w:pStyle w:val="21"/>
        <w:rPr>
          <w:rFonts w:hint="eastAsia" w:ascii="宋体" w:hAnsi="宋体" w:eastAsia="宋体" w:cs="宋体"/>
          <w:b/>
          <w:bCs/>
          <w:color w:val="000000" w:themeColor="text1"/>
          <w:sz w:val="48"/>
          <w:szCs w:val="48"/>
          <w:highlight w:val="none"/>
          <w:lang w:eastAsia="zh-CN"/>
          <w14:textFill>
            <w14:solidFill>
              <w14:schemeClr w14:val="tx1"/>
            </w14:solidFill>
          </w14:textFill>
        </w:rPr>
      </w:pPr>
      <w:r>
        <w:rPr>
          <w:rFonts w:hint="eastAsia" w:ascii="宋体" w:hAnsi="宋体" w:eastAsia="宋体" w:cs="宋体"/>
          <w:b/>
          <w:bCs/>
          <w:color w:val="000000" w:themeColor="text1"/>
          <w:sz w:val="48"/>
          <w:szCs w:val="48"/>
          <w:highlight w:val="none"/>
          <w:lang w:eastAsia="zh-CN"/>
          <w14:textFill>
            <w14:solidFill>
              <w14:schemeClr w14:val="tx1"/>
            </w14:solidFill>
          </w14:textFill>
        </w:rPr>
        <w:t>云南水利水电职业学院校史馆建设项目</w:t>
      </w:r>
    </w:p>
    <w:p w14:paraId="15B7CA63">
      <w:pPr>
        <w:pStyle w:val="34"/>
        <w:ind w:left="0" w:leftChars="0" w:firstLine="0" w:firstLineChars="0"/>
        <w:jc w:val="center"/>
        <w:rPr>
          <w:rFonts w:hint="eastAsia" w:ascii="宋体" w:hAnsi="宋体" w:eastAsia="宋体" w:cs="宋体"/>
          <w:color w:val="000000" w:themeColor="text1"/>
          <w:sz w:val="28"/>
          <w:szCs w:val="28"/>
          <w:highlight w:val="none"/>
          <w14:textFill>
            <w14:solidFill>
              <w14:schemeClr w14:val="tx1"/>
            </w14:solidFill>
          </w14:textFill>
        </w:rPr>
      </w:pPr>
    </w:p>
    <w:p w14:paraId="0F192F9F">
      <w:pPr>
        <w:ind w:firstLine="560"/>
        <w:rPr>
          <w:rFonts w:hint="eastAsia" w:ascii="宋体" w:hAnsi="宋体" w:eastAsia="宋体" w:cs="宋体"/>
          <w:color w:val="000000" w:themeColor="text1"/>
          <w:highlight w:val="none"/>
          <w14:textFill>
            <w14:solidFill>
              <w14:schemeClr w14:val="tx1"/>
            </w14:solidFill>
          </w14:textFill>
        </w:rPr>
      </w:pPr>
    </w:p>
    <w:p w14:paraId="5444A720">
      <w:pPr>
        <w:ind w:firstLine="560"/>
        <w:rPr>
          <w:rFonts w:hint="eastAsia" w:ascii="宋体" w:hAnsi="宋体" w:eastAsia="宋体" w:cs="宋体"/>
          <w:color w:val="000000" w:themeColor="text1"/>
          <w:highlight w:val="none"/>
          <w14:textFill>
            <w14:solidFill>
              <w14:schemeClr w14:val="tx1"/>
            </w14:solidFill>
          </w14:textFill>
        </w:rPr>
      </w:pPr>
    </w:p>
    <w:p w14:paraId="72C417CA">
      <w:pPr>
        <w:pStyle w:val="14"/>
        <w:rPr>
          <w:rFonts w:hint="eastAsia" w:ascii="宋体" w:hAnsi="宋体" w:eastAsia="宋体" w:cs="宋体"/>
          <w:color w:val="000000" w:themeColor="text1"/>
          <w:highlight w:val="none"/>
          <w14:textFill>
            <w14:solidFill>
              <w14:schemeClr w14:val="tx1"/>
            </w14:solidFill>
          </w14:textFill>
        </w:rPr>
      </w:pPr>
    </w:p>
    <w:p w14:paraId="68CC5196">
      <w:pPr>
        <w:ind w:firstLine="560"/>
        <w:rPr>
          <w:rFonts w:hint="eastAsia" w:ascii="宋体" w:hAnsi="宋体" w:eastAsia="宋体" w:cs="宋体"/>
          <w:color w:val="000000" w:themeColor="text1"/>
          <w:highlight w:val="none"/>
          <w14:textFill>
            <w14:solidFill>
              <w14:schemeClr w14:val="tx1"/>
            </w14:solidFill>
          </w14:textFill>
        </w:rPr>
      </w:pPr>
    </w:p>
    <w:p w14:paraId="0162D4F7">
      <w:pPr>
        <w:ind w:firstLine="560"/>
        <w:rPr>
          <w:rFonts w:hint="eastAsia" w:ascii="宋体" w:hAnsi="宋体" w:eastAsia="宋体" w:cs="宋体"/>
          <w:color w:val="000000" w:themeColor="text1"/>
          <w:highlight w:val="none"/>
          <w14:textFill>
            <w14:solidFill>
              <w14:schemeClr w14:val="tx1"/>
            </w14:solidFill>
          </w14:textFill>
        </w:rPr>
      </w:pPr>
    </w:p>
    <w:p w14:paraId="4790C9AB">
      <w:pPr>
        <w:pStyle w:val="21"/>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96"/>
          <w:szCs w:val="96"/>
          <w:highlight w:val="none"/>
          <w14:textFill>
            <w14:solidFill>
              <w14:schemeClr w14:val="tx1"/>
            </w14:solidFill>
          </w14:textFill>
        </w:rPr>
        <w:t>响应文件</w:t>
      </w:r>
    </w:p>
    <w:p w14:paraId="189578F8">
      <w:pPr>
        <w:pStyle w:val="34"/>
        <w:ind w:left="0" w:leftChars="0" w:firstLine="0" w:firstLineChars="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（技术文件）</w:t>
      </w:r>
    </w:p>
    <w:p w14:paraId="394E8ADA">
      <w:pPr>
        <w:pStyle w:val="34"/>
        <w:ind w:left="0" w:leftChars="0" w:firstLine="0" w:firstLineChars="0"/>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项目编号：</w:t>
      </w:r>
      <w:r>
        <w:rPr>
          <w:rFonts w:hint="eastAsia" w:ascii="宋体" w:hAnsi="宋体" w:eastAsia="宋体" w:cs="宋体"/>
          <w:color w:val="000000" w:themeColor="text1"/>
          <w:sz w:val="28"/>
          <w:szCs w:val="28"/>
          <w:highlight w:val="none"/>
          <w:lang w:eastAsia="zh-CN"/>
          <w14:textFill>
            <w14:solidFill>
              <w14:schemeClr w14:val="tx1"/>
            </w14:solidFill>
          </w14:textFill>
        </w:rPr>
        <w:t>云赛招字2025-183</w:t>
      </w:r>
    </w:p>
    <w:p w14:paraId="15318EFC">
      <w:pPr>
        <w:ind w:firstLine="560"/>
        <w:rPr>
          <w:rFonts w:hint="eastAsia" w:ascii="宋体" w:hAnsi="宋体" w:eastAsia="宋体" w:cs="宋体"/>
          <w:color w:val="000000" w:themeColor="text1"/>
          <w:highlight w:val="none"/>
          <w14:textFill>
            <w14:solidFill>
              <w14:schemeClr w14:val="tx1"/>
            </w14:solidFill>
          </w14:textFill>
        </w:rPr>
      </w:pPr>
    </w:p>
    <w:p w14:paraId="29471F75">
      <w:pPr>
        <w:pStyle w:val="21"/>
        <w:spacing w:line="500" w:lineRule="exact"/>
        <w:rPr>
          <w:rFonts w:hint="eastAsia" w:ascii="宋体" w:hAnsi="宋体" w:eastAsia="宋体" w:cs="宋体"/>
          <w:b/>
          <w:color w:val="000000" w:themeColor="text1"/>
          <w:sz w:val="72"/>
          <w:szCs w:val="72"/>
          <w:highlight w:val="none"/>
          <w14:textFill>
            <w14:solidFill>
              <w14:schemeClr w14:val="tx1"/>
            </w14:solidFill>
          </w14:textFill>
        </w:rPr>
      </w:pPr>
    </w:p>
    <w:p w14:paraId="11086158">
      <w:pPr>
        <w:pStyle w:val="14"/>
        <w:rPr>
          <w:rFonts w:hint="eastAsia" w:ascii="宋体" w:hAnsi="宋体" w:eastAsia="宋体" w:cs="宋体"/>
          <w:b/>
          <w:color w:val="000000" w:themeColor="text1"/>
          <w:sz w:val="72"/>
          <w:szCs w:val="72"/>
          <w:highlight w:val="none"/>
          <w14:textFill>
            <w14:solidFill>
              <w14:schemeClr w14:val="tx1"/>
            </w14:solidFill>
          </w14:textFill>
        </w:rPr>
      </w:pPr>
    </w:p>
    <w:p w14:paraId="04EA6654">
      <w:pPr>
        <w:pStyle w:val="15"/>
        <w:rPr>
          <w:rFonts w:hint="eastAsia"/>
          <w:color w:val="000000" w:themeColor="text1"/>
          <w:highlight w:val="none"/>
          <w14:textFill>
            <w14:solidFill>
              <w14:schemeClr w14:val="tx1"/>
            </w14:solidFill>
          </w14:textFill>
        </w:rPr>
      </w:pPr>
    </w:p>
    <w:p w14:paraId="005EF5B1">
      <w:pPr>
        <w:pStyle w:val="21"/>
        <w:spacing w:line="500" w:lineRule="exact"/>
        <w:rPr>
          <w:rFonts w:hint="eastAsia" w:ascii="宋体" w:hAnsi="宋体" w:eastAsia="宋体" w:cs="宋体"/>
          <w:b/>
          <w:color w:val="000000" w:themeColor="text1"/>
          <w:sz w:val="72"/>
          <w:szCs w:val="72"/>
          <w:highlight w:val="none"/>
          <w14:textFill>
            <w14:solidFill>
              <w14:schemeClr w14:val="tx1"/>
            </w14:solidFill>
          </w14:textFill>
        </w:rPr>
      </w:pPr>
    </w:p>
    <w:p w14:paraId="73A25266">
      <w:pPr>
        <w:pStyle w:val="21"/>
        <w:ind w:firstLine="562" w:firstLineChars="200"/>
        <w:jc w:val="both"/>
        <w:rPr>
          <w:rFonts w:hint="eastAsia" w:ascii="宋体" w:hAnsi="宋体" w:eastAsia="宋体" w:cs="宋体"/>
          <w:b/>
          <w:bCs/>
          <w:color w:val="000000" w:themeColor="text1"/>
          <w:sz w:val="28"/>
          <w:szCs w:val="22"/>
          <w:highlight w:val="none"/>
          <w:u w:val="single"/>
          <w:lang w:eastAsia="zh-CN"/>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供应商</w:t>
      </w:r>
      <w:r>
        <w:rPr>
          <w:rFonts w:hint="eastAsia" w:ascii="宋体" w:hAnsi="宋体" w:eastAsia="宋体" w:cs="宋体"/>
          <w:b/>
          <w:bCs/>
          <w:color w:val="000000" w:themeColor="text1"/>
          <w:sz w:val="28"/>
          <w:highlight w:val="none"/>
          <w:lang w:eastAsia="zh-CN"/>
          <w14:textFill>
            <w14:solidFill>
              <w14:schemeClr w14:val="tx1"/>
            </w14:solidFill>
          </w14:textFill>
        </w:rPr>
        <w:t>（</w:t>
      </w:r>
      <w:r>
        <w:rPr>
          <w:rFonts w:hint="eastAsia" w:ascii="宋体" w:hAnsi="宋体" w:eastAsia="宋体" w:cs="宋体"/>
          <w:b/>
          <w:bCs/>
          <w:color w:val="000000" w:themeColor="text1"/>
          <w:sz w:val="28"/>
          <w:highlight w:val="none"/>
          <w:lang w:val="en-US" w:eastAsia="zh-CN"/>
          <w14:textFill>
            <w14:solidFill>
              <w14:schemeClr w14:val="tx1"/>
            </w14:solidFill>
          </w14:textFill>
        </w:rPr>
        <w:t>联合体牵头人</w:t>
      </w:r>
      <w:r>
        <w:rPr>
          <w:rFonts w:hint="eastAsia" w:ascii="宋体" w:hAnsi="宋体" w:eastAsia="宋体" w:cs="宋体"/>
          <w:b/>
          <w:bCs/>
          <w:color w:val="000000" w:themeColor="text1"/>
          <w:sz w:val="28"/>
          <w:highlight w:val="none"/>
          <w:lang w:eastAsia="zh-CN"/>
          <w14:textFill>
            <w14:solidFill>
              <w14:schemeClr w14:val="tx1"/>
            </w14:solidFill>
          </w14:textFill>
        </w:rPr>
        <w:t>）</w:t>
      </w:r>
      <w:r>
        <w:rPr>
          <w:rFonts w:hint="eastAsia" w:ascii="宋体" w:hAnsi="宋体" w:eastAsia="宋体" w:cs="宋体"/>
          <w:b/>
          <w:bCs/>
          <w:color w:val="000000" w:themeColor="text1"/>
          <w:sz w:val="28"/>
          <w:szCs w:val="22"/>
          <w:highlight w:val="none"/>
          <w14:textFill>
            <w14:solidFill>
              <w14:schemeClr w14:val="tx1"/>
            </w14:solidFill>
          </w14:textFill>
        </w:rPr>
        <w:t>：</w:t>
      </w:r>
      <w:r>
        <w:rPr>
          <w:rFonts w:hint="eastAsia" w:ascii="宋体" w:hAnsi="宋体" w:eastAsia="宋体" w:cs="宋体"/>
          <w:b/>
          <w:bCs/>
          <w:color w:val="000000" w:themeColor="text1"/>
          <w:sz w:val="28"/>
          <w:szCs w:val="22"/>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2"/>
          <w:highlight w:val="none"/>
          <w:lang w:eastAsia="zh-CN"/>
          <w14:textFill>
            <w14:solidFill>
              <w14:schemeClr w14:val="tx1"/>
            </w14:solidFill>
          </w14:textFill>
        </w:rPr>
        <w:t>（电子签章或盖章）</w:t>
      </w:r>
    </w:p>
    <w:p w14:paraId="580D4C05">
      <w:pPr>
        <w:pStyle w:val="34"/>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日  期：</w:t>
      </w:r>
      <w:r>
        <w:rPr>
          <w:rFonts w:hint="eastAsia" w:ascii="宋体" w:hAnsi="宋体" w:eastAsia="宋体" w:cs="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年 </w:t>
      </w:r>
      <w:r>
        <w:rPr>
          <w:rFonts w:hint="eastAsia" w:ascii="宋体" w:hAnsi="宋体" w:eastAsia="宋体" w:cs="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月</w:t>
      </w:r>
      <w:r>
        <w:rPr>
          <w:rFonts w:hint="eastAsia" w:ascii="宋体" w:hAnsi="宋体" w:eastAsia="宋体" w:cs="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日</w:t>
      </w:r>
    </w:p>
    <w:p w14:paraId="428EBAFF">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r>
      <w:bookmarkStart w:id="1447" w:name="_Toc7688"/>
    </w:p>
    <w:p w14:paraId="02B7EA54">
      <w:pPr>
        <w:ind w:left="0" w:leftChars="0" w:firstLine="0" w:firstLineChars="0"/>
        <w:jc w:val="center"/>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目录</w:t>
      </w:r>
    </w:p>
    <w:p w14:paraId="3A049DA2">
      <w:pPr>
        <w:pStyle w:val="14"/>
        <w:ind w:left="0" w:leftChars="0" w:firstLine="0" w:firstLineChars="0"/>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（格式自拟）</w:t>
      </w:r>
    </w:p>
    <w:p w14:paraId="7234C35E">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78A8AEFC">
      <w:pPr>
        <w:pStyle w:val="4"/>
        <w:ind w:firstLine="562"/>
        <w:rPr>
          <w:rFonts w:hint="eastAsia" w:ascii="宋体" w:hAnsi="宋体" w:eastAsia="宋体" w:cs="宋体"/>
          <w:color w:val="000000" w:themeColor="text1"/>
          <w:highlight w:val="none"/>
          <w14:textFill>
            <w14:solidFill>
              <w14:schemeClr w14:val="tx1"/>
            </w14:solidFill>
          </w14:textFill>
        </w:rPr>
      </w:pPr>
      <w:bookmarkStart w:id="1448" w:name="_Toc7237"/>
      <w:bookmarkStart w:id="1449" w:name="_Toc20334"/>
      <w:bookmarkStart w:id="1450" w:name="_Toc192425485"/>
      <w:bookmarkStart w:id="1451" w:name="_Toc806250373"/>
      <w:bookmarkStart w:id="1452" w:name="_Toc19501"/>
      <w:r>
        <w:rPr>
          <w:rFonts w:hint="eastAsia" w:ascii="宋体" w:hAnsi="宋体" w:eastAsia="宋体" w:cs="宋体"/>
          <w:color w:val="000000" w:themeColor="text1"/>
          <w:highlight w:val="none"/>
          <w14:textFill>
            <w14:solidFill>
              <w14:schemeClr w14:val="tx1"/>
            </w14:solidFill>
          </w14:textFill>
        </w:rPr>
        <w:t>格式1：</w:t>
      </w:r>
      <w:bookmarkEnd w:id="1447"/>
      <w:bookmarkEnd w:id="1448"/>
      <w:bookmarkEnd w:id="1449"/>
      <w:bookmarkEnd w:id="1450"/>
      <w:bookmarkEnd w:id="1451"/>
      <w:r>
        <w:rPr>
          <w:rFonts w:hint="eastAsia" w:ascii="宋体" w:hAnsi="宋体" w:eastAsia="宋体" w:cs="宋体"/>
          <w:color w:val="000000" w:themeColor="text1"/>
          <w:highlight w:val="none"/>
          <w:lang w:val="en-US" w:eastAsia="zh-CN"/>
          <w14:textFill>
            <w14:solidFill>
              <w14:schemeClr w14:val="tx1"/>
            </w14:solidFill>
          </w14:textFill>
        </w:rPr>
        <w:t>设计方案</w:t>
      </w:r>
      <w:bookmarkEnd w:id="1452"/>
    </w:p>
    <w:p w14:paraId="2258AFDC">
      <w:pPr>
        <w:pStyle w:val="5"/>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格式1-1 对项目的理解、重难点分析及合理化建议</w:t>
      </w:r>
    </w:p>
    <w:p w14:paraId="37EED192">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732B814E">
      <w:pPr>
        <w:ind w:firstLine="0" w:firstLineChars="0"/>
        <w:jc w:val="center"/>
        <w:rPr>
          <w:rFonts w:hint="eastAsia" w:ascii="宋体" w:hAnsi="宋体" w:eastAsia="宋体" w:cs="宋体"/>
          <w:color w:val="000000" w:themeColor="text1"/>
          <w:highlight w:val="none"/>
          <w:lang w:val="en-US" w:eastAsia="zh-CN"/>
          <w14:textFill>
            <w14:solidFill>
              <w14:schemeClr w14:val="tx1"/>
            </w14:solidFill>
          </w14:textFill>
        </w:rPr>
      </w:pPr>
    </w:p>
    <w:p w14:paraId="6B226489">
      <w:pPr>
        <w:pStyle w:val="5"/>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格式1-2 总体设计方案</w:t>
      </w:r>
    </w:p>
    <w:p w14:paraId="01C55340">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2C8F8AE9">
      <w:pPr>
        <w:numPr>
          <w:ilvl w:val="0"/>
          <w:numId w:val="0"/>
        </w:numPr>
        <w:ind w:left="280" w:leftChars="0" w:firstLine="0" w:firstLineChars="0"/>
        <w:jc w:val="left"/>
        <w:outlineLvl w:val="9"/>
        <w:rPr>
          <w:rFonts w:hint="eastAsia" w:ascii="宋体" w:hAnsi="宋体" w:eastAsia="宋体" w:cs="宋体"/>
          <w:b/>
          <w:bCs/>
          <w:color w:val="000000" w:themeColor="text1"/>
          <w:highlight w:val="none"/>
          <w:lang w:val="en-US" w:eastAsia="zh-CN"/>
          <w14:textFill>
            <w14:solidFill>
              <w14:schemeClr w14:val="tx1"/>
            </w14:solidFill>
          </w14:textFill>
        </w:rPr>
      </w:pPr>
    </w:p>
    <w:p w14:paraId="22DBF537">
      <w:pPr>
        <w:pStyle w:val="5"/>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格式1-3 功能布局及动线</w:t>
      </w:r>
    </w:p>
    <w:p w14:paraId="32A414AE">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3DF36CD4">
      <w:pPr>
        <w:bidi w:val="0"/>
        <w:rPr>
          <w:rFonts w:hint="eastAsia"/>
          <w:color w:val="000000" w:themeColor="text1"/>
          <w:highlight w:val="none"/>
          <w:lang w:val="en-US" w:eastAsia="zh-CN"/>
          <w14:textFill>
            <w14:solidFill>
              <w14:schemeClr w14:val="tx1"/>
            </w14:solidFill>
          </w14:textFill>
        </w:rPr>
      </w:pPr>
    </w:p>
    <w:p w14:paraId="42676A4D">
      <w:pPr>
        <w:pStyle w:val="5"/>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格式1-4 设计组织措施</w:t>
      </w:r>
    </w:p>
    <w:p w14:paraId="7A4DFE64">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1D25447B">
      <w:pPr>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39C0E9CB">
      <w:pPr>
        <w:pStyle w:val="4"/>
        <w:ind w:firstLine="562"/>
        <w:rPr>
          <w:rFonts w:hint="eastAsia" w:ascii="宋体" w:hAnsi="宋体" w:eastAsia="宋体" w:cs="宋体"/>
          <w:color w:val="000000" w:themeColor="text1"/>
          <w:highlight w:val="none"/>
          <w14:textFill>
            <w14:solidFill>
              <w14:schemeClr w14:val="tx1"/>
            </w14:solidFill>
          </w14:textFill>
        </w:rPr>
      </w:pPr>
      <w:bookmarkStart w:id="1453" w:name="_Toc6072"/>
      <w:bookmarkStart w:id="1454" w:name="_Toc1785072561"/>
      <w:bookmarkStart w:id="1455" w:name="_Toc9095"/>
      <w:bookmarkStart w:id="1456" w:name="_Toc6553"/>
      <w:bookmarkStart w:id="1457" w:name="_Toc579942790"/>
      <w:bookmarkStart w:id="1458" w:name="_Toc18883"/>
      <w:r>
        <w:rPr>
          <w:rFonts w:hint="eastAsia" w:ascii="宋体" w:hAnsi="宋体" w:eastAsia="宋体" w:cs="宋体"/>
          <w:color w:val="000000" w:themeColor="text1"/>
          <w:highlight w:val="none"/>
          <w14:textFill>
            <w14:solidFill>
              <w14:schemeClr w14:val="tx1"/>
            </w14:solidFill>
          </w14:textFill>
        </w:rPr>
        <w:t>格式2：</w:t>
      </w:r>
      <w:bookmarkEnd w:id="1453"/>
      <w:bookmarkEnd w:id="1454"/>
      <w:bookmarkEnd w:id="1455"/>
      <w:bookmarkEnd w:id="1456"/>
      <w:bookmarkEnd w:id="1457"/>
      <w:r>
        <w:rPr>
          <w:rFonts w:hint="eastAsia" w:ascii="宋体" w:hAnsi="宋体" w:eastAsia="宋体" w:cs="宋体"/>
          <w:color w:val="000000" w:themeColor="text1"/>
          <w:highlight w:val="none"/>
          <w:lang w:val="en-US" w:eastAsia="zh-CN"/>
          <w14:textFill>
            <w14:solidFill>
              <w14:schemeClr w14:val="tx1"/>
            </w14:solidFill>
          </w14:textFill>
        </w:rPr>
        <w:t>施工组织设计方案</w:t>
      </w:r>
      <w:bookmarkEnd w:id="1458"/>
    </w:p>
    <w:p w14:paraId="4B5AF75D">
      <w:pPr>
        <w:pStyle w:val="5"/>
        <w:bidi w:val="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格式2-1</w:t>
      </w:r>
      <w:r>
        <w:rPr>
          <w:rFonts w:hint="eastAsia" w:ascii="宋体" w:hAnsi="宋体" w:eastAsia="宋体" w:cs="宋体"/>
          <w:color w:val="000000" w:themeColor="text1"/>
          <w:highlight w:val="none"/>
          <w:lang w:val="en-US" w:eastAsia="zh-CN"/>
          <w14:textFill>
            <w14:solidFill>
              <w14:schemeClr w14:val="tx1"/>
            </w14:solidFill>
          </w14:textFill>
        </w:rPr>
        <w:t xml:space="preserve"> 施工方案与技术措施</w:t>
      </w:r>
    </w:p>
    <w:p w14:paraId="38D5D2AF">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4E23E3C2">
      <w:pPr>
        <w:ind w:firstLine="560"/>
        <w:rPr>
          <w:rFonts w:hint="eastAsia" w:ascii="宋体" w:hAnsi="宋体" w:eastAsia="宋体" w:cs="宋体"/>
          <w:color w:val="000000" w:themeColor="text1"/>
          <w:highlight w:val="none"/>
          <w14:textFill>
            <w14:solidFill>
              <w14:schemeClr w14:val="tx1"/>
            </w14:solidFill>
          </w14:textFill>
        </w:rPr>
      </w:pPr>
      <w:bookmarkStart w:id="1459" w:name="_Toc630782071"/>
      <w:bookmarkStart w:id="1460" w:name="_Toc1765875699"/>
      <w:bookmarkStart w:id="1461" w:name="_Toc31432"/>
    </w:p>
    <w:p w14:paraId="54A73E35">
      <w:pPr>
        <w:pStyle w:val="5"/>
        <w:bidi w:val="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格式2-2 质量管理体系与措施</w:t>
      </w:r>
    </w:p>
    <w:p w14:paraId="4141FDC1">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4D19A4B4">
      <w:pPr>
        <w:ind w:firstLine="560"/>
        <w:rPr>
          <w:rFonts w:hint="eastAsia" w:ascii="宋体" w:hAnsi="宋体" w:eastAsia="宋体" w:cs="宋体"/>
          <w:color w:val="000000" w:themeColor="text1"/>
          <w:highlight w:val="none"/>
          <w14:textFill>
            <w14:solidFill>
              <w14:schemeClr w14:val="tx1"/>
            </w14:solidFill>
          </w14:textFill>
        </w:rPr>
      </w:pPr>
    </w:p>
    <w:p w14:paraId="77A1BE0C">
      <w:pPr>
        <w:pStyle w:val="5"/>
        <w:bidi w:val="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格式2-3 环境保护安全管理体系与措施</w:t>
      </w:r>
    </w:p>
    <w:p w14:paraId="70155F7C">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7BF546A6">
      <w:pPr>
        <w:ind w:firstLine="560"/>
        <w:rPr>
          <w:rFonts w:hint="eastAsia" w:ascii="宋体" w:hAnsi="宋体" w:eastAsia="宋体" w:cs="宋体"/>
          <w:color w:val="000000" w:themeColor="text1"/>
          <w:highlight w:val="none"/>
          <w14:textFill>
            <w14:solidFill>
              <w14:schemeClr w14:val="tx1"/>
            </w14:solidFill>
          </w14:textFill>
        </w:rPr>
      </w:pPr>
    </w:p>
    <w:p w14:paraId="292FF84C">
      <w:pPr>
        <w:pStyle w:val="5"/>
        <w:bidi w:val="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格式2-4 工程进度计划与保证措施</w:t>
      </w:r>
    </w:p>
    <w:p w14:paraId="7CDFBD97">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7942ABC8">
      <w:pPr>
        <w:ind w:firstLine="560"/>
        <w:rPr>
          <w:rFonts w:hint="eastAsia" w:ascii="宋体" w:hAnsi="宋体" w:eastAsia="宋体" w:cs="宋体"/>
          <w:color w:val="000000" w:themeColor="text1"/>
          <w:highlight w:val="none"/>
          <w14:textFill>
            <w14:solidFill>
              <w14:schemeClr w14:val="tx1"/>
            </w14:solidFill>
          </w14:textFill>
        </w:rPr>
      </w:pPr>
    </w:p>
    <w:p w14:paraId="06F3DDF0">
      <w:pPr>
        <w:pStyle w:val="5"/>
        <w:bidi w:val="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格式2-5 资源配备计划</w:t>
      </w:r>
    </w:p>
    <w:p w14:paraId="299B9EFF">
      <w:pPr>
        <w:ind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（按照评审标准，内容、格式自拟)</w:t>
      </w:r>
    </w:p>
    <w:p w14:paraId="7E00576A">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bookmarkEnd w:id="1459"/>
    <w:bookmarkEnd w:id="1460"/>
    <w:p w14:paraId="03B48E45">
      <w:pPr>
        <w:pStyle w:val="4"/>
        <w:bidi w:val="0"/>
        <w:rPr>
          <w:rFonts w:hint="eastAsia" w:ascii="宋体" w:hAnsi="宋体" w:eastAsia="宋体" w:cs="宋体"/>
          <w:color w:val="000000" w:themeColor="text1"/>
          <w:highlight w:val="none"/>
          <w14:textFill>
            <w14:solidFill>
              <w14:schemeClr w14:val="tx1"/>
            </w14:solidFill>
          </w14:textFill>
        </w:rPr>
      </w:pPr>
      <w:bookmarkStart w:id="1462" w:name="_Toc18281"/>
      <w:bookmarkStart w:id="1463" w:name="_Toc24786"/>
      <w:bookmarkStart w:id="1464" w:name="_Toc16174"/>
      <w:bookmarkStart w:id="1465" w:name="_Toc1486661783"/>
      <w:bookmarkStart w:id="1466" w:name="_Toc524606649"/>
      <w:r>
        <w:rPr>
          <w:rFonts w:hint="eastAsia" w:ascii="宋体" w:hAnsi="宋体" w:eastAsia="宋体" w:cs="宋体"/>
          <w:color w:val="000000" w:themeColor="text1"/>
          <w:highlight w:val="none"/>
          <w14:textFill>
            <w14:solidFill>
              <w14:schemeClr w14:val="tx1"/>
            </w14:solidFill>
          </w14:textFill>
        </w:rPr>
        <w:t>格式</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w:t>
      </w:r>
      <w:bookmarkEnd w:id="1462"/>
      <w:bookmarkEnd w:id="1463"/>
      <w:bookmarkStart w:id="1467" w:name="_Toc14779"/>
      <w:bookmarkStart w:id="1468" w:name="_Toc20142"/>
      <w:r>
        <w:rPr>
          <w:rFonts w:hint="eastAsia" w:ascii="宋体" w:hAnsi="宋体" w:eastAsia="宋体" w:cs="宋体"/>
          <w:color w:val="000000" w:themeColor="text1"/>
          <w:highlight w:val="none"/>
          <w14:textFill>
            <w14:solidFill>
              <w14:schemeClr w14:val="tx1"/>
            </w14:solidFill>
          </w14:textFill>
        </w:rPr>
        <w:t>供应商认为应该提供的其他技术资料。</w:t>
      </w:r>
      <w:bookmarkEnd w:id="1461"/>
      <w:bookmarkEnd w:id="1464"/>
      <w:bookmarkEnd w:id="1465"/>
      <w:bookmarkEnd w:id="1466"/>
      <w:bookmarkEnd w:id="1467"/>
      <w:bookmarkEnd w:id="1468"/>
    </w:p>
    <w:p w14:paraId="40C29E5F">
      <w:pPr>
        <w:ind w:firstLine="0" w:firstLineChars="0"/>
        <w:rPr>
          <w:rFonts w:hint="eastAsia" w:ascii="宋体" w:hAnsi="宋体" w:eastAsia="宋体" w:cs="宋体"/>
          <w:color w:val="000000" w:themeColor="text1"/>
          <w:highlight w:val="none"/>
          <w14:textFill>
            <w14:solidFill>
              <w14:schemeClr w14:val="tx1"/>
            </w14:solidFill>
          </w14:textFill>
        </w:rPr>
      </w:pPr>
    </w:p>
    <w:sectPr>
      <w:headerReference r:id="rId13" w:type="default"/>
      <w:footerReference r:id="rId14" w:type="default"/>
      <w:pgSz w:w="11906" w:h="16838"/>
      <w:pgMar w:top="1440" w:right="1083" w:bottom="1440" w:left="1083" w:header="850" w:footer="992" w:gutter="0"/>
      <w:pgNumType w:fmt="decimal"/>
      <w:cols w:space="0" w:num="1"/>
      <w:docGrid w:type="lines" w:linePitch="389" w:charSpace="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s>
  <wne:acds>
    <wne:acd wne:argValue="AQAAAAEA" wne:acdName="acd0" wne:fciIndexBasedOn="0065"/>
    <wne:acd wne:argValue="AQAAAAIA" wne:acdName="acd1" wne:fciIndexBasedOn="0065"/>
    <wne:acd wne:argValue="AQAAAAMA" wne:acdName="acd2"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657F030-9549-4CA9-9282-F6E701EF299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BFCF52C9-8E95-4E60-99BF-7700EE7A0189}"/>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Arial Unicode MS">
    <w:altName w:val="Arial"/>
    <w:panose1 w:val="020B0604020202020204"/>
    <w:charset w:val="80"/>
    <w:family w:val="swiss"/>
    <w:pitch w:val="default"/>
    <w:sig w:usb0="00000000" w:usb1="00000000" w:usb2="0000003F" w:usb3="00000000" w:csb0="603F01FF" w:csb1="FFFF0000"/>
    <w:embedRegular r:id="rId3" w:fontKey="{EDA13B3C-B3D5-4C0B-8D32-D9002895C73A}"/>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6F930">
    <w:pPr>
      <w:pStyle w:val="21"/>
      <w:spacing w:line="240" w:lineRule="auto"/>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972E1">
    <w:pPr>
      <w:pStyle w:val="21"/>
      <w:spacing w:line="240" w:lineRule="auto"/>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41EB2">
    <w:pPr>
      <w:pStyle w:val="21"/>
      <w:spacing w:line="240" w:lineRule="auto"/>
      <w:jc w:val="both"/>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AF2BA">
    <w:pPr>
      <w:pStyle w:val="21"/>
      <w:spacing w:line="240" w:lineRule="auto"/>
      <w:jc w:val="both"/>
      <w:rPr>
        <w:rFonts w:hint="eastAsia"/>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8D40E">
                          <w:pPr>
                            <w:pStyle w:val="2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088D40E">
                    <w:pPr>
                      <w:pStyle w:val="2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DF6D1">
    <w:pPr>
      <w:widowControl w:val="0"/>
      <w:pBdr>
        <w:top w:val="none" w:color="auto" w:sz="0" w:space="0"/>
        <w:left w:val="none" w:color="auto" w:sz="0" w:space="0"/>
        <w:bottom w:val="none" w:color="auto" w:sz="0" w:space="0"/>
        <w:right w:val="none" w:color="auto" w:sz="0" w:space="0"/>
        <w:between w:val="none" w:color="auto" w:sz="0" w:space="0"/>
      </w:pBdr>
      <w:tabs>
        <w:tab w:val="left" w:pos="5954"/>
      </w:tabs>
      <w:wordWrap/>
      <w:autoSpaceDE w:val="0"/>
      <w:autoSpaceDN w:val="0"/>
      <w:snapToGrid w:val="0"/>
      <w:spacing w:line="360" w:lineRule="auto"/>
      <w:ind w:firstLine="0" w:firstLineChars="0"/>
      <w:rPr>
        <w:rFonts w:hint="eastAsia" w:ascii="Arial Unicode MS" w:hAnsi="Arial Unicode MS" w:eastAsia="仿宋" w:cs="宋体"/>
        <w:kern w:val="0"/>
        <w:sz w:val="18"/>
        <w:szCs w:val="18"/>
        <w:lang w:val="zh-CN" w:eastAsia="zh-CN" w:bidi="zh-CN"/>
      </w:rPr>
    </w:pPr>
    <w:r>
      <w:rPr>
        <w:rFonts w:ascii="Arial Unicode MS" w:hAnsi="Arial Unicode MS" w:eastAsia="仿宋" w:cs="仿宋"/>
        <w:kern w:val="0"/>
        <w:sz w:val="21"/>
        <w:szCs w:val="18"/>
        <w:lang w:val="zh-CN" w:eastAsia="zh-CN" w:bidi="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B5F16">
                          <w:pPr>
                            <w:widowControl w:val="0"/>
                            <w:wordWrap w:val="0"/>
                            <w:autoSpaceDE w:val="0"/>
                            <w:autoSpaceDN w:val="0"/>
                            <w:snapToGrid w:val="0"/>
                            <w:spacing w:line="360" w:lineRule="auto"/>
                            <w:ind w:firstLine="360" w:firstLineChars="200"/>
                            <w:rPr>
                              <w:rFonts w:ascii="Arial Unicode MS" w:hAnsi="Arial Unicode MS" w:eastAsia="仿宋" w:cs="仿宋"/>
                              <w:kern w:val="0"/>
                              <w:sz w:val="18"/>
                              <w:szCs w:val="18"/>
                              <w:lang w:val="zh-CN" w:eastAsia="zh-CN" w:bidi="zh-CN"/>
                            </w:rPr>
                          </w:pPr>
                          <w:r>
                            <w:rPr>
                              <w:rFonts w:ascii="Arial Unicode MS" w:hAnsi="Arial Unicode MS" w:eastAsia="仿宋" w:cs="仿宋"/>
                              <w:kern w:val="0"/>
                              <w:sz w:val="18"/>
                              <w:szCs w:val="18"/>
                              <w:lang w:val="zh-CN" w:eastAsia="zh-CN" w:bidi="zh-CN"/>
                            </w:rPr>
                            <w:fldChar w:fldCharType="begin"/>
                          </w:r>
                          <w:r>
                            <w:rPr>
                              <w:rFonts w:ascii="Arial Unicode MS" w:hAnsi="Arial Unicode MS" w:eastAsia="仿宋" w:cs="仿宋"/>
                              <w:kern w:val="0"/>
                              <w:sz w:val="18"/>
                              <w:szCs w:val="18"/>
                              <w:lang w:val="zh-CN" w:eastAsia="zh-CN" w:bidi="zh-CN"/>
                            </w:rPr>
                            <w:instrText xml:space="preserve"> PAGE  \* MERGEFORMAT </w:instrText>
                          </w:r>
                          <w:r>
                            <w:rPr>
                              <w:rFonts w:ascii="Arial Unicode MS" w:hAnsi="Arial Unicode MS" w:eastAsia="仿宋" w:cs="仿宋"/>
                              <w:kern w:val="0"/>
                              <w:sz w:val="18"/>
                              <w:szCs w:val="18"/>
                              <w:lang w:val="zh-CN" w:eastAsia="zh-CN" w:bidi="zh-CN"/>
                            </w:rPr>
                            <w:fldChar w:fldCharType="separate"/>
                          </w:r>
                          <w:r>
                            <w:rPr>
                              <w:rFonts w:ascii="Arial Unicode MS" w:hAnsi="Arial Unicode MS" w:eastAsia="仿宋" w:cs="仿宋"/>
                              <w:kern w:val="0"/>
                              <w:sz w:val="18"/>
                              <w:szCs w:val="18"/>
                              <w:lang w:val="zh-CN" w:eastAsia="zh-CN" w:bidi="zh-CN"/>
                            </w:rPr>
                            <w:t>CXXXIX</w:t>
                          </w:r>
                          <w:r>
                            <w:rPr>
                              <w:rFonts w:ascii="Arial Unicode MS" w:hAnsi="Arial Unicode MS" w:eastAsia="仿宋" w:cs="仿宋"/>
                              <w:kern w:val="0"/>
                              <w:sz w:val="18"/>
                              <w:szCs w:val="18"/>
                              <w:lang w:val="zh-CN" w:eastAsia="zh-CN" w:bidi="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7DFB5F16">
                    <w:pPr>
                      <w:widowControl w:val="0"/>
                      <w:wordWrap w:val="0"/>
                      <w:autoSpaceDE w:val="0"/>
                      <w:autoSpaceDN w:val="0"/>
                      <w:snapToGrid w:val="0"/>
                      <w:spacing w:line="360" w:lineRule="auto"/>
                      <w:ind w:firstLine="360" w:firstLineChars="200"/>
                      <w:rPr>
                        <w:rFonts w:ascii="Arial Unicode MS" w:hAnsi="Arial Unicode MS" w:eastAsia="仿宋" w:cs="仿宋"/>
                        <w:kern w:val="0"/>
                        <w:sz w:val="18"/>
                        <w:szCs w:val="18"/>
                        <w:lang w:val="zh-CN" w:eastAsia="zh-CN" w:bidi="zh-CN"/>
                      </w:rPr>
                    </w:pPr>
                    <w:r>
                      <w:rPr>
                        <w:rFonts w:ascii="Arial Unicode MS" w:hAnsi="Arial Unicode MS" w:eastAsia="仿宋" w:cs="仿宋"/>
                        <w:kern w:val="0"/>
                        <w:sz w:val="18"/>
                        <w:szCs w:val="18"/>
                        <w:lang w:val="zh-CN" w:eastAsia="zh-CN" w:bidi="zh-CN"/>
                      </w:rPr>
                      <w:fldChar w:fldCharType="begin"/>
                    </w:r>
                    <w:r>
                      <w:rPr>
                        <w:rFonts w:ascii="Arial Unicode MS" w:hAnsi="Arial Unicode MS" w:eastAsia="仿宋" w:cs="仿宋"/>
                        <w:kern w:val="0"/>
                        <w:sz w:val="18"/>
                        <w:szCs w:val="18"/>
                        <w:lang w:val="zh-CN" w:eastAsia="zh-CN" w:bidi="zh-CN"/>
                      </w:rPr>
                      <w:instrText xml:space="preserve"> PAGE  \* MERGEFORMAT </w:instrText>
                    </w:r>
                    <w:r>
                      <w:rPr>
                        <w:rFonts w:ascii="Arial Unicode MS" w:hAnsi="Arial Unicode MS" w:eastAsia="仿宋" w:cs="仿宋"/>
                        <w:kern w:val="0"/>
                        <w:sz w:val="18"/>
                        <w:szCs w:val="18"/>
                        <w:lang w:val="zh-CN" w:eastAsia="zh-CN" w:bidi="zh-CN"/>
                      </w:rPr>
                      <w:fldChar w:fldCharType="separate"/>
                    </w:r>
                    <w:r>
                      <w:rPr>
                        <w:rFonts w:ascii="Arial Unicode MS" w:hAnsi="Arial Unicode MS" w:eastAsia="仿宋" w:cs="仿宋"/>
                        <w:kern w:val="0"/>
                        <w:sz w:val="18"/>
                        <w:szCs w:val="18"/>
                        <w:lang w:val="zh-CN" w:eastAsia="zh-CN" w:bidi="zh-CN"/>
                      </w:rPr>
                      <w:t>CXXXIX</w:t>
                    </w:r>
                    <w:r>
                      <w:rPr>
                        <w:rFonts w:ascii="Arial Unicode MS" w:hAnsi="Arial Unicode MS" w:eastAsia="仿宋" w:cs="仿宋"/>
                        <w:kern w:val="0"/>
                        <w:sz w:val="18"/>
                        <w:szCs w:val="18"/>
                        <w:lang w:val="zh-CN" w:eastAsia="zh-CN" w:bidi="zh-CN"/>
                      </w:rPr>
                      <w:fldChar w:fldCharType="end"/>
                    </w:r>
                  </w:p>
                </w:txbxContent>
              </v:textbox>
            </v:shape>
          </w:pict>
        </mc:Fallback>
      </mc:AlternateContent>
    </w:r>
    <w:r>
      <w:rPr>
        <w:rFonts w:ascii="Arial Unicode MS" w:hAnsi="Arial Unicode MS" w:eastAsia="仿宋" w:cs="仿宋"/>
        <w:kern w:val="0"/>
        <w:sz w:val="18"/>
        <w:szCs w:val="18"/>
        <w:lang w:val="zh-CN" w:eastAsia="zh-CN" w:bidi="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EBD5A">
                          <w:pPr>
                            <w:widowControl w:val="0"/>
                            <w:wordWrap w:val="0"/>
                            <w:autoSpaceDE w:val="0"/>
                            <w:autoSpaceDN w:val="0"/>
                            <w:snapToGrid w:val="0"/>
                            <w:spacing w:line="360" w:lineRule="auto"/>
                            <w:ind w:firstLine="360" w:firstLineChars="200"/>
                            <w:rPr>
                              <w:rFonts w:ascii="Arial Unicode MS" w:hAnsi="Arial Unicode MS" w:eastAsia="仿宋" w:cs="仿宋"/>
                              <w:kern w:val="0"/>
                              <w:sz w:val="18"/>
                              <w:szCs w:val="18"/>
                              <w:lang w:val="zh-CN" w:eastAsia="zh-CN" w:bidi="zh-CN"/>
                            </w:rPr>
                          </w:pPr>
                          <w:r>
                            <w:rPr>
                              <w:rFonts w:ascii="Arial Unicode MS" w:hAnsi="Arial Unicode MS" w:eastAsia="仿宋" w:cs="仿宋"/>
                              <w:kern w:val="0"/>
                              <w:sz w:val="18"/>
                              <w:szCs w:val="18"/>
                              <w:lang w:val="zh-CN" w:eastAsia="zh-CN" w:bidi="zh-CN"/>
                            </w:rPr>
                            <w:fldChar w:fldCharType="begin"/>
                          </w:r>
                          <w:r>
                            <w:rPr>
                              <w:rFonts w:ascii="Arial Unicode MS" w:hAnsi="Arial Unicode MS" w:eastAsia="仿宋" w:cs="仿宋"/>
                              <w:kern w:val="0"/>
                              <w:sz w:val="18"/>
                              <w:szCs w:val="18"/>
                              <w:lang w:val="zh-CN" w:eastAsia="zh-CN" w:bidi="zh-CN"/>
                            </w:rPr>
                            <w:instrText xml:space="preserve"> PAGE  \* MERGEFORMAT </w:instrText>
                          </w:r>
                          <w:r>
                            <w:rPr>
                              <w:rFonts w:ascii="Arial Unicode MS" w:hAnsi="Arial Unicode MS" w:eastAsia="仿宋" w:cs="仿宋"/>
                              <w:kern w:val="0"/>
                              <w:sz w:val="18"/>
                              <w:szCs w:val="18"/>
                              <w:lang w:val="zh-CN" w:eastAsia="zh-CN" w:bidi="zh-CN"/>
                            </w:rPr>
                            <w:fldChar w:fldCharType="separate"/>
                          </w:r>
                          <w:r>
                            <w:rPr>
                              <w:rFonts w:ascii="Arial Unicode MS" w:hAnsi="Arial Unicode MS" w:eastAsia="仿宋" w:cs="仿宋"/>
                              <w:kern w:val="0"/>
                              <w:sz w:val="18"/>
                              <w:szCs w:val="18"/>
                              <w:lang w:val="zh-CN" w:eastAsia="zh-CN" w:bidi="zh-CN"/>
                            </w:rPr>
                            <w:t>XLIV</w:t>
                          </w:r>
                          <w:r>
                            <w:rPr>
                              <w:rFonts w:ascii="Arial Unicode MS" w:hAnsi="Arial Unicode MS" w:eastAsia="仿宋" w:cs="仿宋"/>
                              <w:kern w:val="0"/>
                              <w:sz w:val="18"/>
                              <w:szCs w:val="18"/>
                              <w:lang w:val="zh-CN" w:eastAsia="zh-CN" w:bidi="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3A6EBD5A">
                    <w:pPr>
                      <w:widowControl w:val="0"/>
                      <w:wordWrap w:val="0"/>
                      <w:autoSpaceDE w:val="0"/>
                      <w:autoSpaceDN w:val="0"/>
                      <w:snapToGrid w:val="0"/>
                      <w:spacing w:line="360" w:lineRule="auto"/>
                      <w:ind w:firstLine="360" w:firstLineChars="200"/>
                      <w:rPr>
                        <w:rFonts w:ascii="Arial Unicode MS" w:hAnsi="Arial Unicode MS" w:eastAsia="仿宋" w:cs="仿宋"/>
                        <w:kern w:val="0"/>
                        <w:sz w:val="18"/>
                        <w:szCs w:val="18"/>
                        <w:lang w:val="zh-CN" w:eastAsia="zh-CN" w:bidi="zh-CN"/>
                      </w:rPr>
                    </w:pPr>
                    <w:r>
                      <w:rPr>
                        <w:rFonts w:ascii="Arial Unicode MS" w:hAnsi="Arial Unicode MS" w:eastAsia="仿宋" w:cs="仿宋"/>
                        <w:kern w:val="0"/>
                        <w:sz w:val="18"/>
                        <w:szCs w:val="18"/>
                        <w:lang w:val="zh-CN" w:eastAsia="zh-CN" w:bidi="zh-CN"/>
                      </w:rPr>
                      <w:fldChar w:fldCharType="begin"/>
                    </w:r>
                    <w:r>
                      <w:rPr>
                        <w:rFonts w:ascii="Arial Unicode MS" w:hAnsi="Arial Unicode MS" w:eastAsia="仿宋" w:cs="仿宋"/>
                        <w:kern w:val="0"/>
                        <w:sz w:val="18"/>
                        <w:szCs w:val="18"/>
                        <w:lang w:val="zh-CN" w:eastAsia="zh-CN" w:bidi="zh-CN"/>
                      </w:rPr>
                      <w:instrText xml:space="preserve"> PAGE  \* MERGEFORMAT </w:instrText>
                    </w:r>
                    <w:r>
                      <w:rPr>
                        <w:rFonts w:ascii="Arial Unicode MS" w:hAnsi="Arial Unicode MS" w:eastAsia="仿宋" w:cs="仿宋"/>
                        <w:kern w:val="0"/>
                        <w:sz w:val="18"/>
                        <w:szCs w:val="18"/>
                        <w:lang w:val="zh-CN" w:eastAsia="zh-CN" w:bidi="zh-CN"/>
                      </w:rPr>
                      <w:fldChar w:fldCharType="separate"/>
                    </w:r>
                    <w:r>
                      <w:rPr>
                        <w:rFonts w:ascii="Arial Unicode MS" w:hAnsi="Arial Unicode MS" w:eastAsia="仿宋" w:cs="仿宋"/>
                        <w:kern w:val="0"/>
                        <w:sz w:val="18"/>
                        <w:szCs w:val="18"/>
                        <w:lang w:val="zh-CN" w:eastAsia="zh-CN" w:bidi="zh-CN"/>
                      </w:rPr>
                      <w:t>XLIV</w:t>
                    </w:r>
                    <w:r>
                      <w:rPr>
                        <w:rFonts w:ascii="Arial Unicode MS" w:hAnsi="Arial Unicode MS" w:eastAsia="仿宋" w:cs="仿宋"/>
                        <w:kern w:val="0"/>
                        <w:sz w:val="18"/>
                        <w:szCs w:val="18"/>
                        <w:lang w:val="zh-CN" w:eastAsia="zh-CN" w:bidi="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A18DA">
    <w:pPr>
      <w:pStyle w:val="23"/>
      <w:ind w:firstLine="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D9A0DF">
                          <w:pPr>
                            <w:pStyle w:val="2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6D9A0DF">
                    <w:pPr>
                      <w:pStyle w:val="2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F273D">
    <w:pPr>
      <w:pStyle w:val="21"/>
      <w:spacing w:line="240" w:lineRule="auto"/>
      <w:jc w:val="right"/>
      <w:rPr>
        <w:rFonts w:hint="eastAsia"/>
        <w:b/>
        <w:bCs/>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C790B">
    <w:pPr>
      <w:pStyle w:val="21"/>
      <w:spacing w:line="240" w:lineRule="auto"/>
      <w:jc w:val="right"/>
      <w:rPr>
        <w:rFonts w:hint="eastAsia"/>
        <w:b/>
        <w:bCs/>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042FC">
    <w:pPr>
      <w:widowControl/>
      <w:bidi w:val="0"/>
      <w:ind w:left="0" w:leftChars="0" w:firstLine="0" w:firstLineChars="0"/>
      <w:rPr>
        <w:kern w:val="0"/>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74DED">
    <w:pPr>
      <w:bidi w:val="0"/>
      <w:ind w:left="0" w:leftChars="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7B6378"/>
    <w:multiLevelType w:val="multilevel"/>
    <w:tmpl w:val="447B6378"/>
    <w:lvl w:ilvl="0" w:tentative="0">
      <w:start w:val="1"/>
      <w:numFmt w:val="decimal"/>
      <w:pStyle w:val="52"/>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0"/>
  <w:drawingGridHorizontalSpacing w:val="280"/>
  <w:drawingGridVerticalSpacing w:val="19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4MTgzZTAyOWJiNGIzMDJjYTdkMGQ4ZGYyNmVkYmQifQ=="/>
  </w:docVars>
  <w:rsids>
    <w:rsidRoot w:val="001022A4"/>
    <w:rsid w:val="0000366A"/>
    <w:rsid w:val="00006F7F"/>
    <w:rsid w:val="00007003"/>
    <w:rsid w:val="000075B7"/>
    <w:rsid w:val="000237EA"/>
    <w:rsid w:val="00027CD2"/>
    <w:rsid w:val="00031E0C"/>
    <w:rsid w:val="00040832"/>
    <w:rsid w:val="00040D23"/>
    <w:rsid w:val="000439DA"/>
    <w:rsid w:val="00063604"/>
    <w:rsid w:val="0006370A"/>
    <w:rsid w:val="00066832"/>
    <w:rsid w:val="00067934"/>
    <w:rsid w:val="000720BF"/>
    <w:rsid w:val="00085A40"/>
    <w:rsid w:val="0008641D"/>
    <w:rsid w:val="000B39A0"/>
    <w:rsid w:val="000B687D"/>
    <w:rsid w:val="000C3E03"/>
    <w:rsid w:val="000C488D"/>
    <w:rsid w:val="000C52EC"/>
    <w:rsid w:val="000D0230"/>
    <w:rsid w:val="000D0AD3"/>
    <w:rsid w:val="000E45BD"/>
    <w:rsid w:val="000E4E33"/>
    <w:rsid w:val="000E67CF"/>
    <w:rsid w:val="000F20FD"/>
    <w:rsid w:val="000F39B0"/>
    <w:rsid w:val="001008D8"/>
    <w:rsid w:val="001022A4"/>
    <w:rsid w:val="00115EF7"/>
    <w:rsid w:val="0013642D"/>
    <w:rsid w:val="00146410"/>
    <w:rsid w:val="00150D67"/>
    <w:rsid w:val="00156600"/>
    <w:rsid w:val="00160E9C"/>
    <w:rsid w:val="00161A41"/>
    <w:rsid w:val="00172190"/>
    <w:rsid w:val="00173480"/>
    <w:rsid w:val="00181988"/>
    <w:rsid w:val="00182557"/>
    <w:rsid w:val="0018304A"/>
    <w:rsid w:val="001904E9"/>
    <w:rsid w:val="001A77DE"/>
    <w:rsid w:val="001B36EC"/>
    <w:rsid w:val="001D7B23"/>
    <w:rsid w:val="001E2F56"/>
    <w:rsid w:val="002062E6"/>
    <w:rsid w:val="00207131"/>
    <w:rsid w:val="00210947"/>
    <w:rsid w:val="0022214D"/>
    <w:rsid w:val="00223585"/>
    <w:rsid w:val="002317DB"/>
    <w:rsid w:val="00232245"/>
    <w:rsid w:val="0023265E"/>
    <w:rsid w:val="00235B5A"/>
    <w:rsid w:val="00251060"/>
    <w:rsid w:val="002514A3"/>
    <w:rsid w:val="00256B32"/>
    <w:rsid w:val="00256D01"/>
    <w:rsid w:val="00257253"/>
    <w:rsid w:val="002706F2"/>
    <w:rsid w:val="00271135"/>
    <w:rsid w:val="00285E30"/>
    <w:rsid w:val="002A1AEC"/>
    <w:rsid w:val="002A1BCB"/>
    <w:rsid w:val="002A5262"/>
    <w:rsid w:val="002A6484"/>
    <w:rsid w:val="002A79C6"/>
    <w:rsid w:val="002C06B9"/>
    <w:rsid w:val="002C0FDD"/>
    <w:rsid w:val="002C5E37"/>
    <w:rsid w:val="002D11F7"/>
    <w:rsid w:val="002D48C5"/>
    <w:rsid w:val="002E0B52"/>
    <w:rsid w:val="002E1CF4"/>
    <w:rsid w:val="002E5FED"/>
    <w:rsid w:val="002F0DA9"/>
    <w:rsid w:val="003113C1"/>
    <w:rsid w:val="00312C3A"/>
    <w:rsid w:val="0031353D"/>
    <w:rsid w:val="0032200D"/>
    <w:rsid w:val="00333B37"/>
    <w:rsid w:val="0034487B"/>
    <w:rsid w:val="00347CC6"/>
    <w:rsid w:val="00347D88"/>
    <w:rsid w:val="00350BCD"/>
    <w:rsid w:val="0035643C"/>
    <w:rsid w:val="00366226"/>
    <w:rsid w:val="003746B0"/>
    <w:rsid w:val="00374A6B"/>
    <w:rsid w:val="00383E1C"/>
    <w:rsid w:val="00390D4A"/>
    <w:rsid w:val="0039222E"/>
    <w:rsid w:val="0039288A"/>
    <w:rsid w:val="00393395"/>
    <w:rsid w:val="0039372E"/>
    <w:rsid w:val="00394AF5"/>
    <w:rsid w:val="003A19A4"/>
    <w:rsid w:val="003A1A1B"/>
    <w:rsid w:val="003A4485"/>
    <w:rsid w:val="003A4878"/>
    <w:rsid w:val="003B4310"/>
    <w:rsid w:val="003B60A6"/>
    <w:rsid w:val="003C5883"/>
    <w:rsid w:val="003C7C49"/>
    <w:rsid w:val="003D3327"/>
    <w:rsid w:val="003E057C"/>
    <w:rsid w:val="003E2B14"/>
    <w:rsid w:val="003E314B"/>
    <w:rsid w:val="003F5655"/>
    <w:rsid w:val="003F5BC6"/>
    <w:rsid w:val="004021C6"/>
    <w:rsid w:val="00406BEF"/>
    <w:rsid w:val="00410595"/>
    <w:rsid w:val="00420F7C"/>
    <w:rsid w:val="00433514"/>
    <w:rsid w:val="00446BB3"/>
    <w:rsid w:val="0045353D"/>
    <w:rsid w:val="004771C7"/>
    <w:rsid w:val="00481C3A"/>
    <w:rsid w:val="004851CA"/>
    <w:rsid w:val="0048656E"/>
    <w:rsid w:val="00493221"/>
    <w:rsid w:val="004A302C"/>
    <w:rsid w:val="004B539D"/>
    <w:rsid w:val="004C1FA1"/>
    <w:rsid w:val="004C3DCC"/>
    <w:rsid w:val="004E0BF9"/>
    <w:rsid w:val="004E0CF9"/>
    <w:rsid w:val="004F3FDD"/>
    <w:rsid w:val="004F46AB"/>
    <w:rsid w:val="00501A4A"/>
    <w:rsid w:val="005032B9"/>
    <w:rsid w:val="005100F2"/>
    <w:rsid w:val="00510300"/>
    <w:rsid w:val="00511D7B"/>
    <w:rsid w:val="00513AD5"/>
    <w:rsid w:val="00523D37"/>
    <w:rsid w:val="00524831"/>
    <w:rsid w:val="0052616B"/>
    <w:rsid w:val="00532F25"/>
    <w:rsid w:val="00541D90"/>
    <w:rsid w:val="00542258"/>
    <w:rsid w:val="0054547C"/>
    <w:rsid w:val="0054632A"/>
    <w:rsid w:val="00551EDC"/>
    <w:rsid w:val="005544D1"/>
    <w:rsid w:val="00554509"/>
    <w:rsid w:val="00561523"/>
    <w:rsid w:val="00561527"/>
    <w:rsid w:val="00594E7A"/>
    <w:rsid w:val="005A146E"/>
    <w:rsid w:val="005A7987"/>
    <w:rsid w:val="005B5936"/>
    <w:rsid w:val="005C0D20"/>
    <w:rsid w:val="005D050C"/>
    <w:rsid w:val="005F7A46"/>
    <w:rsid w:val="00611383"/>
    <w:rsid w:val="00620B1C"/>
    <w:rsid w:val="00626E33"/>
    <w:rsid w:val="006407ED"/>
    <w:rsid w:val="0064251F"/>
    <w:rsid w:val="00643F74"/>
    <w:rsid w:val="006503AE"/>
    <w:rsid w:val="00651EE4"/>
    <w:rsid w:val="00654524"/>
    <w:rsid w:val="00654BCF"/>
    <w:rsid w:val="0066052B"/>
    <w:rsid w:val="006630EF"/>
    <w:rsid w:val="0066446E"/>
    <w:rsid w:val="0066601A"/>
    <w:rsid w:val="006662AB"/>
    <w:rsid w:val="00674212"/>
    <w:rsid w:val="0067621A"/>
    <w:rsid w:val="006815D1"/>
    <w:rsid w:val="00687DD5"/>
    <w:rsid w:val="006923C3"/>
    <w:rsid w:val="006937E9"/>
    <w:rsid w:val="00693EF9"/>
    <w:rsid w:val="006947A5"/>
    <w:rsid w:val="006A1A11"/>
    <w:rsid w:val="006A2C75"/>
    <w:rsid w:val="006A4105"/>
    <w:rsid w:val="006B0C84"/>
    <w:rsid w:val="006B543B"/>
    <w:rsid w:val="006B7E54"/>
    <w:rsid w:val="006C0BD1"/>
    <w:rsid w:val="006C30C8"/>
    <w:rsid w:val="006C5139"/>
    <w:rsid w:val="006C69FC"/>
    <w:rsid w:val="006D069F"/>
    <w:rsid w:val="006D2C95"/>
    <w:rsid w:val="006D5F8F"/>
    <w:rsid w:val="006D6CEA"/>
    <w:rsid w:val="006E3B5C"/>
    <w:rsid w:val="006E3EB8"/>
    <w:rsid w:val="00707B1D"/>
    <w:rsid w:val="00710909"/>
    <w:rsid w:val="00716369"/>
    <w:rsid w:val="00723649"/>
    <w:rsid w:val="007265C3"/>
    <w:rsid w:val="00735F23"/>
    <w:rsid w:val="00740CEF"/>
    <w:rsid w:val="00742261"/>
    <w:rsid w:val="00752C5E"/>
    <w:rsid w:val="007531F9"/>
    <w:rsid w:val="00764378"/>
    <w:rsid w:val="0076591F"/>
    <w:rsid w:val="00766F0F"/>
    <w:rsid w:val="00773B9A"/>
    <w:rsid w:val="0077582F"/>
    <w:rsid w:val="007862C9"/>
    <w:rsid w:val="0079007B"/>
    <w:rsid w:val="007A0F22"/>
    <w:rsid w:val="007B4F61"/>
    <w:rsid w:val="007B5C1A"/>
    <w:rsid w:val="007C03A0"/>
    <w:rsid w:val="007C2BEF"/>
    <w:rsid w:val="007D3D77"/>
    <w:rsid w:val="007E157B"/>
    <w:rsid w:val="007E4818"/>
    <w:rsid w:val="007E6A7E"/>
    <w:rsid w:val="007F33F3"/>
    <w:rsid w:val="007F6124"/>
    <w:rsid w:val="00801BDF"/>
    <w:rsid w:val="00802B86"/>
    <w:rsid w:val="0082514B"/>
    <w:rsid w:val="00830599"/>
    <w:rsid w:val="008334B0"/>
    <w:rsid w:val="0083496F"/>
    <w:rsid w:val="0083530F"/>
    <w:rsid w:val="00836468"/>
    <w:rsid w:val="00843492"/>
    <w:rsid w:val="00845F16"/>
    <w:rsid w:val="00852AF3"/>
    <w:rsid w:val="00856D2D"/>
    <w:rsid w:val="00856F2E"/>
    <w:rsid w:val="00871560"/>
    <w:rsid w:val="00872D54"/>
    <w:rsid w:val="00872F2D"/>
    <w:rsid w:val="0087585D"/>
    <w:rsid w:val="00880E22"/>
    <w:rsid w:val="00882B6F"/>
    <w:rsid w:val="008834AE"/>
    <w:rsid w:val="00885F4D"/>
    <w:rsid w:val="008962E2"/>
    <w:rsid w:val="008A74EF"/>
    <w:rsid w:val="008B0539"/>
    <w:rsid w:val="008B1C98"/>
    <w:rsid w:val="008B5ADF"/>
    <w:rsid w:val="008D0B3B"/>
    <w:rsid w:val="008D1450"/>
    <w:rsid w:val="008D2E66"/>
    <w:rsid w:val="008D56A5"/>
    <w:rsid w:val="008E1546"/>
    <w:rsid w:val="008E189F"/>
    <w:rsid w:val="008E24ED"/>
    <w:rsid w:val="008E40FE"/>
    <w:rsid w:val="008E57AC"/>
    <w:rsid w:val="008E6D3B"/>
    <w:rsid w:val="00902C2A"/>
    <w:rsid w:val="00906396"/>
    <w:rsid w:val="0090770A"/>
    <w:rsid w:val="00916E4D"/>
    <w:rsid w:val="00917A63"/>
    <w:rsid w:val="00923C36"/>
    <w:rsid w:val="00924B8E"/>
    <w:rsid w:val="009344DE"/>
    <w:rsid w:val="009357E5"/>
    <w:rsid w:val="00936087"/>
    <w:rsid w:val="00945D17"/>
    <w:rsid w:val="00965FBF"/>
    <w:rsid w:val="00973941"/>
    <w:rsid w:val="0097751F"/>
    <w:rsid w:val="00980255"/>
    <w:rsid w:val="009804FA"/>
    <w:rsid w:val="00985B78"/>
    <w:rsid w:val="0098649F"/>
    <w:rsid w:val="00993AFA"/>
    <w:rsid w:val="0099686E"/>
    <w:rsid w:val="00996DF2"/>
    <w:rsid w:val="009A41B0"/>
    <w:rsid w:val="009A4756"/>
    <w:rsid w:val="009A4C46"/>
    <w:rsid w:val="009A4DBF"/>
    <w:rsid w:val="009B3513"/>
    <w:rsid w:val="009B39EA"/>
    <w:rsid w:val="009D3FC3"/>
    <w:rsid w:val="009D433D"/>
    <w:rsid w:val="009D4484"/>
    <w:rsid w:val="009D5889"/>
    <w:rsid w:val="009D7755"/>
    <w:rsid w:val="009F1D20"/>
    <w:rsid w:val="00A00548"/>
    <w:rsid w:val="00A00713"/>
    <w:rsid w:val="00A00731"/>
    <w:rsid w:val="00A11A5C"/>
    <w:rsid w:val="00A22235"/>
    <w:rsid w:val="00A22F7B"/>
    <w:rsid w:val="00A23801"/>
    <w:rsid w:val="00A2554C"/>
    <w:rsid w:val="00A25B25"/>
    <w:rsid w:val="00A26F51"/>
    <w:rsid w:val="00A33652"/>
    <w:rsid w:val="00A3798C"/>
    <w:rsid w:val="00A42866"/>
    <w:rsid w:val="00A461C1"/>
    <w:rsid w:val="00A46B5C"/>
    <w:rsid w:val="00A50D6E"/>
    <w:rsid w:val="00A51DD8"/>
    <w:rsid w:val="00A647EA"/>
    <w:rsid w:val="00A736C6"/>
    <w:rsid w:val="00A82472"/>
    <w:rsid w:val="00A83F1F"/>
    <w:rsid w:val="00A8416F"/>
    <w:rsid w:val="00AA0223"/>
    <w:rsid w:val="00AB28B8"/>
    <w:rsid w:val="00AB3B77"/>
    <w:rsid w:val="00AC57B7"/>
    <w:rsid w:val="00AC73C5"/>
    <w:rsid w:val="00AC755C"/>
    <w:rsid w:val="00AD0E13"/>
    <w:rsid w:val="00AD5ABF"/>
    <w:rsid w:val="00AF45C5"/>
    <w:rsid w:val="00AF5667"/>
    <w:rsid w:val="00B05DD5"/>
    <w:rsid w:val="00B12477"/>
    <w:rsid w:val="00B13343"/>
    <w:rsid w:val="00B1354B"/>
    <w:rsid w:val="00B220B2"/>
    <w:rsid w:val="00B23942"/>
    <w:rsid w:val="00B4327E"/>
    <w:rsid w:val="00B467A4"/>
    <w:rsid w:val="00B5286D"/>
    <w:rsid w:val="00B545BC"/>
    <w:rsid w:val="00B61032"/>
    <w:rsid w:val="00B61D2E"/>
    <w:rsid w:val="00B71854"/>
    <w:rsid w:val="00B71DA4"/>
    <w:rsid w:val="00B7235B"/>
    <w:rsid w:val="00B76348"/>
    <w:rsid w:val="00B81261"/>
    <w:rsid w:val="00B82556"/>
    <w:rsid w:val="00B87655"/>
    <w:rsid w:val="00B87801"/>
    <w:rsid w:val="00B92871"/>
    <w:rsid w:val="00B928DA"/>
    <w:rsid w:val="00B9506A"/>
    <w:rsid w:val="00BA5AC3"/>
    <w:rsid w:val="00BA630D"/>
    <w:rsid w:val="00BB06B4"/>
    <w:rsid w:val="00BB2551"/>
    <w:rsid w:val="00BB4892"/>
    <w:rsid w:val="00BB5E9B"/>
    <w:rsid w:val="00BC1A44"/>
    <w:rsid w:val="00BC5C37"/>
    <w:rsid w:val="00BC7ED2"/>
    <w:rsid w:val="00BD0190"/>
    <w:rsid w:val="00BE212E"/>
    <w:rsid w:val="00BE262A"/>
    <w:rsid w:val="00BE4AAB"/>
    <w:rsid w:val="00BE5086"/>
    <w:rsid w:val="00BF1CFA"/>
    <w:rsid w:val="00BF4971"/>
    <w:rsid w:val="00C07F40"/>
    <w:rsid w:val="00C12E85"/>
    <w:rsid w:val="00C16A79"/>
    <w:rsid w:val="00C20278"/>
    <w:rsid w:val="00C22791"/>
    <w:rsid w:val="00C236DC"/>
    <w:rsid w:val="00C32F79"/>
    <w:rsid w:val="00C33FD2"/>
    <w:rsid w:val="00C35271"/>
    <w:rsid w:val="00C4036A"/>
    <w:rsid w:val="00C50E28"/>
    <w:rsid w:val="00C62934"/>
    <w:rsid w:val="00C64428"/>
    <w:rsid w:val="00C74D6F"/>
    <w:rsid w:val="00C842DE"/>
    <w:rsid w:val="00C902FB"/>
    <w:rsid w:val="00C965AE"/>
    <w:rsid w:val="00CA0AED"/>
    <w:rsid w:val="00CA66E6"/>
    <w:rsid w:val="00CC29DE"/>
    <w:rsid w:val="00CC3B64"/>
    <w:rsid w:val="00CD37C6"/>
    <w:rsid w:val="00CD3BA4"/>
    <w:rsid w:val="00CD41AA"/>
    <w:rsid w:val="00CD6943"/>
    <w:rsid w:val="00CE6C2F"/>
    <w:rsid w:val="00CE73CC"/>
    <w:rsid w:val="00CE7E9C"/>
    <w:rsid w:val="00CF2EF3"/>
    <w:rsid w:val="00CF3298"/>
    <w:rsid w:val="00D02F3B"/>
    <w:rsid w:val="00D050DE"/>
    <w:rsid w:val="00D0657B"/>
    <w:rsid w:val="00D129CB"/>
    <w:rsid w:val="00D16A04"/>
    <w:rsid w:val="00D27C17"/>
    <w:rsid w:val="00D41B89"/>
    <w:rsid w:val="00D47F27"/>
    <w:rsid w:val="00D5541F"/>
    <w:rsid w:val="00D57923"/>
    <w:rsid w:val="00D66387"/>
    <w:rsid w:val="00D741B6"/>
    <w:rsid w:val="00D74BD0"/>
    <w:rsid w:val="00D74FED"/>
    <w:rsid w:val="00D75A81"/>
    <w:rsid w:val="00D7761F"/>
    <w:rsid w:val="00D86806"/>
    <w:rsid w:val="00D86C35"/>
    <w:rsid w:val="00DB04FB"/>
    <w:rsid w:val="00DB6DFF"/>
    <w:rsid w:val="00DC003F"/>
    <w:rsid w:val="00DC7C1D"/>
    <w:rsid w:val="00DE72B3"/>
    <w:rsid w:val="00DF4668"/>
    <w:rsid w:val="00E00172"/>
    <w:rsid w:val="00E0533A"/>
    <w:rsid w:val="00E0701A"/>
    <w:rsid w:val="00E07748"/>
    <w:rsid w:val="00E131D1"/>
    <w:rsid w:val="00E17AA0"/>
    <w:rsid w:val="00E2655B"/>
    <w:rsid w:val="00E311AB"/>
    <w:rsid w:val="00E358BF"/>
    <w:rsid w:val="00E36EC8"/>
    <w:rsid w:val="00E51146"/>
    <w:rsid w:val="00E512A9"/>
    <w:rsid w:val="00E54AF9"/>
    <w:rsid w:val="00E5624E"/>
    <w:rsid w:val="00E601D4"/>
    <w:rsid w:val="00E64C88"/>
    <w:rsid w:val="00E7179D"/>
    <w:rsid w:val="00E74832"/>
    <w:rsid w:val="00E81B04"/>
    <w:rsid w:val="00E820C5"/>
    <w:rsid w:val="00E87550"/>
    <w:rsid w:val="00E9413F"/>
    <w:rsid w:val="00E973D2"/>
    <w:rsid w:val="00EC7C64"/>
    <w:rsid w:val="00ED00D6"/>
    <w:rsid w:val="00EE26DC"/>
    <w:rsid w:val="00EE3FF1"/>
    <w:rsid w:val="00EE5816"/>
    <w:rsid w:val="00F03292"/>
    <w:rsid w:val="00F0565C"/>
    <w:rsid w:val="00F121AE"/>
    <w:rsid w:val="00F15852"/>
    <w:rsid w:val="00F23F4B"/>
    <w:rsid w:val="00F46C50"/>
    <w:rsid w:val="00F56CD7"/>
    <w:rsid w:val="00F60B61"/>
    <w:rsid w:val="00F66E89"/>
    <w:rsid w:val="00F67822"/>
    <w:rsid w:val="00F70621"/>
    <w:rsid w:val="00F74182"/>
    <w:rsid w:val="00F7607A"/>
    <w:rsid w:val="00F8517B"/>
    <w:rsid w:val="00F90250"/>
    <w:rsid w:val="00F91395"/>
    <w:rsid w:val="00F961D7"/>
    <w:rsid w:val="00F97A2B"/>
    <w:rsid w:val="00FA0CA3"/>
    <w:rsid w:val="00FA3BC5"/>
    <w:rsid w:val="00FA40FE"/>
    <w:rsid w:val="00FB08DC"/>
    <w:rsid w:val="00FB0D30"/>
    <w:rsid w:val="00FB1AE0"/>
    <w:rsid w:val="00FB34C2"/>
    <w:rsid w:val="00FB42F5"/>
    <w:rsid w:val="00FD76E1"/>
    <w:rsid w:val="00FE0970"/>
    <w:rsid w:val="00FF3F3A"/>
    <w:rsid w:val="00FF400F"/>
    <w:rsid w:val="01170BF2"/>
    <w:rsid w:val="011B489C"/>
    <w:rsid w:val="012B64AF"/>
    <w:rsid w:val="01325A8F"/>
    <w:rsid w:val="013E0F10"/>
    <w:rsid w:val="016B7C0E"/>
    <w:rsid w:val="017240DE"/>
    <w:rsid w:val="01967DCC"/>
    <w:rsid w:val="01A1689D"/>
    <w:rsid w:val="022B0E5C"/>
    <w:rsid w:val="024563C3"/>
    <w:rsid w:val="024E06A7"/>
    <w:rsid w:val="02A779DA"/>
    <w:rsid w:val="02AD3196"/>
    <w:rsid w:val="02BF15A4"/>
    <w:rsid w:val="02CB4BA5"/>
    <w:rsid w:val="03373831"/>
    <w:rsid w:val="033F54AD"/>
    <w:rsid w:val="03635001"/>
    <w:rsid w:val="03830824"/>
    <w:rsid w:val="03B24C65"/>
    <w:rsid w:val="03E0050C"/>
    <w:rsid w:val="03EA6727"/>
    <w:rsid w:val="0412071B"/>
    <w:rsid w:val="042F1CE4"/>
    <w:rsid w:val="043A7135"/>
    <w:rsid w:val="04C06F08"/>
    <w:rsid w:val="04DD3F64"/>
    <w:rsid w:val="05095BE0"/>
    <w:rsid w:val="05137F5A"/>
    <w:rsid w:val="054C3F00"/>
    <w:rsid w:val="0563090D"/>
    <w:rsid w:val="05B13578"/>
    <w:rsid w:val="05B41D83"/>
    <w:rsid w:val="05CC3C57"/>
    <w:rsid w:val="05E627BE"/>
    <w:rsid w:val="0616772D"/>
    <w:rsid w:val="06701B73"/>
    <w:rsid w:val="067F52D3"/>
    <w:rsid w:val="068C5C42"/>
    <w:rsid w:val="069F7723"/>
    <w:rsid w:val="06E4782C"/>
    <w:rsid w:val="06F51A39"/>
    <w:rsid w:val="07062CD9"/>
    <w:rsid w:val="070B4DB8"/>
    <w:rsid w:val="072365A6"/>
    <w:rsid w:val="077741FC"/>
    <w:rsid w:val="0797489E"/>
    <w:rsid w:val="079935CF"/>
    <w:rsid w:val="07B94814"/>
    <w:rsid w:val="07ED2710"/>
    <w:rsid w:val="08031F33"/>
    <w:rsid w:val="08065580"/>
    <w:rsid w:val="080A32C2"/>
    <w:rsid w:val="081859DF"/>
    <w:rsid w:val="08234384"/>
    <w:rsid w:val="082C668B"/>
    <w:rsid w:val="08601134"/>
    <w:rsid w:val="08AC6127"/>
    <w:rsid w:val="08B140CE"/>
    <w:rsid w:val="08C64073"/>
    <w:rsid w:val="08DA2C94"/>
    <w:rsid w:val="08E753B1"/>
    <w:rsid w:val="08F847D6"/>
    <w:rsid w:val="090221EB"/>
    <w:rsid w:val="090B10A0"/>
    <w:rsid w:val="09535D34"/>
    <w:rsid w:val="09644C54"/>
    <w:rsid w:val="097C3D4B"/>
    <w:rsid w:val="097F1A8E"/>
    <w:rsid w:val="09AC1C5B"/>
    <w:rsid w:val="09CE174C"/>
    <w:rsid w:val="09D73355"/>
    <w:rsid w:val="0A0F3741"/>
    <w:rsid w:val="0A3C4D2A"/>
    <w:rsid w:val="0A8F3F52"/>
    <w:rsid w:val="0A975D08"/>
    <w:rsid w:val="0B097861"/>
    <w:rsid w:val="0B2C4B67"/>
    <w:rsid w:val="0B347C3E"/>
    <w:rsid w:val="0B416FB3"/>
    <w:rsid w:val="0B7A69B0"/>
    <w:rsid w:val="0BB24C22"/>
    <w:rsid w:val="0BEA0DD2"/>
    <w:rsid w:val="0BF6229A"/>
    <w:rsid w:val="0BF71DAF"/>
    <w:rsid w:val="0C104C1F"/>
    <w:rsid w:val="0C601702"/>
    <w:rsid w:val="0C7C248B"/>
    <w:rsid w:val="0CC779D3"/>
    <w:rsid w:val="0D0A269D"/>
    <w:rsid w:val="0D2E35AF"/>
    <w:rsid w:val="0D9773A6"/>
    <w:rsid w:val="0DD77BC6"/>
    <w:rsid w:val="0E125A88"/>
    <w:rsid w:val="0E590AFF"/>
    <w:rsid w:val="0E5A03D3"/>
    <w:rsid w:val="0E6059EA"/>
    <w:rsid w:val="0E707BF7"/>
    <w:rsid w:val="0E741495"/>
    <w:rsid w:val="0E77572D"/>
    <w:rsid w:val="0E7C0027"/>
    <w:rsid w:val="0ECE389A"/>
    <w:rsid w:val="0EF600FC"/>
    <w:rsid w:val="0F56503F"/>
    <w:rsid w:val="0FA22032"/>
    <w:rsid w:val="0FFA3C1C"/>
    <w:rsid w:val="10047D52"/>
    <w:rsid w:val="104B091B"/>
    <w:rsid w:val="104F3F68"/>
    <w:rsid w:val="10A02A15"/>
    <w:rsid w:val="10AC2C69"/>
    <w:rsid w:val="10B169D0"/>
    <w:rsid w:val="10EF574B"/>
    <w:rsid w:val="11380EA0"/>
    <w:rsid w:val="11A6405B"/>
    <w:rsid w:val="11C12878"/>
    <w:rsid w:val="11FC1ECD"/>
    <w:rsid w:val="1212349F"/>
    <w:rsid w:val="1218482D"/>
    <w:rsid w:val="12597320"/>
    <w:rsid w:val="126735AD"/>
    <w:rsid w:val="12844734"/>
    <w:rsid w:val="12C92844"/>
    <w:rsid w:val="12D80C39"/>
    <w:rsid w:val="12F773AA"/>
    <w:rsid w:val="13223BB5"/>
    <w:rsid w:val="133E6515"/>
    <w:rsid w:val="13806B2E"/>
    <w:rsid w:val="138F4CF9"/>
    <w:rsid w:val="140137CB"/>
    <w:rsid w:val="14100946"/>
    <w:rsid w:val="14B545B5"/>
    <w:rsid w:val="15205ED3"/>
    <w:rsid w:val="15747FCD"/>
    <w:rsid w:val="157D50D3"/>
    <w:rsid w:val="15883A78"/>
    <w:rsid w:val="15973CBB"/>
    <w:rsid w:val="15A308B2"/>
    <w:rsid w:val="161A0A0A"/>
    <w:rsid w:val="163D4862"/>
    <w:rsid w:val="165A2B00"/>
    <w:rsid w:val="167D2FDD"/>
    <w:rsid w:val="169C3C7F"/>
    <w:rsid w:val="16D276A1"/>
    <w:rsid w:val="170D692B"/>
    <w:rsid w:val="171926EA"/>
    <w:rsid w:val="173739A8"/>
    <w:rsid w:val="17562080"/>
    <w:rsid w:val="175734F2"/>
    <w:rsid w:val="178C784F"/>
    <w:rsid w:val="17967DB8"/>
    <w:rsid w:val="17A32DEB"/>
    <w:rsid w:val="17AF26AD"/>
    <w:rsid w:val="17F35B20"/>
    <w:rsid w:val="180513B0"/>
    <w:rsid w:val="187673EA"/>
    <w:rsid w:val="18BF0DE4"/>
    <w:rsid w:val="18E37943"/>
    <w:rsid w:val="18F27B86"/>
    <w:rsid w:val="18F7519C"/>
    <w:rsid w:val="191E4E1F"/>
    <w:rsid w:val="19397563"/>
    <w:rsid w:val="19630A84"/>
    <w:rsid w:val="19794F06"/>
    <w:rsid w:val="197C4C02"/>
    <w:rsid w:val="198A4263"/>
    <w:rsid w:val="19CA0BE0"/>
    <w:rsid w:val="1A98475D"/>
    <w:rsid w:val="1A9A04D5"/>
    <w:rsid w:val="1A9E2186"/>
    <w:rsid w:val="1AB84DFF"/>
    <w:rsid w:val="1ACC4407"/>
    <w:rsid w:val="1AE856E5"/>
    <w:rsid w:val="1B0D5E7D"/>
    <w:rsid w:val="1B950C9D"/>
    <w:rsid w:val="1BA809D0"/>
    <w:rsid w:val="1BCD33F4"/>
    <w:rsid w:val="1BD63C62"/>
    <w:rsid w:val="1BE54061"/>
    <w:rsid w:val="1BEC1EA5"/>
    <w:rsid w:val="1BEF2AA3"/>
    <w:rsid w:val="1C382DB2"/>
    <w:rsid w:val="1C411335"/>
    <w:rsid w:val="1C56042C"/>
    <w:rsid w:val="1C732E1C"/>
    <w:rsid w:val="1CAE7DC2"/>
    <w:rsid w:val="1CD770EC"/>
    <w:rsid w:val="1CEF6B87"/>
    <w:rsid w:val="1D031B0D"/>
    <w:rsid w:val="1D465ADE"/>
    <w:rsid w:val="1D7F1C04"/>
    <w:rsid w:val="1DD37DDF"/>
    <w:rsid w:val="1DEB28A6"/>
    <w:rsid w:val="1E0D0FBE"/>
    <w:rsid w:val="1E14234D"/>
    <w:rsid w:val="1EAB2778"/>
    <w:rsid w:val="1EB12291"/>
    <w:rsid w:val="1EC61EEB"/>
    <w:rsid w:val="1ECB5101"/>
    <w:rsid w:val="1ED33084"/>
    <w:rsid w:val="1F180F5A"/>
    <w:rsid w:val="1F1F369F"/>
    <w:rsid w:val="1F354C71"/>
    <w:rsid w:val="1F646CBA"/>
    <w:rsid w:val="1F833C2E"/>
    <w:rsid w:val="1FF73CD4"/>
    <w:rsid w:val="200A3A07"/>
    <w:rsid w:val="200D1749"/>
    <w:rsid w:val="20105275"/>
    <w:rsid w:val="2011123A"/>
    <w:rsid w:val="202D4F00"/>
    <w:rsid w:val="202F0868"/>
    <w:rsid w:val="20321C1E"/>
    <w:rsid w:val="203D6983"/>
    <w:rsid w:val="203F3E64"/>
    <w:rsid w:val="206D3F96"/>
    <w:rsid w:val="208F7AFD"/>
    <w:rsid w:val="209239FD"/>
    <w:rsid w:val="209B4FA7"/>
    <w:rsid w:val="20B56069"/>
    <w:rsid w:val="20FB77F4"/>
    <w:rsid w:val="211F7986"/>
    <w:rsid w:val="21920158"/>
    <w:rsid w:val="219A700D"/>
    <w:rsid w:val="21C65A76"/>
    <w:rsid w:val="220A5F40"/>
    <w:rsid w:val="222B5EB7"/>
    <w:rsid w:val="223C42C9"/>
    <w:rsid w:val="2288155B"/>
    <w:rsid w:val="228F6446"/>
    <w:rsid w:val="22AE046B"/>
    <w:rsid w:val="23072480"/>
    <w:rsid w:val="231F3C6E"/>
    <w:rsid w:val="235F406A"/>
    <w:rsid w:val="237A70F6"/>
    <w:rsid w:val="23B75C54"/>
    <w:rsid w:val="23C42838"/>
    <w:rsid w:val="23E36747"/>
    <w:rsid w:val="23EE122B"/>
    <w:rsid w:val="23EF1892"/>
    <w:rsid w:val="244F1C78"/>
    <w:rsid w:val="246758CC"/>
    <w:rsid w:val="24883A94"/>
    <w:rsid w:val="24A106B2"/>
    <w:rsid w:val="25284930"/>
    <w:rsid w:val="255319AC"/>
    <w:rsid w:val="25A44FF0"/>
    <w:rsid w:val="25B75DE7"/>
    <w:rsid w:val="25C24D84"/>
    <w:rsid w:val="25C428AA"/>
    <w:rsid w:val="261E69A8"/>
    <w:rsid w:val="26695200"/>
    <w:rsid w:val="26827CF9"/>
    <w:rsid w:val="26B87845"/>
    <w:rsid w:val="26C336C6"/>
    <w:rsid w:val="26F471BF"/>
    <w:rsid w:val="27007912"/>
    <w:rsid w:val="2702368A"/>
    <w:rsid w:val="271E5FEA"/>
    <w:rsid w:val="272F6449"/>
    <w:rsid w:val="278B027A"/>
    <w:rsid w:val="27F8177A"/>
    <w:rsid w:val="281E1EFD"/>
    <w:rsid w:val="28281EC1"/>
    <w:rsid w:val="28461C9C"/>
    <w:rsid w:val="285C14C0"/>
    <w:rsid w:val="28991DCC"/>
    <w:rsid w:val="289D486D"/>
    <w:rsid w:val="289F6A33"/>
    <w:rsid w:val="28A46349"/>
    <w:rsid w:val="28C11323"/>
    <w:rsid w:val="28CA01D8"/>
    <w:rsid w:val="29823297"/>
    <w:rsid w:val="2A353B5D"/>
    <w:rsid w:val="2A4E308A"/>
    <w:rsid w:val="2A9A007E"/>
    <w:rsid w:val="2AA15DB9"/>
    <w:rsid w:val="2AEE4B12"/>
    <w:rsid w:val="2AF749F7"/>
    <w:rsid w:val="2AF754D0"/>
    <w:rsid w:val="2B466919"/>
    <w:rsid w:val="2B74267D"/>
    <w:rsid w:val="2B7919D4"/>
    <w:rsid w:val="2B82123D"/>
    <w:rsid w:val="2BB60EE7"/>
    <w:rsid w:val="2BE7562D"/>
    <w:rsid w:val="2C122F0D"/>
    <w:rsid w:val="2CFE44F2"/>
    <w:rsid w:val="2D6B0AEA"/>
    <w:rsid w:val="2D6B7AAF"/>
    <w:rsid w:val="2DCA2A28"/>
    <w:rsid w:val="2DD65871"/>
    <w:rsid w:val="2E422F06"/>
    <w:rsid w:val="2E4722CA"/>
    <w:rsid w:val="2EBA6958"/>
    <w:rsid w:val="2EBF49BF"/>
    <w:rsid w:val="2ED40002"/>
    <w:rsid w:val="2F117621"/>
    <w:rsid w:val="2F1307B1"/>
    <w:rsid w:val="2F167CA6"/>
    <w:rsid w:val="2F531CDA"/>
    <w:rsid w:val="2F6D7B0F"/>
    <w:rsid w:val="2FD8767E"/>
    <w:rsid w:val="2FF40230"/>
    <w:rsid w:val="3006476D"/>
    <w:rsid w:val="303E14AB"/>
    <w:rsid w:val="3050099D"/>
    <w:rsid w:val="30684D3E"/>
    <w:rsid w:val="30751371"/>
    <w:rsid w:val="30817D16"/>
    <w:rsid w:val="30B654E5"/>
    <w:rsid w:val="30C10112"/>
    <w:rsid w:val="30D146BB"/>
    <w:rsid w:val="30DA11D4"/>
    <w:rsid w:val="30EB518F"/>
    <w:rsid w:val="310A1AA8"/>
    <w:rsid w:val="31240A07"/>
    <w:rsid w:val="31557924"/>
    <w:rsid w:val="317C75B8"/>
    <w:rsid w:val="31AD68E8"/>
    <w:rsid w:val="31B9528D"/>
    <w:rsid w:val="31C11895"/>
    <w:rsid w:val="31DB3161"/>
    <w:rsid w:val="31E16592"/>
    <w:rsid w:val="327D078A"/>
    <w:rsid w:val="3287538B"/>
    <w:rsid w:val="32931F82"/>
    <w:rsid w:val="33093FF2"/>
    <w:rsid w:val="333F17C2"/>
    <w:rsid w:val="3353342E"/>
    <w:rsid w:val="339E5A6C"/>
    <w:rsid w:val="341E27F0"/>
    <w:rsid w:val="3428494C"/>
    <w:rsid w:val="343D7DD6"/>
    <w:rsid w:val="344A6670"/>
    <w:rsid w:val="346239BA"/>
    <w:rsid w:val="347F27BE"/>
    <w:rsid w:val="35170C48"/>
    <w:rsid w:val="352C10B9"/>
    <w:rsid w:val="3545535F"/>
    <w:rsid w:val="355E7319"/>
    <w:rsid w:val="356371E7"/>
    <w:rsid w:val="357945E5"/>
    <w:rsid w:val="359F8024"/>
    <w:rsid w:val="35A3440A"/>
    <w:rsid w:val="35D45AC1"/>
    <w:rsid w:val="35EA26B6"/>
    <w:rsid w:val="362B4280"/>
    <w:rsid w:val="362C0724"/>
    <w:rsid w:val="36F8344F"/>
    <w:rsid w:val="37305FF2"/>
    <w:rsid w:val="37760521"/>
    <w:rsid w:val="379245B6"/>
    <w:rsid w:val="37A4253C"/>
    <w:rsid w:val="382611A3"/>
    <w:rsid w:val="38325D99"/>
    <w:rsid w:val="383A69FC"/>
    <w:rsid w:val="38A77958"/>
    <w:rsid w:val="38AF1198"/>
    <w:rsid w:val="3922196A"/>
    <w:rsid w:val="395A4A0B"/>
    <w:rsid w:val="397D1296"/>
    <w:rsid w:val="398A553D"/>
    <w:rsid w:val="399A1E48"/>
    <w:rsid w:val="39DA3FF3"/>
    <w:rsid w:val="3A282FB0"/>
    <w:rsid w:val="3A35795B"/>
    <w:rsid w:val="3A631110"/>
    <w:rsid w:val="3A80103E"/>
    <w:rsid w:val="3A8A3C6B"/>
    <w:rsid w:val="3A985A30"/>
    <w:rsid w:val="3ACD1DA9"/>
    <w:rsid w:val="3AE53590"/>
    <w:rsid w:val="3B085695"/>
    <w:rsid w:val="3B8406BA"/>
    <w:rsid w:val="3B913643"/>
    <w:rsid w:val="3BCE45B8"/>
    <w:rsid w:val="3BD056AD"/>
    <w:rsid w:val="3BDB7236"/>
    <w:rsid w:val="3BFF5F92"/>
    <w:rsid w:val="3C073099"/>
    <w:rsid w:val="3C372D23"/>
    <w:rsid w:val="3C994AE7"/>
    <w:rsid w:val="3CBA010B"/>
    <w:rsid w:val="3CE5162C"/>
    <w:rsid w:val="3CFC0724"/>
    <w:rsid w:val="3D204412"/>
    <w:rsid w:val="3D34699E"/>
    <w:rsid w:val="3D3872CF"/>
    <w:rsid w:val="3D4520CB"/>
    <w:rsid w:val="3D5C18D2"/>
    <w:rsid w:val="3D74475E"/>
    <w:rsid w:val="3D874491"/>
    <w:rsid w:val="3DB37034"/>
    <w:rsid w:val="3DB53F63"/>
    <w:rsid w:val="3DD516A1"/>
    <w:rsid w:val="3DF3EA4F"/>
    <w:rsid w:val="3DFA1E50"/>
    <w:rsid w:val="3E3839DE"/>
    <w:rsid w:val="3E885B96"/>
    <w:rsid w:val="3E902B02"/>
    <w:rsid w:val="3EC139D3"/>
    <w:rsid w:val="3EEC4EF4"/>
    <w:rsid w:val="3EEF22EE"/>
    <w:rsid w:val="3EFE00AA"/>
    <w:rsid w:val="3F012022"/>
    <w:rsid w:val="3F16CB51"/>
    <w:rsid w:val="3F1941A6"/>
    <w:rsid w:val="3F333C56"/>
    <w:rsid w:val="3F3917BB"/>
    <w:rsid w:val="3F473ED8"/>
    <w:rsid w:val="3F5304CB"/>
    <w:rsid w:val="3F613D2E"/>
    <w:rsid w:val="3F6A5E19"/>
    <w:rsid w:val="3F9D6666"/>
    <w:rsid w:val="3FBD419A"/>
    <w:rsid w:val="3FDD65EB"/>
    <w:rsid w:val="3FDF210E"/>
    <w:rsid w:val="3FE6D3D8"/>
    <w:rsid w:val="3FF7AE5D"/>
    <w:rsid w:val="400A488F"/>
    <w:rsid w:val="406E7C2E"/>
    <w:rsid w:val="40721429"/>
    <w:rsid w:val="40786A1A"/>
    <w:rsid w:val="40956EC5"/>
    <w:rsid w:val="409F5F96"/>
    <w:rsid w:val="41320BB8"/>
    <w:rsid w:val="417D2480"/>
    <w:rsid w:val="417F4AE0"/>
    <w:rsid w:val="41D801BF"/>
    <w:rsid w:val="41DF581D"/>
    <w:rsid w:val="41FA16D6"/>
    <w:rsid w:val="420411F0"/>
    <w:rsid w:val="423E6961"/>
    <w:rsid w:val="424E72C4"/>
    <w:rsid w:val="4253528A"/>
    <w:rsid w:val="425608D6"/>
    <w:rsid w:val="42660B19"/>
    <w:rsid w:val="42957651"/>
    <w:rsid w:val="42BA44C6"/>
    <w:rsid w:val="438043F0"/>
    <w:rsid w:val="43E3619A"/>
    <w:rsid w:val="444906F3"/>
    <w:rsid w:val="44580DBE"/>
    <w:rsid w:val="445F1CC4"/>
    <w:rsid w:val="44641089"/>
    <w:rsid w:val="44B813D4"/>
    <w:rsid w:val="44C11AA6"/>
    <w:rsid w:val="44F85C75"/>
    <w:rsid w:val="45415D40"/>
    <w:rsid w:val="45667082"/>
    <w:rsid w:val="458F0387"/>
    <w:rsid w:val="4594599D"/>
    <w:rsid w:val="45A73923"/>
    <w:rsid w:val="46141AA7"/>
    <w:rsid w:val="462F56C6"/>
    <w:rsid w:val="46873754"/>
    <w:rsid w:val="46933EA7"/>
    <w:rsid w:val="46C93D6D"/>
    <w:rsid w:val="46D544C0"/>
    <w:rsid w:val="46DA52E1"/>
    <w:rsid w:val="470B7EE1"/>
    <w:rsid w:val="471843AC"/>
    <w:rsid w:val="47264D1B"/>
    <w:rsid w:val="473531B0"/>
    <w:rsid w:val="4756AFE6"/>
    <w:rsid w:val="475A00C8"/>
    <w:rsid w:val="47613FA5"/>
    <w:rsid w:val="478B4B7E"/>
    <w:rsid w:val="47925359"/>
    <w:rsid w:val="47DC2A90"/>
    <w:rsid w:val="48364707"/>
    <w:rsid w:val="487B247F"/>
    <w:rsid w:val="488340A3"/>
    <w:rsid w:val="48AC6A59"/>
    <w:rsid w:val="48EC5D01"/>
    <w:rsid w:val="49137521"/>
    <w:rsid w:val="49172B6D"/>
    <w:rsid w:val="493F2841"/>
    <w:rsid w:val="494B141D"/>
    <w:rsid w:val="494D47E1"/>
    <w:rsid w:val="49553696"/>
    <w:rsid w:val="495A0CAC"/>
    <w:rsid w:val="499E503D"/>
    <w:rsid w:val="49AC5F6D"/>
    <w:rsid w:val="49BE123B"/>
    <w:rsid w:val="49DD1B02"/>
    <w:rsid w:val="49EF7646"/>
    <w:rsid w:val="4A701C97"/>
    <w:rsid w:val="4A783AE0"/>
    <w:rsid w:val="4A82495E"/>
    <w:rsid w:val="4AB60E73"/>
    <w:rsid w:val="4AC25690"/>
    <w:rsid w:val="4B2D09D0"/>
    <w:rsid w:val="4B50680B"/>
    <w:rsid w:val="4B577B99"/>
    <w:rsid w:val="4B8D35BB"/>
    <w:rsid w:val="4B9A1834"/>
    <w:rsid w:val="4BBF578F"/>
    <w:rsid w:val="4BC6087B"/>
    <w:rsid w:val="4BDC1E4C"/>
    <w:rsid w:val="4C1B0BC7"/>
    <w:rsid w:val="4C423307"/>
    <w:rsid w:val="4C487FD3"/>
    <w:rsid w:val="4C885B30"/>
    <w:rsid w:val="4C8D3147"/>
    <w:rsid w:val="4CF727C2"/>
    <w:rsid w:val="4D2D6B40"/>
    <w:rsid w:val="4D3D5D77"/>
    <w:rsid w:val="4D3F7921"/>
    <w:rsid w:val="4D581648"/>
    <w:rsid w:val="4D6C5294"/>
    <w:rsid w:val="4D8F5636"/>
    <w:rsid w:val="4D9F75D5"/>
    <w:rsid w:val="4DA30E74"/>
    <w:rsid w:val="4DC35042"/>
    <w:rsid w:val="4DD454D1"/>
    <w:rsid w:val="4DDF61B1"/>
    <w:rsid w:val="4E191136"/>
    <w:rsid w:val="4E231FB4"/>
    <w:rsid w:val="4E375A60"/>
    <w:rsid w:val="4E3F18D5"/>
    <w:rsid w:val="4E4B5067"/>
    <w:rsid w:val="4E5851A4"/>
    <w:rsid w:val="4E682ACC"/>
    <w:rsid w:val="4E763013"/>
    <w:rsid w:val="4F021BCA"/>
    <w:rsid w:val="4F0F326C"/>
    <w:rsid w:val="4F0F42E7"/>
    <w:rsid w:val="4F471CD3"/>
    <w:rsid w:val="4F732AC8"/>
    <w:rsid w:val="4FA15035"/>
    <w:rsid w:val="4FD32A9F"/>
    <w:rsid w:val="4FE37C4D"/>
    <w:rsid w:val="4FF05EC6"/>
    <w:rsid w:val="4FF77255"/>
    <w:rsid w:val="50067498"/>
    <w:rsid w:val="508A0853"/>
    <w:rsid w:val="50BB0282"/>
    <w:rsid w:val="510B6869"/>
    <w:rsid w:val="51600E2A"/>
    <w:rsid w:val="51826FF2"/>
    <w:rsid w:val="51AE366B"/>
    <w:rsid w:val="51B82A14"/>
    <w:rsid w:val="51BB1906"/>
    <w:rsid w:val="51C55131"/>
    <w:rsid w:val="51CF2ED6"/>
    <w:rsid w:val="51ED6B61"/>
    <w:rsid w:val="521311AE"/>
    <w:rsid w:val="521E7F32"/>
    <w:rsid w:val="52321A47"/>
    <w:rsid w:val="52627B19"/>
    <w:rsid w:val="52CB56EE"/>
    <w:rsid w:val="52DB4C0C"/>
    <w:rsid w:val="53034162"/>
    <w:rsid w:val="53073C53"/>
    <w:rsid w:val="53087C68"/>
    <w:rsid w:val="532E2213"/>
    <w:rsid w:val="533267F6"/>
    <w:rsid w:val="53426A39"/>
    <w:rsid w:val="534722A1"/>
    <w:rsid w:val="537D2167"/>
    <w:rsid w:val="538B22AF"/>
    <w:rsid w:val="53A541AD"/>
    <w:rsid w:val="543A3BB4"/>
    <w:rsid w:val="544D38E7"/>
    <w:rsid w:val="54942314"/>
    <w:rsid w:val="551C775D"/>
    <w:rsid w:val="552C5BF2"/>
    <w:rsid w:val="559047C1"/>
    <w:rsid w:val="55BD676B"/>
    <w:rsid w:val="55C43A6D"/>
    <w:rsid w:val="55E71B19"/>
    <w:rsid w:val="560B5785"/>
    <w:rsid w:val="56126BF9"/>
    <w:rsid w:val="5661367A"/>
    <w:rsid w:val="566B44F9"/>
    <w:rsid w:val="56B91708"/>
    <w:rsid w:val="56C41E5B"/>
    <w:rsid w:val="56CE4A87"/>
    <w:rsid w:val="56DA342C"/>
    <w:rsid w:val="57193F55"/>
    <w:rsid w:val="57415259"/>
    <w:rsid w:val="57882E88"/>
    <w:rsid w:val="5791337D"/>
    <w:rsid w:val="57931F59"/>
    <w:rsid w:val="57A25CD3"/>
    <w:rsid w:val="57B974E6"/>
    <w:rsid w:val="580C5867"/>
    <w:rsid w:val="5833395E"/>
    <w:rsid w:val="583F79EB"/>
    <w:rsid w:val="58406E56"/>
    <w:rsid w:val="58504A85"/>
    <w:rsid w:val="5851771E"/>
    <w:rsid w:val="585722FF"/>
    <w:rsid w:val="585F008D"/>
    <w:rsid w:val="587907C9"/>
    <w:rsid w:val="58831FCD"/>
    <w:rsid w:val="58C63E2F"/>
    <w:rsid w:val="59245DBC"/>
    <w:rsid w:val="592B61C1"/>
    <w:rsid w:val="596929A1"/>
    <w:rsid w:val="59C53F20"/>
    <w:rsid w:val="59DA3B12"/>
    <w:rsid w:val="5A5A0B0C"/>
    <w:rsid w:val="5A6D625A"/>
    <w:rsid w:val="5A9A53AC"/>
    <w:rsid w:val="5AA24261"/>
    <w:rsid w:val="5AAF07C5"/>
    <w:rsid w:val="5AF355BB"/>
    <w:rsid w:val="5AFC7FD4"/>
    <w:rsid w:val="5B1016C6"/>
    <w:rsid w:val="5B3B58E3"/>
    <w:rsid w:val="5B3E21DC"/>
    <w:rsid w:val="5B4C501B"/>
    <w:rsid w:val="5B6C12F0"/>
    <w:rsid w:val="5B890176"/>
    <w:rsid w:val="5B8E3295"/>
    <w:rsid w:val="5BA83AF9"/>
    <w:rsid w:val="5BC87CF7"/>
    <w:rsid w:val="5BEA2363"/>
    <w:rsid w:val="5C036F81"/>
    <w:rsid w:val="5C374692"/>
    <w:rsid w:val="5C3D06E5"/>
    <w:rsid w:val="5C3D2493"/>
    <w:rsid w:val="5CBB785C"/>
    <w:rsid w:val="5CCC1A69"/>
    <w:rsid w:val="5CCD7CBB"/>
    <w:rsid w:val="5CD8040E"/>
    <w:rsid w:val="5CD821BC"/>
    <w:rsid w:val="5CED3EB9"/>
    <w:rsid w:val="5D170F36"/>
    <w:rsid w:val="5D177188"/>
    <w:rsid w:val="5D1B5F7E"/>
    <w:rsid w:val="5D1E5A78"/>
    <w:rsid w:val="5D50591B"/>
    <w:rsid w:val="5D6B3049"/>
    <w:rsid w:val="5D7719D5"/>
    <w:rsid w:val="5D79648E"/>
    <w:rsid w:val="5D924A61"/>
    <w:rsid w:val="5DC6470A"/>
    <w:rsid w:val="5DE3609E"/>
    <w:rsid w:val="5DE828D3"/>
    <w:rsid w:val="5E015742"/>
    <w:rsid w:val="5E0C55B2"/>
    <w:rsid w:val="5E215ADF"/>
    <w:rsid w:val="5E260F36"/>
    <w:rsid w:val="5E451AD3"/>
    <w:rsid w:val="5E677C9B"/>
    <w:rsid w:val="5E8A5738"/>
    <w:rsid w:val="5EF417A6"/>
    <w:rsid w:val="5F0674B4"/>
    <w:rsid w:val="5F1B1A3C"/>
    <w:rsid w:val="5F2931A3"/>
    <w:rsid w:val="5F33738A"/>
    <w:rsid w:val="5F337B7D"/>
    <w:rsid w:val="5F4113EF"/>
    <w:rsid w:val="5F8B79B9"/>
    <w:rsid w:val="5FA70D57"/>
    <w:rsid w:val="5FC353A5"/>
    <w:rsid w:val="5FEF65DF"/>
    <w:rsid w:val="5FF11F12"/>
    <w:rsid w:val="5FFB68ED"/>
    <w:rsid w:val="60367925"/>
    <w:rsid w:val="606D70BF"/>
    <w:rsid w:val="60A32AE1"/>
    <w:rsid w:val="60BB607C"/>
    <w:rsid w:val="60CE1D16"/>
    <w:rsid w:val="60EC761A"/>
    <w:rsid w:val="613A3445"/>
    <w:rsid w:val="613C507B"/>
    <w:rsid w:val="616B66B4"/>
    <w:rsid w:val="616B7AA3"/>
    <w:rsid w:val="6170330B"/>
    <w:rsid w:val="61734BA9"/>
    <w:rsid w:val="617C3A5E"/>
    <w:rsid w:val="618B5A4F"/>
    <w:rsid w:val="618D5C6B"/>
    <w:rsid w:val="619169E7"/>
    <w:rsid w:val="619450F8"/>
    <w:rsid w:val="61CB4208"/>
    <w:rsid w:val="61DF4125"/>
    <w:rsid w:val="624125B1"/>
    <w:rsid w:val="62514EEA"/>
    <w:rsid w:val="62570027"/>
    <w:rsid w:val="62610CE3"/>
    <w:rsid w:val="626F711E"/>
    <w:rsid w:val="628169DB"/>
    <w:rsid w:val="629A7963"/>
    <w:rsid w:val="62BD60DC"/>
    <w:rsid w:val="62C27B96"/>
    <w:rsid w:val="63141A74"/>
    <w:rsid w:val="633345F0"/>
    <w:rsid w:val="63467B6E"/>
    <w:rsid w:val="64835103"/>
    <w:rsid w:val="64917820"/>
    <w:rsid w:val="649E3CEB"/>
    <w:rsid w:val="64AF30A1"/>
    <w:rsid w:val="64AF414A"/>
    <w:rsid w:val="64B259E8"/>
    <w:rsid w:val="64E21E2A"/>
    <w:rsid w:val="64E33DF4"/>
    <w:rsid w:val="64FB4E8F"/>
    <w:rsid w:val="650A1380"/>
    <w:rsid w:val="654E74BF"/>
    <w:rsid w:val="65800CAE"/>
    <w:rsid w:val="65F017EF"/>
    <w:rsid w:val="65FF4C5D"/>
    <w:rsid w:val="662335CB"/>
    <w:rsid w:val="663B3918"/>
    <w:rsid w:val="667227F9"/>
    <w:rsid w:val="667A42E4"/>
    <w:rsid w:val="67144CC8"/>
    <w:rsid w:val="67293782"/>
    <w:rsid w:val="675843DE"/>
    <w:rsid w:val="67C04445"/>
    <w:rsid w:val="67C73559"/>
    <w:rsid w:val="683C5CF5"/>
    <w:rsid w:val="684D0EC9"/>
    <w:rsid w:val="687E630D"/>
    <w:rsid w:val="68AF64C7"/>
    <w:rsid w:val="68F70A23"/>
    <w:rsid w:val="69124CA8"/>
    <w:rsid w:val="694C139B"/>
    <w:rsid w:val="695452C0"/>
    <w:rsid w:val="69561038"/>
    <w:rsid w:val="69727787"/>
    <w:rsid w:val="69DA3A17"/>
    <w:rsid w:val="69E108EF"/>
    <w:rsid w:val="69FC16D5"/>
    <w:rsid w:val="6A040A94"/>
    <w:rsid w:val="6A3D3FA6"/>
    <w:rsid w:val="6A4964A7"/>
    <w:rsid w:val="6A56272A"/>
    <w:rsid w:val="6A7379C8"/>
    <w:rsid w:val="6A845731"/>
    <w:rsid w:val="6A8F62F7"/>
    <w:rsid w:val="6AD611D4"/>
    <w:rsid w:val="6AD71D05"/>
    <w:rsid w:val="6AF52DE8"/>
    <w:rsid w:val="6B0F76F1"/>
    <w:rsid w:val="6B430C3C"/>
    <w:rsid w:val="6B8E5F87"/>
    <w:rsid w:val="6BA416A1"/>
    <w:rsid w:val="6BC71D79"/>
    <w:rsid w:val="6BD6020E"/>
    <w:rsid w:val="6BDF70C3"/>
    <w:rsid w:val="6C0D39C5"/>
    <w:rsid w:val="6C170504"/>
    <w:rsid w:val="6CA16A6E"/>
    <w:rsid w:val="6CBD3CA9"/>
    <w:rsid w:val="6CCB3AEB"/>
    <w:rsid w:val="6CDF30F3"/>
    <w:rsid w:val="6CFA617E"/>
    <w:rsid w:val="6D0843F7"/>
    <w:rsid w:val="6D1662E5"/>
    <w:rsid w:val="6D1E3C1B"/>
    <w:rsid w:val="6D3B18E0"/>
    <w:rsid w:val="6D433682"/>
    <w:rsid w:val="6D490570"/>
    <w:rsid w:val="6D716441"/>
    <w:rsid w:val="6D745F31"/>
    <w:rsid w:val="6D8D6DE8"/>
    <w:rsid w:val="6DD21C54"/>
    <w:rsid w:val="6DDB187D"/>
    <w:rsid w:val="6DDB7D5E"/>
    <w:rsid w:val="6E1119D2"/>
    <w:rsid w:val="6E3F209B"/>
    <w:rsid w:val="6E741E34"/>
    <w:rsid w:val="6F4C23BD"/>
    <w:rsid w:val="6FA50623"/>
    <w:rsid w:val="6FC66971"/>
    <w:rsid w:val="6FCA5354"/>
    <w:rsid w:val="6FE3114C"/>
    <w:rsid w:val="6FEF189F"/>
    <w:rsid w:val="702552C0"/>
    <w:rsid w:val="702A21AF"/>
    <w:rsid w:val="70384FF4"/>
    <w:rsid w:val="703B4AE4"/>
    <w:rsid w:val="70840D27"/>
    <w:rsid w:val="70871AD7"/>
    <w:rsid w:val="70877D29"/>
    <w:rsid w:val="709C192B"/>
    <w:rsid w:val="70E94540"/>
    <w:rsid w:val="717449C4"/>
    <w:rsid w:val="72677E12"/>
    <w:rsid w:val="726F7FB0"/>
    <w:rsid w:val="728817C0"/>
    <w:rsid w:val="728E539F"/>
    <w:rsid w:val="729B5D0E"/>
    <w:rsid w:val="729C3F60"/>
    <w:rsid w:val="72CE7E91"/>
    <w:rsid w:val="72E66F89"/>
    <w:rsid w:val="72FD0776"/>
    <w:rsid w:val="7318110C"/>
    <w:rsid w:val="732775A1"/>
    <w:rsid w:val="736E6F7E"/>
    <w:rsid w:val="737555F2"/>
    <w:rsid w:val="73D15EDF"/>
    <w:rsid w:val="73D43285"/>
    <w:rsid w:val="73EDB205"/>
    <w:rsid w:val="740578E3"/>
    <w:rsid w:val="75483F2B"/>
    <w:rsid w:val="75826D11"/>
    <w:rsid w:val="759B0A42"/>
    <w:rsid w:val="75C17839"/>
    <w:rsid w:val="75C4260C"/>
    <w:rsid w:val="75D43A11"/>
    <w:rsid w:val="76377AFB"/>
    <w:rsid w:val="7638673F"/>
    <w:rsid w:val="76477A70"/>
    <w:rsid w:val="764A3CD3"/>
    <w:rsid w:val="769767EC"/>
    <w:rsid w:val="76CC293A"/>
    <w:rsid w:val="76CF07C2"/>
    <w:rsid w:val="76D33CC8"/>
    <w:rsid w:val="77291201"/>
    <w:rsid w:val="77562203"/>
    <w:rsid w:val="7760252B"/>
    <w:rsid w:val="77876861"/>
    <w:rsid w:val="77B84C6C"/>
    <w:rsid w:val="77B92EBE"/>
    <w:rsid w:val="77BE6726"/>
    <w:rsid w:val="77C83101"/>
    <w:rsid w:val="77D23F80"/>
    <w:rsid w:val="77E22187"/>
    <w:rsid w:val="77F38874"/>
    <w:rsid w:val="781C169F"/>
    <w:rsid w:val="782F13D2"/>
    <w:rsid w:val="78352F50"/>
    <w:rsid w:val="785030F6"/>
    <w:rsid w:val="7856695F"/>
    <w:rsid w:val="787A2B77"/>
    <w:rsid w:val="7883171E"/>
    <w:rsid w:val="78B95B1C"/>
    <w:rsid w:val="78D11A2F"/>
    <w:rsid w:val="78E6469F"/>
    <w:rsid w:val="790F6B0E"/>
    <w:rsid w:val="7927654D"/>
    <w:rsid w:val="797D1E89"/>
    <w:rsid w:val="79AC363A"/>
    <w:rsid w:val="79F20909"/>
    <w:rsid w:val="79F226B7"/>
    <w:rsid w:val="7A0E2132"/>
    <w:rsid w:val="7A292226"/>
    <w:rsid w:val="7A434CC1"/>
    <w:rsid w:val="7A4F18B8"/>
    <w:rsid w:val="7A5E5F9F"/>
    <w:rsid w:val="7AD718AD"/>
    <w:rsid w:val="7AFE32DE"/>
    <w:rsid w:val="7B2014A6"/>
    <w:rsid w:val="7B3F7B7E"/>
    <w:rsid w:val="7B446F42"/>
    <w:rsid w:val="7B4707E1"/>
    <w:rsid w:val="7B4F58E7"/>
    <w:rsid w:val="7B5178B1"/>
    <w:rsid w:val="7B5573A2"/>
    <w:rsid w:val="7BB44B00"/>
    <w:rsid w:val="7BDE2F60"/>
    <w:rsid w:val="7BEB3862"/>
    <w:rsid w:val="7C0E12FE"/>
    <w:rsid w:val="7C484810"/>
    <w:rsid w:val="7C547659"/>
    <w:rsid w:val="7C594C70"/>
    <w:rsid w:val="7CEB42BE"/>
    <w:rsid w:val="7CF95B0B"/>
    <w:rsid w:val="7CFB5D27"/>
    <w:rsid w:val="7D406A1E"/>
    <w:rsid w:val="7D56704D"/>
    <w:rsid w:val="7D72797B"/>
    <w:rsid w:val="7D798BA0"/>
    <w:rsid w:val="7D9C1E68"/>
    <w:rsid w:val="7DB06B11"/>
    <w:rsid w:val="7DC2312C"/>
    <w:rsid w:val="7DD00F61"/>
    <w:rsid w:val="7DF32EA2"/>
    <w:rsid w:val="7E026C41"/>
    <w:rsid w:val="7E176B90"/>
    <w:rsid w:val="7E7C6FDB"/>
    <w:rsid w:val="7EBC7738"/>
    <w:rsid w:val="7EC81C39"/>
    <w:rsid w:val="7ED405DD"/>
    <w:rsid w:val="7EE8316D"/>
    <w:rsid w:val="7F1E3F4E"/>
    <w:rsid w:val="7F572FBC"/>
    <w:rsid w:val="7FBF303C"/>
    <w:rsid w:val="7FBFDE29"/>
    <w:rsid w:val="7FCF905C"/>
    <w:rsid w:val="7FD30895"/>
    <w:rsid w:val="7FD37903"/>
    <w:rsid w:val="7FE61FB9"/>
    <w:rsid w:val="7FF6692D"/>
    <w:rsid w:val="9FB54A25"/>
    <w:rsid w:val="C68743C2"/>
    <w:rsid w:val="D6BF1A49"/>
    <w:rsid w:val="DCB72AAA"/>
    <w:rsid w:val="DEFFF19C"/>
    <w:rsid w:val="F4BF9375"/>
    <w:rsid w:val="FBFD3853"/>
    <w:rsid w:val="FE070682"/>
    <w:rsid w:val="FF571D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spacing w:line="360" w:lineRule="auto"/>
      <w:ind w:firstLine="1124" w:firstLineChars="200"/>
    </w:pPr>
    <w:rPr>
      <w:rFonts w:ascii="仿宋" w:hAnsi="仿宋" w:eastAsia="仿宋" w:cs="仿宋"/>
      <w:kern w:val="2"/>
      <w:sz w:val="28"/>
      <w:szCs w:val="28"/>
      <w:lang w:val="en-US" w:eastAsia="zh-CN" w:bidi="ar-SA"/>
    </w:rPr>
  </w:style>
  <w:style w:type="paragraph" w:styleId="2">
    <w:name w:val="heading 1"/>
    <w:basedOn w:val="1"/>
    <w:next w:val="1"/>
    <w:link w:val="51"/>
    <w:qFormat/>
    <w:uiPriority w:val="9"/>
    <w:pPr>
      <w:keepNext/>
      <w:keepLines/>
      <w:adjustRightInd w:val="0"/>
      <w:snapToGrid w:val="0"/>
      <w:jc w:val="center"/>
      <w:outlineLvl w:val="0"/>
    </w:pPr>
    <w:rPr>
      <w:rFonts w:ascii="微软雅黑" w:hAnsi="微软雅黑" w:eastAsia="微软雅黑" w:cs="微软雅黑"/>
      <w:b/>
      <w:bCs/>
      <w:kern w:val="44"/>
      <w:sz w:val="44"/>
      <w:szCs w:val="44"/>
    </w:rPr>
  </w:style>
  <w:style w:type="paragraph" w:styleId="3">
    <w:name w:val="heading 2"/>
    <w:basedOn w:val="1"/>
    <w:next w:val="1"/>
    <w:link w:val="43"/>
    <w:unhideWhenUsed/>
    <w:qFormat/>
    <w:uiPriority w:val="9"/>
    <w:pPr>
      <w:keepNext/>
      <w:keepLines/>
      <w:jc w:val="left"/>
      <w:outlineLvl w:val="1"/>
    </w:pPr>
    <w:rPr>
      <w:rFonts w:ascii="黑体" w:hAnsi="黑体" w:eastAsia="黑体" w:cs="黑体"/>
      <w:b/>
      <w:bCs/>
      <w:sz w:val="32"/>
      <w:szCs w:val="32"/>
    </w:rPr>
  </w:style>
  <w:style w:type="paragraph" w:styleId="4">
    <w:name w:val="heading 3"/>
    <w:basedOn w:val="1"/>
    <w:next w:val="1"/>
    <w:link w:val="57"/>
    <w:unhideWhenUsed/>
    <w:qFormat/>
    <w:uiPriority w:val="9"/>
    <w:pPr>
      <w:keepNext/>
      <w:keepLines/>
      <w:outlineLvl w:val="2"/>
    </w:pPr>
    <w:rPr>
      <w:b/>
      <w:bCs/>
    </w:rPr>
  </w:style>
  <w:style w:type="paragraph" w:styleId="5">
    <w:name w:val="heading 4"/>
    <w:basedOn w:val="1"/>
    <w:next w:val="1"/>
    <w:link w:val="44"/>
    <w:unhideWhenUsed/>
    <w:qFormat/>
    <w:uiPriority w:val="9"/>
    <w:pPr>
      <w:keepNext/>
      <w:keepLines/>
      <w:outlineLvl w:val="3"/>
    </w:pPr>
    <w:rPr>
      <w:b/>
      <w:bCs/>
    </w:rPr>
  </w:style>
  <w:style w:type="paragraph" w:styleId="6">
    <w:name w:val="heading 5"/>
    <w:basedOn w:val="1"/>
    <w:next w:val="1"/>
    <w:unhideWhenUsed/>
    <w:qFormat/>
    <w:uiPriority w:val="0"/>
    <w:pPr>
      <w:keepNext/>
      <w:keepLines/>
      <w:ind w:firstLine="420" w:firstLineChars="0"/>
      <w:outlineLvl w:val="4"/>
    </w:pPr>
    <w:rPr>
      <w:b/>
    </w:rPr>
  </w:style>
  <w:style w:type="paragraph" w:styleId="7">
    <w:name w:val="heading 6"/>
    <w:basedOn w:val="6"/>
    <w:next w:val="1"/>
    <w:unhideWhenUsed/>
    <w:qFormat/>
    <w:uiPriority w:val="0"/>
    <w:pPr>
      <w:spacing w:before="240" w:beforeLines="0" w:after="64" w:afterLines="0"/>
      <w:outlineLvl w:val="5"/>
    </w:p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ind w:left="1440"/>
    </w:pPr>
    <w:rPr>
      <w:rFonts w:asciiTheme="minorHAnsi" w:eastAsiaTheme="minorHAnsi"/>
      <w:sz w:val="18"/>
      <w:szCs w:val="18"/>
    </w:rPr>
  </w:style>
  <w:style w:type="paragraph" w:styleId="9">
    <w:name w:val="Normal Indent"/>
    <w:basedOn w:val="1"/>
    <w:qFormat/>
    <w:uiPriority w:val="0"/>
    <w:pPr>
      <w:widowControl/>
      <w:ind w:firstLine="420"/>
    </w:pPr>
    <w:rPr>
      <w:kern w:val="0"/>
      <w:sz w:val="20"/>
      <w:szCs w:val="20"/>
    </w:rPr>
  </w:style>
  <w:style w:type="paragraph" w:styleId="10">
    <w:name w:val="List Bullet"/>
    <w:basedOn w:val="1"/>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11">
    <w:name w:val="Document Map"/>
    <w:basedOn w:val="1"/>
    <w:autoRedefine/>
    <w:qFormat/>
    <w:uiPriority w:val="0"/>
    <w:rPr>
      <w:rFonts w:eastAsia="宋体"/>
      <w:color w:val="FFFFFF" w:themeColor="background1"/>
      <w:sz w:val="21"/>
      <w14:textFill>
        <w14:noFill/>
      </w14:textFill>
    </w:rPr>
  </w:style>
  <w:style w:type="paragraph" w:styleId="12">
    <w:name w:val="toa heading"/>
    <w:basedOn w:val="1"/>
    <w:next w:val="1"/>
    <w:unhideWhenUsed/>
    <w:qFormat/>
    <w:uiPriority w:val="99"/>
    <w:pPr>
      <w:widowControl w:val="0"/>
      <w:adjustRightInd w:val="0"/>
      <w:spacing w:before="120" w:line="420" w:lineRule="atLeast"/>
      <w:ind w:firstLine="454"/>
      <w:jc w:val="both"/>
      <w:textAlignment w:val="baseline"/>
    </w:pPr>
    <w:rPr>
      <w:rFonts w:ascii="Cambria" w:hAnsi="Cambria" w:eastAsia="宋体" w:cs="Times New Roman"/>
      <w:sz w:val="24"/>
      <w:szCs w:val="24"/>
      <w:lang w:val="en-US" w:eastAsia="zh-CN" w:bidi="ar-SA"/>
    </w:rPr>
  </w:style>
  <w:style w:type="paragraph" w:styleId="13">
    <w:name w:val="annotation text"/>
    <w:basedOn w:val="1"/>
    <w:link w:val="55"/>
    <w:qFormat/>
    <w:uiPriority w:val="0"/>
    <w:pPr>
      <w:spacing w:line="240" w:lineRule="auto"/>
    </w:pPr>
    <w:rPr>
      <w:rFonts w:eastAsiaTheme="minorEastAsia"/>
      <w:sz w:val="21"/>
      <w:szCs w:val="24"/>
    </w:rPr>
  </w:style>
  <w:style w:type="paragraph" w:styleId="14">
    <w:name w:val="Body Text"/>
    <w:basedOn w:val="1"/>
    <w:next w:val="15"/>
    <w:link w:val="47"/>
    <w:qFormat/>
    <w:uiPriority w:val="99"/>
    <w:pPr>
      <w:jc w:val="center"/>
    </w:pPr>
  </w:style>
  <w:style w:type="paragraph" w:styleId="15">
    <w:name w:val="Body Text 2"/>
    <w:basedOn w:val="1"/>
    <w:qFormat/>
    <w:uiPriority w:val="0"/>
    <w:pPr>
      <w:spacing w:after="120" w:line="480" w:lineRule="auto"/>
    </w:pPr>
    <w:rPr>
      <w:rFonts w:ascii="Calibri" w:hAnsi="Calibri" w:cs="Times New Roman"/>
    </w:rPr>
  </w:style>
  <w:style w:type="paragraph" w:styleId="16">
    <w:name w:val="Body Text Indent"/>
    <w:basedOn w:val="17"/>
    <w:next w:val="18"/>
    <w:qFormat/>
    <w:uiPriority w:val="99"/>
    <w:pPr>
      <w:spacing w:after="120"/>
      <w:ind w:left="420" w:leftChars="200"/>
    </w:pPr>
    <w:rPr>
      <w:sz w:val="21"/>
    </w:rPr>
  </w:style>
  <w:style w:type="paragraph" w:customStyle="1" w:styleId="17">
    <w:name w:val="正文1"/>
    <w:qFormat/>
    <w:uiPriority w:val="0"/>
    <w:pPr>
      <w:widowControl w:val="0"/>
      <w:jc w:val="both"/>
    </w:pPr>
    <w:rPr>
      <w:rFonts w:ascii="Times New Roman" w:hAnsi="Times New Roman" w:eastAsia="宋体" w:cs="Times New Roman"/>
      <w:szCs w:val="24"/>
      <w:lang w:val="en-US" w:eastAsia="zh-CN" w:bidi="ar-SA"/>
    </w:rPr>
  </w:style>
  <w:style w:type="paragraph" w:styleId="18">
    <w:name w:val="toc 2"/>
    <w:basedOn w:val="17"/>
    <w:next w:val="17"/>
    <w:unhideWhenUsed/>
    <w:qFormat/>
    <w:uiPriority w:val="39"/>
    <w:pPr>
      <w:ind w:left="240"/>
    </w:pPr>
    <w:rPr>
      <w:rFonts w:asciiTheme="minorHAnsi" w:eastAsiaTheme="minorHAnsi"/>
      <w:smallCaps/>
      <w:szCs w:val="20"/>
    </w:rPr>
  </w:style>
  <w:style w:type="paragraph" w:styleId="19">
    <w:name w:val="toc 5"/>
    <w:basedOn w:val="1"/>
    <w:next w:val="1"/>
    <w:unhideWhenUsed/>
    <w:qFormat/>
    <w:uiPriority w:val="39"/>
    <w:pPr>
      <w:ind w:left="960"/>
    </w:pPr>
    <w:rPr>
      <w:rFonts w:asciiTheme="minorHAnsi" w:eastAsiaTheme="minorHAnsi"/>
      <w:sz w:val="18"/>
      <w:szCs w:val="18"/>
    </w:rPr>
  </w:style>
  <w:style w:type="paragraph" w:styleId="20">
    <w:name w:val="toc 3"/>
    <w:basedOn w:val="1"/>
    <w:next w:val="1"/>
    <w:unhideWhenUsed/>
    <w:qFormat/>
    <w:uiPriority w:val="39"/>
    <w:pPr>
      <w:ind w:left="480"/>
    </w:pPr>
    <w:rPr>
      <w:rFonts w:asciiTheme="minorHAnsi" w:eastAsiaTheme="minorHAnsi"/>
      <w:i/>
      <w:iCs/>
      <w:sz w:val="20"/>
      <w:szCs w:val="20"/>
    </w:rPr>
  </w:style>
  <w:style w:type="paragraph" w:styleId="21">
    <w:name w:val="Plain Text"/>
    <w:basedOn w:val="1"/>
    <w:qFormat/>
    <w:uiPriority w:val="0"/>
    <w:pPr>
      <w:ind w:firstLine="0" w:firstLineChars="0"/>
      <w:jc w:val="center"/>
    </w:pPr>
    <w:rPr>
      <w:sz w:val="21"/>
      <w:szCs w:val="21"/>
    </w:rPr>
  </w:style>
  <w:style w:type="paragraph" w:styleId="22">
    <w:name w:val="toc 8"/>
    <w:basedOn w:val="1"/>
    <w:next w:val="1"/>
    <w:unhideWhenUsed/>
    <w:qFormat/>
    <w:uiPriority w:val="39"/>
    <w:pPr>
      <w:ind w:left="1680"/>
    </w:pPr>
    <w:rPr>
      <w:rFonts w:asciiTheme="minorHAnsi" w:eastAsiaTheme="minorHAnsi"/>
      <w:sz w:val="18"/>
      <w:szCs w:val="18"/>
    </w:rPr>
  </w:style>
  <w:style w:type="paragraph" w:styleId="23">
    <w:name w:val="footer"/>
    <w:basedOn w:val="1"/>
    <w:link w:val="54"/>
    <w:unhideWhenUsed/>
    <w:qFormat/>
    <w:uiPriority w:val="99"/>
    <w:pPr>
      <w:tabs>
        <w:tab w:val="center" w:pos="4153"/>
        <w:tab w:val="right" w:pos="8306"/>
      </w:tabs>
      <w:snapToGrid w:val="0"/>
      <w:spacing w:line="240" w:lineRule="auto"/>
    </w:pPr>
    <w:rPr>
      <w:sz w:val="18"/>
      <w:szCs w:val="18"/>
    </w:rPr>
  </w:style>
  <w:style w:type="paragraph" w:styleId="24">
    <w:name w:val="envelope return"/>
    <w:basedOn w:val="1"/>
    <w:qFormat/>
    <w:uiPriority w:val="0"/>
    <w:pPr>
      <w:snapToGrid w:val="0"/>
    </w:pPr>
    <w:rPr>
      <w:rFonts w:ascii="Arial" w:hAnsi="Arial"/>
    </w:rPr>
  </w:style>
  <w:style w:type="paragraph" w:styleId="25">
    <w:name w:val="header"/>
    <w:basedOn w:val="1"/>
    <w:link w:val="53"/>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6">
    <w:name w:val="toc 1"/>
    <w:basedOn w:val="1"/>
    <w:next w:val="1"/>
    <w:unhideWhenUsed/>
    <w:qFormat/>
    <w:uiPriority w:val="39"/>
    <w:pPr>
      <w:spacing w:before="120" w:after="120"/>
    </w:pPr>
    <w:rPr>
      <w:rFonts w:asciiTheme="minorHAnsi" w:eastAsiaTheme="minorHAnsi"/>
      <w:b/>
      <w:bCs/>
      <w:caps/>
      <w:sz w:val="20"/>
      <w:szCs w:val="20"/>
    </w:rPr>
  </w:style>
  <w:style w:type="paragraph" w:styleId="27">
    <w:name w:val="toc 4"/>
    <w:basedOn w:val="1"/>
    <w:next w:val="1"/>
    <w:unhideWhenUsed/>
    <w:qFormat/>
    <w:uiPriority w:val="39"/>
    <w:pPr>
      <w:ind w:left="720"/>
    </w:pPr>
    <w:rPr>
      <w:rFonts w:asciiTheme="minorHAnsi" w:eastAsiaTheme="minorHAnsi"/>
      <w:sz w:val="18"/>
      <w:szCs w:val="18"/>
    </w:rPr>
  </w:style>
  <w:style w:type="paragraph" w:styleId="28">
    <w:name w:val="toc 6"/>
    <w:basedOn w:val="1"/>
    <w:next w:val="1"/>
    <w:unhideWhenUsed/>
    <w:qFormat/>
    <w:uiPriority w:val="39"/>
    <w:pPr>
      <w:ind w:left="1200"/>
    </w:pPr>
    <w:rPr>
      <w:rFonts w:asciiTheme="minorHAnsi" w:eastAsiaTheme="minorHAnsi"/>
      <w:sz w:val="18"/>
      <w:szCs w:val="18"/>
    </w:rPr>
  </w:style>
  <w:style w:type="paragraph" w:styleId="29">
    <w:name w:val="toc 9"/>
    <w:basedOn w:val="1"/>
    <w:next w:val="1"/>
    <w:unhideWhenUsed/>
    <w:qFormat/>
    <w:uiPriority w:val="39"/>
    <w:pPr>
      <w:ind w:left="1920"/>
    </w:pPr>
    <w:rPr>
      <w:rFonts w:asciiTheme="minorHAnsi" w:eastAsiaTheme="minorHAnsi"/>
      <w:sz w:val="18"/>
      <w:szCs w:val="18"/>
    </w:rPr>
  </w:style>
  <w:style w:type="paragraph" w:styleId="30">
    <w:name w:val="Normal (Web)"/>
    <w:basedOn w:val="1"/>
    <w:qFormat/>
    <w:uiPriority w:val="99"/>
    <w:pPr>
      <w:widowControl/>
      <w:spacing w:before="100" w:beforeAutospacing="1" w:after="100" w:afterAutospacing="1"/>
    </w:pPr>
    <w:rPr>
      <w:rFonts w:cs="宋体"/>
      <w:color w:val="000000"/>
      <w:kern w:val="0"/>
      <w:szCs w:val="24"/>
    </w:rPr>
  </w:style>
  <w:style w:type="paragraph" w:styleId="31">
    <w:name w:val="Title"/>
    <w:basedOn w:val="1"/>
    <w:autoRedefine/>
    <w:qFormat/>
    <w:uiPriority w:val="10"/>
    <w:pPr>
      <w:adjustRightInd w:val="0"/>
      <w:spacing w:before="240" w:after="60" w:line="360" w:lineRule="atLeast"/>
      <w:jc w:val="center"/>
      <w:textAlignment w:val="baseline"/>
      <w:outlineLvl w:val="0"/>
    </w:pPr>
    <w:rPr>
      <w:rFonts w:ascii="Arial" w:hAnsi="Arial" w:cs="Arial"/>
      <w:b/>
      <w:bCs/>
      <w:kern w:val="0"/>
      <w:sz w:val="32"/>
      <w:szCs w:val="32"/>
    </w:rPr>
  </w:style>
  <w:style w:type="paragraph" w:styleId="32">
    <w:name w:val="annotation subject"/>
    <w:basedOn w:val="13"/>
    <w:next w:val="13"/>
    <w:link w:val="61"/>
    <w:semiHidden/>
    <w:unhideWhenUsed/>
    <w:qFormat/>
    <w:uiPriority w:val="99"/>
    <w:pPr>
      <w:spacing w:line="360" w:lineRule="auto"/>
    </w:pPr>
    <w:rPr>
      <w:rFonts w:eastAsia="宋体"/>
      <w:b/>
      <w:bCs/>
      <w:sz w:val="24"/>
      <w:szCs w:val="22"/>
    </w:rPr>
  </w:style>
  <w:style w:type="paragraph" w:styleId="33">
    <w:name w:val="Body Text First Indent"/>
    <w:basedOn w:val="14"/>
    <w:next w:val="1"/>
    <w:unhideWhenUsed/>
    <w:qFormat/>
    <w:uiPriority w:val="99"/>
    <w:pPr>
      <w:spacing w:after="120"/>
      <w:ind w:firstLine="100" w:firstLineChars="100"/>
    </w:pPr>
    <w:rPr>
      <w:szCs w:val="22"/>
    </w:rPr>
  </w:style>
  <w:style w:type="paragraph" w:styleId="34">
    <w:name w:val="Body Text First Indent 2"/>
    <w:basedOn w:val="1"/>
    <w:next w:val="33"/>
    <w:qFormat/>
    <w:uiPriority w:val="0"/>
    <w:pPr>
      <w:widowControl/>
      <w:tabs>
        <w:tab w:val="left" w:pos="3996"/>
      </w:tabs>
      <w:ind w:firstLine="420" w:firstLineChars="200"/>
      <w:jc w:val="left"/>
    </w:pPr>
    <w:rPr>
      <w:sz w:val="20"/>
      <w:szCs w:val="20"/>
    </w:rPr>
  </w:style>
  <w:style w:type="table" w:styleId="36">
    <w:name w:val="Table Grid"/>
    <w:basedOn w:val="3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22"/>
    <w:rPr>
      <w:b/>
    </w:rPr>
  </w:style>
  <w:style w:type="character" w:styleId="39">
    <w:name w:val="FollowedHyperlink"/>
    <w:basedOn w:val="37"/>
    <w:semiHidden/>
    <w:unhideWhenUsed/>
    <w:qFormat/>
    <w:uiPriority w:val="99"/>
    <w:rPr>
      <w:color w:val="800080"/>
      <w:u w:val="none"/>
    </w:rPr>
  </w:style>
  <w:style w:type="character" w:styleId="40">
    <w:name w:val="Emphasis"/>
    <w:basedOn w:val="37"/>
    <w:qFormat/>
    <w:uiPriority w:val="20"/>
  </w:style>
  <w:style w:type="character" w:styleId="41">
    <w:name w:val="Hyperlink"/>
    <w:basedOn w:val="37"/>
    <w:unhideWhenUsed/>
    <w:qFormat/>
    <w:uiPriority w:val="99"/>
    <w:rPr>
      <w:color w:val="0563C1" w:themeColor="hyperlink"/>
      <w:u w:val="single"/>
      <w14:textFill>
        <w14:solidFill>
          <w14:schemeClr w14:val="hlink"/>
        </w14:solidFill>
      </w14:textFill>
    </w:rPr>
  </w:style>
  <w:style w:type="character" w:styleId="42">
    <w:name w:val="annotation reference"/>
    <w:qFormat/>
    <w:uiPriority w:val="0"/>
    <w:rPr>
      <w:sz w:val="21"/>
      <w:szCs w:val="21"/>
    </w:rPr>
  </w:style>
  <w:style w:type="character" w:customStyle="1" w:styleId="43">
    <w:name w:val="标题 2 Char"/>
    <w:link w:val="3"/>
    <w:autoRedefine/>
    <w:qFormat/>
    <w:uiPriority w:val="9"/>
    <w:rPr>
      <w:rFonts w:ascii="宋体" w:hAnsi="宋体" w:eastAsia="仿宋" w:cs="仿宋"/>
      <w:b/>
      <w:color w:val="000000" w:themeColor="text1"/>
      <w:kern w:val="0"/>
      <w:sz w:val="30"/>
      <w:szCs w:val="32"/>
      <w:highlight w:val="none"/>
      <w:lang w:val="zh-CN" w:eastAsia="zh-CN" w:bidi="zh-CN"/>
      <w14:textFill>
        <w14:solidFill>
          <w14:schemeClr w14:val="tx1"/>
        </w14:solidFill>
      </w14:textFill>
    </w:rPr>
  </w:style>
  <w:style w:type="character" w:customStyle="1" w:styleId="44">
    <w:name w:val="标题 4 Char"/>
    <w:link w:val="5"/>
    <w:autoRedefine/>
    <w:qFormat/>
    <w:uiPriority w:val="9"/>
    <w:rPr>
      <w:rFonts w:ascii="仿宋" w:hAnsi="仿宋" w:eastAsia="仿宋" w:cs="仿宋"/>
      <w:b/>
      <w:kern w:val="2"/>
      <w:sz w:val="28"/>
      <w:szCs w:val="22"/>
      <w:lang w:val="en-US" w:eastAsia="zh-CN" w:bidi="ar-SA"/>
    </w:rPr>
  </w:style>
  <w:style w:type="character" w:customStyle="1" w:styleId="45">
    <w:name w:val="标题 2 字符"/>
    <w:basedOn w:val="37"/>
    <w:link w:val="3"/>
    <w:qFormat/>
    <w:uiPriority w:val="0"/>
    <w:rPr>
      <w:rFonts w:ascii="黑体" w:hAnsi="黑体" w:eastAsia="黑体" w:cs="黑体"/>
      <w:b/>
      <w:bCs/>
      <w:sz w:val="32"/>
      <w:szCs w:val="32"/>
    </w:rPr>
  </w:style>
  <w:style w:type="character" w:customStyle="1" w:styleId="46">
    <w:name w:val="标题 4 字符"/>
    <w:basedOn w:val="37"/>
    <w:qFormat/>
    <w:uiPriority w:val="9"/>
    <w:rPr>
      <w:rFonts w:ascii="仿宋" w:hAnsi="仿宋" w:eastAsia="仿宋" w:cs="仿宋"/>
      <w:b/>
      <w:bCs/>
      <w:sz w:val="28"/>
      <w:szCs w:val="28"/>
    </w:rPr>
  </w:style>
  <w:style w:type="character" w:customStyle="1" w:styleId="47">
    <w:name w:val="正文文本 字符"/>
    <w:basedOn w:val="37"/>
    <w:link w:val="14"/>
    <w:qFormat/>
    <w:uiPriority w:val="99"/>
    <w:rPr>
      <w:rFonts w:ascii="仿宋" w:hAnsi="仿宋" w:eastAsia="仿宋" w:cs="仿宋"/>
      <w:sz w:val="28"/>
      <w:szCs w:val="28"/>
    </w:rPr>
  </w:style>
  <w:style w:type="paragraph" w:customStyle="1" w:styleId="48">
    <w:name w:val="Default"/>
    <w:basedOn w:val="31"/>
    <w:qFormat/>
    <w:uiPriority w:val="0"/>
    <w:pPr>
      <w:autoSpaceDE w:val="0"/>
      <w:autoSpaceDN w:val="0"/>
    </w:pPr>
    <w:rPr>
      <w:rFonts w:ascii="宋体" w:hAnsi="Calibri" w:eastAsia="宋体" w:cs="宋体"/>
      <w:color w:val="000000"/>
      <w:sz w:val="24"/>
      <w:szCs w:val="24"/>
    </w:rPr>
  </w:style>
  <w:style w:type="character" w:customStyle="1" w:styleId="49">
    <w:name w:val="标题 4 字符1"/>
    <w:link w:val="5"/>
    <w:qFormat/>
    <w:uiPriority w:val="0"/>
    <w:rPr>
      <w:rFonts w:ascii="仿宋" w:hAnsi="仿宋" w:eastAsia="仿宋"/>
      <w:b/>
      <w:sz w:val="24"/>
    </w:rPr>
  </w:style>
  <w:style w:type="paragraph" w:customStyle="1" w:styleId="50">
    <w:name w:val="正文缩进2"/>
    <w:basedOn w:val="1"/>
    <w:qFormat/>
    <w:uiPriority w:val="0"/>
    <w:pPr>
      <w:ind w:firstLine="480"/>
    </w:pPr>
    <w:rPr>
      <w:iCs/>
      <w:shd w:val="clear" w:color="auto" w:fill="FFFFFF" w:themeFill="background1"/>
      <w:lang w:val="zh-CN"/>
    </w:rPr>
  </w:style>
  <w:style w:type="character" w:customStyle="1" w:styleId="51">
    <w:name w:val="标题 1 字符"/>
    <w:basedOn w:val="37"/>
    <w:link w:val="2"/>
    <w:qFormat/>
    <w:uiPriority w:val="9"/>
    <w:rPr>
      <w:rFonts w:ascii="微软雅黑" w:hAnsi="微软雅黑" w:eastAsia="微软雅黑" w:cs="微软雅黑"/>
      <w:b/>
      <w:bCs/>
      <w:kern w:val="44"/>
      <w:sz w:val="44"/>
      <w:szCs w:val="44"/>
    </w:rPr>
  </w:style>
  <w:style w:type="paragraph" w:styleId="52">
    <w:name w:val="List Paragraph"/>
    <w:basedOn w:val="1"/>
    <w:qFormat/>
    <w:uiPriority w:val="34"/>
    <w:pPr>
      <w:numPr>
        <w:ilvl w:val="0"/>
        <w:numId w:val="1"/>
      </w:numPr>
    </w:pPr>
  </w:style>
  <w:style w:type="character" w:customStyle="1" w:styleId="53">
    <w:name w:val="页眉 字符"/>
    <w:basedOn w:val="37"/>
    <w:link w:val="25"/>
    <w:qFormat/>
    <w:uiPriority w:val="99"/>
    <w:rPr>
      <w:rFonts w:eastAsia="宋体"/>
      <w:sz w:val="18"/>
      <w:szCs w:val="18"/>
    </w:rPr>
  </w:style>
  <w:style w:type="character" w:customStyle="1" w:styleId="54">
    <w:name w:val="页脚 字符"/>
    <w:basedOn w:val="37"/>
    <w:link w:val="23"/>
    <w:qFormat/>
    <w:uiPriority w:val="99"/>
    <w:rPr>
      <w:rFonts w:eastAsia="宋体"/>
      <w:sz w:val="18"/>
      <w:szCs w:val="18"/>
    </w:rPr>
  </w:style>
  <w:style w:type="character" w:customStyle="1" w:styleId="55">
    <w:name w:val="批注文字 字符"/>
    <w:basedOn w:val="37"/>
    <w:link w:val="13"/>
    <w:qFormat/>
    <w:uiPriority w:val="0"/>
    <w:rPr>
      <w:szCs w:val="24"/>
    </w:rPr>
  </w:style>
  <w:style w:type="paragraph" w:customStyle="1" w:styleId="56">
    <w:name w:val="Char1 Char Char Char"/>
    <w:basedOn w:val="1"/>
    <w:qFormat/>
    <w:uiPriority w:val="0"/>
    <w:pPr>
      <w:adjustRightInd w:val="0"/>
      <w:jc w:val="both"/>
    </w:pPr>
    <w:rPr>
      <w:rFonts w:ascii="Times New Roman" w:hAnsi="Times New Roman" w:cs="Times New Roman"/>
      <w:kern w:val="0"/>
      <w:szCs w:val="20"/>
    </w:rPr>
  </w:style>
  <w:style w:type="character" w:customStyle="1" w:styleId="57">
    <w:name w:val="标题 3 字符"/>
    <w:basedOn w:val="37"/>
    <w:link w:val="4"/>
    <w:qFormat/>
    <w:uiPriority w:val="9"/>
    <w:rPr>
      <w:rFonts w:eastAsia="仿宋"/>
      <w:b/>
      <w:bCs/>
      <w:sz w:val="28"/>
      <w:szCs w:val="28"/>
    </w:rPr>
  </w:style>
  <w:style w:type="paragraph" w:customStyle="1" w:styleId="58">
    <w:name w:val="样式"/>
    <w:basedOn w:val="1"/>
    <w:qFormat/>
    <w:uiPriority w:val="0"/>
    <w:pPr>
      <w:autoSpaceDE w:val="0"/>
      <w:autoSpaceDN w:val="0"/>
      <w:snapToGrid w:val="0"/>
      <w:spacing w:before="120" w:after="120"/>
      <w:jc w:val="both"/>
    </w:pPr>
    <w:rPr>
      <w:rFonts w:hAnsi="Times New Roman" w:cs="Times New Roman"/>
      <w:kern w:val="0"/>
      <w:szCs w:val="20"/>
    </w:rPr>
  </w:style>
  <w:style w:type="paragraph" w:styleId="59">
    <w:name w:val="No Spacing"/>
    <w:qFormat/>
    <w:uiPriority w:val="1"/>
    <w:pPr>
      <w:widowControl w:val="0"/>
    </w:pPr>
    <w:rPr>
      <w:rFonts w:ascii="宋体" w:hAnsi="宋体" w:eastAsia="宋体" w:cstheme="minorBidi"/>
      <w:kern w:val="2"/>
      <w:sz w:val="24"/>
      <w:szCs w:val="22"/>
      <w:lang w:val="en-US" w:eastAsia="zh-CN" w:bidi="ar-SA"/>
    </w:rPr>
  </w:style>
  <w:style w:type="character" w:customStyle="1" w:styleId="60">
    <w:name w:val="未处理的提及1"/>
    <w:basedOn w:val="37"/>
    <w:semiHidden/>
    <w:unhideWhenUsed/>
    <w:qFormat/>
    <w:uiPriority w:val="99"/>
    <w:rPr>
      <w:color w:val="605E5C"/>
      <w:shd w:val="clear" w:color="auto" w:fill="E1DFDD"/>
    </w:rPr>
  </w:style>
  <w:style w:type="character" w:customStyle="1" w:styleId="61">
    <w:name w:val="批注主题 字符"/>
    <w:basedOn w:val="55"/>
    <w:link w:val="32"/>
    <w:semiHidden/>
    <w:qFormat/>
    <w:uiPriority w:val="99"/>
    <w:rPr>
      <w:rFonts w:ascii="宋体" w:hAnsi="宋体" w:cstheme="minorBidi"/>
      <w:b/>
      <w:bCs/>
      <w:kern w:val="2"/>
      <w:sz w:val="24"/>
      <w:szCs w:val="22"/>
    </w:rPr>
  </w:style>
  <w:style w:type="character" w:customStyle="1" w:styleId="62">
    <w:name w:val="未处理的提及2"/>
    <w:basedOn w:val="37"/>
    <w:semiHidden/>
    <w:unhideWhenUsed/>
    <w:qFormat/>
    <w:uiPriority w:val="99"/>
    <w:rPr>
      <w:color w:val="605E5C"/>
      <w:shd w:val="clear" w:color="auto" w:fill="E1DFDD"/>
    </w:rPr>
  </w:style>
  <w:style w:type="table" w:customStyle="1" w:styleId="63">
    <w:name w:val="Table Normal"/>
    <w:unhideWhenUsed/>
    <w:qFormat/>
    <w:uiPriority w:val="0"/>
    <w:tblPr>
      <w:tblCellMar>
        <w:top w:w="0" w:type="dxa"/>
        <w:left w:w="0" w:type="dxa"/>
        <w:bottom w:w="0" w:type="dxa"/>
        <w:right w:w="0" w:type="dxa"/>
      </w:tblCellMar>
    </w:tblPr>
  </w:style>
  <w:style w:type="character" w:customStyle="1" w:styleId="64">
    <w:name w:val="font11"/>
    <w:basedOn w:val="37"/>
    <w:qFormat/>
    <w:uiPriority w:val="0"/>
    <w:rPr>
      <w:rFonts w:hint="eastAsia" w:ascii="仿宋" w:hAnsi="仿宋" w:eastAsia="仿宋" w:cs="仿宋"/>
      <w:color w:val="000000"/>
      <w:sz w:val="21"/>
      <w:szCs w:val="21"/>
      <w:u w:val="none"/>
    </w:rPr>
  </w:style>
  <w:style w:type="paragraph" w:customStyle="1" w:styleId="65">
    <w:name w:val="列出段落1"/>
    <w:basedOn w:val="1"/>
    <w:qFormat/>
    <w:uiPriority w:val="34"/>
    <w:pPr>
      <w:ind w:firstLine="420"/>
    </w:pPr>
    <w:rPr>
      <w:rFonts w:eastAsia="宋体"/>
      <w:sz w:val="21"/>
      <w:szCs w:val="21"/>
    </w:rPr>
  </w:style>
  <w:style w:type="character" w:customStyle="1" w:styleId="66">
    <w:name w:val="fontstyle01"/>
    <w:qFormat/>
    <w:uiPriority w:val="0"/>
    <w:rPr>
      <w:rFonts w:hint="eastAsia" w:ascii="宋体" w:hAnsi="宋体" w:eastAsia="宋体"/>
      <w:color w:val="000000"/>
      <w:sz w:val="24"/>
      <w:szCs w:val="24"/>
    </w:rPr>
  </w:style>
  <w:style w:type="paragraph" w:customStyle="1" w:styleId="6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8">
    <w:name w:val="Table Text"/>
    <w:basedOn w:val="1"/>
    <w:semiHidden/>
    <w:qFormat/>
    <w:uiPriority w:val="0"/>
    <w:rPr>
      <w:rFonts w:ascii="宋体" w:hAnsi="宋体" w:eastAsia="宋体" w:cs="宋体"/>
      <w:sz w:val="20"/>
      <w:szCs w:val="20"/>
      <w:lang w:eastAsia="en-US"/>
    </w:rPr>
  </w:style>
  <w:style w:type="character" w:customStyle="1" w:styleId="69">
    <w:name w:val="font21"/>
    <w:basedOn w:val="37"/>
    <w:qFormat/>
    <w:uiPriority w:val="0"/>
    <w:rPr>
      <w:rFonts w:hint="eastAsia" w:ascii="宋体" w:hAnsi="宋体" w:eastAsia="宋体" w:cs="宋体"/>
      <w:color w:val="000000"/>
      <w:sz w:val="22"/>
      <w:szCs w:val="22"/>
      <w:u w:val="none"/>
    </w:rPr>
  </w:style>
  <w:style w:type="character" w:customStyle="1" w:styleId="70">
    <w:name w:val="font41"/>
    <w:basedOn w:val="37"/>
    <w:qFormat/>
    <w:uiPriority w:val="0"/>
    <w:rPr>
      <w:rFonts w:hint="default" w:ascii="Calibri" w:hAnsi="Calibri" w:cs="Calibri"/>
      <w:color w:val="000000"/>
      <w:sz w:val="21"/>
      <w:szCs w:val="21"/>
      <w:u w:val="none"/>
    </w:rPr>
  </w:style>
  <w:style w:type="character" w:customStyle="1" w:styleId="71">
    <w:name w:val="font51"/>
    <w:basedOn w:val="37"/>
    <w:qFormat/>
    <w:uiPriority w:val="0"/>
    <w:rPr>
      <w:rFonts w:hint="eastAsia" w:ascii="宋体" w:hAnsi="宋体" w:eastAsia="宋体" w:cs="宋体"/>
      <w:color w:val="000000"/>
      <w:sz w:val="21"/>
      <w:szCs w:val="21"/>
      <w:u w:val="none"/>
    </w:rPr>
  </w:style>
  <w:style w:type="character" w:customStyle="1" w:styleId="72">
    <w:name w:val="font31"/>
    <w:basedOn w:val="37"/>
    <w:qFormat/>
    <w:uiPriority w:val="0"/>
    <w:rPr>
      <w:rFonts w:hint="eastAsia" w:ascii="宋体" w:hAnsi="宋体" w:eastAsia="宋体" w:cs="宋体"/>
      <w:color w:val="000000"/>
      <w:sz w:val="24"/>
      <w:szCs w:val="24"/>
      <w:u w:val="none"/>
    </w:rPr>
  </w:style>
  <w:style w:type="paragraph" w:customStyle="1" w:styleId="73">
    <w:name w:val="Normal Indent1"/>
    <w:basedOn w:val="74"/>
    <w:qFormat/>
    <w:uiPriority w:val="99"/>
    <w:pPr>
      <w:ind w:firstLine="420" w:firstLineChars="200"/>
    </w:pPr>
    <w:rPr>
      <w:rFonts w:cs="Times New Roman"/>
    </w:rPr>
  </w:style>
  <w:style w:type="paragraph" w:customStyle="1" w:styleId="74">
    <w:name w:val="正文 New"/>
    <w:next w:val="75"/>
    <w:qFormat/>
    <w:uiPriority w:val="0"/>
    <w:pPr>
      <w:widowControl w:val="0"/>
      <w:jc w:val="both"/>
    </w:pPr>
    <w:rPr>
      <w:rFonts w:ascii="Calibri" w:hAnsi="Calibri" w:eastAsia="宋体" w:cs="黑体"/>
      <w:kern w:val="2"/>
      <w:sz w:val="21"/>
      <w:szCs w:val="22"/>
      <w:lang w:val="en-US" w:eastAsia="zh-CN" w:bidi="ar-SA"/>
    </w:rPr>
  </w:style>
  <w:style w:type="paragraph" w:customStyle="1" w:styleId="75">
    <w:name w:val="图表目录1"/>
    <w:basedOn w:val="76"/>
    <w:next w:val="76"/>
    <w:qFormat/>
    <w:uiPriority w:val="0"/>
    <w:pPr>
      <w:ind w:left="200" w:leftChars="200" w:hanging="200" w:hangingChars="200"/>
    </w:pPr>
  </w:style>
  <w:style w:type="paragraph" w:customStyle="1" w:styleId="76">
    <w:name w:val="正文 New New New New New New New New New New New New New New New New New New New New New New New New New New New New New New New New New New New New New New New New New New New New New New New New New New New New New New New New New New New New New New Ne"/>
    <w:next w:val="75"/>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77">
    <w:name w:val="标题 21"/>
    <w:basedOn w:val="17"/>
    <w:next w:val="17"/>
    <w:qFormat/>
    <w:uiPriority w:val="0"/>
    <w:pPr>
      <w:keepNext/>
      <w:keepLines/>
      <w:spacing w:before="260" w:after="260" w:line="415" w:lineRule="auto"/>
      <w:outlineLvl w:val="1"/>
    </w:pPr>
    <w:rPr>
      <w:rFonts w:ascii="Arial" w:hAnsi="Arial" w:eastAsia="黑体"/>
      <w:b/>
      <w:bCs/>
      <w:sz w:val="32"/>
      <w:szCs w:val="32"/>
    </w:rPr>
  </w:style>
  <w:style w:type="paragraph" w:customStyle="1" w:styleId="78">
    <w:name w:val="Revision"/>
    <w:hidden/>
    <w:unhideWhenUsed/>
    <w:qFormat/>
    <w:uiPriority w:val="99"/>
    <w:rPr>
      <w:rFonts w:ascii="仿宋" w:hAnsi="仿宋" w:eastAsia="仿宋" w:cs="仿宋"/>
      <w:kern w:val="2"/>
      <w:sz w:val="28"/>
      <w:szCs w:val="28"/>
      <w:lang w:val="en-US" w:eastAsia="zh-CN" w:bidi="ar-SA"/>
    </w:rPr>
  </w:style>
  <w:style w:type="paragraph" w:customStyle="1" w:styleId="79">
    <w:name w:val="正文_4_0"/>
    <w:next w:val="14"/>
    <w:qFormat/>
    <w:uiPriority w:val="0"/>
    <w:rPr>
      <w:rFonts w:ascii="Times New Roman" w:hAnsi="Times New Roman" w:eastAsia="宋体" w:cs="Times New Roman"/>
      <w:sz w:val="21"/>
      <w:szCs w:val="22"/>
      <w:lang w:val="en-US" w:eastAsia="zh-CN" w:bidi="ar-SA"/>
    </w:rPr>
  </w:style>
  <w:style w:type="paragraph" w:customStyle="1" w:styleId="80">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81">
    <w:name w:val="Normal_0"/>
    <w:autoRedefine/>
    <w:qFormat/>
    <w:uiPriority w:val="0"/>
    <w:pPr>
      <w:widowControl w:val="0"/>
      <w:jc w:val="both"/>
    </w:pPr>
    <w:rPr>
      <w:rFonts w:ascii="Calibri" w:hAnsi="Calibri"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microsoft.com/office/2006/relationships/keyMapCustomizations" Target="customizations.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216</Pages>
  <Words>4137</Words>
  <Characters>4490</Characters>
  <DocSecurity>0</DocSecurity>
  <Lines>442</Lines>
  <Paragraphs>124</Paragraphs>
  <ScaleCrop>false</ScaleCrop>
  <LinksUpToDate>false</LinksUpToDate>
  <CharactersWithSpaces>4537</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2025-10-21T07:35:00Z</cp:lastPrinted>
  <dcterms:created xsi:type="dcterms:W3CDTF">2024-01-03T05:57:00Z</dcterms:created>
  <dcterms:modified xsi:type="dcterms:W3CDTF">2025-11-06T02:11:25Z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E41BFB0284CA45799FC4CE9A40D29DE3_13</vt:lpwstr>
  </property>
  <property fmtid="{D5CDD505-2E9C-101B-9397-08002B2CF9AE}" pid="4" name="KSOTemplateDocerSaveRecord">
    <vt:lpwstr>eyJoZGlkIjoiMDljYzUzMWQ4OWI0YzBkYjYzMDRhZTY5ZjZkYmFmYTgiLCJ1c2VySWQiOiI1MzE2MDYyODcifQ==</vt:lpwstr>
  </property>
</Properties>
</file>