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62BA42B">
      <w:pPr>
        <w:ind w:left="0" w:leftChars="0" w:right="0" w:rightChars="0" w:firstLine="0" w:firstLineChars="0"/>
        <w:jc w:val="center"/>
        <w:rPr>
          <w:rFonts w:hint="eastAsia" w:asciiTheme="majorEastAsia" w:hAnsiTheme="majorEastAsia" w:eastAsiaTheme="majorEastAsia" w:cstheme="majorEastAsia"/>
          <w:b/>
          <w:color w:val="auto"/>
          <w:sz w:val="48"/>
          <w:szCs w:val="48"/>
          <w:highlight w:val="none"/>
          <w:lang w:eastAsia="zh-CN"/>
        </w:rPr>
      </w:pPr>
    </w:p>
    <w:p w14:paraId="31391348">
      <w:pPr>
        <w:ind w:left="0" w:leftChars="0" w:right="0" w:rightChars="0" w:firstLine="0" w:firstLineChars="0"/>
        <w:jc w:val="center"/>
        <w:rPr>
          <w:rFonts w:hint="eastAsia" w:asciiTheme="majorEastAsia" w:hAnsiTheme="majorEastAsia" w:eastAsiaTheme="majorEastAsia" w:cstheme="majorEastAsia"/>
          <w:b/>
          <w:color w:val="auto"/>
          <w:sz w:val="44"/>
          <w:szCs w:val="44"/>
          <w:highlight w:val="none"/>
          <w:lang w:eastAsia="zh-CN"/>
        </w:rPr>
      </w:pPr>
      <w:r>
        <w:rPr>
          <w:rFonts w:hint="eastAsia" w:asciiTheme="majorEastAsia" w:hAnsiTheme="majorEastAsia" w:eastAsiaTheme="majorEastAsia" w:cstheme="majorEastAsia"/>
          <w:b/>
          <w:color w:val="auto"/>
          <w:sz w:val="44"/>
          <w:szCs w:val="44"/>
          <w:highlight w:val="none"/>
          <w:lang w:eastAsia="zh-CN"/>
        </w:rPr>
        <w:t>云南省滇南中心医院（红河哈尼族彝族自治州第一人民医院）流式细胞仪等医疗设备采购项目</w:t>
      </w:r>
    </w:p>
    <w:p w14:paraId="56492B81">
      <w:pPr>
        <w:ind w:left="0" w:leftChars="0" w:right="0" w:rightChars="0" w:firstLine="0" w:firstLineChars="0"/>
        <w:jc w:val="center"/>
        <w:rPr>
          <w:rFonts w:hint="eastAsia" w:asciiTheme="majorEastAsia" w:hAnsiTheme="majorEastAsia" w:eastAsiaTheme="majorEastAsia" w:cstheme="majorEastAsia"/>
          <w:b/>
          <w:color w:val="auto"/>
          <w:sz w:val="48"/>
          <w:szCs w:val="48"/>
          <w:highlight w:val="none"/>
          <w:lang w:eastAsia="zh-CN"/>
        </w:rPr>
      </w:pPr>
      <w:r>
        <w:rPr>
          <w:rFonts w:hint="eastAsia" w:asciiTheme="majorEastAsia" w:hAnsiTheme="majorEastAsia" w:eastAsiaTheme="majorEastAsia" w:cstheme="majorEastAsia"/>
          <w:b/>
          <w:color w:val="auto"/>
          <w:sz w:val="44"/>
          <w:szCs w:val="44"/>
          <w:highlight w:val="none"/>
          <w:lang w:eastAsia="zh-CN"/>
        </w:rPr>
        <w:t>（一标段）</w:t>
      </w:r>
    </w:p>
    <w:p w14:paraId="65AAF7E6">
      <w:pPr>
        <w:jc w:val="center"/>
        <w:rPr>
          <w:rFonts w:hint="eastAsia" w:asciiTheme="majorEastAsia" w:hAnsiTheme="majorEastAsia" w:eastAsiaTheme="majorEastAsia" w:cstheme="majorEastAsia"/>
          <w:b/>
          <w:bCs/>
          <w:color w:val="auto"/>
          <w:sz w:val="72"/>
          <w:szCs w:val="96"/>
          <w:highlight w:val="none"/>
        </w:rPr>
      </w:pPr>
    </w:p>
    <w:p w14:paraId="55204753">
      <w:pPr>
        <w:jc w:val="center"/>
        <w:rPr>
          <w:rFonts w:hint="eastAsia" w:asciiTheme="majorEastAsia" w:hAnsiTheme="majorEastAsia" w:eastAsiaTheme="majorEastAsia" w:cstheme="majorEastAsia"/>
          <w:b/>
          <w:bCs/>
          <w:color w:val="auto"/>
          <w:sz w:val="72"/>
          <w:szCs w:val="96"/>
          <w:highlight w:val="none"/>
        </w:rPr>
      </w:pPr>
    </w:p>
    <w:p w14:paraId="30DD46EC">
      <w:pPr>
        <w:pStyle w:val="14"/>
        <w:rPr>
          <w:rFonts w:hint="eastAsia" w:asciiTheme="majorEastAsia" w:hAnsiTheme="majorEastAsia" w:eastAsiaTheme="majorEastAsia" w:cstheme="majorEastAsia"/>
          <w:color w:val="auto"/>
          <w:highlight w:val="none"/>
        </w:rPr>
      </w:pPr>
    </w:p>
    <w:p w14:paraId="7B642982">
      <w:pPr>
        <w:pStyle w:val="15"/>
        <w:rPr>
          <w:rFonts w:hint="eastAsia"/>
        </w:rPr>
      </w:pPr>
    </w:p>
    <w:p w14:paraId="76B3A9E0">
      <w:pPr>
        <w:pStyle w:val="14"/>
        <w:rPr>
          <w:rFonts w:hint="eastAsia" w:asciiTheme="majorEastAsia" w:hAnsiTheme="majorEastAsia" w:eastAsiaTheme="majorEastAsia" w:cstheme="majorEastAsia"/>
          <w:color w:val="auto"/>
          <w:highlight w:val="none"/>
        </w:rPr>
      </w:pPr>
    </w:p>
    <w:p w14:paraId="152273AC">
      <w:pPr>
        <w:jc w:val="center"/>
        <w:rPr>
          <w:rFonts w:hint="eastAsia" w:asciiTheme="majorEastAsia" w:hAnsiTheme="majorEastAsia" w:eastAsiaTheme="majorEastAsia" w:cstheme="majorEastAsia"/>
          <w:b/>
          <w:bCs/>
          <w:color w:val="auto"/>
          <w:sz w:val="72"/>
          <w:szCs w:val="96"/>
          <w:highlight w:val="none"/>
        </w:rPr>
      </w:pPr>
      <w:r>
        <w:rPr>
          <w:rFonts w:hint="eastAsia" w:asciiTheme="majorEastAsia" w:hAnsiTheme="majorEastAsia" w:eastAsiaTheme="majorEastAsia" w:cstheme="majorEastAsia"/>
          <w:b/>
          <w:bCs/>
          <w:color w:val="auto"/>
          <w:sz w:val="72"/>
          <w:szCs w:val="96"/>
          <w:highlight w:val="none"/>
          <w:lang w:val="en-US" w:eastAsia="zh-CN"/>
        </w:rPr>
        <w:t xml:space="preserve">招  标  </w:t>
      </w:r>
      <w:r>
        <w:rPr>
          <w:rFonts w:hint="eastAsia" w:asciiTheme="majorEastAsia" w:hAnsiTheme="majorEastAsia" w:eastAsiaTheme="majorEastAsia" w:cstheme="majorEastAsia"/>
          <w:b/>
          <w:bCs/>
          <w:color w:val="auto"/>
          <w:sz w:val="72"/>
          <w:szCs w:val="96"/>
          <w:highlight w:val="none"/>
        </w:rPr>
        <w:t>文</w:t>
      </w:r>
      <w:r>
        <w:rPr>
          <w:rFonts w:hint="eastAsia" w:asciiTheme="majorEastAsia" w:hAnsiTheme="majorEastAsia" w:eastAsiaTheme="majorEastAsia" w:cstheme="majorEastAsia"/>
          <w:b/>
          <w:bCs/>
          <w:color w:val="auto"/>
          <w:sz w:val="72"/>
          <w:szCs w:val="96"/>
          <w:highlight w:val="none"/>
          <w:lang w:val="en-US" w:eastAsia="zh-CN"/>
        </w:rPr>
        <w:t xml:space="preserve">  </w:t>
      </w:r>
      <w:r>
        <w:rPr>
          <w:rFonts w:hint="eastAsia" w:asciiTheme="majorEastAsia" w:hAnsiTheme="majorEastAsia" w:eastAsiaTheme="majorEastAsia" w:cstheme="majorEastAsia"/>
          <w:b/>
          <w:bCs/>
          <w:color w:val="auto"/>
          <w:sz w:val="72"/>
          <w:szCs w:val="96"/>
          <w:highlight w:val="none"/>
        </w:rPr>
        <w:t>件</w:t>
      </w:r>
    </w:p>
    <w:p w14:paraId="15A0CB34">
      <w:pPr>
        <w:jc w:val="center"/>
        <w:rPr>
          <w:rFonts w:hint="eastAsia" w:asciiTheme="majorEastAsia" w:hAnsiTheme="majorEastAsia" w:eastAsiaTheme="majorEastAsia" w:cstheme="majorEastAsia"/>
          <w:b/>
          <w:color w:val="auto"/>
          <w:sz w:val="24"/>
          <w:szCs w:val="24"/>
          <w:highlight w:val="none"/>
        </w:rPr>
      </w:pPr>
    </w:p>
    <w:p w14:paraId="11975757">
      <w:pPr>
        <w:jc w:val="center"/>
        <w:rPr>
          <w:rFonts w:hint="eastAsia" w:asciiTheme="majorEastAsia" w:hAnsiTheme="majorEastAsia" w:eastAsiaTheme="majorEastAsia" w:cstheme="majorEastAsia"/>
          <w:b/>
          <w:color w:val="auto"/>
          <w:sz w:val="24"/>
          <w:szCs w:val="24"/>
          <w:highlight w:val="none"/>
          <w:lang w:eastAsia="zh-CN"/>
        </w:rPr>
      </w:pPr>
      <w:r>
        <w:rPr>
          <w:rFonts w:hint="eastAsia" w:asciiTheme="majorEastAsia" w:hAnsiTheme="majorEastAsia" w:eastAsiaTheme="majorEastAsia" w:cstheme="majorEastAsia"/>
          <w:b/>
          <w:color w:val="auto"/>
          <w:sz w:val="24"/>
          <w:szCs w:val="24"/>
          <w:highlight w:val="none"/>
        </w:rPr>
        <w:t>项目编号：</w:t>
      </w:r>
      <w:r>
        <w:rPr>
          <w:rFonts w:hint="eastAsia" w:asciiTheme="majorEastAsia" w:hAnsiTheme="majorEastAsia" w:eastAsiaTheme="majorEastAsia" w:cstheme="majorEastAsia"/>
          <w:b/>
          <w:color w:val="auto"/>
          <w:sz w:val="24"/>
          <w:szCs w:val="24"/>
          <w:highlight w:val="none"/>
          <w:lang w:eastAsia="zh-CN"/>
        </w:rPr>
        <w:t>HHJR-2026-93</w:t>
      </w:r>
    </w:p>
    <w:p w14:paraId="3A023AD7">
      <w:pPr>
        <w:rPr>
          <w:rFonts w:hint="eastAsia" w:asciiTheme="majorEastAsia" w:hAnsiTheme="majorEastAsia" w:eastAsiaTheme="majorEastAsia" w:cstheme="majorEastAsia"/>
          <w:b/>
          <w:color w:val="auto"/>
          <w:sz w:val="36"/>
          <w:szCs w:val="32"/>
          <w:highlight w:val="none"/>
        </w:rPr>
      </w:pPr>
    </w:p>
    <w:p w14:paraId="74EF9C1A">
      <w:pPr>
        <w:rPr>
          <w:rFonts w:hint="eastAsia" w:asciiTheme="majorEastAsia" w:hAnsiTheme="majorEastAsia" w:eastAsiaTheme="majorEastAsia" w:cstheme="majorEastAsia"/>
          <w:b/>
          <w:color w:val="auto"/>
          <w:sz w:val="36"/>
          <w:szCs w:val="32"/>
          <w:highlight w:val="none"/>
        </w:rPr>
      </w:pPr>
    </w:p>
    <w:p w14:paraId="66B28B9C">
      <w:pPr>
        <w:pStyle w:val="15"/>
        <w:ind w:left="0" w:leftChars="0" w:firstLine="0" w:firstLineChars="0"/>
        <w:rPr>
          <w:rFonts w:hint="eastAsia" w:asciiTheme="majorEastAsia" w:hAnsiTheme="majorEastAsia" w:eastAsiaTheme="majorEastAsia" w:cstheme="majorEastAsia"/>
          <w:b/>
          <w:color w:val="auto"/>
          <w:sz w:val="36"/>
          <w:szCs w:val="32"/>
          <w:highlight w:val="none"/>
        </w:rPr>
      </w:pPr>
    </w:p>
    <w:p w14:paraId="6CFD1CCB">
      <w:pPr>
        <w:pStyle w:val="14"/>
        <w:rPr>
          <w:rFonts w:hint="eastAsia" w:asciiTheme="majorEastAsia" w:hAnsiTheme="majorEastAsia" w:eastAsiaTheme="majorEastAsia" w:cstheme="majorEastAsia"/>
          <w:b/>
          <w:color w:val="auto"/>
          <w:sz w:val="36"/>
          <w:szCs w:val="32"/>
          <w:highlight w:val="none"/>
        </w:rPr>
      </w:pPr>
    </w:p>
    <w:p w14:paraId="044FD11C">
      <w:pPr>
        <w:rPr>
          <w:rFonts w:hint="eastAsia" w:asciiTheme="majorEastAsia" w:hAnsiTheme="majorEastAsia" w:eastAsiaTheme="majorEastAsia" w:cstheme="majorEastAsia"/>
          <w:b/>
          <w:color w:val="auto"/>
          <w:sz w:val="36"/>
          <w:szCs w:val="32"/>
          <w:highlight w:val="none"/>
        </w:rPr>
      </w:pPr>
    </w:p>
    <w:p w14:paraId="71F0F2D4">
      <w:pPr>
        <w:spacing w:line="360" w:lineRule="auto"/>
        <w:jc w:val="both"/>
        <w:rPr>
          <w:rFonts w:hint="eastAsia" w:asciiTheme="majorEastAsia" w:hAnsiTheme="majorEastAsia" w:eastAsiaTheme="majorEastAsia" w:cstheme="majorEastAsia"/>
          <w:b/>
          <w:bCs/>
          <w:color w:val="auto"/>
          <w:spacing w:val="-20"/>
          <w:sz w:val="28"/>
          <w:szCs w:val="28"/>
          <w:highlight w:val="none"/>
          <w:u w:val="single"/>
        </w:rPr>
      </w:pPr>
      <w:r>
        <w:rPr>
          <w:rFonts w:hint="eastAsia" w:asciiTheme="majorEastAsia" w:hAnsiTheme="majorEastAsia" w:eastAsiaTheme="majorEastAsia" w:cstheme="majorEastAsia"/>
          <w:b/>
          <w:bCs/>
          <w:color w:val="auto"/>
          <w:sz w:val="28"/>
          <w:szCs w:val="28"/>
          <w:highlight w:val="none"/>
        </w:rPr>
        <w:t>采购人：</w:t>
      </w:r>
      <w:r>
        <w:rPr>
          <w:rFonts w:hint="eastAsia" w:asciiTheme="majorEastAsia" w:hAnsiTheme="majorEastAsia" w:eastAsiaTheme="majorEastAsia" w:cstheme="majorEastAsia"/>
          <w:b/>
          <w:bCs/>
          <w:color w:val="auto"/>
          <w:sz w:val="28"/>
          <w:szCs w:val="28"/>
          <w:highlight w:val="none"/>
          <w:u w:val="single"/>
          <w:lang w:eastAsia="zh-CN"/>
        </w:rPr>
        <w:t>云南省滇南中心医院（红河哈尼族彝族自治州第一人民医院）（盖</w:t>
      </w:r>
      <w:r>
        <w:rPr>
          <w:rFonts w:hint="eastAsia" w:asciiTheme="majorEastAsia" w:hAnsiTheme="majorEastAsia" w:eastAsiaTheme="majorEastAsia" w:cstheme="majorEastAsia"/>
          <w:b/>
          <w:bCs/>
          <w:color w:val="auto"/>
          <w:spacing w:val="-20"/>
          <w:sz w:val="28"/>
          <w:szCs w:val="28"/>
          <w:highlight w:val="none"/>
          <w:u w:val="single"/>
        </w:rPr>
        <w:t>章）</w:t>
      </w:r>
    </w:p>
    <w:p w14:paraId="330D3D1F">
      <w:pPr>
        <w:pStyle w:val="14"/>
        <w:rPr>
          <w:rFonts w:hint="eastAsia" w:asciiTheme="majorEastAsia" w:hAnsiTheme="majorEastAsia" w:eastAsiaTheme="majorEastAsia" w:cstheme="majorEastAsia"/>
          <w:color w:val="auto"/>
          <w:highlight w:val="none"/>
          <w:lang w:val="en-US" w:eastAsia="zh-CN"/>
        </w:rPr>
      </w:pPr>
    </w:p>
    <w:p w14:paraId="5D39345D">
      <w:pPr>
        <w:spacing w:line="480" w:lineRule="auto"/>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采购代理机构：</w:t>
      </w:r>
      <w:r>
        <w:rPr>
          <w:rFonts w:hint="eastAsia" w:asciiTheme="majorEastAsia" w:hAnsiTheme="majorEastAsia" w:eastAsiaTheme="majorEastAsia" w:cstheme="majorEastAsia"/>
          <w:b/>
          <w:bCs/>
          <w:color w:val="auto"/>
          <w:sz w:val="28"/>
          <w:szCs w:val="28"/>
          <w:highlight w:val="none"/>
          <w:u w:val="single"/>
          <w:lang w:eastAsia="zh-CN"/>
        </w:rPr>
        <w:t>红河嘉锐工程项目管理有限公司</w:t>
      </w:r>
      <w:r>
        <w:rPr>
          <w:rFonts w:hint="eastAsia" w:asciiTheme="majorEastAsia" w:hAnsiTheme="majorEastAsia" w:eastAsiaTheme="majorEastAsia" w:cstheme="majorEastAsia"/>
          <w:b/>
          <w:bCs/>
          <w:color w:val="auto"/>
          <w:sz w:val="28"/>
          <w:szCs w:val="28"/>
          <w:highlight w:val="none"/>
          <w:u w:val="single"/>
        </w:rPr>
        <w:t>（盖章）</w:t>
      </w:r>
    </w:p>
    <w:p w14:paraId="1BC1B084">
      <w:pPr>
        <w:pStyle w:val="14"/>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b/>
          <w:bCs/>
          <w:color w:val="auto"/>
          <w:sz w:val="28"/>
          <w:szCs w:val="28"/>
          <w:highlight w:val="none"/>
        </w:rPr>
        <w:tab/>
      </w:r>
      <w:r>
        <w:rPr>
          <w:rFonts w:hint="eastAsia" w:asciiTheme="majorEastAsia" w:hAnsiTheme="majorEastAsia" w:eastAsiaTheme="majorEastAsia" w:cstheme="majorEastAsia"/>
          <w:b/>
          <w:bCs/>
          <w:color w:val="auto"/>
          <w:sz w:val="28"/>
          <w:szCs w:val="28"/>
          <w:highlight w:val="none"/>
        </w:rPr>
        <w:tab/>
      </w:r>
    </w:p>
    <w:p w14:paraId="56490CD0">
      <w:pPr>
        <w:tabs>
          <w:tab w:val="left" w:pos="1215"/>
          <w:tab w:val="center" w:pos="5093"/>
        </w:tabs>
        <w:spacing w:line="360" w:lineRule="auto"/>
        <w:jc w:val="center"/>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日    期：</w:t>
      </w:r>
      <w:r>
        <w:rPr>
          <w:rFonts w:hint="eastAsia" w:asciiTheme="majorEastAsia" w:hAnsiTheme="majorEastAsia" w:eastAsiaTheme="majorEastAsia" w:cstheme="majorEastAsia"/>
          <w:b/>
          <w:bCs/>
          <w:color w:val="auto"/>
          <w:sz w:val="28"/>
          <w:szCs w:val="28"/>
          <w:highlight w:val="none"/>
          <w:u w:val="single"/>
        </w:rPr>
        <w:t>202</w:t>
      </w:r>
      <w:r>
        <w:rPr>
          <w:rFonts w:hint="eastAsia" w:asciiTheme="majorEastAsia" w:hAnsiTheme="majorEastAsia" w:eastAsiaTheme="majorEastAsia" w:cstheme="majorEastAsia"/>
          <w:b/>
          <w:bCs/>
          <w:color w:val="auto"/>
          <w:sz w:val="28"/>
          <w:szCs w:val="28"/>
          <w:highlight w:val="none"/>
          <w:u w:val="single"/>
          <w:lang w:val="en-US" w:eastAsia="zh-CN"/>
        </w:rPr>
        <w:t>6</w:t>
      </w:r>
      <w:r>
        <w:rPr>
          <w:rFonts w:hint="eastAsia" w:asciiTheme="majorEastAsia" w:hAnsiTheme="majorEastAsia" w:eastAsiaTheme="majorEastAsia" w:cstheme="majorEastAsia"/>
          <w:b/>
          <w:bCs/>
          <w:color w:val="auto"/>
          <w:sz w:val="28"/>
          <w:szCs w:val="28"/>
          <w:highlight w:val="none"/>
        </w:rPr>
        <w:t>年</w:t>
      </w:r>
      <w:r>
        <w:rPr>
          <w:rFonts w:hint="eastAsia" w:asciiTheme="majorEastAsia" w:hAnsiTheme="majorEastAsia" w:eastAsiaTheme="majorEastAsia" w:cstheme="majorEastAsia"/>
          <w:b/>
          <w:bCs/>
          <w:color w:val="auto"/>
          <w:sz w:val="28"/>
          <w:szCs w:val="28"/>
          <w:highlight w:val="none"/>
          <w:u w:val="single"/>
          <w:lang w:val="en-US" w:eastAsia="zh-CN"/>
        </w:rPr>
        <w:t>08</w:t>
      </w:r>
      <w:r>
        <w:rPr>
          <w:rFonts w:hint="eastAsia" w:asciiTheme="majorEastAsia" w:hAnsiTheme="majorEastAsia" w:eastAsiaTheme="majorEastAsia" w:cstheme="majorEastAsia"/>
          <w:b/>
          <w:bCs/>
          <w:color w:val="auto"/>
          <w:sz w:val="28"/>
          <w:szCs w:val="28"/>
          <w:highlight w:val="none"/>
        </w:rPr>
        <w:t>月</w:t>
      </w:r>
    </w:p>
    <w:p w14:paraId="708FC0FD">
      <w:pPr>
        <w:spacing w:line="360" w:lineRule="auto"/>
        <w:jc w:val="center"/>
        <w:rPr>
          <w:rFonts w:hint="eastAsia" w:asciiTheme="majorEastAsia" w:hAnsiTheme="majorEastAsia" w:eastAsiaTheme="majorEastAsia" w:cstheme="majorEastAsia"/>
          <w:color w:val="auto"/>
          <w:highlight w:val="none"/>
          <w:lang w:eastAsia="zh-CN"/>
        </w:rPr>
      </w:pPr>
    </w:p>
    <w:p w14:paraId="5F7648D7">
      <w:pPr>
        <w:spacing w:line="360" w:lineRule="auto"/>
        <w:jc w:val="center"/>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6"/>
          <w:szCs w:val="36"/>
          <w:highlight w:val="none"/>
        </w:rPr>
        <w:t>目 录</w:t>
      </w:r>
    </w:p>
    <w:p w14:paraId="3B0EACCB">
      <w:pPr>
        <w:pStyle w:val="23"/>
        <w:tabs>
          <w:tab w:val="right" w:leader="dot" w:pos="9740"/>
          <w:tab w:val="clear" w:pos="9628"/>
        </w:tabs>
        <w:rPr>
          <w:rFonts w:hint="eastAsia" w:ascii="宋体" w:hAnsi="宋体" w:eastAsia="宋体" w:cs="宋体"/>
          <w:b w:val="0"/>
          <w:bCs/>
          <w:sz w:val="28"/>
          <w:szCs w:val="28"/>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TOC \o "1-1" \h \u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sz w:val="28"/>
          <w:szCs w:val="28"/>
          <w:highlight w:val="none"/>
        </w:rPr>
        <w:instrText xml:space="preserve"> HYPERLINK \l _Toc14533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第一章 招标公告</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_Toc14533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1</w:t>
      </w:r>
      <w:r>
        <w:rPr>
          <w:rFonts w:hint="eastAsia" w:ascii="宋体" w:hAnsi="宋体" w:eastAsia="宋体" w:cs="宋体"/>
          <w:b w:val="0"/>
          <w:bCs/>
          <w:sz w:val="28"/>
          <w:szCs w:val="28"/>
        </w:rPr>
        <w:fldChar w:fldCharType="end"/>
      </w:r>
      <w:r>
        <w:rPr>
          <w:rFonts w:hint="eastAsia" w:ascii="宋体" w:hAnsi="宋体" w:eastAsia="宋体" w:cs="宋体"/>
          <w:b w:val="0"/>
          <w:bCs/>
          <w:color w:val="auto"/>
          <w:sz w:val="28"/>
          <w:szCs w:val="28"/>
          <w:highlight w:val="none"/>
        </w:rPr>
        <w:fldChar w:fldCharType="end"/>
      </w:r>
    </w:p>
    <w:p w14:paraId="2EDE9549">
      <w:pPr>
        <w:pStyle w:val="23"/>
        <w:tabs>
          <w:tab w:val="right" w:leader="dot" w:pos="9740"/>
          <w:tab w:val="clear" w:pos="9628"/>
        </w:tabs>
        <w:rPr>
          <w:rFonts w:hint="eastAsia" w:ascii="宋体" w:hAnsi="宋体" w:eastAsia="宋体" w:cs="宋体"/>
          <w:b w:val="0"/>
          <w:bCs/>
          <w:sz w:val="28"/>
          <w:szCs w:val="28"/>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sz w:val="28"/>
          <w:szCs w:val="28"/>
          <w:highlight w:val="none"/>
        </w:rPr>
        <w:instrText xml:space="preserve"> HYPERLINK \l _Toc15694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第二章 投标人须知</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_Toc15694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6</w:t>
      </w:r>
      <w:r>
        <w:rPr>
          <w:rFonts w:hint="eastAsia" w:ascii="宋体" w:hAnsi="宋体" w:eastAsia="宋体" w:cs="宋体"/>
          <w:b w:val="0"/>
          <w:bCs/>
          <w:sz w:val="28"/>
          <w:szCs w:val="28"/>
        </w:rPr>
        <w:fldChar w:fldCharType="end"/>
      </w:r>
      <w:r>
        <w:rPr>
          <w:rFonts w:hint="eastAsia" w:ascii="宋体" w:hAnsi="宋体" w:eastAsia="宋体" w:cs="宋体"/>
          <w:b w:val="0"/>
          <w:bCs/>
          <w:color w:val="auto"/>
          <w:sz w:val="28"/>
          <w:szCs w:val="28"/>
          <w:highlight w:val="none"/>
        </w:rPr>
        <w:fldChar w:fldCharType="end"/>
      </w:r>
    </w:p>
    <w:p w14:paraId="22C78668">
      <w:pPr>
        <w:pStyle w:val="23"/>
        <w:tabs>
          <w:tab w:val="right" w:leader="dot" w:pos="9740"/>
          <w:tab w:val="clear" w:pos="9628"/>
        </w:tabs>
        <w:rPr>
          <w:rFonts w:hint="eastAsia" w:ascii="宋体" w:hAnsi="宋体" w:eastAsia="宋体" w:cs="宋体"/>
          <w:b w:val="0"/>
          <w:bCs/>
          <w:sz w:val="28"/>
          <w:szCs w:val="28"/>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sz w:val="28"/>
          <w:szCs w:val="28"/>
          <w:highlight w:val="none"/>
        </w:rPr>
        <w:instrText xml:space="preserve"> HYPERLINK \l _Toc2838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第三章 合同书样式及主要条款</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_Toc2838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22</w:t>
      </w:r>
      <w:r>
        <w:rPr>
          <w:rFonts w:hint="eastAsia" w:ascii="宋体" w:hAnsi="宋体" w:eastAsia="宋体" w:cs="宋体"/>
          <w:b w:val="0"/>
          <w:bCs/>
          <w:sz w:val="28"/>
          <w:szCs w:val="28"/>
        </w:rPr>
        <w:fldChar w:fldCharType="end"/>
      </w:r>
      <w:r>
        <w:rPr>
          <w:rFonts w:hint="eastAsia" w:ascii="宋体" w:hAnsi="宋体" w:eastAsia="宋体" w:cs="宋体"/>
          <w:b w:val="0"/>
          <w:bCs/>
          <w:color w:val="auto"/>
          <w:sz w:val="28"/>
          <w:szCs w:val="28"/>
          <w:highlight w:val="none"/>
        </w:rPr>
        <w:fldChar w:fldCharType="end"/>
      </w:r>
    </w:p>
    <w:p w14:paraId="4EEE619B">
      <w:pPr>
        <w:pStyle w:val="23"/>
        <w:tabs>
          <w:tab w:val="right" w:leader="dot" w:pos="9740"/>
          <w:tab w:val="clear" w:pos="9628"/>
        </w:tabs>
        <w:rPr>
          <w:rFonts w:hint="eastAsia" w:ascii="宋体" w:hAnsi="宋体" w:eastAsia="宋体" w:cs="宋体"/>
          <w:b w:val="0"/>
          <w:bCs/>
          <w:sz w:val="28"/>
          <w:szCs w:val="28"/>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sz w:val="28"/>
          <w:szCs w:val="28"/>
          <w:highlight w:val="none"/>
        </w:rPr>
        <w:instrText xml:space="preserve"> HYPERLINK \l _Toc20102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第四章 投标文件格式</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_Toc20102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32</w:t>
      </w:r>
      <w:r>
        <w:rPr>
          <w:rFonts w:hint="eastAsia" w:ascii="宋体" w:hAnsi="宋体" w:eastAsia="宋体" w:cs="宋体"/>
          <w:b w:val="0"/>
          <w:bCs/>
          <w:sz w:val="28"/>
          <w:szCs w:val="28"/>
        </w:rPr>
        <w:fldChar w:fldCharType="end"/>
      </w:r>
      <w:r>
        <w:rPr>
          <w:rFonts w:hint="eastAsia" w:ascii="宋体" w:hAnsi="宋体" w:eastAsia="宋体" w:cs="宋体"/>
          <w:b w:val="0"/>
          <w:bCs/>
          <w:color w:val="auto"/>
          <w:sz w:val="28"/>
          <w:szCs w:val="28"/>
          <w:highlight w:val="none"/>
        </w:rPr>
        <w:fldChar w:fldCharType="end"/>
      </w:r>
    </w:p>
    <w:p w14:paraId="0BD7763A">
      <w:pPr>
        <w:pStyle w:val="23"/>
        <w:tabs>
          <w:tab w:val="right" w:leader="dot" w:pos="9740"/>
          <w:tab w:val="clear" w:pos="9628"/>
        </w:tabs>
        <w:rPr>
          <w:rFonts w:hint="eastAsia" w:ascii="宋体" w:hAnsi="宋体" w:eastAsia="宋体" w:cs="宋体"/>
          <w:b w:val="0"/>
          <w:bCs/>
          <w:sz w:val="28"/>
          <w:szCs w:val="28"/>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sz w:val="28"/>
          <w:szCs w:val="28"/>
          <w:highlight w:val="none"/>
        </w:rPr>
        <w:instrText xml:space="preserve"> HYPERLINK \l _Toc272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rPr>
        <w:t xml:space="preserve">第五章 </w:t>
      </w:r>
      <w:r>
        <w:rPr>
          <w:rFonts w:hint="eastAsia" w:ascii="宋体" w:hAnsi="宋体" w:eastAsia="宋体" w:cs="宋体"/>
          <w:b w:val="0"/>
          <w:bCs/>
          <w:sz w:val="28"/>
          <w:szCs w:val="28"/>
          <w:highlight w:val="none"/>
        </w:rPr>
        <w:t>采购需求及技术要求</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_Toc272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52</w:t>
      </w:r>
      <w:r>
        <w:rPr>
          <w:rFonts w:hint="eastAsia" w:ascii="宋体" w:hAnsi="宋体" w:eastAsia="宋体" w:cs="宋体"/>
          <w:b w:val="0"/>
          <w:bCs/>
          <w:sz w:val="28"/>
          <w:szCs w:val="28"/>
        </w:rPr>
        <w:fldChar w:fldCharType="end"/>
      </w:r>
      <w:r>
        <w:rPr>
          <w:rFonts w:hint="eastAsia" w:ascii="宋体" w:hAnsi="宋体" w:eastAsia="宋体" w:cs="宋体"/>
          <w:b w:val="0"/>
          <w:bCs/>
          <w:color w:val="auto"/>
          <w:sz w:val="28"/>
          <w:szCs w:val="28"/>
          <w:highlight w:val="none"/>
        </w:rPr>
        <w:fldChar w:fldCharType="end"/>
      </w:r>
    </w:p>
    <w:p w14:paraId="0FD0D5C6">
      <w:pPr>
        <w:pStyle w:val="23"/>
        <w:tabs>
          <w:tab w:val="right" w:leader="dot" w:pos="9740"/>
          <w:tab w:val="clear" w:pos="9628"/>
        </w:tabs>
        <w:rPr>
          <w:rFonts w:hint="eastAsia" w:ascii="宋体" w:hAnsi="宋体" w:eastAsia="宋体" w:cs="宋体"/>
          <w:b w:val="0"/>
          <w:bCs/>
          <w:sz w:val="28"/>
          <w:szCs w:val="28"/>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sz w:val="28"/>
          <w:szCs w:val="28"/>
          <w:highlight w:val="none"/>
        </w:rPr>
        <w:instrText xml:space="preserve"> HYPERLINK \l _Toc10578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第六章 资格审查</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_Toc10578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60</w:t>
      </w:r>
      <w:r>
        <w:rPr>
          <w:rFonts w:hint="eastAsia" w:ascii="宋体" w:hAnsi="宋体" w:eastAsia="宋体" w:cs="宋体"/>
          <w:b w:val="0"/>
          <w:bCs/>
          <w:sz w:val="28"/>
          <w:szCs w:val="28"/>
        </w:rPr>
        <w:fldChar w:fldCharType="end"/>
      </w:r>
      <w:r>
        <w:rPr>
          <w:rFonts w:hint="eastAsia" w:ascii="宋体" w:hAnsi="宋体" w:eastAsia="宋体" w:cs="宋体"/>
          <w:b w:val="0"/>
          <w:bCs/>
          <w:color w:val="auto"/>
          <w:sz w:val="28"/>
          <w:szCs w:val="28"/>
          <w:highlight w:val="none"/>
        </w:rPr>
        <w:fldChar w:fldCharType="end"/>
      </w:r>
    </w:p>
    <w:p w14:paraId="0F1D15E9">
      <w:pPr>
        <w:pStyle w:val="23"/>
        <w:tabs>
          <w:tab w:val="right" w:leader="dot" w:pos="9740"/>
          <w:tab w:val="clear" w:pos="9628"/>
        </w:tabs>
        <w:rPr>
          <w:rFonts w:hint="eastAsia" w:ascii="宋体" w:hAnsi="宋体" w:eastAsia="宋体" w:cs="宋体"/>
          <w:b w:val="0"/>
          <w:bCs/>
          <w:sz w:val="28"/>
          <w:szCs w:val="28"/>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sz w:val="28"/>
          <w:szCs w:val="28"/>
          <w:highlight w:val="none"/>
        </w:rPr>
        <w:instrText xml:space="preserve"> HYPERLINK \l _Toc3485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kern w:val="44"/>
          <w:sz w:val="28"/>
          <w:szCs w:val="28"/>
          <w:highlight w:val="none"/>
          <w:lang w:val="en-US" w:eastAsia="zh-CN" w:bidi="ar-SA"/>
        </w:rPr>
        <w:t>第七章 评标方法（综合评分法）</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_Toc3485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62</w:t>
      </w:r>
      <w:r>
        <w:rPr>
          <w:rFonts w:hint="eastAsia" w:ascii="宋体" w:hAnsi="宋体" w:eastAsia="宋体" w:cs="宋体"/>
          <w:b w:val="0"/>
          <w:bCs/>
          <w:sz w:val="28"/>
          <w:szCs w:val="28"/>
        </w:rPr>
        <w:fldChar w:fldCharType="end"/>
      </w:r>
      <w:r>
        <w:rPr>
          <w:rFonts w:hint="eastAsia" w:ascii="宋体" w:hAnsi="宋体" w:eastAsia="宋体" w:cs="宋体"/>
          <w:b w:val="0"/>
          <w:bCs/>
          <w:color w:val="auto"/>
          <w:sz w:val="28"/>
          <w:szCs w:val="28"/>
          <w:highlight w:val="none"/>
        </w:rPr>
        <w:fldChar w:fldCharType="end"/>
      </w:r>
    </w:p>
    <w:p w14:paraId="6C431228">
      <w:pPr>
        <w:pStyle w:val="24"/>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ajorEastAsia" w:hAnsiTheme="majorEastAsia" w:eastAsiaTheme="majorEastAsia" w:cstheme="majorEastAsia"/>
          <w:color w:val="auto"/>
          <w:szCs w:val="22"/>
          <w:highlight w:val="none"/>
        </w:rPr>
      </w:pPr>
      <w:r>
        <w:rPr>
          <w:rFonts w:hint="eastAsia" w:ascii="宋体" w:hAnsi="宋体" w:eastAsia="宋体" w:cs="宋体"/>
          <w:b w:val="0"/>
          <w:bCs/>
          <w:color w:val="auto"/>
          <w:sz w:val="28"/>
          <w:szCs w:val="28"/>
          <w:highlight w:val="none"/>
        </w:rPr>
        <w:fldChar w:fldCharType="end"/>
      </w:r>
    </w:p>
    <w:p w14:paraId="77BF56C9">
      <w:pPr>
        <w:rPr>
          <w:rFonts w:hint="eastAsia" w:asciiTheme="majorEastAsia" w:hAnsiTheme="majorEastAsia" w:eastAsiaTheme="majorEastAsia" w:cstheme="majorEastAsia"/>
          <w:color w:val="auto"/>
          <w:highlight w:val="none"/>
        </w:rPr>
      </w:pPr>
    </w:p>
    <w:p w14:paraId="1B58C85D">
      <w:pPr>
        <w:rPr>
          <w:rFonts w:hint="eastAsia" w:asciiTheme="majorEastAsia" w:hAnsiTheme="majorEastAsia" w:eastAsiaTheme="majorEastAsia" w:cstheme="majorEastAsia"/>
          <w:color w:val="auto"/>
          <w:highlight w:val="none"/>
        </w:rPr>
      </w:pPr>
    </w:p>
    <w:p w14:paraId="7CCB9A5C">
      <w:pPr>
        <w:rPr>
          <w:rFonts w:hint="eastAsia" w:asciiTheme="majorEastAsia" w:hAnsiTheme="majorEastAsia" w:eastAsiaTheme="majorEastAsia" w:cstheme="majorEastAsia"/>
          <w:color w:val="auto"/>
          <w:highlight w:val="none"/>
        </w:rPr>
      </w:pPr>
    </w:p>
    <w:p w14:paraId="2702B0BC">
      <w:pPr>
        <w:tabs>
          <w:tab w:val="left" w:pos="5462"/>
        </w:tabs>
        <w:jc w:val="left"/>
        <w:rPr>
          <w:rFonts w:hint="eastAsia" w:asciiTheme="majorEastAsia" w:hAnsiTheme="majorEastAsia" w:eastAsiaTheme="majorEastAsia" w:cstheme="majorEastAsia"/>
          <w:color w:val="auto"/>
          <w:highlight w:val="none"/>
        </w:rPr>
        <w:sectPr>
          <w:headerReference r:id="rId4" w:type="first"/>
          <w:footerReference r:id="rId6" w:type="first"/>
          <w:headerReference r:id="rId3" w:type="default"/>
          <w:footerReference r:id="rId5" w:type="default"/>
          <w:pgSz w:w="11906" w:h="16838"/>
          <w:pgMar w:top="1440" w:right="1083" w:bottom="1440" w:left="1083" w:header="1020" w:footer="1134" w:gutter="0"/>
          <w:pgNumType w:start="1"/>
          <w:cols w:space="720" w:num="1"/>
          <w:titlePg/>
          <w:docGrid w:type="lines" w:linePitch="331" w:charSpace="0"/>
        </w:sectPr>
      </w:pPr>
      <w:r>
        <w:rPr>
          <w:rFonts w:hint="eastAsia" w:asciiTheme="majorEastAsia" w:hAnsiTheme="majorEastAsia" w:eastAsiaTheme="majorEastAsia" w:cstheme="majorEastAsia"/>
          <w:color w:val="auto"/>
          <w:highlight w:val="none"/>
        </w:rPr>
        <w:tab/>
      </w:r>
    </w:p>
    <w:p w14:paraId="217B3F00">
      <w:pPr>
        <w:pStyle w:val="2"/>
        <w:pageBreakBefore w:val="0"/>
        <w:numPr>
          <w:ilvl w:val="0"/>
          <w:numId w:val="0"/>
        </w:numPr>
        <w:kinsoku/>
        <w:overflowPunct/>
        <w:topLinePunct w:val="0"/>
        <w:autoSpaceDE/>
        <w:autoSpaceDN/>
        <w:bidi w:val="0"/>
        <w:spacing w:line="360" w:lineRule="auto"/>
        <w:jc w:val="center"/>
        <w:rPr>
          <w:rFonts w:hint="eastAsia" w:asciiTheme="majorEastAsia" w:hAnsiTheme="majorEastAsia" w:eastAsiaTheme="majorEastAsia" w:cstheme="majorEastAsia"/>
          <w:bCs/>
          <w:color w:val="auto"/>
          <w:sz w:val="36"/>
          <w:highlight w:val="none"/>
        </w:rPr>
      </w:pPr>
      <w:bookmarkStart w:id="0" w:name="_Toc6648"/>
      <w:bookmarkStart w:id="1" w:name="_Toc18683"/>
      <w:bookmarkStart w:id="2" w:name="_Toc19200"/>
      <w:bookmarkStart w:id="3" w:name="_Toc14533"/>
      <w:r>
        <w:rPr>
          <w:rFonts w:hint="eastAsia" w:asciiTheme="majorEastAsia" w:hAnsiTheme="majorEastAsia" w:eastAsiaTheme="majorEastAsia" w:cstheme="majorEastAsia"/>
          <w:bCs/>
          <w:color w:val="auto"/>
          <w:sz w:val="36"/>
          <w:highlight w:val="none"/>
        </w:rPr>
        <w:t>第一章 招标公告</w:t>
      </w:r>
      <w:bookmarkEnd w:id="0"/>
      <w:bookmarkEnd w:id="1"/>
      <w:bookmarkEnd w:id="2"/>
      <w:bookmarkEnd w:id="3"/>
    </w:p>
    <w:p w14:paraId="14C66BF7">
      <w:pPr>
        <w:keepNext/>
        <w:keepLines/>
        <w:pageBreakBefore w:val="0"/>
        <w:widowControl w:val="0"/>
        <w:tabs>
          <w:tab w:val="left" w:pos="360"/>
        </w:tabs>
        <w:kinsoku/>
        <w:overflowPunct/>
        <w:topLinePunct w:val="0"/>
        <w:autoSpaceDE/>
        <w:autoSpaceDN/>
        <w:bidi w:val="0"/>
        <w:adjustRightInd w:val="0"/>
        <w:snapToGrid/>
        <w:spacing w:line="336" w:lineRule="auto"/>
        <w:jc w:val="center"/>
        <w:textAlignment w:val="baseline"/>
        <w:rPr>
          <w:rFonts w:hint="eastAsia" w:asciiTheme="majorEastAsia" w:hAnsiTheme="majorEastAsia" w:eastAsiaTheme="majorEastAsia" w:cstheme="majorEastAsia"/>
          <w:b/>
          <w:color w:val="auto"/>
          <w:sz w:val="36"/>
          <w:szCs w:val="36"/>
          <w:highlight w:val="none"/>
        </w:rPr>
      </w:pPr>
      <w:bookmarkStart w:id="4" w:name="_Toc3711"/>
      <w:bookmarkStart w:id="5" w:name="_Toc3311"/>
      <w:bookmarkStart w:id="6" w:name="_Toc19888"/>
      <w:bookmarkStart w:id="7" w:name="_Toc10774"/>
      <w:bookmarkStart w:id="8" w:name="_Toc29460"/>
      <w:bookmarkStart w:id="9" w:name="_Toc2617"/>
      <w:r>
        <w:rPr>
          <w:rFonts w:hint="eastAsia" w:asciiTheme="majorEastAsia" w:hAnsiTheme="majorEastAsia" w:eastAsiaTheme="majorEastAsia" w:cstheme="majorEastAsia"/>
          <w:b/>
          <w:color w:val="auto"/>
          <w:sz w:val="36"/>
          <w:szCs w:val="36"/>
          <w:highlight w:val="none"/>
          <w:lang w:eastAsia="zh-CN"/>
        </w:rPr>
        <w:t>云南省滇南中心医院（红河哈尼族彝族自治州第一人民医院）流式细胞仪等医疗设备采购项目（一标段）</w:t>
      </w:r>
      <w:r>
        <w:rPr>
          <w:rFonts w:hint="eastAsia" w:asciiTheme="majorEastAsia" w:hAnsiTheme="majorEastAsia" w:eastAsiaTheme="majorEastAsia" w:cstheme="majorEastAsia"/>
          <w:b/>
          <w:color w:val="auto"/>
          <w:sz w:val="36"/>
          <w:szCs w:val="36"/>
          <w:highlight w:val="none"/>
        </w:rPr>
        <w:t>公开招标公告</w:t>
      </w:r>
      <w:bookmarkEnd w:id="4"/>
      <w:bookmarkEnd w:id="5"/>
      <w:bookmarkEnd w:id="6"/>
    </w:p>
    <w:tbl>
      <w:tblPr>
        <w:tblStyle w:val="31"/>
        <w:tblW w:w="10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0"/>
      </w:tblGrid>
      <w:tr w14:paraId="62685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20" w:type="dxa"/>
          </w:tcPr>
          <w:p w14:paraId="3D2D4CE9">
            <w:pPr>
              <w:keepNext/>
              <w:pageBreakBefore w:val="0"/>
              <w:widowControl w:val="0"/>
              <w:tabs>
                <w:tab w:val="left" w:pos="1021"/>
                <w:tab w:val="left" w:pos="2582"/>
                <w:tab w:val="left" w:pos="2723"/>
              </w:tabs>
              <w:kinsoku/>
              <w:overflowPunct/>
              <w:topLinePunct w:val="0"/>
              <w:autoSpaceDE/>
              <w:autoSpaceDN/>
              <w:bidi w:val="0"/>
              <w:adjustRightInd w:val="0"/>
              <w:snapToGrid/>
              <w:spacing w:line="336" w:lineRule="auto"/>
              <w:ind w:firstLine="482" w:firstLineChars="200"/>
              <w:textAlignment w:val="baseline"/>
              <w:rPr>
                <w:rFonts w:hint="eastAsia" w:asciiTheme="majorEastAsia" w:hAnsiTheme="majorEastAsia" w:eastAsiaTheme="majorEastAsia" w:cstheme="majorEastAsia"/>
                <w:color w:val="auto"/>
                <w:sz w:val="28"/>
                <w:szCs w:val="28"/>
                <w:highlight w:val="none"/>
              </w:rPr>
            </w:pPr>
            <w:bookmarkStart w:id="10" w:name="_Toc11651"/>
            <w:r>
              <w:rPr>
                <w:rFonts w:hint="eastAsia" w:asciiTheme="majorEastAsia" w:hAnsiTheme="majorEastAsia" w:eastAsiaTheme="majorEastAsia" w:cstheme="majorEastAsia"/>
                <w:b/>
                <w:color w:val="auto"/>
                <w:sz w:val="24"/>
                <w:highlight w:val="none"/>
              </w:rPr>
              <w:br w:type="page"/>
            </w:r>
            <w:r>
              <w:rPr>
                <w:rFonts w:hint="eastAsia" w:asciiTheme="majorEastAsia" w:hAnsiTheme="majorEastAsia" w:eastAsiaTheme="majorEastAsia" w:cstheme="majorEastAsia"/>
                <w:color w:val="auto"/>
                <w:sz w:val="28"/>
                <w:szCs w:val="28"/>
                <w:highlight w:val="none"/>
              </w:rPr>
              <w:t>项目概况</w:t>
            </w:r>
          </w:p>
          <w:p w14:paraId="6AF100CA">
            <w:pPr>
              <w:pageBreakBefore w:val="0"/>
              <w:widowControl w:val="0"/>
              <w:kinsoku/>
              <w:wordWrap w:val="0"/>
              <w:overflowPunct/>
              <w:topLinePunct w:val="0"/>
              <w:autoSpaceDE/>
              <w:autoSpaceDN/>
              <w:bidi w:val="0"/>
              <w:snapToGrid/>
              <w:spacing w:line="336"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u w:val="single"/>
                <w:lang w:eastAsia="zh-CN"/>
              </w:rPr>
              <w:t>云南省滇南中心医院（红河哈尼族彝族自治州第一人民医院）流式细胞仪等医疗设备采购项目（一标段）</w:t>
            </w:r>
            <w:r>
              <w:rPr>
                <w:rFonts w:hint="eastAsia" w:asciiTheme="majorEastAsia" w:hAnsiTheme="majorEastAsia" w:eastAsiaTheme="majorEastAsia" w:cstheme="majorEastAsia"/>
                <w:color w:val="auto"/>
                <w:sz w:val="24"/>
                <w:highlight w:val="none"/>
              </w:rPr>
              <w:t>招标项目的潜在投标人应在</w:t>
            </w:r>
            <w:r>
              <w:rPr>
                <w:rFonts w:hint="eastAsia" w:asciiTheme="majorEastAsia" w:hAnsiTheme="majorEastAsia" w:eastAsiaTheme="majorEastAsia" w:cstheme="majorEastAsia"/>
                <w:color w:val="auto"/>
                <w:sz w:val="24"/>
                <w:highlight w:val="none"/>
                <w:lang w:val="en-US" w:eastAsia="zh-CN"/>
              </w:rPr>
              <w:t>政采云平台（https://www.zcygov.cn/）</w:t>
            </w:r>
            <w:r>
              <w:rPr>
                <w:rFonts w:hint="eastAsia" w:asciiTheme="majorEastAsia" w:hAnsiTheme="majorEastAsia" w:eastAsiaTheme="majorEastAsia" w:cstheme="majorEastAsia"/>
                <w:color w:val="auto"/>
                <w:sz w:val="24"/>
                <w:highlight w:val="none"/>
              </w:rPr>
              <w:t>获取采购文件，并于</w:t>
            </w:r>
            <w:r>
              <w:rPr>
                <w:rFonts w:hint="eastAsia" w:asciiTheme="majorEastAsia" w:hAnsiTheme="majorEastAsia" w:eastAsiaTheme="majorEastAsia" w:cstheme="majorEastAsia"/>
                <w:color w:val="auto"/>
                <w:sz w:val="24"/>
                <w:highlight w:val="none"/>
                <w:lang w:eastAsia="zh-CN"/>
              </w:rPr>
              <w:t>2026年10月09日08时30分</w:t>
            </w:r>
            <w:r>
              <w:rPr>
                <w:rFonts w:hint="eastAsia" w:asciiTheme="majorEastAsia" w:hAnsiTheme="majorEastAsia" w:eastAsiaTheme="majorEastAsia" w:cstheme="majorEastAsia"/>
                <w:color w:val="auto"/>
                <w:sz w:val="24"/>
                <w:highlight w:val="none"/>
              </w:rPr>
              <w:t>（北京时间）前提交响应文</w:t>
            </w:r>
            <w:r>
              <w:rPr>
                <w:rFonts w:hint="eastAsia" w:asciiTheme="majorEastAsia" w:hAnsiTheme="majorEastAsia" w:eastAsiaTheme="majorEastAsia" w:cstheme="majorEastAsia"/>
                <w:color w:val="auto"/>
                <w:sz w:val="24"/>
                <w:highlight w:val="none"/>
                <w:lang w:val="en-US" w:eastAsia="zh-CN"/>
              </w:rPr>
              <w:t>件</w:t>
            </w:r>
            <w:r>
              <w:rPr>
                <w:rFonts w:hint="eastAsia" w:asciiTheme="majorEastAsia" w:hAnsiTheme="majorEastAsia" w:eastAsiaTheme="majorEastAsia" w:cstheme="majorEastAsia"/>
                <w:bCs/>
                <w:color w:val="auto"/>
                <w:sz w:val="24"/>
                <w:highlight w:val="none"/>
              </w:rPr>
              <w:t>。</w:t>
            </w:r>
          </w:p>
        </w:tc>
      </w:tr>
    </w:tbl>
    <w:p w14:paraId="114DB876">
      <w:pPr>
        <w:pStyle w:val="3"/>
        <w:keepLines w:val="0"/>
        <w:pageBreakBefore w:val="0"/>
        <w:widowControl w:val="0"/>
        <w:numPr>
          <w:ilvl w:val="1"/>
          <w:numId w:val="0"/>
        </w:numPr>
        <w:kinsoku/>
        <w:overflowPunct/>
        <w:topLinePunct w:val="0"/>
        <w:autoSpaceDE/>
        <w:autoSpaceDN/>
        <w:bidi w:val="0"/>
        <w:adjustRightInd w:val="0"/>
        <w:snapToGrid w:val="0"/>
        <w:spacing w:line="360" w:lineRule="auto"/>
        <w:rPr>
          <w:rFonts w:hint="eastAsia" w:asciiTheme="majorEastAsia" w:hAnsiTheme="majorEastAsia" w:eastAsiaTheme="majorEastAsia" w:cstheme="majorEastAsia"/>
          <w:bCs/>
          <w:color w:val="auto"/>
          <w:szCs w:val="28"/>
          <w:highlight w:val="none"/>
        </w:rPr>
      </w:pPr>
      <w:bookmarkStart w:id="11" w:name="_Toc35393790"/>
      <w:bookmarkStart w:id="12" w:name="_Toc35393621"/>
      <w:bookmarkStart w:id="13" w:name="_Toc28359079"/>
      <w:bookmarkStart w:id="14" w:name="_Toc28359002"/>
      <w:bookmarkStart w:id="15" w:name="_Hlk24379207"/>
      <w:r>
        <w:rPr>
          <w:rFonts w:hint="eastAsia" w:asciiTheme="majorEastAsia" w:hAnsiTheme="majorEastAsia" w:eastAsiaTheme="majorEastAsia" w:cstheme="majorEastAsia"/>
          <w:bCs/>
          <w:color w:val="auto"/>
          <w:szCs w:val="28"/>
          <w:highlight w:val="none"/>
        </w:rPr>
        <w:t>一、项目基本情况</w:t>
      </w:r>
      <w:bookmarkEnd w:id="11"/>
      <w:bookmarkEnd w:id="12"/>
      <w:bookmarkEnd w:id="13"/>
      <w:bookmarkEnd w:id="14"/>
    </w:p>
    <w:p w14:paraId="347DFE59">
      <w:pPr>
        <w:keepLines w:val="0"/>
        <w:pageBreakBefore w:val="0"/>
        <w:widowControl w:val="0"/>
        <w:kinsoku/>
        <w:overflowPunct/>
        <w:topLinePunct w:val="0"/>
        <w:autoSpaceDE/>
        <w:autoSpaceDN/>
        <w:bidi w:val="0"/>
        <w:adjustRightInd w:val="0"/>
        <w:snapToGrid w:val="0"/>
        <w:spacing w:line="360" w:lineRule="auto"/>
        <w:ind w:firstLine="480" w:firstLineChars="200"/>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rPr>
        <w:t>1.项目编号：</w:t>
      </w:r>
      <w:r>
        <w:rPr>
          <w:rFonts w:hint="eastAsia" w:asciiTheme="majorEastAsia" w:hAnsiTheme="majorEastAsia" w:eastAsiaTheme="majorEastAsia" w:cstheme="majorEastAsia"/>
          <w:color w:val="auto"/>
          <w:sz w:val="24"/>
          <w:highlight w:val="none"/>
          <w:lang w:eastAsia="zh-CN"/>
        </w:rPr>
        <w:t>HHJR-2026-93；</w:t>
      </w:r>
    </w:p>
    <w:p w14:paraId="169EEBF4">
      <w:pPr>
        <w:keepLines w:val="0"/>
        <w:pageBreakBefore w:val="0"/>
        <w:widowControl w:val="0"/>
        <w:kinsoku/>
        <w:overflowPunct/>
        <w:topLinePunct w:val="0"/>
        <w:autoSpaceDE/>
        <w:autoSpaceDN/>
        <w:bidi w:val="0"/>
        <w:adjustRightInd w:val="0"/>
        <w:snapToGrid w:val="0"/>
        <w:spacing w:line="360" w:lineRule="auto"/>
        <w:ind w:firstLine="480" w:firstLineChars="200"/>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rPr>
        <w:t>2.项目名称：</w:t>
      </w:r>
      <w:r>
        <w:rPr>
          <w:rFonts w:hint="eastAsia" w:asciiTheme="majorEastAsia" w:hAnsiTheme="majorEastAsia" w:eastAsiaTheme="majorEastAsia" w:cstheme="majorEastAsia"/>
          <w:color w:val="auto"/>
          <w:sz w:val="24"/>
          <w:highlight w:val="none"/>
          <w:lang w:eastAsia="zh-CN"/>
        </w:rPr>
        <w:t>云南省滇南中心医院（红河哈尼族彝族自治州第一人民医院）流式细胞仪等医疗设备采购项目（一标段）；</w:t>
      </w:r>
    </w:p>
    <w:bookmarkEnd w:id="15"/>
    <w:p w14:paraId="244BEFC0">
      <w:pPr>
        <w:keepLines w:val="0"/>
        <w:pageBreakBefore w:val="0"/>
        <w:widowControl w:val="0"/>
        <w:kinsoku/>
        <w:overflowPunct/>
        <w:topLinePunct w:val="0"/>
        <w:autoSpaceDE/>
        <w:autoSpaceDN/>
        <w:bidi w:val="0"/>
        <w:adjustRightInd w:val="0"/>
        <w:snapToGrid w:val="0"/>
        <w:spacing w:line="360" w:lineRule="auto"/>
        <w:ind w:firstLine="480" w:firstLineChars="200"/>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rPr>
        <w:t>3.标段划分：</w:t>
      </w:r>
      <w:r>
        <w:rPr>
          <w:rFonts w:hint="eastAsia" w:asciiTheme="majorEastAsia" w:hAnsiTheme="majorEastAsia" w:eastAsiaTheme="majorEastAsia" w:cstheme="majorEastAsia"/>
          <w:color w:val="auto"/>
          <w:sz w:val="24"/>
          <w:highlight w:val="none"/>
          <w:lang w:eastAsia="zh-CN"/>
        </w:rPr>
        <w:t>本项目划分为</w:t>
      </w:r>
      <w:r>
        <w:rPr>
          <w:rFonts w:hint="eastAsia" w:asciiTheme="majorEastAsia" w:hAnsiTheme="majorEastAsia" w:eastAsiaTheme="majorEastAsia" w:cstheme="majorEastAsia"/>
          <w:color w:val="auto"/>
          <w:sz w:val="24"/>
          <w:highlight w:val="none"/>
          <w:lang w:val="en-US" w:eastAsia="zh-CN"/>
        </w:rPr>
        <w:t>四</w:t>
      </w:r>
      <w:r>
        <w:rPr>
          <w:rFonts w:hint="eastAsia" w:asciiTheme="majorEastAsia" w:hAnsiTheme="majorEastAsia" w:eastAsiaTheme="majorEastAsia" w:cstheme="majorEastAsia"/>
          <w:color w:val="auto"/>
          <w:sz w:val="24"/>
          <w:highlight w:val="none"/>
          <w:lang w:eastAsia="zh-CN"/>
        </w:rPr>
        <w:t>个标段；</w:t>
      </w:r>
    </w:p>
    <w:p w14:paraId="1D92AE32">
      <w:pPr>
        <w:keepLines w:val="0"/>
        <w:pageBreakBefore w:val="0"/>
        <w:widowControl w:val="0"/>
        <w:kinsoku/>
        <w:overflowPunct/>
        <w:topLinePunct w:val="0"/>
        <w:autoSpaceDE/>
        <w:autoSpaceDN/>
        <w:bidi w:val="0"/>
        <w:adjustRightInd w:val="0"/>
        <w:snapToGrid w:val="0"/>
        <w:spacing w:line="360" w:lineRule="auto"/>
        <w:ind w:firstLine="480" w:firstLineChars="200"/>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rPr>
        <w:t>4.预算金额：</w:t>
      </w:r>
      <w:r>
        <w:rPr>
          <w:rFonts w:hint="eastAsia" w:asciiTheme="majorEastAsia" w:hAnsiTheme="majorEastAsia" w:eastAsiaTheme="majorEastAsia" w:cstheme="majorEastAsia"/>
          <w:color w:val="auto"/>
          <w:sz w:val="24"/>
          <w:highlight w:val="none"/>
          <w:lang w:val="en-US" w:eastAsia="zh-CN"/>
        </w:rPr>
        <w:t>144.40万元；</w:t>
      </w:r>
    </w:p>
    <w:p w14:paraId="28762F28">
      <w:pPr>
        <w:keepLines w:val="0"/>
        <w:pageBreakBefore w:val="0"/>
        <w:widowControl w:val="0"/>
        <w:kinsoku/>
        <w:overflowPunct/>
        <w:topLinePunct w:val="0"/>
        <w:autoSpaceDE/>
        <w:autoSpaceDN/>
        <w:bidi w:val="0"/>
        <w:adjustRightInd w:val="0"/>
        <w:snapToGrid w:val="0"/>
        <w:spacing w:line="360" w:lineRule="auto"/>
        <w:ind w:firstLine="480" w:firstLineChars="200"/>
        <w:rPr>
          <w:rFonts w:hint="default"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5.一标段最高限价：40.00万元</w:t>
      </w:r>
    </w:p>
    <w:p w14:paraId="46916C97">
      <w:pPr>
        <w:keepLines w:val="0"/>
        <w:pageBreakBefore w:val="0"/>
        <w:widowControl w:val="0"/>
        <w:kinsoku/>
        <w:overflowPunct/>
        <w:topLinePunct w:val="0"/>
        <w:autoSpaceDE/>
        <w:autoSpaceDN/>
        <w:bidi w:val="0"/>
        <w:adjustRightInd w:val="0"/>
        <w:snapToGrid w:val="0"/>
        <w:spacing w:line="360" w:lineRule="auto"/>
        <w:ind w:firstLine="480" w:firstLineChars="200"/>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6</w:t>
      </w:r>
      <w:r>
        <w:rPr>
          <w:rFonts w:hint="eastAsia" w:asciiTheme="majorEastAsia" w:hAnsiTheme="majorEastAsia" w:eastAsiaTheme="majorEastAsia" w:cstheme="majorEastAsia"/>
          <w:color w:val="auto"/>
          <w:sz w:val="24"/>
          <w:highlight w:val="none"/>
        </w:rPr>
        <w:t>.招标需求：</w:t>
      </w:r>
    </w:p>
    <w:tbl>
      <w:tblPr>
        <w:tblStyle w:val="30"/>
        <w:tblpPr w:leftFromText="180" w:rightFromText="180" w:vertAnchor="text" w:horzAnchor="page" w:tblpX="1484" w:tblpY="1129"/>
        <w:tblOverlap w:val="never"/>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1"/>
        <w:gridCol w:w="2305"/>
        <w:gridCol w:w="1389"/>
        <w:gridCol w:w="1174"/>
        <w:gridCol w:w="1523"/>
        <w:gridCol w:w="1361"/>
        <w:gridCol w:w="1241"/>
      </w:tblGrid>
      <w:tr w14:paraId="69D42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478" w:type="pct"/>
            <w:noWrap/>
            <w:vAlign w:val="center"/>
          </w:tcPr>
          <w:p w14:paraId="3F8D5317">
            <w:pPr>
              <w:keepLines w:val="0"/>
              <w:pageBreakBefore w:val="0"/>
              <w:widowControl/>
              <w:kinsoku/>
              <w:overflowPunct/>
              <w:topLinePunct w:val="0"/>
              <w:autoSpaceDE/>
              <w:autoSpaceDN/>
              <w:bidi w:val="0"/>
              <w:spacing w:line="360" w:lineRule="auto"/>
              <w:jc w:val="center"/>
              <w:rPr>
                <w:rFonts w:hint="eastAsia" w:ascii="宋体" w:hAnsi="宋体" w:eastAsia="宋体"/>
                <w:b/>
                <w:bCs/>
                <w:color w:val="auto"/>
                <w:highlight w:val="none"/>
                <w:lang w:eastAsia="zh-CN"/>
              </w:rPr>
            </w:pPr>
            <w:r>
              <w:rPr>
                <w:rFonts w:hint="eastAsia" w:ascii="宋体" w:hAnsi="宋体" w:eastAsia="宋体"/>
                <w:b/>
                <w:bCs/>
                <w:color w:val="auto"/>
                <w:highlight w:val="none"/>
                <w:lang w:val="en-US" w:eastAsia="zh-CN"/>
              </w:rPr>
              <w:t>标段号</w:t>
            </w:r>
          </w:p>
        </w:tc>
        <w:tc>
          <w:tcPr>
            <w:tcW w:w="1158" w:type="pct"/>
            <w:noWrap/>
            <w:vAlign w:val="center"/>
          </w:tcPr>
          <w:p w14:paraId="419B28DE">
            <w:pPr>
              <w:keepLines w:val="0"/>
              <w:pageBreakBefore w:val="0"/>
              <w:widowControl/>
              <w:kinsoku/>
              <w:overflowPunct/>
              <w:topLinePunct w:val="0"/>
              <w:autoSpaceDE/>
              <w:autoSpaceDN/>
              <w:bidi w:val="0"/>
              <w:spacing w:line="360" w:lineRule="auto"/>
              <w:jc w:val="center"/>
              <w:rPr>
                <w:rFonts w:hint="default" w:ascii="宋体" w:hAnsi="宋体" w:eastAsia="宋体"/>
                <w:b/>
                <w:bCs/>
                <w:color w:val="auto"/>
                <w:highlight w:val="none"/>
                <w:lang w:val="en-US" w:eastAsia="zh-CN"/>
              </w:rPr>
            </w:pPr>
            <w:r>
              <w:rPr>
                <w:rFonts w:hint="eastAsia" w:ascii="宋体" w:hAnsi="宋体"/>
                <w:b/>
                <w:bCs/>
                <w:color w:val="auto"/>
                <w:highlight w:val="none"/>
                <w:lang w:val="en-US" w:eastAsia="zh-CN"/>
              </w:rPr>
              <w:t>产品名称</w:t>
            </w:r>
          </w:p>
        </w:tc>
        <w:tc>
          <w:tcPr>
            <w:tcW w:w="698" w:type="pct"/>
            <w:noWrap w:val="0"/>
            <w:vAlign w:val="center"/>
          </w:tcPr>
          <w:p w14:paraId="4FC54539">
            <w:pPr>
              <w:keepLines w:val="0"/>
              <w:pageBreakBefore w:val="0"/>
              <w:widowControl/>
              <w:kinsoku/>
              <w:overflowPunct/>
              <w:topLinePunct w:val="0"/>
              <w:autoSpaceDE/>
              <w:autoSpaceDN/>
              <w:bidi w:val="0"/>
              <w:spacing w:line="360" w:lineRule="auto"/>
              <w:jc w:val="center"/>
              <w:rPr>
                <w:rFonts w:ascii="宋体" w:hAnsi="宋体"/>
                <w:b/>
                <w:bCs/>
                <w:color w:val="auto"/>
                <w:highlight w:val="none"/>
              </w:rPr>
            </w:pPr>
            <w:r>
              <w:rPr>
                <w:rFonts w:hint="eastAsia" w:ascii="宋体" w:hAnsi="宋体"/>
                <w:b/>
                <w:bCs/>
                <w:color w:val="auto"/>
                <w:highlight w:val="none"/>
              </w:rPr>
              <w:t>数量</w:t>
            </w:r>
          </w:p>
        </w:tc>
        <w:tc>
          <w:tcPr>
            <w:tcW w:w="590" w:type="pct"/>
            <w:noWrap w:val="0"/>
            <w:vAlign w:val="center"/>
          </w:tcPr>
          <w:p w14:paraId="3F6A5EE5">
            <w:pPr>
              <w:keepLines w:val="0"/>
              <w:pageBreakBefore w:val="0"/>
              <w:widowControl/>
              <w:kinsoku/>
              <w:overflowPunct/>
              <w:topLinePunct w:val="0"/>
              <w:autoSpaceDE/>
              <w:autoSpaceDN/>
              <w:bidi w:val="0"/>
              <w:spacing w:line="360" w:lineRule="auto"/>
              <w:jc w:val="center"/>
              <w:rPr>
                <w:rFonts w:ascii="宋体" w:hAnsi="宋体"/>
                <w:b/>
                <w:bCs/>
                <w:color w:val="auto"/>
                <w:highlight w:val="none"/>
              </w:rPr>
            </w:pPr>
            <w:r>
              <w:rPr>
                <w:rFonts w:hint="eastAsia" w:ascii="宋体" w:hAnsi="宋体"/>
                <w:b/>
                <w:bCs/>
                <w:color w:val="auto"/>
                <w:highlight w:val="none"/>
              </w:rPr>
              <w:t>计量单位</w:t>
            </w:r>
          </w:p>
        </w:tc>
        <w:tc>
          <w:tcPr>
            <w:tcW w:w="765" w:type="pct"/>
            <w:noWrap w:val="0"/>
            <w:vAlign w:val="center"/>
          </w:tcPr>
          <w:p w14:paraId="1AA9FD19">
            <w:pPr>
              <w:keepLines w:val="0"/>
              <w:pageBreakBefore w:val="0"/>
              <w:widowControl/>
              <w:kinsoku/>
              <w:overflowPunct/>
              <w:topLinePunct w:val="0"/>
              <w:autoSpaceDE/>
              <w:autoSpaceDN/>
              <w:bidi w:val="0"/>
              <w:spacing w:line="360" w:lineRule="auto"/>
              <w:jc w:val="center"/>
              <w:rPr>
                <w:rFonts w:hint="eastAsia" w:ascii="宋体" w:hAnsi="宋体" w:eastAsia="宋体" w:cs="Times New Roman"/>
                <w:b/>
                <w:bCs/>
                <w:color w:val="auto"/>
                <w:kern w:val="2"/>
                <w:sz w:val="21"/>
                <w:szCs w:val="24"/>
                <w:highlight w:val="none"/>
                <w:lang w:val="en-US" w:eastAsia="zh-CN" w:bidi="ar-SA"/>
              </w:rPr>
            </w:pPr>
            <w:r>
              <w:rPr>
                <w:rFonts w:hint="eastAsia" w:ascii="宋体" w:hAnsi="宋体" w:eastAsia="宋体" w:cs="Times New Roman"/>
                <w:b/>
                <w:bCs/>
                <w:color w:val="auto"/>
                <w:kern w:val="2"/>
                <w:sz w:val="21"/>
                <w:szCs w:val="24"/>
                <w:highlight w:val="none"/>
                <w:lang w:val="en-US" w:eastAsia="zh-CN" w:bidi="ar-SA"/>
              </w:rPr>
              <w:t>最高限制单价（万元）</w:t>
            </w:r>
          </w:p>
        </w:tc>
        <w:tc>
          <w:tcPr>
            <w:tcW w:w="684" w:type="pct"/>
            <w:shd w:val="clear" w:color="auto" w:fill="auto"/>
            <w:noWrap w:val="0"/>
            <w:vAlign w:val="center"/>
          </w:tcPr>
          <w:p w14:paraId="78DB4D9B">
            <w:pPr>
              <w:keepLines w:val="0"/>
              <w:pageBreakBefore w:val="0"/>
              <w:widowControl/>
              <w:kinsoku/>
              <w:overflowPunct/>
              <w:topLinePunct w:val="0"/>
              <w:autoSpaceDE/>
              <w:autoSpaceDN/>
              <w:bidi w:val="0"/>
              <w:spacing w:line="360" w:lineRule="auto"/>
              <w:jc w:val="center"/>
              <w:rPr>
                <w:rFonts w:hint="eastAsia" w:ascii="宋体" w:hAnsi="宋体" w:eastAsia="Times New Roman" w:cs="Times New Roman"/>
                <w:b/>
                <w:bCs/>
                <w:color w:val="auto"/>
                <w:kern w:val="2"/>
                <w:sz w:val="21"/>
                <w:szCs w:val="24"/>
                <w:highlight w:val="none"/>
                <w:lang w:val="en-US" w:eastAsia="zh-CN" w:bidi="ar-SA"/>
              </w:rPr>
            </w:pPr>
            <w:r>
              <w:rPr>
                <w:rFonts w:hint="eastAsia" w:ascii="宋体" w:hAnsi="宋体"/>
                <w:b/>
                <w:bCs/>
                <w:color w:val="auto"/>
                <w:highlight w:val="none"/>
              </w:rPr>
              <w:t>是否接受进口产品</w:t>
            </w:r>
          </w:p>
        </w:tc>
        <w:tc>
          <w:tcPr>
            <w:tcW w:w="623" w:type="pct"/>
            <w:shd w:val="clear" w:color="auto" w:fill="auto"/>
            <w:noWrap w:val="0"/>
            <w:vAlign w:val="center"/>
          </w:tcPr>
          <w:p w14:paraId="5DEDDF0B">
            <w:pPr>
              <w:keepLines w:val="0"/>
              <w:pageBreakBefore w:val="0"/>
              <w:widowControl/>
              <w:kinsoku/>
              <w:overflowPunct/>
              <w:topLinePunct w:val="0"/>
              <w:autoSpaceDE/>
              <w:autoSpaceDN/>
              <w:bidi w:val="0"/>
              <w:spacing w:line="360" w:lineRule="auto"/>
              <w:jc w:val="center"/>
              <w:rPr>
                <w:rFonts w:hint="eastAsia" w:ascii="宋体" w:hAnsi="宋体" w:eastAsia="宋体" w:cs="Times New Roman"/>
                <w:b/>
                <w:bCs/>
                <w:color w:val="auto"/>
                <w:kern w:val="2"/>
                <w:sz w:val="21"/>
                <w:szCs w:val="24"/>
                <w:highlight w:val="none"/>
                <w:lang w:val="en-US" w:eastAsia="zh-CN" w:bidi="ar-SA"/>
              </w:rPr>
            </w:pPr>
            <w:r>
              <w:rPr>
                <w:rFonts w:hint="eastAsia" w:ascii="宋体" w:hAnsi="宋体" w:eastAsia="宋体"/>
                <w:b/>
                <w:bCs/>
                <w:color w:val="auto"/>
                <w:highlight w:val="none"/>
                <w:lang w:val="en-US" w:eastAsia="zh-CN"/>
              </w:rPr>
              <w:t>备注</w:t>
            </w:r>
          </w:p>
        </w:tc>
      </w:tr>
      <w:tr w14:paraId="5438B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478" w:type="pct"/>
            <w:vMerge w:val="restart"/>
            <w:shd w:val="clear" w:color="000000" w:fill="FFFFFF"/>
            <w:noWrap w:val="0"/>
            <w:vAlign w:val="center"/>
          </w:tcPr>
          <w:p w14:paraId="0CAD433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一标段</w:t>
            </w:r>
          </w:p>
        </w:tc>
        <w:tc>
          <w:tcPr>
            <w:tcW w:w="1158" w:type="pct"/>
            <w:shd w:val="clear" w:color="000000" w:fill="FFFFFF"/>
            <w:noWrap w:val="0"/>
            <w:vAlign w:val="center"/>
          </w:tcPr>
          <w:p w14:paraId="54B51795">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全自动核酸提取分析仪</w:t>
            </w:r>
          </w:p>
        </w:tc>
        <w:tc>
          <w:tcPr>
            <w:tcW w:w="698" w:type="pct"/>
            <w:shd w:val="clear" w:color="000000" w:fill="FFFFFF"/>
            <w:noWrap w:val="0"/>
            <w:vAlign w:val="center"/>
          </w:tcPr>
          <w:p w14:paraId="70A7C431">
            <w:pPr>
              <w:keepNext w:val="0"/>
              <w:keepLines w:val="0"/>
              <w:widowControl/>
              <w:suppressLineNumbers w:val="0"/>
              <w:jc w:val="center"/>
              <w:textAlignment w:val="center"/>
              <w:rPr>
                <w:rFonts w:hint="eastAsia" w:ascii="宋体" w:hAnsi="宋体" w:eastAsia="宋体" w:cs="宋体"/>
                <w:color w:val="auto"/>
                <w:highlight w:val="no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590" w:type="pct"/>
            <w:shd w:val="clear" w:color="000000" w:fill="FFFFFF"/>
            <w:noWrap w:val="0"/>
            <w:vAlign w:val="center"/>
          </w:tcPr>
          <w:p w14:paraId="5206D27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套</w:t>
            </w:r>
          </w:p>
        </w:tc>
        <w:tc>
          <w:tcPr>
            <w:tcW w:w="765" w:type="pct"/>
            <w:shd w:val="clear" w:color="000000" w:fill="FFFFFF"/>
            <w:noWrap w:val="0"/>
            <w:vAlign w:val="center"/>
          </w:tcPr>
          <w:p w14:paraId="4D80A331">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w:t>
            </w:r>
          </w:p>
        </w:tc>
        <w:tc>
          <w:tcPr>
            <w:tcW w:w="684" w:type="pct"/>
            <w:shd w:val="clear" w:color="000000" w:fill="FFFFFF"/>
            <w:noWrap w:val="0"/>
            <w:vAlign w:val="center"/>
          </w:tcPr>
          <w:p w14:paraId="1F6DA56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lang w:val="en-US" w:eastAsia="zh-CN"/>
              </w:rPr>
              <w:t>否</w:t>
            </w:r>
          </w:p>
        </w:tc>
        <w:tc>
          <w:tcPr>
            <w:tcW w:w="623" w:type="pct"/>
            <w:shd w:val="clear" w:color="000000" w:fill="FFFFFF"/>
            <w:noWrap w:val="0"/>
            <w:vAlign w:val="center"/>
          </w:tcPr>
          <w:p w14:paraId="3704ABA6">
            <w:pPr>
              <w:keepLines w:val="0"/>
              <w:pageBreakBefore w:val="0"/>
              <w:widowControl/>
              <w:kinsoku/>
              <w:overflowPunct/>
              <w:topLinePunct w:val="0"/>
              <w:autoSpaceDE/>
              <w:autoSpaceDN/>
              <w:bidi w:val="0"/>
              <w:spacing w:line="360" w:lineRule="auto"/>
              <w:jc w:val="center"/>
              <w:rPr>
                <w:rFonts w:ascii="宋体" w:hAnsi="宋体" w:eastAsia="Times New Roman" w:cs="Times New Roman"/>
                <w:b/>
                <w:color w:val="auto"/>
                <w:kern w:val="2"/>
                <w:sz w:val="21"/>
                <w:szCs w:val="24"/>
                <w:highlight w:val="none"/>
                <w:lang w:val="en-US" w:eastAsia="zh-CN" w:bidi="ar-SA"/>
              </w:rPr>
            </w:pPr>
          </w:p>
        </w:tc>
      </w:tr>
      <w:tr w14:paraId="49E5F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478" w:type="pct"/>
            <w:vMerge w:val="continue"/>
            <w:shd w:val="clear" w:color="000000" w:fill="FFFFFF"/>
            <w:noWrap w:val="0"/>
            <w:vAlign w:val="center"/>
          </w:tcPr>
          <w:p w14:paraId="4337715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highlight w:val="none"/>
                <w:lang w:val="en-US" w:eastAsia="zh-CN"/>
              </w:rPr>
            </w:pPr>
          </w:p>
        </w:tc>
        <w:tc>
          <w:tcPr>
            <w:tcW w:w="1158" w:type="pct"/>
            <w:shd w:val="clear" w:color="000000" w:fill="FFFFFF"/>
            <w:noWrap w:val="0"/>
            <w:vAlign w:val="center"/>
          </w:tcPr>
          <w:p w14:paraId="18A84CE1">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自动核酸杂交仪</w:t>
            </w:r>
          </w:p>
        </w:tc>
        <w:tc>
          <w:tcPr>
            <w:tcW w:w="698" w:type="pct"/>
            <w:shd w:val="clear" w:color="000000" w:fill="FFFFFF"/>
            <w:noWrap w:val="0"/>
            <w:vAlign w:val="center"/>
          </w:tcPr>
          <w:p w14:paraId="3C7C879E">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590" w:type="pct"/>
            <w:shd w:val="clear" w:color="000000" w:fill="FFFFFF"/>
            <w:noWrap w:val="0"/>
            <w:vAlign w:val="center"/>
          </w:tcPr>
          <w:p w14:paraId="17C4C39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套</w:t>
            </w:r>
          </w:p>
        </w:tc>
        <w:tc>
          <w:tcPr>
            <w:tcW w:w="765" w:type="pct"/>
            <w:shd w:val="clear" w:color="000000" w:fill="FFFFFF"/>
            <w:noWrap w:val="0"/>
            <w:vAlign w:val="center"/>
          </w:tcPr>
          <w:p w14:paraId="0D99198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w:t>
            </w:r>
          </w:p>
        </w:tc>
        <w:tc>
          <w:tcPr>
            <w:tcW w:w="684" w:type="pct"/>
            <w:shd w:val="clear" w:color="000000" w:fill="FFFFFF"/>
            <w:noWrap w:val="0"/>
            <w:vAlign w:val="center"/>
          </w:tcPr>
          <w:p w14:paraId="4F97233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lang w:val="en-US" w:eastAsia="zh-CN"/>
              </w:rPr>
              <w:t>否</w:t>
            </w:r>
          </w:p>
        </w:tc>
        <w:tc>
          <w:tcPr>
            <w:tcW w:w="623" w:type="pct"/>
            <w:shd w:val="clear" w:color="000000" w:fill="FFFFFF"/>
            <w:noWrap w:val="0"/>
            <w:vAlign w:val="center"/>
          </w:tcPr>
          <w:p w14:paraId="673F58C5">
            <w:pPr>
              <w:keepLines w:val="0"/>
              <w:pageBreakBefore w:val="0"/>
              <w:widowControl/>
              <w:kinsoku/>
              <w:overflowPunct/>
              <w:topLinePunct w:val="0"/>
              <w:autoSpaceDE/>
              <w:autoSpaceDN/>
              <w:bidi w:val="0"/>
              <w:spacing w:line="360" w:lineRule="auto"/>
              <w:jc w:val="center"/>
              <w:rPr>
                <w:rFonts w:ascii="宋体" w:hAnsi="宋体" w:eastAsia="Times New Roman" w:cs="Times New Roman"/>
                <w:b/>
                <w:color w:val="auto"/>
                <w:kern w:val="2"/>
                <w:sz w:val="21"/>
                <w:szCs w:val="24"/>
                <w:highlight w:val="none"/>
                <w:lang w:val="en-US" w:eastAsia="zh-CN" w:bidi="ar-SA"/>
              </w:rPr>
            </w:pPr>
          </w:p>
        </w:tc>
      </w:tr>
      <w:tr w14:paraId="0212F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478" w:type="pct"/>
            <w:shd w:val="clear" w:color="000000" w:fill="FFFFFF"/>
            <w:noWrap w:val="0"/>
            <w:vAlign w:val="center"/>
          </w:tcPr>
          <w:p w14:paraId="31490A6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二标段</w:t>
            </w:r>
          </w:p>
        </w:tc>
        <w:tc>
          <w:tcPr>
            <w:tcW w:w="1158" w:type="pct"/>
            <w:shd w:val="clear" w:color="000000" w:fill="FFFFFF"/>
            <w:noWrap w:val="0"/>
            <w:vAlign w:val="center"/>
          </w:tcPr>
          <w:p w14:paraId="7B223D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基因扩增仪</w:t>
            </w:r>
          </w:p>
        </w:tc>
        <w:tc>
          <w:tcPr>
            <w:tcW w:w="698" w:type="pct"/>
            <w:shd w:val="clear" w:color="000000" w:fill="FFFFFF"/>
            <w:noWrap w:val="0"/>
            <w:vAlign w:val="center"/>
          </w:tcPr>
          <w:p w14:paraId="6EFC64A8">
            <w:pPr>
              <w:keepNext w:val="0"/>
              <w:keepLines w:val="0"/>
              <w:widowControl/>
              <w:suppressLineNumbers w:val="0"/>
              <w:jc w:val="center"/>
              <w:textAlignment w:val="center"/>
              <w:rPr>
                <w:rFonts w:hint="eastAsia" w:ascii="宋体" w:hAnsi="宋体" w:eastAsia="宋体" w:cs="宋体"/>
                <w:color w:val="auto"/>
                <w:highlight w:val="none"/>
                <w:lang w:val="en-US" w:eastAsia="zh-CN"/>
              </w:rPr>
            </w:pPr>
            <w:r>
              <w:rPr>
                <w:rFonts w:hint="eastAsia" w:ascii="宋体" w:hAnsi="宋体" w:eastAsia="宋体" w:cs="宋体"/>
                <w:i w:val="0"/>
                <w:iCs w:val="0"/>
                <w:color w:val="000000"/>
                <w:kern w:val="0"/>
                <w:sz w:val="22"/>
                <w:szCs w:val="22"/>
                <w:u w:val="none"/>
                <w:lang w:val="en-US" w:eastAsia="zh-CN" w:bidi="ar"/>
              </w:rPr>
              <w:t>2</w:t>
            </w:r>
          </w:p>
        </w:tc>
        <w:tc>
          <w:tcPr>
            <w:tcW w:w="1174" w:type="dxa"/>
            <w:shd w:val="clear" w:color="000000" w:fill="FFFFFF"/>
            <w:noWrap w:val="0"/>
            <w:vAlign w:val="center"/>
          </w:tcPr>
          <w:p w14:paraId="66726A3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套</w:t>
            </w:r>
          </w:p>
        </w:tc>
        <w:tc>
          <w:tcPr>
            <w:tcW w:w="765" w:type="pct"/>
            <w:shd w:val="clear" w:color="000000" w:fill="FFFFFF"/>
            <w:noWrap w:val="0"/>
            <w:vAlign w:val="center"/>
          </w:tcPr>
          <w:p w14:paraId="3ED583C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6.5</w:t>
            </w:r>
          </w:p>
        </w:tc>
        <w:tc>
          <w:tcPr>
            <w:tcW w:w="684" w:type="pct"/>
            <w:shd w:val="clear" w:color="000000" w:fill="FFFFFF"/>
            <w:noWrap w:val="0"/>
            <w:vAlign w:val="center"/>
          </w:tcPr>
          <w:p w14:paraId="6480F93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lang w:val="en-US" w:eastAsia="zh-CN"/>
              </w:rPr>
              <w:t>否</w:t>
            </w:r>
          </w:p>
        </w:tc>
        <w:tc>
          <w:tcPr>
            <w:tcW w:w="623" w:type="pct"/>
            <w:shd w:val="clear" w:color="000000" w:fill="FFFFFF"/>
            <w:noWrap w:val="0"/>
            <w:vAlign w:val="center"/>
          </w:tcPr>
          <w:p w14:paraId="0033D775">
            <w:pPr>
              <w:keepLines w:val="0"/>
              <w:pageBreakBefore w:val="0"/>
              <w:widowControl/>
              <w:kinsoku/>
              <w:overflowPunct/>
              <w:topLinePunct w:val="0"/>
              <w:autoSpaceDE/>
              <w:autoSpaceDN/>
              <w:bidi w:val="0"/>
              <w:spacing w:line="360" w:lineRule="auto"/>
              <w:jc w:val="center"/>
              <w:rPr>
                <w:rFonts w:ascii="宋体" w:hAnsi="宋体" w:eastAsia="Times New Roman" w:cs="Times New Roman"/>
                <w:b/>
                <w:color w:val="auto"/>
                <w:kern w:val="2"/>
                <w:sz w:val="21"/>
                <w:szCs w:val="24"/>
                <w:highlight w:val="none"/>
                <w:lang w:val="en-US" w:eastAsia="zh-CN" w:bidi="ar-SA"/>
              </w:rPr>
            </w:pPr>
          </w:p>
        </w:tc>
      </w:tr>
      <w:tr w14:paraId="0507B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478" w:type="pct"/>
            <w:shd w:val="clear" w:color="000000" w:fill="FFFFFF"/>
            <w:noWrap w:val="0"/>
            <w:vAlign w:val="center"/>
          </w:tcPr>
          <w:p w14:paraId="541DCB3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三标段</w:t>
            </w:r>
          </w:p>
        </w:tc>
        <w:tc>
          <w:tcPr>
            <w:tcW w:w="1158" w:type="pct"/>
            <w:shd w:val="clear" w:color="000000" w:fill="FFFFFF"/>
            <w:noWrap w:val="0"/>
            <w:vAlign w:val="center"/>
          </w:tcPr>
          <w:p w14:paraId="670CB5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流式细胞仪</w:t>
            </w:r>
          </w:p>
        </w:tc>
        <w:tc>
          <w:tcPr>
            <w:tcW w:w="698" w:type="pct"/>
            <w:shd w:val="clear" w:color="000000" w:fill="FFFFFF"/>
            <w:noWrap w:val="0"/>
            <w:vAlign w:val="center"/>
          </w:tcPr>
          <w:p w14:paraId="01133936">
            <w:pPr>
              <w:keepNext w:val="0"/>
              <w:keepLines w:val="0"/>
              <w:widowControl/>
              <w:suppressLineNumbers w:val="0"/>
              <w:jc w:val="center"/>
              <w:textAlignment w:val="center"/>
              <w:rPr>
                <w:rFonts w:hint="eastAsia" w:ascii="宋体" w:hAnsi="宋体" w:eastAsia="宋体" w:cs="宋体"/>
                <w:color w:val="auto"/>
                <w:highlight w:val="no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1174" w:type="dxa"/>
            <w:shd w:val="clear" w:color="000000" w:fill="FFFFFF"/>
            <w:noWrap w:val="0"/>
            <w:vAlign w:val="center"/>
          </w:tcPr>
          <w:p w14:paraId="4E4AEAF1">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套</w:t>
            </w:r>
          </w:p>
        </w:tc>
        <w:tc>
          <w:tcPr>
            <w:tcW w:w="765" w:type="pct"/>
            <w:shd w:val="clear" w:color="000000" w:fill="FFFFFF"/>
            <w:noWrap w:val="0"/>
            <w:vAlign w:val="center"/>
          </w:tcPr>
          <w:p w14:paraId="4EA5578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85</w:t>
            </w:r>
          </w:p>
        </w:tc>
        <w:tc>
          <w:tcPr>
            <w:tcW w:w="684" w:type="pct"/>
            <w:shd w:val="clear" w:color="000000" w:fill="FFFFFF"/>
            <w:noWrap w:val="0"/>
            <w:vAlign w:val="center"/>
          </w:tcPr>
          <w:p w14:paraId="6B22F702">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lang w:val="en-US" w:eastAsia="zh-CN"/>
              </w:rPr>
              <w:t>是</w:t>
            </w:r>
          </w:p>
        </w:tc>
        <w:tc>
          <w:tcPr>
            <w:tcW w:w="623" w:type="pct"/>
            <w:shd w:val="clear" w:color="000000" w:fill="FFFFFF"/>
            <w:noWrap w:val="0"/>
            <w:vAlign w:val="center"/>
          </w:tcPr>
          <w:p w14:paraId="27B79A30">
            <w:pPr>
              <w:keepLines w:val="0"/>
              <w:pageBreakBefore w:val="0"/>
              <w:widowControl/>
              <w:kinsoku/>
              <w:overflowPunct/>
              <w:topLinePunct w:val="0"/>
              <w:autoSpaceDE/>
              <w:autoSpaceDN/>
              <w:bidi w:val="0"/>
              <w:spacing w:line="360" w:lineRule="auto"/>
              <w:jc w:val="center"/>
              <w:rPr>
                <w:rFonts w:ascii="宋体" w:hAnsi="宋体" w:eastAsia="Times New Roman" w:cs="Times New Roman"/>
                <w:b/>
                <w:color w:val="auto"/>
                <w:kern w:val="2"/>
                <w:sz w:val="21"/>
                <w:szCs w:val="24"/>
                <w:highlight w:val="none"/>
                <w:lang w:val="en-US" w:eastAsia="zh-CN" w:bidi="ar-SA"/>
              </w:rPr>
            </w:pPr>
          </w:p>
        </w:tc>
      </w:tr>
      <w:tr w14:paraId="6A7D4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478" w:type="pct"/>
            <w:shd w:val="clear" w:color="000000" w:fill="FFFFFF"/>
            <w:noWrap w:val="0"/>
            <w:vAlign w:val="center"/>
          </w:tcPr>
          <w:p w14:paraId="2EA2961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四标段</w:t>
            </w:r>
          </w:p>
        </w:tc>
        <w:tc>
          <w:tcPr>
            <w:tcW w:w="1158" w:type="pct"/>
            <w:shd w:val="clear" w:color="000000" w:fill="FFFFFF"/>
            <w:noWrap w:val="0"/>
            <w:vAlign w:val="center"/>
          </w:tcPr>
          <w:p w14:paraId="326456A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多重免疫分析仪</w:t>
            </w:r>
          </w:p>
        </w:tc>
        <w:tc>
          <w:tcPr>
            <w:tcW w:w="698" w:type="pct"/>
            <w:shd w:val="clear" w:color="000000" w:fill="FFFFFF"/>
            <w:noWrap w:val="0"/>
            <w:vAlign w:val="center"/>
          </w:tcPr>
          <w:p w14:paraId="029CD02B">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174" w:type="dxa"/>
            <w:shd w:val="clear" w:color="000000" w:fill="FFFFFF"/>
            <w:noWrap w:val="0"/>
            <w:vAlign w:val="center"/>
          </w:tcPr>
          <w:p w14:paraId="4D5D41E4">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套</w:t>
            </w:r>
          </w:p>
        </w:tc>
        <w:tc>
          <w:tcPr>
            <w:tcW w:w="765" w:type="pct"/>
            <w:shd w:val="clear" w:color="000000" w:fill="FFFFFF"/>
            <w:noWrap w:val="0"/>
            <w:vAlign w:val="center"/>
          </w:tcPr>
          <w:p w14:paraId="21AB5E8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6.4</w:t>
            </w:r>
          </w:p>
        </w:tc>
        <w:tc>
          <w:tcPr>
            <w:tcW w:w="684" w:type="pct"/>
            <w:shd w:val="clear" w:color="000000" w:fill="FFFFFF"/>
            <w:noWrap w:val="0"/>
            <w:vAlign w:val="center"/>
          </w:tcPr>
          <w:p w14:paraId="0CDBF3D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否</w:t>
            </w:r>
          </w:p>
        </w:tc>
        <w:tc>
          <w:tcPr>
            <w:tcW w:w="623" w:type="pct"/>
            <w:shd w:val="clear" w:color="000000" w:fill="FFFFFF"/>
            <w:noWrap w:val="0"/>
            <w:vAlign w:val="center"/>
          </w:tcPr>
          <w:p w14:paraId="2F63F1F7">
            <w:pPr>
              <w:keepLines w:val="0"/>
              <w:pageBreakBefore w:val="0"/>
              <w:widowControl/>
              <w:kinsoku/>
              <w:overflowPunct/>
              <w:topLinePunct w:val="0"/>
              <w:autoSpaceDE/>
              <w:autoSpaceDN/>
              <w:bidi w:val="0"/>
              <w:spacing w:line="360" w:lineRule="auto"/>
              <w:jc w:val="center"/>
              <w:rPr>
                <w:rFonts w:ascii="宋体" w:hAnsi="宋体" w:eastAsia="Times New Roman" w:cs="Times New Roman"/>
                <w:b/>
                <w:color w:val="auto"/>
                <w:kern w:val="2"/>
                <w:sz w:val="21"/>
                <w:szCs w:val="24"/>
                <w:highlight w:val="none"/>
                <w:lang w:val="en-US" w:eastAsia="zh-CN" w:bidi="ar-SA"/>
              </w:rPr>
            </w:pPr>
          </w:p>
        </w:tc>
      </w:tr>
    </w:tbl>
    <w:p w14:paraId="46132232">
      <w:pPr>
        <w:keepLines w:val="0"/>
        <w:pageBreakBefore w:val="0"/>
        <w:widowControl w:val="0"/>
        <w:numPr>
          <w:ilvl w:val="0"/>
          <w:numId w:val="0"/>
        </w:numPr>
        <w:kinsoku/>
        <w:overflowPunct/>
        <w:topLinePunct w:val="0"/>
        <w:autoSpaceDE/>
        <w:autoSpaceDN/>
        <w:bidi w:val="0"/>
        <w:adjustRightInd w:val="0"/>
        <w:snapToGrid w:val="0"/>
        <w:spacing w:line="360" w:lineRule="auto"/>
        <w:ind w:firstLine="480" w:firstLineChars="200"/>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kern w:val="2"/>
          <w:sz w:val="24"/>
          <w:szCs w:val="24"/>
          <w:lang w:val="en-US" w:eastAsia="zh-CN" w:bidi="ar-SA"/>
        </w:rPr>
        <w:t>（1）</w:t>
      </w:r>
      <w:r>
        <w:rPr>
          <w:rFonts w:hint="eastAsia" w:asciiTheme="majorEastAsia" w:hAnsiTheme="majorEastAsia" w:eastAsiaTheme="majorEastAsia" w:cstheme="majorEastAsia"/>
          <w:color w:val="auto"/>
          <w:sz w:val="24"/>
          <w:highlight w:val="none"/>
        </w:rPr>
        <w:t>项目共划分</w:t>
      </w:r>
      <w:r>
        <w:rPr>
          <w:rFonts w:hint="eastAsia" w:asciiTheme="majorEastAsia" w:hAnsiTheme="majorEastAsia" w:eastAsiaTheme="majorEastAsia" w:cstheme="majorEastAsia"/>
          <w:color w:val="auto"/>
          <w:sz w:val="24"/>
          <w:highlight w:val="none"/>
          <w:lang w:eastAsia="zh-CN"/>
        </w:rPr>
        <w:t>四个标段</w:t>
      </w:r>
      <w:r>
        <w:rPr>
          <w:rFonts w:hint="eastAsia" w:asciiTheme="majorEastAsia" w:hAnsiTheme="majorEastAsia" w:eastAsiaTheme="majorEastAsia" w:cstheme="majorEastAsia"/>
          <w:color w:val="auto"/>
          <w:sz w:val="24"/>
          <w:highlight w:val="none"/>
        </w:rPr>
        <w:t>，投标人须对所投标段内容进行整体投标，不可缺项、漏项，否则投标文件将按无效处理。本次采购产品的采购需求具体详见本招标文件</w:t>
      </w:r>
      <w:r>
        <w:rPr>
          <w:rFonts w:hint="eastAsia" w:asciiTheme="majorEastAsia" w:hAnsiTheme="majorEastAsia" w:eastAsiaTheme="majorEastAsia" w:cstheme="majorEastAsia"/>
          <w:color w:val="auto"/>
          <w:sz w:val="24"/>
          <w:highlight w:val="none"/>
          <w:lang w:val="en-US" w:eastAsia="zh-CN"/>
        </w:rPr>
        <w:t>第五章；</w:t>
      </w:r>
    </w:p>
    <w:p w14:paraId="033381B4">
      <w:pPr>
        <w:widowControl w:val="0"/>
        <w:spacing w:line="360" w:lineRule="auto"/>
        <w:ind w:firstLine="420" w:firstLineChars="200"/>
        <w:jc w:val="both"/>
        <w:rPr>
          <w:rFonts w:hint="eastAsia" w:asciiTheme="majorEastAsia" w:hAnsiTheme="majorEastAsia" w:eastAsiaTheme="majorEastAsia" w:cstheme="majorEastAsia"/>
          <w:color w:val="auto"/>
          <w:sz w:val="24"/>
          <w:highlight w:val="none"/>
          <w:lang w:val="en-US" w:eastAsia="zh-CN"/>
        </w:rPr>
      </w:pPr>
      <w:r>
        <w:rPr>
          <w:rFonts w:hint="eastAsia" w:ascii="宋体" w:hAnsi="宋体" w:eastAsia="宋体" w:cs="宋体"/>
          <w:color w:val="000000"/>
          <w:kern w:val="2"/>
          <w:lang w:eastAsia="zh-CN"/>
        </w:rPr>
        <w:t>（</w:t>
      </w:r>
      <w:r>
        <w:rPr>
          <w:rFonts w:hint="eastAsia" w:ascii="宋体" w:hAnsi="宋体" w:eastAsia="宋体" w:cs="宋体"/>
          <w:color w:val="000000"/>
          <w:kern w:val="2"/>
          <w:lang w:val="en-US" w:eastAsia="zh-CN"/>
        </w:rPr>
        <w:t>2</w:t>
      </w:r>
      <w:r>
        <w:rPr>
          <w:rFonts w:hint="eastAsia" w:ascii="宋体" w:hAnsi="宋体" w:eastAsia="宋体" w:cs="宋体"/>
          <w:color w:val="000000"/>
          <w:kern w:val="2"/>
          <w:lang w:eastAsia="zh-CN"/>
        </w:rPr>
        <w:t>）</w:t>
      </w:r>
      <w:r>
        <w:rPr>
          <w:rFonts w:hint="eastAsia" w:asciiTheme="majorEastAsia" w:hAnsiTheme="majorEastAsia" w:eastAsiaTheme="majorEastAsia" w:cstheme="majorEastAsia"/>
          <w:color w:val="auto"/>
          <w:sz w:val="24"/>
          <w:highlight w:val="none"/>
        </w:rPr>
        <w:t>本次采购设备</w:t>
      </w:r>
      <w:r>
        <w:rPr>
          <w:rFonts w:hint="eastAsia" w:asciiTheme="majorEastAsia" w:hAnsiTheme="majorEastAsia" w:eastAsiaTheme="majorEastAsia" w:cstheme="majorEastAsia"/>
          <w:color w:val="auto"/>
          <w:sz w:val="24"/>
          <w:highlight w:val="none"/>
          <w:lang w:val="en-US" w:eastAsia="zh-CN"/>
        </w:rPr>
        <w:t>一、二、四标段不</w:t>
      </w:r>
      <w:r>
        <w:rPr>
          <w:rFonts w:hint="eastAsia" w:asciiTheme="majorEastAsia" w:hAnsiTheme="majorEastAsia" w:eastAsiaTheme="majorEastAsia" w:cstheme="majorEastAsia"/>
          <w:color w:val="auto"/>
          <w:sz w:val="24"/>
          <w:highlight w:val="none"/>
        </w:rPr>
        <w:t>接受进口产品</w:t>
      </w:r>
      <w:r>
        <w:rPr>
          <w:rFonts w:hint="eastAsia" w:asciiTheme="majorEastAsia" w:hAnsiTheme="majorEastAsia" w:eastAsiaTheme="majorEastAsia" w:cstheme="majorEastAsia"/>
          <w:color w:val="auto"/>
          <w:sz w:val="24"/>
          <w:highlight w:val="none"/>
          <w:lang w:eastAsia="zh-CN"/>
        </w:rPr>
        <w:t>，</w:t>
      </w:r>
      <w:r>
        <w:rPr>
          <w:rFonts w:hint="eastAsia" w:asciiTheme="majorEastAsia" w:hAnsiTheme="majorEastAsia" w:eastAsiaTheme="majorEastAsia" w:cstheme="majorEastAsia"/>
          <w:color w:val="auto"/>
          <w:sz w:val="24"/>
          <w:highlight w:val="none"/>
          <w:lang w:val="en-US" w:eastAsia="zh-CN"/>
        </w:rPr>
        <w:t>三标段接受</w:t>
      </w:r>
      <w:r>
        <w:rPr>
          <w:rFonts w:hint="eastAsia" w:asciiTheme="majorEastAsia" w:hAnsiTheme="majorEastAsia" w:eastAsiaTheme="majorEastAsia" w:cstheme="majorEastAsia"/>
          <w:color w:val="auto"/>
          <w:sz w:val="24"/>
          <w:highlight w:val="none"/>
        </w:rPr>
        <w:t>进口产品</w:t>
      </w:r>
      <w:r>
        <w:rPr>
          <w:rFonts w:hint="eastAsia" w:asciiTheme="majorEastAsia" w:hAnsiTheme="majorEastAsia" w:eastAsiaTheme="majorEastAsia" w:cstheme="majorEastAsia"/>
          <w:color w:val="auto"/>
          <w:sz w:val="24"/>
          <w:highlight w:val="none"/>
          <w:lang w:val="en-US" w:eastAsia="zh-CN"/>
        </w:rPr>
        <w:t>，</w:t>
      </w:r>
      <w:r>
        <w:rPr>
          <w:rFonts w:hint="eastAsia" w:asciiTheme="majorEastAsia" w:hAnsiTheme="majorEastAsia" w:eastAsiaTheme="majorEastAsia" w:cstheme="majorEastAsia"/>
          <w:color w:val="auto"/>
          <w:sz w:val="24"/>
          <w:highlight w:val="none"/>
        </w:rPr>
        <w:t>进口产品是指通过中国海关报关验放进入中国境内且产自关境外的产品。</w:t>
      </w:r>
    </w:p>
    <w:p w14:paraId="234748DC">
      <w:pPr>
        <w:keepLines w:val="0"/>
        <w:pageBreakBefore w:val="0"/>
        <w:widowControl w:val="0"/>
        <w:kinsoku/>
        <w:overflowPunct/>
        <w:topLinePunct w:val="0"/>
        <w:autoSpaceDE/>
        <w:autoSpaceDN/>
        <w:bidi w:val="0"/>
        <w:adjustRightInd w:val="0"/>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6.交货期限</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color w:val="auto"/>
          <w:sz w:val="24"/>
          <w:highlight w:val="none"/>
          <w:lang w:eastAsia="zh-CN"/>
        </w:rPr>
        <w:t>合同签订后60日历天内完成全部设备安装、调试交付使用；</w:t>
      </w:r>
    </w:p>
    <w:p w14:paraId="79D60FF5">
      <w:pPr>
        <w:keepLines w:val="0"/>
        <w:pageBreakBefore w:val="0"/>
        <w:widowControl w:val="0"/>
        <w:numPr>
          <w:ilvl w:val="0"/>
          <w:numId w:val="5"/>
        </w:numPr>
        <w:kinsoku/>
        <w:overflowPunct/>
        <w:topLinePunct w:val="0"/>
        <w:autoSpaceDE/>
        <w:autoSpaceDN/>
        <w:bidi w:val="0"/>
        <w:adjustRightInd w:val="0"/>
        <w:snapToGrid w:val="0"/>
        <w:spacing w:line="360" w:lineRule="auto"/>
        <w:ind w:firstLine="480" w:firstLineChars="200"/>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lang w:val="en-US" w:eastAsia="zh-CN"/>
        </w:rPr>
        <w:t>交付地点：云南省滇南中心医院（红河哈尼族彝族自治州第一人民医院）指定地点</w:t>
      </w:r>
      <w:r>
        <w:rPr>
          <w:rFonts w:hint="eastAsia" w:asciiTheme="majorEastAsia" w:hAnsiTheme="majorEastAsia" w:eastAsiaTheme="majorEastAsia" w:cstheme="majorEastAsia"/>
          <w:color w:val="auto"/>
          <w:sz w:val="24"/>
          <w:highlight w:val="none"/>
          <w:lang w:eastAsia="zh-CN"/>
        </w:rPr>
        <w:t>；</w:t>
      </w:r>
    </w:p>
    <w:p w14:paraId="6E9C808D">
      <w:pPr>
        <w:keepLines w:val="0"/>
        <w:pageBreakBefore w:val="0"/>
        <w:widowControl w:val="0"/>
        <w:numPr>
          <w:ilvl w:val="0"/>
          <w:numId w:val="5"/>
        </w:numPr>
        <w:kinsoku/>
        <w:overflowPunct/>
        <w:topLinePunct w:val="0"/>
        <w:autoSpaceDE/>
        <w:autoSpaceDN/>
        <w:bidi w:val="0"/>
        <w:adjustRightInd w:val="0"/>
        <w:snapToGrid w:val="0"/>
        <w:spacing w:line="360" w:lineRule="auto"/>
        <w:ind w:firstLine="480" w:firstLineChars="200"/>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rPr>
        <w:t>质量</w:t>
      </w:r>
      <w:r>
        <w:rPr>
          <w:rFonts w:hint="eastAsia" w:asciiTheme="majorEastAsia" w:hAnsiTheme="majorEastAsia" w:eastAsiaTheme="majorEastAsia" w:cstheme="majorEastAsia"/>
          <w:color w:val="auto"/>
          <w:sz w:val="24"/>
          <w:highlight w:val="none"/>
          <w:lang w:val="en-US" w:eastAsia="zh-CN"/>
        </w:rPr>
        <w:t>承诺</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color w:val="auto"/>
          <w:sz w:val="24"/>
          <w:highlight w:val="none"/>
          <w:lang w:eastAsia="zh-CN"/>
        </w:rPr>
        <w:t>符合国家、地方和行业标准规范及采购人要求；</w:t>
      </w:r>
    </w:p>
    <w:p w14:paraId="0505FA41">
      <w:pPr>
        <w:keepLines w:val="0"/>
        <w:pageBreakBefore w:val="0"/>
        <w:widowControl w:val="0"/>
        <w:numPr>
          <w:ilvl w:val="0"/>
          <w:numId w:val="5"/>
        </w:numPr>
        <w:kinsoku/>
        <w:overflowPunct/>
        <w:topLinePunct w:val="0"/>
        <w:autoSpaceDE/>
        <w:autoSpaceDN/>
        <w:bidi w:val="0"/>
        <w:adjustRightInd w:val="0"/>
        <w:snapToGrid w:val="0"/>
        <w:spacing w:line="360" w:lineRule="auto"/>
        <w:ind w:left="0" w:leftChars="0" w:firstLine="480" w:firstLineChars="200"/>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合同履行期限：合同签订之日起至质保期限结束为止；</w:t>
      </w:r>
    </w:p>
    <w:p w14:paraId="51919DD7">
      <w:pPr>
        <w:keepLines w:val="0"/>
        <w:pageBreakBefore w:val="0"/>
        <w:widowControl w:val="0"/>
        <w:numPr>
          <w:ilvl w:val="0"/>
          <w:numId w:val="5"/>
        </w:numPr>
        <w:kinsoku/>
        <w:overflowPunct/>
        <w:topLinePunct w:val="0"/>
        <w:autoSpaceDE/>
        <w:autoSpaceDN/>
        <w:bidi w:val="0"/>
        <w:adjustRightInd w:val="0"/>
        <w:snapToGrid w:val="0"/>
        <w:spacing w:line="360" w:lineRule="auto"/>
        <w:ind w:firstLine="480" w:firstLineChars="200"/>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质保期：不少于3年；</w:t>
      </w:r>
    </w:p>
    <w:p w14:paraId="3A37727F">
      <w:pPr>
        <w:keepLines w:val="0"/>
        <w:pageBreakBefore w:val="0"/>
        <w:widowControl w:val="0"/>
        <w:numPr>
          <w:ilvl w:val="0"/>
          <w:numId w:val="5"/>
        </w:numPr>
        <w:kinsoku/>
        <w:overflowPunct/>
        <w:topLinePunct w:val="0"/>
        <w:autoSpaceDE/>
        <w:autoSpaceDN/>
        <w:bidi w:val="0"/>
        <w:adjustRightInd w:val="0"/>
        <w:snapToGrid w:val="0"/>
        <w:spacing w:line="360" w:lineRule="auto"/>
        <w:ind w:firstLine="480" w:firstLineChars="200"/>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本项目不接受联合体投标。</w:t>
      </w:r>
    </w:p>
    <w:p w14:paraId="322CB910">
      <w:pPr>
        <w:pStyle w:val="3"/>
        <w:keepLines w:val="0"/>
        <w:pageBreakBefore w:val="0"/>
        <w:widowControl w:val="0"/>
        <w:numPr>
          <w:ilvl w:val="1"/>
          <w:numId w:val="0"/>
        </w:numPr>
        <w:kinsoku/>
        <w:overflowPunct/>
        <w:topLinePunct w:val="0"/>
        <w:autoSpaceDE/>
        <w:autoSpaceDN/>
        <w:bidi w:val="0"/>
        <w:adjustRightInd w:val="0"/>
        <w:snapToGrid w:val="0"/>
        <w:spacing w:line="360" w:lineRule="auto"/>
        <w:rPr>
          <w:rFonts w:hint="eastAsia" w:asciiTheme="majorEastAsia" w:hAnsiTheme="majorEastAsia" w:eastAsiaTheme="majorEastAsia" w:cstheme="majorEastAsia"/>
          <w:bCs/>
          <w:color w:val="auto"/>
          <w:szCs w:val="28"/>
          <w:highlight w:val="none"/>
        </w:rPr>
      </w:pPr>
      <w:bookmarkStart w:id="16" w:name="_Toc35393622"/>
      <w:bookmarkStart w:id="17" w:name="_Toc28359003"/>
      <w:bookmarkStart w:id="18" w:name="_Toc35393791"/>
      <w:bookmarkStart w:id="19" w:name="_Toc28359080"/>
      <w:r>
        <w:rPr>
          <w:rFonts w:hint="eastAsia" w:asciiTheme="majorEastAsia" w:hAnsiTheme="majorEastAsia" w:eastAsiaTheme="majorEastAsia" w:cstheme="majorEastAsia"/>
          <w:bCs/>
          <w:color w:val="auto"/>
          <w:szCs w:val="28"/>
          <w:highlight w:val="none"/>
        </w:rPr>
        <w:t>二、申请人的资格要求：</w:t>
      </w:r>
      <w:bookmarkEnd w:id="16"/>
      <w:bookmarkEnd w:id="17"/>
      <w:bookmarkEnd w:id="18"/>
      <w:bookmarkEnd w:id="19"/>
    </w:p>
    <w:p w14:paraId="7BB18361">
      <w:pPr>
        <w:pStyle w:val="1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color w:val="auto"/>
          <w:sz w:val="24"/>
          <w:highlight w:val="none"/>
        </w:rPr>
      </w:pPr>
      <w:bookmarkStart w:id="20" w:name="_Toc35393792"/>
      <w:bookmarkStart w:id="21" w:name="_Toc35393623"/>
      <w:r>
        <w:rPr>
          <w:rFonts w:hint="eastAsia" w:asciiTheme="majorEastAsia" w:hAnsiTheme="majorEastAsia" w:eastAsiaTheme="majorEastAsia" w:cstheme="majorEastAsia"/>
          <w:color w:val="auto"/>
          <w:sz w:val="24"/>
          <w:highlight w:val="none"/>
          <w:lang w:val="en-US" w:eastAsia="zh-CN"/>
        </w:rPr>
        <w:t>1</w:t>
      </w:r>
      <w:r>
        <w:rPr>
          <w:rFonts w:hint="eastAsia" w:asciiTheme="majorEastAsia" w:hAnsiTheme="majorEastAsia" w:eastAsiaTheme="majorEastAsia" w:cstheme="majorEastAsia"/>
          <w:color w:val="auto"/>
          <w:sz w:val="24"/>
          <w:highlight w:val="none"/>
        </w:rPr>
        <w:t>.1满足《中华人民共和国政府采购法》第二十二条规定；</w:t>
      </w:r>
    </w:p>
    <w:p w14:paraId="0809814D">
      <w:pPr>
        <w:pStyle w:val="1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（1）具有独立承担民事责任的能力，提供法人或者其他组织的营业执照等证明材料；</w:t>
      </w:r>
    </w:p>
    <w:p w14:paraId="0235A368">
      <w:pPr>
        <w:pStyle w:val="1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2）具有良好的商业信誉和健全的财务会计制度，提供2024年或2025年审计机构出具的审计报告及会计报表（含资产负债表、现金流量表、利润表）（新注册不满一年的企业可提供成立至今的会计报表或银行开具的资信证明文件或书面说明，此项要求可不列入废标条款）；</w:t>
      </w:r>
    </w:p>
    <w:p w14:paraId="778249CE">
      <w:pPr>
        <w:pStyle w:val="1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（3）具有履行合同所必需的设备和专业技术能力，提供相关证明材料或书面声明（加盖公章）；</w:t>
      </w:r>
    </w:p>
    <w:p w14:paraId="6E27F8E7">
      <w:pPr>
        <w:pStyle w:val="1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4）有依法缴纳税收和社会保障资金的良好记录，提供2025年06月至今任意3个月依法缴纳税收和社会保障资金的证明材料，依法免缴的，应提供依法免缴的相关证明材料；若为新成立的公司提供成立以来税收和社会保障资金缴纳凭证或相关情况说明，依法不需要缴纳税收和社保的应提供相应的证明材料或情况说明；</w:t>
      </w:r>
    </w:p>
    <w:p w14:paraId="6AEF8D12">
      <w:pPr>
        <w:pStyle w:val="1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（5）参加政府采购活动前三年内，在经营活动中没有重大违法记录（重大违法记录是指投标人因违法经营受到刑事处罚或者责令停产停业、吊销许可证或者执照、较大数额罚款等行政处罚）提供书面声明；</w:t>
      </w:r>
    </w:p>
    <w:p w14:paraId="00F09AA3">
      <w:pPr>
        <w:pStyle w:val="1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（6）法律、行政法规规定的其他条件；</w:t>
      </w:r>
    </w:p>
    <w:p w14:paraId="5E076055">
      <w:pPr>
        <w:pStyle w:val="1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7）投标人不得为“信用中国”网站（www.creditchina.gov.cn）中列入失信被执行人和重大税收违法失信主体；投标人不得为中国政府采购网（www.ccgp.gov.cn）政府采购严重违法失信行为记录名单中被财政部门禁止参加政府采购活动并且处罚期限未满的（由采购人或采购代理机构在开标当天进行查询）；</w:t>
      </w:r>
    </w:p>
    <w:p w14:paraId="6E768E0D">
      <w:pPr>
        <w:pStyle w:val="1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（8）投标人在国家企业信用信息公示系统（www.gsxt.gov.cn）中未出现行政处罚、列入经营异常名录、列入严重违法失信企业名单（黑名单）查询结果（由采购人或采购代理机构在开标当天进行查询）。</w:t>
      </w:r>
    </w:p>
    <w:p w14:paraId="54D2B936">
      <w:pPr>
        <w:pStyle w:val="1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1</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color w:val="auto"/>
          <w:sz w:val="24"/>
          <w:highlight w:val="none"/>
          <w:lang w:val="en-US" w:eastAsia="zh-CN"/>
        </w:rPr>
        <w:t>2</w:t>
      </w:r>
      <w:r>
        <w:rPr>
          <w:rFonts w:hint="eastAsia" w:asciiTheme="majorEastAsia" w:hAnsiTheme="majorEastAsia" w:eastAsiaTheme="majorEastAsia" w:cstheme="majorEastAsia"/>
          <w:color w:val="auto"/>
          <w:sz w:val="24"/>
          <w:highlight w:val="none"/>
        </w:rPr>
        <w:t>落实政府采购政策需满足的资格要求：</w:t>
      </w:r>
    </w:p>
    <w:p w14:paraId="60939A16">
      <w:pPr>
        <w:pStyle w:val="1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1）本项目非专门面向中小企业采购；本项目扶持中小微企业政策：《政府采购促进中小企业发展管理办法》（财库〔2020〕46号）、《财政部关于进一步加大政府采购支持中小企业力度的通知》（财库〔2022〕19号）、《财政部、司法部关于政府采购支持监狱企业发展有关问题的通知》(财库[2014]68号)、《关于促进残疾人就业政府采购政策的通知》（财库[2017]141号）。扶持中小企业政策：针对小微企业报价给予10%的扣除，用扣除后的价格参加评审。监狱企业、残疾人福利性单位提供的产品视同小型、微型企业。</w:t>
      </w:r>
    </w:p>
    <w:p w14:paraId="7389C343">
      <w:pPr>
        <w:pStyle w:val="1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（2）对本国产品的支持政策</w:t>
      </w:r>
    </w:p>
    <w:p w14:paraId="0BC5BB77">
      <w:pPr>
        <w:pStyle w:val="1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政府采购活动中既有本国产品又有非本国产品参与竞争的，依法对本国产品给予价格评审优惠，对本国产品的报价给予20%的价格扣除，用扣除后的价格参与评审。</w:t>
      </w:r>
    </w:p>
    <w:p w14:paraId="50167648">
      <w:pPr>
        <w:pStyle w:val="1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B0133F0">
      <w:pPr>
        <w:pStyle w:val="1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highlight w:val="none"/>
          <w:lang w:val="en-US" w:eastAsia="zh-CN"/>
        </w:rPr>
        <w:t>1</w:t>
      </w:r>
      <w:r>
        <w:rPr>
          <w:rFonts w:hint="eastAsia" w:asciiTheme="majorEastAsia" w:hAnsiTheme="majorEastAsia" w:eastAsiaTheme="majorEastAsia" w:cstheme="majorEastAsia"/>
          <w:color w:val="auto"/>
          <w:sz w:val="24"/>
          <w:highlight w:val="none"/>
        </w:rPr>
        <w:t>.3本项目的特定资格要求：</w:t>
      </w:r>
      <w:r>
        <w:rPr>
          <w:rFonts w:hint="eastAsia" w:asciiTheme="majorEastAsia" w:hAnsiTheme="majorEastAsia" w:eastAsiaTheme="majorEastAsia" w:cstheme="majorEastAsia"/>
          <w:color w:val="auto"/>
          <w:sz w:val="24"/>
          <w:highlight w:val="none"/>
          <w:lang w:val="en-US" w:eastAsia="zh-CN"/>
        </w:rPr>
        <w:t>投标人如果是代理商或经销商，须提供医疗器械经营许可/备案证、所投产品制造商医疗器械生产许可/备案证（制造商工商注册地在中华人民共和国境外的，不做此要求）、所投产品的医疗器械注册证；投标人如果是制造商，须提供医疗器械生产许可/备案证（制造商工商注册地在中华人民共和国境外的，不做此要求）、所投产品的医疗器械注册证。医疗器械生产或经营许可/备案证生产或经营范围须覆盖所投第二、三类医疗器械（扫描件加盖电子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14:paraId="1980B8C7">
      <w:pPr>
        <w:pStyle w:val="3"/>
        <w:keepLines w:val="0"/>
        <w:pageBreakBefore w:val="0"/>
        <w:widowControl w:val="0"/>
        <w:numPr>
          <w:ilvl w:val="1"/>
          <w:numId w:val="0"/>
        </w:numPr>
        <w:kinsoku/>
        <w:overflowPunct/>
        <w:topLinePunct w:val="0"/>
        <w:autoSpaceDE/>
        <w:autoSpaceDN/>
        <w:bidi w:val="0"/>
        <w:adjustRightInd w:val="0"/>
        <w:snapToGrid w:val="0"/>
        <w:spacing w:line="380" w:lineRule="auto"/>
        <w:ind w:firstLine="562" w:firstLineChars="200"/>
        <w:rPr>
          <w:rFonts w:hint="eastAsia" w:asciiTheme="majorEastAsia" w:hAnsiTheme="majorEastAsia" w:eastAsiaTheme="majorEastAsia" w:cstheme="majorEastAsia"/>
          <w:bCs/>
          <w:color w:val="auto"/>
          <w:szCs w:val="28"/>
          <w:highlight w:val="none"/>
        </w:rPr>
      </w:pPr>
      <w:r>
        <w:rPr>
          <w:rFonts w:hint="eastAsia" w:asciiTheme="majorEastAsia" w:hAnsiTheme="majorEastAsia" w:eastAsiaTheme="majorEastAsia" w:cstheme="majorEastAsia"/>
          <w:bCs/>
          <w:color w:val="auto"/>
          <w:szCs w:val="28"/>
          <w:highlight w:val="none"/>
        </w:rPr>
        <w:t>三、获取招标文件</w:t>
      </w:r>
      <w:bookmarkEnd w:id="20"/>
      <w:bookmarkEnd w:id="21"/>
    </w:p>
    <w:p w14:paraId="38FB45D8">
      <w:pPr>
        <w:keepLines w:val="0"/>
        <w:pageBreakBefore w:val="0"/>
        <w:widowControl w:val="0"/>
        <w:kinsoku/>
        <w:overflowPunct/>
        <w:topLinePunct w:val="0"/>
        <w:autoSpaceDE/>
        <w:autoSpaceDN/>
        <w:bidi w:val="0"/>
        <w:adjustRightInd w:val="0"/>
        <w:snapToGrid w:val="0"/>
        <w:spacing w:line="360" w:lineRule="auto"/>
        <w:ind w:firstLine="480" w:firstLineChars="200"/>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rPr>
        <w:t>1.时间：</w:t>
      </w:r>
      <w:r>
        <w:rPr>
          <w:rFonts w:hint="eastAsia" w:asciiTheme="majorEastAsia" w:hAnsiTheme="majorEastAsia" w:eastAsiaTheme="majorEastAsia" w:cstheme="majorEastAsia"/>
          <w:color w:val="auto"/>
          <w:sz w:val="24"/>
          <w:highlight w:val="none"/>
          <w:u w:val="single"/>
          <w:lang w:eastAsia="zh-CN"/>
        </w:rPr>
        <w:t>2026年09月15日06时00分至2026年09月21日23时59分</w:t>
      </w:r>
      <w:r>
        <w:rPr>
          <w:rFonts w:hint="eastAsia" w:asciiTheme="majorEastAsia" w:hAnsiTheme="majorEastAsia" w:eastAsiaTheme="majorEastAsia" w:cstheme="majorEastAsia"/>
          <w:color w:val="auto"/>
          <w:sz w:val="24"/>
          <w:highlight w:val="none"/>
        </w:rPr>
        <w:t>（北京时间，法定节假日除外）</w:t>
      </w:r>
      <w:r>
        <w:rPr>
          <w:rFonts w:hint="eastAsia" w:asciiTheme="majorEastAsia" w:hAnsiTheme="majorEastAsia" w:eastAsiaTheme="majorEastAsia" w:cstheme="majorEastAsia"/>
          <w:color w:val="auto"/>
          <w:sz w:val="24"/>
          <w:highlight w:val="none"/>
          <w:lang w:eastAsia="zh-CN"/>
        </w:rPr>
        <w:t>。</w:t>
      </w:r>
    </w:p>
    <w:p w14:paraId="01EA6F22">
      <w:pPr>
        <w:keepLines w:val="0"/>
        <w:pageBreakBefore w:val="0"/>
        <w:widowControl w:val="0"/>
        <w:kinsoku/>
        <w:overflowPunct/>
        <w:topLinePunct w:val="0"/>
        <w:autoSpaceDE/>
        <w:autoSpaceDN/>
        <w:bidi w:val="0"/>
        <w:adjustRightInd w:val="0"/>
        <w:snapToGrid w:val="0"/>
        <w:spacing w:line="360" w:lineRule="auto"/>
        <w:ind w:firstLine="480" w:firstLineChars="200"/>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rPr>
        <w:t>2.地点：</w:t>
      </w:r>
      <w:r>
        <w:rPr>
          <w:rFonts w:hint="eastAsia" w:asciiTheme="majorEastAsia" w:hAnsiTheme="majorEastAsia" w:eastAsiaTheme="majorEastAsia" w:cstheme="majorEastAsia"/>
          <w:color w:val="auto"/>
          <w:sz w:val="24"/>
          <w:highlight w:val="none"/>
          <w:lang w:eastAsia="zh-CN"/>
        </w:rPr>
        <w:t>政采云平台（https://www.zcygov.cn/）。</w:t>
      </w:r>
    </w:p>
    <w:p w14:paraId="0383C4E1">
      <w:pPr>
        <w:keepLines w:val="0"/>
        <w:pageBreakBefore w:val="0"/>
        <w:widowControl w:val="0"/>
        <w:kinsoku/>
        <w:wordWrap w:val="0"/>
        <w:overflowPunct/>
        <w:topLinePunct w:val="0"/>
        <w:autoSpaceDE/>
        <w:autoSpaceDN/>
        <w:bidi w:val="0"/>
        <w:adjustRightInd w:val="0"/>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3.方式：凡有意参加投标者，须在政采云平台办理数字证书（CA），CA申领链接：https://middle.zcygov.cn/ca/apply/list?_app_=zcy.sys，并在政采云绑定数字证书（CA）后在网上</w:t>
      </w:r>
      <w:r>
        <w:rPr>
          <w:rFonts w:hint="eastAsia" w:asciiTheme="majorEastAsia" w:hAnsiTheme="majorEastAsia" w:eastAsiaTheme="majorEastAsia" w:cstheme="majorEastAsia"/>
          <w:color w:val="auto"/>
          <w:sz w:val="24"/>
          <w:highlight w:val="none"/>
          <w:lang w:val="en-US" w:eastAsia="zh-CN"/>
        </w:rPr>
        <w:t>免费</w:t>
      </w:r>
      <w:r>
        <w:rPr>
          <w:rFonts w:hint="eastAsia" w:asciiTheme="majorEastAsia" w:hAnsiTheme="majorEastAsia" w:eastAsiaTheme="majorEastAsia" w:cstheme="majorEastAsia"/>
          <w:color w:val="auto"/>
          <w:sz w:val="24"/>
          <w:highlight w:val="none"/>
        </w:rPr>
        <w:t>获取采购文件及其它采购资料，数字证书（CA）详见其办理流程。注：如果供应商之前已经在云南CA在线数字证书办理网注册并办理了企业数字证书（CA），则可以直接进行绑定，无需重复办理。此外，供应商在政采云平台办理的其他CA也可以直接使用，无需重复办理。如有问题可拨打政采云客户服务热线95763进行咨询，数字证书问题可咨询云南壹证通CA：0871-67276028。</w:t>
      </w:r>
    </w:p>
    <w:p w14:paraId="21F684AA">
      <w:pPr>
        <w:keepLines w:val="0"/>
        <w:pageBreakBefore w:val="0"/>
        <w:widowControl w:val="0"/>
        <w:kinsoku/>
        <w:overflowPunct/>
        <w:topLinePunct w:val="0"/>
        <w:autoSpaceDE/>
        <w:autoSpaceDN/>
        <w:bidi w:val="0"/>
        <w:adjustRightInd w:val="0"/>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5.售价（元）：0.00</w:t>
      </w:r>
    </w:p>
    <w:p w14:paraId="185A3AF2">
      <w:pPr>
        <w:pStyle w:val="3"/>
        <w:keepLines w:val="0"/>
        <w:pageBreakBefore w:val="0"/>
        <w:widowControl w:val="0"/>
        <w:numPr>
          <w:ilvl w:val="1"/>
          <w:numId w:val="0"/>
        </w:numPr>
        <w:kinsoku/>
        <w:overflowPunct/>
        <w:topLinePunct w:val="0"/>
        <w:autoSpaceDE/>
        <w:autoSpaceDN/>
        <w:bidi w:val="0"/>
        <w:adjustRightInd w:val="0"/>
        <w:snapToGrid w:val="0"/>
        <w:spacing w:line="360" w:lineRule="auto"/>
        <w:ind w:firstLine="562" w:firstLineChars="200"/>
        <w:rPr>
          <w:rFonts w:hint="eastAsia" w:asciiTheme="majorEastAsia" w:hAnsiTheme="majorEastAsia" w:eastAsiaTheme="majorEastAsia" w:cstheme="majorEastAsia"/>
          <w:bCs/>
          <w:color w:val="auto"/>
          <w:szCs w:val="28"/>
          <w:highlight w:val="none"/>
        </w:rPr>
      </w:pPr>
      <w:bookmarkStart w:id="22" w:name="_Toc28359005"/>
      <w:bookmarkStart w:id="23" w:name="_Toc28359082"/>
      <w:bookmarkStart w:id="24" w:name="_Toc35393624"/>
      <w:bookmarkStart w:id="25" w:name="_Toc35393793"/>
      <w:r>
        <w:rPr>
          <w:rFonts w:hint="eastAsia" w:asciiTheme="majorEastAsia" w:hAnsiTheme="majorEastAsia" w:eastAsiaTheme="majorEastAsia" w:cstheme="majorEastAsia"/>
          <w:bCs/>
          <w:color w:val="auto"/>
          <w:szCs w:val="28"/>
          <w:highlight w:val="none"/>
        </w:rPr>
        <w:t>四、提交投标文件</w:t>
      </w:r>
      <w:bookmarkEnd w:id="22"/>
      <w:bookmarkEnd w:id="23"/>
      <w:r>
        <w:rPr>
          <w:rFonts w:hint="eastAsia" w:asciiTheme="majorEastAsia" w:hAnsiTheme="majorEastAsia" w:eastAsiaTheme="majorEastAsia" w:cstheme="majorEastAsia"/>
          <w:bCs/>
          <w:color w:val="auto"/>
          <w:szCs w:val="28"/>
          <w:highlight w:val="none"/>
        </w:rPr>
        <w:t>截止时间、开标时间和地点</w:t>
      </w:r>
      <w:bookmarkEnd w:id="24"/>
      <w:bookmarkEnd w:id="25"/>
    </w:p>
    <w:p w14:paraId="2732B46D">
      <w:pPr>
        <w:keepLines w:val="0"/>
        <w:pageBreakBefore w:val="0"/>
        <w:widowControl w:val="0"/>
        <w:kinsoku/>
        <w:overflowPunct/>
        <w:topLinePunct w:val="0"/>
        <w:autoSpaceDE/>
        <w:autoSpaceDN/>
        <w:bidi w:val="0"/>
        <w:adjustRightInd w:val="0"/>
        <w:snapToGrid w:val="0"/>
        <w:spacing w:line="360" w:lineRule="auto"/>
        <w:ind w:firstLine="480" w:firstLineChars="200"/>
        <w:rPr>
          <w:rFonts w:hint="eastAsia" w:asciiTheme="majorEastAsia" w:hAnsiTheme="majorEastAsia" w:eastAsiaTheme="majorEastAsia" w:cstheme="majorEastAsia"/>
          <w:bCs/>
          <w:color w:val="auto"/>
          <w:sz w:val="24"/>
          <w:highlight w:val="none"/>
          <w:u w:val="single"/>
        </w:rPr>
      </w:pPr>
      <w:r>
        <w:rPr>
          <w:rFonts w:hint="eastAsia" w:asciiTheme="majorEastAsia" w:hAnsiTheme="majorEastAsia" w:eastAsiaTheme="majorEastAsia" w:cstheme="majorEastAsia"/>
          <w:bCs/>
          <w:color w:val="auto"/>
          <w:sz w:val="24"/>
          <w:highlight w:val="none"/>
        </w:rPr>
        <w:t>1.提交投标文件截止时间及开标时间：并于</w:t>
      </w:r>
      <w:r>
        <w:rPr>
          <w:rFonts w:hint="eastAsia" w:asciiTheme="majorEastAsia" w:hAnsiTheme="majorEastAsia" w:eastAsiaTheme="majorEastAsia" w:cstheme="majorEastAsia"/>
          <w:bCs/>
          <w:color w:val="auto"/>
          <w:sz w:val="24"/>
          <w:highlight w:val="none"/>
          <w:lang w:eastAsia="zh-CN"/>
        </w:rPr>
        <w:t>2026年10月09日08时30分</w:t>
      </w:r>
      <w:r>
        <w:rPr>
          <w:rFonts w:hint="eastAsia" w:asciiTheme="majorEastAsia" w:hAnsiTheme="majorEastAsia" w:eastAsiaTheme="majorEastAsia" w:cstheme="majorEastAsia"/>
          <w:bCs/>
          <w:color w:val="auto"/>
          <w:sz w:val="24"/>
          <w:highlight w:val="none"/>
        </w:rPr>
        <w:t>（北京时间）</w:t>
      </w:r>
    </w:p>
    <w:p w14:paraId="2B0BDF19">
      <w:pPr>
        <w:keepLines w:val="0"/>
        <w:pageBreakBefore w:val="0"/>
        <w:widowControl w:val="0"/>
        <w:kinsoku/>
        <w:overflowPunct/>
        <w:topLinePunct w:val="0"/>
        <w:autoSpaceDE/>
        <w:autoSpaceDN/>
        <w:bidi w:val="0"/>
        <w:adjustRightInd w:val="0"/>
        <w:snapToGrid w:val="0"/>
        <w:spacing w:line="360" w:lineRule="auto"/>
        <w:ind w:firstLine="480" w:firstLineChars="200"/>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bCs/>
          <w:color w:val="auto"/>
          <w:sz w:val="24"/>
          <w:highlight w:val="none"/>
        </w:rPr>
        <w:t>2</w:t>
      </w:r>
      <w:r>
        <w:rPr>
          <w:rFonts w:hint="eastAsia" w:asciiTheme="majorEastAsia" w:hAnsiTheme="majorEastAsia" w:eastAsiaTheme="majorEastAsia" w:cstheme="majorEastAsia"/>
          <w:bCs/>
          <w:color w:val="auto"/>
          <w:sz w:val="24"/>
          <w:highlight w:val="none"/>
          <w:lang w:val="en-US" w:eastAsia="zh-CN"/>
        </w:rPr>
        <w:t>.</w:t>
      </w:r>
      <w:r>
        <w:rPr>
          <w:rFonts w:hint="eastAsia" w:asciiTheme="majorEastAsia" w:hAnsiTheme="majorEastAsia" w:eastAsiaTheme="majorEastAsia" w:cstheme="majorEastAsia"/>
          <w:bCs/>
          <w:color w:val="auto"/>
          <w:sz w:val="24"/>
          <w:highlight w:val="none"/>
        </w:rPr>
        <w:t>开标地点：</w:t>
      </w:r>
      <w:r>
        <w:rPr>
          <w:rFonts w:hint="eastAsia" w:asciiTheme="majorEastAsia" w:hAnsiTheme="majorEastAsia" w:eastAsiaTheme="majorEastAsia" w:cstheme="majorEastAsia"/>
          <w:bCs/>
          <w:color w:val="auto"/>
          <w:sz w:val="24"/>
          <w:highlight w:val="none"/>
          <w:lang w:eastAsia="zh-CN"/>
        </w:rPr>
        <w:t>政采云平台（https://www.zcygov.cn/）。</w:t>
      </w:r>
    </w:p>
    <w:p w14:paraId="20DE0F6E">
      <w:pPr>
        <w:pStyle w:val="3"/>
        <w:keepLines w:val="0"/>
        <w:pageBreakBefore w:val="0"/>
        <w:widowControl w:val="0"/>
        <w:numPr>
          <w:ilvl w:val="1"/>
          <w:numId w:val="0"/>
        </w:numPr>
        <w:kinsoku/>
        <w:overflowPunct/>
        <w:topLinePunct w:val="0"/>
        <w:autoSpaceDE/>
        <w:autoSpaceDN/>
        <w:bidi w:val="0"/>
        <w:adjustRightInd w:val="0"/>
        <w:snapToGrid w:val="0"/>
        <w:spacing w:line="360" w:lineRule="auto"/>
        <w:ind w:firstLine="562" w:firstLineChars="200"/>
        <w:rPr>
          <w:rFonts w:hint="eastAsia" w:asciiTheme="majorEastAsia" w:hAnsiTheme="majorEastAsia" w:eastAsiaTheme="majorEastAsia" w:cstheme="majorEastAsia"/>
          <w:bCs/>
          <w:color w:val="auto"/>
          <w:szCs w:val="28"/>
          <w:highlight w:val="none"/>
        </w:rPr>
      </w:pPr>
      <w:bookmarkStart w:id="26" w:name="_Toc35393794"/>
      <w:bookmarkStart w:id="27" w:name="_Toc28359007"/>
      <w:bookmarkStart w:id="28" w:name="_Toc35393625"/>
      <w:bookmarkStart w:id="29" w:name="_Toc28359084"/>
      <w:r>
        <w:rPr>
          <w:rFonts w:hint="eastAsia" w:asciiTheme="majorEastAsia" w:hAnsiTheme="majorEastAsia" w:eastAsiaTheme="majorEastAsia" w:cstheme="majorEastAsia"/>
          <w:bCs/>
          <w:color w:val="auto"/>
          <w:szCs w:val="28"/>
          <w:highlight w:val="none"/>
        </w:rPr>
        <w:t>五、公告期限</w:t>
      </w:r>
      <w:bookmarkEnd w:id="26"/>
      <w:bookmarkEnd w:id="27"/>
      <w:bookmarkEnd w:id="28"/>
      <w:bookmarkEnd w:id="29"/>
    </w:p>
    <w:p w14:paraId="22A5A7E2">
      <w:pPr>
        <w:keepLines w:val="0"/>
        <w:pageBreakBefore w:val="0"/>
        <w:widowControl w:val="0"/>
        <w:kinsoku/>
        <w:overflowPunct/>
        <w:topLinePunct w:val="0"/>
        <w:autoSpaceDE/>
        <w:autoSpaceDN/>
        <w:bidi w:val="0"/>
        <w:adjustRightInd w:val="0"/>
        <w:snapToGrid w:val="0"/>
        <w:spacing w:line="360" w:lineRule="auto"/>
        <w:ind w:firstLine="480" w:firstLineChars="200"/>
        <w:rPr>
          <w:rFonts w:hint="eastAsia" w:asciiTheme="majorEastAsia" w:hAnsiTheme="majorEastAsia" w:eastAsiaTheme="majorEastAsia" w:cstheme="majorEastAsia"/>
          <w:color w:val="auto"/>
          <w:kern w:val="0"/>
          <w:sz w:val="28"/>
          <w:szCs w:val="28"/>
          <w:highlight w:val="none"/>
        </w:rPr>
      </w:pPr>
      <w:r>
        <w:rPr>
          <w:rFonts w:hint="eastAsia" w:asciiTheme="majorEastAsia" w:hAnsiTheme="majorEastAsia" w:eastAsiaTheme="majorEastAsia" w:cstheme="majorEastAsia"/>
          <w:color w:val="auto"/>
          <w:kern w:val="0"/>
          <w:sz w:val="24"/>
          <w:highlight w:val="none"/>
        </w:rPr>
        <w:t>1.自本公告发布之日起5个工作日。</w:t>
      </w:r>
    </w:p>
    <w:p w14:paraId="7ACFFB09">
      <w:pPr>
        <w:pStyle w:val="3"/>
        <w:keepLines w:val="0"/>
        <w:pageBreakBefore w:val="0"/>
        <w:widowControl w:val="0"/>
        <w:numPr>
          <w:ilvl w:val="1"/>
          <w:numId w:val="0"/>
        </w:numPr>
        <w:kinsoku/>
        <w:overflowPunct/>
        <w:topLinePunct w:val="0"/>
        <w:autoSpaceDE/>
        <w:autoSpaceDN/>
        <w:bidi w:val="0"/>
        <w:adjustRightInd w:val="0"/>
        <w:snapToGrid w:val="0"/>
        <w:spacing w:line="360" w:lineRule="auto"/>
        <w:ind w:firstLine="562" w:firstLineChars="200"/>
        <w:rPr>
          <w:rFonts w:hint="eastAsia" w:asciiTheme="majorEastAsia" w:hAnsiTheme="majorEastAsia" w:eastAsiaTheme="majorEastAsia" w:cstheme="majorEastAsia"/>
          <w:bCs/>
          <w:color w:val="auto"/>
          <w:szCs w:val="28"/>
          <w:highlight w:val="none"/>
        </w:rPr>
      </w:pPr>
      <w:bookmarkStart w:id="30" w:name="_Toc35393795"/>
      <w:bookmarkStart w:id="31" w:name="_Toc35393626"/>
      <w:r>
        <w:rPr>
          <w:rFonts w:hint="eastAsia" w:asciiTheme="majorEastAsia" w:hAnsiTheme="majorEastAsia" w:eastAsiaTheme="majorEastAsia" w:cstheme="majorEastAsia"/>
          <w:bCs/>
          <w:color w:val="auto"/>
          <w:szCs w:val="28"/>
          <w:highlight w:val="none"/>
        </w:rPr>
        <w:t>六、其他补充事宜</w:t>
      </w:r>
      <w:bookmarkEnd w:id="30"/>
      <w:bookmarkEnd w:id="31"/>
    </w:p>
    <w:p w14:paraId="5EDEB852">
      <w:pPr>
        <w:keepLines w:val="0"/>
        <w:pageBreakBefore w:val="0"/>
        <w:widowControl w:val="0"/>
        <w:kinsoku/>
        <w:wordWrap w:val="0"/>
        <w:overflowPunct/>
        <w:topLinePunct w:val="0"/>
        <w:autoSpaceDE/>
        <w:autoSpaceDN/>
        <w:bidi w:val="0"/>
        <w:adjustRightInd w:val="0"/>
        <w:snapToGrid w:val="0"/>
        <w:spacing w:line="360" w:lineRule="auto"/>
        <w:ind w:firstLine="480" w:firstLineChars="200"/>
        <w:rPr>
          <w:rFonts w:hint="eastAsia" w:asciiTheme="majorEastAsia" w:hAnsiTheme="majorEastAsia" w:eastAsiaTheme="majorEastAsia" w:cstheme="majorEastAsia"/>
          <w:color w:val="auto"/>
          <w:sz w:val="24"/>
          <w:highlight w:val="none"/>
        </w:rPr>
      </w:pPr>
      <w:bookmarkStart w:id="32" w:name="_Toc35393627"/>
      <w:bookmarkStart w:id="33" w:name="_Toc28359008"/>
      <w:bookmarkStart w:id="34" w:name="_Toc35393796"/>
      <w:bookmarkStart w:id="35" w:name="_Toc28359085"/>
      <w:r>
        <w:rPr>
          <w:rFonts w:hint="eastAsia" w:asciiTheme="majorEastAsia" w:hAnsiTheme="majorEastAsia" w:eastAsiaTheme="majorEastAsia" w:cstheme="majorEastAsia"/>
          <w:color w:val="auto"/>
          <w:sz w:val="24"/>
          <w:highlight w:val="none"/>
        </w:rPr>
        <w:t>1.开标方式：本项目采用网上开标远程解密方式。</w:t>
      </w:r>
    </w:p>
    <w:p w14:paraId="5DB64DD1">
      <w:pPr>
        <w:keepLines w:val="0"/>
        <w:pageBreakBefore w:val="0"/>
        <w:widowControl w:val="0"/>
        <w:kinsoku/>
        <w:overflowPunct/>
        <w:topLinePunct w:val="0"/>
        <w:autoSpaceDE/>
        <w:autoSpaceDN/>
        <w:bidi w:val="0"/>
        <w:adjustRightInd w:val="0"/>
        <w:snapToGrid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2.</w:t>
      </w:r>
      <w:r>
        <w:rPr>
          <w:rFonts w:hint="eastAsia" w:asciiTheme="majorEastAsia" w:hAnsiTheme="majorEastAsia" w:eastAsiaTheme="majorEastAsia" w:cstheme="majorEastAsia"/>
          <w:color w:val="auto"/>
          <w:sz w:val="24"/>
          <w:highlight w:val="none"/>
        </w:rPr>
        <w:t>本项目解密时间为</w:t>
      </w:r>
      <w:r>
        <w:rPr>
          <w:rFonts w:hint="eastAsia" w:asciiTheme="majorEastAsia" w:hAnsiTheme="majorEastAsia" w:eastAsiaTheme="majorEastAsia" w:cstheme="majorEastAsia"/>
          <w:color w:val="auto"/>
          <w:sz w:val="24"/>
          <w:highlight w:val="none"/>
          <w:lang w:val="en-US" w:eastAsia="zh-CN"/>
        </w:rPr>
        <w:t>3</w:t>
      </w:r>
      <w:r>
        <w:rPr>
          <w:rFonts w:hint="eastAsia" w:asciiTheme="majorEastAsia" w:hAnsiTheme="majorEastAsia" w:eastAsiaTheme="majorEastAsia" w:cstheme="majorEastAsia"/>
          <w:color w:val="auto"/>
          <w:sz w:val="24"/>
          <w:highlight w:val="none"/>
        </w:rPr>
        <w:t>0分钟，若</w:t>
      </w:r>
      <w:r>
        <w:rPr>
          <w:rFonts w:hint="eastAsia" w:asciiTheme="majorEastAsia" w:hAnsiTheme="majorEastAsia" w:eastAsiaTheme="majorEastAsia" w:cstheme="majorEastAsia"/>
          <w:color w:val="auto"/>
          <w:sz w:val="24"/>
          <w:highlight w:val="none"/>
          <w:lang w:val="en-US" w:eastAsia="zh-CN"/>
        </w:rPr>
        <w:t>供应商</w:t>
      </w:r>
      <w:r>
        <w:rPr>
          <w:rFonts w:hint="eastAsia" w:asciiTheme="majorEastAsia" w:hAnsiTheme="majorEastAsia" w:eastAsiaTheme="majorEastAsia" w:cstheme="majorEastAsia"/>
          <w:color w:val="auto"/>
          <w:sz w:val="24"/>
          <w:highlight w:val="none"/>
        </w:rPr>
        <w:t>未在规定时间完成投标文件解密，则视为无效</w:t>
      </w:r>
      <w:r>
        <w:rPr>
          <w:rFonts w:hint="eastAsia" w:asciiTheme="majorEastAsia" w:hAnsiTheme="majorEastAsia" w:eastAsiaTheme="majorEastAsia" w:cstheme="majorEastAsia"/>
          <w:color w:val="auto"/>
          <w:sz w:val="24"/>
          <w:highlight w:val="none"/>
          <w:lang w:val="en-US" w:eastAsia="zh-CN"/>
        </w:rPr>
        <w:t>投标（系统原因除外）</w:t>
      </w:r>
      <w:r>
        <w:rPr>
          <w:rFonts w:hint="eastAsia" w:asciiTheme="majorEastAsia" w:hAnsiTheme="majorEastAsia" w:eastAsiaTheme="majorEastAsia" w:cstheme="majorEastAsia"/>
          <w:color w:val="auto"/>
          <w:sz w:val="24"/>
          <w:highlight w:val="none"/>
        </w:rPr>
        <w:t>，不再进入</w:t>
      </w:r>
      <w:r>
        <w:rPr>
          <w:rFonts w:hint="eastAsia" w:asciiTheme="majorEastAsia" w:hAnsiTheme="majorEastAsia" w:eastAsiaTheme="majorEastAsia" w:cstheme="majorEastAsia"/>
          <w:color w:val="auto"/>
          <w:sz w:val="24"/>
          <w:highlight w:val="none"/>
          <w:lang w:val="en-US" w:eastAsia="zh-CN"/>
        </w:rPr>
        <w:t>评审</w:t>
      </w:r>
      <w:r>
        <w:rPr>
          <w:rFonts w:hint="eastAsia" w:asciiTheme="majorEastAsia" w:hAnsiTheme="majorEastAsia" w:eastAsiaTheme="majorEastAsia" w:cstheme="majorEastAsia"/>
          <w:color w:val="auto"/>
          <w:sz w:val="24"/>
          <w:highlight w:val="none"/>
        </w:rPr>
        <w:t>阶段。</w:t>
      </w:r>
    </w:p>
    <w:p w14:paraId="51B01BE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color w:val="auto"/>
          <w:sz w:val="24"/>
          <w:highlight w:val="none"/>
          <w:lang w:val="en-US" w:eastAsia="zh-CN"/>
        </w:rPr>
        <w:t>3</w:t>
      </w:r>
      <w:r>
        <w:rPr>
          <w:rFonts w:hint="eastAsia" w:asciiTheme="majorEastAsia" w:hAnsiTheme="majorEastAsia" w:eastAsiaTheme="majorEastAsia" w:cstheme="majorEastAsia"/>
          <w:color w:val="auto"/>
          <w:sz w:val="24"/>
          <w:highlight w:val="none"/>
        </w:rPr>
        <w:t>.发布公告的媒介：</w:t>
      </w:r>
      <w:r>
        <w:rPr>
          <w:rFonts w:hint="eastAsia" w:asciiTheme="majorEastAsia" w:hAnsiTheme="majorEastAsia" w:eastAsiaTheme="majorEastAsia" w:cstheme="majorEastAsia"/>
          <w:bCs/>
          <w:color w:val="auto"/>
          <w:sz w:val="24"/>
          <w:highlight w:val="none"/>
        </w:rPr>
        <w:t>本次采购公告在云南省政府采购网（http://www.yngp.com/）上发布。采购人及采购代理机构对其他网站或媒体转载的公告信息及公告内容不承担任何责任。</w:t>
      </w:r>
    </w:p>
    <w:bookmarkEnd w:id="32"/>
    <w:bookmarkEnd w:id="33"/>
    <w:bookmarkEnd w:id="34"/>
    <w:bookmarkEnd w:id="35"/>
    <w:p w14:paraId="7E4087F5">
      <w:pPr>
        <w:keepNext w:val="0"/>
        <w:keepLines w:val="0"/>
        <w:pageBreakBefore w:val="0"/>
        <w:kinsoku/>
        <w:wordWrap/>
        <w:overflowPunct/>
        <w:topLinePunct w:val="0"/>
        <w:autoSpaceDE/>
        <w:autoSpaceDN/>
        <w:bidi w:val="0"/>
        <w:adjustRightInd w:val="0"/>
        <w:snapToGrid w:val="0"/>
        <w:spacing w:line="360" w:lineRule="auto"/>
        <w:ind w:firstLine="562" w:firstLineChars="200"/>
        <w:textAlignment w:val="auto"/>
        <w:rPr>
          <w:rFonts w:hint="eastAsia" w:asciiTheme="majorEastAsia" w:hAnsiTheme="majorEastAsia" w:eastAsiaTheme="majorEastAsia" w:cstheme="majorEastAsia"/>
          <w:bCs/>
          <w:color w:val="auto"/>
          <w:szCs w:val="28"/>
          <w:highlight w:val="none"/>
        </w:rPr>
      </w:pPr>
      <w:r>
        <w:rPr>
          <w:rFonts w:hint="eastAsia" w:asciiTheme="majorEastAsia" w:hAnsiTheme="majorEastAsia" w:eastAsiaTheme="majorEastAsia" w:cstheme="majorEastAsia"/>
          <w:b/>
          <w:bCs/>
          <w:color w:val="auto"/>
          <w:kern w:val="0"/>
          <w:sz w:val="28"/>
          <w:szCs w:val="28"/>
          <w:highlight w:val="none"/>
          <w:lang w:val="en-US" w:eastAsia="zh-CN" w:bidi="ar-SA"/>
        </w:rPr>
        <w:t>七、对本次招标提出询问，请按以下方式联系。</w:t>
      </w:r>
    </w:p>
    <w:p w14:paraId="33FA37DE">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1.采购人信息</w:t>
      </w:r>
    </w:p>
    <w:p w14:paraId="6F0B88B8">
      <w:pPr>
        <w:keepNext w:val="0"/>
        <w:keepLines w:val="0"/>
        <w:pageBreakBefore w:val="0"/>
        <w:kinsoku/>
        <w:wordWrap/>
        <w:overflowPunct/>
        <w:topLinePunct w:val="0"/>
        <w:autoSpaceDE/>
        <w:autoSpaceDN/>
        <w:bidi w:val="0"/>
        <w:adjustRightInd w:val="0"/>
        <w:snapToGrid w:val="0"/>
        <w:spacing w:line="360" w:lineRule="auto"/>
        <w:ind w:left="1079" w:leftChars="371" w:hanging="300" w:hangingChars="125"/>
        <w:jc w:val="left"/>
        <w:textAlignment w:val="auto"/>
        <w:rPr>
          <w:rFonts w:hint="eastAsia" w:asciiTheme="majorEastAsia" w:hAnsiTheme="majorEastAsia" w:eastAsiaTheme="majorEastAsia" w:cstheme="majorEastAsia"/>
          <w:color w:val="auto"/>
          <w:sz w:val="24"/>
          <w:szCs w:val="24"/>
          <w:highlight w:val="none"/>
          <w:u w:val="none"/>
        </w:rPr>
      </w:pPr>
      <w:r>
        <w:rPr>
          <w:rFonts w:hint="eastAsia" w:asciiTheme="majorEastAsia" w:hAnsiTheme="majorEastAsia" w:eastAsiaTheme="majorEastAsia" w:cstheme="majorEastAsia"/>
          <w:color w:val="auto"/>
          <w:sz w:val="24"/>
          <w:szCs w:val="24"/>
          <w:highlight w:val="none"/>
        </w:rPr>
        <w:t>名 称：</w:t>
      </w:r>
      <w:r>
        <w:rPr>
          <w:rFonts w:hint="eastAsia" w:asciiTheme="majorEastAsia" w:hAnsiTheme="majorEastAsia" w:eastAsiaTheme="majorEastAsia" w:cstheme="majorEastAsia"/>
          <w:color w:val="auto"/>
          <w:sz w:val="24"/>
          <w:szCs w:val="24"/>
          <w:highlight w:val="none"/>
          <w:u w:val="none"/>
          <w:lang w:eastAsia="zh-CN"/>
        </w:rPr>
        <w:t>云南省滇南中心医院（红河哈尼族彝族自治州第一人民医院）</w:t>
      </w:r>
      <w:r>
        <w:rPr>
          <w:rFonts w:hint="eastAsia" w:asciiTheme="majorEastAsia" w:hAnsiTheme="majorEastAsia" w:eastAsiaTheme="majorEastAsia" w:cstheme="majorEastAsia"/>
          <w:color w:val="auto"/>
          <w:sz w:val="24"/>
          <w:szCs w:val="24"/>
          <w:highlight w:val="none"/>
          <w:u w:val="none"/>
        </w:rPr>
        <w:t>　　</w:t>
      </w:r>
    </w:p>
    <w:p w14:paraId="197A3954">
      <w:pPr>
        <w:keepNext w:val="0"/>
        <w:keepLines w:val="0"/>
        <w:pageBreakBefore w:val="0"/>
        <w:kinsoku/>
        <w:wordWrap/>
        <w:overflowPunct/>
        <w:topLinePunct w:val="0"/>
        <w:autoSpaceDE/>
        <w:autoSpaceDN/>
        <w:bidi w:val="0"/>
        <w:adjustRightInd w:val="0"/>
        <w:snapToGrid w:val="0"/>
        <w:spacing w:line="360" w:lineRule="auto"/>
        <w:ind w:left="1079" w:leftChars="371" w:hanging="300" w:hangingChars="125"/>
        <w:jc w:val="left"/>
        <w:textAlignment w:val="auto"/>
        <w:rPr>
          <w:rFonts w:hint="eastAsia" w:asciiTheme="majorEastAsia" w:hAnsiTheme="majorEastAsia" w:eastAsiaTheme="majorEastAsia" w:cstheme="majorEastAsia"/>
          <w:color w:val="auto"/>
          <w:sz w:val="24"/>
          <w:szCs w:val="24"/>
          <w:highlight w:val="none"/>
          <w:u w:val="none"/>
          <w:lang w:eastAsia="zh-CN"/>
        </w:rPr>
      </w:pPr>
      <w:r>
        <w:rPr>
          <w:rFonts w:hint="eastAsia" w:asciiTheme="majorEastAsia" w:hAnsiTheme="majorEastAsia" w:eastAsiaTheme="majorEastAsia" w:cstheme="majorEastAsia"/>
          <w:color w:val="auto"/>
          <w:sz w:val="24"/>
          <w:szCs w:val="24"/>
          <w:highlight w:val="none"/>
          <w:u w:val="none"/>
        </w:rPr>
        <w:t>地    址：</w:t>
      </w:r>
      <w:r>
        <w:rPr>
          <w:rFonts w:hint="eastAsia" w:asciiTheme="majorEastAsia" w:hAnsiTheme="majorEastAsia" w:eastAsiaTheme="majorEastAsia" w:cstheme="majorEastAsia"/>
          <w:color w:val="auto"/>
          <w:sz w:val="24"/>
          <w:szCs w:val="24"/>
          <w:highlight w:val="none"/>
          <w:u w:val="none"/>
          <w:lang w:eastAsia="zh-CN"/>
        </w:rPr>
        <w:t>云南省红河州个旧市锡缘路1号</w:t>
      </w:r>
    </w:p>
    <w:p w14:paraId="145D2B69">
      <w:pPr>
        <w:keepNext w:val="0"/>
        <w:keepLines w:val="0"/>
        <w:pageBreakBefore w:val="0"/>
        <w:kinsoku/>
        <w:wordWrap/>
        <w:overflowPunct/>
        <w:topLinePunct w:val="0"/>
        <w:autoSpaceDE/>
        <w:autoSpaceDN/>
        <w:bidi w:val="0"/>
        <w:adjustRightInd w:val="0"/>
        <w:snapToGrid w:val="0"/>
        <w:spacing w:line="360" w:lineRule="auto"/>
        <w:ind w:left="1079" w:leftChars="371" w:hanging="300" w:hangingChars="125"/>
        <w:jc w:val="left"/>
        <w:textAlignment w:val="auto"/>
        <w:rPr>
          <w:rFonts w:hint="eastAsia" w:asciiTheme="majorEastAsia" w:hAnsiTheme="majorEastAsia" w:eastAsiaTheme="majorEastAsia" w:cstheme="majorEastAsia"/>
          <w:color w:val="auto"/>
          <w:sz w:val="24"/>
          <w:szCs w:val="24"/>
          <w:highlight w:val="none"/>
          <w:u w:val="none"/>
        </w:rPr>
      </w:pPr>
      <w:r>
        <w:rPr>
          <w:rFonts w:hint="eastAsia" w:asciiTheme="majorEastAsia" w:hAnsiTheme="majorEastAsia" w:eastAsiaTheme="majorEastAsia" w:cstheme="majorEastAsia"/>
          <w:color w:val="auto"/>
          <w:sz w:val="24"/>
          <w:szCs w:val="24"/>
          <w:highlight w:val="none"/>
          <w:u w:val="none"/>
        </w:rPr>
        <w:t>联系方式：</w:t>
      </w:r>
      <w:r>
        <w:rPr>
          <w:rFonts w:hint="eastAsia" w:asciiTheme="majorEastAsia" w:hAnsiTheme="majorEastAsia" w:eastAsiaTheme="majorEastAsia" w:cstheme="majorEastAsia"/>
          <w:color w:val="auto"/>
          <w:sz w:val="24"/>
          <w:szCs w:val="24"/>
          <w:highlight w:val="none"/>
          <w:u w:val="none"/>
          <w:lang w:eastAsia="zh-CN"/>
        </w:rPr>
        <w:t>0873-3722908</w:t>
      </w:r>
      <w:r>
        <w:rPr>
          <w:rFonts w:hint="eastAsia" w:asciiTheme="majorEastAsia" w:hAnsiTheme="majorEastAsia" w:eastAsiaTheme="majorEastAsia" w:cstheme="majorEastAsia"/>
          <w:color w:val="auto"/>
          <w:sz w:val="24"/>
          <w:szCs w:val="24"/>
          <w:highlight w:val="none"/>
          <w:u w:val="none"/>
        </w:rPr>
        <w:t xml:space="preserve">　　　　　 </w:t>
      </w:r>
      <w:bookmarkStart w:id="36" w:name="_Toc28359086"/>
      <w:bookmarkStart w:id="37" w:name="_Toc28359009"/>
    </w:p>
    <w:p w14:paraId="04C9973A">
      <w:pPr>
        <w:keepNext w:val="0"/>
        <w:keepLines w:val="0"/>
        <w:pageBreakBefore w:val="0"/>
        <w:kinsoku/>
        <w:wordWrap/>
        <w:overflowPunct/>
        <w:topLinePunct w:val="0"/>
        <w:autoSpaceDE/>
        <w:autoSpaceDN/>
        <w:bidi w:val="0"/>
        <w:adjustRightInd w:val="0"/>
        <w:snapToGrid w:val="0"/>
        <w:spacing w:line="360" w:lineRule="auto"/>
        <w:ind w:left="1004" w:leftChars="371" w:hanging="225" w:hangingChars="125"/>
        <w:jc w:val="left"/>
        <w:textAlignment w:val="auto"/>
        <w:rPr>
          <w:rFonts w:hint="eastAsia" w:asciiTheme="majorEastAsia" w:hAnsiTheme="majorEastAsia" w:eastAsiaTheme="majorEastAsia" w:cstheme="majorEastAsia"/>
          <w:color w:val="auto"/>
          <w:sz w:val="18"/>
          <w:szCs w:val="18"/>
          <w:highlight w:val="none"/>
          <w:u w:val="none"/>
        </w:rPr>
      </w:pPr>
    </w:p>
    <w:p w14:paraId="0518E345">
      <w:pPr>
        <w:keepNext w:val="0"/>
        <w:keepLines w:val="0"/>
        <w:pageBreakBefore w:val="0"/>
        <w:kinsoku/>
        <w:wordWrap/>
        <w:overflowPunct/>
        <w:topLinePunct w:val="0"/>
        <w:autoSpaceDE/>
        <w:autoSpaceDN/>
        <w:bidi w:val="0"/>
        <w:adjustRightInd w:val="0"/>
        <w:snapToGrid w:val="0"/>
        <w:spacing w:line="360" w:lineRule="auto"/>
        <w:ind w:left="1079" w:leftChars="371" w:hanging="300" w:hangingChars="125"/>
        <w:jc w:val="left"/>
        <w:textAlignment w:val="auto"/>
        <w:rPr>
          <w:rFonts w:hint="eastAsia" w:asciiTheme="majorEastAsia" w:hAnsiTheme="majorEastAsia" w:eastAsiaTheme="majorEastAsia" w:cstheme="majorEastAsia"/>
          <w:color w:val="auto"/>
          <w:sz w:val="24"/>
          <w:szCs w:val="24"/>
          <w:highlight w:val="none"/>
          <w:u w:val="none"/>
        </w:rPr>
      </w:pPr>
      <w:r>
        <w:rPr>
          <w:rFonts w:hint="eastAsia" w:asciiTheme="majorEastAsia" w:hAnsiTheme="majorEastAsia" w:eastAsiaTheme="majorEastAsia" w:cstheme="majorEastAsia"/>
          <w:color w:val="auto"/>
          <w:sz w:val="24"/>
          <w:szCs w:val="24"/>
          <w:highlight w:val="none"/>
          <w:u w:val="none"/>
        </w:rPr>
        <w:t>2.采购代理机构信息</w:t>
      </w:r>
      <w:bookmarkEnd w:id="36"/>
      <w:bookmarkEnd w:id="37"/>
    </w:p>
    <w:p w14:paraId="7500B5B2">
      <w:pPr>
        <w:keepNext w:val="0"/>
        <w:keepLines w:val="0"/>
        <w:pageBreakBefore w:val="0"/>
        <w:kinsoku/>
        <w:wordWrap/>
        <w:overflowPunct/>
        <w:topLinePunct w:val="0"/>
        <w:autoSpaceDE/>
        <w:autoSpaceDN/>
        <w:bidi w:val="0"/>
        <w:adjustRightInd w:val="0"/>
        <w:snapToGrid w:val="0"/>
        <w:spacing w:line="360" w:lineRule="auto"/>
        <w:ind w:firstLine="720" w:firstLineChars="300"/>
        <w:textAlignment w:val="auto"/>
        <w:rPr>
          <w:rFonts w:hint="eastAsia" w:asciiTheme="majorEastAsia" w:hAnsiTheme="majorEastAsia" w:eastAsiaTheme="majorEastAsia" w:cstheme="majorEastAsia"/>
          <w:color w:val="auto"/>
          <w:sz w:val="24"/>
          <w:szCs w:val="24"/>
          <w:highlight w:val="none"/>
          <w:u w:val="none"/>
        </w:rPr>
      </w:pPr>
      <w:r>
        <w:rPr>
          <w:rFonts w:hint="eastAsia" w:asciiTheme="majorEastAsia" w:hAnsiTheme="majorEastAsia" w:eastAsiaTheme="majorEastAsia" w:cstheme="majorEastAsia"/>
          <w:color w:val="auto"/>
          <w:sz w:val="24"/>
          <w:szCs w:val="24"/>
          <w:highlight w:val="none"/>
          <w:u w:val="none"/>
        </w:rPr>
        <w:t>名 称：</w:t>
      </w:r>
      <w:r>
        <w:rPr>
          <w:rFonts w:hint="eastAsia" w:asciiTheme="majorEastAsia" w:hAnsiTheme="majorEastAsia" w:eastAsiaTheme="majorEastAsia" w:cstheme="majorEastAsia"/>
          <w:color w:val="auto"/>
          <w:sz w:val="24"/>
          <w:szCs w:val="24"/>
          <w:highlight w:val="none"/>
          <w:u w:val="none"/>
          <w:lang w:eastAsia="zh-CN"/>
        </w:rPr>
        <w:t>红河嘉锐工程项目管理有限公司</w:t>
      </w:r>
      <w:r>
        <w:rPr>
          <w:rFonts w:hint="eastAsia" w:asciiTheme="majorEastAsia" w:hAnsiTheme="majorEastAsia" w:eastAsiaTheme="majorEastAsia" w:cstheme="majorEastAsia"/>
          <w:color w:val="auto"/>
          <w:sz w:val="24"/>
          <w:szCs w:val="24"/>
          <w:highlight w:val="none"/>
          <w:u w:val="none"/>
        </w:rPr>
        <w:t>　</w:t>
      </w:r>
    </w:p>
    <w:p w14:paraId="735EDEED">
      <w:pPr>
        <w:keepNext w:val="0"/>
        <w:keepLines w:val="0"/>
        <w:pageBreakBefore w:val="0"/>
        <w:kinsoku/>
        <w:wordWrap/>
        <w:overflowPunct/>
        <w:topLinePunct w:val="0"/>
        <w:autoSpaceDE/>
        <w:autoSpaceDN/>
        <w:bidi w:val="0"/>
        <w:adjustRightInd w:val="0"/>
        <w:snapToGrid w:val="0"/>
        <w:spacing w:line="360" w:lineRule="auto"/>
        <w:ind w:firstLine="720" w:firstLineChars="300"/>
        <w:textAlignment w:val="auto"/>
        <w:rPr>
          <w:rFonts w:hint="eastAsia" w:asciiTheme="majorEastAsia" w:hAnsiTheme="majorEastAsia" w:eastAsiaTheme="majorEastAsia" w:cstheme="majorEastAsia"/>
          <w:color w:val="auto"/>
          <w:sz w:val="24"/>
          <w:szCs w:val="24"/>
          <w:highlight w:val="none"/>
          <w:u w:val="none"/>
        </w:rPr>
      </w:pPr>
      <w:r>
        <w:rPr>
          <w:rFonts w:hint="eastAsia" w:asciiTheme="majorEastAsia" w:hAnsiTheme="majorEastAsia" w:eastAsiaTheme="majorEastAsia" w:cstheme="majorEastAsia"/>
          <w:color w:val="auto"/>
          <w:sz w:val="24"/>
          <w:szCs w:val="24"/>
          <w:highlight w:val="none"/>
          <w:u w:val="none"/>
        </w:rPr>
        <w:t>地　址：</w:t>
      </w:r>
      <w:r>
        <w:rPr>
          <w:rFonts w:hint="eastAsia" w:asciiTheme="majorEastAsia" w:hAnsiTheme="majorEastAsia" w:eastAsiaTheme="majorEastAsia" w:cstheme="majorEastAsia"/>
          <w:color w:val="auto"/>
          <w:sz w:val="24"/>
          <w:szCs w:val="24"/>
          <w:highlight w:val="none"/>
          <w:u w:val="none"/>
          <w:lang w:val="en-US" w:eastAsia="zh-CN"/>
        </w:rPr>
        <w:t>蒙自市天马路西延西侧晓龙岛小区26-7号</w:t>
      </w:r>
    </w:p>
    <w:p w14:paraId="493AFC33">
      <w:pPr>
        <w:keepNext w:val="0"/>
        <w:keepLines w:val="0"/>
        <w:pageBreakBefore w:val="0"/>
        <w:kinsoku/>
        <w:wordWrap/>
        <w:overflowPunct/>
        <w:topLinePunct w:val="0"/>
        <w:autoSpaceDE/>
        <w:autoSpaceDN/>
        <w:bidi w:val="0"/>
        <w:adjustRightInd w:val="0"/>
        <w:snapToGrid w:val="0"/>
        <w:spacing w:line="360" w:lineRule="auto"/>
        <w:ind w:firstLine="720" w:firstLineChars="300"/>
        <w:textAlignment w:val="auto"/>
        <w:rPr>
          <w:rFonts w:hint="eastAsia" w:asciiTheme="majorEastAsia" w:hAnsiTheme="majorEastAsia" w:eastAsiaTheme="majorEastAsia" w:cstheme="majorEastAsia"/>
          <w:color w:val="auto"/>
          <w:sz w:val="24"/>
          <w:szCs w:val="24"/>
          <w:highlight w:val="none"/>
          <w:u w:val="none"/>
        </w:rPr>
      </w:pPr>
      <w:r>
        <w:rPr>
          <w:rFonts w:hint="eastAsia" w:asciiTheme="majorEastAsia" w:hAnsiTheme="majorEastAsia" w:eastAsiaTheme="majorEastAsia" w:cstheme="majorEastAsia"/>
          <w:color w:val="auto"/>
          <w:sz w:val="24"/>
          <w:szCs w:val="24"/>
          <w:highlight w:val="none"/>
          <w:u w:val="none"/>
        </w:rPr>
        <w:t>联系方式：</w:t>
      </w:r>
      <w:bookmarkStart w:id="38" w:name="_Toc28359087"/>
      <w:bookmarkStart w:id="39" w:name="_Toc28359010"/>
      <w:r>
        <w:rPr>
          <w:rFonts w:hint="eastAsia" w:asciiTheme="majorEastAsia" w:hAnsiTheme="majorEastAsia" w:eastAsiaTheme="majorEastAsia" w:cstheme="majorEastAsia"/>
          <w:color w:val="auto"/>
          <w:sz w:val="24"/>
          <w:szCs w:val="24"/>
          <w:highlight w:val="none"/>
          <w:u w:val="none"/>
          <w:lang w:val="en-US" w:eastAsia="zh-CN"/>
        </w:rPr>
        <w:t>15974804761</w:t>
      </w:r>
      <w:r>
        <w:rPr>
          <w:rFonts w:hint="eastAsia" w:asciiTheme="majorEastAsia" w:hAnsiTheme="majorEastAsia" w:eastAsiaTheme="majorEastAsia" w:cstheme="majorEastAsia"/>
          <w:color w:val="auto"/>
          <w:sz w:val="24"/>
          <w:szCs w:val="24"/>
          <w:highlight w:val="none"/>
          <w:u w:val="none"/>
        </w:rPr>
        <w:t>　</w:t>
      </w:r>
      <w:r>
        <w:rPr>
          <w:rFonts w:hint="eastAsia" w:asciiTheme="majorEastAsia" w:hAnsiTheme="majorEastAsia" w:eastAsiaTheme="majorEastAsia" w:cstheme="majorEastAsia"/>
          <w:color w:val="auto"/>
          <w:sz w:val="24"/>
          <w:szCs w:val="24"/>
          <w:highlight w:val="none"/>
          <w:u w:val="none"/>
          <w:lang w:val="en-US" w:eastAsia="zh-CN"/>
        </w:rPr>
        <w:t>18214393183</w:t>
      </w:r>
      <w:r>
        <w:rPr>
          <w:rFonts w:hint="eastAsia" w:asciiTheme="majorEastAsia" w:hAnsiTheme="majorEastAsia" w:eastAsiaTheme="majorEastAsia" w:cstheme="majorEastAsia"/>
          <w:color w:val="auto"/>
          <w:sz w:val="24"/>
          <w:szCs w:val="24"/>
          <w:highlight w:val="none"/>
          <w:u w:val="none"/>
        </w:rPr>
        <w:t>　　</w:t>
      </w:r>
    </w:p>
    <w:p w14:paraId="7DC143B4">
      <w:pPr>
        <w:keepNext w:val="0"/>
        <w:keepLines w:val="0"/>
        <w:pageBreakBefore w:val="0"/>
        <w:kinsoku/>
        <w:wordWrap/>
        <w:overflowPunct/>
        <w:topLinePunct w:val="0"/>
        <w:autoSpaceDE/>
        <w:autoSpaceDN/>
        <w:bidi w:val="0"/>
        <w:adjustRightInd w:val="0"/>
        <w:snapToGrid w:val="0"/>
        <w:spacing w:line="360" w:lineRule="auto"/>
        <w:ind w:firstLine="540" w:firstLineChars="300"/>
        <w:textAlignment w:val="auto"/>
        <w:rPr>
          <w:rFonts w:hint="eastAsia" w:asciiTheme="majorEastAsia" w:hAnsiTheme="majorEastAsia" w:eastAsiaTheme="majorEastAsia" w:cstheme="majorEastAsia"/>
          <w:color w:val="auto"/>
          <w:sz w:val="18"/>
          <w:szCs w:val="18"/>
          <w:highlight w:val="none"/>
          <w:u w:val="none"/>
        </w:rPr>
      </w:pPr>
    </w:p>
    <w:p w14:paraId="71AFC3E7">
      <w:pPr>
        <w:keepNext w:val="0"/>
        <w:keepLines w:val="0"/>
        <w:pageBreakBefore w:val="0"/>
        <w:kinsoku/>
        <w:wordWrap/>
        <w:overflowPunct/>
        <w:topLinePunct w:val="0"/>
        <w:autoSpaceDE/>
        <w:autoSpaceDN/>
        <w:bidi w:val="0"/>
        <w:adjustRightInd w:val="0"/>
        <w:snapToGrid w:val="0"/>
        <w:spacing w:line="360" w:lineRule="auto"/>
        <w:ind w:firstLine="720" w:firstLineChars="300"/>
        <w:textAlignment w:val="auto"/>
        <w:rPr>
          <w:rFonts w:hint="eastAsia" w:asciiTheme="majorEastAsia" w:hAnsiTheme="majorEastAsia" w:eastAsiaTheme="majorEastAsia" w:cstheme="majorEastAsia"/>
          <w:color w:val="auto"/>
          <w:sz w:val="24"/>
          <w:szCs w:val="24"/>
          <w:highlight w:val="none"/>
          <w:u w:val="none"/>
        </w:rPr>
      </w:pPr>
      <w:r>
        <w:rPr>
          <w:rFonts w:hint="eastAsia" w:asciiTheme="majorEastAsia" w:hAnsiTheme="majorEastAsia" w:eastAsiaTheme="majorEastAsia" w:cstheme="majorEastAsia"/>
          <w:color w:val="auto"/>
          <w:sz w:val="24"/>
          <w:szCs w:val="24"/>
          <w:highlight w:val="none"/>
          <w:u w:val="none"/>
        </w:rPr>
        <w:t>3.项目联系方式</w:t>
      </w:r>
      <w:bookmarkEnd w:id="38"/>
      <w:bookmarkEnd w:id="39"/>
    </w:p>
    <w:p w14:paraId="2C013E11">
      <w:pPr>
        <w:pStyle w:val="17"/>
        <w:keepNext w:val="0"/>
        <w:keepLines w:val="0"/>
        <w:pageBreakBefore w:val="0"/>
        <w:kinsoku/>
        <w:wordWrap/>
        <w:overflowPunct/>
        <w:topLinePunct w:val="0"/>
        <w:autoSpaceDE/>
        <w:autoSpaceDN/>
        <w:bidi w:val="0"/>
        <w:adjustRightInd w:val="0"/>
        <w:snapToGrid w:val="0"/>
        <w:spacing w:line="360" w:lineRule="auto"/>
        <w:ind w:firstLine="720" w:firstLineChars="300"/>
        <w:textAlignment w:val="auto"/>
        <w:rPr>
          <w:rFonts w:hint="default" w:asciiTheme="majorEastAsia" w:hAnsiTheme="majorEastAsia" w:eastAsiaTheme="majorEastAsia" w:cstheme="majorEastAsia"/>
          <w:color w:val="auto"/>
          <w:sz w:val="24"/>
          <w:szCs w:val="24"/>
          <w:highlight w:val="none"/>
          <w:u w:val="none"/>
          <w:lang w:val="en-US" w:eastAsia="zh-CN"/>
        </w:rPr>
      </w:pPr>
      <w:r>
        <w:rPr>
          <w:rFonts w:hint="eastAsia" w:asciiTheme="majorEastAsia" w:hAnsiTheme="majorEastAsia" w:eastAsiaTheme="majorEastAsia" w:cstheme="majorEastAsia"/>
          <w:color w:val="auto"/>
          <w:sz w:val="24"/>
          <w:szCs w:val="24"/>
          <w:highlight w:val="none"/>
          <w:u w:val="none"/>
        </w:rPr>
        <w:t>项目联系人：</w:t>
      </w:r>
      <w:r>
        <w:rPr>
          <w:rFonts w:hint="eastAsia" w:asciiTheme="majorEastAsia" w:hAnsiTheme="majorEastAsia" w:eastAsiaTheme="majorEastAsia" w:cstheme="majorEastAsia"/>
          <w:color w:val="auto"/>
          <w:sz w:val="24"/>
          <w:szCs w:val="24"/>
          <w:highlight w:val="none"/>
          <w:u w:val="none"/>
          <w:lang w:val="en-US" w:eastAsia="zh-CN"/>
        </w:rPr>
        <w:t>普工、胡工</w:t>
      </w:r>
    </w:p>
    <w:p w14:paraId="778B0EE1">
      <w:pPr>
        <w:keepNext w:val="0"/>
        <w:keepLines w:val="0"/>
        <w:pageBreakBefore w:val="0"/>
        <w:kinsoku/>
        <w:wordWrap/>
        <w:overflowPunct/>
        <w:topLinePunct w:val="0"/>
        <w:autoSpaceDE/>
        <w:autoSpaceDN/>
        <w:bidi w:val="0"/>
        <w:adjustRightInd w:val="0"/>
        <w:snapToGrid w:val="0"/>
        <w:spacing w:line="360" w:lineRule="auto"/>
        <w:ind w:firstLine="720" w:firstLineChars="300"/>
        <w:textAlignment w:val="auto"/>
        <w:rPr>
          <w:rFonts w:hint="eastAsia" w:asciiTheme="majorEastAsia" w:hAnsiTheme="majorEastAsia" w:eastAsiaTheme="majorEastAsia" w:cstheme="majorEastAsia"/>
          <w:b/>
          <w:color w:val="auto"/>
          <w:sz w:val="36"/>
          <w:highlight w:val="none"/>
        </w:rPr>
      </w:pPr>
      <w:r>
        <w:rPr>
          <w:rFonts w:hint="eastAsia" w:asciiTheme="majorEastAsia" w:hAnsiTheme="majorEastAsia" w:eastAsiaTheme="majorEastAsia" w:cstheme="majorEastAsia"/>
          <w:color w:val="auto"/>
          <w:sz w:val="24"/>
          <w:szCs w:val="24"/>
          <w:highlight w:val="none"/>
          <w:u w:val="none"/>
        </w:rPr>
        <w:t>电　话：</w:t>
      </w:r>
      <w:r>
        <w:rPr>
          <w:rFonts w:hint="eastAsia" w:asciiTheme="majorEastAsia" w:hAnsiTheme="majorEastAsia" w:eastAsiaTheme="majorEastAsia" w:cstheme="majorEastAsia"/>
          <w:color w:val="auto"/>
          <w:sz w:val="24"/>
          <w:szCs w:val="24"/>
          <w:highlight w:val="none"/>
          <w:u w:val="none"/>
          <w:lang w:val="en-US" w:eastAsia="zh-CN"/>
        </w:rPr>
        <w:t>15974804761</w:t>
      </w:r>
      <w:r>
        <w:rPr>
          <w:rFonts w:hint="eastAsia" w:asciiTheme="majorEastAsia" w:hAnsiTheme="majorEastAsia" w:eastAsiaTheme="majorEastAsia" w:cstheme="majorEastAsia"/>
          <w:color w:val="auto"/>
          <w:sz w:val="24"/>
          <w:szCs w:val="24"/>
          <w:highlight w:val="none"/>
          <w:u w:val="none"/>
        </w:rPr>
        <w:t>　</w:t>
      </w:r>
      <w:r>
        <w:rPr>
          <w:rFonts w:hint="eastAsia" w:asciiTheme="majorEastAsia" w:hAnsiTheme="majorEastAsia" w:eastAsiaTheme="majorEastAsia" w:cstheme="majorEastAsia"/>
          <w:color w:val="auto"/>
          <w:sz w:val="24"/>
          <w:szCs w:val="24"/>
          <w:highlight w:val="none"/>
          <w:u w:val="none"/>
          <w:lang w:val="en-US" w:eastAsia="zh-CN"/>
        </w:rPr>
        <w:t>18214393183</w:t>
      </w:r>
      <w:r>
        <w:rPr>
          <w:rFonts w:hint="eastAsia" w:asciiTheme="majorEastAsia" w:hAnsiTheme="majorEastAsia" w:eastAsiaTheme="majorEastAsia" w:cstheme="majorEastAsia"/>
          <w:color w:val="auto"/>
          <w:sz w:val="24"/>
          <w:szCs w:val="24"/>
          <w:highlight w:val="none"/>
          <w:u w:val="none"/>
        </w:rPr>
        <w:t>　　　　</w:t>
      </w:r>
      <w:bookmarkEnd w:id="10"/>
      <w:bookmarkStart w:id="40" w:name="_Toc715"/>
      <w:r>
        <w:rPr>
          <w:rFonts w:hint="eastAsia" w:asciiTheme="majorEastAsia" w:hAnsiTheme="majorEastAsia" w:eastAsiaTheme="majorEastAsia" w:cstheme="majorEastAsia"/>
          <w:b/>
          <w:color w:val="auto"/>
          <w:sz w:val="36"/>
          <w:highlight w:val="none"/>
        </w:rPr>
        <w:br w:type="page"/>
      </w:r>
    </w:p>
    <w:p w14:paraId="052EFC6B">
      <w:pPr>
        <w:spacing w:line="420" w:lineRule="exact"/>
        <w:jc w:val="center"/>
        <w:rPr>
          <w:rFonts w:hint="eastAsia" w:asciiTheme="majorEastAsia" w:hAnsiTheme="majorEastAsia" w:eastAsiaTheme="majorEastAsia" w:cstheme="majorEastAsia"/>
          <w:b/>
          <w:color w:val="auto"/>
          <w:sz w:val="36"/>
          <w:highlight w:val="none"/>
        </w:rPr>
      </w:pPr>
    </w:p>
    <w:p w14:paraId="712ADF7F">
      <w:pPr>
        <w:spacing w:line="420" w:lineRule="exact"/>
        <w:jc w:val="center"/>
        <w:outlineLvl w:val="0"/>
        <w:rPr>
          <w:rFonts w:hint="eastAsia" w:asciiTheme="majorEastAsia" w:hAnsiTheme="majorEastAsia" w:eastAsiaTheme="majorEastAsia" w:cstheme="majorEastAsia"/>
          <w:b/>
          <w:color w:val="auto"/>
          <w:sz w:val="36"/>
          <w:szCs w:val="36"/>
          <w:highlight w:val="none"/>
        </w:rPr>
      </w:pPr>
      <w:bookmarkStart w:id="41" w:name="_Toc15694"/>
      <w:r>
        <w:rPr>
          <w:rFonts w:hint="eastAsia" w:asciiTheme="majorEastAsia" w:hAnsiTheme="majorEastAsia" w:eastAsiaTheme="majorEastAsia" w:cstheme="majorEastAsia"/>
          <w:color w:val="auto"/>
          <w:sz w:val="36"/>
          <w:highlight w:val="none"/>
        </w:rPr>
        <mc:AlternateContent>
          <mc:Choice Requires="wps">
            <w:drawing>
              <wp:anchor distT="0" distB="0" distL="114300" distR="114300" simplePos="0" relativeHeight="251659264" behindDoc="0" locked="0" layoutInCell="1" hidden="1" allowOverlap="1">
                <wp:simplePos x="0" y="0"/>
                <wp:positionH relativeFrom="column">
                  <wp:posOffset>-814705</wp:posOffset>
                </wp:positionH>
                <wp:positionV relativeFrom="paragraph">
                  <wp:posOffset>-787400</wp:posOffset>
                </wp:positionV>
                <wp:extent cx="63500" cy="63500"/>
                <wp:effectExtent l="0" t="0" r="0" b="0"/>
                <wp:wrapNone/>
                <wp:docPr id="1" name="KGD_Gobal1" descr="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"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4F81BD"/>
                        </a:solidFill>
                        <a:ln w="9525" cap="flat" cmpd="sng">
                          <a:solidFill>
                            <a:srgbClr val="385D8A"/>
                          </a:solidFill>
                          <a:prstDash val="solid"/>
                          <a:round/>
                          <a:headEnd type="none" w="med" len="med"/>
                          <a:tailEnd type="none" w="med" len="med"/>
                        </a:ln>
                      </wps:spPr>
                      <wps:bodyPr anchor="ctr" anchorCtr="0" upright="1"/>
                    </wps:wsp>
                  </a:graphicData>
                </a:graphic>
              </wp:anchor>
            </w:drawing>
          </mc:Choice>
          <mc:Fallback>
            <w:pict>
              <v:rect id="KGD_Gobal1" o:spid="_x0000_s1026" o:spt="1" alt="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" style="position:absolute;left:0pt;margin-left:-64.15pt;margin-top:-62pt;height:5pt;width:5pt;visibility:hidden;z-index:251659264;v-text-anchor:middle;mso-width-relative:page;mso-height-relative:page;" fillcolor="#4F81BD" filled="t" stroked="t" coordsize="21600,21600" o:gfxdata="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">
                <v:fill on="t" focussize="0,0"/>
                <v:stroke color="#385D8A" joinstyle="round"/>
                <v:imagedata o:title=""/>
                <o:lock v:ext="edit" aspectratio="f"/>
              </v:rect>
            </w:pict>
          </mc:Fallback>
        </mc:AlternateContent>
      </w:r>
      <w:r>
        <w:rPr>
          <w:rFonts w:hint="eastAsia" w:asciiTheme="majorEastAsia" w:hAnsiTheme="majorEastAsia" w:eastAsiaTheme="majorEastAsia" w:cstheme="majorEastAsia"/>
          <w:b/>
          <w:color w:val="auto"/>
          <w:sz w:val="36"/>
          <w:highlight w:val="none"/>
        </w:rPr>
        <w:t>第二章 投标人须知</w:t>
      </w:r>
      <w:bookmarkEnd w:id="41"/>
    </w:p>
    <w:p w14:paraId="44D3979B">
      <w:pPr>
        <w:pStyle w:val="3"/>
        <w:numPr>
          <w:ilvl w:val="0"/>
          <w:numId w:val="0"/>
        </w:numPr>
        <w:spacing w:line="240" w:lineRule="auto"/>
        <w:jc w:val="center"/>
        <w:rPr>
          <w:rFonts w:hint="eastAsia" w:asciiTheme="majorEastAsia" w:hAnsiTheme="majorEastAsia" w:eastAsiaTheme="majorEastAsia" w:cstheme="majorEastAsia"/>
          <w:bCs/>
          <w:color w:val="auto"/>
          <w:sz w:val="32"/>
          <w:szCs w:val="32"/>
          <w:highlight w:val="none"/>
        </w:rPr>
      </w:pPr>
      <w:bookmarkStart w:id="42" w:name="_Toc17378"/>
      <w:r>
        <w:rPr>
          <w:rFonts w:hint="eastAsia" w:asciiTheme="majorEastAsia" w:hAnsiTheme="majorEastAsia" w:eastAsiaTheme="majorEastAsia" w:cstheme="majorEastAsia"/>
          <w:bCs/>
          <w:color w:val="auto"/>
          <w:sz w:val="32"/>
          <w:szCs w:val="32"/>
          <w:highlight w:val="none"/>
        </w:rPr>
        <w:t>投标人须知前附表</w:t>
      </w:r>
      <w:bookmarkEnd w:id="42"/>
    </w:p>
    <w:tbl>
      <w:tblPr>
        <w:tblStyle w:val="30"/>
        <w:tblW w:w="10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8"/>
        <w:gridCol w:w="1739"/>
        <w:gridCol w:w="7723"/>
      </w:tblGrid>
      <w:tr w14:paraId="1FB6D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58" w:type="dxa"/>
            <w:vAlign w:val="center"/>
          </w:tcPr>
          <w:p w14:paraId="7443E2DF">
            <w:pPr>
              <w:pStyle w:val="17"/>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条款号</w:t>
            </w:r>
          </w:p>
        </w:tc>
        <w:tc>
          <w:tcPr>
            <w:tcW w:w="1739" w:type="dxa"/>
            <w:vAlign w:val="center"/>
          </w:tcPr>
          <w:p w14:paraId="31152A8C">
            <w:pPr>
              <w:pStyle w:val="17"/>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条 款 名 称</w:t>
            </w:r>
          </w:p>
        </w:tc>
        <w:tc>
          <w:tcPr>
            <w:tcW w:w="7723" w:type="dxa"/>
            <w:vAlign w:val="center"/>
          </w:tcPr>
          <w:p w14:paraId="3CFD3B10">
            <w:pPr>
              <w:pStyle w:val="17"/>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编 列 内 容</w:t>
            </w:r>
          </w:p>
        </w:tc>
      </w:tr>
      <w:tr w14:paraId="4F64E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58" w:type="dxa"/>
            <w:vMerge w:val="restart"/>
            <w:vAlign w:val="center"/>
          </w:tcPr>
          <w:p w14:paraId="0890F03F">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w:t>
            </w:r>
          </w:p>
        </w:tc>
        <w:tc>
          <w:tcPr>
            <w:tcW w:w="1739" w:type="dxa"/>
            <w:vAlign w:val="center"/>
          </w:tcPr>
          <w:p w14:paraId="65647461">
            <w:pPr>
              <w:pStyle w:val="17"/>
              <w:jc w:val="center"/>
              <w:rPr>
                <w:rFonts w:hint="eastAsia" w:asciiTheme="majorEastAsia" w:hAnsiTheme="majorEastAsia" w:eastAsiaTheme="majorEastAsia" w:cstheme="majorEastAsia"/>
                <w:color w:val="auto"/>
                <w:sz w:val="21"/>
                <w:szCs w:val="21"/>
                <w:highlight w:val="none"/>
                <w:u w:val="single"/>
              </w:rPr>
            </w:pPr>
            <w:r>
              <w:rPr>
                <w:rFonts w:hint="eastAsia" w:asciiTheme="majorEastAsia" w:hAnsiTheme="majorEastAsia" w:eastAsiaTheme="majorEastAsia" w:cstheme="majorEastAsia"/>
                <w:bCs/>
                <w:color w:val="auto"/>
                <w:sz w:val="21"/>
                <w:szCs w:val="21"/>
                <w:highlight w:val="none"/>
              </w:rPr>
              <w:t>采购人</w:t>
            </w:r>
          </w:p>
        </w:tc>
        <w:tc>
          <w:tcPr>
            <w:tcW w:w="7723" w:type="dxa"/>
            <w:vAlign w:val="center"/>
          </w:tcPr>
          <w:p w14:paraId="66301516">
            <w:pPr>
              <w:pStyle w:val="17"/>
              <w:ind w:left="210" w:leftChars="100"/>
              <w:rPr>
                <w:rFonts w:hint="eastAsia" w:asciiTheme="majorEastAsia" w:hAnsiTheme="majorEastAsia" w:eastAsiaTheme="majorEastAsia" w:cstheme="majorEastAsia"/>
                <w:color w:val="auto"/>
                <w:sz w:val="21"/>
                <w:szCs w:val="21"/>
                <w:highlight w:val="none"/>
                <w:lang w:eastAsia="zh-CN"/>
              </w:rPr>
            </w:pPr>
            <w:r>
              <w:rPr>
                <w:rFonts w:hint="eastAsia" w:asciiTheme="majorEastAsia" w:hAnsiTheme="majorEastAsia" w:eastAsiaTheme="majorEastAsia" w:cstheme="majorEastAsia"/>
                <w:color w:val="auto"/>
                <w:sz w:val="21"/>
                <w:szCs w:val="21"/>
                <w:highlight w:val="none"/>
                <w:lang w:eastAsia="zh-CN"/>
              </w:rPr>
              <w:t>云南省滇南中心医院（红河哈尼族彝族自治州第一人民医院）</w:t>
            </w:r>
          </w:p>
        </w:tc>
      </w:tr>
      <w:tr w14:paraId="512B6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5" w:hRule="atLeast"/>
          <w:jc w:val="center"/>
        </w:trPr>
        <w:tc>
          <w:tcPr>
            <w:tcW w:w="858" w:type="dxa"/>
            <w:vMerge w:val="continue"/>
            <w:vAlign w:val="center"/>
          </w:tcPr>
          <w:p w14:paraId="4869029C">
            <w:pPr>
              <w:rPr>
                <w:rFonts w:hint="eastAsia" w:asciiTheme="majorEastAsia" w:hAnsiTheme="majorEastAsia" w:eastAsiaTheme="majorEastAsia" w:cstheme="majorEastAsia"/>
                <w:color w:val="auto"/>
                <w:sz w:val="21"/>
                <w:szCs w:val="21"/>
                <w:highlight w:val="none"/>
              </w:rPr>
            </w:pPr>
          </w:p>
        </w:tc>
        <w:tc>
          <w:tcPr>
            <w:tcW w:w="1739" w:type="dxa"/>
            <w:vAlign w:val="center"/>
          </w:tcPr>
          <w:p w14:paraId="01A1AD9A">
            <w:pPr>
              <w:pStyle w:val="17"/>
              <w:jc w:val="center"/>
              <w:rPr>
                <w:rFonts w:hint="eastAsia" w:asciiTheme="majorEastAsia" w:hAnsiTheme="majorEastAsia" w:eastAsiaTheme="majorEastAsia" w:cstheme="majorEastAsia"/>
                <w:bCs/>
                <w:color w:val="auto"/>
                <w:sz w:val="21"/>
                <w:szCs w:val="21"/>
                <w:highlight w:val="none"/>
              </w:rPr>
            </w:pPr>
            <w:r>
              <w:rPr>
                <w:rFonts w:hint="eastAsia" w:asciiTheme="majorEastAsia" w:hAnsiTheme="majorEastAsia" w:eastAsiaTheme="majorEastAsia" w:cstheme="majorEastAsia"/>
                <w:bCs/>
                <w:color w:val="auto"/>
                <w:sz w:val="21"/>
                <w:szCs w:val="21"/>
                <w:highlight w:val="none"/>
              </w:rPr>
              <w:t>采购代理机构</w:t>
            </w:r>
          </w:p>
        </w:tc>
        <w:tc>
          <w:tcPr>
            <w:tcW w:w="7723" w:type="dxa"/>
            <w:vAlign w:val="center"/>
          </w:tcPr>
          <w:p w14:paraId="3C93E644">
            <w:pPr>
              <w:pStyle w:val="17"/>
              <w:ind w:left="210" w:leftChars="10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eastAsia="zh-CN"/>
              </w:rPr>
              <w:t>红河嘉锐工程项目管理有限公司</w:t>
            </w:r>
          </w:p>
        </w:tc>
      </w:tr>
      <w:tr w14:paraId="1F5C7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858" w:type="dxa"/>
            <w:vMerge w:val="continue"/>
            <w:vAlign w:val="center"/>
          </w:tcPr>
          <w:p w14:paraId="6FF57906">
            <w:pPr>
              <w:rPr>
                <w:rFonts w:hint="eastAsia" w:asciiTheme="majorEastAsia" w:hAnsiTheme="majorEastAsia" w:eastAsiaTheme="majorEastAsia" w:cstheme="majorEastAsia"/>
                <w:color w:val="auto"/>
                <w:sz w:val="21"/>
                <w:szCs w:val="21"/>
                <w:highlight w:val="none"/>
              </w:rPr>
            </w:pPr>
          </w:p>
        </w:tc>
        <w:tc>
          <w:tcPr>
            <w:tcW w:w="1739" w:type="dxa"/>
            <w:vAlign w:val="center"/>
          </w:tcPr>
          <w:p w14:paraId="6E6256C4">
            <w:pPr>
              <w:pStyle w:val="17"/>
              <w:jc w:val="center"/>
              <w:rPr>
                <w:rFonts w:hint="eastAsia" w:asciiTheme="majorEastAsia" w:hAnsiTheme="majorEastAsia" w:eastAsiaTheme="majorEastAsia" w:cstheme="majorEastAsia"/>
                <w:bCs/>
                <w:color w:val="auto"/>
                <w:sz w:val="21"/>
                <w:szCs w:val="21"/>
                <w:highlight w:val="none"/>
              </w:rPr>
            </w:pPr>
            <w:r>
              <w:rPr>
                <w:rFonts w:hint="eastAsia" w:asciiTheme="majorEastAsia" w:hAnsiTheme="majorEastAsia" w:eastAsiaTheme="majorEastAsia" w:cstheme="majorEastAsia"/>
                <w:color w:val="auto"/>
                <w:sz w:val="21"/>
                <w:szCs w:val="21"/>
                <w:highlight w:val="none"/>
              </w:rPr>
              <w:t>项目编号</w:t>
            </w:r>
          </w:p>
        </w:tc>
        <w:tc>
          <w:tcPr>
            <w:tcW w:w="7723" w:type="dxa"/>
            <w:vAlign w:val="center"/>
          </w:tcPr>
          <w:p w14:paraId="46D38D8D">
            <w:pPr>
              <w:pStyle w:val="17"/>
              <w:ind w:left="210" w:leftChars="100"/>
              <w:rPr>
                <w:rFonts w:hint="eastAsia" w:asciiTheme="majorEastAsia" w:hAnsiTheme="majorEastAsia" w:eastAsiaTheme="majorEastAsia" w:cstheme="majorEastAsia"/>
                <w:color w:val="auto"/>
                <w:sz w:val="21"/>
                <w:szCs w:val="21"/>
                <w:highlight w:val="none"/>
                <w:lang w:eastAsia="zh-CN"/>
              </w:rPr>
            </w:pPr>
            <w:r>
              <w:rPr>
                <w:rFonts w:hint="eastAsia" w:asciiTheme="majorEastAsia" w:hAnsiTheme="majorEastAsia" w:eastAsiaTheme="majorEastAsia" w:cstheme="majorEastAsia"/>
                <w:color w:val="auto"/>
                <w:sz w:val="21"/>
                <w:szCs w:val="21"/>
                <w:highlight w:val="none"/>
                <w:lang w:eastAsia="zh-CN"/>
              </w:rPr>
              <w:t>HHJR-2026-93</w:t>
            </w:r>
          </w:p>
        </w:tc>
      </w:tr>
      <w:tr w14:paraId="6DFB7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858" w:type="dxa"/>
            <w:vMerge w:val="continue"/>
            <w:vAlign w:val="center"/>
          </w:tcPr>
          <w:p w14:paraId="2F2BF0C4">
            <w:pPr>
              <w:rPr>
                <w:rFonts w:hint="eastAsia" w:asciiTheme="majorEastAsia" w:hAnsiTheme="majorEastAsia" w:eastAsiaTheme="majorEastAsia" w:cstheme="majorEastAsia"/>
                <w:color w:val="auto"/>
                <w:sz w:val="21"/>
                <w:szCs w:val="21"/>
                <w:highlight w:val="none"/>
              </w:rPr>
            </w:pPr>
          </w:p>
        </w:tc>
        <w:tc>
          <w:tcPr>
            <w:tcW w:w="1739" w:type="dxa"/>
            <w:vAlign w:val="center"/>
          </w:tcPr>
          <w:p w14:paraId="2A8C9C5A">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项目名称</w:t>
            </w:r>
          </w:p>
        </w:tc>
        <w:tc>
          <w:tcPr>
            <w:tcW w:w="7723" w:type="dxa"/>
            <w:vAlign w:val="center"/>
          </w:tcPr>
          <w:p w14:paraId="4987F14A">
            <w:pPr>
              <w:pStyle w:val="17"/>
              <w:ind w:left="210" w:leftChars="100"/>
              <w:rPr>
                <w:rFonts w:hint="eastAsia" w:asciiTheme="majorEastAsia" w:hAnsiTheme="majorEastAsia" w:eastAsiaTheme="majorEastAsia" w:cstheme="majorEastAsia"/>
                <w:color w:val="auto"/>
                <w:sz w:val="21"/>
                <w:szCs w:val="21"/>
                <w:highlight w:val="none"/>
                <w:lang w:eastAsia="zh-CN"/>
              </w:rPr>
            </w:pPr>
            <w:r>
              <w:rPr>
                <w:rFonts w:hint="eastAsia" w:asciiTheme="majorEastAsia" w:hAnsiTheme="majorEastAsia" w:eastAsiaTheme="majorEastAsia" w:cstheme="majorEastAsia"/>
                <w:color w:val="auto"/>
                <w:sz w:val="21"/>
                <w:szCs w:val="21"/>
                <w:highlight w:val="none"/>
                <w:lang w:eastAsia="zh-CN"/>
              </w:rPr>
              <w:t>云南省滇南中心医院（红河哈尼族彝族自治州第一人民医院）流式细胞仪等医疗设备采购项目（一标段）</w:t>
            </w:r>
          </w:p>
        </w:tc>
      </w:tr>
      <w:tr w14:paraId="6553C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58" w:type="dxa"/>
            <w:vAlign w:val="center"/>
          </w:tcPr>
          <w:p w14:paraId="1C0307C3">
            <w:pP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  2.1</w:t>
            </w:r>
          </w:p>
        </w:tc>
        <w:tc>
          <w:tcPr>
            <w:tcW w:w="1739" w:type="dxa"/>
            <w:vAlign w:val="center"/>
          </w:tcPr>
          <w:p w14:paraId="50057AFD">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资金落实情况</w:t>
            </w:r>
          </w:p>
        </w:tc>
        <w:tc>
          <w:tcPr>
            <w:tcW w:w="7723" w:type="dxa"/>
            <w:vAlign w:val="center"/>
          </w:tcPr>
          <w:p w14:paraId="3D99E5D8">
            <w:pPr>
              <w:pStyle w:val="17"/>
              <w:ind w:left="210" w:leftChars="100"/>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资金已落实</w:t>
            </w:r>
          </w:p>
        </w:tc>
      </w:tr>
      <w:tr w14:paraId="03473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58" w:type="dxa"/>
            <w:vAlign w:val="center"/>
          </w:tcPr>
          <w:p w14:paraId="6823F7F7">
            <w:pPr>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2.2</w:t>
            </w:r>
          </w:p>
        </w:tc>
        <w:tc>
          <w:tcPr>
            <w:tcW w:w="1739" w:type="dxa"/>
            <w:vAlign w:val="center"/>
          </w:tcPr>
          <w:p w14:paraId="071210F0">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资金来源</w:t>
            </w:r>
          </w:p>
        </w:tc>
        <w:tc>
          <w:tcPr>
            <w:tcW w:w="7723" w:type="dxa"/>
            <w:vAlign w:val="center"/>
          </w:tcPr>
          <w:p w14:paraId="65F28249">
            <w:pPr>
              <w:pStyle w:val="17"/>
              <w:ind w:firstLine="191" w:firstLineChars="91"/>
              <w:jc w:val="left"/>
              <w:rPr>
                <w:rFonts w:hint="eastAsia" w:asciiTheme="majorEastAsia" w:hAnsiTheme="majorEastAsia" w:eastAsiaTheme="majorEastAsia" w:cstheme="majorEastAsia"/>
                <w:color w:val="auto"/>
                <w:sz w:val="21"/>
                <w:szCs w:val="21"/>
                <w:highlight w:val="none"/>
                <w:lang w:eastAsia="zh-CN"/>
              </w:rPr>
            </w:pPr>
            <w:r>
              <w:rPr>
                <w:rFonts w:hint="eastAsia" w:asciiTheme="majorEastAsia" w:hAnsiTheme="majorEastAsia" w:eastAsiaTheme="majorEastAsia" w:cstheme="majorEastAsia"/>
                <w:color w:val="auto"/>
                <w:sz w:val="21"/>
                <w:szCs w:val="21"/>
                <w:highlight w:val="none"/>
              </w:rPr>
              <w:t>财政资金</w:t>
            </w:r>
            <w:r>
              <w:rPr>
                <w:rFonts w:hint="eastAsia" w:asciiTheme="majorEastAsia" w:hAnsiTheme="majorEastAsia" w:eastAsiaTheme="majorEastAsia" w:cstheme="majorEastAsia"/>
                <w:color w:val="auto"/>
                <w:sz w:val="21"/>
                <w:szCs w:val="21"/>
                <w:highlight w:val="none"/>
                <w:lang w:eastAsia="zh-CN"/>
              </w:rPr>
              <w:t>、自筹资金</w:t>
            </w:r>
          </w:p>
        </w:tc>
      </w:tr>
      <w:tr w14:paraId="2AB39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58" w:type="dxa"/>
            <w:vAlign w:val="center"/>
          </w:tcPr>
          <w:p w14:paraId="7B45BF04">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3.1</w:t>
            </w:r>
          </w:p>
        </w:tc>
        <w:tc>
          <w:tcPr>
            <w:tcW w:w="1739" w:type="dxa"/>
            <w:vAlign w:val="center"/>
          </w:tcPr>
          <w:p w14:paraId="066F4981">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采购范围</w:t>
            </w:r>
          </w:p>
        </w:tc>
        <w:tc>
          <w:tcPr>
            <w:tcW w:w="7723" w:type="dxa"/>
            <w:vAlign w:val="center"/>
          </w:tcPr>
          <w:p w14:paraId="6B5905B8">
            <w:pPr>
              <w:pStyle w:val="17"/>
              <w:adjustRightInd w:val="0"/>
              <w:snapToGrid w:val="0"/>
              <w:ind w:left="210" w:leftChars="100"/>
              <w:jc w:val="left"/>
              <w:rPr>
                <w:rFonts w:hint="eastAsia" w:asciiTheme="majorEastAsia" w:hAnsiTheme="majorEastAsia" w:eastAsiaTheme="majorEastAsia" w:cstheme="majorEastAsia"/>
                <w:color w:val="auto"/>
                <w:sz w:val="21"/>
                <w:szCs w:val="21"/>
                <w:highlight w:val="none"/>
                <w:lang w:val="en-US"/>
              </w:rPr>
            </w:pPr>
            <w:r>
              <w:rPr>
                <w:rFonts w:hint="eastAsia" w:asciiTheme="majorEastAsia" w:hAnsiTheme="majorEastAsia" w:eastAsiaTheme="majorEastAsia" w:cstheme="majorEastAsia"/>
                <w:color w:val="auto"/>
                <w:sz w:val="21"/>
                <w:szCs w:val="21"/>
                <w:highlight w:val="none"/>
                <w:lang w:val="en-US" w:eastAsia="zh-CN"/>
              </w:rPr>
              <w:t>详见公告</w:t>
            </w:r>
          </w:p>
        </w:tc>
      </w:tr>
      <w:tr w14:paraId="00A19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58" w:type="dxa"/>
            <w:vAlign w:val="center"/>
          </w:tcPr>
          <w:p w14:paraId="002D37D5">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3.2</w:t>
            </w:r>
          </w:p>
        </w:tc>
        <w:tc>
          <w:tcPr>
            <w:tcW w:w="1739" w:type="dxa"/>
            <w:vAlign w:val="center"/>
          </w:tcPr>
          <w:p w14:paraId="7B309E66">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合同履约要求</w:t>
            </w:r>
          </w:p>
        </w:tc>
        <w:tc>
          <w:tcPr>
            <w:tcW w:w="7723" w:type="dxa"/>
            <w:vAlign w:val="center"/>
          </w:tcPr>
          <w:p w14:paraId="3EC0FE56">
            <w:pPr>
              <w:pStyle w:val="17"/>
              <w:ind w:left="210" w:leftChars="100"/>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lang w:val="en-US" w:eastAsia="zh-CN"/>
              </w:rPr>
              <w:t>交货期限</w:t>
            </w:r>
            <w:r>
              <w:rPr>
                <w:rFonts w:hint="eastAsia" w:asciiTheme="majorEastAsia" w:hAnsiTheme="majorEastAsia" w:eastAsiaTheme="majorEastAsia" w:cstheme="majorEastAsia"/>
                <w:b/>
                <w:bCs/>
                <w:color w:val="auto"/>
                <w:sz w:val="21"/>
                <w:szCs w:val="21"/>
                <w:highlight w:val="none"/>
              </w:rPr>
              <w:t>：</w:t>
            </w:r>
            <w:r>
              <w:rPr>
                <w:rFonts w:hint="eastAsia" w:asciiTheme="majorEastAsia" w:hAnsiTheme="majorEastAsia" w:eastAsiaTheme="majorEastAsia" w:cstheme="majorEastAsia"/>
                <w:b w:val="0"/>
                <w:bCs w:val="0"/>
                <w:color w:val="auto"/>
                <w:sz w:val="21"/>
                <w:szCs w:val="21"/>
                <w:highlight w:val="none"/>
                <w:lang w:eastAsia="zh-CN"/>
              </w:rPr>
              <w:t>合同签订后60日历天内完成全部设备安装、调试交付使用</w:t>
            </w:r>
            <w:r>
              <w:rPr>
                <w:rFonts w:hint="eastAsia" w:asciiTheme="majorEastAsia" w:hAnsiTheme="majorEastAsia" w:eastAsiaTheme="majorEastAsia" w:cstheme="majorEastAsia"/>
                <w:b w:val="0"/>
                <w:bCs w:val="0"/>
                <w:color w:val="auto"/>
                <w:sz w:val="21"/>
                <w:szCs w:val="21"/>
                <w:highlight w:val="none"/>
              </w:rPr>
              <w:t>；</w:t>
            </w:r>
          </w:p>
          <w:p w14:paraId="49C1D333">
            <w:pPr>
              <w:pStyle w:val="17"/>
              <w:ind w:left="210" w:leftChars="100"/>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lang w:val="en-US" w:eastAsia="zh-CN"/>
              </w:rPr>
              <w:t>交付地点：</w:t>
            </w:r>
            <w:r>
              <w:rPr>
                <w:rFonts w:hint="eastAsia" w:asciiTheme="majorEastAsia" w:hAnsiTheme="majorEastAsia" w:eastAsiaTheme="majorEastAsia" w:cstheme="majorEastAsia"/>
                <w:b w:val="0"/>
                <w:bCs w:val="0"/>
                <w:color w:val="auto"/>
                <w:sz w:val="21"/>
                <w:szCs w:val="21"/>
                <w:highlight w:val="none"/>
                <w:lang w:val="en-US" w:eastAsia="zh-CN"/>
              </w:rPr>
              <w:t>云南省滇南中心医院（红河哈尼族彝族自治州第一人民医院）指定地点</w:t>
            </w:r>
            <w:r>
              <w:rPr>
                <w:rFonts w:hint="eastAsia" w:asciiTheme="majorEastAsia" w:hAnsiTheme="majorEastAsia" w:eastAsiaTheme="majorEastAsia" w:cstheme="majorEastAsia"/>
                <w:b w:val="0"/>
                <w:bCs w:val="0"/>
                <w:color w:val="auto"/>
                <w:sz w:val="21"/>
                <w:szCs w:val="21"/>
                <w:highlight w:val="none"/>
                <w:lang w:eastAsia="zh-CN"/>
              </w:rPr>
              <w:t>；</w:t>
            </w:r>
          </w:p>
          <w:p w14:paraId="641C58B9">
            <w:pPr>
              <w:pStyle w:val="17"/>
              <w:ind w:left="210" w:leftChars="100"/>
              <w:rPr>
                <w:rFonts w:hint="eastAsia" w:asciiTheme="majorEastAsia" w:hAnsiTheme="majorEastAsia" w:eastAsiaTheme="majorEastAsia" w:cstheme="majorEastAsia"/>
                <w:color w:val="auto"/>
                <w:sz w:val="21"/>
                <w:szCs w:val="21"/>
                <w:highlight w:val="none"/>
                <w:lang w:eastAsia="zh-CN"/>
              </w:rPr>
            </w:pPr>
            <w:r>
              <w:rPr>
                <w:rFonts w:hint="eastAsia" w:asciiTheme="majorEastAsia" w:hAnsiTheme="majorEastAsia" w:eastAsiaTheme="majorEastAsia" w:cstheme="majorEastAsia"/>
                <w:b/>
                <w:bCs/>
                <w:color w:val="auto"/>
                <w:sz w:val="21"/>
                <w:szCs w:val="21"/>
                <w:highlight w:val="none"/>
              </w:rPr>
              <w:t>质量</w:t>
            </w:r>
            <w:r>
              <w:rPr>
                <w:rFonts w:hint="eastAsia" w:asciiTheme="majorEastAsia" w:hAnsiTheme="majorEastAsia" w:eastAsiaTheme="majorEastAsia" w:cstheme="majorEastAsia"/>
                <w:b/>
                <w:bCs/>
                <w:color w:val="auto"/>
                <w:sz w:val="21"/>
                <w:szCs w:val="21"/>
                <w:highlight w:val="none"/>
                <w:lang w:val="en-US" w:eastAsia="zh-CN"/>
              </w:rPr>
              <w:t>承诺</w:t>
            </w:r>
            <w:r>
              <w:rPr>
                <w:rFonts w:hint="eastAsia" w:asciiTheme="majorEastAsia" w:hAnsiTheme="majorEastAsia" w:eastAsiaTheme="majorEastAsia" w:cstheme="majorEastAsia"/>
                <w:b/>
                <w:bCs/>
                <w:color w:val="auto"/>
                <w:sz w:val="21"/>
                <w:szCs w:val="21"/>
                <w:highlight w:val="none"/>
              </w:rPr>
              <w:t>：</w:t>
            </w:r>
            <w:r>
              <w:rPr>
                <w:rFonts w:hint="eastAsia" w:asciiTheme="majorEastAsia" w:hAnsiTheme="majorEastAsia" w:eastAsiaTheme="majorEastAsia" w:cstheme="majorEastAsia"/>
                <w:color w:val="auto"/>
                <w:sz w:val="21"/>
                <w:szCs w:val="21"/>
                <w:highlight w:val="none"/>
                <w:lang w:eastAsia="zh-CN"/>
              </w:rPr>
              <w:t>符合国家、地方和行业标准规范及采购人要求；</w:t>
            </w:r>
          </w:p>
          <w:p w14:paraId="4200EDEE">
            <w:pPr>
              <w:pStyle w:val="17"/>
              <w:ind w:left="210" w:leftChars="100"/>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b/>
                <w:bCs/>
                <w:color w:val="auto"/>
                <w:sz w:val="21"/>
                <w:szCs w:val="21"/>
                <w:highlight w:val="none"/>
                <w:lang w:val="en-US" w:eastAsia="zh-CN"/>
              </w:rPr>
              <w:t>合同履行期限：</w:t>
            </w:r>
            <w:r>
              <w:rPr>
                <w:rFonts w:hint="eastAsia" w:asciiTheme="majorEastAsia" w:hAnsiTheme="majorEastAsia" w:eastAsiaTheme="majorEastAsia" w:cstheme="majorEastAsia"/>
                <w:color w:val="auto"/>
                <w:sz w:val="21"/>
                <w:szCs w:val="21"/>
                <w:highlight w:val="none"/>
                <w:lang w:val="en-US" w:eastAsia="zh-CN"/>
              </w:rPr>
              <w:t>合同签订之日起至质保期限结束为止；</w:t>
            </w:r>
          </w:p>
          <w:p w14:paraId="64809871">
            <w:pPr>
              <w:pStyle w:val="17"/>
              <w:ind w:left="210" w:leftChars="100"/>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b/>
                <w:bCs/>
                <w:color w:val="auto"/>
                <w:sz w:val="21"/>
                <w:szCs w:val="21"/>
                <w:highlight w:val="none"/>
                <w:lang w:val="en-US" w:eastAsia="zh-CN"/>
              </w:rPr>
              <w:t>质保期</w:t>
            </w:r>
            <w:r>
              <w:rPr>
                <w:rFonts w:hint="eastAsia" w:asciiTheme="majorEastAsia" w:hAnsiTheme="majorEastAsia" w:eastAsiaTheme="majorEastAsia" w:cstheme="majorEastAsia"/>
                <w:color w:val="auto"/>
                <w:sz w:val="21"/>
                <w:szCs w:val="21"/>
                <w:highlight w:val="none"/>
                <w:lang w:val="en-US" w:eastAsia="zh-CN"/>
              </w:rPr>
              <w:t>：不少于3年。</w:t>
            </w:r>
          </w:p>
        </w:tc>
      </w:tr>
      <w:tr w14:paraId="3BE0D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5" w:hRule="atLeast"/>
          <w:jc w:val="center"/>
        </w:trPr>
        <w:tc>
          <w:tcPr>
            <w:tcW w:w="858" w:type="dxa"/>
            <w:vAlign w:val="center"/>
          </w:tcPr>
          <w:p w14:paraId="7E23A123">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4.1</w:t>
            </w:r>
          </w:p>
        </w:tc>
        <w:tc>
          <w:tcPr>
            <w:tcW w:w="1739" w:type="dxa"/>
            <w:vAlign w:val="center"/>
          </w:tcPr>
          <w:p w14:paraId="176CBB2B">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投标人资格要求</w:t>
            </w:r>
          </w:p>
        </w:tc>
        <w:tc>
          <w:tcPr>
            <w:tcW w:w="7723" w:type="dxa"/>
            <w:vAlign w:val="center"/>
          </w:tcPr>
          <w:p w14:paraId="371321C4">
            <w:pPr>
              <w:pStyle w:val="12"/>
              <w:keepLines w:val="0"/>
              <w:pageBreakBefore w:val="0"/>
              <w:widowControl w:val="0"/>
              <w:kinsoku/>
              <w:overflowPunct/>
              <w:topLinePunct w:val="0"/>
              <w:autoSpaceDE/>
              <w:autoSpaceDN/>
              <w:bidi w:val="0"/>
              <w:adjustRightInd w:val="0"/>
              <w:snapToGrid w:val="0"/>
              <w:spacing w:line="336" w:lineRule="auto"/>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rPr>
              <w:t>见“第一章 招标公告</w:t>
            </w:r>
            <w:r>
              <w:rPr>
                <w:rFonts w:hint="eastAsia" w:asciiTheme="majorEastAsia" w:hAnsiTheme="majorEastAsia" w:eastAsiaTheme="majorEastAsia" w:cstheme="majorEastAsia"/>
                <w:color w:val="auto"/>
                <w:sz w:val="21"/>
                <w:szCs w:val="21"/>
                <w:highlight w:val="none"/>
                <w:lang w:val="en-US" w:eastAsia="zh-CN"/>
              </w:rPr>
              <w:t xml:space="preserve"> </w:t>
            </w:r>
            <w:r>
              <w:rPr>
                <w:rFonts w:hint="eastAsia" w:asciiTheme="majorEastAsia" w:hAnsiTheme="majorEastAsia" w:eastAsiaTheme="majorEastAsia" w:cstheme="majorEastAsia"/>
                <w:color w:val="auto"/>
                <w:sz w:val="21"/>
                <w:szCs w:val="21"/>
                <w:highlight w:val="none"/>
              </w:rPr>
              <w:t>二、</w:t>
            </w:r>
            <w:r>
              <w:rPr>
                <w:rFonts w:hint="eastAsia" w:asciiTheme="majorEastAsia" w:hAnsiTheme="majorEastAsia" w:eastAsiaTheme="majorEastAsia" w:cstheme="majorEastAsia"/>
                <w:bCs/>
                <w:color w:val="auto"/>
                <w:szCs w:val="28"/>
                <w:highlight w:val="none"/>
              </w:rPr>
              <w:t>申请人的资格要求</w:t>
            </w:r>
            <w:r>
              <w:rPr>
                <w:rFonts w:hint="eastAsia" w:asciiTheme="majorEastAsia" w:hAnsiTheme="majorEastAsia" w:eastAsiaTheme="majorEastAsia" w:cstheme="majorEastAsia"/>
                <w:color w:val="auto"/>
                <w:sz w:val="21"/>
                <w:szCs w:val="21"/>
                <w:highlight w:val="none"/>
              </w:rPr>
              <w:t>”。</w:t>
            </w:r>
          </w:p>
        </w:tc>
      </w:tr>
      <w:tr w14:paraId="433C9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58" w:type="dxa"/>
            <w:vAlign w:val="center"/>
          </w:tcPr>
          <w:p w14:paraId="1C074CE6">
            <w:pPr>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4.2</w:t>
            </w:r>
          </w:p>
        </w:tc>
        <w:tc>
          <w:tcPr>
            <w:tcW w:w="1739" w:type="dxa"/>
            <w:vAlign w:val="center"/>
          </w:tcPr>
          <w:p w14:paraId="66CC3D12">
            <w:pPr>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是否接受联合体投标</w:t>
            </w:r>
          </w:p>
        </w:tc>
        <w:tc>
          <w:tcPr>
            <w:tcW w:w="7723" w:type="dxa"/>
            <w:vAlign w:val="center"/>
          </w:tcPr>
          <w:p w14:paraId="75E3F28B">
            <w:pPr>
              <w:ind w:left="210" w:leftChars="10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□接受   </w:t>
            </w:r>
            <w:r>
              <w:rPr>
                <w:rFonts w:hint="eastAsia" w:asciiTheme="majorEastAsia" w:hAnsiTheme="majorEastAsia" w:eastAsiaTheme="majorEastAsia" w:cstheme="majorEastAsia"/>
                <w:color w:val="auto"/>
                <w:sz w:val="21"/>
                <w:szCs w:val="21"/>
                <w:highlight w:val="none"/>
                <w:lang w:eastAsia="zh-CN"/>
              </w:rPr>
              <w:t>☑</w:t>
            </w:r>
            <w:r>
              <w:rPr>
                <w:rFonts w:hint="eastAsia" w:asciiTheme="majorEastAsia" w:hAnsiTheme="majorEastAsia" w:eastAsiaTheme="majorEastAsia" w:cstheme="majorEastAsia"/>
                <w:color w:val="auto"/>
                <w:sz w:val="21"/>
                <w:szCs w:val="21"/>
                <w:highlight w:val="none"/>
              </w:rPr>
              <w:t>不接受</w:t>
            </w:r>
          </w:p>
        </w:tc>
      </w:tr>
      <w:tr w14:paraId="79E28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858" w:type="dxa"/>
            <w:vAlign w:val="center"/>
          </w:tcPr>
          <w:p w14:paraId="0B241DB3">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6.4</w:t>
            </w:r>
          </w:p>
        </w:tc>
        <w:tc>
          <w:tcPr>
            <w:tcW w:w="1739" w:type="dxa"/>
            <w:vAlign w:val="center"/>
          </w:tcPr>
          <w:p w14:paraId="2ECE45C0">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本级财政部门</w:t>
            </w:r>
          </w:p>
        </w:tc>
        <w:tc>
          <w:tcPr>
            <w:tcW w:w="7723" w:type="dxa"/>
            <w:vAlign w:val="center"/>
          </w:tcPr>
          <w:p w14:paraId="31A2723B">
            <w:pPr>
              <w:spacing w:line="410" w:lineRule="exact"/>
              <w:ind w:left="210" w:leftChars="100"/>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红河哈尼族彝族自治州财政局（0873-3732520）</w:t>
            </w:r>
          </w:p>
        </w:tc>
      </w:tr>
      <w:tr w14:paraId="729B2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58" w:type="dxa"/>
            <w:vAlign w:val="center"/>
          </w:tcPr>
          <w:p w14:paraId="6652003D">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10</w:t>
            </w:r>
          </w:p>
        </w:tc>
        <w:tc>
          <w:tcPr>
            <w:tcW w:w="1739" w:type="dxa"/>
            <w:vAlign w:val="center"/>
          </w:tcPr>
          <w:p w14:paraId="65D4D80C">
            <w:pPr>
              <w:autoSpaceDE w:val="0"/>
              <w:autoSpaceDN w:val="0"/>
              <w:snapToGrid w:val="0"/>
              <w:jc w:val="center"/>
              <w:textAlignment w:val="bottom"/>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招标文件的澄清或者修改</w:t>
            </w:r>
          </w:p>
        </w:tc>
        <w:tc>
          <w:tcPr>
            <w:tcW w:w="7723" w:type="dxa"/>
            <w:vAlign w:val="center"/>
          </w:tcPr>
          <w:p w14:paraId="327A9769">
            <w:pPr>
              <w:pStyle w:val="17"/>
              <w:ind w:left="210" w:leftChars="100"/>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采购人对招标文件做出的澄清或修改，将在</w:t>
            </w:r>
            <w:r>
              <w:rPr>
                <w:rFonts w:hint="eastAsia" w:asciiTheme="majorEastAsia" w:hAnsiTheme="majorEastAsia" w:eastAsiaTheme="majorEastAsia" w:cstheme="majorEastAsia"/>
                <w:color w:val="auto"/>
                <w:sz w:val="21"/>
                <w:szCs w:val="21"/>
                <w:highlight w:val="none"/>
                <w:lang w:eastAsia="zh-CN"/>
              </w:rPr>
              <w:t>政采云平台（https://www.zcygov.cn/）</w:t>
            </w:r>
            <w:r>
              <w:rPr>
                <w:rFonts w:hint="eastAsia" w:asciiTheme="majorEastAsia" w:hAnsiTheme="majorEastAsia" w:eastAsiaTheme="majorEastAsia" w:cstheme="majorEastAsia"/>
                <w:color w:val="auto"/>
                <w:sz w:val="21"/>
                <w:szCs w:val="21"/>
                <w:highlight w:val="none"/>
              </w:rPr>
              <w:t>发布补遗文件进行说明。当招标文件、补遗文件内容前后相互矛盾时，以最后发出的为准。</w:t>
            </w:r>
          </w:p>
        </w:tc>
      </w:tr>
      <w:tr w14:paraId="6480D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7" w:hRule="atLeast"/>
          <w:jc w:val="center"/>
        </w:trPr>
        <w:tc>
          <w:tcPr>
            <w:tcW w:w="858" w:type="dxa"/>
            <w:vAlign w:val="center"/>
          </w:tcPr>
          <w:p w14:paraId="00422A31">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13</w:t>
            </w:r>
          </w:p>
        </w:tc>
        <w:tc>
          <w:tcPr>
            <w:tcW w:w="1739" w:type="dxa"/>
            <w:vAlign w:val="center"/>
          </w:tcPr>
          <w:p w14:paraId="203E3B8C">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构成投标文件的其他资料</w:t>
            </w:r>
          </w:p>
        </w:tc>
        <w:tc>
          <w:tcPr>
            <w:tcW w:w="7723" w:type="dxa"/>
            <w:vAlign w:val="center"/>
          </w:tcPr>
          <w:p w14:paraId="66A05255">
            <w:pPr>
              <w:autoSpaceDE w:val="0"/>
              <w:autoSpaceDN w:val="0"/>
              <w:snapToGrid w:val="0"/>
              <w:ind w:left="210" w:leftChars="100"/>
              <w:textAlignment w:val="bottom"/>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1.第五章“采购需求及技术要求”中要求提供的其他资料（若有）；</w:t>
            </w:r>
          </w:p>
          <w:p w14:paraId="079F2145">
            <w:pPr>
              <w:autoSpaceDE w:val="0"/>
              <w:autoSpaceDN w:val="0"/>
              <w:snapToGrid w:val="0"/>
              <w:ind w:left="210" w:leftChars="100"/>
              <w:textAlignment w:val="bottom"/>
              <w:rPr>
                <w:rFonts w:hint="eastAsia" w:asciiTheme="majorEastAsia" w:hAnsiTheme="majorEastAsia" w:eastAsiaTheme="majorEastAsia" w:cstheme="majorEastAsia"/>
                <w:bCs/>
                <w:color w:val="auto"/>
                <w:sz w:val="21"/>
                <w:szCs w:val="21"/>
                <w:highlight w:val="none"/>
              </w:rPr>
            </w:pPr>
            <w:r>
              <w:rPr>
                <w:rFonts w:hint="eastAsia" w:asciiTheme="majorEastAsia" w:hAnsiTheme="majorEastAsia" w:eastAsiaTheme="majorEastAsia" w:cstheme="majorEastAsia"/>
                <w:color w:val="auto"/>
                <w:sz w:val="21"/>
                <w:szCs w:val="21"/>
                <w:highlight w:val="none"/>
              </w:rPr>
              <w:t>2.招标文件中所</w:t>
            </w:r>
            <w:r>
              <w:rPr>
                <w:rFonts w:hint="eastAsia" w:asciiTheme="majorEastAsia" w:hAnsiTheme="majorEastAsia" w:eastAsiaTheme="majorEastAsia" w:cstheme="majorEastAsia"/>
                <w:color w:val="auto"/>
                <w:sz w:val="21"/>
                <w:szCs w:val="21"/>
                <w:highlight w:val="none"/>
                <w:lang w:eastAsia="zh-CN"/>
              </w:rPr>
              <w:t>涉及的</w:t>
            </w:r>
            <w:r>
              <w:rPr>
                <w:rFonts w:hint="eastAsia" w:asciiTheme="majorEastAsia" w:hAnsiTheme="majorEastAsia" w:eastAsiaTheme="majorEastAsia" w:cstheme="majorEastAsia"/>
                <w:color w:val="auto"/>
                <w:sz w:val="21"/>
                <w:szCs w:val="21"/>
                <w:highlight w:val="none"/>
              </w:rPr>
              <w:t>相关资料及证明文件或投标人认为与项目有关的其他资料。</w:t>
            </w:r>
          </w:p>
        </w:tc>
      </w:tr>
      <w:tr w14:paraId="729CE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jc w:val="center"/>
        </w:trPr>
        <w:tc>
          <w:tcPr>
            <w:tcW w:w="858" w:type="dxa"/>
            <w:vAlign w:val="center"/>
          </w:tcPr>
          <w:p w14:paraId="5A62F348">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15.3</w:t>
            </w:r>
          </w:p>
        </w:tc>
        <w:tc>
          <w:tcPr>
            <w:tcW w:w="1739" w:type="dxa"/>
            <w:vAlign w:val="center"/>
          </w:tcPr>
          <w:p w14:paraId="50CA81BD">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本标段</w:t>
            </w:r>
            <w:r>
              <w:rPr>
                <w:rFonts w:hint="eastAsia" w:asciiTheme="majorEastAsia" w:hAnsiTheme="majorEastAsia" w:eastAsiaTheme="majorEastAsia" w:cstheme="majorEastAsia"/>
                <w:color w:val="auto"/>
                <w:sz w:val="21"/>
                <w:szCs w:val="21"/>
                <w:highlight w:val="none"/>
              </w:rPr>
              <w:t>最高限价</w:t>
            </w:r>
          </w:p>
        </w:tc>
        <w:tc>
          <w:tcPr>
            <w:tcW w:w="7723" w:type="dxa"/>
            <w:vAlign w:val="center"/>
          </w:tcPr>
          <w:p w14:paraId="55D1DAB1">
            <w:pPr>
              <w:pStyle w:val="17"/>
              <w:ind w:left="210" w:leftChars="100"/>
              <w:jc w:val="left"/>
              <w:rPr>
                <w:rFonts w:hint="eastAsia" w:asciiTheme="majorEastAsia" w:hAnsiTheme="majorEastAsia" w:eastAsiaTheme="majorEastAsia" w:cstheme="majorEastAsia"/>
                <w:color w:val="auto"/>
                <w:sz w:val="21"/>
                <w:szCs w:val="21"/>
                <w:highlight w:val="none"/>
                <w:lang w:eastAsia="zh-CN"/>
              </w:rPr>
            </w:pPr>
            <w:r>
              <w:rPr>
                <w:rFonts w:hint="eastAsia" w:asciiTheme="majorEastAsia" w:hAnsiTheme="majorEastAsia" w:eastAsiaTheme="majorEastAsia" w:cstheme="majorEastAsia"/>
                <w:b/>
                <w:bCs/>
                <w:color w:val="auto"/>
                <w:sz w:val="21"/>
                <w:szCs w:val="21"/>
                <w:highlight w:val="none"/>
                <w:lang w:val="en-US" w:eastAsia="zh-CN"/>
              </w:rPr>
              <w:t>40.00万元</w:t>
            </w:r>
          </w:p>
        </w:tc>
      </w:tr>
      <w:tr w14:paraId="79EC9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58" w:type="dxa"/>
            <w:vAlign w:val="center"/>
          </w:tcPr>
          <w:p w14:paraId="1DED774D">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15.4</w:t>
            </w:r>
          </w:p>
        </w:tc>
        <w:tc>
          <w:tcPr>
            <w:tcW w:w="1739" w:type="dxa"/>
            <w:vAlign w:val="center"/>
          </w:tcPr>
          <w:p w14:paraId="299C29A0">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投标报价</w:t>
            </w:r>
          </w:p>
        </w:tc>
        <w:tc>
          <w:tcPr>
            <w:tcW w:w="7723" w:type="dxa"/>
            <w:vAlign w:val="center"/>
          </w:tcPr>
          <w:p w14:paraId="2F953925">
            <w:pPr>
              <w:pStyle w:val="17"/>
              <w:ind w:left="210" w:leftChars="10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eastAsia="zh-CN"/>
              </w:rPr>
              <w:t>（</w:t>
            </w:r>
            <w:r>
              <w:rPr>
                <w:rFonts w:hint="eastAsia" w:asciiTheme="majorEastAsia" w:hAnsiTheme="majorEastAsia" w:eastAsiaTheme="majorEastAsia" w:cstheme="majorEastAsia"/>
                <w:color w:val="auto"/>
                <w:sz w:val="21"/>
                <w:szCs w:val="21"/>
                <w:highlight w:val="none"/>
              </w:rPr>
              <w:t>1)本次投标报价采用费用包干方式，报价应为人民币含税价（元），包括货物价格（含利润）、货物运输、装卸、保险、税收、安装、调试、检验、培训、售后服务、采购代理服务费等所需全部费用。投标报价不得超过最高限价，否则按无效响应处理。</w:t>
            </w:r>
          </w:p>
          <w:p w14:paraId="609DC7D9">
            <w:pPr>
              <w:pStyle w:val="17"/>
              <w:ind w:left="210" w:leftChars="10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(2)供应商应承担所有与参加投标有关的自身的所有费用，不论采购的结果如何，采购代理机构和采购人在任何情况下均无义务和责任承担这些费用。</w:t>
            </w:r>
          </w:p>
        </w:tc>
      </w:tr>
      <w:tr w14:paraId="7261B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58" w:type="dxa"/>
            <w:vAlign w:val="center"/>
          </w:tcPr>
          <w:p w14:paraId="1DA9A82F">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17.1</w:t>
            </w:r>
          </w:p>
        </w:tc>
        <w:tc>
          <w:tcPr>
            <w:tcW w:w="1739" w:type="dxa"/>
            <w:vAlign w:val="center"/>
          </w:tcPr>
          <w:p w14:paraId="08A6DDD3">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投标文件有效期</w:t>
            </w:r>
          </w:p>
        </w:tc>
        <w:tc>
          <w:tcPr>
            <w:tcW w:w="7723" w:type="dxa"/>
            <w:vAlign w:val="center"/>
          </w:tcPr>
          <w:p w14:paraId="7544DFD8">
            <w:pPr>
              <w:pStyle w:val="17"/>
              <w:ind w:left="210" w:leftChars="10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从递交投标文件截止之日起</w:t>
            </w:r>
            <w:r>
              <w:rPr>
                <w:rFonts w:hint="eastAsia" w:asciiTheme="majorEastAsia" w:hAnsiTheme="majorEastAsia" w:eastAsiaTheme="majorEastAsia" w:cstheme="majorEastAsia"/>
                <w:color w:val="auto"/>
                <w:sz w:val="21"/>
                <w:szCs w:val="21"/>
                <w:highlight w:val="none"/>
                <w:u w:val="single"/>
              </w:rPr>
              <w:t xml:space="preserve"> 90 </w:t>
            </w:r>
            <w:r>
              <w:rPr>
                <w:rFonts w:hint="eastAsia" w:asciiTheme="majorEastAsia" w:hAnsiTheme="majorEastAsia" w:eastAsiaTheme="majorEastAsia" w:cstheme="majorEastAsia"/>
                <w:color w:val="auto"/>
                <w:sz w:val="21"/>
                <w:szCs w:val="21"/>
                <w:highlight w:val="none"/>
              </w:rPr>
              <w:t>日历天</w:t>
            </w:r>
          </w:p>
        </w:tc>
      </w:tr>
      <w:tr w14:paraId="1D102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4" w:hRule="atLeast"/>
          <w:jc w:val="center"/>
        </w:trPr>
        <w:tc>
          <w:tcPr>
            <w:tcW w:w="858" w:type="dxa"/>
            <w:vAlign w:val="center"/>
          </w:tcPr>
          <w:p w14:paraId="0F07EAA0">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19</w:t>
            </w:r>
          </w:p>
        </w:tc>
        <w:tc>
          <w:tcPr>
            <w:tcW w:w="1739" w:type="dxa"/>
            <w:vAlign w:val="center"/>
          </w:tcPr>
          <w:p w14:paraId="5FF71220">
            <w:pPr>
              <w:wordWrap w:val="0"/>
              <w:spacing w:line="380" w:lineRule="exact"/>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投标保证金的提交</w:t>
            </w:r>
          </w:p>
        </w:tc>
        <w:tc>
          <w:tcPr>
            <w:tcW w:w="7723" w:type="dxa"/>
            <w:vAlign w:val="center"/>
          </w:tcPr>
          <w:p w14:paraId="60235737">
            <w:pPr>
              <w:wordWrap w:val="0"/>
              <w:spacing w:line="380" w:lineRule="exact"/>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color w:val="auto"/>
                <w:kern w:val="0"/>
                <w:sz w:val="21"/>
                <w:szCs w:val="21"/>
                <w:highlight w:val="none"/>
              </w:rPr>
              <w:t>（1）投标保证金金额：人民币</w:t>
            </w:r>
            <w:r>
              <w:rPr>
                <w:rFonts w:hint="eastAsia" w:asciiTheme="majorEastAsia" w:hAnsiTheme="majorEastAsia" w:eastAsiaTheme="majorEastAsia" w:cstheme="majorEastAsia"/>
                <w:color w:val="auto"/>
                <w:kern w:val="0"/>
                <w:sz w:val="21"/>
                <w:szCs w:val="21"/>
                <w:highlight w:val="none"/>
                <w:lang w:val="en-US" w:eastAsia="zh-CN"/>
              </w:rPr>
              <w:t>伍仟元整</w:t>
            </w:r>
            <w:r>
              <w:rPr>
                <w:rFonts w:hint="eastAsia" w:asciiTheme="majorEastAsia" w:hAnsiTheme="majorEastAsia" w:eastAsiaTheme="majorEastAsia" w:cstheme="majorEastAsia"/>
                <w:color w:val="auto"/>
                <w:kern w:val="0"/>
                <w:sz w:val="21"/>
                <w:szCs w:val="21"/>
                <w:highlight w:val="none"/>
                <w:lang w:eastAsia="zh-CN"/>
              </w:rPr>
              <w:t>（¥</w:t>
            </w:r>
            <w:r>
              <w:rPr>
                <w:rFonts w:hint="eastAsia" w:asciiTheme="majorEastAsia" w:hAnsiTheme="majorEastAsia" w:eastAsiaTheme="majorEastAsia" w:cstheme="majorEastAsia"/>
                <w:color w:val="auto"/>
                <w:kern w:val="0"/>
                <w:sz w:val="21"/>
                <w:szCs w:val="21"/>
                <w:highlight w:val="none"/>
                <w:lang w:val="en-US" w:eastAsia="zh-CN"/>
              </w:rPr>
              <w:t>5</w:t>
            </w:r>
            <w:r>
              <w:rPr>
                <w:rFonts w:hint="eastAsia" w:asciiTheme="majorEastAsia" w:hAnsiTheme="majorEastAsia" w:eastAsiaTheme="majorEastAsia" w:cstheme="majorEastAsia"/>
                <w:color w:val="auto"/>
                <w:kern w:val="0"/>
                <w:sz w:val="21"/>
                <w:szCs w:val="21"/>
                <w:highlight w:val="none"/>
                <w:lang w:eastAsia="zh-CN"/>
              </w:rPr>
              <w:t>000.00元）</w:t>
            </w:r>
            <w:r>
              <w:rPr>
                <w:rFonts w:hint="eastAsia" w:asciiTheme="majorEastAsia" w:hAnsiTheme="majorEastAsia" w:eastAsiaTheme="majorEastAsia" w:cstheme="majorEastAsia"/>
                <w:color w:val="auto"/>
                <w:kern w:val="0"/>
                <w:sz w:val="21"/>
                <w:szCs w:val="21"/>
                <w:highlight w:val="none"/>
              </w:rPr>
              <w:t>；</w:t>
            </w:r>
          </w:p>
          <w:p w14:paraId="739E6F14">
            <w:pPr>
              <w:wordWrap w:val="0"/>
              <w:spacing w:line="380" w:lineRule="exact"/>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color w:val="auto"/>
                <w:kern w:val="0"/>
                <w:sz w:val="21"/>
                <w:szCs w:val="21"/>
                <w:highlight w:val="none"/>
              </w:rPr>
              <w:t>（2）投标保证金的形式：支票、汇票、本票、保函、</w:t>
            </w:r>
            <w:r>
              <w:rPr>
                <w:rFonts w:hint="eastAsia" w:asciiTheme="majorEastAsia" w:hAnsiTheme="majorEastAsia" w:eastAsiaTheme="majorEastAsia" w:cstheme="majorEastAsia"/>
                <w:color w:val="auto"/>
                <w:kern w:val="0"/>
                <w:sz w:val="21"/>
                <w:szCs w:val="21"/>
                <w:highlight w:val="none"/>
                <w:lang w:val="en-US" w:eastAsia="zh-CN"/>
              </w:rPr>
              <w:t>保证保险、</w:t>
            </w:r>
            <w:r>
              <w:rPr>
                <w:rFonts w:hint="eastAsia" w:asciiTheme="majorEastAsia" w:hAnsiTheme="majorEastAsia" w:eastAsiaTheme="majorEastAsia" w:cstheme="majorEastAsia"/>
                <w:color w:val="auto"/>
                <w:kern w:val="0"/>
                <w:sz w:val="21"/>
                <w:szCs w:val="21"/>
                <w:highlight w:val="none"/>
              </w:rPr>
              <w:t>转账、电汇、网银等方式不限。投标保证金应用投标货币，即人民币。若采用转账、电汇、网银方式，必须从投标人的基本账户划出，转账、电汇凭证、网银备注栏内必须注明项目名称或招标编号</w:t>
            </w:r>
          </w:p>
          <w:p w14:paraId="60762731">
            <w:pPr>
              <w:wordWrap w:val="0"/>
              <w:spacing w:line="380" w:lineRule="exact"/>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color w:val="auto"/>
                <w:kern w:val="0"/>
                <w:sz w:val="21"/>
                <w:szCs w:val="21"/>
                <w:highlight w:val="none"/>
              </w:rPr>
              <w:t>（3）投标保证金提交时间和方式：投标保证金必须在规定提交时间前到达</w:t>
            </w:r>
            <w:r>
              <w:rPr>
                <w:rFonts w:hint="eastAsia" w:asciiTheme="majorEastAsia" w:hAnsiTheme="majorEastAsia" w:eastAsiaTheme="majorEastAsia" w:cstheme="majorEastAsia"/>
                <w:color w:val="auto"/>
                <w:kern w:val="0"/>
                <w:sz w:val="21"/>
                <w:szCs w:val="21"/>
                <w:highlight w:val="none"/>
                <w:lang w:eastAsia="zh-CN"/>
              </w:rPr>
              <w:t>红河嘉锐工程项目管理有限公司</w:t>
            </w:r>
            <w:r>
              <w:rPr>
                <w:rFonts w:hint="eastAsia" w:asciiTheme="majorEastAsia" w:hAnsiTheme="majorEastAsia" w:eastAsiaTheme="majorEastAsia" w:cstheme="majorEastAsia"/>
                <w:color w:val="auto"/>
                <w:kern w:val="0"/>
                <w:sz w:val="21"/>
                <w:szCs w:val="21"/>
                <w:highlight w:val="none"/>
              </w:rPr>
              <w:t>账户，其有效期应不短于投标有效期。</w:t>
            </w:r>
          </w:p>
          <w:p w14:paraId="11DE12C2">
            <w:pPr>
              <w:wordWrap w:val="0"/>
              <w:spacing w:line="380" w:lineRule="exact"/>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color w:val="auto"/>
                <w:kern w:val="0"/>
                <w:sz w:val="21"/>
                <w:szCs w:val="21"/>
                <w:highlight w:val="none"/>
              </w:rPr>
              <w:t>提交时间：投标文件递交截止时间前</w:t>
            </w:r>
          </w:p>
          <w:p w14:paraId="4DA6A71A">
            <w:pPr>
              <w:wordWrap w:val="0"/>
              <w:spacing w:line="380" w:lineRule="exact"/>
              <w:ind w:firstLine="420" w:firstLineChars="200"/>
              <w:rPr>
                <w:rFonts w:hint="eastAsia" w:asciiTheme="majorEastAsia" w:hAnsiTheme="majorEastAsia" w:eastAsiaTheme="majorEastAsia" w:cstheme="majorEastAsia"/>
                <w:color w:val="auto"/>
                <w:kern w:val="0"/>
                <w:sz w:val="21"/>
                <w:szCs w:val="21"/>
                <w:highlight w:val="none"/>
                <w:lang w:eastAsia="zh-CN"/>
              </w:rPr>
            </w:pPr>
            <w:r>
              <w:rPr>
                <w:rFonts w:hint="eastAsia" w:asciiTheme="majorEastAsia" w:hAnsiTheme="majorEastAsia" w:eastAsiaTheme="majorEastAsia" w:cstheme="majorEastAsia"/>
                <w:color w:val="auto"/>
                <w:kern w:val="0"/>
                <w:sz w:val="21"/>
                <w:szCs w:val="21"/>
                <w:highlight w:val="none"/>
              </w:rPr>
              <w:t>开 户 名：</w:t>
            </w:r>
            <w:r>
              <w:rPr>
                <w:rFonts w:hint="eastAsia" w:asciiTheme="majorEastAsia" w:hAnsiTheme="majorEastAsia" w:eastAsiaTheme="majorEastAsia" w:cstheme="majorEastAsia"/>
                <w:color w:val="auto"/>
                <w:kern w:val="0"/>
                <w:sz w:val="21"/>
                <w:szCs w:val="21"/>
                <w:highlight w:val="none"/>
                <w:lang w:eastAsia="zh-CN"/>
              </w:rPr>
              <w:t>红河嘉锐工程项目管理有限公司</w:t>
            </w:r>
          </w:p>
          <w:p w14:paraId="65D39CD6">
            <w:pPr>
              <w:wordWrap w:val="0"/>
              <w:spacing w:line="380" w:lineRule="exact"/>
              <w:ind w:firstLine="420" w:firstLineChars="200"/>
              <w:rPr>
                <w:rFonts w:hint="eastAsia" w:asciiTheme="majorEastAsia" w:hAnsiTheme="majorEastAsia" w:eastAsiaTheme="majorEastAsia" w:cstheme="majorEastAsia"/>
                <w:color w:val="auto"/>
                <w:kern w:val="0"/>
                <w:sz w:val="21"/>
                <w:szCs w:val="21"/>
                <w:highlight w:val="none"/>
                <w:lang w:eastAsia="zh-CN"/>
              </w:rPr>
            </w:pPr>
            <w:r>
              <w:rPr>
                <w:rFonts w:hint="eastAsia" w:asciiTheme="majorEastAsia" w:hAnsiTheme="majorEastAsia" w:eastAsiaTheme="majorEastAsia" w:cstheme="majorEastAsia"/>
                <w:color w:val="auto"/>
                <w:kern w:val="0"/>
                <w:sz w:val="21"/>
                <w:szCs w:val="21"/>
                <w:highlight w:val="none"/>
              </w:rPr>
              <w:t>开 户 行：</w:t>
            </w:r>
            <w:r>
              <w:rPr>
                <w:rFonts w:hint="eastAsia" w:asciiTheme="majorEastAsia" w:hAnsiTheme="majorEastAsia" w:eastAsiaTheme="majorEastAsia" w:cstheme="majorEastAsia"/>
                <w:color w:val="auto"/>
                <w:kern w:val="0"/>
                <w:sz w:val="21"/>
                <w:szCs w:val="21"/>
                <w:highlight w:val="none"/>
                <w:lang w:eastAsia="zh-CN"/>
              </w:rPr>
              <w:t>中国工商银行红河蒙自凤凰支行</w:t>
            </w:r>
          </w:p>
          <w:p w14:paraId="4A1E4F1F">
            <w:pPr>
              <w:wordWrap w:val="0"/>
              <w:spacing w:line="380" w:lineRule="exact"/>
              <w:ind w:firstLine="420" w:firstLineChars="200"/>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color w:val="auto"/>
                <w:kern w:val="0"/>
                <w:sz w:val="21"/>
                <w:szCs w:val="21"/>
                <w:highlight w:val="none"/>
              </w:rPr>
              <w:t>账    号：</w:t>
            </w:r>
            <w:r>
              <w:rPr>
                <w:rFonts w:hint="eastAsia" w:asciiTheme="majorEastAsia" w:hAnsiTheme="majorEastAsia" w:eastAsiaTheme="majorEastAsia" w:cstheme="majorEastAsia"/>
                <w:color w:val="auto"/>
                <w:kern w:val="0"/>
                <w:sz w:val="21"/>
                <w:szCs w:val="21"/>
                <w:highlight w:val="none"/>
                <w:lang w:val="en-US" w:eastAsia="zh-CN"/>
              </w:rPr>
              <w:t>2507 0061 1900 0006 185</w:t>
            </w:r>
          </w:p>
          <w:p w14:paraId="644A8D49">
            <w:pPr>
              <w:wordWrap w:val="0"/>
              <w:spacing w:line="380" w:lineRule="exact"/>
              <w:ind w:firstLine="420" w:firstLineChars="200"/>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color w:val="auto"/>
                <w:kern w:val="0"/>
                <w:sz w:val="21"/>
                <w:szCs w:val="21"/>
                <w:highlight w:val="none"/>
              </w:rPr>
              <w:t>联 系 人：</w:t>
            </w:r>
            <w:r>
              <w:rPr>
                <w:rFonts w:hint="eastAsia" w:asciiTheme="majorEastAsia" w:hAnsiTheme="majorEastAsia" w:eastAsiaTheme="majorEastAsia" w:cstheme="majorEastAsia"/>
                <w:color w:val="auto"/>
                <w:kern w:val="0"/>
                <w:sz w:val="21"/>
                <w:szCs w:val="21"/>
                <w:highlight w:val="none"/>
                <w:lang w:val="en-US" w:eastAsia="zh-CN"/>
              </w:rPr>
              <w:t>李</w:t>
            </w:r>
            <w:r>
              <w:rPr>
                <w:rFonts w:hint="eastAsia" w:asciiTheme="majorEastAsia" w:hAnsiTheme="majorEastAsia" w:eastAsiaTheme="majorEastAsia" w:cstheme="majorEastAsia"/>
                <w:color w:val="auto"/>
                <w:kern w:val="0"/>
                <w:sz w:val="21"/>
                <w:szCs w:val="21"/>
                <w:highlight w:val="none"/>
              </w:rPr>
              <w:t>老师</w:t>
            </w:r>
          </w:p>
          <w:p w14:paraId="64BD6CA4">
            <w:pPr>
              <w:wordWrap w:val="0"/>
              <w:spacing w:line="380" w:lineRule="exact"/>
              <w:ind w:firstLine="420" w:firstLineChars="200"/>
              <w:rPr>
                <w:rFonts w:hint="default" w:asciiTheme="majorEastAsia" w:hAnsiTheme="majorEastAsia" w:eastAsiaTheme="majorEastAsia" w:cstheme="majorEastAsia"/>
                <w:color w:val="auto"/>
                <w:kern w:val="0"/>
                <w:sz w:val="21"/>
                <w:szCs w:val="21"/>
                <w:highlight w:val="none"/>
                <w:lang w:val="en-US" w:eastAsia="zh-CN"/>
              </w:rPr>
            </w:pPr>
            <w:r>
              <w:rPr>
                <w:rFonts w:hint="eastAsia" w:asciiTheme="majorEastAsia" w:hAnsiTheme="majorEastAsia" w:eastAsiaTheme="majorEastAsia" w:cstheme="majorEastAsia"/>
                <w:color w:val="auto"/>
                <w:kern w:val="0"/>
                <w:sz w:val="21"/>
                <w:szCs w:val="21"/>
                <w:highlight w:val="none"/>
              </w:rPr>
              <w:t>联系电话：</w:t>
            </w:r>
            <w:r>
              <w:rPr>
                <w:rFonts w:hint="eastAsia" w:asciiTheme="majorEastAsia" w:hAnsiTheme="majorEastAsia" w:eastAsiaTheme="majorEastAsia" w:cstheme="majorEastAsia"/>
                <w:color w:val="auto"/>
                <w:kern w:val="0"/>
                <w:sz w:val="21"/>
                <w:szCs w:val="21"/>
                <w:highlight w:val="none"/>
                <w:lang w:val="en-US" w:eastAsia="zh-CN"/>
              </w:rPr>
              <w:t>0873-3992430</w:t>
            </w:r>
          </w:p>
          <w:p w14:paraId="35D62F22">
            <w:pPr>
              <w:wordWrap w:val="0"/>
              <w:spacing w:line="380" w:lineRule="exact"/>
              <w:ind w:firstLine="420" w:firstLineChars="200"/>
              <w:rPr>
                <w:rFonts w:hint="eastAsia" w:asciiTheme="majorEastAsia" w:hAnsiTheme="majorEastAsia" w:eastAsiaTheme="majorEastAsia" w:cstheme="majorEastAsia"/>
                <w:bCs/>
                <w:color w:val="auto"/>
                <w:spacing w:val="-2"/>
                <w:sz w:val="21"/>
                <w:szCs w:val="21"/>
                <w:highlight w:val="none"/>
              </w:rPr>
            </w:pPr>
            <w:r>
              <w:rPr>
                <w:rFonts w:hint="eastAsia" w:asciiTheme="majorEastAsia" w:hAnsiTheme="majorEastAsia" w:eastAsiaTheme="majorEastAsia" w:cstheme="majorEastAsia"/>
                <w:color w:val="auto"/>
                <w:kern w:val="0"/>
                <w:sz w:val="21"/>
                <w:szCs w:val="21"/>
                <w:highlight w:val="none"/>
              </w:rPr>
              <w:t>投标保证金的</w:t>
            </w:r>
            <w:r>
              <w:rPr>
                <w:rFonts w:hint="eastAsia" w:asciiTheme="majorEastAsia" w:hAnsiTheme="majorEastAsia" w:eastAsiaTheme="majorEastAsia" w:cstheme="majorEastAsia"/>
                <w:color w:val="auto"/>
                <w:kern w:val="0"/>
                <w:sz w:val="21"/>
                <w:szCs w:val="21"/>
                <w:highlight w:val="none"/>
                <w:lang w:eastAsia="zh-CN"/>
              </w:rPr>
              <w:t>缴纳</w:t>
            </w:r>
            <w:r>
              <w:rPr>
                <w:rFonts w:hint="eastAsia" w:asciiTheme="majorEastAsia" w:hAnsiTheme="majorEastAsia" w:eastAsiaTheme="majorEastAsia" w:cstheme="majorEastAsia"/>
                <w:color w:val="auto"/>
                <w:kern w:val="0"/>
                <w:sz w:val="21"/>
                <w:szCs w:val="21"/>
                <w:highlight w:val="none"/>
              </w:rPr>
              <w:t>时间以</w:t>
            </w:r>
            <w:r>
              <w:rPr>
                <w:rFonts w:hint="eastAsia" w:asciiTheme="majorEastAsia" w:hAnsiTheme="majorEastAsia" w:eastAsiaTheme="majorEastAsia" w:cstheme="majorEastAsia"/>
                <w:color w:val="auto"/>
                <w:kern w:val="0"/>
                <w:sz w:val="21"/>
                <w:szCs w:val="21"/>
                <w:highlight w:val="none"/>
                <w:lang w:eastAsia="zh-CN"/>
              </w:rPr>
              <w:t>实际到账的</w:t>
            </w:r>
            <w:r>
              <w:rPr>
                <w:rFonts w:hint="eastAsia" w:asciiTheme="majorEastAsia" w:hAnsiTheme="majorEastAsia" w:eastAsiaTheme="majorEastAsia" w:cstheme="majorEastAsia"/>
                <w:color w:val="auto"/>
                <w:kern w:val="0"/>
                <w:sz w:val="21"/>
                <w:szCs w:val="21"/>
                <w:highlight w:val="none"/>
              </w:rPr>
              <w:t>时间为准，未</w:t>
            </w:r>
            <w:r>
              <w:rPr>
                <w:rFonts w:hint="eastAsia" w:asciiTheme="majorEastAsia" w:hAnsiTheme="majorEastAsia" w:eastAsiaTheme="majorEastAsia" w:cstheme="majorEastAsia"/>
                <w:color w:val="auto"/>
                <w:kern w:val="0"/>
                <w:sz w:val="21"/>
                <w:szCs w:val="21"/>
                <w:highlight w:val="none"/>
                <w:lang w:eastAsia="zh-CN"/>
              </w:rPr>
              <w:t>按时到账</w:t>
            </w:r>
            <w:r>
              <w:rPr>
                <w:rFonts w:hint="eastAsia" w:asciiTheme="majorEastAsia" w:hAnsiTheme="majorEastAsia" w:eastAsiaTheme="majorEastAsia" w:cstheme="majorEastAsia"/>
                <w:color w:val="auto"/>
                <w:kern w:val="0"/>
                <w:sz w:val="21"/>
                <w:szCs w:val="21"/>
                <w:highlight w:val="none"/>
              </w:rPr>
              <w:t>的投标保证金无效。投标保证金的交付人和投标人的名称必须一致，将被视为非实质性响应招标文件</w:t>
            </w:r>
            <w:r>
              <w:rPr>
                <w:rFonts w:hint="eastAsia" w:asciiTheme="majorEastAsia" w:hAnsiTheme="majorEastAsia" w:eastAsiaTheme="majorEastAsia" w:cstheme="majorEastAsia"/>
                <w:bCs/>
                <w:color w:val="auto"/>
                <w:spacing w:val="-2"/>
                <w:sz w:val="21"/>
                <w:szCs w:val="21"/>
                <w:highlight w:val="none"/>
              </w:rPr>
              <w:t>。</w:t>
            </w:r>
          </w:p>
          <w:p w14:paraId="24C6E0E2">
            <w:pPr>
              <w:pStyle w:val="14"/>
              <w:ind w:left="0" w:leftChars="0" w:firstLine="0" w:firstLineChars="0"/>
              <w:rPr>
                <w:rFonts w:hint="default" w:eastAsiaTheme="majorEastAsia"/>
                <w:lang w:val="en-US" w:eastAsia="zh-CN"/>
              </w:rPr>
            </w:pPr>
            <w:r>
              <w:rPr>
                <w:rFonts w:hint="eastAsia" w:asciiTheme="majorEastAsia" w:hAnsiTheme="majorEastAsia" w:eastAsiaTheme="majorEastAsia" w:cstheme="majorEastAsia"/>
                <w:bCs/>
                <w:color w:val="auto"/>
                <w:spacing w:val="-2"/>
                <w:sz w:val="21"/>
                <w:szCs w:val="21"/>
                <w:highlight w:val="none"/>
                <w:lang w:val="en-US" w:eastAsia="zh-CN"/>
              </w:rPr>
              <w:t xml:space="preserve">    </w:t>
            </w:r>
            <w:r>
              <w:rPr>
                <w:rFonts w:hint="eastAsia" w:asciiTheme="majorEastAsia" w:hAnsiTheme="majorEastAsia" w:eastAsiaTheme="majorEastAsia" w:cstheme="majorEastAsia"/>
                <w:b/>
                <w:bCs w:val="0"/>
                <w:color w:val="auto"/>
                <w:spacing w:val="-2"/>
                <w:sz w:val="24"/>
                <w:szCs w:val="24"/>
                <w:highlight w:val="none"/>
                <w:lang w:val="en-US" w:eastAsia="zh-CN"/>
              </w:rPr>
              <w:t xml:space="preserve"> 注：缴纳投标保证金请备注项目名称+标段号。</w:t>
            </w:r>
          </w:p>
        </w:tc>
      </w:tr>
      <w:tr w14:paraId="197E4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58" w:type="dxa"/>
            <w:vAlign w:val="center"/>
          </w:tcPr>
          <w:p w14:paraId="09ECC878">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20.1</w:t>
            </w:r>
          </w:p>
        </w:tc>
        <w:tc>
          <w:tcPr>
            <w:tcW w:w="1739" w:type="dxa"/>
            <w:vAlign w:val="center"/>
          </w:tcPr>
          <w:p w14:paraId="1C2D727C">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投标文件递交</w:t>
            </w:r>
          </w:p>
        </w:tc>
        <w:tc>
          <w:tcPr>
            <w:tcW w:w="7723" w:type="dxa"/>
            <w:vAlign w:val="center"/>
          </w:tcPr>
          <w:p w14:paraId="69FD39E9">
            <w:pPr>
              <w:wordWrap w:val="0"/>
              <w:ind w:left="210" w:leftChars="10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政采云平台（https://www.zcygov.cn/）</w:t>
            </w:r>
          </w:p>
        </w:tc>
      </w:tr>
      <w:tr w14:paraId="7CDAD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58" w:type="dxa"/>
            <w:vAlign w:val="center"/>
          </w:tcPr>
          <w:p w14:paraId="23A25111">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21.1</w:t>
            </w:r>
          </w:p>
        </w:tc>
        <w:tc>
          <w:tcPr>
            <w:tcW w:w="1739" w:type="dxa"/>
            <w:vAlign w:val="center"/>
          </w:tcPr>
          <w:p w14:paraId="7225C626">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提交投标文件截止时间</w:t>
            </w:r>
          </w:p>
        </w:tc>
        <w:tc>
          <w:tcPr>
            <w:tcW w:w="7723" w:type="dxa"/>
            <w:vAlign w:val="center"/>
          </w:tcPr>
          <w:p w14:paraId="4C741454">
            <w:pPr>
              <w:pStyle w:val="17"/>
              <w:ind w:left="210" w:leftChars="10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时间：</w:t>
            </w:r>
            <w:r>
              <w:rPr>
                <w:rFonts w:hint="eastAsia" w:asciiTheme="majorEastAsia" w:hAnsiTheme="majorEastAsia" w:eastAsiaTheme="majorEastAsia" w:cstheme="majorEastAsia"/>
                <w:color w:val="auto"/>
                <w:sz w:val="21"/>
                <w:szCs w:val="21"/>
                <w:highlight w:val="none"/>
                <w:lang w:eastAsia="zh-CN"/>
              </w:rPr>
              <w:t>2026年10月09日08时30分</w:t>
            </w:r>
            <w:r>
              <w:rPr>
                <w:rFonts w:hint="eastAsia" w:asciiTheme="majorEastAsia" w:hAnsiTheme="majorEastAsia" w:eastAsiaTheme="majorEastAsia" w:cstheme="majorEastAsia"/>
                <w:color w:val="auto"/>
                <w:sz w:val="21"/>
                <w:szCs w:val="21"/>
                <w:highlight w:val="none"/>
              </w:rPr>
              <w:t>；</w:t>
            </w:r>
          </w:p>
        </w:tc>
      </w:tr>
      <w:tr w14:paraId="1A3DF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58" w:type="dxa"/>
            <w:vAlign w:val="center"/>
          </w:tcPr>
          <w:p w14:paraId="19D187BF">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21.2</w:t>
            </w:r>
          </w:p>
        </w:tc>
        <w:tc>
          <w:tcPr>
            <w:tcW w:w="1739" w:type="dxa"/>
            <w:vAlign w:val="center"/>
          </w:tcPr>
          <w:p w14:paraId="51DB50C0">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提交投标文件地点</w:t>
            </w:r>
          </w:p>
        </w:tc>
        <w:tc>
          <w:tcPr>
            <w:tcW w:w="7723" w:type="dxa"/>
            <w:vAlign w:val="center"/>
          </w:tcPr>
          <w:p w14:paraId="19382ADA">
            <w:pPr>
              <w:pStyle w:val="27"/>
              <w:spacing w:beforeAutospacing="0" w:afterAutospacing="0" w:line="420" w:lineRule="exact"/>
              <w:ind w:left="210" w:leftChars="10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政采云平台（https://www.zcygov.cn/）</w:t>
            </w:r>
          </w:p>
        </w:tc>
      </w:tr>
      <w:tr w14:paraId="46D34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58" w:type="dxa"/>
            <w:vAlign w:val="center"/>
          </w:tcPr>
          <w:p w14:paraId="25D01E1B">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21.3</w:t>
            </w:r>
          </w:p>
        </w:tc>
        <w:tc>
          <w:tcPr>
            <w:tcW w:w="1739" w:type="dxa"/>
            <w:vAlign w:val="center"/>
          </w:tcPr>
          <w:p w14:paraId="3F30FC9D">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投标文件的退还</w:t>
            </w:r>
          </w:p>
        </w:tc>
        <w:tc>
          <w:tcPr>
            <w:tcW w:w="7723" w:type="dxa"/>
            <w:vAlign w:val="center"/>
          </w:tcPr>
          <w:p w14:paraId="16718317">
            <w:pPr>
              <w:pStyle w:val="17"/>
              <w:ind w:left="210" w:leftChars="10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eastAsia="zh-CN"/>
              </w:rPr>
              <w:t>☑</w:t>
            </w:r>
            <w:r>
              <w:rPr>
                <w:rFonts w:hint="eastAsia" w:asciiTheme="majorEastAsia" w:hAnsiTheme="majorEastAsia" w:eastAsiaTheme="majorEastAsia" w:cstheme="majorEastAsia"/>
                <w:color w:val="auto"/>
                <w:sz w:val="21"/>
                <w:szCs w:val="21"/>
                <w:highlight w:val="none"/>
              </w:rPr>
              <w:t>不予退还   □退还</w:t>
            </w:r>
          </w:p>
        </w:tc>
      </w:tr>
      <w:tr w14:paraId="70F26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58" w:type="dxa"/>
            <w:vAlign w:val="center"/>
          </w:tcPr>
          <w:p w14:paraId="0C73537D">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22.1</w:t>
            </w:r>
          </w:p>
        </w:tc>
        <w:tc>
          <w:tcPr>
            <w:tcW w:w="1739" w:type="dxa"/>
            <w:vAlign w:val="center"/>
          </w:tcPr>
          <w:p w14:paraId="0CE6E796">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开标时间和地点</w:t>
            </w:r>
          </w:p>
        </w:tc>
        <w:tc>
          <w:tcPr>
            <w:tcW w:w="7723" w:type="dxa"/>
            <w:vAlign w:val="center"/>
          </w:tcPr>
          <w:p w14:paraId="617E6C00">
            <w:pPr>
              <w:pStyle w:val="17"/>
              <w:ind w:left="210" w:leftChars="10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开标时间：</w:t>
            </w:r>
            <w:r>
              <w:rPr>
                <w:rFonts w:hint="eastAsia" w:asciiTheme="majorEastAsia" w:hAnsiTheme="majorEastAsia" w:eastAsiaTheme="majorEastAsia" w:cstheme="majorEastAsia"/>
                <w:color w:val="auto"/>
                <w:sz w:val="21"/>
                <w:szCs w:val="21"/>
                <w:highlight w:val="none"/>
                <w:u w:val="single"/>
              </w:rPr>
              <w:t>同提交投标文件截止时间</w:t>
            </w:r>
            <w:r>
              <w:rPr>
                <w:rFonts w:hint="eastAsia" w:asciiTheme="majorEastAsia" w:hAnsiTheme="majorEastAsia" w:eastAsiaTheme="majorEastAsia" w:cstheme="majorEastAsia"/>
                <w:color w:val="auto"/>
                <w:sz w:val="21"/>
                <w:szCs w:val="21"/>
                <w:highlight w:val="none"/>
              </w:rPr>
              <w:t>；</w:t>
            </w:r>
          </w:p>
          <w:p w14:paraId="3CB7CAB6">
            <w:pPr>
              <w:pStyle w:val="17"/>
              <w:ind w:left="1260" w:leftChars="100" w:hanging="1050" w:hangingChars="500"/>
              <w:rPr>
                <w:rFonts w:hint="eastAsia" w:asciiTheme="majorEastAsia" w:hAnsiTheme="majorEastAsia" w:eastAsiaTheme="majorEastAsia" w:cstheme="majorEastAsia"/>
                <w:color w:val="auto"/>
                <w:sz w:val="21"/>
                <w:szCs w:val="21"/>
                <w:highlight w:val="none"/>
                <w:u w:val="single"/>
              </w:rPr>
            </w:pPr>
            <w:r>
              <w:rPr>
                <w:rFonts w:hint="eastAsia" w:asciiTheme="majorEastAsia" w:hAnsiTheme="majorEastAsia" w:eastAsiaTheme="majorEastAsia" w:cstheme="majorEastAsia"/>
                <w:color w:val="auto"/>
                <w:sz w:val="21"/>
                <w:szCs w:val="21"/>
                <w:highlight w:val="none"/>
              </w:rPr>
              <w:t>开标地点：</w:t>
            </w:r>
            <w:r>
              <w:rPr>
                <w:rFonts w:hint="eastAsia" w:asciiTheme="majorEastAsia" w:hAnsiTheme="majorEastAsia" w:eastAsiaTheme="majorEastAsia" w:cstheme="majorEastAsia"/>
                <w:color w:val="auto"/>
                <w:sz w:val="21"/>
                <w:szCs w:val="21"/>
                <w:highlight w:val="none"/>
                <w:u w:val="single"/>
              </w:rPr>
              <w:t>同提交投标文件地点</w:t>
            </w:r>
            <w:r>
              <w:rPr>
                <w:rFonts w:hint="eastAsia" w:asciiTheme="majorEastAsia" w:hAnsiTheme="majorEastAsia" w:eastAsiaTheme="majorEastAsia" w:cstheme="majorEastAsia"/>
                <w:color w:val="auto"/>
                <w:sz w:val="21"/>
                <w:szCs w:val="21"/>
                <w:highlight w:val="none"/>
              </w:rPr>
              <w:t>。</w:t>
            </w:r>
          </w:p>
        </w:tc>
      </w:tr>
      <w:tr w14:paraId="0BCC0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58" w:type="dxa"/>
            <w:vAlign w:val="center"/>
          </w:tcPr>
          <w:p w14:paraId="2F9A2EA3">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23.4</w:t>
            </w:r>
          </w:p>
        </w:tc>
        <w:tc>
          <w:tcPr>
            <w:tcW w:w="1739" w:type="dxa"/>
            <w:vAlign w:val="center"/>
          </w:tcPr>
          <w:p w14:paraId="3BDAAD32">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评标方法</w:t>
            </w:r>
          </w:p>
        </w:tc>
        <w:tc>
          <w:tcPr>
            <w:tcW w:w="7723" w:type="dxa"/>
            <w:vAlign w:val="center"/>
          </w:tcPr>
          <w:p w14:paraId="3949A427">
            <w:pPr>
              <w:ind w:left="210" w:leftChars="10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□最低评</w:t>
            </w:r>
            <w:r>
              <w:rPr>
                <w:rFonts w:hint="eastAsia" w:asciiTheme="majorEastAsia" w:hAnsiTheme="majorEastAsia" w:eastAsiaTheme="majorEastAsia" w:cstheme="majorEastAsia"/>
                <w:color w:val="auto"/>
                <w:sz w:val="21"/>
                <w:szCs w:val="21"/>
                <w:highlight w:val="none"/>
                <w:lang w:eastAsia="zh-CN"/>
              </w:rPr>
              <w:t>价</w:t>
            </w:r>
            <w:r>
              <w:rPr>
                <w:rFonts w:hint="eastAsia" w:asciiTheme="majorEastAsia" w:hAnsiTheme="majorEastAsia" w:eastAsiaTheme="majorEastAsia" w:cstheme="majorEastAsia"/>
                <w:color w:val="auto"/>
                <w:sz w:val="21"/>
                <w:szCs w:val="21"/>
                <w:highlight w:val="none"/>
              </w:rPr>
              <w:t>法</w:t>
            </w:r>
          </w:p>
          <w:p w14:paraId="1381C467">
            <w:pPr>
              <w:ind w:left="210" w:leftChars="10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eastAsia="zh-CN"/>
              </w:rPr>
              <w:t>☑</w:t>
            </w:r>
            <w:r>
              <w:rPr>
                <w:rFonts w:hint="eastAsia" w:asciiTheme="majorEastAsia" w:hAnsiTheme="majorEastAsia" w:eastAsiaTheme="majorEastAsia" w:cstheme="majorEastAsia"/>
                <w:color w:val="auto"/>
                <w:sz w:val="21"/>
                <w:szCs w:val="21"/>
                <w:highlight w:val="none"/>
              </w:rPr>
              <w:t>综合评分法</w:t>
            </w:r>
          </w:p>
        </w:tc>
      </w:tr>
      <w:tr w14:paraId="7F504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858" w:type="dxa"/>
            <w:vAlign w:val="center"/>
          </w:tcPr>
          <w:p w14:paraId="68C5C2EB">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28.1</w:t>
            </w:r>
          </w:p>
        </w:tc>
        <w:tc>
          <w:tcPr>
            <w:tcW w:w="1739" w:type="dxa"/>
            <w:vAlign w:val="center"/>
          </w:tcPr>
          <w:p w14:paraId="719DFFC2">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Cs/>
                <w:color w:val="auto"/>
                <w:sz w:val="21"/>
                <w:szCs w:val="21"/>
                <w:highlight w:val="none"/>
              </w:rPr>
              <w:t>履约担保</w:t>
            </w:r>
          </w:p>
        </w:tc>
        <w:tc>
          <w:tcPr>
            <w:tcW w:w="7723" w:type="dxa"/>
            <w:vAlign w:val="center"/>
          </w:tcPr>
          <w:p w14:paraId="54491716">
            <w:pPr>
              <w:pStyle w:val="17"/>
              <w:ind w:left="210" w:leftChars="100"/>
              <w:jc w:val="left"/>
              <w:rPr>
                <w:rFonts w:hint="eastAsia" w:asciiTheme="majorEastAsia" w:hAnsiTheme="majorEastAsia" w:eastAsiaTheme="majorEastAsia" w:cstheme="majorEastAsia"/>
                <w:bCs/>
                <w:color w:val="auto"/>
                <w:sz w:val="21"/>
                <w:szCs w:val="21"/>
                <w:highlight w:val="none"/>
              </w:rPr>
            </w:pPr>
            <w:r>
              <w:rPr>
                <w:rFonts w:hint="eastAsia" w:asciiTheme="majorEastAsia" w:hAnsiTheme="majorEastAsia" w:eastAsiaTheme="majorEastAsia" w:cstheme="majorEastAsia"/>
                <w:bCs/>
                <w:color w:val="auto"/>
                <w:sz w:val="21"/>
                <w:szCs w:val="21"/>
                <w:highlight w:val="none"/>
              </w:rPr>
              <w:t>履约保证金的形式：</w:t>
            </w:r>
            <w:r>
              <w:rPr>
                <w:rFonts w:hint="eastAsia" w:asciiTheme="majorEastAsia" w:hAnsiTheme="majorEastAsia" w:eastAsiaTheme="majorEastAsia" w:cstheme="majorEastAsia"/>
                <w:bCs/>
                <w:color w:val="auto"/>
                <w:sz w:val="21"/>
                <w:szCs w:val="21"/>
                <w:highlight w:val="none"/>
                <w:lang w:val="en-US" w:eastAsia="zh-CN"/>
              </w:rPr>
              <w:t>银行</w:t>
            </w:r>
            <w:r>
              <w:rPr>
                <w:rFonts w:hint="eastAsia" w:asciiTheme="majorEastAsia" w:hAnsiTheme="majorEastAsia" w:eastAsiaTheme="majorEastAsia" w:cstheme="majorEastAsia"/>
                <w:bCs/>
                <w:color w:val="auto"/>
                <w:sz w:val="21"/>
                <w:szCs w:val="21"/>
                <w:highlight w:val="none"/>
              </w:rPr>
              <w:t>转账</w:t>
            </w:r>
            <w:r>
              <w:rPr>
                <w:rFonts w:hint="eastAsia" w:asciiTheme="majorEastAsia" w:hAnsiTheme="majorEastAsia" w:eastAsiaTheme="majorEastAsia" w:cstheme="majorEastAsia"/>
                <w:bCs/>
                <w:color w:val="auto"/>
                <w:sz w:val="21"/>
                <w:szCs w:val="21"/>
                <w:highlight w:val="none"/>
                <w:lang w:eastAsia="zh-CN"/>
              </w:rPr>
              <w:t>、</w:t>
            </w:r>
            <w:r>
              <w:rPr>
                <w:rFonts w:hint="eastAsia" w:asciiTheme="majorEastAsia" w:hAnsiTheme="majorEastAsia" w:eastAsiaTheme="majorEastAsia" w:cstheme="majorEastAsia"/>
                <w:bCs/>
                <w:color w:val="auto"/>
                <w:sz w:val="21"/>
                <w:szCs w:val="21"/>
                <w:highlight w:val="none"/>
              </w:rPr>
              <w:t>支票、汇票、本票、保函、保险等非现金形式。</w:t>
            </w:r>
          </w:p>
          <w:p w14:paraId="51CF35C3">
            <w:pPr>
              <w:pStyle w:val="17"/>
              <w:ind w:left="210" w:leftChars="100"/>
              <w:jc w:val="left"/>
              <w:rPr>
                <w:rFonts w:hint="eastAsia" w:asciiTheme="majorEastAsia" w:hAnsiTheme="majorEastAsia" w:eastAsiaTheme="majorEastAsia" w:cstheme="majorEastAsia"/>
                <w:bCs/>
                <w:color w:val="auto"/>
                <w:sz w:val="21"/>
                <w:szCs w:val="21"/>
                <w:highlight w:val="none"/>
              </w:rPr>
            </w:pPr>
            <w:r>
              <w:rPr>
                <w:rFonts w:hint="eastAsia" w:asciiTheme="majorEastAsia" w:hAnsiTheme="majorEastAsia" w:eastAsiaTheme="majorEastAsia" w:cstheme="majorEastAsia"/>
                <w:bCs/>
                <w:color w:val="auto"/>
                <w:sz w:val="21"/>
                <w:szCs w:val="21"/>
                <w:highlight w:val="none"/>
              </w:rPr>
              <w:t>履约保证金的金额：签约合同价的10％。</w:t>
            </w:r>
          </w:p>
          <w:p w14:paraId="2CA000AD">
            <w:pPr>
              <w:pStyle w:val="17"/>
              <w:ind w:left="210" w:leftChars="100"/>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Cs/>
                <w:color w:val="auto"/>
                <w:sz w:val="21"/>
                <w:szCs w:val="21"/>
                <w:highlight w:val="none"/>
                <w:lang w:val="en-US" w:eastAsia="zh-CN"/>
              </w:rPr>
              <w:t>具体缴纳方式双方签订合同时协商确定</w:t>
            </w:r>
            <w:r>
              <w:rPr>
                <w:rFonts w:hint="eastAsia" w:asciiTheme="majorEastAsia" w:hAnsiTheme="majorEastAsia" w:eastAsiaTheme="majorEastAsia" w:cstheme="majorEastAsia"/>
                <w:color w:val="auto"/>
                <w:kern w:val="0"/>
                <w:sz w:val="21"/>
                <w:szCs w:val="21"/>
                <w:highlight w:val="none"/>
              </w:rPr>
              <w:t xml:space="preserve"> </w:t>
            </w:r>
          </w:p>
        </w:tc>
      </w:tr>
      <w:tr w14:paraId="6228C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1" w:hRule="atLeast"/>
          <w:jc w:val="center"/>
        </w:trPr>
        <w:tc>
          <w:tcPr>
            <w:tcW w:w="858" w:type="dxa"/>
            <w:vAlign w:val="center"/>
          </w:tcPr>
          <w:p w14:paraId="5E92E03C">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30.1</w:t>
            </w:r>
          </w:p>
        </w:tc>
        <w:tc>
          <w:tcPr>
            <w:tcW w:w="1739" w:type="dxa"/>
            <w:vAlign w:val="center"/>
          </w:tcPr>
          <w:p w14:paraId="3F9291D9">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备选方案</w:t>
            </w:r>
          </w:p>
        </w:tc>
        <w:tc>
          <w:tcPr>
            <w:tcW w:w="7723" w:type="dxa"/>
            <w:vAlign w:val="center"/>
          </w:tcPr>
          <w:p w14:paraId="008576F9">
            <w:pPr>
              <w:pStyle w:val="17"/>
              <w:ind w:left="210" w:leftChars="10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□接受     </w:t>
            </w:r>
            <w:r>
              <w:rPr>
                <w:rFonts w:hint="eastAsia" w:asciiTheme="majorEastAsia" w:hAnsiTheme="majorEastAsia" w:eastAsiaTheme="majorEastAsia" w:cstheme="majorEastAsia"/>
                <w:color w:val="auto"/>
                <w:sz w:val="21"/>
                <w:szCs w:val="21"/>
                <w:highlight w:val="none"/>
                <w:lang w:eastAsia="zh-CN"/>
              </w:rPr>
              <w:t>☑</w:t>
            </w:r>
            <w:r>
              <w:rPr>
                <w:rFonts w:hint="eastAsia" w:asciiTheme="majorEastAsia" w:hAnsiTheme="majorEastAsia" w:eastAsiaTheme="majorEastAsia" w:cstheme="majorEastAsia"/>
                <w:color w:val="auto"/>
                <w:sz w:val="21"/>
                <w:szCs w:val="21"/>
                <w:highlight w:val="none"/>
              </w:rPr>
              <w:t>不接受</w:t>
            </w:r>
          </w:p>
          <w:p w14:paraId="0983F099">
            <w:pPr>
              <w:pStyle w:val="17"/>
              <w:ind w:left="210" w:leftChars="10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（接受备选方案的，应在开标一览表格式及相关报价表中，列出主选方案和备选方案的相关内容）</w:t>
            </w:r>
          </w:p>
        </w:tc>
      </w:tr>
      <w:tr w14:paraId="3E139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1" w:hRule="atLeast"/>
          <w:jc w:val="center"/>
        </w:trPr>
        <w:tc>
          <w:tcPr>
            <w:tcW w:w="858" w:type="dxa"/>
            <w:vAlign w:val="center"/>
          </w:tcPr>
          <w:p w14:paraId="20DDD246">
            <w:pPr>
              <w:pStyle w:val="17"/>
              <w:jc w:val="center"/>
              <w:rPr>
                <w:rFonts w:hint="default"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30.2</w:t>
            </w:r>
          </w:p>
        </w:tc>
        <w:tc>
          <w:tcPr>
            <w:tcW w:w="1739" w:type="dxa"/>
            <w:vAlign w:val="center"/>
          </w:tcPr>
          <w:p w14:paraId="330EFFCA">
            <w:pPr>
              <w:pStyle w:val="135"/>
              <w:snapToGrid w:val="0"/>
              <w:spacing w:line="360" w:lineRule="auto"/>
              <w:ind w:firstLine="210" w:firstLineChars="100"/>
              <w:jc w:val="left"/>
              <w:rPr>
                <w:rFonts w:hint="eastAsia" w:asciiTheme="majorEastAsia" w:hAnsiTheme="majorEastAsia" w:eastAsiaTheme="majorEastAsia" w:cstheme="majorEastAsia"/>
                <w:color w:val="auto"/>
                <w:kern w:val="2"/>
                <w:sz w:val="21"/>
                <w:szCs w:val="21"/>
                <w:highlight w:val="none"/>
                <w:lang w:val="en-US" w:eastAsia="zh-CN" w:bidi="ar-SA"/>
              </w:rPr>
            </w:pPr>
            <w:r>
              <w:rPr>
                <w:rFonts w:hint="eastAsia" w:asciiTheme="majorEastAsia" w:hAnsiTheme="majorEastAsia" w:eastAsiaTheme="majorEastAsia" w:cstheme="majorEastAsia"/>
                <w:color w:val="auto"/>
                <w:kern w:val="2"/>
                <w:sz w:val="21"/>
                <w:szCs w:val="21"/>
                <w:highlight w:val="none"/>
                <w:lang w:val="en-US" w:eastAsia="zh-CN" w:bidi="ar-SA"/>
              </w:rPr>
              <w:t>评审小组的组建</w:t>
            </w:r>
          </w:p>
        </w:tc>
        <w:tc>
          <w:tcPr>
            <w:tcW w:w="7723" w:type="dxa"/>
            <w:vAlign w:val="bottom"/>
          </w:tcPr>
          <w:p w14:paraId="12BEF9CE">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Theme="majorEastAsia" w:hAnsiTheme="majorEastAsia" w:eastAsiaTheme="majorEastAsia" w:cstheme="majorEastAsia"/>
                <w:color w:val="auto"/>
                <w:kern w:val="2"/>
                <w:sz w:val="21"/>
                <w:szCs w:val="21"/>
                <w:highlight w:val="none"/>
                <w:lang w:val="en-US" w:eastAsia="zh-CN" w:bidi="ar-SA"/>
              </w:rPr>
            </w:pPr>
            <w:r>
              <w:rPr>
                <w:rFonts w:hint="eastAsia" w:asciiTheme="majorEastAsia" w:hAnsiTheme="majorEastAsia" w:eastAsiaTheme="majorEastAsia" w:cstheme="majorEastAsia"/>
                <w:color w:val="auto"/>
                <w:kern w:val="2"/>
                <w:sz w:val="21"/>
                <w:szCs w:val="21"/>
                <w:highlight w:val="none"/>
                <w:lang w:val="en-US" w:eastAsia="zh-CN" w:bidi="ar-SA"/>
              </w:rPr>
              <w:t>评审小组人数：5人或以上单数</w:t>
            </w:r>
          </w:p>
          <w:p w14:paraId="2D4DF428">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Theme="majorEastAsia" w:hAnsiTheme="majorEastAsia" w:eastAsiaTheme="majorEastAsia" w:cstheme="majorEastAsia"/>
                <w:color w:val="auto"/>
                <w:kern w:val="2"/>
                <w:sz w:val="21"/>
                <w:szCs w:val="21"/>
                <w:highlight w:val="none"/>
                <w:lang w:val="en-US" w:eastAsia="zh-CN" w:bidi="ar-SA"/>
              </w:rPr>
            </w:pPr>
            <w:r>
              <w:rPr>
                <w:rFonts w:hint="eastAsia" w:asciiTheme="majorEastAsia" w:hAnsiTheme="majorEastAsia" w:eastAsiaTheme="majorEastAsia" w:cstheme="majorEastAsia"/>
                <w:color w:val="auto"/>
                <w:kern w:val="2"/>
                <w:sz w:val="21"/>
                <w:szCs w:val="21"/>
                <w:highlight w:val="none"/>
                <w:lang w:val="en-US" w:eastAsia="zh-CN" w:bidi="ar-SA"/>
              </w:rPr>
              <w:t>评审小组构成：采购人代表不超过评委总数的三分之一，经济、技术专家不低于评委总数的三分之二</w:t>
            </w:r>
          </w:p>
          <w:p w14:paraId="60230177">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Theme="majorEastAsia" w:hAnsiTheme="majorEastAsia" w:eastAsiaTheme="majorEastAsia" w:cstheme="majorEastAsia"/>
                <w:color w:val="auto"/>
                <w:kern w:val="2"/>
                <w:sz w:val="21"/>
                <w:szCs w:val="21"/>
                <w:highlight w:val="none"/>
                <w:lang w:val="en-US" w:eastAsia="zh-CN" w:bidi="ar-SA"/>
              </w:rPr>
            </w:pPr>
            <w:r>
              <w:rPr>
                <w:rFonts w:hint="eastAsia" w:asciiTheme="majorEastAsia" w:hAnsiTheme="majorEastAsia" w:eastAsiaTheme="majorEastAsia" w:cstheme="majorEastAsia"/>
                <w:color w:val="auto"/>
                <w:kern w:val="2"/>
                <w:sz w:val="21"/>
                <w:szCs w:val="21"/>
                <w:highlight w:val="none"/>
                <w:lang w:val="en-US" w:eastAsia="zh-CN" w:bidi="ar-SA"/>
              </w:rPr>
              <w:t>评标专家确定方式：随机抽取</w:t>
            </w:r>
          </w:p>
        </w:tc>
      </w:tr>
      <w:tr w14:paraId="2E328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58" w:type="dxa"/>
            <w:vAlign w:val="center"/>
          </w:tcPr>
          <w:p w14:paraId="51D9DCB7">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30.2</w:t>
            </w:r>
          </w:p>
        </w:tc>
        <w:tc>
          <w:tcPr>
            <w:tcW w:w="9462" w:type="dxa"/>
            <w:gridSpan w:val="2"/>
            <w:vAlign w:val="center"/>
          </w:tcPr>
          <w:p w14:paraId="07A92374">
            <w:pPr>
              <w:pStyle w:val="17"/>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需要补充的其他内容</w:t>
            </w:r>
          </w:p>
        </w:tc>
      </w:tr>
      <w:tr w14:paraId="2EDCD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58" w:type="dxa"/>
            <w:vAlign w:val="center"/>
          </w:tcPr>
          <w:p w14:paraId="0C34023E">
            <w:pPr>
              <w:pStyle w:val="17"/>
              <w:jc w:val="center"/>
              <w:rPr>
                <w:rFonts w:hint="default"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1</w:t>
            </w:r>
          </w:p>
        </w:tc>
        <w:tc>
          <w:tcPr>
            <w:tcW w:w="9462" w:type="dxa"/>
            <w:gridSpan w:val="2"/>
            <w:vAlign w:val="center"/>
          </w:tcPr>
          <w:p w14:paraId="351FD147">
            <w:pPr>
              <w:pStyle w:val="17"/>
              <w:jc w:val="left"/>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本项目扶持中小微企业政策：《政府采购促进中小企业发展管理办法》（财库〔2020〕46号）、《财政部关于进一步加大政府采购支持中小企业力度的通知》（财库〔2022〕19号）、《财政部、司法部关于政府采购支持监狱企业发展有关问题的通知》(财库[2014]68号)、《关于促进残疾人就业政府采购政策的通知》（财库[2017]141号）。扶持中小企业政策：针对小微企业报价给予10%的扣除，用扣除后的价格参加评审。监狱企业、残疾人福利性单位提供的产品视同小型、微型企业</w:t>
            </w:r>
            <w:r>
              <w:rPr>
                <w:rFonts w:hint="eastAsia" w:asciiTheme="majorEastAsia" w:hAnsiTheme="majorEastAsia" w:eastAsiaTheme="majorEastAsia" w:cstheme="majorEastAsia"/>
                <w:color w:val="auto"/>
                <w:sz w:val="21"/>
                <w:szCs w:val="21"/>
                <w:highlight w:val="none"/>
              </w:rPr>
              <w:t>。招标文件中明确的所属行业</w:t>
            </w:r>
            <w:r>
              <w:rPr>
                <w:rFonts w:hint="eastAsia" w:asciiTheme="majorEastAsia" w:hAnsiTheme="majorEastAsia" w:eastAsiaTheme="majorEastAsia" w:cstheme="majorEastAsia"/>
                <w:color w:val="auto"/>
                <w:sz w:val="21"/>
                <w:szCs w:val="21"/>
                <w:highlight w:val="none"/>
                <w:lang w:val="en-US" w:eastAsia="zh-CN"/>
              </w:rPr>
              <w:t>类型</w:t>
            </w:r>
            <w:r>
              <w:rPr>
                <w:rFonts w:hint="eastAsia" w:asciiTheme="majorEastAsia" w:hAnsiTheme="majorEastAsia" w:eastAsiaTheme="majorEastAsia" w:cstheme="majorEastAsia"/>
                <w:color w:val="auto"/>
                <w:sz w:val="21"/>
                <w:szCs w:val="21"/>
                <w:highlight w:val="none"/>
              </w:rPr>
              <w:t>为</w:t>
            </w:r>
            <w:r>
              <w:rPr>
                <w:rFonts w:hint="eastAsia" w:asciiTheme="majorEastAsia" w:hAnsiTheme="majorEastAsia" w:eastAsiaTheme="majorEastAsia" w:cstheme="majorEastAsia"/>
                <w:color w:val="auto"/>
                <w:sz w:val="21"/>
                <w:szCs w:val="21"/>
                <w:highlight w:val="none"/>
                <w:u w:val="single"/>
                <w:lang w:val="en-US" w:eastAsia="zh-CN"/>
              </w:rPr>
              <w:t xml:space="preserve"> </w:t>
            </w:r>
            <w:r>
              <w:rPr>
                <w:rFonts w:hint="eastAsia" w:asciiTheme="majorEastAsia" w:hAnsiTheme="majorEastAsia" w:eastAsiaTheme="majorEastAsia" w:cstheme="majorEastAsia"/>
                <w:b/>
                <w:bCs/>
                <w:color w:val="auto"/>
                <w:sz w:val="21"/>
                <w:szCs w:val="21"/>
                <w:highlight w:val="none"/>
                <w:u w:val="single"/>
                <w:lang w:val="en-US" w:eastAsia="zh-CN"/>
              </w:rPr>
              <w:t xml:space="preserve">工业 </w:t>
            </w:r>
            <w:r>
              <w:rPr>
                <w:rFonts w:hint="eastAsia" w:asciiTheme="majorEastAsia" w:hAnsiTheme="majorEastAsia" w:eastAsiaTheme="majorEastAsia" w:cstheme="majorEastAsia"/>
                <w:color w:val="auto"/>
                <w:sz w:val="21"/>
                <w:szCs w:val="21"/>
                <w:highlight w:val="none"/>
              </w:rPr>
              <w:t>。</w:t>
            </w:r>
          </w:p>
          <w:p w14:paraId="7C84E0FF">
            <w:pPr>
              <w:pStyle w:val="17"/>
              <w:jc w:val="left"/>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对本国产品的支持政策：政府采购活动中既有本国产品又有非本国产品参与竞争的，依法对本国产品给予价格评审优惠，对本国产品的报价给予20%的价格扣除，用扣除后的价格参与评审。</w:t>
            </w:r>
          </w:p>
          <w:p w14:paraId="23E95A7D">
            <w:pPr>
              <w:pStyle w:val="17"/>
              <w:jc w:val="left"/>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DADCAFC">
            <w:pPr>
              <w:pStyle w:val="17"/>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对于即属于小微企业、监狱企业或残疾人福利性单位，又属于本国产品的，在投标报价的基础上分别计算扣除比例金额，用投标报价减去合计扣除金额后的价格参与评审。</w:t>
            </w:r>
          </w:p>
        </w:tc>
      </w:tr>
      <w:tr w14:paraId="56ED4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0" w:hRule="atLeast"/>
          <w:jc w:val="center"/>
        </w:trPr>
        <w:tc>
          <w:tcPr>
            <w:tcW w:w="858" w:type="dxa"/>
            <w:vAlign w:val="center"/>
          </w:tcPr>
          <w:p w14:paraId="7B2DDA01">
            <w:pPr>
              <w:pStyle w:val="17"/>
              <w:jc w:val="center"/>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2</w:t>
            </w:r>
          </w:p>
        </w:tc>
        <w:tc>
          <w:tcPr>
            <w:tcW w:w="9462" w:type="dxa"/>
            <w:gridSpan w:val="2"/>
            <w:vAlign w:val="center"/>
          </w:tcPr>
          <w:p w14:paraId="53D07EF6">
            <w:pPr>
              <w:pStyle w:val="17"/>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招标代理费服务费：</w:t>
            </w:r>
            <w:r>
              <w:rPr>
                <w:rFonts w:hint="eastAsia" w:hAnsi="宋体" w:eastAsia="宋体" w:cs="宋体"/>
                <w:color w:val="auto"/>
                <w:sz w:val="21"/>
                <w:szCs w:val="21"/>
                <w:highlight w:val="none"/>
                <w:lang w:val="en-US" w:eastAsia="zh-CN"/>
              </w:rPr>
              <w:t>一标段</w:t>
            </w:r>
            <w:r>
              <w:rPr>
                <w:rFonts w:hint="eastAsia" w:asciiTheme="majorEastAsia" w:hAnsiTheme="majorEastAsia" w:eastAsiaTheme="majorEastAsia" w:cstheme="majorEastAsia"/>
                <w:color w:val="auto"/>
                <w:sz w:val="21"/>
                <w:szCs w:val="21"/>
                <w:highlight w:val="none"/>
                <w:lang w:val="en-US" w:eastAsia="zh-CN"/>
              </w:rPr>
              <w:t>招标代理费服务费收取4028.00元</w:t>
            </w:r>
            <w:r>
              <w:rPr>
                <w:rFonts w:hint="eastAsia" w:hAnsi="宋体" w:eastAsia="宋体" w:cs="宋体"/>
                <w:color w:val="auto"/>
                <w:sz w:val="21"/>
                <w:szCs w:val="21"/>
                <w:highlight w:val="none"/>
                <w:lang w:val="en-US" w:eastAsia="zh-CN"/>
              </w:rPr>
              <w:t>。由中标人承担，须在领取中标通知书时支付给招标代理机构。</w:t>
            </w:r>
          </w:p>
        </w:tc>
      </w:tr>
    </w:tbl>
    <w:p w14:paraId="15A68761">
      <w:pPr>
        <w:spacing w:line="360" w:lineRule="auto"/>
        <w:rPr>
          <w:rFonts w:hint="eastAsia" w:asciiTheme="majorEastAsia" w:hAnsiTheme="majorEastAsia" w:eastAsiaTheme="majorEastAsia" w:cstheme="majorEastAsia"/>
          <w:color w:val="auto"/>
          <w:sz w:val="24"/>
          <w:szCs w:val="21"/>
          <w:highlight w:val="none"/>
        </w:rPr>
      </w:pPr>
    </w:p>
    <w:p w14:paraId="22990A1D">
      <w:pPr>
        <w:pStyle w:val="3"/>
        <w:numPr>
          <w:ilvl w:val="1"/>
          <w:numId w:val="0"/>
        </w:numPr>
        <w:tabs>
          <w:tab w:val="clear" w:pos="1021"/>
          <w:tab w:val="clear" w:pos="2582"/>
          <w:tab w:val="clear" w:pos="2723"/>
        </w:tabs>
        <w:spacing w:before="0" w:after="0" w:line="360" w:lineRule="auto"/>
        <w:jc w:val="center"/>
        <w:rPr>
          <w:rFonts w:hint="eastAsia" w:asciiTheme="majorEastAsia" w:hAnsiTheme="majorEastAsia" w:eastAsiaTheme="majorEastAsia" w:cstheme="majorEastAsia"/>
          <w:bCs w:val="0"/>
          <w:color w:val="auto"/>
          <w:sz w:val="24"/>
          <w:szCs w:val="24"/>
          <w:highlight w:val="none"/>
        </w:rPr>
      </w:pPr>
      <w:bookmarkStart w:id="43" w:name="_Toc113569024"/>
      <w:bookmarkStart w:id="44" w:name="_Toc450064562"/>
      <w:bookmarkStart w:id="45" w:name="_Toc389644513"/>
      <w:bookmarkStart w:id="46" w:name="_Toc486584207"/>
      <w:r>
        <w:rPr>
          <w:rFonts w:hint="eastAsia" w:asciiTheme="majorEastAsia" w:hAnsiTheme="majorEastAsia" w:eastAsiaTheme="majorEastAsia" w:cstheme="majorEastAsia"/>
          <w:bCs w:val="0"/>
          <w:color w:val="auto"/>
          <w:sz w:val="24"/>
          <w:szCs w:val="24"/>
          <w:highlight w:val="none"/>
        </w:rPr>
        <w:t>一、总则</w:t>
      </w:r>
      <w:bookmarkEnd w:id="43"/>
      <w:bookmarkEnd w:id="44"/>
      <w:bookmarkEnd w:id="45"/>
      <w:bookmarkEnd w:id="46"/>
    </w:p>
    <w:p w14:paraId="6B45D4F6">
      <w:pPr>
        <w:pStyle w:val="4"/>
        <w:numPr>
          <w:ilvl w:val="2"/>
          <w:numId w:val="0"/>
        </w:numPr>
        <w:tabs>
          <w:tab w:val="clear" w:pos="900"/>
        </w:tabs>
        <w:spacing w:before="0" w:after="0" w:line="360" w:lineRule="auto"/>
        <w:rPr>
          <w:rFonts w:hint="eastAsia" w:asciiTheme="majorEastAsia" w:hAnsiTheme="majorEastAsia" w:eastAsiaTheme="majorEastAsia" w:cstheme="majorEastAsia"/>
          <w:color w:val="auto"/>
          <w:sz w:val="24"/>
          <w:szCs w:val="24"/>
          <w:highlight w:val="none"/>
        </w:rPr>
      </w:pPr>
      <w:bookmarkStart w:id="47" w:name="_Toc113569025"/>
      <w:bookmarkStart w:id="48" w:name="_Toc450064563"/>
      <w:bookmarkStart w:id="49" w:name="_Toc389644514"/>
      <w:bookmarkStart w:id="50" w:name="_Toc486584208"/>
      <w:bookmarkStart w:id="51" w:name="_Toc529957161"/>
      <w:r>
        <w:rPr>
          <w:rFonts w:hint="eastAsia" w:asciiTheme="majorEastAsia" w:hAnsiTheme="majorEastAsia" w:eastAsiaTheme="majorEastAsia" w:cstheme="majorEastAsia"/>
          <w:color w:val="auto"/>
          <w:sz w:val="24"/>
          <w:szCs w:val="24"/>
          <w:highlight w:val="none"/>
        </w:rPr>
        <w:t>1.项目概况</w:t>
      </w:r>
      <w:bookmarkEnd w:id="47"/>
      <w:bookmarkEnd w:id="48"/>
      <w:bookmarkEnd w:id="49"/>
      <w:bookmarkEnd w:id="50"/>
      <w:bookmarkEnd w:id="51"/>
    </w:p>
    <w:p w14:paraId="3EFCA553">
      <w:pPr>
        <w:spacing w:line="360" w:lineRule="auto"/>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1.1采 购 人：详见投标人须知前附表。</w:t>
      </w:r>
    </w:p>
    <w:p w14:paraId="5814958A">
      <w:pPr>
        <w:spacing w:line="360" w:lineRule="auto"/>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1.2采购代理：详见投标人须知前附表。</w:t>
      </w:r>
    </w:p>
    <w:p w14:paraId="0016180C">
      <w:pPr>
        <w:spacing w:line="360" w:lineRule="auto"/>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1.3 项目名称：详见投标人须知前附表。</w:t>
      </w:r>
    </w:p>
    <w:p w14:paraId="365492FE">
      <w:pPr>
        <w:spacing w:line="360" w:lineRule="auto"/>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 项目编号：详见投标人须知前附表。</w:t>
      </w:r>
    </w:p>
    <w:p w14:paraId="02F7E517">
      <w:pPr>
        <w:spacing w:line="360" w:lineRule="auto"/>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w:t>
      </w:r>
      <w:r>
        <w:rPr>
          <w:rFonts w:hint="eastAsia" w:asciiTheme="majorEastAsia" w:hAnsiTheme="majorEastAsia" w:eastAsiaTheme="majorEastAsia" w:cstheme="majorEastAsia"/>
          <w:bCs/>
          <w:color w:val="auto"/>
          <w:sz w:val="24"/>
          <w:szCs w:val="24"/>
          <w:highlight w:val="none"/>
        </w:rPr>
        <w:t xml:space="preserve"> 合同履行期限及交货地点：</w:t>
      </w:r>
      <w:r>
        <w:rPr>
          <w:rFonts w:hint="eastAsia" w:asciiTheme="majorEastAsia" w:hAnsiTheme="majorEastAsia" w:eastAsiaTheme="majorEastAsia" w:cstheme="majorEastAsia"/>
          <w:color w:val="auto"/>
          <w:sz w:val="24"/>
          <w:szCs w:val="24"/>
          <w:highlight w:val="none"/>
        </w:rPr>
        <w:t>详见投标人须知前附表。</w:t>
      </w:r>
    </w:p>
    <w:p w14:paraId="63E82A30">
      <w:pPr>
        <w:spacing w:line="360" w:lineRule="auto"/>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1.6 本项目采购预算及最高限价：详见投标人须知前附表。</w:t>
      </w:r>
    </w:p>
    <w:p w14:paraId="1263DC4B">
      <w:pPr>
        <w:pStyle w:val="4"/>
        <w:numPr>
          <w:ilvl w:val="2"/>
          <w:numId w:val="0"/>
        </w:numPr>
        <w:tabs>
          <w:tab w:val="clear" w:pos="900"/>
        </w:tabs>
        <w:spacing w:before="0" w:after="0" w:line="360" w:lineRule="auto"/>
        <w:rPr>
          <w:rFonts w:hint="eastAsia" w:asciiTheme="majorEastAsia" w:hAnsiTheme="majorEastAsia" w:eastAsiaTheme="majorEastAsia" w:cstheme="majorEastAsia"/>
          <w:color w:val="auto"/>
          <w:sz w:val="24"/>
          <w:szCs w:val="24"/>
          <w:highlight w:val="none"/>
        </w:rPr>
      </w:pPr>
      <w:bookmarkStart w:id="52" w:name="_Toc389644515"/>
      <w:bookmarkStart w:id="53" w:name="_Toc486584209"/>
      <w:bookmarkStart w:id="54" w:name="_Toc113569026"/>
      <w:bookmarkStart w:id="55" w:name="_Toc450064564"/>
      <w:bookmarkStart w:id="56" w:name="_Toc529957162"/>
      <w:r>
        <w:rPr>
          <w:rFonts w:hint="eastAsia" w:asciiTheme="majorEastAsia" w:hAnsiTheme="majorEastAsia" w:eastAsiaTheme="majorEastAsia" w:cstheme="majorEastAsia"/>
          <w:color w:val="auto"/>
          <w:sz w:val="24"/>
          <w:szCs w:val="24"/>
          <w:highlight w:val="none"/>
        </w:rPr>
        <w:t>2.</w:t>
      </w:r>
      <w:bookmarkEnd w:id="52"/>
      <w:bookmarkEnd w:id="53"/>
      <w:bookmarkEnd w:id="54"/>
      <w:bookmarkEnd w:id="55"/>
      <w:bookmarkEnd w:id="56"/>
      <w:r>
        <w:rPr>
          <w:rFonts w:hint="eastAsia" w:asciiTheme="majorEastAsia" w:hAnsiTheme="majorEastAsia" w:eastAsiaTheme="majorEastAsia" w:cstheme="majorEastAsia"/>
          <w:color w:val="auto"/>
          <w:sz w:val="24"/>
          <w:szCs w:val="24"/>
          <w:highlight w:val="none"/>
        </w:rPr>
        <w:t>投标人资格要求</w:t>
      </w:r>
    </w:p>
    <w:p w14:paraId="133BE07F">
      <w:pPr>
        <w:spacing w:line="360" w:lineRule="auto"/>
        <w:ind w:firstLine="484" w:firstLineChars="202"/>
        <w:rPr>
          <w:rFonts w:hint="eastAsia" w:asciiTheme="majorEastAsia" w:hAnsiTheme="majorEastAsia" w:eastAsiaTheme="majorEastAsia" w:cstheme="majorEastAsia"/>
          <w:color w:val="auto"/>
          <w:sz w:val="24"/>
          <w:szCs w:val="24"/>
          <w:highlight w:val="none"/>
        </w:rPr>
      </w:pPr>
      <w:bookmarkStart w:id="57" w:name="_Toc486584210"/>
      <w:bookmarkStart w:id="58" w:name="_Toc389644516"/>
      <w:bookmarkStart w:id="59" w:name="_Toc450064565"/>
      <w:r>
        <w:rPr>
          <w:rFonts w:hint="eastAsia" w:asciiTheme="majorEastAsia" w:hAnsiTheme="majorEastAsia" w:eastAsiaTheme="majorEastAsia" w:cstheme="majorEastAsia"/>
          <w:color w:val="auto"/>
          <w:sz w:val="24"/>
          <w:szCs w:val="24"/>
          <w:highlight w:val="none"/>
        </w:rPr>
        <w:t>2.1 供应商应具备承担本项目服务的资质条件、能力和信誉，详见供应商须知前附表。</w:t>
      </w:r>
    </w:p>
    <w:p w14:paraId="3ED0B47C">
      <w:pPr>
        <w:spacing w:line="360" w:lineRule="auto"/>
        <w:ind w:firstLine="484" w:firstLineChars="202"/>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2.2单位负责人为同一人或者存在直接控股、管理关系的不同供应商，不得参加同一合同项下的政府采购活动。</w:t>
      </w:r>
    </w:p>
    <w:p w14:paraId="10A0C035">
      <w:pPr>
        <w:spacing w:line="360" w:lineRule="auto"/>
        <w:ind w:firstLine="484" w:firstLineChars="202"/>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2.3供应商须知前附表规定接受联合体投标的，联合体除应符合本章第 2.1项和供应商须知前附表的要求外，还应遵守以下规定：</w:t>
      </w:r>
    </w:p>
    <w:p w14:paraId="1BA5CB0C">
      <w:pPr>
        <w:spacing w:line="360" w:lineRule="auto"/>
        <w:ind w:firstLine="484" w:firstLineChars="202"/>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 联合体中有同类资质的供应商按照联合体分工承担相同工作的，应当按照资质等级较低的供应商确定资质等级；</w:t>
      </w:r>
    </w:p>
    <w:p w14:paraId="264620EC">
      <w:pPr>
        <w:spacing w:line="360" w:lineRule="auto"/>
        <w:ind w:firstLine="484" w:firstLineChars="202"/>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2</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联合体各方之间应当签订共同投标协议，明确约定联合体各方承担的工作和相应的责任；</w:t>
      </w:r>
    </w:p>
    <w:p w14:paraId="72A66ED0">
      <w:pPr>
        <w:spacing w:line="360" w:lineRule="auto"/>
        <w:ind w:firstLine="484" w:firstLineChars="202"/>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3</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以联合体形式参加政府采购活动的，联合体各方不得再单独参加或者与其他供应商另外组成联合体参加同一项目包下的政府采购活动。</w:t>
      </w:r>
    </w:p>
    <w:p w14:paraId="0B7CF01D">
      <w:pPr>
        <w:spacing w:line="360" w:lineRule="auto"/>
        <w:ind w:firstLine="484" w:firstLineChars="202"/>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2.4 符合上述条件的供应商应承担投标及履约中应承担的全部责任与义务。</w:t>
      </w:r>
    </w:p>
    <w:p w14:paraId="69B84611">
      <w:pPr>
        <w:pStyle w:val="4"/>
        <w:numPr>
          <w:ilvl w:val="2"/>
          <w:numId w:val="0"/>
        </w:numPr>
        <w:tabs>
          <w:tab w:val="clear" w:pos="900"/>
        </w:tabs>
        <w:spacing w:before="0" w:after="0" w:line="360" w:lineRule="auto"/>
        <w:rPr>
          <w:rFonts w:hint="eastAsia" w:asciiTheme="majorEastAsia" w:hAnsiTheme="majorEastAsia" w:eastAsiaTheme="majorEastAsia" w:cstheme="majorEastAsia"/>
          <w:color w:val="auto"/>
          <w:sz w:val="24"/>
          <w:szCs w:val="24"/>
          <w:highlight w:val="none"/>
        </w:rPr>
      </w:pPr>
      <w:bookmarkStart w:id="60" w:name="_Toc529957163"/>
      <w:bookmarkStart w:id="61" w:name="_Toc113569027"/>
      <w:r>
        <w:rPr>
          <w:rFonts w:hint="eastAsia" w:asciiTheme="majorEastAsia" w:hAnsiTheme="majorEastAsia" w:eastAsiaTheme="majorEastAsia" w:cstheme="majorEastAsia"/>
          <w:color w:val="auto"/>
          <w:sz w:val="24"/>
          <w:szCs w:val="24"/>
          <w:highlight w:val="none"/>
        </w:rPr>
        <w:t>3.投标费用</w:t>
      </w:r>
      <w:bookmarkEnd w:id="57"/>
      <w:bookmarkEnd w:id="58"/>
      <w:bookmarkEnd w:id="59"/>
      <w:bookmarkEnd w:id="60"/>
      <w:bookmarkEnd w:id="61"/>
    </w:p>
    <w:p w14:paraId="2FA555A0">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 投标人应承担所有与编写和提交投标文件有关的费用，不论投标的结果如何，投标人自行承担所有与参加投标有关的全部费用，采购人及采购代理机构在任何情况下均无义务和责任承担这些费用。</w:t>
      </w:r>
    </w:p>
    <w:p w14:paraId="2BD7165D">
      <w:pPr>
        <w:pStyle w:val="3"/>
        <w:numPr>
          <w:ilvl w:val="1"/>
          <w:numId w:val="0"/>
        </w:numPr>
        <w:tabs>
          <w:tab w:val="clear" w:pos="1021"/>
          <w:tab w:val="clear" w:pos="2582"/>
          <w:tab w:val="clear" w:pos="2723"/>
        </w:tabs>
        <w:spacing w:before="0" w:after="0" w:line="360" w:lineRule="auto"/>
        <w:jc w:val="center"/>
        <w:rPr>
          <w:rFonts w:hint="eastAsia" w:asciiTheme="majorEastAsia" w:hAnsiTheme="majorEastAsia" w:eastAsiaTheme="majorEastAsia" w:cstheme="majorEastAsia"/>
          <w:bCs w:val="0"/>
          <w:color w:val="auto"/>
          <w:sz w:val="24"/>
          <w:szCs w:val="24"/>
          <w:highlight w:val="none"/>
        </w:rPr>
      </w:pPr>
      <w:bookmarkStart w:id="62" w:name="_Toc113569028"/>
      <w:bookmarkStart w:id="63" w:name="_Toc486584211"/>
      <w:bookmarkStart w:id="64" w:name="_Toc389644517"/>
      <w:bookmarkStart w:id="65" w:name="_Toc450064566"/>
      <w:r>
        <w:rPr>
          <w:rFonts w:hint="eastAsia" w:asciiTheme="majorEastAsia" w:hAnsiTheme="majorEastAsia" w:eastAsiaTheme="majorEastAsia" w:cstheme="majorEastAsia"/>
          <w:bCs w:val="0"/>
          <w:color w:val="auto"/>
          <w:sz w:val="24"/>
          <w:szCs w:val="24"/>
          <w:highlight w:val="none"/>
        </w:rPr>
        <w:t>二、招标文件</w:t>
      </w:r>
      <w:bookmarkEnd w:id="62"/>
      <w:bookmarkEnd w:id="63"/>
      <w:bookmarkEnd w:id="64"/>
      <w:bookmarkEnd w:id="65"/>
    </w:p>
    <w:p w14:paraId="342E1B78">
      <w:pPr>
        <w:pStyle w:val="4"/>
        <w:numPr>
          <w:ilvl w:val="2"/>
          <w:numId w:val="0"/>
        </w:numPr>
        <w:tabs>
          <w:tab w:val="clear" w:pos="900"/>
        </w:tabs>
        <w:spacing w:before="0" w:after="0" w:line="360" w:lineRule="auto"/>
        <w:rPr>
          <w:rFonts w:hint="eastAsia" w:asciiTheme="majorEastAsia" w:hAnsiTheme="majorEastAsia" w:eastAsiaTheme="majorEastAsia" w:cstheme="majorEastAsia"/>
          <w:color w:val="auto"/>
          <w:sz w:val="24"/>
          <w:szCs w:val="24"/>
          <w:highlight w:val="none"/>
        </w:rPr>
      </w:pPr>
      <w:bookmarkStart w:id="66" w:name="_Toc450064567"/>
      <w:bookmarkStart w:id="67" w:name="_Toc529957165"/>
      <w:bookmarkStart w:id="68" w:name="_Toc389644518"/>
      <w:bookmarkStart w:id="69" w:name="_Toc486584212"/>
      <w:bookmarkStart w:id="70" w:name="_Toc113569029"/>
      <w:r>
        <w:rPr>
          <w:rFonts w:hint="eastAsia" w:asciiTheme="majorEastAsia" w:hAnsiTheme="majorEastAsia" w:eastAsiaTheme="majorEastAsia" w:cstheme="majorEastAsia"/>
          <w:color w:val="auto"/>
          <w:sz w:val="24"/>
          <w:szCs w:val="24"/>
          <w:highlight w:val="none"/>
        </w:rPr>
        <w:t>4.招标文件的</w:t>
      </w:r>
      <w:bookmarkEnd w:id="66"/>
      <w:bookmarkEnd w:id="67"/>
      <w:bookmarkEnd w:id="68"/>
      <w:bookmarkEnd w:id="69"/>
      <w:r>
        <w:rPr>
          <w:rFonts w:hint="eastAsia" w:asciiTheme="majorEastAsia" w:hAnsiTheme="majorEastAsia" w:eastAsiaTheme="majorEastAsia" w:cstheme="majorEastAsia"/>
          <w:color w:val="auto"/>
          <w:sz w:val="24"/>
          <w:szCs w:val="24"/>
          <w:highlight w:val="none"/>
        </w:rPr>
        <w:t>构成</w:t>
      </w:r>
      <w:bookmarkEnd w:id="70"/>
    </w:p>
    <w:p w14:paraId="6C9A4D50">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4.1 本招标文件包括：</w:t>
      </w:r>
    </w:p>
    <w:p w14:paraId="7BE4B169">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第一章  招标公告</w:t>
      </w:r>
    </w:p>
    <w:p w14:paraId="3CED8B62">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第二章  投标人须知</w:t>
      </w:r>
    </w:p>
    <w:p w14:paraId="3694FA71">
      <w:pPr>
        <w:spacing w:line="360" w:lineRule="auto"/>
        <w:ind w:firstLine="480" w:firstLineChars="200"/>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第三章  合同</w:t>
      </w:r>
      <w:r>
        <w:rPr>
          <w:rFonts w:hint="eastAsia" w:asciiTheme="majorEastAsia" w:hAnsiTheme="majorEastAsia" w:eastAsiaTheme="majorEastAsia" w:cstheme="majorEastAsia"/>
          <w:color w:val="auto"/>
          <w:sz w:val="24"/>
          <w:szCs w:val="24"/>
          <w:highlight w:val="none"/>
          <w:lang w:val="en-US" w:eastAsia="zh-CN"/>
        </w:rPr>
        <w:t>书样式及主要条款</w:t>
      </w:r>
    </w:p>
    <w:p w14:paraId="0A352D11">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第四章  投标文件格式</w:t>
      </w:r>
    </w:p>
    <w:p w14:paraId="24CE554D">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第五章  采购需求及技术要求</w:t>
      </w:r>
    </w:p>
    <w:p w14:paraId="608DD57C">
      <w:pPr>
        <w:spacing w:line="360" w:lineRule="auto"/>
        <w:ind w:firstLine="480" w:firstLineChars="200"/>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 xml:space="preserve">第六章  </w:t>
      </w:r>
      <w:r>
        <w:rPr>
          <w:rFonts w:hint="eastAsia" w:asciiTheme="majorEastAsia" w:hAnsiTheme="majorEastAsia" w:eastAsiaTheme="majorEastAsia" w:cstheme="majorEastAsia"/>
          <w:color w:val="auto"/>
          <w:sz w:val="24"/>
          <w:szCs w:val="24"/>
          <w:highlight w:val="none"/>
          <w:lang w:val="en-US" w:eastAsia="zh-CN"/>
        </w:rPr>
        <w:t>资格审查</w:t>
      </w:r>
    </w:p>
    <w:p w14:paraId="7031451D">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第</w:t>
      </w:r>
      <w:r>
        <w:rPr>
          <w:rFonts w:hint="eastAsia" w:asciiTheme="majorEastAsia" w:hAnsiTheme="majorEastAsia" w:eastAsiaTheme="majorEastAsia" w:cstheme="majorEastAsia"/>
          <w:color w:val="auto"/>
          <w:sz w:val="24"/>
          <w:szCs w:val="24"/>
          <w:highlight w:val="none"/>
          <w:lang w:val="en-US" w:eastAsia="zh-CN"/>
        </w:rPr>
        <w:t>七</w:t>
      </w:r>
      <w:r>
        <w:rPr>
          <w:rFonts w:hint="eastAsia" w:asciiTheme="majorEastAsia" w:hAnsiTheme="majorEastAsia" w:eastAsiaTheme="majorEastAsia" w:cstheme="majorEastAsia"/>
          <w:color w:val="auto"/>
          <w:sz w:val="24"/>
          <w:szCs w:val="24"/>
          <w:highlight w:val="none"/>
        </w:rPr>
        <w:t>章</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评标方法（综合评分法）</w:t>
      </w:r>
    </w:p>
    <w:p w14:paraId="280690F9">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4.2根据本须知第5条和第6条对招标文件所</w:t>
      </w:r>
      <w:r>
        <w:rPr>
          <w:rFonts w:hint="eastAsia" w:asciiTheme="majorEastAsia" w:hAnsiTheme="majorEastAsia" w:eastAsiaTheme="majorEastAsia" w:cstheme="majorEastAsia"/>
          <w:color w:val="auto"/>
          <w:sz w:val="24"/>
          <w:szCs w:val="24"/>
          <w:highlight w:val="none"/>
          <w:lang w:eastAsia="zh-CN"/>
        </w:rPr>
        <w:t>做</w:t>
      </w:r>
      <w:r>
        <w:rPr>
          <w:rFonts w:hint="eastAsia" w:asciiTheme="majorEastAsia" w:hAnsiTheme="majorEastAsia" w:eastAsiaTheme="majorEastAsia" w:cstheme="majorEastAsia"/>
          <w:color w:val="auto"/>
          <w:sz w:val="24"/>
          <w:szCs w:val="24"/>
          <w:highlight w:val="none"/>
        </w:rPr>
        <w:t>的澄清、修改，构成招标文件的组成部分。</w:t>
      </w:r>
    </w:p>
    <w:p w14:paraId="4B971E5E">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4.3投标人应认真阅读招标文件中全部内容，如果投标人没有按照招标文件要求提交全部资料或者投标文件没有对招标文件</w:t>
      </w:r>
      <w:r>
        <w:rPr>
          <w:rFonts w:hint="eastAsia" w:asciiTheme="majorEastAsia" w:hAnsiTheme="majorEastAsia" w:eastAsiaTheme="majorEastAsia" w:cstheme="majorEastAsia"/>
          <w:color w:val="auto"/>
          <w:sz w:val="24"/>
          <w:szCs w:val="24"/>
          <w:highlight w:val="none"/>
          <w:lang w:eastAsia="zh-CN"/>
        </w:rPr>
        <w:t>作出</w:t>
      </w:r>
      <w:r>
        <w:rPr>
          <w:rFonts w:hint="eastAsia" w:asciiTheme="majorEastAsia" w:hAnsiTheme="majorEastAsia" w:eastAsiaTheme="majorEastAsia" w:cstheme="majorEastAsia"/>
          <w:color w:val="auto"/>
          <w:sz w:val="24"/>
          <w:szCs w:val="24"/>
          <w:highlight w:val="none"/>
        </w:rPr>
        <w:t>实质性响应，</w:t>
      </w:r>
      <w:r>
        <w:rPr>
          <w:rFonts w:hint="eastAsia" w:asciiTheme="majorEastAsia" w:hAnsiTheme="majorEastAsia" w:eastAsiaTheme="majorEastAsia" w:cstheme="majorEastAsia"/>
          <w:bCs/>
          <w:color w:val="auto"/>
          <w:sz w:val="24"/>
          <w:szCs w:val="24"/>
          <w:highlight w:val="none"/>
        </w:rPr>
        <w:t>将被视为非实质性响应招标文件。</w:t>
      </w:r>
    </w:p>
    <w:p w14:paraId="1CC4E64D">
      <w:pPr>
        <w:pStyle w:val="4"/>
        <w:numPr>
          <w:ilvl w:val="2"/>
          <w:numId w:val="0"/>
        </w:numPr>
        <w:tabs>
          <w:tab w:val="clear" w:pos="900"/>
        </w:tabs>
        <w:spacing w:before="0" w:after="0" w:line="360" w:lineRule="auto"/>
        <w:rPr>
          <w:rFonts w:hint="eastAsia" w:asciiTheme="majorEastAsia" w:hAnsiTheme="majorEastAsia" w:eastAsiaTheme="majorEastAsia" w:cstheme="majorEastAsia"/>
          <w:color w:val="auto"/>
          <w:sz w:val="24"/>
          <w:szCs w:val="24"/>
          <w:highlight w:val="none"/>
        </w:rPr>
      </w:pPr>
      <w:bookmarkStart w:id="71" w:name="_Toc113569030"/>
      <w:bookmarkStart w:id="72" w:name="_Toc529957166"/>
      <w:bookmarkStart w:id="73" w:name="_Toc486584213"/>
      <w:bookmarkStart w:id="74" w:name="_Toc450064568"/>
      <w:bookmarkStart w:id="75" w:name="_Toc389644519"/>
      <w:r>
        <w:rPr>
          <w:rFonts w:hint="eastAsia" w:asciiTheme="majorEastAsia" w:hAnsiTheme="majorEastAsia" w:eastAsiaTheme="majorEastAsia" w:cstheme="majorEastAsia"/>
          <w:color w:val="auto"/>
          <w:sz w:val="24"/>
          <w:szCs w:val="24"/>
          <w:highlight w:val="none"/>
        </w:rPr>
        <w:t>5.招标文件的澄清</w:t>
      </w:r>
      <w:bookmarkEnd w:id="71"/>
      <w:bookmarkEnd w:id="72"/>
      <w:bookmarkEnd w:id="73"/>
      <w:bookmarkEnd w:id="74"/>
      <w:bookmarkEnd w:id="75"/>
    </w:p>
    <w:p w14:paraId="45E8D4D4">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5.1投标人应认真核查招标文件，如有疑问的，投标人可以在 “投标人须知前附表”规定截止时间前以在线不署名提交要求采购人澄清，截止时间后送达的澄清要求不予接受。所有获取了采购文件的潜在投标人凭企业数字证书（CA）登录政采云平台（https://www.zcygov.cn/），通过在线方式进行不署名提问。</w:t>
      </w:r>
    </w:p>
    <w:p w14:paraId="5B66DC51">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5.2任何要求对招标文件进行澄清的潜在投标人，在政采云平台及书面形式通知采购代理机构。采购代理机构对投标人自获取招标文件之日起7个工作日内收到的对招标文件的澄清要求均以书面形式予以答复，同时将书面答复通知每个获取招标文件的投标人，答复中包括所问问题，但不包括问题的来源；逾期提交</w:t>
      </w:r>
      <w:r>
        <w:rPr>
          <w:rFonts w:hint="eastAsia" w:asciiTheme="majorEastAsia" w:hAnsiTheme="majorEastAsia" w:eastAsiaTheme="majorEastAsia" w:cstheme="majorEastAsia"/>
          <w:color w:val="auto"/>
          <w:sz w:val="24"/>
          <w:szCs w:val="24"/>
          <w:highlight w:val="none"/>
          <w:lang w:eastAsia="zh-CN"/>
        </w:rPr>
        <w:t>的</w:t>
      </w:r>
      <w:r>
        <w:rPr>
          <w:rFonts w:hint="eastAsia" w:asciiTheme="majorEastAsia" w:hAnsiTheme="majorEastAsia" w:eastAsiaTheme="majorEastAsia" w:cstheme="majorEastAsia"/>
          <w:color w:val="auto"/>
          <w:sz w:val="24"/>
          <w:szCs w:val="24"/>
          <w:highlight w:val="none"/>
        </w:rPr>
        <w:t>疑问问题将不予回答。</w:t>
      </w:r>
    </w:p>
    <w:p w14:paraId="66DA511E">
      <w:pPr>
        <w:pStyle w:val="4"/>
        <w:numPr>
          <w:ilvl w:val="2"/>
          <w:numId w:val="0"/>
        </w:numPr>
        <w:tabs>
          <w:tab w:val="clear" w:pos="900"/>
        </w:tabs>
        <w:spacing w:before="0" w:after="0" w:line="360" w:lineRule="auto"/>
        <w:rPr>
          <w:rFonts w:hint="eastAsia" w:asciiTheme="majorEastAsia" w:hAnsiTheme="majorEastAsia" w:eastAsiaTheme="majorEastAsia" w:cstheme="majorEastAsia"/>
          <w:color w:val="auto"/>
          <w:sz w:val="24"/>
          <w:szCs w:val="24"/>
          <w:highlight w:val="none"/>
        </w:rPr>
      </w:pPr>
      <w:bookmarkStart w:id="76" w:name="_Toc486584214"/>
      <w:bookmarkStart w:id="77" w:name="_Toc529957167"/>
      <w:bookmarkStart w:id="78" w:name="_Toc389644520"/>
      <w:bookmarkStart w:id="79" w:name="_Toc113569031"/>
      <w:bookmarkStart w:id="80" w:name="_Toc450064569"/>
      <w:r>
        <w:rPr>
          <w:rFonts w:hint="eastAsia" w:asciiTheme="majorEastAsia" w:hAnsiTheme="majorEastAsia" w:eastAsiaTheme="majorEastAsia" w:cstheme="majorEastAsia"/>
          <w:color w:val="auto"/>
          <w:sz w:val="24"/>
          <w:szCs w:val="24"/>
          <w:highlight w:val="none"/>
        </w:rPr>
        <w:t>6.招标文件的修改</w:t>
      </w:r>
      <w:bookmarkEnd w:id="76"/>
      <w:bookmarkEnd w:id="77"/>
      <w:bookmarkEnd w:id="78"/>
      <w:bookmarkEnd w:id="79"/>
      <w:bookmarkEnd w:id="80"/>
    </w:p>
    <w:p w14:paraId="7DB16C08">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6.1采购代理机构对已发出的招标文件进行必要澄清或者修改的，于招标文件要求提交投标文件截止时间15日前，在财政部门指定的政府采购信息发布媒体上发布澄清公告。该澄清或者修改的内容为招标文件的组成部分。</w:t>
      </w:r>
    </w:p>
    <w:p w14:paraId="413A5A53">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6.2采购代理机构和采购单位可以视采购具体情况，延长投标截止时间和开标时间，将变更时间通知所有获取招标文件的投标人，并在财政部门指定的政府采购信息发布媒体上发布变更公告。</w:t>
      </w:r>
    </w:p>
    <w:p w14:paraId="6DA563F6">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6.3投标人应在投标截止时间前及时登录政采云平台（https://www.zcygov.cn/）中查看有关该工程招标文件的答疑、补遗内容。否则，后果自负。</w:t>
      </w:r>
    </w:p>
    <w:p w14:paraId="7B163DA6">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6.4招标文件澄清、招标文件修改文件内容均以网上电子文件为准，当招标文件、招标文件澄清、招标文件修改文件内容前后相互矛盾时，以最后发出的为准。</w:t>
      </w:r>
    </w:p>
    <w:p w14:paraId="0CC3DEC0">
      <w:pPr>
        <w:pStyle w:val="3"/>
        <w:numPr>
          <w:ilvl w:val="1"/>
          <w:numId w:val="0"/>
        </w:numPr>
        <w:tabs>
          <w:tab w:val="clear" w:pos="1021"/>
          <w:tab w:val="clear" w:pos="2582"/>
          <w:tab w:val="clear" w:pos="2723"/>
        </w:tabs>
        <w:spacing w:before="0" w:after="0" w:line="360" w:lineRule="auto"/>
        <w:jc w:val="center"/>
        <w:rPr>
          <w:rFonts w:hint="eastAsia" w:asciiTheme="majorEastAsia" w:hAnsiTheme="majorEastAsia" w:eastAsiaTheme="majorEastAsia" w:cstheme="majorEastAsia"/>
          <w:bCs w:val="0"/>
          <w:color w:val="auto"/>
          <w:sz w:val="24"/>
          <w:szCs w:val="24"/>
          <w:highlight w:val="none"/>
        </w:rPr>
      </w:pPr>
      <w:bookmarkStart w:id="81" w:name="_Toc450064570"/>
      <w:bookmarkStart w:id="82" w:name="_Toc113569032"/>
      <w:bookmarkStart w:id="83" w:name="_Toc486584215"/>
      <w:bookmarkStart w:id="84" w:name="_Toc389644521"/>
      <w:r>
        <w:rPr>
          <w:rFonts w:hint="eastAsia" w:asciiTheme="majorEastAsia" w:hAnsiTheme="majorEastAsia" w:eastAsiaTheme="majorEastAsia" w:cstheme="majorEastAsia"/>
          <w:bCs w:val="0"/>
          <w:color w:val="auto"/>
          <w:sz w:val="24"/>
          <w:szCs w:val="24"/>
          <w:highlight w:val="none"/>
        </w:rPr>
        <w:t>三、投标文件的编制</w:t>
      </w:r>
      <w:bookmarkEnd w:id="81"/>
      <w:bookmarkEnd w:id="82"/>
      <w:bookmarkEnd w:id="83"/>
      <w:bookmarkEnd w:id="84"/>
    </w:p>
    <w:p w14:paraId="15CF242B">
      <w:pPr>
        <w:pStyle w:val="4"/>
        <w:numPr>
          <w:ilvl w:val="2"/>
          <w:numId w:val="0"/>
        </w:numPr>
        <w:tabs>
          <w:tab w:val="clear" w:pos="900"/>
        </w:tabs>
        <w:spacing w:before="0" w:after="0" w:line="360" w:lineRule="auto"/>
        <w:rPr>
          <w:rFonts w:hint="eastAsia" w:asciiTheme="majorEastAsia" w:hAnsiTheme="majorEastAsia" w:eastAsiaTheme="majorEastAsia" w:cstheme="majorEastAsia"/>
          <w:color w:val="auto"/>
          <w:sz w:val="24"/>
          <w:szCs w:val="24"/>
          <w:highlight w:val="none"/>
        </w:rPr>
      </w:pPr>
      <w:bookmarkStart w:id="85" w:name="_Toc450064571"/>
      <w:bookmarkStart w:id="86" w:name="_Toc389644522"/>
      <w:bookmarkStart w:id="87" w:name="_Toc113569033"/>
      <w:bookmarkStart w:id="88" w:name="_Toc486584216"/>
      <w:bookmarkStart w:id="89" w:name="_Toc529957169"/>
      <w:r>
        <w:rPr>
          <w:rFonts w:hint="eastAsia" w:asciiTheme="majorEastAsia" w:hAnsiTheme="majorEastAsia" w:eastAsiaTheme="majorEastAsia" w:cstheme="majorEastAsia"/>
          <w:color w:val="auto"/>
          <w:sz w:val="24"/>
          <w:szCs w:val="24"/>
          <w:highlight w:val="none"/>
        </w:rPr>
        <w:t>7.投标文件编制的语言及度量衡单位</w:t>
      </w:r>
      <w:bookmarkEnd w:id="85"/>
      <w:bookmarkEnd w:id="86"/>
      <w:bookmarkEnd w:id="87"/>
      <w:bookmarkEnd w:id="88"/>
      <w:bookmarkEnd w:id="89"/>
    </w:p>
    <w:p w14:paraId="4CA75469">
      <w:pPr>
        <w:spacing w:line="360" w:lineRule="auto"/>
        <w:ind w:firstLine="480" w:firstLineChars="200"/>
        <w:rPr>
          <w:rFonts w:hint="eastAsia" w:asciiTheme="majorEastAsia" w:hAnsiTheme="majorEastAsia" w:eastAsiaTheme="majorEastAsia" w:cstheme="majorEastAsia"/>
          <w:color w:val="auto"/>
          <w:sz w:val="24"/>
          <w:szCs w:val="24"/>
          <w:highlight w:val="none"/>
        </w:rPr>
      </w:pPr>
      <w:bookmarkStart w:id="90" w:name="_Toc450064572"/>
      <w:bookmarkStart w:id="91" w:name="_Toc389644523"/>
      <w:r>
        <w:rPr>
          <w:rFonts w:hint="eastAsia" w:asciiTheme="majorEastAsia" w:hAnsiTheme="majorEastAsia" w:eastAsiaTheme="majorEastAsia" w:cstheme="majorEastAsia"/>
          <w:color w:val="auto"/>
          <w:sz w:val="24"/>
          <w:szCs w:val="24"/>
          <w:highlight w:val="none"/>
        </w:rPr>
        <w:t>7.1 招标投标文件使用的语言文字为中文。专用术语使用外文的，应附有中文注释。</w:t>
      </w:r>
    </w:p>
    <w:p w14:paraId="4892BCFE">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7.2 用非中文版印刷的产品说明书、技术资料等，投标人应提供符合我国有关</w:t>
      </w:r>
      <w:r>
        <w:rPr>
          <w:rFonts w:hint="eastAsia" w:asciiTheme="majorEastAsia" w:hAnsiTheme="majorEastAsia" w:eastAsiaTheme="majorEastAsia" w:cstheme="majorEastAsia"/>
          <w:color w:val="auto"/>
          <w:sz w:val="24"/>
          <w:szCs w:val="24"/>
          <w:highlight w:val="none"/>
          <w:lang w:eastAsia="zh-CN"/>
        </w:rPr>
        <w:t>法律法规</w:t>
      </w:r>
      <w:r>
        <w:rPr>
          <w:rFonts w:hint="eastAsia" w:asciiTheme="majorEastAsia" w:hAnsiTheme="majorEastAsia" w:eastAsiaTheme="majorEastAsia" w:cstheme="majorEastAsia"/>
          <w:color w:val="auto"/>
          <w:sz w:val="24"/>
          <w:szCs w:val="24"/>
          <w:highlight w:val="none"/>
        </w:rPr>
        <w:t>的中文译本，并以中文译本为准。</w:t>
      </w:r>
    </w:p>
    <w:p w14:paraId="6E5A3F55">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7.3 投标文件中所使用的度量衡单位，除招标文件中有特殊要求外，一律用公制。</w:t>
      </w:r>
    </w:p>
    <w:p w14:paraId="3F50FE8A">
      <w:pPr>
        <w:spacing w:line="360" w:lineRule="auto"/>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7.4投标文件编写注意事项</w:t>
      </w:r>
    </w:p>
    <w:p w14:paraId="1EE72ECC">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（1）投标人应仔细阅读招标文件，在完全了解采购的内容、技术性能要求</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详见“采购货物需求及技术要求”</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和商务条件后，编写投标文件。招标文件中标注★号的条款为实质性要求和条件，投标文件必须响应招标文件的实质性要求和条件，不满足任何一条将导致投标无效。</w:t>
      </w:r>
    </w:p>
    <w:p w14:paraId="4F7861C7">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（2）对招标文件提出的实质性要求和条件作出响应是指：投标人必须对招标文件中的实质性要求和条件的内容作出满足或者优于原要求和条件的承诺，并提供相应的证明材料。</w:t>
      </w:r>
    </w:p>
    <w:p w14:paraId="174282B5">
      <w:pPr>
        <w:pStyle w:val="4"/>
        <w:numPr>
          <w:ilvl w:val="2"/>
          <w:numId w:val="0"/>
        </w:numPr>
        <w:tabs>
          <w:tab w:val="clear" w:pos="900"/>
        </w:tabs>
        <w:spacing w:before="0" w:after="0" w:line="360" w:lineRule="auto"/>
        <w:rPr>
          <w:rFonts w:hint="eastAsia" w:asciiTheme="majorEastAsia" w:hAnsiTheme="majorEastAsia" w:eastAsiaTheme="majorEastAsia" w:cstheme="majorEastAsia"/>
          <w:color w:val="auto"/>
          <w:sz w:val="24"/>
          <w:szCs w:val="24"/>
          <w:highlight w:val="none"/>
        </w:rPr>
      </w:pPr>
      <w:bookmarkStart w:id="92" w:name="_Toc486584217"/>
      <w:bookmarkStart w:id="93" w:name="_Toc113569034"/>
      <w:bookmarkStart w:id="94" w:name="_Toc529957170"/>
      <w:r>
        <w:rPr>
          <w:rFonts w:hint="eastAsia" w:asciiTheme="majorEastAsia" w:hAnsiTheme="majorEastAsia" w:eastAsiaTheme="majorEastAsia" w:cstheme="majorEastAsia"/>
          <w:color w:val="auto"/>
          <w:sz w:val="24"/>
          <w:szCs w:val="24"/>
          <w:highlight w:val="none"/>
        </w:rPr>
        <w:t>8.投标文件的构成</w:t>
      </w:r>
      <w:bookmarkEnd w:id="90"/>
      <w:bookmarkEnd w:id="91"/>
      <w:bookmarkEnd w:id="92"/>
      <w:bookmarkEnd w:id="93"/>
      <w:bookmarkEnd w:id="94"/>
    </w:p>
    <w:p w14:paraId="2C75392C">
      <w:pPr>
        <w:adjustRightInd w:val="0"/>
        <w:snapToGrid w:val="0"/>
        <w:spacing w:line="360" w:lineRule="auto"/>
        <w:ind w:firstLine="482" w:firstLineChars="200"/>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8.1招标文件附件中提供格式的，请按照附件的格式填写。</w:t>
      </w:r>
    </w:p>
    <w:p w14:paraId="187C36C9">
      <w:pPr>
        <w:adjustRightInd w:val="0"/>
        <w:snapToGrid w:val="0"/>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8.2投标文件全部采用电子文档，由资格审查部分、商务部分及技术标部分组成。</w:t>
      </w:r>
    </w:p>
    <w:p w14:paraId="0F8F5165">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Cs/>
          <w:color w:val="auto"/>
          <w:sz w:val="24"/>
          <w:szCs w:val="24"/>
          <w:highlight w:val="none"/>
        </w:rPr>
        <w:t>8.3所投货物证明材料</w:t>
      </w:r>
      <w:r>
        <w:rPr>
          <w:rFonts w:hint="eastAsia" w:asciiTheme="majorEastAsia" w:hAnsiTheme="majorEastAsia" w:eastAsiaTheme="majorEastAsia" w:cstheme="majorEastAsia"/>
          <w:color w:val="auto"/>
          <w:sz w:val="24"/>
          <w:szCs w:val="24"/>
          <w:highlight w:val="none"/>
        </w:rPr>
        <w:t>。</w:t>
      </w:r>
    </w:p>
    <w:p w14:paraId="4D8FE72B">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8.4 招标文件中要求提供及投标人认为需要提供的其他资料。</w:t>
      </w:r>
    </w:p>
    <w:p w14:paraId="5E43C7CC">
      <w:pPr>
        <w:spacing w:line="360" w:lineRule="auto"/>
        <w:ind w:firstLine="480" w:firstLineChars="200"/>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color w:val="auto"/>
          <w:sz w:val="24"/>
          <w:szCs w:val="24"/>
          <w:highlight w:val="none"/>
        </w:rPr>
        <w:t>8.5投标人应当按照招标文件的要求编制投标文件，并对其提交的投标文件的真实性、合法性承担法律责任。</w:t>
      </w:r>
    </w:p>
    <w:p w14:paraId="73ABCB46">
      <w:pPr>
        <w:pStyle w:val="4"/>
        <w:numPr>
          <w:ilvl w:val="2"/>
          <w:numId w:val="0"/>
        </w:numPr>
        <w:tabs>
          <w:tab w:val="clear" w:pos="900"/>
        </w:tabs>
        <w:spacing w:before="0" w:after="0" w:line="360" w:lineRule="auto"/>
        <w:rPr>
          <w:rFonts w:hint="eastAsia" w:asciiTheme="majorEastAsia" w:hAnsiTheme="majorEastAsia" w:eastAsiaTheme="majorEastAsia" w:cstheme="majorEastAsia"/>
          <w:color w:val="auto"/>
          <w:sz w:val="24"/>
          <w:szCs w:val="24"/>
          <w:highlight w:val="none"/>
        </w:rPr>
      </w:pPr>
      <w:bookmarkStart w:id="95" w:name="_Toc486584218"/>
      <w:bookmarkStart w:id="96" w:name="_Toc450064573"/>
      <w:bookmarkStart w:id="97" w:name="_Toc529957171"/>
      <w:bookmarkStart w:id="98" w:name="_Toc113569035"/>
      <w:bookmarkStart w:id="99" w:name="_Toc389644524"/>
      <w:r>
        <w:rPr>
          <w:rFonts w:hint="eastAsia" w:asciiTheme="majorEastAsia" w:hAnsiTheme="majorEastAsia" w:eastAsiaTheme="majorEastAsia" w:cstheme="majorEastAsia"/>
          <w:color w:val="auto"/>
          <w:sz w:val="24"/>
          <w:szCs w:val="24"/>
          <w:highlight w:val="none"/>
        </w:rPr>
        <w:t>9.投标报价</w:t>
      </w:r>
      <w:bookmarkEnd w:id="95"/>
      <w:bookmarkEnd w:id="96"/>
      <w:bookmarkEnd w:id="97"/>
      <w:bookmarkEnd w:id="98"/>
      <w:bookmarkEnd w:id="99"/>
    </w:p>
    <w:p w14:paraId="3B481814">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rPr>
        <w:t>9.1 报价应为一次性人民币含税价（元），包括货物成本价、利润、运费及代理服务费、保险、税收、安装、服务、</w:t>
      </w:r>
      <w:r>
        <w:rPr>
          <w:rFonts w:hint="eastAsia" w:asciiTheme="majorEastAsia" w:hAnsiTheme="majorEastAsia" w:eastAsiaTheme="majorEastAsia" w:cstheme="majorEastAsia"/>
          <w:bCs/>
          <w:color w:val="auto"/>
          <w:sz w:val="24"/>
          <w:szCs w:val="24"/>
          <w:highlight w:val="none"/>
          <w:lang w:eastAsia="zh-CN"/>
        </w:rPr>
        <w:t>招标代理服务费</w:t>
      </w:r>
      <w:r>
        <w:rPr>
          <w:rFonts w:hint="eastAsia" w:asciiTheme="majorEastAsia" w:hAnsiTheme="majorEastAsia" w:eastAsiaTheme="majorEastAsia" w:cstheme="majorEastAsia"/>
          <w:bCs/>
          <w:color w:val="auto"/>
          <w:sz w:val="24"/>
          <w:szCs w:val="24"/>
          <w:highlight w:val="none"/>
        </w:rPr>
        <w:t>等所有费用。投标报价应为人民币报价，其他货币报价为无效报价。</w:t>
      </w:r>
    </w:p>
    <w:p w14:paraId="5632BE54">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9.2 投标人应在投标文件中的《开标一览表》标明拟提供货物的总价，在《投标分项报价表》中标明拟提供货物的单价，并且此单价均为使用地交货价。投标人没有填入价格的部分在项目实施时采购人将不予支付，并认为此部分费用已包括在其单价和投标报价中，投标人不得由此向采购人进行索赔。</w:t>
      </w:r>
    </w:p>
    <w:p w14:paraId="7929FDDA">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9.3 投标文件中</w:t>
      </w:r>
      <w:bookmarkStart w:id="100" w:name="_Hlk17977244"/>
      <w:r>
        <w:rPr>
          <w:rFonts w:hint="eastAsia" w:asciiTheme="majorEastAsia" w:hAnsiTheme="majorEastAsia" w:eastAsiaTheme="majorEastAsia" w:cstheme="majorEastAsia"/>
          <w:bCs/>
          <w:color w:val="auto"/>
          <w:sz w:val="24"/>
          <w:szCs w:val="24"/>
          <w:highlight w:val="none"/>
        </w:rPr>
        <w:t>开标一览表内容与投标文件中相应内容不一致的，以开标一览表为准；大写金额和小写金额不一致的，以大写金额为准；单价金额小数点或者百分比有明显错位的，以开标一览表的总价为准，并修改单价；总价金额与按单价汇总金额不一致的，以单价金额计算结果为准。</w:t>
      </w:r>
      <w:bookmarkEnd w:id="100"/>
    </w:p>
    <w:p w14:paraId="7BCB4D5A">
      <w:pPr>
        <w:spacing w:line="360" w:lineRule="auto"/>
        <w:ind w:firstLine="482" w:firstLineChars="200"/>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eastAsia="zh-CN"/>
        </w:rPr>
        <w:t>★</w:t>
      </w:r>
      <w:r>
        <w:rPr>
          <w:rFonts w:hint="eastAsia" w:asciiTheme="majorEastAsia" w:hAnsiTheme="majorEastAsia" w:eastAsiaTheme="majorEastAsia" w:cstheme="majorEastAsia"/>
          <w:b/>
          <w:bCs/>
          <w:color w:val="auto"/>
          <w:sz w:val="24"/>
          <w:szCs w:val="24"/>
          <w:highlight w:val="none"/>
        </w:rPr>
        <w:t>9.4 任何有选择的报价将不予接受，每种货物只允许有一个报价，否则被视为非实质性响应招标文件。</w:t>
      </w:r>
    </w:p>
    <w:p w14:paraId="0CAB0723">
      <w:pPr>
        <w:spacing w:line="360" w:lineRule="auto"/>
        <w:ind w:firstLine="482" w:firstLineChars="200"/>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9.5 投标报价表中标明的单价在合同执行过程中是固定不变的，不得以任何理由予以变更。以可调整的价格提交的投标</w:t>
      </w:r>
      <w:bookmarkStart w:id="101" w:name="_Hlk17971734"/>
      <w:r>
        <w:rPr>
          <w:rFonts w:hint="eastAsia" w:asciiTheme="majorEastAsia" w:hAnsiTheme="majorEastAsia" w:eastAsiaTheme="majorEastAsia" w:cstheme="majorEastAsia"/>
          <w:b/>
          <w:bCs/>
          <w:color w:val="auto"/>
          <w:sz w:val="24"/>
          <w:szCs w:val="24"/>
          <w:highlight w:val="none"/>
        </w:rPr>
        <w:t>将被视为非实质性响应招标文件</w:t>
      </w:r>
      <w:bookmarkEnd w:id="101"/>
      <w:r>
        <w:rPr>
          <w:rFonts w:hint="eastAsia" w:asciiTheme="majorEastAsia" w:hAnsiTheme="majorEastAsia" w:eastAsiaTheme="majorEastAsia" w:cstheme="majorEastAsia"/>
          <w:b/>
          <w:bCs/>
          <w:color w:val="auto"/>
          <w:sz w:val="24"/>
          <w:szCs w:val="24"/>
          <w:highlight w:val="none"/>
        </w:rPr>
        <w:t>。</w:t>
      </w:r>
    </w:p>
    <w:p w14:paraId="78CA6561">
      <w:pPr>
        <w:spacing w:line="360" w:lineRule="auto"/>
        <w:ind w:firstLine="482" w:firstLineChars="200"/>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9.6 投标人不得哄抬报价，也不应低于成本价报价，否则一经查实，将被视为非实质性响应招标文件。</w:t>
      </w:r>
    </w:p>
    <w:p w14:paraId="2CB0BF87">
      <w:pPr>
        <w:spacing w:line="360" w:lineRule="auto"/>
        <w:ind w:firstLine="480" w:firstLineChars="200"/>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b/>
          <w:color w:val="auto"/>
          <w:sz w:val="24"/>
          <w:szCs w:val="24"/>
          <w:highlight w:val="none"/>
        </w:rPr>
        <w:t>9.7 投标人不得将整个项目中的内容拆开投标（只投其中一种或几种产品），否则该投标无效，将被视为非实质性响应招标文件。</w:t>
      </w:r>
    </w:p>
    <w:p w14:paraId="4616129F">
      <w:pPr>
        <w:spacing w:line="360" w:lineRule="auto"/>
        <w:ind w:firstLine="480" w:firstLineChars="200"/>
        <w:rPr>
          <w:rFonts w:hint="eastAsia" w:asciiTheme="majorEastAsia" w:hAnsiTheme="majorEastAsia" w:eastAsiaTheme="majorEastAsia" w:cstheme="majorEastAsia"/>
          <w:b/>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b/>
          <w:color w:val="auto"/>
          <w:sz w:val="24"/>
          <w:szCs w:val="24"/>
          <w:highlight w:val="none"/>
          <w:lang w:val="en-US" w:eastAsia="zh-CN"/>
        </w:rPr>
        <w:t>9.8评审中出现下列情形之一的，评审委员会应当启动异常低价投标（响应）审查程序：</w:t>
      </w:r>
    </w:p>
    <w:p w14:paraId="1BF8989D">
      <w:pPr>
        <w:spacing w:line="360" w:lineRule="auto"/>
        <w:ind w:firstLine="482" w:firstLineChars="200"/>
        <w:rPr>
          <w:rFonts w:hint="eastAsia" w:asciiTheme="majorEastAsia" w:hAnsiTheme="majorEastAsia" w:eastAsiaTheme="majorEastAsia" w:cstheme="majorEastAsia"/>
          <w:b/>
          <w:color w:val="auto"/>
          <w:sz w:val="24"/>
          <w:szCs w:val="24"/>
          <w:highlight w:val="none"/>
          <w:lang w:val="en-US" w:eastAsia="zh-CN"/>
        </w:rPr>
      </w:pPr>
      <w:r>
        <w:rPr>
          <w:rFonts w:hint="eastAsia" w:asciiTheme="majorEastAsia" w:hAnsiTheme="majorEastAsia" w:eastAsiaTheme="majorEastAsia" w:cstheme="majorEastAsia"/>
          <w:b/>
          <w:color w:val="auto"/>
          <w:sz w:val="24"/>
          <w:szCs w:val="24"/>
          <w:highlight w:val="none"/>
          <w:lang w:val="en-US" w:eastAsia="zh-CN"/>
        </w:rPr>
        <w:t>①投标（响应）报价低于全部通过符合性审查供应商投标（响应）报价平均值50%的，即投标（响应）报价&lt;全部通过符合性审查供应商投标（响应）报价平均值×50%；</w:t>
      </w:r>
    </w:p>
    <w:p w14:paraId="296F38C8">
      <w:pPr>
        <w:spacing w:line="360" w:lineRule="auto"/>
        <w:ind w:firstLine="482" w:firstLineChars="200"/>
        <w:rPr>
          <w:rFonts w:hint="eastAsia" w:asciiTheme="majorEastAsia" w:hAnsiTheme="majorEastAsia" w:eastAsiaTheme="majorEastAsia" w:cstheme="majorEastAsia"/>
          <w:b/>
          <w:color w:val="auto"/>
          <w:sz w:val="24"/>
          <w:szCs w:val="24"/>
          <w:highlight w:val="none"/>
          <w:lang w:val="en-US" w:eastAsia="zh-CN"/>
        </w:rPr>
      </w:pPr>
      <w:r>
        <w:rPr>
          <w:rFonts w:hint="eastAsia" w:asciiTheme="majorEastAsia" w:hAnsiTheme="majorEastAsia" w:eastAsiaTheme="majorEastAsia" w:cstheme="majorEastAsia"/>
          <w:b/>
          <w:color w:val="auto"/>
          <w:sz w:val="24"/>
          <w:szCs w:val="24"/>
          <w:highlight w:val="none"/>
          <w:lang w:val="en-US" w:eastAsia="zh-CN"/>
        </w:rPr>
        <w:t>②投标（响应）报价低于通过符合性审查的次低报价供应商投标（响应）报价50%的，即投标（响应）报价&lt;通过符合性审查的次低报价供应商投标（响应）报价×50%；</w:t>
      </w:r>
    </w:p>
    <w:p w14:paraId="259A096F">
      <w:pPr>
        <w:spacing w:line="360" w:lineRule="auto"/>
        <w:ind w:firstLine="482" w:firstLineChars="200"/>
        <w:rPr>
          <w:rFonts w:hint="eastAsia" w:asciiTheme="majorEastAsia" w:hAnsiTheme="majorEastAsia" w:eastAsiaTheme="majorEastAsia" w:cstheme="majorEastAsia"/>
          <w:b/>
          <w:color w:val="auto"/>
          <w:sz w:val="24"/>
          <w:szCs w:val="24"/>
          <w:highlight w:val="none"/>
          <w:lang w:val="en-US" w:eastAsia="zh-CN"/>
        </w:rPr>
      </w:pPr>
      <w:r>
        <w:rPr>
          <w:rFonts w:hint="eastAsia" w:asciiTheme="majorEastAsia" w:hAnsiTheme="majorEastAsia" w:eastAsiaTheme="majorEastAsia" w:cstheme="majorEastAsia"/>
          <w:b/>
          <w:color w:val="auto"/>
          <w:sz w:val="24"/>
          <w:szCs w:val="24"/>
          <w:highlight w:val="none"/>
          <w:lang w:val="en-US" w:eastAsia="zh-CN"/>
        </w:rPr>
        <w:t>③投标（响应）报价低于采购项目最高限价45%的，即投标（响应）报价&lt;采购项目最高限价×45%；</w:t>
      </w:r>
    </w:p>
    <w:p w14:paraId="79CF2DFD">
      <w:pPr>
        <w:spacing w:line="360" w:lineRule="auto"/>
        <w:ind w:firstLine="482" w:firstLineChars="200"/>
        <w:rPr>
          <w:rFonts w:hint="eastAsia" w:asciiTheme="majorEastAsia" w:hAnsiTheme="majorEastAsia" w:eastAsiaTheme="majorEastAsia" w:cstheme="majorEastAsia"/>
          <w:b/>
          <w:color w:val="auto"/>
          <w:sz w:val="24"/>
          <w:szCs w:val="24"/>
          <w:highlight w:val="none"/>
          <w:lang w:val="en-US" w:eastAsia="zh-CN"/>
        </w:rPr>
      </w:pPr>
      <w:r>
        <w:rPr>
          <w:rFonts w:hint="eastAsia" w:asciiTheme="majorEastAsia" w:hAnsiTheme="majorEastAsia" w:eastAsiaTheme="majorEastAsia" w:cstheme="majorEastAsia"/>
          <w:b/>
          <w:color w:val="auto"/>
          <w:sz w:val="24"/>
          <w:szCs w:val="24"/>
          <w:highlight w:val="none"/>
          <w:lang w:val="en-US" w:eastAsia="zh-CN"/>
        </w:rPr>
        <w:t>④评审委员会基于专业判断，认为供应商报价过低，有可能影响产品质量或者不能诚信履约的其他情形。</w:t>
      </w:r>
    </w:p>
    <w:p w14:paraId="58202BCD">
      <w:pPr>
        <w:spacing w:line="360" w:lineRule="auto"/>
        <w:ind w:firstLine="482" w:firstLineChars="200"/>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lang w:val="en-US" w:eastAsia="zh-CN"/>
        </w:rPr>
        <w:t>可以结合具体项目实际情况，提高上述第1项至第3项中启动异常低价投标（响应）审查的数值标准，但是最高不得超过65%。</w:t>
      </w:r>
    </w:p>
    <w:p w14:paraId="7C93AAD4">
      <w:pPr>
        <w:pStyle w:val="4"/>
        <w:numPr>
          <w:ilvl w:val="2"/>
          <w:numId w:val="0"/>
        </w:numPr>
        <w:tabs>
          <w:tab w:val="clear" w:pos="900"/>
        </w:tabs>
        <w:spacing w:before="0" w:after="0" w:line="360" w:lineRule="auto"/>
        <w:rPr>
          <w:rFonts w:hint="eastAsia" w:asciiTheme="majorEastAsia" w:hAnsiTheme="majorEastAsia" w:eastAsiaTheme="majorEastAsia" w:cstheme="majorEastAsia"/>
          <w:color w:val="auto"/>
          <w:sz w:val="24"/>
          <w:szCs w:val="24"/>
          <w:highlight w:val="none"/>
        </w:rPr>
      </w:pPr>
      <w:bookmarkStart w:id="102" w:name="_Toc389644525"/>
      <w:bookmarkStart w:id="103" w:name="_Toc450064574"/>
      <w:bookmarkStart w:id="104" w:name="_Toc486584219"/>
      <w:bookmarkStart w:id="105" w:name="_Toc113569036"/>
      <w:bookmarkStart w:id="106" w:name="_Toc529957172"/>
      <w:r>
        <w:rPr>
          <w:rFonts w:hint="eastAsia" w:asciiTheme="majorEastAsia" w:hAnsiTheme="majorEastAsia" w:eastAsiaTheme="majorEastAsia" w:cstheme="majorEastAsia"/>
          <w:color w:val="auto"/>
          <w:sz w:val="24"/>
          <w:szCs w:val="24"/>
          <w:highlight w:val="none"/>
        </w:rPr>
        <w:t>10</w:t>
      </w:r>
      <w:bookmarkEnd w:id="102"/>
      <w:bookmarkEnd w:id="103"/>
      <w:r>
        <w:rPr>
          <w:rFonts w:hint="eastAsia" w:asciiTheme="majorEastAsia" w:hAnsiTheme="majorEastAsia" w:eastAsiaTheme="majorEastAsia" w:cstheme="majorEastAsia"/>
          <w:color w:val="auto"/>
          <w:sz w:val="24"/>
          <w:szCs w:val="24"/>
          <w:highlight w:val="none"/>
        </w:rPr>
        <w:t>.投标保证</w:t>
      </w:r>
      <w:bookmarkEnd w:id="104"/>
      <w:r>
        <w:rPr>
          <w:rFonts w:hint="eastAsia" w:asciiTheme="majorEastAsia" w:hAnsiTheme="majorEastAsia" w:eastAsiaTheme="majorEastAsia" w:cstheme="majorEastAsia"/>
          <w:color w:val="auto"/>
          <w:sz w:val="24"/>
          <w:szCs w:val="24"/>
          <w:highlight w:val="none"/>
        </w:rPr>
        <w:t>金</w:t>
      </w:r>
      <w:bookmarkEnd w:id="105"/>
      <w:bookmarkEnd w:id="106"/>
    </w:p>
    <w:p w14:paraId="70A551FB">
      <w:pPr>
        <w:spacing w:line="360" w:lineRule="auto"/>
        <w:ind w:firstLine="484" w:firstLineChars="202"/>
        <w:rPr>
          <w:rFonts w:hint="eastAsia" w:asciiTheme="majorEastAsia" w:hAnsiTheme="majorEastAsia" w:eastAsiaTheme="majorEastAsia" w:cstheme="majorEastAsia"/>
          <w:color w:val="auto"/>
          <w:sz w:val="24"/>
          <w:szCs w:val="24"/>
          <w:highlight w:val="none"/>
        </w:rPr>
      </w:pPr>
      <w:bookmarkStart w:id="107" w:name="_Toc389644526"/>
      <w:bookmarkStart w:id="108" w:name="_Toc450064575"/>
      <w:r>
        <w:rPr>
          <w:rFonts w:hint="eastAsia" w:asciiTheme="majorEastAsia" w:hAnsiTheme="majorEastAsia" w:eastAsiaTheme="majorEastAsia" w:cstheme="majorEastAsia"/>
          <w:bCs/>
          <w:color w:val="auto"/>
          <w:sz w:val="24"/>
          <w:szCs w:val="24"/>
          <w:highlight w:val="none"/>
        </w:rPr>
        <w:t>10.1</w:t>
      </w:r>
      <w:r>
        <w:rPr>
          <w:rFonts w:hint="eastAsia" w:asciiTheme="majorEastAsia" w:hAnsiTheme="majorEastAsia" w:eastAsiaTheme="majorEastAsia" w:cstheme="majorEastAsia"/>
          <w:color w:val="auto"/>
          <w:sz w:val="24"/>
          <w:szCs w:val="24"/>
          <w:highlight w:val="none"/>
        </w:rPr>
        <w:t xml:space="preserve"> 投标保证金金额：详见前附表。</w:t>
      </w:r>
    </w:p>
    <w:p w14:paraId="173FB4CB">
      <w:pPr>
        <w:spacing w:line="360" w:lineRule="auto"/>
        <w:ind w:firstLine="484" w:firstLineChars="202"/>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10.2 投标保证金的形式：投标保证金应用投标货币，即人民币，必须从投标人的</w:t>
      </w:r>
      <w:r>
        <w:rPr>
          <w:rFonts w:hint="eastAsia" w:asciiTheme="majorEastAsia" w:hAnsiTheme="majorEastAsia" w:eastAsiaTheme="majorEastAsia" w:cstheme="majorEastAsia"/>
          <w:b/>
          <w:color w:val="auto"/>
          <w:sz w:val="24"/>
          <w:szCs w:val="24"/>
          <w:highlight w:val="none"/>
        </w:rPr>
        <w:t>基本账户</w:t>
      </w:r>
      <w:r>
        <w:rPr>
          <w:rFonts w:hint="eastAsia" w:asciiTheme="majorEastAsia" w:hAnsiTheme="majorEastAsia" w:eastAsiaTheme="majorEastAsia" w:cstheme="majorEastAsia"/>
          <w:color w:val="auto"/>
          <w:sz w:val="24"/>
          <w:szCs w:val="24"/>
          <w:highlight w:val="none"/>
        </w:rPr>
        <w:t>划出，并以转账、电汇、网银方式，转账、电汇凭证、网银备注栏内必须注明项目名称或招标编号；</w:t>
      </w:r>
    </w:p>
    <w:p w14:paraId="7C76835F">
      <w:pPr>
        <w:spacing w:line="360" w:lineRule="auto"/>
        <w:ind w:firstLine="484" w:firstLineChars="202"/>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10.3 投标保证金提交时间和方式：投标保证金必须在规定提交时间前到达</w:t>
      </w:r>
      <w:r>
        <w:rPr>
          <w:rFonts w:hint="eastAsia" w:asciiTheme="majorEastAsia" w:hAnsiTheme="majorEastAsia" w:eastAsiaTheme="majorEastAsia" w:cstheme="majorEastAsia"/>
          <w:color w:val="auto"/>
          <w:sz w:val="24"/>
          <w:szCs w:val="24"/>
          <w:highlight w:val="none"/>
          <w:lang w:eastAsia="zh-CN"/>
        </w:rPr>
        <w:t>红河嘉锐工程项目管理有限公司</w:t>
      </w:r>
      <w:r>
        <w:rPr>
          <w:rFonts w:hint="eastAsia" w:asciiTheme="majorEastAsia" w:hAnsiTheme="majorEastAsia" w:eastAsiaTheme="majorEastAsia" w:cstheme="majorEastAsia"/>
          <w:color w:val="auto"/>
          <w:sz w:val="24"/>
          <w:szCs w:val="24"/>
          <w:highlight w:val="none"/>
        </w:rPr>
        <w:t>账户，其有效期应不短于投标有效期。投标保证金的</w:t>
      </w:r>
      <w:r>
        <w:rPr>
          <w:rFonts w:hint="eastAsia" w:asciiTheme="majorEastAsia" w:hAnsiTheme="majorEastAsia" w:eastAsiaTheme="majorEastAsia" w:cstheme="majorEastAsia"/>
          <w:color w:val="auto"/>
          <w:sz w:val="24"/>
          <w:szCs w:val="24"/>
          <w:highlight w:val="none"/>
          <w:lang w:eastAsia="zh-CN"/>
        </w:rPr>
        <w:t>缴纳</w:t>
      </w:r>
      <w:r>
        <w:rPr>
          <w:rFonts w:hint="eastAsia" w:asciiTheme="majorEastAsia" w:hAnsiTheme="majorEastAsia" w:eastAsiaTheme="majorEastAsia" w:cstheme="majorEastAsia"/>
          <w:color w:val="auto"/>
          <w:sz w:val="24"/>
          <w:szCs w:val="24"/>
          <w:highlight w:val="none"/>
        </w:rPr>
        <w:t>时间以</w:t>
      </w:r>
      <w:r>
        <w:rPr>
          <w:rFonts w:hint="eastAsia" w:asciiTheme="majorEastAsia" w:hAnsiTheme="majorEastAsia" w:eastAsiaTheme="majorEastAsia" w:cstheme="majorEastAsia"/>
          <w:color w:val="auto"/>
          <w:sz w:val="24"/>
          <w:szCs w:val="24"/>
          <w:highlight w:val="none"/>
          <w:lang w:eastAsia="zh-CN"/>
        </w:rPr>
        <w:t>实际到账的</w:t>
      </w:r>
      <w:r>
        <w:rPr>
          <w:rFonts w:hint="eastAsia" w:asciiTheme="majorEastAsia" w:hAnsiTheme="majorEastAsia" w:eastAsiaTheme="majorEastAsia" w:cstheme="majorEastAsia"/>
          <w:color w:val="auto"/>
          <w:sz w:val="24"/>
          <w:szCs w:val="24"/>
          <w:highlight w:val="none"/>
        </w:rPr>
        <w:t>时间为准，未</w:t>
      </w:r>
      <w:r>
        <w:rPr>
          <w:rFonts w:hint="eastAsia" w:asciiTheme="majorEastAsia" w:hAnsiTheme="majorEastAsia" w:eastAsiaTheme="majorEastAsia" w:cstheme="majorEastAsia"/>
          <w:color w:val="auto"/>
          <w:sz w:val="24"/>
          <w:szCs w:val="24"/>
          <w:highlight w:val="none"/>
          <w:lang w:eastAsia="zh-CN"/>
        </w:rPr>
        <w:t>按时到账</w:t>
      </w:r>
      <w:r>
        <w:rPr>
          <w:rFonts w:hint="eastAsia" w:asciiTheme="majorEastAsia" w:hAnsiTheme="majorEastAsia" w:eastAsiaTheme="majorEastAsia" w:cstheme="majorEastAsia"/>
          <w:color w:val="auto"/>
          <w:sz w:val="24"/>
          <w:szCs w:val="24"/>
          <w:highlight w:val="none"/>
        </w:rPr>
        <w:t>的投标保证金无效。投标保证金的交付人和投标人的名称必须一致，否则将被视为</w:t>
      </w:r>
      <w:r>
        <w:rPr>
          <w:rFonts w:hint="eastAsia" w:asciiTheme="majorEastAsia" w:hAnsiTheme="majorEastAsia" w:eastAsiaTheme="majorEastAsia" w:cstheme="majorEastAsia"/>
          <w:bCs/>
          <w:color w:val="auto"/>
          <w:sz w:val="24"/>
          <w:szCs w:val="24"/>
          <w:highlight w:val="none"/>
        </w:rPr>
        <w:t>非实质性响应招标文件。</w:t>
      </w:r>
    </w:p>
    <w:p w14:paraId="0FEBA671">
      <w:pPr>
        <w:spacing w:line="360" w:lineRule="auto"/>
        <w:ind w:firstLine="484" w:firstLineChars="202"/>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10.4 保证金退还：</w:t>
      </w:r>
    </w:p>
    <w:p w14:paraId="41C74D41">
      <w:pPr>
        <w:spacing w:line="360" w:lineRule="auto"/>
        <w:ind w:firstLine="484" w:firstLineChars="202"/>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（1）中标人的投标保证金在与使用单位签订了合同，交纳了中标服务费五个工作日后无息退还。</w:t>
      </w:r>
    </w:p>
    <w:p w14:paraId="57546874">
      <w:pPr>
        <w:spacing w:line="360" w:lineRule="auto"/>
        <w:ind w:firstLine="484" w:firstLineChars="202"/>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（2）未中标人的投标保证金将在中标通知书发出5个工作日后无息退还。</w:t>
      </w:r>
    </w:p>
    <w:p w14:paraId="51D03184">
      <w:pPr>
        <w:spacing w:line="360" w:lineRule="auto"/>
        <w:ind w:firstLine="484" w:firstLineChars="202"/>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Cs/>
          <w:color w:val="auto"/>
          <w:sz w:val="24"/>
          <w:szCs w:val="24"/>
          <w:highlight w:val="none"/>
        </w:rPr>
        <w:t>10.5 下列任何情况之一发生时，投标保证金将被没收：</w:t>
      </w:r>
    </w:p>
    <w:p w14:paraId="46085D7F">
      <w:pPr>
        <w:spacing w:line="360" w:lineRule="auto"/>
        <w:ind w:firstLine="484" w:firstLineChars="202"/>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color w:val="auto"/>
          <w:sz w:val="24"/>
          <w:szCs w:val="24"/>
          <w:highlight w:val="none"/>
        </w:rPr>
        <w:t>（1）</w:t>
      </w:r>
      <w:r>
        <w:rPr>
          <w:rFonts w:hint="eastAsia" w:asciiTheme="majorEastAsia" w:hAnsiTheme="majorEastAsia" w:eastAsiaTheme="majorEastAsia" w:cstheme="majorEastAsia"/>
          <w:bCs/>
          <w:color w:val="auto"/>
          <w:sz w:val="24"/>
          <w:szCs w:val="24"/>
          <w:highlight w:val="none"/>
        </w:rPr>
        <w:t>投标人在投标书中规定的投标有效期内撤销其投标文件的；</w:t>
      </w:r>
    </w:p>
    <w:p w14:paraId="6E0A55AA">
      <w:pPr>
        <w:spacing w:line="360" w:lineRule="auto"/>
        <w:ind w:firstLine="484" w:firstLineChars="202"/>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color w:val="auto"/>
          <w:sz w:val="24"/>
          <w:szCs w:val="24"/>
          <w:highlight w:val="none"/>
        </w:rPr>
        <w:t>（2）</w:t>
      </w:r>
      <w:r>
        <w:rPr>
          <w:rFonts w:hint="eastAsia" w:asciiTheme="majorEastAsia" w:hAnsiTheme="majorEastAsia" w:eastAsiaTheme="majorEastAsia" w:cstheme="majorEastAsia"/>
          <w:bCs/>
          <w:color w:val="auto"/>
          <w:sz w:val="24"/>
          <w:szCs w:val="24"/>
          <w:highlight w:val="none"/>
        </w:rPr>
        <w:t>中标人未在规定时间内交纳招标文件所规定的费用的；</w:t>
      </w:r>
    </w:p>
    <w:p w14:paraId="37001282">
      <w:pPr>
        <w:spacing w:line="360" w:lineRule="auto"/>
        <w:ind w:firstLine="484" w:firstLineChars="202"/>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color w:val="auto"/>
          <w:sz w:val="24"/>
          <w:szCs w:val="24"/>
          <w:highlight w:val="none"/>
        </w:rPr>
        <w:t>（3）</w:t>
      </w:r>
      <w:r>
        <w:rPr>
          <w:rFonts w:hint="eastAsia" w:asciiTheme="majorEastAsia" w:hAnsiTheme="majorEastAsia" w:eastAsiaTheme="majorEastAsia" w:cstheme="majorEastAsia"/>
          <w:bCs/>
          <w:color w:val="auto"/>
          <w:sz w:val="24"/>
          <w:szCs w:val="24"/>
          <w:highlight w:val="none"/>
        </w:rPr>
        <w:t>中标人未能在规定期限内签订合同的。</w:t>
      </w:r>
    </w:p>
    <w:p w14:paraId="6D6C7893">
      <w:pPr>
        <w:pStyle w:val="4"/>
        <w:numPr>
          <w:ilvl w:val="2"/>
          <w:numId w:val="0"/>
        </w:numPr>
        <w:tabs>
          <w:tab w:val="clear" w:pos="900"/>
        </w:tabs>
        <w:spacing w:before="0" w:after="0" w:line="360" w:lineRule="auto"/>
        <w:rPr>
          <w:rFonts w:hint="eastAsia" w:asciiTheme="majorEastAsia" w:hAnsiTheme="majorEastAsia" w:eastAsiaTheme="majorEastAsia" w:cstheme="majorEastAsia"/>
          <w:color w:val="auto"/>
          <w:sz w:val="24"/>
          <w:szCs w:val="24"/>
          <w:highlight w:val="none"/>
        </w:rPr>
      </w:pPr>
      <w:bookmarkStart w:id="109" w:name="_Toc486584220"/>
      <w:bookmarkStart w:id="110" w:name="_Toc113569037"/>
      <w:bookmarkStart w:id="111" w:name="_Toc529957173"/>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11.投标有效期</w:t>
      </w:r>
      <w:bookmarkEnd w:id="107"/>
      <w:bookmarkEnd w:id="108"/>
      <w:bookmarkEnd w:id="109"/>
      <w:bookmarkEnd w:id="110"/>
      <w:bookmarkEnd w:id="111"/>
    </w:p>
    <w:p w14:paraId="30FD7633">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11.1 投标人的投标文件应从“投标人须知前附表”中规定的时间，投标有效期不足的投标，</w:t>
      </w:r>
      <w:bookmarkStart w:id="112" w:name="_Hlk17978390"/>
      <w:r>
        <w:rPr>
          <w:rFonts w:hint="eastAsia" w:asciiTheme="majorEastAsia" w:hAnsiTheme="majorEastAsia" w:eastAsiaTheme="majorEastAsia" w:cstheme="majorEastAsia"/>
          <w:bCs/>
          <w:color w:val="auto"/>
          <w:sz w:val="24"/>
          <w:szCs w:val="24"/>
          <w:highlight w:val="none"/>
        </w:rPr>
        <w:t>将被视为非实质性响应招标文件。</w:t>
      </w:r>
      <w:bookmarkEnd w:id="112"/>
    </w:p>
    <w:p w14:paraId="3EEC00D4">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Cs/>
          <w:color w:val="auto"/>
          <w:sz w:val="24"/>
          <w:szCs w:val="24"/>
          <w:highlight w:val="none"/>
        </w:rPr>
        <w:t>11.2 在特殊情况下，在原投标有效期期满之前，采购人可征得投标人同意延长投标有效期，这种要求与答复均应以书面形式确认。投标人可以拒绝采购人的这种要求但不得没收投标保证金，同意延长的投标人既不能被要求也不允许修改其投标文件，但要相应延长其投标保证金的有效期。</w:t>
      </w:r>
    </w:p>
    <w:p w14:paraId="2D9F76FD">
      <w:pPr>
        <w:pStyle w:val="4"/>
        <w:numPr>
          <w:ilvl w:val="2"/>
          <w:numId w:val="0"/>
        </w:numPr>
        <w:tabs>
          <w:tab w:val="clear" w:pos="900"/>
        </w:tabs>
        <w:spacing w:before="0" w:after="0" w:line="360" w:lineRule="auto"/>
        <w:rPr>
          <w:rFonts w:hint="eastAsia" w:asciiTheme="majorEastAsia" w:hAnsiTheme="majorEastAsia" w:eastAsiaTheme="majorEastAsia" w:cstheme="majorEastAsia"/>
          <w:color w:val="auto"/>
          <w:sz w:val="24"/>
          <w:szCs w:val="24"/>
          <w:highlight w:val="none"/>
        </w:rPr>
      </w:pPr>
      <w:bookmarkStart w:id="113" w:name="_Toc450064576"/>
      <w:bookmarkStart w:id="114" w:name="_Toc113569038"/>
      <w:bookmarkStart w:id="115" w:name="_Toc529957174"/>
      <w:bookmarkStart w:id="116" w:name="_Toc389644527"/>
      <w:bookmarkStart w:id="117" w:name="_Toc486584221"/>
      <w:r>
        <w:rPr>
          <w:rFonts w:hint="eastAsia" w:asciiTheme="majorEastAsia" w:hAnsiTheme="majorEastAsia" w:eastAsiaTheme="majorEastAsia" w:cstheme="majorEastAsia"/>
          <w:color w:val="auto"/>
          <w:sz w:val="24"/>
          <w:szCs w:val="24"/>
          <w:highlight w:val="none"/>
        </w:rPr>
        <w:t>12.投标文件的签署</w:t>
      </w:r>
      <w:bookmarkEnd w:id="113"/>
      <w:bookmarkEnd w:id="114"/>
      <w:bookmarkEnd w:id="115"/>
      <w:bookmarkEnd w:id="116"/>
      <w:bookmarkEnd w:id="117"/>
    </w:p>
    <w:p w14:paraId="76547B31">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12.1按照投标文件格式，要求单位和个人数字证书电子签章及电子签名：需要企业、法定代表人电子签章及电子签名。</w:t>
      </w:r>
    </w:p>
    <w:p w14:paraId="779D753C">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12.2 除投标人对错处做必要修改外，投标文件不得行间插字、涂改和增删，如有修改错漏处，必须由同一签署人在修改错漏处电子签名和加盖电子公章。</w:t>
      </w:r>
    </w:p>
    <w:p w14:paraId="017BA254">
      <w:pPr>
        <w:spacing w:line="360" w:lineRule="auto"/>
        <w:ind w:firstLine="480" w:firstLineChars="200"/>
        <w:rPr>
          <w:rFonts w:hint="eastAsia" w:asciiTheme="majorEastAsia" w:hAnsiTheme="majorEastAsia" w:eastAsiaTheme="majorEastAsia" w:cstheme="majorEastAsia"/>
          <w:color w:val="auto"/>
          <w:sz w:val="24"/>
          <w:szCs w:val="24"/>
          <w:highlight w:val="none"/>
        </w:rPr>
      </w:pPr>
    </w:p>
    <w:p w14:paraId="3FB02ADE">
      <w:pPr>
        <w:pStyle w:val="3"/>
        <w:numPr>
          <w:ilvl w:val="1"/>
          <w:numId w:val="0"/>
        </w:numPr>
        <w:tabs>
          <w:tab w:val="clear" w:pos="1021"/>
          <w:tab w:val="clear" w:pos="2582"/>
          <w:tab w:val="clear" w:pos="2723"/>
        </w:tabs>
        <w:spacing w:before="0" w:after="0" w:line="360" w:lineRule="auto"/>
        <w:jc w:val="center"/>
        <w:rPr>
          <w:rFonts w:hint="eastAsia" w:asciiTheme="majorEastAsia" w:hAnsiTheme="majorEastAsia" w:eastAsiaTheme="majorEastAsia" w:cstheme="majorEastAsia"/>
          <w:bCs w:val="0"/>
          <w:color w:val="auto"/>
          <w:sz w:val="24"/>
          <w:szCs w:val="24"/>
          <w:highlight w:val="none"/>
        </w:rPr>
      </w:pPr>
      <w:bookmarkStart w:id="118" w:name="_Toc486584222"/>
      <w:bookmarkStart w:id="119" w:name="_Toc389644528"/>
      <w:bookmarkStart w:id="120" w:name="_Toc113569039"/>
      <w:bookmarkStart w:id="121" w:name="_Toc450064577"/>
      <w:r>
        <w:rPr>
          <w:rFonts w:hint="eastAsia" w:asciiTheme="majorEastAsia" w:hAnsiTheme="majorEastAsia" w:eastAsiaTheme="majorEastAsia" w:cstheme="majorEastAsia"/>
          <w:bCs w:val="0"/>
          <w:color w:val="auto"/>
          <w:sz w:val="24"/>
          <w:szCs w:val="24"/>
          <w:highlight w:val="none"/>
        </w:rPr>
        <w:t>四、投标文件的递交</w:t>
      </w:r>
      <w:bookmarkEnd w:id="118"/>
      <w:bookmarkEnd w:id="119"/>
      <w:bookmarkEnd w:id="120"/>
      <w:bookmarkEnd w:id="121"/>
    </w:p>
    <w:p w14:paraId="0402A2D3">
      <w:pPr>
        <w:pStyle w:val="4"/>
        <w:numPr>
          <w:ilvl w:val="2"/>
          <w:numId w:val="0"/>
        </w:numPr>
        <w:tabs>
          <w:tab w:val="clear" w:pos="900"/>
        </w:tabs>
        <w:spacing w:before="0" w:after="0" w:line="360" w:lineRule="auto"/>
        <w:rPr>
          <w:rFonts w:hint="eastAsia" w:asciiTheme="majorEastAsia" w:hAnsiTheme="majorEastAsia" w:eastAsiaTheme="majorEastAsia" w:cstheme="majorEastAsia"/>
          <w:color w:val="auto"/>
          <w:sz w:val="24"/>
          <w:szCs w:val="24"/>
          <w:highlight w:val="none"/>
        </w:rPr>
      </w:pPr>
      <w:bookmarkStart w:id="122" w:name="_Toc450064579"/>
      <w:bookmarkStart w:id="123" w:name="_Toc389644530"/>
      <w:bookmarkStart w:id="124" w:name="_Toc78603092"/>
      <w:bookmarkStart w:id="125" w:name="_Toc529957177"/>
      <w:bookmarkStart w:id="126" w:name="_Toc486584224"/>
      <w:bookmarkStart w:id="127" w:name="_Toc113569040"/>
      <w:r>
        <w:rPr>
          <w:rFonts w:hint="eastAsia" w:asciiTheme="majorEastAsia" w:hAnsiTheme="majorEastAsia" w:eastAsiaTheme="majorEastAsia" w:cstheme="majorEastAsia"/>
          <w:color w:val="auto"/>
          <w:sz w:val="24"/>
          <w:szCs w:val="24"/>
          <w:highlight w:val="none"/>
        </w:rPr>
        <w:t>1</w:t>
      </w:r>
      <w:bookmarkEnd w:id="122"/>
      <w:bookmarkEnd w:id="123"/>
      <w:bookmarkEnd w:id="124"/>
      <w:r>
        <w:rPr>
          <w:rFonts w:hint="eastAsia" w:asciiTheme="majorEastAsia" w:hAnsiTheme="majorEastAsia" w:eastAsiaTheme="majorEastAsia" w:cstheme="majorEastAsia"/>
          <w:color w:val="auto"/>
          <w:sz w:val="24"/>
          <w:szCs w:val="24"/>
          <w:highlight w:val="none"/>
        </w:rPr>
        <w:t>3.投标文件递交截止</w:t>
      </w:r>
      <w:bookmarkEnd w:id="125"/>
      <w:bookmarkEnd w:id="126"/>
      <w:r>
        <w:rPr>
          <w:rFonts w:hint="eastAsia" w:asciiTheme="majorEastAsia" w:hAnsiTheme="majorEastAsia" w:eastAsiaTheme="majorEastAsia" w:cstheme="majorEastAsia"/>
          <w:color w:val="auto"/>
          <w:sz w:val="24"/>
          <w:szCs w:val="24"/>
          <w:highlight w:val="none"/>
        </w:rPr>
        <w:t>时间及地点</w:t>
      </w:r>
      <w:bookmarkEnd w:id="127"/>
    </w:p>
    <w:p w14:paraId="2ADA171B">
      <w:pPr>
        <w:spacing w:line="360" w:lineRule="auto"/>
        <w:ind w:firstLine="480" w:firstLineChars="200"/>
        <w:rPr>
          <w:rFonts w:hint="eastAsia" w:asciiTheme="majorEastAsia" w:hAnsiTheme="majorEastAsia" w:eastAsiaTheme="majorEastAsia" w:cstheme="majorEastAsia"/>
          <w:bCs/>
          <w:color w:val="auto"/>
          <w:sz w:val="24"/>
          <w:szCs w:val="24"/>
          <w:highlight w:val="none"/>
        </w:rPr>
      </w:pPr>
      <w:bookmarkStart w:id="128" w:name="_Toc389644531"/>
      <w:bookmarkStart w:id="129" w:name="_Toc450064580"/>
      <w:r>
        <w:rPr>
          <w:rFonts w:hint="eastAsia" w:asciiTheme="majorEastAsia" w:hAnsiTheme="majorEastAsia" w:eastAsiaTheme="majorEastAsia" w:cstheme="majorEastAsia"/>
          <w:bCs/>
          <w:color w:val="auto"/>
          <w:sz w:val="24"/>
          <w:szCs w:val="24"/>
          <w:highlight w:val="none"/>
        </w:rPr>
        <w:t>13.1 投标文件的递交不得迟于“投标人须知前附表”规定的时间。网上递交的投标文件需要对投标文件进行加密。</w:t>
      </w:r>
    </w:p>
    <w:p w14:paraId="692F4386">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13.2 投标文件的递交地点详见“投标人须知前附表”规定的地点。</w:t>
      </w:r>
    </w:p>
    <w:bookmarkEnd w:id="128"/>
    <w:bookmarkEnd w:id="129"/>
    <w:p w14:paraId="43BDD1BF">
      <w:pPr>
        <w:pStyle w:val="4"/>
        <w:numPr>
          <w:ilvl w:val="2"/>
          <w:numId w:val="0"/>
        </w:numPr>
        <w:tabs>
          <w:tab w:val="clear" w:pos="900"/>
        </w:tabs>
        <w:spacing w:before="0" w:after="0" w:line="360" w:lineRule="auto"/>
        <w:rPr>
          <w:rFonts w:hint="eastAsia" w:asciiTheme="majorEastAsia" w:hAnsiTheme="majorEastAsia" w:eastAsiaTheme="majorEastAsia" w:cstheme="majorEastAsia"/>
          <w:color w:val="auto"/>
          <w:sz w:val="24"/>
          <w:szCs w:val="24"/>
          <w:highlight w:val="none"/>
        </w:rPr>
      </w:pPr>
      <w:bookmarkStart w:id="130" w:name="_Toc450064581"/>
      <w:bookmarkStart w:id="131" w:name="_Toc389644532"/>
      <w:bookmarkStart w:id="132" w:name="_Toc486584226"/>
      <w:bookmarkStart w:id="133" w:name="_Toc529957179"/>
      <w:bookmarkStart w:id="134" w:name="_Toc113569041"/>
      <w:r>
        <w:rPr>
          <w:rFonts w:hint="eastAsia" w:asciiTheme="majorEastAsia" w:hAnsiTheme="majorEastAsia" w:eastAsiaTheme="majorEastAsia" w:cstheme="majorEastAsia"/>
          <w:color w:val="auto"/>
          <w:sz w:val="24"/>
          <w:szCs w:val="24"/>
          <w:highlight w:val="none"/>
        </w:rPr>
        <w:t>1</w:t>
      </w:r>
      <w:bookmarkEnd w:id="130"/>
      <w:bookmarkEnd w:id="131"/>
      <w:r>
        <w:rPr>
          <w:rFonts w:hint="eastAsia" w:asciiTheme="majorEastAsia" w:hAnsiTheme="majorEastAsia" w:eastAsiaTheme="majorEastAsia" w:cstheme="majorEastAsia"/>
          <w:color w:val="auto"/>
          <w:sz w:val="24"/>
          <w:szCs w:val="24"/>
          <w:highlight w:val="none"/>
        </w:rPr>
        <w:t>4.投标文件修改和撤回</w:t>
      </w:r>
      <w:bookmarkEnd w:id="132"/>
      <w:bookmarkEnd w:id="133"/>
      <w:bookmarkEnd w:id="134"/>
    </w:p>
    <w:p w14:paraId="45ED33C2">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14.1在投标截止时间前，投标人可以修改或撤回已在网上递交的投标文件，无须书面形式通知采购人。</w:t>
      </w:r>
    </w:p>
    <w:p w14:paraId="0A1EEC9D">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14.2修改的投标文件应按照政采云平台规定进行编制和递交。</w:t>
      </w:r>
    </w:p>
    <w:p w14:paraId="0AD5F92D">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14.3 根据本须知第10.5条规定，在投标截止时间至投标有效期内，投标人不得撤回其投标，否则其投标保证金将被没收。</w:t>
      </w:r>
    </w:p>
    <w:p w14:paraId="4CB8F0D9">
      <w:pPr>
        <w:pStyle w:val="3"/>
        <w:numPr>
          <w:ilvl w:val="1"/>
          <w:numId w:val="0"/>
        </w:numPr>
        <w:tabs>
          <w:tab w:val="clear" w:pos="1021"/>
          <w:tab w:val="clear" w:pos="2582"/>
          <w:tab w:val="clear" w:pos="2723"/>
        </w:tabs>
        <w:spacing w:before="0" w:after="0" w:line="360" w:lineRule="auto"/>
        <w:jc w:val="center"/>
        <w:rPr>
          <w:rFonts w:hint="eastAsia" w:asciiTheme="majorEastAsia" w:hAnsiTheme="majorEastAsia" w:eastAsiaTheme="majorEastAsia" w:cstheme="majorEastAsia"/>
          <w:bCs w:val="0"/>
          <w:color w:val="auto"/>
          <w:sz w:val="24"/>
          <w:szCs w:val="24"/>
          <w:highlight w:val="none"/>
        </w:rPr>
      </w:pPr>
      <w:bookmarkStart w:id="135" w:name="_Toc389644533"/>
      <w:bookmarkStart w:id="136" w:name="_Toc450064582"/>
      <w:bookmarkStart w:id="137" w:name="_Toc486584227"/>
      <w:bookmarkStart w:id="138" w:name="_Toc113569042"/>
      <w:r>
        <w:rPr>
          <w:rFonts w:hint="eastAsia" w:asciiTheme="majorEastAsia" w:hAnsiTheme="majorEastAsia" w:eastAsiaTheme="majorEastAsia" w:cstheme="majorEastAsia"/>
          <w:bCs w:val="0"/>
          <w:color w:val="auto"/>
          <w:sz w:val="24"/>
          <w:szCs w:val="24"/>
          <w:highlight w:val="none"/>
        </w:rPr>
        <w:t>五、</w:t>
      </w:r>
      <w:bookmarkEnd w:id="135"/>
      <w:bookmarkEnd w:id="136"/>
      <w:r>
        <w:rPr>
          <w:rFonts w:hint="eastAsia" w:asciiTheme="majorEastAsia" w:hAnsiTheme="majorEastAsia" w:eastAsiaTheme="majorEastAsia" w:cstheme="majorEastAsia"/>
          <w:bCs w:val="0"/>
          <w:color w:val="auto"/>
          <w:sz w:val="24"/>
          <w:szCs w:val="24"/>
          <w:highlight w:val="none"/>
        </w:rPr>
        <w:t>开标与评标</w:t>
      </w:r>
      <w:bookmarkEnd w:id="137"/>
      <w:bookmarkEnd w:id="138"/>
    </w:p>
    <w:p w14:paraId="6B691D95">
      <w:pPr>
        <w:pStyle w:val="4"/>
        <w:numPr>
          <w:ilvl w:val="2"/>
          <w:numId w:val="0"/>
        </w:numPr>
        <w:tabs>
          <w:tab w:val="clear" w:pos="900"/>
        </w:tabs>
        <w:spacing w:before="0" w:after="0" w:line="360" w:lineRule="auto"/>
        <w:rPr>
          <w:rFonts w:hint="eastAsia" w:asciiTheme="majorEastAsia" w:hAnsiTheme="majorEastAsia" w:eastAsiaTheme="majorEastAsia" w:cstheme="majorEastAsia"/>
          <w:color w:val="auto"/>
          <w:sz w:val="24"/>
          <w:szCs w:val="24"/>
          <w:highlight w:val="none"/>
        </w:rPr>
      </w:pPr>
      <w:bookmarkStart w:id="139" w:name="_Toc450064583"/>
      <w:bookmarkStart w:id="140" w:name="_Toc389644534"/>
      <w:bookmarkStart w:id="141" w:name="_Toc113569043"/>
      <w:bookmarkStart w:id="142" w:name="_Toc486584228"/>
      <w:bookmarkStart w:id="143" w:name="_Toc529957181"/>
      <w:r>
        <w:rPr>
          <w:rFonts w:hint="eastAsia" w:asciiTheme="majorEastAsia" w:hAnsiTheme="majorEastAsia" w:eastAsiaTheme="majorEastAsia" w:cstheme="majorEastAsia"/>
          <w:color w:val="auto"/>
          <w:sz w:val="24"/>
          <w:szCs w:val="24"/>
          <w:highlight w:val="none"/>
        </w:rPr>
        <w:t>1</w:t>
      </w:r>
      <w:bookmarkEnd w:id="139"/>
      <w:bookmarkEnd w:id="140"/>
      <w:r>
        <w:rPr>
          <w:rFonts w:hint="eastAsia" w:asciiTheme="majorEastAsia" w:hAnsiTheme="majorEastAsia" w:eastAsiaTheme="majorEastAsia" w:cstheme="majorEastAsia"/>
          <w:color w:val="auto"/>
          <w:sz w:val="24"/>
          <w:szCs w:val="24"/>
          <w:highlight w:val="none"/>
        </w:rPr>
        <w:t>5.开标</w:t>
      </w:r>
      <w:bookmarkEnd w:id="141"/>
      <w:bookmarkEnd w:id="142"/>
      <w:bookmarkEnd w:id="143"/>
    </w:p>
    <w:p w14:paraId="4F5FB6D7">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15.1 采购代理机构将在“投标人须知前附表”中规定的时间和地点组织网上开标。</w:t>
      </w:r>
    </w:p>
    <w:p w14:paraId="38359340">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15.2 投标截止时间结束后参加投标的投标人不足三家的，停止开标。</w:t>
      </w:r>
    </w:p>
    <w:p w14:paraId="06E15CA5">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15.3 开标程序：</w:t>
      </w:r>
    </w:p>
    <w:p w14:paraId="5F45EEC9">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rPr>
        <w:t>1</w:t>
      </w: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rPr>
        <w:t>开标会由采购代理机构主持；</w:t>
      </w:r>
    </w:p>
    <w:p w14:paraId="1173743A">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rPr>
        <w:t>2</w:t>
      </w: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rPr>
        <w:t>开标：顺序按照政采云平台自动提取所有投标人的顺序当众开标。主持人宣布开启电子投标文件后，下达解密指令，投标人按照上述开标顺序，使用编制投标文件时的加密数字证书对投标文件进行解密；</w:t>
      </w:r>
    </w:p>
    <w:p w14:paraId="44864AF5">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rPr>
        <w:t>3</w:t>
      </w: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rPr>
        <w:t>唱标：由唱标人宣读投标人在其电子投标文件中、投标价格和招标文件规定的需要宣布</w:t>
      </w:r>
    </w:p>
    <w:p w14:paraId="239415BC">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的其他内容。</w:t>
      </w:r>
    </w:p>
    <w:p w14:paraId="3C0EF620">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rPr>
        <w:t>4</w:t>
      </w: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rPr>
        <w:t>开标会议结束。</w:t>
      </w:r>
    </w:p>
    <w:p w14:paraId="4231690B">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15.4投标人代表对开标过程和开标记录有异议，以及认为采购人、采购代理机构相关工作人员有 需要回避的情形的，应在线提出询问或者回避申请。采购人、采购代理机构对投标人代表提出的询问或者回避申请应当及时处理并记录在案。</w:t>
      </w:r>
    </w:p>
    <w:p w14:paraId="703CF6F6">
      <w:pPr>
        <w:pStyle w:val="4"/>
        <w:numPr>
          <w:ilvl w:val="2"/>
          <w:numId w:val="0"/>
        </w:numPr>
        <w:tabs>
          <w:tab w:val="clear" w:pos="900"/>
        </w:tabs>
        <w:spacing w:before="0" w:after="0" w:line="360" w:lineRule="auto"/>
        <w:rPr>
          <w:rFonts w:hint="eastAsia" w:asciiTheme="majorEastAsia" w:hAnsiTheme="majorEastAsia" w:eastAsiaTheme="majorEastAsia" w:cstheme="majorEastAsia"/>
          <w:color w:val="auto"/>
          <w:sz w:val="24"/>
          <w:szCs w:val="24"/>
          <w:highlight w:val="none"/>
        </w:rPr>
      </w:pPr>
      <w:bookmarkStart w:id="144" w:name="_Toc486584229"/>
      <w:bookmarkStart w:id="145" w:name="_Toc113569044"/>
      <w:bookmarkStart w:id="146" w:name="_Toc529957182"/>
      <w:r>
        <w:rPr>
          <w:rFonts w:hint="eastAsia" w:asciiTheme="majorEastAsia" w:hAnsiTheme="majorEastAsia" w:eastAsiaTheme="majorEastAsia" w:cstheme="majorEastAsia"/>
          <w:color w:val="auto"/>
          <w:sz w:val="24"/>
          <w:szCs w:val="24"/>
          <w:highlight w:val="none"/>
        </w:rPr>
        <w:t>16.评标</w:t>
      </w:r>
      <w:bookmarkEnd w:id="144"/>
      <w:bookmarkEnd w:id="145"/>
      <w:bookmarkEnd w:id="146"/>
    </w:p>
    <w:p w14:paraId="18819099">
      <w:pPr>
        <w:spacing w:line="360" w:lineRule="auto"/>
        <w:ind w:firstLine="480" w:firstLineChars="200"/>
        <w:rPr>
          <w:rFonts w:hint="eastAsia" w:asciiTheme="majorEastAsia" w:hAnsiTheme="majorEastAsia" w:eastAsiaTheme="majorEastAsia" w:cstheme="majorEastAsia"/>
          <w:bCs/>
          <w:color w:val="auto"/>
          <w:sz w:val="24"/>
          <w:szCs w:val="24"/>
          <w:highlight w:val="none"/>
        </w:rPr>
      </w:pPr>
      <w:bookmarkStart w:id="147" w:name="_Toc389644537"/>
      <w:bookmarkStart w:id="148" w:name="_Toc450064586"/>
      <w:r>
        <w:rPr>
          <w:rFonts w:hint="eastAsia" w:asciiTheme="majorEastAsia" w:hAnsiTheme="majorEastAsia" w:eastAsiaTheme="majorEastAsia" w:cstheme="majorEastAsia"/>
          <w:bCs/>
          <w:color w:val="auto"/>
          <w:sz w:val="24"/>
          <w:szCs w:val="24"/>
          <w:highlight w:val="none"/>
        </w:rPr>
        <w:t>16.1资格审查</w:t>
      </w:r>
    </w:p>
    <w:p w14:paraId="11E624A3">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开标结束后，采购人或者采购代理机构应当按照“第五章  评标程序及评标办法”依法对投标人的资格进行审查，合格投标人不足3家的，不得评标。</w:t>
      </w:r>
    </w:p>
    <w:p w14:paraId="41971D1C">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16.2 评标由采购人根据招标货物特点依法组建的评标委员会负责，对具备实质性响应的投标文件进行评估和比较。评标委员会由采购人代表和有关技术、经济等方面的专家组成，成员人数为五人以上单数，在云南省政府采购评审专家库中随机抽取产生，并由相关部门监督。其中，技术、经济等方面的专家不得少于成员总数的三分之二，评标委员会应当推选组长，但采购人代表不得担任组长。</w:t>
      </w:r>
    </w:p>
    <w:p w14:paraId="58D1679C">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采购人委派代表参加评标委员会的，要向采购代理机构出具授权函。除授权代表外，采购人可以委派纪检监察等相关人员进入评审现场，对评审工作实施监督。</w:t>
      </w:r>
    </w:p>
    <w:p w14:paraId="29C95946">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16.3 评标原则：依照“公平、公正、科学、择优、合法、保密”原则；</w:t>
      </w:r>
    </w:p>
    <w:p w14:paraId="0F33713D">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16.4 评标办法：本项目评标采用综合评分法，综合评分法是指在最大限度地满足招标文件实质性要</w:t>
      </w:r>
      <w:r>
        <w:rPr>
          <w:rFonts w:hint="eastAsia" w:asciiTheme="majorEastAsia" w:hAnsiTheme="majorEastAsia" w:eastAsiaTheme="majorEastAsia" w:cstheme="majorEastAsia"/>
          <w:bCs/>
          <w:color w:val="auto"/>
          <w:sz w:val="24"/>
          <w:szCs w:val="24"/>
          <w:highlight w:val="none"/>
          <w:lang w:eastAsia="zh-CN"/>
        </w:rPr>
        <w:t>求的</w:t>
      </w:r>
      <w:r>
        <w:rPr>
          <w:rFonts w:hint="eastAsia" w:asciiTheme="majorEastAsia" w:hAnsiTheme="majorEastAsia" w:eastAsiaTheme="majorEastAsia" w:cstheme="majorEastAsia"/>
          <w:bCs/>
          <w:color w:val="auto"/>
          <w:sz w:val="24"/>
          <w:szCs w:val="24"/>
          <w:highlight w:val="none"/>
        </w:rPr>
        <w:t>前提下，按照招标文件中规定的各项因素进行综合评审后，以评标总得分最高的投标人作为中标候选人或中标人的评标方法。</w:t>
      </w:r>
    </w:p>
    <w:p w14:paraId="4B4926A4">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16.5 评标过程中，不得改变招标文件中规定的评标标准、方法和中标条件。第五章“评标方法”没有规定的评审因素和标准，不作为评标依据。</w:t>
      </w:r>
    </w:p>
    <w:p w14:paraId="7A9826AE">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16.6 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59E2DAB0">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rPr>
        <w:t>16.7有下列情形之一的，视为投标人串通投标，其投标无效：</w:t>
      </w:r>
    </w:p>
    <w:p w14:paraId="7C9BA1F5">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（一）不同投标人的投标文件由同一单位或者个人编制；</w:t>
      </w:r>
    </w:p>
    <w:p w14:paraId="5F126D81">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（二）不同投标人委托同一单位或者个人办理投标事宜；</w:t>
      </w:r>
    </w:p>
    <w:p w14:paraId="471589D1">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（三）不同投标人的投标文件载明的项目管理成员或者联系人员为同一人；</w:t>
      </w:r>
    </w:p>
    <w:p w14:paraId="590943C9">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（四）不同投标人的投标文件异常一致或者投标报价呈规律性差异；</w:t>
      </w:r>
    </w:p>
    <w:p w14:paraId="3457F0A6">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（五）不同投标人的投标文件相互混装；</w:t>
      </w:r>
    </w:p>
    <w:p w14:paraId="352CEFB6">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（六）不同投标人的投标保证金从同一单位或者个人的账户转出。</w:t>
      </w:r>
    </w:p>
    <w:p w14:paraId="6535AF8C">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16.</w:t>
      </w:r>
      <w:r>
        <w:rPr>
          <w:rFonts w:hint="eastAsia" w:asciiTheme="majorEastAsia" w:hAnsiTheme="majorEastAsia" w:eastAsiaTheme="majorEastAsia" w:cstheme="majorEastAsia"/>
          <w:bCs/>
          <w:color w:val="auto"/>
          <w:sz w:val="24"/>
          <w:szCs w:val="24"/>
          <w:highlight w:val="none"/>
          <w:lang w:val="en-US" w:eastAsia="zh-CN"/>
        </w:rPr>
        <w:t>8</w:t>
      </w:r>
      <w:r>
        <w:rPr>
          <w:rFonts w:hint="eastAsia" w:asciiTheme="majorEastAsia" w:hAnsiTheme="majorEastAsia" w:eastAsiaTheme="majorEastAsia" w:cstheme="majorEastAsia"/>
          <w:bCs/>
          <w:color w:val="auto"/>
          <w:sz w:val="24"/>
          <w:szCs w:val="24"/>
          <w:highlight w:val="none"/>
        </w:rPr>
        <w:t>在招标采购中，出现下列情形之一的，应予废标：</w:t>
      </w:r>
    </w:p>
    <w:p w14:paraId="526F38D1">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（1）符合专业条件的投标人或者对招标文件作实质响应的投标人不足3家的；</w:t>
      </w:r>
    </w:p>
    <w:p w14:paraId="2394659C">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（2）出现影响采购公正的违法、违规行为的；</w:t>
      </w:r>
    </w:p>
    <w:p w14:paraId="52E84562">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（3）投标人的报价均超过了采购预算或最高限价，采购人不能支付的；</w:t>
      </w:r>
    </w:p>
    <w:p w14:paraId="28593542">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（4）因重大变故，采购任务取消的。</w:t>
      </w:r>
    </w:p>
    <w:p w14:paraId="5A0718BE">
      <w:pPr>
        <w:pStyle w:val="4"/>
        <w:numPr>
          <w:ilvl w:val="2"/>
          <w:numId w:val="0"/>
        </w:numPr>
        <w:tabs>
          <w:tab w:val="clear" w:pos="900"/>
        </w:tabs>
        <w:spacing w:before="0" w:after="0" w:line="360" w:lineRule="auto"/>
        <w:rPr>
          <w:rFonts w:hint="eastAsia" w:asciiTheme="majorEastAsia" w:hAnsiTheme="majorEastAsia" w:eastAsiaTheme="majorEastAsia" w:cstheme="majorEastAsia"/>
          <w:color w:val="auto"/>
          <w:sz w:val="24"/>
          <w:szCs w:val="24"/>
          <w:highlight w:val="none"/>
        </w:rPr>
      </w:pPr>
      <w:bookmarkStart w:id="149" w:name="_Toc529957183"/>
      <w:bookmarkStart w:id="150" w:name="_Toc486584230"/>
      <w:bookmarkStart w:id="151" w:name="_Toc113569045"/>
      <w:r>
        <w:rPr>
          <w:rFonts w:hint="eastAsia" w:asciiTheme="majorEastAsia" w:hAnsiTheme="majorEastAsia" w:eastAsiaTheme="majorEastAsia" w:cstheme="majorEastAsia"/>
          <w:color w:val="auto"/>
          <w:sz w:val="24"/>
          <w:szCs w:val="24"/>
          <w:highlight w:val="none"/>
        </w:rPr>
        <w:t>17.投标文件的澄清</w:t>
      </w:r>
      <w:bookmarkEnd w:id="147"/>
      <w:bookmarkEnd w:id="148"/>
      <w:bookmarkEnd w:id="149"/>
      <w:bookmarkEnd w:id="150"/>
      <w:bookmarkEnd w:id="151"/>
    </w:p>
    <w:p w14:paraId="1A418BD4">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17.1 评标委员会在对投标文件的有效性、完整性和响应程度进行审查时，可以要求投标人对投标文件中含义不明确、同类问题表述不一致或者有明显文字和计算错误的内容等作出必要的澄清、说明或者更正。投标人的澄清、说明或者更正不得超出投标文件的范围或者改变投标文件的实质性内容。</w:t>
      </w:r>
    </w:p>
    <w:p w14:paraId="47604951">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17.2 评标委员会要求投标人澄清、说明或者更正投标文件应当以书面形式作出。投标人的澄清、说明或者更正应当由法定代表人或其授权代表签字或者加盖公章。</w:t>
      </w:r>
    </w:p>
    <w:p w14:paraId="6F65FAF1">
      <w:pPr>
        <w:pStyle w:val="4"/>
        <w:numPr>
          <w:ilvl w:val="2"/>
          <w:numId w:val="0"/>
        </w:numPr>
        <w:tabs>
          <w:tab w:val="clear" w:pos="900"/>
        </w:tabs>
        <w:spacing w:before="0" w:after="0" w:line="360" w:lineRule="auto"/>
        <w:rPr>
          <w:rFonts w:hint="eastAsia" w:asciiTheme="majorEastAsia" w:hAnsiTheme="majorEastAsia" w:eastAsiaTheme="majorEastAsia" w:cstheme="majorEastAsia"/>
          <w:color w:val="auto"/>
          <w:sz w:val="24"/>
          <w:szCs w:val="24"/>
          <w:highlight w:val="none"/>
        </w:rPr>
      </w:pPr>
      <w:bookmarkStart w:id="152" w:name="_Toc113569046"/>
      <w:bookmarkStart w:id="153" w:name="_Toc486584231"/>
      <w:bookmarkStart w:id="154" w:name="_Toc529957184"/>
      <w:r>
        <w:rPr>
          <w:rFonts w:hint="eastAsia" w:asciiTheme="majorEastAsia" w:hAnsiTheme="majorEastAsia" w:eastAsiaTheme="majorEastAsia" w:cstheme="majorEastAsia"/>
          <w:color w:val="auto"/>
          <w:sz w:val="24"/>
          <w:szCs w:val="24"/>
          <w:highlight w:val="none"/>
        </w:rPr>
        <w:t>18.评标过程的保密</w:t>
      </w:r>
      <w:bookmarkEnd w:id="152"/>
      <w:bookmarkEnd w:id="153"/>
      <w:bookmarkEnd w:id="154"/>
    </w:p>
    <w:p w14:paraId="664A10F5">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18.1 投标文件开启后，直至向中标的投标人授予合同时止，凡与审查、澄清、评价和比较有关的资料以及授标意见等，均不得向投标人及评标无关的其他人透露。</w:t>
      </w:r>
    </w:p>
    <w:p w14:paraId="495B1078">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18.2 评标期间，投标人不得与评标委员会成员和采购人及工作人员私下接触，更不得进行旨在影响评审结果的活动，否则一经核实，其投标文件将被宣布为废标，并将承担相应的法律责任。</w:t>
      </w:r>
    </w:p>
    <w:p w14:paraId="2C1B9E21">
      <w:pPr>
        <w:spacing w:line="360" w:lineRule="auto"/>
        <w:ind w:firstLine="480"/>
        <w:rPr>
          <w:rFonts w:hint="eastAsia" w:asciiTheme="majorEastAsia" w:hAnsiTheme="majorEastAsia" w:eastAsiaTheme="majorEastAsia" w:cstheme="majorEastAsia"/>
          <w:color w:val="auto"/>
          <w:sz w:val="24"/>
          <w:szCs w:val="24"/>
          <w:highlight w:val="none"/>
        </w:rPr>
      </w:pPr>
    </w:p>
    <w:p w14:paraId="1A781211">
      <w:pPr>
        <w:pStyle w:val="3"/>
        <w:numPr>
          <w:ilvl w:val="1"/>
          <w:numId w:val="0"/>
        </w:numPr>
        <w:tabs>
          <w:tab w:val="clear" w:pos="1021"/>
          <w:tab w:val="clear" w:pos="2582"/>
          <w:tab w:val="clear" w:pos="2723"/>
        </w:tabs>
        <w:spacing w:before="0" w:after="0" w:line="360" w:lineRule="auto"/>
        <w:jc w:val="center"/>
        <w:rPr>
          <w:rFonts w:hint="eastAsia" w:asciiTheme="majorEastAsia" w:hAnsiTheme="majorEastAsia" w:eastAsiaTheme="majorEastAsia" w:cstheme="majorEastAsia"/>
          <w:bCs w:val="0"/>
          <w:color w:val="auto"/>
          <w:sz w:val="24"/>
          <w:szCs w:val="24"/>
          <w:highlight w:val="none"/>
        </w:rPr>
      </w:pPr>
      <w:bookmarkStart w:id="155" w:name="_Toc389644538"/>
      <w:bookmarkStart w:id="156" w:name="_Toc450064587"/>
      <w:bookmarkStart w:id="157" w:name="_Toc486584232"/>
      <w:bookmarkStart w:id="158" w:name="_Toc113569047"/>
      <w:r>
        <w:rPr>
          <w:rFonts w:hint="eastAsia" w:asciiTheme="majorEastAsia" w:hAnsiTheme="majorEastAsia" w:eastAsiaTheme="majorEastAsia" w:cstheme="majorEastAsia"/>
          <w:bCs w:val="0"/>
          <w:color w:val="auto"/>
          <w:sz w:val="24"/>
          <w:szCs w:val="24"/>
          <w:highlight w:val="none"/>
        </w:rPr>
        <w:t>六、</w:t>
      </w:r>
      <w:bookmarkEnd w:id="155"/>
      <w:bookmarkEnd w:id="156"/>
      <w:r>
        <w:rPr>
          <w:rFonts w:hint="eastAsia" w:asciiTheme="majorEastAsia" w:hAnsiTheme="majorEastAsia" w:eastAsiaTheme="majorEastAsia" w:cstheme="majorEastAsia"/>
          <w:bCs w:val="0"/>
          <w:color w:val="auto"/>
          <w:sz w:val="24"/>
          <w:szCs w:val="24"/>
          <w:highlight w:val="none"/>
        </w:rPr>
        <w:t>中标通知和合同授予</w:t>
      </w:r>
      <w:bookmarkEnd w:id="157"/>
      <w:bookmarkEnd w:id="158"/>
    </w:p>
    <w:p w14:paraId="3D5EDA44">
      <w:pPr>
        <w:pStyle w:val="4"/>
        <w:numPr>
          <w:ilvl w:val="2"/>
          <w:numId w:val="0"/>
        </w:numPr>
        <w:tabs>
          <w:tab w:val="clear" w:pos="900"/>
        </w:tabs>
        <w:spacing w:before="0" w:after="0" w:line="360" w:lineRule="auto"/>
        <w:rPr>
          <w:rFonts w:hint="eastAsia" w:asciiTheme="majorEastAsia" w:hAnsiTheme="majorEastAsia" w:eastAsiaTheme="majorEastAsia" w:cstheme="majorEastAsia"/>
          <w:color w:val="auto"/>
          <w:sz w:val="24"/>
          <w:szCs w:val="24"/>
          <w:highlight w:val="none"/>
        </w:rPr>
      </w:pPr>
      <w:bookmarkStart w:id="159" w:name="_Toc486584233"/>
      <w:bookmarkStart w:id="160" w:name="_Toc113569048"/>
      <w:bookmarkStart w:id="161" w:name="_Toc529957186"/>
      <w:r>
        <w:rPr>
          <w:rFonts w:hint="eastAsia" w:asciiTheme="majorEastAsia" w:hAnsiTheme="majorEastAsia" w:eastAsiaTheme="majorEastAsia" w:cstheme="majorEastAsia"/>
          <w:color w:val="auto"/>
          <w:sz w:val="24"/>
          <w:szCs w:val="24"/>
          <w:highlight w:val="none"/>
        </w:rPr>
        <w:t>19.定标</w:t>
      </w:r>
      <w:bookmarkEnd w:id="159"/>
      <w:bookmarkEnd w:id="160"/>
      <w:bookmarkEnd w:id="161"/>
    </w:p>
    <w:p w14:paraId="5BBA4764">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19.1采购代理机构应当自评审结束之日起2个工作日内将评审报告送交采购人。</w:t>
      </w:r>
    </w:p>
    <w:p w14:paraId="0EDDBE73">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19.2采购人应当自收到评审报告之日起5个工作日内在评审报告推荐的中标候选人按顺序确定中标人。</w:t>
      </w:r>
    </w:p>
    <w:p w14:paraId="4B094E2E">
      <w:pPr>
        <w:pStyle w:val="4"/>
        <w:numPr>
          <w:ilvl w:val="2"/>
          <w:numId w:val="0"/>
        </w:numPr>
        <w:tabs>
          <w:tab w:val="clear" w:pos="900"/>
        </w:tabs>
        <w:spacing w:before="0" w:after="0" w:line="360" w:lineRule="auto"/>
        <w:rPr>
          <w:rFonts w:hint="eastAsia" w:asciiTheme="majorEastAsia" w:hAnsiTheme="majorEastAsia" w:eastAsiaTheme="majorEastAsia" w:cstheme="majorEastAsia"/>
          <w:color w:val="auto"/>
          <w:sz w:val="24"/>
          <w:szCs w:val="24"/>
          <w:highlight w:val="none"/>
        </w:rPr>
      </w:pPr>
      <w:bookmarkStart w:id="162" w:name="_Toc529957187"/>
      <w:bookmarkStart w:id="163" w:name="_Toc486584234"/>
      <w:bookmarkStart w:id="164" w:name="_Toc450064589"/>
      <w:bookmarkStart w:id="165" w:name="_Toc389644540"/>
      <w:bookmarkStart w:id="166" w:name="_Toc113569049"/>
      <w:r>
        <w:rPr>
          <w:rFonts w:hint="eastAsia" w:asciiTheme="majorEastAsia" w:hAnsiTheme="majorEastAsia" w:eastAsiaTheme="majorEastAsia" w:cstheme="majorEastAsia"/>
          <w:color w:val="auto"/>
          <w:sz w:val="24"/>
          <w:szCs w:val="24"/>
          <w:highlight w:val="none"/>
        </w:rPr>
        <w:t>20.中标通知</w:t>
      </w:r>
      <w:bookmarkEnd w:id="162"/>
      <w:bookmarkEnd w:id="163"/>
      <w:bookmarkEnd w:id="164"/>
      <w:bookmarkEnd w:id="165"/>
      <w:bookmarkEnd w:id="166"/>
    </w:p>
    <w:p w14:paraId="2939CCC7">
      <w:pPr>
        <w:spacing w:line="360" w:lineRule="auto"/>
        <w:ind w:firstLine="480" w:firstLineChars="200"/>
        <w:rPr>
          <w:rFonts w:hint="eastAsia" w:asciiTheme="majorEastAsia" w:hAnsiTheme="majorEastAsia" w:eastAsiaTheme="majorEastAsia" w:cstheme="majorEastAsia"/>
          <w:color w:val="auto"/>
          <w:sz w:val="24"/>
          <w:szCs w:val="24"/>
          <w:highlight w:val="none"/>
        </w:rPr>
      </w:pPr>
      <w:bookmarkStart w:id="167" w:name="_Toc450064590"/>
      <w:bookmarkStart w:id="168" w:name="_Toc389644541"/>
      <w:r>
        <w:rPr>
          <w:rFonts w:hint="eastAsia" w:asciiTheme="majorEastAsia" w:hAnsiTheme="majorEastAsia" w:eastAsiaTheme="majorEastAsia" w:cstheme="majorEastAsia"/>
          <w:color w:val="auto"/>
          <w:sz w:val="24"/>
          <w:szCs w:val="24"/>
          <w:highlight w:val="none"/>
        </w:rPr>
        <w:t>20.1采购代理机构应当自中标人确定之日起 2 个工作日内，采购代理机构在省级以上财政部门指定的媒体上公告中标结果，中标公告期限为 1 个工作日，同时向中标人发出中标通知书，向未中标人发出招标结果通知书。</w:t>
      </w:r>
    </w:p>
    <w:p w14:paraId="07E05111">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20.2 中标通知书是合同的一个组成部分。</w:t>
      </w:r>
    </w:p>
    <w:p w14:paraId="658DA0C5">
      <w:pPr>
        <w:spacing w:line="360" w:lineRule="auto"/>
        <w:ind w:firstLine="480" w:firstLineChars="200"/>
        <w:rPr>
          <w:rFonts w:hint="eastAsia" w:asciiTheme="majorEastAsia" w:hAnsiTheme="majorEastAsia" w:eastAsiaTheme="majorEastAsia" w:cstheme="majorEastAsia"/>
          <w:color w:val="auto"/>
          <w:sz w:val="24"/>
          <w:szCs w:val="24"/>
          <w:highlight w:val="none"/>
        </w:rPr>
      </w:pPr>
    </w:p>
    <w:p w14:paraId="63317978">
      <w:pPr>
        <w:pStyle w:val="3"/>
        <w:numPr>
          <w:ilvl w:val="1"/>
          <w:numId w:val="0"/>
        </w:numPr>
        <w:tabs>
          <w:tab w:val="clear" w:pos="1021"/>
          <w:tab w:val="clear" w:pos="2582"/>
          <w:tab w:val="clear" w:pos="2723"/>
        </w:tabs>
        <w:spacing w:before="0" w:after="0" w:line="360" w:lineRule="auto"/>
        <w:jc w:val="center"/>
        <w:rPr>
          <w:rFonts w:hint="eastAsia" w:asciiTheme="majorEastAsia" w:hAnsiTheme="majorEastAsia" w:eastAsiaTheme="majorEastAsia" w:cstheme="majorEastAsia"/>
          <w:bCs w:val="0"/>
          <w:color w:val="auto"/>
          <w:sz w:val="24"/>
          <w:szCs w:val="24"/>
          <w:highlight w:val="none"/>
        </w:rPr>
      </w:pPr>
      <w:bookmarkStart w:id="169" w:name="_Toc113569050"/>
      <w:bookmarkStart w:id="170" w:name="_Toc486584235"/>
      <w:r>
        <w:rPr>
          <w:rFonts w:hint="eastAsia" w:asciiTheme="majorEastAsia" w:hAnsiTheme="majorEastAsia" w:eastAsiaTheme="majorEastAsia" w:cstheme="majorEastAsia"/>
          <w:bCs w:val="0"/>
          <w:color w:val="auto"/>
          <w:sz w:val="24"/>
          <w:szCs w:val="24"/>
          <w:highlight w:val="none"/>
        </w:rPr>
        <w:t>七、合同签订</w:t>
      </w:r>
      <w:bookmarkEnd w:id="167"/>
      <w:bookmarkEnd w:id="168"/>
      <w:bookmarkEnd w:id="169"/>
      <w:bookmarkEnd w:id="170"/>
    </w:p>
    <w:p w14:paraId="66B84853">
      <w:pPr>
        <w:pStyle w:val="4"/>
        <w:numPr>
          <w:ilvl w:val="2"/>
          <w:numId w:val="0"/>
        </w:numPr>
        <w:tabs>
          <w:tab w:val="clear" w:pos="900"/>
        </w:tabs>
        <w:spacing w:before="0" w:after="0" w:line="360" w:lineRule="auto"/>
        <w:rPr>
          <w:rFonts w:hint="eastAsia" w:asciiTheme="majorEastAsia" w:hAnsiTheme="majorEastAsia" w:eastAsiaTheme="majorEastAsia" w:cstheme="majorEastAsia"/>
          <w:color w:val="auto"/>
          <w:sz w:val="24"/>
          <w:szCs w:val="24"/>
          <w:highlight w:val="none"/>
        </w:rPr>
      </w:pPr>
      <w:bookmarkStart w:id="171" w:name="_Toc486584236"/>
      <w:bookmarkStart w:id="172" w:name="_Toc113569051"/>
      <w:bookmarkStart w:id="173" w:name="_Toc450064591"/>
      <w:bookmarkStart w:id="174" w:name="_Toc529957189"/>
      <w:bookmarkStart w:id="175" w:name="_Toc389644542"/>
      <w:r>
        <w:rPr>
          <w:rFonts w:hint="eastAsia" w:asciiTheme="majorEastAsia" w:hAnsiTheme="majorEastAsia" w:eastAsiaTheme="majorEastAsia" w:cstheme="majorEastAsia"/>
          <w:color w:val="auto"/>
          <w:sz w:val="24"/>
          <w:szCs w:val="24"/>
          <w:highlight w:val="none"/>
        </w:rPr>
        <w:t>21.合同签订方式</w:t>
      </w:r>
      <w:bookmarkEnd w:id="171"/>
      <w:bookmarkEnd w:id="172"/>
      <w:bookmarkEnd w:id="173"/>
      <w:bookmarkEnd w:id="174"/>
      <w:bookmarkEnd w:id="175"/>
    </w:p>
    <w:p w14:paraId="62EA4F46">
      <w:pPr>
        <w:spacing w:line="360" w:lineRule="auto"/>
        <w:ind w:firstLine="480" w:firstLineChars="200"/>
        <w:rPr>
          <w:rFonts w:hint="eastAsia" w:asciiTheme="majorEastAsia" w:hAnsiTheme="majorEastAsia" w:eastAsiaTheme="majorEastAsia" w:cstheme="majorEastAsia"/>
          <w:color w:val="auto"/>
          <w:sz w:val="24"/>
          <w:szCs w:val="24"/>
          <w:highlight w:val="none"/>
        </w:rPr>
      </w:pPr>
      <w:bookmarkStart w:id="176" w:name="_Toc389644543"/>
      <w:bookmarkStart w:id="177" w:name="_Toc450064592"/>
      <w:r>
        <w:rPr>
          <w:rFonts w:hint="eastAsia" w:asciiTheme="majorEastAsia" w:hAnsiTheme="majorEastAsia" w:eastAsiaTheme="majorEastAsia" w:cstheme="majorEastAsia"/>
          <w:color w:val="auto"/>
          <w:sz w:val="24"/>
          <w:szCs w:val="24"/>
          <w:highlight w:val="none"/>
        </w:rPr>
        <w:t>21.1 采购人与中标人应当在中标通知书发出之日起三十日内，按照招标文件确定的事项签订政府采购合同。</w:t>
      </w:r>
    </w:p>
    <w:p w14:paraId="0CE45B3B">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21.2 中标人因不可抗力或者自身原因不能履行政府采购合同的，或中标人拒绝与采购人签订合同的，采购人可以按照评审报告推荐的中标或者成交候选人名单排序，确定下一候选人为中标人，也可以重新开展政府采购活动。</w:t>
      </w:r>
    </w:p>
    <w:p w14:paraId="1E26841E">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21.3 政府采购合同履行中，采购人需追加与合同标的相同的货物的，在不改变合同其他条款的前提下，可以与中标人协商签订补充合同，但所有补充合同的采购金额不得超过原合同采购金额的百分之十。</w:t>
      </w:r>
    </w:p>
    <w:bookmarkEnd w:id="176"/>
    <w:bookmarkEnd w:id="177"/>
    <w:p w14:paraId="24BEC241">
      <w:pPr>
        <w:pStyle w:val="4"/>
        <w:numPr>
          <w:ilvl w:val="2"/>
          <w:numId w:val="0"/>
        </w:numPr>
        <w:tabs>
          <w:tab w:val="clear" w:pos="900"/>
        </w:tabs>
        <w:spacing w:before="0" w:after="0" w:line="360" w:lineRule="auto"/>
        <w:rPr>
          <w:rFonts w:hint="eastAsia" w:asciiTheme="majorEastAsia" w:hAnsiTheme="majorEastAsia" w:eastAsiaTheme="majorEastAsia" w:cstheme="majorEastAsia"/>
          <w:color w:val="auto"/>
          <w:sz w:val="24"/>
          <w:szCs w:val="24"/>
          <w:highlight w:val="none"/>
        </w:rPr>
      </w:pPr>
      <w:bookmarkStart w:id="178" w:name="_Toc529957190"/>
      <w:bookmarkStart w:id="179" w:name="_Toc113569052"/>
      <w:bookmarkStart w:id="180" w:name="_Toc486584238"/>
      <w:bookmarkStart w:id="181" w:name="_Toc389644544"/>
      <w:bookmarkStart w:id="182" w:name="_Toc450064593"/>
      <w:r>
        <w:rPr>
          <w:rFonts w:hint="eastAsia" w:asciiTheme="majorEastAsia" w:hAnsiTheme="majorEastAsia" w:eastAsiaTheme="majorEastAsia" w:cstheme="majorEastAsia"/>
          <w:color w:val="auto"/>
          <w:sz w:val="24"/>
          <w:szCs w:val="24"/>
          <w:highlight w:val="none"/>
        </w:rPr>
        <w:t>22.合同书不可分割之部分</w:t>
      </w:r>
      <w:bookmarkEnd w:id="178"/>
      <w:bookmarkEnd w:id="179"/>
      <w:bookmarkEnd w:id="180"/>
      <w:bookmarkEnd w:id="181"/>
      <w:bookmarkEnd w:id="182"/>
    </w:p>
    <w:p w14:paraId="4A9431A8">
      <w:pPr>
        <w:spacing w:line="360" w:lineRule="auto"/>
        <w:ind w:firstLine="480" w:firstLineChars="200"/>
        <w:rPr>
          <w:rFonts w:hint="eastAsia" w:asciiTheme="majorEastAsia" w:hAnsiTheme="majorEastAsia" w:eastAsiaTheme="majorEastAsia" w:cstheme="majorEastAsia"/>
          <w:color w:val="auto"/>
          <w:sz w:val="24"/>
          <w:szCs w:val="24"/>
          <w:highlight w:val="none"/>
        </w:rPr>
      </w:pPr>
      <w:bookmarkStart w:id="183" w:name="_Toc450064594"/>
      <w:bookmarkStart w:id="184" w:name="_Toc389644545"/>
      <w:r>
        <w:rPr>
          <w:rFonts w:hint="eastAsia" w:asciiTheme="majorEastAsia" w:hAnsiTheme="majorEastAsia" w:eastAsiaTheme="majorEastAsia" w:cstheme="majorEastAsia"/>
          <w:color w:val="auto"/>
          <w:sz w:val="24"/>
          <w:szCs w:val="24"/>
          <w:highlight w:val="none"/>
        </w:rPr>
        <w:t>22.1 招标文件；</w:t>
      </w:r>
    </w:p>
    <w:p w14:paraId="5C810F0A">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22.2 中标人的投标文件及澄清文件；</w:t>
      </w:r>
    </w:p>
    <w:p w14:paraId="6F70A5B1">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22.3 中标通知书；</w:t>
      </w:r>
    </w:p>
    <w:p w14:paraId="7DE9F5B3">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22.4 合同书附件。</w:t>
      </w:r>
    </w:p>
    <w:p w14:paraId="78D5A5F8">
      <w:pPr>
        <w:pStyle w:val="4"/>
        <w:numPr>
          <w:ilvl w:val="2"/>
          <w:numId w:val="0"/>
        </w:numPr>
        <w:spacing w:before="0" w:after="0" w:line="360" w:lineRule="auto"/>
        <w:rPr>
          <w:rFonts w:hint="eastAsia" w:asciiTheme="majorEastAsia" w:hAnsiTheme="majorEastAsia" w:eastAsiaTheme="majorEastAsia" w:cstheme="majorEastAsia"/>
          <w:color w:val="auto"/>
          <w:sz w:val="24"/>
          <w:szCs w:val="24"/>
          <w:highlight w:val="none"/>
        </w:rPr>
      </w:pPr>
      <w:bookmarkStart w:id="185" w:name="_Toc486584239"/>
      <w:bookmarkStart w:id="186" w:name="_Toc113569053"/>
      <w:bookmarkStart w:id="187" w:name="_Toc529957191"/>
      <w:r>
        <w:rPr>
          <w:rFonts w:hint="eastAsia" w:asciiTheme="majorEastAsia" w:hAnsiTheme="majorEastAsia" w:eastAsiaTheme="majorEastAsia" w:cstheme="majorEastAsia"/>
          <w:color w:val="auto"/>
          <w:sz w:val="24"/>
          <w:szCs w:val="24"/>
          <w:highlight w:val="none"/>
        </w:rPr>
        <w:t>2</w:t>
      </w:r>
      <w:bookmarkEnd w:id="183"/>
      <w:bookmarkEnd w:id="184"/>
      <w:bookmarkEnd w:id="185"/>
      <w:r>
        <w:rPr>
          <w:rFonts w:hint="eastAsia" w:asciiTheme="majorEastAsia" w:hAnsiTheme="majorEastAsia" w:eastAsiaTheme="majorEastAsia" w:cstheme="majorEastAsia"/>
          <w:color w:val="auto"/>
          <w:sz w:val="24"/>
          <w:szCs w:val="24"/>
          <w:highlight w:val="none"/>
        </w:rPr>
        <w:t>3.履约担保</w:t>
      </w:r>
      <w:bookmarkEnd w:id="186"/>
      <w:bookmarkEnd w:id="187"/>
    </w:p>
    <w:p w14:paraId="600424AF">
      <w:pPr>
        <w:spacing w:line="360" w:lineRule="auto"/>
        <w:ind w:firstLine="480" w:firstLineChars="200"/>
        <w:rPr>
          <w:rFonts w:hint="eastAsia" w:asciiTheme="majorEastAsia" w:hAnsiTheme="majorEastAsia" w:eastAsiaTheme="majorEastAsia" w:cstheme="majorEastAsia"/>
          <w:color w:val="auto"/>
          <w:sz w:val="24"/>
          <w:szCs w:val="24"/>
          <w:highlight w:val="none"/>
        </w:rPr>
      </w:pPr>
      <w:bookmarkStart w:id="188" w:name="_Toc142195781"/>
      <w:bookmarkStart w:id="189" w:name="_Toc147301449"/>
      <w:bookmarkStart w:id="190" w:name="_Toc389644546"/>
      <w:bookmarkStart w:id="191" w:name="_Toc450064595"/>
      <w:bookmarkStart w:id="192" w:name="_Toc146956899"/>
      <w:r>
        <w:rPr>
          <w:rFonts w:hint="eastAsia" w:asciiTheme="majorEastAsia" w:hAnsiTheme="majorEastAsia" w:eastAsiaTheme="majorEastAsia" w:cstheme="majorEastAsia"/>
          <w:color w:val="auto"/>
          <w:sz w:val="24"/>
          <w:szCs w:val="24"/>
          <w:highlight w:val="none"/>
        </w:rPr>
        <w:t>23.1 如招标文件有规定提交履约担保的，签订合同前，中标人应按履约担保的金额及形式，向采购人提交履约担保，联合体中标的，其履约担保由牵头人递交。否则，视为放弃中标项目，投标保证金将不予退还。</w:t>
      </w:r>
    </w:p>
    <w:p w14:paraId="028CEB47">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23.2 签订合同后，如中标人不按双方签订合同约定履约，则没收其全部履约保证金，履约保证金不足以赔偿损失的，按实际损失赔偿。</w:t>
      </w:r>
      <w:bookmarkEnd w:id="188"/>
      <w:bookmarkEnd w:id="189"/>
      <w:bookmarkEnd w:id="190"/>
      <w:bookmarkEnd w:id="191"/>
      <w:bookmarkEnd w:id="192"/>
    </w:p>
    <w:p w14:paraId="6979495B">
      <w:pPr>
        <w:spacing w:line="360" w:lineRule="auto"/>
        <w:ind w:firstLine="480" w:firstLineChars="200"/>
        <w:rPr>
          <w:rFonts w:hint="eastAsia" w:asciiTheme="majorEastAsia" w:hAnsiTheme="majorEastAsia" w:eastAsiaTheme="majorEastAsia" w:cstheme="majorEastAsia"/>
          <w:color w:val="auto"/>
          <w:sz w:val="24"/>
          <w:szCs w:val="24"/>
          <w:highlight w:val="none"/>
        </w:rPr>
      </w:pPr>
    </w:p>
    <w:p w14:paraId="44A8C901">
      <w:pPr>
        <w:pStyle w:val="3"/>
        <w:numPr>
          <w:ilvl w:val="1"/>
          <w:numId w:val="0"/>
        </w:numPr>
        <w:spacing w:before="0" w:after="0" w:line="360" w:lineRule="auto"/>
        <w:jc w:val="center"/>
        <w:rPr>
          <w:rFonts w:hint="eastAsia" w:asciiTheme="majorEastAsia" w:hAnsiTheme="majorEastAsia" w:eastAsiaTheme="majorEastAsia" w:cstheme="majorEastAsia"/>
          <w:bCs w:val="0"/>
          <w:color w:val="auto"/>
          <w:sz w:val="24"/>
          <w:szCs w:val="24"/>
          <w:highlight w:val="none"/>
        </w:rPr>
      </w:pPr>
      <w:bookmarkStart w:id="193" w:name="_Toc113569054"/>
      <w:bookmarkStart w:id="194" w:name="_Toc486584241"/>
      <w:r>
        <w:rPr>
          <w:rFonts w:hint="eastAsia" w:asciiTheme="majorEastAsia" w:hAnsiTheme="majorEastAsia" w:eastAsiaTheme="majorEastAsia" w:cstheme="majorEastAsia"/>
          <w:bCs w:val="0"/>
          <w:color w:val="auto"/>
          <w:sz w:val="24"/>
          <w:szCs w:val="24"/>
          <w:highlight w:val="none"/>
        </w:rPr>
        <w:t>八、其他事项</w:t>
      </w:r>
      <w:bookmarkEnd w:id="193"/>
      <w:bookmarkEnd w:id="194"/>
    </w:p>
    <w:p w14:paraId="227EBD57">
      <w:pPr>
        <w:pStyle w:val="4"/>
        <w:numPr>
          <w:ilvl w:val="2"/>
          <w:numId w:val="0"/>
        </w:numPr>
        <w:spacing w:before="0" w:after="0" w:line="360" w:lineRule="auto"/>
        <w:rPr>
          <w:rFonts w:hint="eastAsia" w:asciiTheme="majorEastAsia" w:hAnsiTheme="majorEastAsia" w:eastAsiaTheme="majorEastAsia" w:cstheme="majorEastAsia"/>
          <w:color w:val="auto"/>
          <w:sz w:val="24"/>
          <w:szCs w:val="24"/>
          <w:highlight w:val="none"/>
        </w:rPr>
      </w:pPr>
      <w:bookmarkStart w:id="195" w:name="_Toc529957193"/>
      <w:bookmarkStart w:id="196" w:name="_Toc486584242"/>
      <w:bookmarkStart w:id="197" w:name="_Toc113569055"/>
      <w:r>
        <w:rPr>
          <w:rFonts w:hint="eastAsia" w:asciiTheme="majorEastAsia" w:hAnsiTheme="majorEastAsia" w:eastAsiaTheme="majorEastAsia" w:cstheme="majorEastAsia"/>
          <w:color w:val="auto"/>
          <w:sz w:val="24"/>
          <w:szCs w:val="24"/>
          <w:highlight w:val="none"/>
        </w:rPr>
        <w:t>24.质疑和投诉</w:t>
      </w:r>
      <w:bookmarkEnd w:id="195"/>
      <w:bookmarkEnd w:id="196"/>
      <w:bookmarkEnd w:id="197"/>
    </w:p>
    <w:p w14:paraId="1A33189B">
      <w:pPr>
        <w:spacing w:line="360" w:lineRule="auto"/>
        <w:ind w:firstLine="480" w:firstLineChars="200"/>
        <w:rPr>
          <w:rFonts w:hint="eastAsia" w:asciiTheme="majorEastAsia" w:hAnsiTheme="majorEastAsia" w:eastAsiaTheme="majorEastAsia" w:cstheme="majorEastAsia"/>
          <w:color w:val="auto"/>
          <w:sz w:val="24"/>
          <w:szCs w:val="24"/>
          <w:highlight w:val="none"/>
        </w:rPr>
      </w:pPr>
      <w:bookmarkStart w:id="198" w:name="_Toc529957194"/>
      <w:bookmarkStart w:id="199" w:name="_Toc486584243"/>
      <w:bookmarkStart w:id="200" w:name="_Toc113569056"/>
      <w:r>
        <w:rPr>
          <w:rFonts w:hint="eastAsia" w:asciiTheme="majorEastAsia" w:hAnsiTheme="majorEastAsia" w:eastAsiaTheme="majorEastAsia" w:cstheme="majorEastAsia"/>
          <w:color w:val="auto"/>
          <w:sz w:val="24"/>
          <w:szCs w:val="24"/>
          <w:highlight w:val="none"/>
        </w:rPr>
        <w:t>24.1供应商认为招标文件、采购过程、中标或成交结果使自己的合法权益受到损害的，可以在知道或者应知其权益受到损害之日起七个工作日内，以书面形式向采购人、采购代理机构提出质疑。供应商在法定质疑期内一次性提出针对同一采购程序环节的质疑，代理公司、采购人不多次接受同一采购程序环节的质疑。提出质疑的供应商（以下简称质疑供应商）应当是参与所质疑项目采购活动的供应商。潜在供应商已依法获取其可质疑的采购文件的，可以对该文件提出质疑。</w:t>
      </w:r>
    </w:p>
    <w:p w14:paraId="799D8C51">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“知道或者应知其权益受到损害之日”是指：</w:t>
      </w:r>
    </w:p>
    <w:p w14:paraId="7C8129CB">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（一）对可以质疑的采购文件提出质疑的，为收到采购文件之日或者采购文件公告期限届满之日；</w:t>
      </w:r>
    </w:p>
    <w:p w14:paraId="59078856">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（二）对采购过程提出质疑的，为各采购程序环节结束之日；</w:t>
      </w:r>
    </w:p>
    <w:p w14:paraId="7F6CE52E">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（三）对中标或者成交结果提出质疑的，为中标或者成交结果公告期限届满之日。</w:t>
      </w:r>
    </w:p>
    <w:p w14:paraId="3074FC5D">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24.2质疑内容不得含有虚假、恶意成分。当事人对自己提出的主张，有责任提供证据，提出质疑时应同时提交相关证据材料和注明事实的确切来源。</w:t>
      </w:r>
    </w:p>
    <w:p w14:paraId="7755AFFA">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24.2供应商提供的质疑函应符合中华人民共和国财政部第94号令《政府采购质疑和投诉办法》的规定。供应商提供的质疑函（质疑函应当使用中文。相关当事人提供外文书证或者外国语视听资料的，应当附有中文译本，由翻译机构盖章或者翻译人员签名。）应当包括以下主要内容：</w:t>
      </w:r>
    </w:p>
    <w:p w14:paraId="34FB4EA9">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（1）供应商的姓名或者名称、地址、邮编、联系人及联系电话；</w:t>
      </w:r>
    </w:p>
    <w:p w14:paraId="5C587A64">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（2）质疑项目的名称、编号；</w:t>
      </w:r>
    </w:p>
    <w:p w14:paraId="2A144FB3">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（3）具体、明确的质疑事项和与质疑事项相关的请求；</w:t>
      </w:r>
    </w:p>
    <w:p w14:paraId="786E00C9">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（4）事实依据；</w:t>
      </w:r>
    </w:p>
    <w:p w14:paraId="66ACB296">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（5）必要的法律依据；</w:t>
      </w:r>
    </w:p>
    <w:p w14:paraId="211F5556">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（6）提出质疑的日期。</w:t>
      </w:r>
    </w:p>
    <w:p w14:paraId="6695230A">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24.3供应商为自然人的，应当由本人签字；供应商为法人或者其他组织的，应当由法定代表人、主要负责人，或者其授权代表签字或者盖章，并加盖公章。</w:t>
      </w:r>
    </w:p>
    <w:p w14:paraId="17A24DF0">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质疑书实行实名制，并提交由法定代表人或其授权代理人签字并加盖单位章的原件。</w:t>
      </w:r>
    </w:p>
    <w:p w14:paraId="19DC4C2B">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接收质疑函的方式：书面方式；</w:t>
      </w:r>
    </w:p>
    <w:p w14:paraId="1719875F">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接收质疑函的部门：</w:t>
      </w:r>
      <w:r>
        <w:rPr>
          <w:rFonts w:hint="eastAsia" w:asciiTheme="majorEastAsia" w:hAnsiTheme="majorEastAsia" w:eastAsiaTheme="majorEastAsia" w:cstheme="majorEastAsia"/>
          <w:color w:val="auto"/>
          <w:sz w:val="24"/>
          <w:szCs w:val="24"/>
          <w:highlight w:val="none"/>
          <w:lang w:eastAsia="zh-CN"/>
        </w:rPr>
        <w:t>红河嘉锐工程项目管理有限公司</w:t>
      </w:r>
      <w:r>
        <w:rPr>
          <w:rFonts w:hint="eastAsia" w:asciiTheme="majorEastAsia" w:hAnsiTheme="majorEastAsia" w:eastAsiaTheme="majorEastAsia" w:cstheme="majorEastAsia"/>
          <w:color w:val="auto"/>
          <w:sz w:val="24"/>
          <w:szCs w:val="24"/>
          <w:highlight w:val="none"/>
        </w:rPr>
        <w:t>；</w:t>
      </w:r>
    </w:p>
    <w:p w14:paraId="1BD7D8FA">
      <w:pPr>
        <w:spacing w:line="360" w:lineRule="auto"/>
        <w:ind w:firstLine="480" w:firstLineChars="200"/>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联系人：</w:t>
      </w:r>
      <w:r>
        <w:rPr>
          <w:rFonts w:hint="eastAsia" w:asciiTheme="majorEastAsia" w:hAnsiTheme="majorEastAsia" w:eastAsiaTheme="majorEastAsia" w:cstheme="majorEastAsia"/>
          <w:color w:val="auto"/>
          <w:sz w:val="24"/>
          <w:szCs w:val="24"/>
          <w:highlight w:val="none"/>
          <w:lang w:val="en-US" w:eastAsia="zh-CN"/>
        </w:rPr>
        <w:t>普秋月</w:t>
      </w:r>
    </w:p>
    <w:p w14:paraId="2BB5389B">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联系电话：</w:t>
      </w:r>
      <w:r>
        <w:rPr>
          <w:rFonts w:hint="eastAsia" w:asciiTheme="majorEastAsia" w:hAnsiTheme="majorEastAsia" w:eastAsiaTheme="majorEastAsia" w:cstheme="majorEastAsia"/>
          <w:color w:val="auto"/>
          <w:sz w:val="24"/>
          <w:szCs w:val="24"/>
          <w:highlight w:val="none"/>
          <w:lang w:val="en-US" w:eastAsia="zh-CN"/>
        </w:rPr>
        <w:t>15974804761</w:t>
      </w:r>
      <w:r>
        <w:rPr>
          <w:rFonts w:hint="eastAsia" w:asciiTheme="majorEastAsia" w:hAnsiTheme="majorEastAsia" w:eastAsiaTheme="majorEastAsia" w:cstheme="majorEastAsia"/>
          <w:color w:val="auto"/>
          <w:sz w:val="24"/>
          <w:szCs w:val="24"/>
          <w:highlight w:val="none"/>
        </w:rPr>
        <w:t>；</w:t>
      </w:r>
    </w:p>
    <w:p w14:paraId="40B42BA7">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通讯地址：</w:t>
      </w:r>
      <w:r>
        <w:rPr>
          <w:rFonts w:hint="eastAsia" w:asciiTheme="majorEastAsia" w:hAnsiTheme="majorEastAsia" w:eastAsiaTheme="majorEastAsia" w:cstheme="majorEastAsia"/>
          <w:color w:val="auto"/>
          <w:sz w:val="24"/>
          <w:szCs w:val="24"/>
          <w:highlight w:val="none"/>
          <w:lang w:eastAsia="zh-CN"/>
        </w:rPr>
        <w:t>蒙自市天马路西延西侧晓龙岛小区26-7号</w:t>
      </w:r>
      <w:r>
        <w:rPr>
          <w:rFonts w:hint="eastAsia" w:asciiTheme="majorEastAsia" w:hAnsiTheme="majorEastAsia" w:eastAsiaTheme="majorEastAsia" w:cstheme="majorEastAsia"/>
          <w:color w:val="auto"/>
          <w:sz w:val="24"/>
          <w:szCs w:val="24"/>
          <w:highlight w:val="none"/>
        </w:rPr>
        <w:t>。</w:t>
      </w:r>
    </w:p>
    <w:p w14:paraId="30FE0C04">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24.4采购人、采购代理机构将在收到供应商的书面质疑后七个工作日内</w:t>
      </w:r>
      <w:r>
        <w:rPr>
          <w:rFonts w:hint="eastAsia" w:asciiTheme="majorEastAsia" w:hAnsiTheme="majorEastAsia" w:eastAsiaTheme="majorEastAsia" w:cstheme="majorEastAsia"/>
          <w:color w:val="auto"/>
          <w:sz w:val="24"/>
          <w:szCs w:val="24"/>
          <w:highlight w:val="none"/>
          <w:lang w:eastAsia="zh-CN"/>
        </w:rPr>
        <w:t>作出</w:t>
      </w:r>
      <w:r>
        <w:rPr>
          <w:rFonts w:hint="eastAsia" w:asciiTheme="majorEastAsia" w:hAnsiTheme="majorEastAsia" w:eastAsiaTheme="majorEastAsia" w:cstheme="majorEastAsia"/>
          <w:color w:val="auto"/>
          <w:sz w:val="24"/>
          <w:szCs w:val="24"/>
          <w:highlight w:val="none"/>
        </w:rPr>
        <w:t>答复，并以书面形式通知质疑供应商和其他有关供应商，质疑答复的内容不涉及商业秘密。</w:t>
      </w:r>
    </w:p>
    <w:p w14:paraId="641AC903">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24.5参与政府采购活动的供应商对评审过程、中标或者成交结果提出质疑的，采购人或采购代理机构可以组织原评标委员会协助答复质疑事项，并依据评标委员会出具的意见进行答复。质疑答复导致中标结果改变的，采购人或采购代理机构应当将相关情况书面报财政部门备案。</w:t>
      </w:r>
    </w:p>
    <w:p w14:paraId="72F0DD3B">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24.6投诉人必须首先经过质疑程序，在对采购人、采购代理机构的答复不满意，或者采购人、采购代理机构未在规定的时间内</w:t>
      </w:r>
      <w:r>
        <w:rPr>
          <w:rFonts w:hint="eastAsia" w:asciiTheme="majorEastAsia" w:hAnsiTheme="majorEastAsia" w:eastAsiaTheme="majorEastAsia" w:cstheme="majorEastAsia"/>
          <w:color w:val="auto"/>
          <w:sz w:val="24"/>
          <w:szCs w:val="24"/>
          <w:highlight w:val="none"/>
          <w:lang w:eastAsia="zh-CN"/>
        </w:rPr>
        <w:t>作出</w:t>
      </w:r>
      <w:r>
        <w:rPr>
          <w:rFonts w:hint="eastAsia" w:asciiTheme="majorEastAsia" w:hAnsiTheme="majorEastAsia" w:eastAsiaTheme="majorEastAsia" w:cstheme="majorEastAsia"/>
          <w:color w:val="auto"/>
          <w:sz w:val="24"/>
          <w:szCs w:val="24"/>
          <w:highlight w:val="none"/>
        </w:rPr>
        <w:t>答复的，可以在答复期满后十五个工作日内书面向政府采购监督管理部门投诉。</w:t>
      </w:r>
    </w:p>
    <w:p w14:paraId="6A31DE2C">
      <w:pPr>
        <w:pStyle w:val="4"/>
        <w:numPr>
          <w:ilvl w:val="2"/>
          <w:numId w:val="0"/>
        </w:numPr>
        <w:spacing w:before="0" w:after="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25.</w:t>
      </w:r>
      <w:r>
        <w:rPr>
          <w:rFonts w:hint="eastAsia" w:asciiTheme="majorEastAsia" w:hAnsiTheme="majorEastAsia" w:eastAsiaTheme="majorEastAsia" w:cstheme="majorEastAsia"/>
          <w:color w:val="auto"/>
          <w:sz w:val="24"/>
          <w:szCs w:val="24"/>
          <w:highlight w:val="none"/>
          <w:lang w:val="en-US" w:eastAsia="zh-CN"/>
        </w:rPr>
        <w:t>招标</w:t>
      </w:r>
      <w:r>
        <w:rPr>
          <w:rFonts w:hint="eastAsia" w:asciiTheme="majorEastAsia" w:hAnsiTheme="majorEastAsia" w:eastAsiaTheme="majorEastAsia" w:cstheme="majorEastAsia"/>
          <w:color w:val="auto"/>
          <w:sz w:val="24"/>
          <w:szCs w:val="24"/>
          <w:highlight w:val="none"/>
        </w:rPr>
        <w:t>代理服务费</w:t>
      </w:r>
      <w:bookmarkEnd w:id="198"/>
      <w:bookmarkEnd w:id="199"/>
      <w:bookmarkEnd w:id="200"/>
    </w:p>
    <w:p w14:paraId="6C4C3B1D">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一标段招标代理费服务费收取4028.00元。由中标人承担，须在领取中标通知书时支付给招标代理机构。</w:t>
      </w:r>
    </w:p>
    <w:p w14:paraId="61729AE2">
      <w:pPr>
        <w:pStyle w:val="4"/>
        <w:numPr>
          <w:ilvl w:val="2"/>
          <w:numId w:val="0"/>
        </w:numPr>
        <w:spacing w:before="0" w:after="0" w:line="360" w:lineRule="auto"/>
        <w:ind w:left="851" w:leftChars="0"/>
        <w:rPr>
          <w:rFonts w:hint="eastAsia" w:asciiTheme="majorEastAsia" w:hAnsiTheme="majorEastAsia" w:eastAsiaTheme="majorEastAsia" w:cstheme="majorEastAsia"/>
          <w:color w:val="auto"/>
          <w:sz w:val="24"/>
          <w:szCs w:val="24"/>
          <w:highlight w:val="none"/>
        </w:rPr>
      </w:pPr>
      <w:bookmarkStart w:id="201" w:name="_Toc529957195"/>
      <w:bookmarkStart w:id="202" w:name="_Toc113569057"/>
      <w:r>
        <w:rPr>
          <w:rFonts w:hint="eastAsia" w:asciiTheme="majorEastAsia" w:hAnsiTheme="majorEastAsia" w:eastAsiaTheme="majorEastAsia" w:cstheme="majorEastAsia"/>
          <w:color w:val="auto"/>
          <w:sz w:val="24"/>
          <w:szCs w:val="24"/>
          <w:highlight w:val="none"/>
        </w:rPr>
        <w:t>26.需要补充的其他内容</w:t>
      </w:r>
      <w:bookmarkEnd w:id="201"/>
      <w:bookmarkEnd w:id="202"/>
    </w:p>
    <w:p w14:paraId="1DAE040B">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26.1其他未尽事宜按国家相关法律法规执行。</w:t>
      </w:r>
    </w:p>
    <w:p w14:paraId="19A1D786">
      <w:pPr>
        <w:pStyle w:val="17"/>
        <w:spacing w:line="360" w:lineRule="auto"/>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投标文件全部采用电子文档，除投标人须知前附表另有规定外，投标文件所附证书证件均为原件扫描件，并采用单位和个人数字证书，按招标文件要求在相应位置加盖电子公章。由投标人的法定代表人（单位负责人）签字或加盖电子公章的，应附法定代表人（单位负责人）身份证明，由代理人签字或加盖电子公章的，应附由法定代表人（单位负责人）签署的授权委托书。签字或盖章的具体要求见投标人须知前附表。</w:t>
      </w:r>
      <w:r>
        <w:rPr>
          <w:rFonts w:hint="eastAsia" w:asciiTheme="majorEastAsia" w:hAnsiTheme="majorEastAsia" w:eastAsiaTheme="majorEastAsia" w:cstheme="majorEastAsia"/>
          <w:color w:val="auto"/>
          <w:sz w:val="24"/>
          <w:szCs w:val="24"/>
          <w:highlight w:val="none"/>
        </w:rPr>
        <w:br w:type="page"/>
      </w:r>
    </w:p>
    <w:p w14:paraId="5D6B568B">
      <w:pPr>
        <w:pStyle w:val="3"/>
        <w:numPr>
          <w:ilvl w:val="1"/>
          <w:numId w:val="0"/>
        </w:numPr>
        <w:spacing w:before="0" w:after="0" w:line="360" w:lineRule="auto"/>
        <w:jc w:val="center"/>
        <w:rPr>
          <w:rFonts w:hint="eastAsia" w:asciiTheme="majorEastAsia" w:hAnsiTheme="majorEastAsia" w:eastAsiaTheme="majorEastAsia" w:cstheme="majorEastAsia"/>
          <w:b/>
          <w:bCs w:val="0"/>
          <w:color w:val="auto"/>
          <w:kern w:val="0"/>
          <w:sz w:val="24"/>
          <w:szCs w:val="24"/>
          <w:highlight w:val="none"/>
          <w:lang w:val="en-US" w:eastAsia="zh-CN" w:bidi="ar-SA"/>
        </w:rPr>
      </w:pPr>
      <w:r>
        <w:rPr>
          <w:rFonts w:hint="eastAsia" w:asciiTheme="majorEastAsia" w:hAnsiTheme="majorEastAsia" w:eastAsiaTheme="majorEastAsia" w:cstheme="majorEastAsia"/>
          <w:bCs w:val="0"/>
          <w:color w:val="auto"/>
          <w:sz w:val="24"/>
          <w:szCs w:val="24"/>
          <w:highlight w:val="none"/>
          <w:lang w:val="en-US" w:eastAsia="zh-CN"/>
        </w:rPr>
        <w:t>九、落实政府采购政策（如有时提供）</w:t>
      </w:r>
    </w:p>
    <w:p w14:paraId="1E680422">
      <w:pPr>
        <w:pStyle w:val="17"/>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val="en-US" w:eastAsia="zh-CN"/>
        </w:rPr>
        <w:t>27</w:t>
      </w:r>
      <w:r>
        <w:rPr>
          <w:rFonts w:hint="eastAsia" w:asciiTheme="majorEastAsia" w:hAnsiTheme="majorEastAsia" w:eastAsiaTheme="majorEastAsia" w:cstheme="majorEastAsia"/>
          <w:b/>
          <w:bCs/>
          <w:color w:val="auto"/>
          <w:sz w:val="24"/>
          <w:szCs w:val="24"/>
          <w:highlight w:val="none"/>
        </w:rPr>
        <w:t>.小型、微型企业</w:t>
      </w:r>
    </w:p>
    <w:p w14:paraId="2E7639AE">
      <w:pPr>
        <w:pStyle w:val="17"/>
        <w:spacing w:line="41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27</w:t>
      </w:r>
      <w:r>
        <w:rPr>
          <w:rFonts w:hint="eastAsia" w:asciiTheme="majorEastAsia" w:hAnsiTheme="majorEastAsia" w:eastAsiaTheme="majorEastAsia" w:cstheme="majorEastAsia"/>
          <w:color w:val="auto"/>
          <w:sz w:val="24"/>
          <w:szCs w:val="24"/>
          <w:highlight w:val="none"/>
        </w:rPr>
        <w:t>.1本项目应在招标文件中做出如下规定：</w:t>
      </w:r>
    </w:p>
    <w:tbl>
      <w:tblPr>
        <w:tblStyle w:val="30"/>
        <w:tblW w:w="9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5"/>
        <w:gridCol w:w="8274"/>
      </w:tblGrid>
      <w:tr w14:paraId="16D68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1" w:hRule="atLeast"/>
          <w:jc w:val="center"/>
        </w:trPr>
        <w:tc>
          <w:tcPr>
            <w:tcW w:w="1605" w:type="dxa"/>
            <w:vAlign w:val="center"/>
          </w:tcPr>
          <w:p w14:paraId="3B708626">
            <w:pPr>
              <w:pStyle w:val="17"/>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评审内容</w:t>
            </w:r>
          </w:p>
        </w:tc>
        <w:tc>
          <w:tcPr>
            <w:tcW w:w="8274" w:type="dxa"/>
            <w:vAlign w:val="center"/>
          </w:tcPr>
          <w:p w14:paraId="6B77DC4D">
            <w:pPr>
              <w:pStyle w:val="17"/>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评分标准</w:t>
            </w:r>
          </w:p>
        </w:tc>
      </w:tr>
      <w:tr w14:paraId="3D478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7" w:hRule="atLeast"/>
          <w:jc w:val="center"/>
        </w:trPr>
        <w:tc>
          <w:tcPr>
            <w:tcW w:w="1605" w:type="dxa"/>
            <w:vAlign w:val="center"/>
          </w:tcPr>
          <w:p w14:paraId="14CA4F7C">
            <w:pPr>
              <w:pStyle w:val="17"/>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小型、微型企业有关政策</w:t>
            </w:r>
          </w:p>
        </w:tc>
        <w:tc>
          <w:tcPr>
            <w:tcW w:w="8274" w:type="dxa"/>
          </w:tcPr>
          <w:p w14:paraId="585B475C">
            <w:pPr>
              <w:pStyle w:val="17"/>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1</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财政部、工业和信息化部关于印发《政府采购促进中小企业发展管理办法》的通知（财库〔2020〕46号）、</w:t>
            </w:r>
            <w:r>
              <w:rPr>
                <w:rFonts w:hint="eastAsia" w:asciiTheme="majorEastAsia" w:hAnsiTheme="majorEastAsia" w:eastAsiaTheme="majorEastAsia" w:cstheme="majorEastAsia"/>
                <w:color w:val="auto"/>
                <w:sz w:val="24"/>
                <w:szCs w:val="24"/>
                <w:highlight w:val="none"/>
                <w:lang w:eastAsia="zh-CN"/>
              </w:rPr>
              <w:t>《财政部关于将进一步加大政府采购支持中小企业力度的通知》（财库（2022）19号）</w:t>
            </w:r>
            <w:r>
              <w:rPr>
                <w:rFonts w:hint="eastAsia" w:asciiTheme="majorEastAsia" w:hAnsiTheme="majorEastAsia" w:eastAsiaTheme="majorEastAsia" w:cstheme="majorEastAsia"/>
                <w:color w:val="auto"/>
                <w:sz w:val="24"/>
                <w:szCs w:val="24"/>
                <w:highlight w:val="none"/>
              </w:rPr>
              <w:t>的规定执行；</w:t>
            </w:r>
          </w:p>
          <w:p w14:paraId="1469E257">
            <w:pPr>
              <w:pStyle w:val="17"/>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2</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 xml:space="preserve">根据工信部等部委发布的《关于印发中小企业划型标准规定的通知》（工信部联企业[2011]300 号）规定执行； </w:t>
            </w:r>
          </w:p>
          <w:p w14:paraId="6387C88A">
            <w:pPr>
              <w:pStyle w:val="17"/>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3</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按照《财政部、司法部关于政府采购支持监狱企业发展有关问题的通知》（财库【2014】68 号）文件规定，在政府采购活动中，监狱企业视同小型、微型企业，享受评审中价格扣除的政府采购政策。</w:t>
            </w:r>
          </w:p>
          <w:p w14:paraId="4E301921">
            <w:pPr>
              <w:pStyle w:val="17"/>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4</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根据《关于促进残疾人就业政府采购政策的通知》（财库〔2017〕141号）在政府采购活动中，残疾人福利性单位视同为小型、微型企业。</w:t>
            </w:r>
          </w:p>
        </w:tc>
      </w:tr>
    </w:tbl>
    <w:p w14:paraId="68252E38">
      <w:pPr>
        <w:pStyle w:val="17"/>
        <w:spacing w:line="360" w:lineRule="auto"/>
        <w:ind w:firstLine="482" w:firstLineChars="2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b/>
          <w:bCs/>
          <w:color w:val="auto"/>
          <w:sz w:val="24"/>
          <w:szCs w:val="24"/>
          <w:highlight w:val="none"/>
          <w:lang w:val="en-US" w:eastAsia="zh-CN"/>
        </w:rPr>
        <w:t>27</w:t>
      </w:r>
      <w:r>
        <w:rPr>
          <w:rFonts w:hint="eastAsia" w:asciiTheme="majorEastAsia" w:hAnsiTheme="majorEastAsia" w:eastAsiaTheme="majorEastAsia" w:cstheme="majorEastAsia"/>
          <w:b/>
          <w:bCs/>
          <w:color w:val="auto"/>
          <w:sz w:val="24"/>
          <w:szCs w:val="24"/>
          <w:highlight w:val="none"/>
        </w:rPr>
        <w:t>.2关于中小企业的说明：</w:t>
      </w:r>
    </w:p>
    <w:p w14:paraId="45CB4263">
      <w:pPr>
        <w:adjustRightInd w:val="0"/>
        <w:spacing w:line="400" w:lineRule="exact"/>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1、按财政部、工业和信息化部关于印发《政府采购促进中小企业发展管理办法》的通知（财库〔2020〕46号）、</w:t>
      </w:r>
      <w:r>
        <w:rPr>
          <w:rFonts w:hint="eastAsia" w:asciiTheme="majorEastAsia" w:hAnsiTheme="majorEastAsia" w:eastAsiaTheme="majorEastAsia" w:cstheme="majorEastAsia"/>
          <w:color w:val="auto"/>
          <w:sz w:val="24"/>
          <w:highlight w:val="none"/>
          <w:lang w:eastAsia="zh-CN"/>
        </w:rPr>
        <w:t>《财政部关于将进一步加大政府采购支持中小企业力度的通知》（财库（2022）19号）</w:t>
      </w:r>
      <w:r>
        <w:rPr>
          <w:rFonts w:hint="eastAsia" w:asciiTheme="majorEastAsia" w:hAnsiTheme="majorEastAsia" w:eastAsiaTheme="majorEastAsia" w:cstheme="majorEastAsia"/>
          <w:color w:val="auto"/>
          <w:sz w:val="24"/>
          <w:highlight w:val="none"/>
        </w:rPr>
        <w:t>之规定，中小企业的标准为：</w:t>
      </w:r>
    </w:p>
    <w:p w14:paraId="621D5155">
      <w:pPr>
        <w:pStyle w:val="17"/>
        <w:spacing w:line="41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1.1在政府采购活动中，投标人提供的货物、工程或者服务符合下列情形的，享受本办法规定的中小企业扶持政策：</w:t>
      </w:r>
    </w:p>
    <w:p w14:paraId="3D725FF9">
      <w:pPr>
        <w:pStyle w:val="17"/>
        <w:spacing w:line="41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（一）在货物采购项目中，货物由中小企业制造，即货物由中小企业生产且使用该中小企业商号或者注册商标； </w:t>
      </w:r>
    </w:p>
    <w:p w14:paraId="5D2A0B0E">
      <w:pPr>
        <w:pStyle w:val="17"/>
        <w:spacing w:line="41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（二）在工程采购项目中，工程由中小企业承建，即工程施工单位为中小企业； </w:t>
      </w:r>
    </w:p>
    <w:p w14:paraId="7DC4841C">
      <w:pPr>
        <w:pStyle w:val="17"/>
        <w:spacing w:line="41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（三）在服务采购项目中，服务由中小企业承接，即提供服务的人员为中小企业依照《中华人民共和国劳动</w:t>
      </w:r>
      <w:r>
        <w:rPr>
          <w:rFonts w:hint="eastAsia" w:asciiTheme="majorEastAsia" w:hAnsiTheme="majorEastAsia" w:eastAsiaTheme="majorEastAsia" w:cstheme="majorEastAsia"/>
          <w:color w:val="auto"/>
          <w:sz w:val="24"/>
          <w:szCs w:val="24"/>
          <w:highlight w:val="none"/>
          <w:lang w:eastAsia="zh-CN"/>
        </w:rPr>
        <w:t>法典</w:t>
      </w:r>
      <w:r>
        <w:rPr>
          <w:rFonts w:hint="eastAsia" w:asciiTheme="majorEastAsia" w:hAnsiTheme="majorEastAsia" w:eastAsiaTheme="majorEastAsia" w:cstheme="majorEastAsia"/>
          <w:color w:val="auto"/>
          <w:sz w:val="24"/>
          <w:szCs w:val="24"/>
          <w:highlight w:val="none"/>
        </w:rPr>
        <w:t xml:space="preserve">》订立劳动合同的从业人员。 </w:t>
      </w:r>
    </w:p>
    <w:p w14:paraId="2094286F">
      <w:pPr>
        <w:pStyle w:val="17"/>
        <w:spacing w:line="41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1.2在货物采购项目中，投标人提供的货物既有中小企业制造货物，也有大型企业制造货物的，不享受本办法规定的中小企业扶持政策。</w:t>
      </w:r>
    </w:p>
    <w:p w14:paraId="03632999">
      <w:pPr>
        <w:pStyle w:val="17"/>
        <w:spacing w:line="41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1.3以联合体形式参加政府采购活动，联合体各方均为中小企业的，联合体视同中小企业。其中，联合体各方均为小微企业的，联合体视同小微企业。 </w:t>
      </w:r>
    </w:p>
    <w:p w14:paraId="25555307">
      <w:pPr>
        <w:pStyle w:val="17"/>
        <w:spacing w:line="41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1.4投标人按照本办法规定提供声明函内容不实的，属于提供虚假材料谋取中标、成交，依照《中华人民共和国政府采购法》等国家有关规定追究相应责任。 </w:t>
      </w:r>
    </w:p>
    <w:p w14:paraId="64488E2F">
      <w:pPr>
        <w:pStyle w:val="17"/>
        <w:spacing w:line="41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1.5适用招标投标法的政府采购工程建设项目，投标人按照本办法规定提供声明函内容不实的，属于弄虚作假骗取中标，依照《中华人民共和国招标投标法》等国家有关规定追究相应责任。</w:t>
      </w:r>
    </w:p>
    <w:p w14:paraId="40A413D3">
      <w:pPr>
        <w:adjustRightInd w:val="0"/>
        <w:spacing w:line="400" w:lineRule="exact"/>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2、依照</w:t>
      </w:r>
      <w:r>
        <w:rPr>
          <w:rFonts w:hint="eastAsia" w:asciiTheme="majorEastAsia" w:hAnsiTheme="majorEastAsia" w:eastAsiaTheme="majorEastAsia" w:cstheme="majorEastAsia"/>
          <w:color w:val="auto"/>
          <w:sz w:val="24"/>
          <w:highlight w:val="none"/>
          <w:lang w:eastAsia="zh-CN"/>
        </w:rPr>
        <w:t>〈</w:t>
      </w:r>
      <w:r>
        <w:rPr>
          <w:rFonts w:hint="eastAsia" w:asciiTheme="majorEastAsia" w:hAnsiTheme="majorEastAsia" w:eastAsiaTheme="majorEastAsia" w:cstheme="majorEastAsia"/>
          <w:color w:val="auto"/>
          <w:sz w:val="24"/>
          <w:highlight w:val="none"/>
        </w:rPr>
        <w:t>财政部、司法部关于政府采购支持监狱企业发展有关问题的通知</w:t>
      </w:r>
      <w:r>
        <w:rPr>
          <w:rFonts w:hint="eastAsia" w:asciiTheme="majorEastAsia" w:hAnsiTheme="majorEastAsia" w:eastAsiaTheme="majorEastAsia" w:cstheme="majorEastAsia"/>
          <w:color w:val="auto"/>
          <w:sz w:val="24"/>
          <w:highlight w:val="none"/>
          <w:lang w:eastAsia="zh-CN"/>
        </w:rPr>
        <w:t>〉</w:t>
      </w:r>
      <w:r>
        <w:rPr>
          <w:rFonts w:hint="eastAsia" w:asciiTheme="majorEastAsia" w:hAnsiTheme="majorEastAsia" w:eastAsiaTheme="majorEastAsia" w:cstheme="majorEastAsia"/>
          <w:color w:val="auto"/>
          <w:sz w:val="24"/>
          <w:highlight w:val="none"/>
        </w:rPr>
        <w:t>（财库〔2014〕68号）之规定，监狱企业应当符合以下条件：</w:t>
      </w:r>
    </w:p>
    <w:p w14:paraId="6F22EA88">
      <w:pPr>
        <w:adjustRightInd w:val="0"/>
        <w:spacing w:line="400" w:lineRule="exact"/>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93F9110">
      <w:pPr>
        <w:adjustRightInd w:val="0"/>
        <w:spacing w:line="400" w:lineRule="exact"/>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2.2监狱企业参加政府采购活动时，视同小型、微型企业，应当提供由省级以上监狱管理局、戒毒管理局（含新疆生产建设兵团）出具的属于监狱企业的证明文件。</w:t>
      </w:r>
    </w:p>
    <w:p w14:paraId="2038605F">
      <w:pPr>
        <w:adjustRightInd w:val="0"/>
        <w:spacing w:line="400" w:lineRule="exact"/>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3、关于残疾人福利性单位：</w:t>
      </w:r>
    </w:p>
    <w:p w14:paraId="441F3691">
      <w:pPr>
        <w:adjustRightInd w:val="0"/>
        <w:spacing w:line="400" w:lineRule="exact"/>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3.1根据《关于促进残疾人就业政府采购政策的通知》（财库〔2017〕141号）的规定，享受政府采购支持政策的残疾人福利性单位应当同时满足以下条件：</w:t>
      </w:r>
    </w:p>
    <w:p w14:paraId="210B43DB">
      <w:pPr>
        <w:adjustRightInd w:val="0"/>
        <w:spacing w:line="400" w:lineRule="exact"/>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（一）安置的残疾人占本单位在职职工人数的比例不低于25%（含25%），并且安置的残疾人人数不少于10人（含10人）；</w:t>
      </w:r>
    </w:p>
    <w:p w14:paraId="14252D20">
      <w:pPr>
        <w:adjustRightInd w:val="0"/>
        <w:spacing w:line="400" w:lineRule="exact"/>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（二）依法与安置的每位残疾人签订了一年以上（含一年）的劳动合同或服务协议；</w:t>
      </w:r>
    </w:p>
    <w:p w14:paraId="1E5F4994">
      <w:pPr>
        <w:adjustRightInd w:val="0"/>
        <w:spacing w:line="400" w:lineRule="exact"/>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（三）为安置的每位残疾人按月足额缴纳了基本养老保险、基本医疗保险、失业保险、工伤保险和生育保险等社会保险费；</w:t>
      </w:r>
    </w:p>
    <w:p w14:paraId="2D906EC0">
      <w:pPr>
        <w:adjustRightInd w:val="0"/>
        <w:spacing w:line="400" w:lineRule="exact"/>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（四）通过银行等金融机构向安置的每位残疾人，按月支付了不低于单位所在区县适用的经省级人民政府批准的月最低工资标准的工资；</w:t>
      </w:r>
    </w:p>
    <w:p w14:paraId="2C36B70A">
      <w:pPr>
        <w:adjustRightInd w:val="0"/>
        <w:spacing w:line="400" w:lineRule="exact"/>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（五）提供本单位制造的货物、承担的工程或者服务（以下简称产品），或者提供其他残疾人福利性单位制造的货物（不包括使用非残疾人福利性单位注册商标的货物）。</w:t>
      </w:r>
    </w:p>
    <w:p w14:paraId="0E9EF4BD">
      <w:pPr>
        <w:pStyle w:val="17"/>
        <w:spacing w:line="40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D810FB3">
      <w:pPr>
        <w:rPr>
          <w:rFonts w:hint="eastAsia" w:asciiTheme="majorEastAsia" w:hAnsiTheme="majorEastAsia" w:eastAsiaTheme="majorEastAsia" w:cstheme="majorEastAsia"/>
          <w:b/>
          <w:bCs/>
          <w:color w:val="auto"/>
          <w:sz w:val="24"/>
          <w:highlight w:val="none"/>
        </w:rPr>
      </w:pPr>
    </w:p>
    <w:p w14:paraId="03A1FF81">
      <w:pPr>
        <w:pStyle w:val="17"/>
        <w:ind w:firstLine="482" w:firstLineChars="200"/>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val="en-US" w:eastAsia="zh-CN"/>
        </w:rPr>
        <w:t>27</w:t>
      </w:r>
      <w:r>
        <w:rPr>
          <w:rFonts w:hint="eastAsia" w:asciiTheme="majorEastAsia" w:hAnsiTheme="majorEastAsia" w:eastAsiaTheme="majorEastAsia" w:cstheme="majorEastAsia"/>
          <w:b/>
          <w:bCs/>
          <w:color w:val="auto"/>
          <w:sz w:val="24"/>
          <w:szCs w:val="24"/>
          <w:highlight w:val="none"/>
        </w:rPr>
        <w:t>.3小型</w:t>
      </w:r>
      <w:r>
        <w:rPr>
          <w:rFonts w:hint="eastAsia" w:asciiTheme="majorEastAsia" w:hAnsiTheme="majorEastAsia" w:eastAsiaTheme="majorEastAsia" w:cstheme="majorEastAsia"/>
          <w:b/>
          <w:bCs/>
          <w:color w:val="auto"/>
          <w:sz w:val="24"/>
          <w:szCs w:val="24"/>
          <w:highlight w:val="none"/>
          <w:lang w:eastAsia="zh-CN"/>
        </w:rPr>
        <w:t>、小</w:t>
      </w:r>
      <w:r>
        <w:rPr>
          <w:rFonts w:hint="eastAsia" w:asciiTheme="majorEastAsia" w:hAnsiTheme="majorEastAsia" w:eastAsiaTheme="majorEastAsia" w:cstheme="majorEastAsia"/>
          <w:b/>
          <w:bCs/>
          <w:color w:val="auto"/>
          <w:sz w:val="24"/>
          <w:szCs w:val="24"/>
          <w:highlight w:val="none"/>
        </w:rPr>
        <w:t>微企业提供证明材料：</w:t>
      </w:r>
    </w:p>
    <w:p w14:paraId="6CBA3EBA">
      <w:pPr>
        <w:pStyle w:val="17"/>
        <w:ind w:firstLine="482" w:firstLineChars="200"/>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如为小型、微型企业投标人，须提供以下附件证明，归集</w:t>
      </w:r>
      <w:r>
        <w:rPr>
          <w:rFonts w:hint="eastAsia" w:asciiTheme="majorEastAsia" w:hAnsiTheme="majorEastAsia" w:eastAsiaTheme="majorEastAsia" w:cstheme="majorEastAsia"/>
          <w:b/>
          <w:bCs/>
          <w:color w:val="auto"/>
          <w:sz w:val="24"/>
          <w:szCs w:val="24"/>
          <w:highlight w:val="none"/>
          <w:lang w:eastAsia="zh-CN"/>
        </w:rPr>
        <w:t>于</w:t>
      </w:r>
      <w:r>
        <w:rPr>
          <w:rFonts w:hint="eastAsia" w:asciiTheme="majorEastAsia" w:hAnsiTheme="majorEastAsia" w:eastAsiaTheme="majorEastAsia" w:cstheme="majorEastAsia"/>
          <w:b/>
          <w:bCs/>
          <w:color w:val="auto"/>
          <w:sz w:val="24"/>
          <w:szCs w:val="24"/>
          <w:highlight w:val="none"/>
        </w:rPr>
        <w:t>投标文件中，否则评分时不予价格扣除： ①如投标人为小型、微型企业，须提供《中小企业声明函</w:t>
      </w:r>
      <w:r>
        <w:rPr>
          <w:rFonts w:hint="eastAsia" w:asciiTheme="majorEastAsia" w:hAnsiTheme="majorEastAsia" w:eastAsiaTheme="majorEastAsia" w:cstheme="majorEastAsia"/>
          <w:b/>
          <w:bCs/>
          <w:color w:val="auto"/>
          <w:sz w:val="24"/>
          <w:szCs w:val="24"/>
          <w:highlight w:val="none"/>
          <w:lang w:eastAsia="zh-CN"/>
        </w:rPr>
        <w:t>》《</w:t>
      </w:r>
      <w:r>
        <w:rPr>
          <w:rFonts w:hint="eastAsia" w:asciiTheme="majorEastAsia" w:hAnsiTheme="majorEastAsia" w:eastAsiaTheme="majorEastAsia" w:cstheme="majorEastAsia"/>
          <w:b/>
          <w:bCs/>
          <w:color w:val="auto"/>
          <w:sz w:val="24"/>
          <w:szCs w:val="24"/>
          <w:highlight w:val="none"/>
        </w:rPr>
        <w:t>从业人员声明函》。 ②如投标人为监狱企业，须提供省级以上监狱管理局 、戒毒管理局（含新疆生产建设兵团）出具的属于监狱企业的证明文件扫描件。③如投标人为残疾人福利性单位，须提供《残疾人福利性单位声明函》。投标人对提供的证明材料的真实性负责。如有虚假，将依法承担相应责任。</w:t>
      </w:r>
    </w:p>
    <w:p w14:paraId="429B9056">
      <w:pPr>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br w:type="page"/>
      </w:r>
    </w:p>
    <w:p w14:paraId="232671E8">
      <w:pPr>
        <w:jc w:val="center"/>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中小企业声明函（货物）</w:t>
      </w:r>
    </w:p>
    <w:p w14:paraId="68246471">
      <w:pPr>
        <w:pStyle w:val="17"/>
        <w:spacing w:line="32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本公司郑重声明，根据《政府采购促进中小企业发展管理办法》（财库﹝2020﹞46 号）的规定，本公司参加</w:t>
      </w:r>
      <w:r>
        <w:rPr>
          <w:rFonts w:hint="eastAsia" w:asciiTheme="majorEastAsia" w:hAnsiTheme="majorEastAsia" w:eastAsiaTheme="majorEastAsia" w:cstheme="majorEastAsia"/>
          <w:color w:val="auto"/>
          <w:sz w:val="24"/>
          <w:szCs w:val="24"/>
          <w:highlight w:val="none"/>
          <w:u w:val="single"/>
        </w:rPr>
        <w:t>（单位名称）</w:t>
      </w:r>
      <w:r>
        <w:rPr>
          <w:rFonts w:hint="eastAsia" w:asciiTheme="majorEastAsia" w:hAnsiTheme="majorEastAsia" w:eastAsiaTheme="majorEastAsia" w:cstheme="majorEastAsia"/>
          <w:color w:val="auto"/>
          <w:sz w:val="24"/>
          <w:szCs w:val="24"/>
          <w:highlight w:val="none"/>
        </w:rPr>
        <w:t>的</w:t>
      </w:r>
      <w:r>
        <w:rPr>
          <w:rFonts w:hint="eastAsia" w:asciiTheme="majorEastAsia" w:hAnsiTheme="majorEastAsia" w:eastAsiaTheme="majorEastAsia" w:cstheme="majorEastAsia"/>
          <w:color w:val="auto"/>
          <w:sz w:val="24"/>
          <w:szCs w:val="24"/>
          <w:highlight w:val="none"/>
          <w:u w:val="single"/>
        </w:rPr>
        <w:t>（项目名称）</w:t>
      </w:r>
      <w:r>
        <w:rPr>
          <w:rFonts w:hint="eastAsia" w:asciiTheme="majorEastAsia" w:hAnsiTheme="majorEastAsia" w:eastAsiaTheme="majorEastAsia" w:cstheme="majorEastAsia"/>
          <w:color w:val="auto"/>
          <w:sz w:val="24"/>
          <w:szCs w:val="24"/>
          <w:highlight w:val="none"/>
        </w:rPr>
        <w:t>采购活动，提供的货物全部由符合政策要求的中小企业制造。相关企业 （含联合体中的中小企业、签订分包意向协议的中小企业） 的具体情况如下：</w:t>
      </w:r>
    </w:p>
    <w:p w14:paraId="29EBBB66">
      <w:pPr>
        <w:pStyle w:val="17"/>
        <w:spacing w:line="32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r>
        <w:rPr>
          <w:rFonts w:hint="eastAsia" w:asciiTheme="majorEastAsia" w:hAnsiTheme="majorEastAsia" w:eastAsiaTheme="majorEastAsia" w:cstheme="majorEastAsia"/>
          <w:color w:val="auto"/>
          <w:sz w:val="24"/>
          <w:szCs w:val="24"/>
          <w:highlight w:val="none"/>
          <w:u w:val="single"/>
        </w:rPr>
        <w:t xml:space="preserve">（标的名称） </w:t>
      </w:r>
      <w:r>
        <w:rPr>
          <w:rFonts w:hint="eastAsia" w:asciiTheme="majorEastAsia" w:hAnsiTheme="majorEastAsia" w:eastAsiaTheme="majorEastAsia" w:cstheme="majorEastAsia"/>
          <w:color w:val="auto"/>
          <w:sz w:val="24"/>
          <w:szCs w:val="24"/>
          <w:highlight w:val="none"/>
        </w:rPr>
        <w:t>，属于</w:t>
      </w:r>
      <w:r>
        <w:rPr>
          <w:rFonts w:hint="eastAsia" w:asciiTheme="majorEastAsia" w:hAnsiTheme="majorEastAsia" w:eastAsiaTheme="majorEastAsia" w:cstheme="majorEastAsia"/>
          <w:color w:val="auto"/>
          <w:sz w:val="24"/>
          <w:szCs w:val="24"/>
          <w:highlight w:val="none"/>
          <w:u w:val="single"/>
        </w:rPr>
        <w:t>（采购文件中明确的所属行业）行业</w:t>
      </w:r>
      <w:r>
        <w:rPr>
          <w:rFonts w:hint="eastAsia" w:asciiTheme="majorEastAsia" w:hAnsiTheme="majorEastAsia" w:eastAsiaTheme="majorEastAsia" w:cstheme="majorEastAsia"/>
          <w:color w:val="auto"/>
          <w:sz w:val="24"/>
          <w:szCs w:val="24"/>
          <w:highlight w:val="none"/>
        </w:rPr>
        <w:t>；制造商为（企业名称），从业人员</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人，营业收入为</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万元，资产总额为</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万元，属于</w:t>
      </w:r>
      <w:r>
        <w:rPr>
          <w:rFonts w:hint="eastAsia" w:asciiTheme="majorEastAsia" w:hAnsiTheme="majorEastAsia" w:eastAsiaTheme="majorEastAsia" w:cstheme="majorEastAsia"/>
          <w:color w:val="auto"/>
          <w:sz w:val="24"/>
          <w:szCs w:val="24"/>
          <w:highlight w:val="none"/>
          <w:u w:val="single"/>
        </w:rPr>
        <w:t>（中型企业、小 型企业、微型企业）</w:t>
      </w:r>
      <w:r>
        <w:rPr>
          <w:rFonts w:hint="eastAsia" w:asciiTheme="majorEastAsia" w:hAnsiTheme="majorEastAsia" w:eastAsiaTheme="majorEastAsia" w:cstheme="majorEastAsia"/>
          <w:color w:val="auto"/>
          <w:sz w:val="24"/>
          <w:szCs w:val="24"/>
          <w:highlight w:val="none"/>
        </w:rPr>
        <w:t xml:space="preserve">； </w:t>
      </w:r>
    </w:p>
    <w:p w14:paraId="0C864F54">
      <w:pPr>
        <w:pStyle w:val="17"/>
        <w:spacing w:line="32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w:t>
      </w:r>
      <w:r>
        <w:rPr>
          <w:rFonts w:hint="eastAsia" w:asciiTheme="majorEastAsia" w:hAnsiTheme="majorEastAsia" w:eastAsiaTheme="majorEastAsia" w:cstheme="majorEastAsia"/>
          <w:color w:val="auto"/>
          <w:sz w:val="24"/>
          <w:szCs w:val="24"/>
          <w:highlight w:val="none"/>
          <w:u w:val="single"/>
        </w:rPr>
        <w:t>（标的名称）</w:t>
      </w:r>
      <w:r>
        <w:rPr>
          <w:rFonts w:hint="eastAsia" w:asciiTheme="majorEastAsia" w:hAnsiTheme="majorEastAsia" w:eastAsiaTheme="majorEastAsia" w:cstheme="majorEastAsia"/>
          <w:color w:val="auto"/>
          <w:sz w:val="24"/>
          <w:szCs w:val="24"/>
          <w:highlight w:val="none"/>
        </w:rPr>
        <w:t xml:space="preserve"> ，属于</w:t>
      </w:r>
      <w:r>
        <w:rPr>
          <w:rFonts w:hint="eastAsia" w:asciiTheme="majorEastAsia" w:hAnsiTheme="majorEastAsia" w:eastAsiaTheme="majorEastAsia" w:cstheme="majorEastAsia"/>
          <w:color w:val="auto"/>
          <w:sz w:val="24"/>
          <w:szCs w:val="24"/>
          <w:highlight w:val="none"/>
          <w:u w:val="single"/>
        </w:rPr>
        <w:t>（采购文件中明确的所属行业）行业</w:t>
      </w:r>
      <w:r>
        <w:rPr>
          <w:rFonts w:hint="eastAsia" w:asciiTheme="majorEastAsia" w:hAnsiTheme="majorEastAsia" w:eastAsiaTheme="majorEastAsia" w:cstheme="majorEastAsia"/>
          <w:color w:val="auto"/>
          <w:sz w:val="24"/>
          <w:szCs w:val="24"/>
          <w:highlight w:val="none"/>
        </w:rPr>
        <w:t>；制造商为（企业名称），从业人员</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人，营业收入为</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万元，资产总额为</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万元，属于</w:t>
      </w:r>
      <w:r>
        <w:rPr>
          <w:rFonts w:hint="eastAsia" w:asciiTheme="majorEastAsia" w:hAnsiTheme="majorEastAsia" w:eastAsiaTheme="majorEastAsia" w:cstheme="majorEastAsia"/>
          <w:color w:val="auto"/>
          <w:sz w:val="24"/>
          <w:szCs w:val="24"/>
          <w:highlight w:val="none"/>
          <w:u w:val="single"/>
        </w:rPr>
        <w:t>（中型企业、小型 企业、微型企业）</w:t>
      </w:r>
      <w:r>
        <w:rPr>
          <w:rFonts w:hint="eastAsia" w:asciiTheme="majorEastAsia" w:hAnsiTheme="majorEastAsia" w:eastAsiaTheme="majorEastAsia" w:cstheme="majorEastAsia"/>
          <w:color w:val="auto"/>
          <w:sz w:val="24"/>
          <w:szCs w:val="24"/>
          <w:highlight w:val="none"/>
        </w:rPr>
        <w:t>；</w:t>
      </w:r>
    </w:p>
    <w:p w14:paraId="17C59677">
      <w:pPr>
        <w:pStyle w:val="17"/>
        <w:spacing w:line="32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p>
    <w:p w14:paraId="273B8258">
      <w:pPr>
        <w:pStyle w:val="17"/>
        <w:spacing w:line="32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以上企业，不属于大企业的分支机构，不存在控股股东 为大企业的情形，也不存在与大企业的负责人为同一人的情形。本企业对上述声明内容的真实性负责。如有虚假，将依法承担相应责任。 </w:t>
      </w:r>
    </w:p>
    <w:p w14:paraId="284050AD">
      <w:pPr>
        <w:pStyle w:val="17"/>
        <w:spacing w:line="320" w:lineRule="exact"/>
        <w:ind w:firstLine="482" w:firstLineChars="200"/>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*从业人员、营业收入、资产总额填报上一年度数据，无上一年度数据的新成立企业可不填报。</w:t>
      </w:r>
    </w:p>
    <w:p w14:paraId="5D3B1431">
      <w:pPr>
        <w:pStyle w:val="17"/>
        <w:ind w:firstLine="480" w:firstLineChars="200"/>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企业名称（盖章）：</w:t>
      </w:r>
    </w:p>
    <w:p w14:paraId="68276939">
      <w:pPr>
        <w:pStyle w:val="17"/>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日 期：</w:t>
      </w:r>
    </w:p>
    <w:p w14:paraId="378A07AF">
      <w:pPr>
        <w:pStyle w:val="17"/>
        <w:spacing w:line="360" w:lineRule="exact"/>
        <w:rPr>
          <w:rFonts w:hint="eastAsia" w:asciiTheme="majorEastAsia" w:hAnsiTheme="majorEastAsia" w:eastAsiaTheme="majorEastAsia" w:cstheme="majorEastAsia"/>
          <w:color w:val="auto"/>
          <w:szCs w:val="21"/>
          <w:highlight w:val="none"/>
        </w:rPr>
      </w:pPr>
    </w:p>
    <w:p w14:paraId="1BF55721">
      <w:pPr>
        <w:jc w:val="center"/>
        <w:rPr>
          <w:rFonts w:hint="eastAsia" w:asciiTheme="majorEastAsia" w:hAnsiTheme="majorEastAsia" w:eastAsiaTheme="majorEastAsia" w:cstheme="majorEastAsia"/>
          <w:b/>
          <w:bCs/>
          <w:color w:val="auto"/>
          <w:sz w:val="28"/>
          <w:szCs w:val="28"/>
          <w:highlight w:val="none"/>
        </w:rPr>
      </w:pPr>
    </w:p>
    <w:p w14:paraId="2D7E66E6">
      <w:pPr>
        <w:jc w:val="center"/>
        <w:rPr>
          <w:rFonts w:hint="eastAsia" w:asciiTheme="majorEastAsia" w:hAnsiTheme="majorEastAsia" w:eastAsiaTheme="majorEastAsia" w:cstheme="majorEastAsia"/>
          <w:b/>
          <w:bCs/>
          <w:color w:val="auto"/>
          <w:sz w:val="28"/>
          <w:szCs w:val="28"/>
          <w:highlight w:val="none"/>
        </w:rPr>
      </w:pPr>
    </w:p>
    <w:p w14:paraId="06837333">
      <w:pPr>
        <w:jc w:val="center"/>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残疾人福利性单位声明函</w:t>
      </w:r>
    </w:p>
    <w:p w14:paraId="115FE69C">
      <w:pPr>
        <w:pStyle w:val="17"/>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CA8711B">
      <w:pPr>
        <w:pStyle w:val="17"/>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本单位对上述声明的真实性负责。如有虚假，将依法承担相应责任。</w:t>
      </w:r>
    </w:p>
    <w:p w14:paraId="6203A6B9">
      <w:pPr>
        <w:pStyle w:val="17"/>
        <w:jc w:val="righ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企业名称（盖章）</w:t>
      </w:r>
    </w:p>
    <w:p w14:paraId="55B128E5">
      <w:pPr>
        <w:pStyle w:val="17"/>
        <w:spacing w:line="410" w:lineRule="exact"/>
        <w:ind w:firstLine="8400" w:firstLineChars="3500"/>
        <w:rPr>
          <w:rFonts w:hint="eastAsia" w:asciiTheme="majorEastAsia" w:hAnsiTheme="majorEastAsia" w:eastAsiaTheme="majorEastAsia" w:cstheme="majorEastAsia"/>
          <w:color w:val="auto"/>
          <w:szCs w:val="21"/>
          <w:highlight w:val="none"/>
        </w:rPr>
        <w:sectPr>
          <w:footerReference r:id="rId8" w:type="first"/>
          <w:footerReference r:id="rId7" w:type="default"/>
          <w:pgSz w:w="11906" w:h="16838"/>
          <w:pgMar w:top="1440" w:right="1083" w:bottom="1440" w:left="1083" w:header="1077" w:footer="1020" w:gutter="0"/>
          <w:pgNumType w:fmt="decimal" w:start="1"/>
          <w:cols w:space="720" w:num="1"/>
          <w:titlePg/>
          <w:docGrid w:type="lines" w:linePitch="331" w:charSpace="0"/>
        </w:sectPr>
      </w:pPr>
      <w:r>
        <w:rPr>
          <w:rFonts w:hint="eastAsia" w:asciiTheme="majorEastAsia" w:hAnsiTheme="majorEastAsia" w:eastAsiaTheme="majorEastAsia" w:cstheme="majorEastAsia"/>
          <w:color w:val="auto"/>
          <w:sz w:val="24"/>
          <w:szCs w:val="24"/>
          <w:highlight w:val="none"/>
        </w:rPr>
        <w:t>年  月  日</w:t>
      </w:r>
    </w:p>
    <w:bookmarkEnd w:id="7"/>
    <w:bookmarkEnd w:id="8"/>
    <w:bookmarkEnd w:id="9"/>
    <w:bookmarkEnd w:id="40"/>
    <w:p w14:paraId="0203908E">
      <w:pPr>
        <w:pStyle w:val="17"/>
        <w:numPr>
          <w:ilvl w:val="0"/>
          <w:numId w:val="0"/>
        </w:numPr>
        <w:spacing w:line="360" w:lineRule="auto"/>
        <w:jc w:val="center"/>
        <w:outlineLvl w:val="9"/>
        <w:rPr>
          <w:rFonts w:hint="eastAsia" w:asciiTheme="majorEastAsia" w:hAnsiTheme="majorEastAsia" w:eastAsiaTheme="majorEastAsia" w:cstheme="majorEastAsia"/>
          <w:b/>
          <w:bCs w:val="0"/>
          <w:color w:val="auto"/>
          <w:kern w:val="0"/>
          <w:sz w:val="24"/>
          <w:szCs w:val="24"/>
          <w:highlight w:val="none"/>
          <w:lang w:val="en-US" w:eastAsia="zh-CN" w:bidi="ar-SA"/>
        </w:rPr>
      </w:pPr>
      <w:bookmarkStart w:id="203" w:name="_Toc213141090"/>
      <w:bookmarkStart w:id="204" w:name="_Toc2838"/>
      <w:bookmarkStart w:id="205" w:name="_Toc15060"/>
      <w:r>
        <w:rPr>
          <w:rFonts w:hint="eastAsia" w:asciiTheme="majorEastAsia" w:hAnsiTheme="majorEastAsia" w:eastAsiaTheme="majorEastAsia" w:cstheme="majorEastAsia"/>
          <w:b/>
          <w:bCs w:val="0"/>
          <w:color w:val="auto"/>
          <w:kern w:val="0"/>
          <w:sz w:val="24"/>
          <w:szCs w:val="24"/>
          <w:highlight w:val="none"/>
          <w:lang w:val="en-US" w:eastAsia="zh-CN" w:bidi="ar-SA"/>
        </w:rPr>
        <w:t>28.对本国产品的支持政策（如有时提供）</w:t>
      </w:r>
    </w:p>
    <w:p w14:paraId="1499A456">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Theme="majorEastAsia" w:hAnsiTheme="majorEastAsia" w:eastAsiaTheme="majorEastAsia" w:cstheme="majorEastAsia"/>
          <w:b w:val="0"/>
          <w:bCs/>
          <w:color w:val="auto"/>
          <w:kern w:val="0"/>
          <w:sz w:val="24"/>
          <w:szCs w:val="24"/>
          <w:highlight w:val="none"/>
          <w:lang w:val="en-US" w:eastAsia="zh-CN" w:bidi="ar-SA"/>
        </w:rPr>
      </w:pPr>
      <w:r>
        <w:rPr>
          <w:rFonts w:hint="eastAsia" w:asciiTheme="majorEastAsia" w:hAnsiTheme="majorEastAsia" w:eastAsiaTheme="majorEastAsia" w:cstheme="majorEastAsia"/>
          <w:b w:val="0"/>
          <w:bCs/>
          <w:color w:val="auto"/>
          <w:kern w:val="0"/>
          <w:sz w:val="24"/>
          <w:szCs w:val="24"/>
          <w:highlight w:val="none"/>
          <w:lang w:val="en-US" w:eastAsia="zh-CN" w:bidi="ar-SA"/>
        </w:rPr>
        <w:t>政府采购活动中既有本国产品又有非本国产品参与竞争的，依法对本国产品给予价格评审优惠，对本国产品的报价给予20%的价格扣除，用扣除后的价格参与评审。</w:t>
      </w:r>
    </w:p>
    <w:p w14:paraId="7F534C04">
      <w:pPr>
        <w:pStyle w:val="17"/>
        <w:spacing w:line="360" w:lineRule="auto"/>
        <w:jc w:val="left"/>
        <w:outlineLvl w:val="9"/>
        <w:rPr>
          <w:rFonts w:hint="eastAsia" w:asciiTheme="majorEastAsia" w:hAnsiTheme="majorEastAsia" w:eastAsiaTheme="majorEastAsia" w:cstheme="majorEastAsia"/>
          <w:b w:val="0"/>
          <w:bCs/>
          <w:color w:val="auto"/>
          <w:kern w:val="0"/>
          <w:sz w:val="24"/>
          <w:szCs w:val="24"/>
          <w:highlight w:val="none"/>
          <w:lang w:val="en-US" w:eastAsia="zh-CN" w:bidi="ar-SA"/>
        </w:rPr>
        <w:sectPr>
          <w:headerReference r:id="rId9" w:type="default"/>
          <w:footerReference r:id="rId10" w:type="default"/>
          <w:pgSz w:w="11906" w:h="16838"/>
          <w:pgMar w:top="1440" w:right="1083" w:bottom="1440" w:left="1083" w:header="1020" w:footer="1077" w:gutter="0"/>
          <w:pgNumType w:fmt="decimal"/>
          <w:cols w:space="720" w:num="1"/>
          <w:docGrid w:type="linesAndChars" w:linePitch="331" w:charSpace="0"/>
        </w:sectPr>
      </w:pPr>
      <w:r>
        <w:rPr>
          <w:rFonts w:hint="eastAsia" w:asciiTheme="majorEastAsia" w:hAnsiTheme="majorEastAsia" w:eastAsiaTheme="majorEastAsia" w:cstheme="majorEastAsia"/>
          <w:b w:val="0"/>
          <w:bCs/>
          <w:color w:val="auto"/>
          <w:kern w:val="0"/>
          <w:sz w:val="24"/>
          <w:szCs w:val="24"/>
          <w:highlight w:val="none"/>
          <w:lang w:val="en-US" w:eastAsia="zh-CN" w:bidi="ar-S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D3B478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0"/>
        <w:textAlignment w:val="baseline"/>
        <w:rPr>
          <w:rFonts w:hint="eastAsia" w:ascii="宋体" w:hAnsi="宋体" w:eastAsia="宋体" w:cs="宋体"/>
          <w:i w:val="0"/>
          <w:iCs w:val="0"/>
          <w:caps w:val="0"/>
          <w:color w:val="000000"/>
          <w:spacing w:val="0"/>
          <w:sz w:val="24"/>
          <w:szCs w:val="24"/>
        </w:rPr>
      </w:pPr>
      <w:r>
        <w:rPr>
          <w:rStyle w:val="33"/>
          <w:rFonts w:hint="eastAsia" w:ascii="宋体" w:hAnsi="宋体" w:eastAsia="宋体" w:cs="宋体"/>
          <w:i w:val="0"/>
          <w:iCs w:val="0"/>
          <w:caps w:val="0"/>
          <w:color w:val="000000"/>
          <w:spacing w:val="0"/>
          <w:sz w:val="24"/>
          <w:szCs w:val="24"/>
          <w:shd w:val="clear" w:fill="FFFFFF"/>
          <w:vertAlign w:val="baseline"/>
        </w:rPr>
        <w:t>附件1</w:t>
      </w:r>
    </w:p>
    <w:p w14:paraId="1924969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0"/>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 </w:t>
      </w:r>
    </w:p>
    <w:p w14:paraId="01CE3E0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0"/>
        <w:jc w:val="center"/>
        <w:textAlignment w:val="baseline"/>
        <w:rPr>
          <w:rFonts w:hint="eastAsia" w:ascii="宋体" w:hAnsi="宋体" w:eastAsia="宋体" w:cs="宋体"/>
          <w:i w:val="0"/>
          <w:iCs w:val="0"/>
          <w:caps w:val="0"/>
          <w:color w:val="000000"/>
          <w:spacing w:val="0"/>
          <w:sz w:val="24"/>
          <w:szCs w:val="24"/>
        </w:rPr>
      </w:pPr>
      <w:r>
        <w:rPr>
          <w:rStyle w:val="33"/>
          <w:rFonts w:hint="eastAsia" w:ascii="宋体" w:hAnsi="宋体" w:eastAsia="宋体" w:cs="宋体"/>
          <w:i w:val="0"/>
          <w:iCs w:val="0"/>
          <w:caps w:val="0"/>
          <w:color w:val="000000"/>
          <w:spacing w:val="0"/>
          <w:sz w:val="28"/>
          <w:szCs w:val="28"/>
          <w:shd w:val="clear" w:fill="FFFFFF"/>
          <w:vertAlign w:val="baseline"/>
        </w:rPr>
        <w:t>中国境内生产的组件成本核算基本规则</w:t>
      </w:r>
    </w:p>
    <w:p w14:paraId="468FE9E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0"/>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 </w:t>
      </w:r>
    </w:p>
    <w:p w14:paraId="5E69A98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20"/>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0C34C69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20"/>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一、产品的一级组件是指直接组成产品的组件。产品的二级组件是指直接组成产品一级组件的组件。一级组件不可分解的，视同二级组件。</w:t>
      </w:r>
    </w:p>
    <w:p w14:paraId="3A9CBE9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20"/>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二、二级组件在中国境内生产的，其全部成本计入中国境内生产的组件成本；二级组件不在中国境内生产的，其成本不计入中国境内生产的组件成本。</w:t>
      </w:r>
    </w:p>
    <w:p w14:paraId="5426DCC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20"/>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三、产品总成本和组件成本以相关会计核算数据、采购合同、进货记录等为基础进行计算。</w:t>
      </w:r>
    </w:p>
    <w:p w14:paraId="345F01E3">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20"/>
        <w:textAlignment w:val="baseline"/>
        <w:rPr>
          <w:rFonts w:hint="eastAsia" w:ascii="仿宋" w:hAnsi="仿宋" w:eastAsia="仿宋" w:cs="仿宋"/>
          <w:i w:val="0"/>
          <w:iCs w:val="0"/>
          <w:caps w:val="0"/>
          <w:color w:val="000000"/>
          <w:spacing w:val="0"/>
          <w:sz w:val="28"/>
          <w:szCs w:val="28"/>
        </w:rPr>
      </w:pPr>
      <w:r>
        <w:rPr>
          <w:rFonts w:hint="eastAsia" w:ascii="宋体" w:hAnsi="宋体" w:eastAsia="宋体" w:cs="宋体"/>
          <w:i w:val="0"/>
          <w:iCs w:val="0"/>
          <w:caps w:val="0"/>
          <w:color w:val="000000"/>
          <w:spacing w:val="0"/>
          <w:sz w:val="24"/>
          <w:szCs w:val="24"/>
          <w:shd w:val="clear" w:fill="FFFFFF"/>
          <w:vertAlign w:val="baseline"/>
        </w:rPr>
        <w:t>四、需要对成本核算规则予以进一步明确的其他有关事项，由财政部会同有关部门另行规定。</w:t>
      </w:r>
    </w:p>
    <w:p w14:paraId="477B7F5F">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rPr>
      </w:pPr>
      <w:r>
        <w:rPr>
          <w:rFonts w:hint="eastAsia" w:ascii="仿宋" w:hAnsi="仿宋" w:eastAsia="仿宋" w:cs="仿宋"/>
          <w:i w:val="0"/>
          <w:iCs w:val="0"/>
          <w:caps w:val="0"/>
          <w:color w:val="000000"/>
          <w:spacing w:val="0"/>
          <w:sz w:val="28"/>
          <w:szCs w:val="28"/>
          <w:shd w:val="clear" w:fill="FFFFFF"/>
          <w:vertAlign w:val="baseline"/>
        </w:rPr>
        <w:t> </w:t>
      </w:r>
    </w:p>
    <w:p w14:paraId="0905CFFA">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rPr>
      </w:pPr>
      <w:r>
        <w:rPr>
          <w:rFonts w:hint="eastAsia" w:ascii="仿宋" w:hAnsi="仿宋" w:eastAsia="仿宋" w:cs="仿宋"/>
          <w:i w:val="0"/>
          <w:iCs w:val="0"/>
          <w:caps w:val="0"/>
          <w:color w:val="000000"/>
          <w:spacing w:val="0"/>
          <w:sz w:val="28"/>
          <w:szCs w:val="28"/>
          <w:shd w:val="clear" w:fill="FFFFFF"/>
          <w:vertAlign w:val="baseline"/>
        </w:rPr>
        <w:t> </w:t>
      </w:r>
    </w:p>
    <w:p w14:paraId="55DF2839">
      <w:pPr>
        <w:rPr>
          <w:rStyle w:val="33"/>
          <w:rFonts w:hint="eastAsia" w:ascii="仿宋" w:hAnsi="仿宋" w:eastAsia="仿宋" w:cs="仿宋"/>
          <w:i w:val="0"/>
          <w:iCs w:val="0"/>
          <w:caps w:val="0"/>
          <w:color w:val="000000"/>
          <w:spacing w:val="0"/>
          <w:sz w:val="28"/>
          <w:szCs w:val="28"/>
          <w:shd w:val="clear" w:fill="FFFFFF"/>
          <w:vertAlign w:val="baseline"/>
        </w:rPr>
      </w:pPr>
      <w:r>
        <w:rPr>
          <w:rStyle w:val="33"/>
          <w:rFonts w:hint="eastAsia" w:ascii="仿宋" w:hAnsi="仿宋" w:eastAsia="仿宋" w:cs="仿宋"/>
          <w:i w:val="0"/>
          <w:iCs w:val="0"/>
          <w:caps w:val="0"/>
          <w:color w:val="000000"/>
          <w:spacing w:val="0"/>
          <w:sz w:val="28"/>
          <w:szCs w:val="28"/>
          <w:shd w:val="clear" w:fill="FFFFFF"/>
          <w:vertAlign w:val="baseline"/>
        </w:rPr>
        <w:br w:type="page"/>
      </w:r>
    </w:p>
    <w:p w14:paraId="255B4DE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0"/>
        <w:textAlignment w:val="baseline"/>
        <w:rPr>
          <w:rFonts w:hint="eastAsia" w:ascii="宋体" w:hAnsi="宋体" w:eastAsia="宋体" w:cs="宋体"/>
          <w:i w:val="0"/>
          <w:iCs w:val="0"/>
          <w:caps w:val="0"/>
          <w:color w:val="000000"/>
          <w:spacing w:val="0"/>
          <w:sz w:val="24"/>
          <w:szCs w:val="24"/>
        </w:rPr>
      </w:pPr>
      <w:r>
        <w:rPr>
          <w:rStyle w:val="33"/>
          <w:rFonts w:hint="eastAsia" w:ascii="宋体" w:hAnsi="宋体" w:eastAsia="宋体" w:cs="宋体"/>
          <w:i w:val="0"/>
          <w:iCs w:val="0"/>
          <w:caps w:val="0"/>
          <w:color w:val="000000"/>
          <w:spacing w:val="0"/>
          <w:sz w:val="24"/>
          <w:szCs w:val="24"/>
          <w:shd w:val="clear" w:fill="FFFFFF"/>
          <w:vertAlign w:val="baseline"/>
        </w:rPr>
        <w:t>附件2</w:t>
      </w:r>
    </w:p>
    <w:p w14:paraId="1ABC563B">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0"/>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 </w:t>
      </w:r>
    </w:p>
    <w:p w14:paraId="0BEE2AB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0"/>
        <w:jc w:val="center"/>
        <w:textAlignment w:val="baseline"/>
        <w:rPr>
          <w:rFonts w:hint="eastAsia" w:ascii="宋体" w:hAnsi="宋体" w:eastAsia="宋体" w:cs="宋体"/>
          <w:i w:val="0"/>
          <w:iCs w:val="0"/>
          <w:caps w:val="0"/>
          <w:color w:val="000000"/>
          <w:spacing w:val="0"/>
          <w:sz w:val="24"/>
          <w:szCs w:val="24"/>
        </w:rPr>
      </w:pPr>
      <w:r>
        <w:rPr>
          <w:rStyle w:val="33"/>
          <w:rFonts w:hint="eastAsia" w:ascii="宋体" w:hAnsi="宋体" w:eastAsia="宋体" w:cs="宋体"/>
          <w:i w:val="0"/>
          <w:iCs w:val="0"/>
          <w:caps w:val="0"/>
          <w:color w:val="000000"/>
          <w:spacing w:val="0"/>
          <w:sz w:val="28"/>
          <w:szCs w:val="28"/>
          <w:shd w:val="clear" w:fill="FFFFFF"/>
          <w:vertAlign w:val="baseline"/>
        </w:rPr>
        <w:t>关于符合本国产品标准的声明函</w:t>
      </w:r>
    </w:p>
    <w:p w14:paraId="347E595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20"/>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 </w:t>
      </w:r>
    </w:p>
    <w:p w14:paraId="26F0D1A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20"/>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57E4920B">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20"/>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1.</w:t>
      </w:r>
      <w:r>
        <w:rPr>
          <w:rStyle w:val="36"/>
          <w:rFonts w:hint="eastAsia" w:ascii="宋体" w:hAnsi="宋体" w:eastAsia="宋体" w:cs="宋体"/>
          <w:i w:val="0"/>
          <w:iCs w:val="0"/>
          <w:caps w:val="0"/>
          <w:color w:val="000000"/>
          <w:spacing w:val="0"/>
          <w:sz w:val="24"/>
          <w:szCs w:val="24"/>
          <w:u w:val="single"/>
          <w:shd w:val="clear" w:fill="FFFFFF"/>
          <w:vertAlign w:val="baseline"/>
        </w:rPr>
        <w:t>（产品名称1）</w:t>
      </w:r>
      <w:r>
        <w:rPr>
          <w:rStyle w:val="36"/>
          <w:rFonts w:hint="eastAsia" w:ascii="宋体" w:hAnsi="宋体" w:eastAsia="宋体" w:cs="宋体"/>
          <w:i w:val="0"/>
          <w:iCs w:val="0"/>
          <w:caps w:val="0"/>
          <w:color w:val="000000"/>
          <w:spacing w:val="0"/>
          <w:sz w:val="24"/>
          <w:szCs w:val="24"/>
          <w:shd w:val="clear" w:fill="FFFFFF"/>
          <w:vertAlign w:val="baseline"/>
        </w:rPr>
        <w:t>1</w:t>
      </w:r>
      <w:r>
        <w:rPr>
          <w:rFonts w:hint="eastAsia" w:ascii="宋体" w:hAnsi="宋体" w:eastAsia="宋体" w:cs="宋体"/>
          <w:i w:val="0"/>
          <w:iCs w:val="0"/>
          <w:caps w:val="0"/>
          <w:color w:val="000000"/>
          <w:spacing w:val="0"/>
          <w:sz w:val="24"/>
          <w:szCs w:val="24"/>
          <w:shd w:val="clear" w:fill="FFFFFF"/>
          <w:vertAlign w:val="baseline"/>
        </w:rPr>
        <w:t>，生产厂为</w:t>
      </w:r>
      <w:r>
        <w:rPr>
          <w:rStyle w:val="36"/>
          <w:rFonts w:hint="eastAsia" w:ascii="宋体" w:hAnsi="宋体" w:eastAsia="宋体" w:cs="宋体"/>
          <w:i w:val="0"/>
          <w:iCs w:val="0"/>
          <w:caps w:val="0"/>
          <w:color w:val="000000"/>
          <w:spacing w:val="0"/>
          <w:sz w:val="24"/>
          <w:szCs w:val="24"/>
          <w:u w:val="single"/>
          <w:shd w:val="clear" w:fill="FFFFFF"/>
          <w:vertAlign w:val="baseline"/>
        </w:rPr>
        <w:t>（厂名）</w:t>
      </w:r>
      <w:r>
        <w:rPr>
          <w:rStyle w:val="36"/>
          <w:rFonts w:hint="eastAsia" w:ascii="宋体" w:hAnsi="宋体" w:eastAsia="宋体" w:cs="宋体"/>
          <w:i w:val="0"/>
          <w:iCs w:val="0"/>
          <w:caps w:val="0"/>
          <w:color w:val="000000"/>
          <w:spacing w:val="0"/>
          <w:sz w:val="24"/>
          <w:szCs w:val="24"/>
          <w:shd w:val="clear" w:fill="FFFFFF"/>
          <w:vertAlign w:val="baseline"/>
        </w:rPr>
        <w:t>2</w:t>
      </w:r>
      <w:r>
        <w:rPr>
          <w:rFonts w:hint="eastAsia" w:ascii="宋体" w:hAnsi="宋体" w:eastAsia="宋体" w:cs="宋体"/>
          <w:i w:val="0"/>
          <w:iCs w:val="0"/>
          <w:caps w:val="0"/>
          <w:color w:val="000000"/>
          <w:spacing w:val="0"/>
          <w:sz w:val="24"/>
          <w:szCs w:val="24"/>
          <w:shd w:val="clear" w:fill="FFFFFF"/>
          <w:vertAlign w:val="baseline"/>
        </w:rPr>
        <w:t>，厂址为</w:t>
      </w:r>
      <w:r>
        <w:rPr>
          <w:rStyle w:val="36"/>
          <w:rFonts w:hint="eastAsia" w:ascii="宋体" w:hAnsi="宋体" w:eastAsia="宋体" w:cs="宋体"/>
          <w:i w:val="0"/>
          <w:iCs w:val="0"/>
          <w:caps w:val="0"/>
          <w:color w:val="000000"/>
          <w:spacing w:val="0"/>
          <w:sz w:val="24"/>
          <w:szCs w:val="24"/>
          <w:u w:val="single"/>
          <w:shd w:val="clear" w:fill="FFFFFF"/>
          <w:vertAlign w:val="baseline"/>
        </w:rPr>
        <w:t>（生产厂址）</w:t>
      </w:r>
      <w:r>
        <w:rPr>
          <w:rFonts w:hint="eastAsia" w:ascii="宋体" w:hAnsi="宋体" w:eastAsia="宋体" w:cs="宋体"/>
          <w:i w:val="0"/>
          <w:iCs w:val="0"/>
          <w:caps w:val="0"/>
          <w:color w:val="000000"/>
          <w:spacing w:val="0"/>
          <w:sz w:val="24"/>
          <w:szCs w:val="24"/>
          <w:shd w:val="clear" w:fill="FFFFFF"/>
          <w:vertAlign w:val="baseline"/>
        </w:rPr>
        <w:t>。</w:t>
      </w:r>
      <w:r>
        <w:rPr>
          <w:rStyle w:val="36"/>
          <w:rFonts w:hint="eastAsia" w:ascii="宋体" w:hAnsi="宋体" w:eastAsia="宋体" w:cs="宋体"/>
          <w:i w:val="0"/>
          <w:iCs w:val="0"/>
          <w:caps w:val="0"/>
          <w:color w:val="000000"/>
          <w:spacing w:val="0"/>
          <w:sz w:val="24"/>
          <w:szCs w:val="24"/>
          <w:u w:val="single"/>
          <w:shd w:val="clear" w:fill="FFFFFF"/>
          <w:vertAlign w:val="baseline"/>
        </w:rPr>
        <w:t>（产品名称1）</w:t>
      </w:r>
      <w:r>
        <w:rPr>
          <w:rFonts w:hint="eastAsia" w:ascii="宋体" w:hAnsi="宋体" w:eastAsia="宋体" w:cs="宋体"/>
          <w:i w:val="0"/>
          <w:iCs w:val="0"/>
          <w:caps w:val="0"/>
          <w:color w:val="000000"/>
          <w:spacing w:val="0"/>
          <w:sz w:val="24"/>
          <w:szCs w:val="24"/>
          <w:shd w:val="clear" w:fill="FFFFFF"/>
          <w:vertAlign w:val="baseline"/>
        </w:rPr>
        <w:t>的中国境内生产的组件成本占比≥</w:t>
      </w:r>
      <w:r>
        <w:rPr>
          <w:rStyle w:val="36"/>
          <w:rFonts w:hint="eastAsia" w:ascii="宋体" w:hAnsi="宋体" w:eastAsia="宋体" w:cs="宋体"/>
          <w:i w:val="0"/>
          <w:iCs w:val="0"/>
          <w:caps w:val="0"/>
          <w:color w:val="000000"/>
          <w:spacing w:val="0"/>
          <w:sz w:val="24"/>
          <w:szCs w:val="24"/>
          <w:u w:val="single"/>
          <w:shd w:val="clear" w:fill="FFFFFF"/>
          <w:vertAlign w:val="baseline"/>
        </w:rPr>
        <w:t>（规定比例）</w:t>
      </w:r>
      <w:r>
        <w:rPr>
          <w:rStyle w:val="36"/>
          <w:rFonts w:hint="eastAsia" w:ascii="宋体" w:hAnsi="宋体" w:eastAsia="宋体" w:cs="宋体"/>
          <w:i w:val="0"/>
          <w:iCs w:val="0"/>
          <w:caps w:val="0"/>
          <w:color w:val="000000"/>
          <w:spacing w:val="0"/>
          <w:sz w:val="24"/>
          <w:szCs w:val="24"/>
          <w:shd w:val="clear" w:fill="FFFFFF"/>
          <w:vertAlign w:val="baseline"/>
        </w:rPr>
        <w:t>3</w:t>
      </w:r>
      <w:r>
        <w:rPr>
          <w:rFonts w:hint="eastAsia" w:ascii="宋体" w:hAnsi="宋体" w:eastAsia="宋体" w:cs="宋体"/>
          <w:i w:val="0"/>
          <w:iCs w:val="0"/>
          <w:caps w:val="0"/>
          <w:color w:val="000000"/>
          <w:spacing w:val="0"/>
          <w:sz w:val="24"/>
          <w:szCs w:val="24"/>
          <w:shd w:val="clear" w:fill="FFFFFF"/>
          <w:vertAlign w:val="baseline"/>
        </w:rPr>
        <w:t>。</w:t>
      </w:r>
      <w:r>
        <w:rPr>
          <w:rStyle w:val="36"/>
          <w:rFonts w:hint="eastAsia" w:ascii="宋体" w:hAnsi="宋体" w:eastAsia="宋体" w:cs="宋体"/>
          <w:i w:val="0"/>
          <w:iCs w:val="0"/>
          <w:caps w:val="0"/>
          <w:color w:val="000000"/>
          <w:spacing w:val="0"/>
          <w:sz w:val="24"/>
          <w:szCs w:val="24"/>
          <w:u w:val="single"/>
          <w:shd w:val="clear" w:fill="FFFFFF"/>
          <w:vertAlign w:val="baseline"/>
        </w:rPr>
        <w:t>（产品名称1）</w:t>
      </w:r>
      <w:r>
        <w:rPr>
          <w:rFonts w:hint="eastAsia" w:ascii="宋体" w:hAnsi="宋体" w:eastAsia="宋体" w:cs="宋体"/>
          <w:i w:val="0"/>
          <w:iCs w:val="0"/>
          <w:caps w:val="0"/>
          <w:color w:val="000000"/>
          <w:spacing w:val="0"/>
          <w:sz w:val="24"/>
          <w:szCs w:val="24"/>
          <w:shd w:val="clear" w:fill="FFFFFF"/>
          <w:vertAlign w:val="baseline"/>
        </w:rPr>
        <w:t>的</w:t>
      </w:r>
      <w:r>
        <w:rPr>
          <w:rStyle w:val="36"/>
          <w:rFonts w:hint="eastAsia" w:ascii="宋体" w:hAnsi="宋体" w:eastAsia="宋体" w:cs="宋体"/>
          <w:i w:val="0"/>
          <w:iCs w:val="0"/>
          <w:caps w:val="0"/>
          <w:color w:val="000000"/>
          <w:spacing w:val="0"/>
          <w:sz w:val="24"/>
          <w:szCs w:val="24"/>
          <w:u w:val="single"/>
          <w:shd w:val="clear" w:fill="FFFFFF"/>
          <w:vertAlign w:val="baseline"/>
        </w:rPr>
        <w:t>（关键组件）</w:t>
      </w:r>
      <w:r>
        <w:rPr>
          <w:rStyle w:val="36"/>
          <w:rFonts w:hint="eastAsia" w:ascii="宋体" w:hAnsi="宋体" w:eastAsia="宋体" w:cs="宋体"/>
          <w:i w:val="0"/>
          <w:iCs w:val="0"/>
          <w:caps w:val="0"/>
          <w:color w:val="000000"/>
          <w:spacing w:val="0"/>
          <w:sz w:val="24"/>
          <w:szCs w:val="24"/>
          <w:shd w:val="clear" w:fill="FFFFFF"/>
          <w:vertAlign w:val="baseline"/>
        </w:rPr>
        <w:t>4</w:t>
      </w:r>
      <w:r>
        <w:rPr>
          <w:rFonts w:hint="eastAsia" w:ascii="宋体" w:hAnsi="宋体" w:eastAsia="宋体" w:cs="宋体"/>
          <w:i w:val="0"/>
          <w:iCs w:val="0"/>
          <w:caps w:val="0"/>
          <w:color w:val="000000"/>
          <w:spacing w:val="0"/>
          <w:sz w:val="24"/>
          <w:szCs w:val="24"/>
          <w:shd w:val="clear" w:fill="FFFFFF"/>
          <w:vertAlign w:val="baseline"/>
        </w:rPr>
        <w:t>在中国境内生产。</w:t>
      </w:r>
      <w:r>
        <w:rPr>
          <w:rStyle w:val="36"/>
          <w:rFonts w:hint="eastAsia" w:ascii="宋体" w:hAnsi="宋体" w:eastAsia="宋体" w:cs="宋体"/>
          <w:i w:val="0"/>
          <w:iCs w:val="0"/>
          <w:caps w:val="0"/>
          <w:color w:val="000000"/>
          <w:spacing w:val="0"/>
          <w:sz w:val="24"/>
          <w:szCs w:val="24"/>
          <w:u w:val="single"/>
          <w:shd w:val="clear" w:fill="FFFFFF"/>
          <w:vertAlign w:val="baseline"/>
        </w:rPr>
        <w:t>（产品名称1）</w:t>
      </w:r>
      <w:r>
        <w:rPr>
          <w:rFonts w:hint="eastAsia" w:ascii="宋体" w:hAnsi="宋体" w:eastAsia="宋体" w:cs="宋体"/>
          <w:i w:val="0"/>
          <w:iCs w:val="0"/>
          <w:caps w:val="0"/>
          <w:color w:val="000000"/>
          <w:spacing w:val="0"/>
          <w:sz w:val="24"/>
          <w:szCs w:val="24"/>
          <w:shd w:val="clear" w:fill="FFFFFF"/>
          <w:vertAlign w:val="baseline"/>
        </w:rPr>
        <w:t>的</w:t>
      </w:r>
      <w:r>
        <w:rPr>
          <w:rStyle w:val="36"/>
          <w:rFonts w:hint="eastAsia" w:ascii="宋体" w:hAnsi="宋体" w:eastAsia="宋体" w:cs="宋体"/>
          <w:i w:val="0"/>
          <w:iCs w:val="0"/>
          <w:caps w:val="0"/>
          <w:color w:val="000000"/>
          <w:spacing w:val="0"/>
          <w:sz w:val="24"/>
          <w:szCs w:val="24"/>
          <w:u w:val="single"/>
          <w:shd w:val="clear" w:fill="FFFFFF"/>
          <w:vertAlign w:val="baseline"/>
        </w:rPr>
        <w:t>（关键工序）</w:t>
      </w:r>
      <w:r>
        <w:rPr>
          <w:rStyle w:val="36"/>
          <w:rFonts w:hint="eastAsia" w:ascii="宋体" w:hAnsi="宋体" w:eastAsia="宋体" w:cs="宋体"/>
          <w:i w:val="0"/>
          <w:iCs w:val="0"/>
          <w:caps w:val="0"/>
          <w:color w:val="000000"/>
          <w:spacing w:val="0"/>
          <w:sz w:val="24"/>
          <w:szCs w:val="24"/>
          <w:shd w:val="clear" w:fill="FFFFFF"/>
          <w:vertAlign w:val="baseline"/>
        </w:rPr>
        <w:t>5</w:t>
      </w:r>
      <w:r>
        <w:rPr>
          <w:rFonts w:hint="eastAsia" w:ascii="宋体" w:hAnsi="宋体" w:eastAsia="宋体" w:cs="宋体"/>
          <w:i w:val="0"/>
          <w:iCs w:val="0"/>
          <w:caps w:val="0"/>
          <w:color w:val="000000"/>
          <w:spacing w:val="0"/>
          <w:sz w:val="24"/>
          <w:szCs w:val="24"/>
          <w:shd w:val="clear" w:fill="FFFFFF"/>
          <w:vertAlign w:val="baseline"/>
        </w:rPr>
        <w:t>在中国境内完成。</w:t>
      </w:r>
    </w:p>
    <w:p w14:paraId="58466E3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20"/>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2.</w:t>
      </w:r>
      <w:r>
        <w:rPr>
          <w:rStyle w:val="36"/>
          <w:rFonts w:hint="eastAsia" w:ascii="宋体" w:hAnsi="宋体" w:eastAsia="宋体" w:cs="宋体"/>
          <w:i w:val="0"/>
          <w:iCs w:val="0"/>
          <w:caps w:val="0"/>
          <w:color w:val="000000"/>
          <w:spacing w:val="0"/>
          <w:sz w:val="24"/>
          <w:szCs w:val="24"/>
          <w:u w:val="single"/>
          <w:shd w:val="clear" w:fill="FFFFFF"/>
          <w:vertAlign w:val="baseline"/>
        </w:rPr>
        <w:t>（产品名称2）</w:t>
      </w:r>
      <w:r>
        <w:rPr>
          <w:rFonts w:hint="eastAsia" w:ascii="宋体" w:hAnsi="宋体" w:eastAsia="宋体" w:cs="宋体"/>
          <w:i w:val="0"/>
          <w:iCs w:val="0"/>
          <w:caps w:val="0"/>
          <w:color w:val="000000"/>
          <w:spacing w:val="0"/>
          <w:sz w:val="24"/>
          <w:szCs w:val="24"/>
          <w:shd w:val="clear" w:fill="FFFFFF"/>
          <w:vertAlign w:val="baseline"/>
        </w:rPr>
        <w:t>，生产厂为</w:t>
      </w:r>
      <w:r>
        <w:rPr>
          <w:rStyle w:val="36"/>
          <w:rFonts w:hint="eastAsia" w:ascii="宋体" w:hAnsi="宋体" w:eastAsia="宋体" w:cs="宋体"/>
          <w:i w:val="0"/>
          <w:iCs w:val="0"/>
          <w:caps w:val="0"/>
          <w:color w:val="000000"/>
          <w:spacing w:val="0"/>
          <w:sz w:val="24"/>
          <w:szCs w:val="24"/>
          <w:u w:val="single"/>
          <w:shd w:val="clear" w:fill="FFFFFF"/>
          <w:vertAlign w:val="baseline"/>
        </w:rPr>
        <w:t>（厂名）</w:t>
      </w:r>
      <w:r>
        <w:rPr>
          <w:rFonts w:hint="eastAsia" w:ascii="宋体" w:hAnsi="宋体" w:eastAsia="宋体" w:cs="宋体"/>
          <w:i w:val="0"/>
          <w:iCs w:val="0"/>
          <w:caps w:val="0"/>
          <w:color w:val="000000"/>
          <w:spacing w:val="0"/>
          <w:sz w:val="24"/>
          <w:szCs w:val="24"/>
          <w:shd w:val="clear" w:fill="FFFFFF"/>
          <w:vertAlign w:val="baseline"/>
        </w:rPr>
        <w:t>，厂址为</w:t>
      </w:r>
      <w:r>
        <w:rPr>
          <w:rStyle w:val="36"/>
          <w:rFonts w:hint="eastAsia" w:ascii="宋体" w:hAnsi="宋体" w:eastAsia="宋体" w:cs="宋体"/>
          <w:i w:val="0"/>
          <w:iCs w:val="0"/>
          <w:caps w:val="0"/>
          <w:color w:val="000000"/>
          <w:spacing w:val="0"/>
          <w:sz w:val="24"/>
          <w:szCs w:val="24"/>
          <w:u w:val="single"/>
          <w:shd w:val="clear" w:fill="FFFFFF"/>
          <w:vertAlign w:val="baseline"/>
        </w:rPr>
        <w:t>（生产厂址）</w:t>
      </w:r>
      <w:r>
        <w:rPr>
          <w:rFonts w:hint="eastAsia" w:ascii="宋体" w:hAnsi="宋体" w:eastAsia="宋体" w:cs="宋体"/>
          <w:i w:val="0"/>
          <w:iCs w:val="0"/>
          <w:caps w:val="0"/>
          <w:color w:val="000000"/>
          <w:spacing w:val="0"/>
          <w:sz w:val="24"/>
          <w:szCs w:val="24"/>
          <w:shd w:val="clear" w:fill="FFFFFF"/>
          <w:vertAlign w:val="baseline"/>
        </w:rPr>
        <w:t>。</w:t>
      </w:r>
      <w:r>
        <w:rPr>
          <w:rStyle w:val="36"/>
          <w:rFonts w:hint="eastAsia" w:ascii="宋体" w:hAnsi="宋体" w:eastAsia="宋体" w:cs="宋体"/>
          <w:i w:val="0"/>
          <w:iCs w:val="0"/>
          <w:caps w:val="0"/>
          <w:color w:val="000000"/>
          <w:spacing w:val="0"/>
          <w:sz w:val="24"/>
          <w:szCs w:val="24"/>
          <w:u w:val="single"/>
          <w:shd w:val="clear" w:fill="FFFFFF"/>
          <w:vertAlign w:val="baseline"/>
        </w:rPr>
        <w:t>（产品名称2）</w:t>
      </w:r>
      <w:r>
        <w:rPr>
          <w:rFonts w:hint="eastAsia" w:ascii="宋体" w:hAnsi="宋体" w:eastAsia="宋体" w:cs="宋体"/>
          <w:i w:val="0"/>
          <w:iCs w:val="0"/>
          <w:caps w:val="0"/>
          <w:color w:val="000000"/>
          <w:spacing w:val="0"/>
          <w:sz w:val="24"/>
          <w:szCs w:val="24"/>
          <w:shd w:val="clear" w:fill="FFFFFF"/>
          <w:vertAlign w:val="baseline"/>
        </w:rPr>
        <w:t>的中国境内生产的组件成本占比≥</w:t>
      </w:r>
      <w:r>
        <w:rPr>
          <w:rStyle w:val="36"/>
          <w:rFonts w:hint="eastAsia" w:ascii="宋体" w:hAnsi="宋体" w:eastAsia="宋体" w:cs="宋体"/>
          <w:i w:val="0"/>
          <w:iCs w:val="0"/>
          <w:caps w:val="0"/>
          <w:color w:val="000000"/>
          <w:spacing w:val="0"/>
          <w:sz w:val="24"/>
          <w:szCs w:val="24"/>
          <w:shd w:val="clear" w:fill="FFFFFF"/>
          <w:vertAlign w:val="baseline"/>
        </w:rPr>
        <w:t>（规定比例）</w:t>
      </w:r>
      <w:r>
        <w:rPr>
          <w:rFonts w:hint="eastAsia" w:ascii="宋体" w:hAnsi="宋体" w:eastAsia="宋体" w:cs="宋体"/>
          <w:i w:val="0"/>
          <w:iCs w:val="0"/>
          <w:caps w:val="0"/>
          <w:color w:val="000000"/>
          <w:spacing w:val="0"/>
          <w:sz w:val="24"/>
          <w:szCs w:val="24"/>
          <w:shd w:val="clear" w:fill="FFFFFF"/>
          <w:vertAlign w:val="baseline"/>
        </w:rPr>
        <w:t>。</w:t>
      </w:r>
      <w:r>
        <w:rPr>
          <w:rStyle w:val="36"/>
          <w:rFonts w:hint="eastAsia" w:ascii="宋体" w:hAnsi="宋体" w:eastAsia="宋体" w:cs="宋体"/>
          <w:i w:val="0"/>
          <w:iCs w:val="0"/>
          <w:caps w:val="0"/>
          <w:color w:val="000000"/>
          <w:spacing w:val="0"/>
          <w:sz w:val="24"/>
          <w:szCs w:val="24"/>
          <w:shd w:val="clear" w:fill="FFFFFF"/>
          <w:vertAlign w:val="baseline"/>
        </w:rPr>
        <w:t>（产品名称2）</w:t>
      </w:r>
      <w:r>
        <w:rPr>
          <w:rFonts w:hint="eastAsia" w:ascii="宋体" w:hAnsi="宋体" w:eastAsia="宋体" w:cs="宋体"/>
          <w:i w:val="0"/>
          <w:iCs w:val="0"/>
          <w:caps w:val="0"/>
          <w:color w:val="000000"/>
          <w:spacing w:val="0"/>
          <w:sz w:val="24"/>
          <w:szCs w:val="24"/>
          <w:shd w:val="clear" w:fill="FFFFFF"/>
          <w:vertAlign w:val="baseline"/>
        </w:rPr>
        <w:t>的</w:t>
      </w:r>
      <w:r>
        <w:rPr>
          <w:rStyle w:val="36"/>
          <w:rFonts w:hint="eastAsia" w:ascii="宋体" w:hAnsi="宋体" w:eastAsia="宋体" w:cs="宋体"/>
          <w:i w:val="0"/>
          <w:iCs w:val="0"/>
          <w:caps w:val="0"/>
          <w:color w:val="000000"/>
          <w:spacing w:val="0"/>
          <w:sz w:val="24"/>
          <w:szCs w:val="24"/>
          <w:shd w:val="clear" w:fill="FFFFFF"/>
          <w:vertAlign w:val="baseline"/>
        </w:rPr>
        <w:t>（关键组件）</w:t>
      </w:r>
      <w:r>
        <w:rPr>
          <w:rFonts w:hint="eastAsia" w:ascii="宋体" w:hAnsi="宋体" w:eastAsia="宋体" w:cs="宋体"/>
          <w:i w:val="0"/>
          <w:iCs w:val="0"/>
          <w:caps w:val="0"/>
          <w:color w:val="000000"/>
          <w:spacing w:val="0"/>
          <w:sz w:val="24"/>
          <w:szCs w:val="24"/>
          <w:shd w:val="clear" w:fill="FFFFFF"/>
          <w:vertAlign w:val="baseline"/>
        </w:rPr>
        <w:t>在中国境内生产。</w:t>
      </w:r>
      <w:r>
        <w:rPr>
          <w:rStyle w:val="36"/>
          <w:rFonts w:hint="eastAsia" w:ascii="宋体" w:hAnsi="宋体" w:eastAsia="宋体" w:cs="宋体"/>
          <w:i w:val="0"/>
          <w:iCs w:val="0"/>
          <w:caps w:val="0"/>
          <w:color w:val="000000"/>
          <w:spacing w:val="0"/>
          <w:sz w:val="24"/>
          <w:szCs w:val="24"/>
          <w:u w:val="single"/>
          <w:shd w:val="clear" w:fill="FFFFFF"/>
          <w:vertAlign w:val="baseline"/>
        </w:rPr>
        <w:t>（产品名称2）</w:t>
      </w:r>
      <w:r>
        <w:rPr>
          <w:rFonts w:hint="eastAsia" w:ascii="宋体" w:hAnsi="宋体" w:eastAsia="宋体" w:cs="宋体"/>
          <w:i w:val="0"/>
          <w:iCs w:val="0"/>
          <w:caps w:val="0"/>
          <w:color w:val="000000"/>
          <w:spacing w:val="0"/>
          <w:sz w:val="24"/>
          <w:szCs w:val="24"/>
          <w:shd w:val="clear" w:fill="FFFFFF"/>
          <w:vertAlign w:val="baseline"/>
        </w:rPr>
        <w:t>的</w:t>
      </w:r>
      <w:r>
        <w:rPr>
          <w:rStyle w:val="36"/>
          <w:rFonts w:hint="eastAsia" w:ascii="宋体" w:hAnsi="宋体" w:eastAsia="宋体" w:cs="宋体"/>
          <w:i w:val="0"/>
          <w:iCs w:val="0"/>
          <w:caps w:val="0"/>
          <w:color w:val="000000"/>
          <w:spacing w:val="0"/>
          <w:sz w:val="24"/>
          <w:szCs w:val="24"/>
          <w:u w:val="single"/>
          <w:shd w:val="clear" w:fill="FFFFFF"/>
          <w:vertAlign w:val="baseline"/>
        </w:rPr>
        <w:t>（关键工序）</w:t>
      </w:r>
      <w:r>
        <w:rPr>
          <w:rFonts w:hint="eastAsia" w:ascii="宋体" w:hAnsi="宋体" w:eastAsia="宋体" w:cs="宋体"/>
          <w:i w:val="0"/>
          <w:iCs w:val="0"/>
          <w:caps w:val="0"/>
          <w:color w:val="000000"/>
          <w:spacing w:val="0"/>
          <w:sz w:val="24"/>
          <w:szCs w:val="24"/>
          <w:shd w:val="clear" w:fill="FFFFFF"/>
          <w:vertAlign w:val="baseline"/>
        </w:rPr>
        <w:t>在中国境内完成。</w:t>
      </w:r>
    </w:p>
    <w:p w14:paraId="74DF5BF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20"/>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w:t>
      </w:r>
    </w:p>
    <w:p w14:paraId="61D7CC6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20"/>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本公司（单位）对上述声明内容的真实性负责。如有虚假，愿承担相应法律责任。</w:t>
      </w:r>
    </w:p>
    <w:p w14:paraId="12339CCB">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0"/>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 </w:t>
      </w:r>
    </w:p>
    <w:p w14:paraId="0A7E867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0"/>
        <w:jc w:val="right"/>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公司（单位）名称（盖章）：　        </w:t>
      </w:r>
    </w:p>
    <w:p w14:paraId="1F28519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0"/>
        <w:jc w:val="right"/>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日期：　     年　  月　  日         </w:t>
      </w:r>
    </w:p>
    <w:p w14:paraId="2C0B08BA">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0"/>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__________________</w:t>
      </w:r>
    </w:p>
    <w:p w14:paraId="52C550BA">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20"/>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1.产品如有型号，请在“产品名称”栏一并填写。</w:t>
      </w:r>
    </w:p>
    <w:p w14:paraId="41F529F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20"/>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2.生产厂名与厂址应与生产厂营业执照载明的相关信息保持一致。</w:t>
      </w:r>
    </w:p>
    <w:p w14:paraId="11B40733">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20"/>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3.该产品的中国境内生产的组件成本占比相关要求实施前，“规定比例”栏可不填，下同。</w:t>
      </w:r>
    </w:p>
    <w:p w14:paraId="29E80E9A">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20"/>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4.该产品的关键组件要求实施前，“关键组件”栏可不填，下同。</w:t>
      </w:r>
    </w:p>
    <w:p w14:paraId="326519B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20"/>
        <w:textAlignment w:val="baseline"/>
        <w:rPr>
          <w:rFonts w:hint="eastAsia" w:ascii="仿宋" w:hAnsi="仿宋" w:eastAsia="仿宋" w:cs="仿宋"/>
          <w:i w:val="0"/>
          <w:iCs w:val="0"/>
          <w:caps w:val="0"/>
          <w:color w:val="000000"/>
          <w:spacing w:val="0"/>
          <w:sz w:val="21"/>
          <w:szCs w:val="21"/>
        </w:rPr>
      </w:pPr>
      <w:r>
        <w:rPr>
          <w:rFonts w:hint="eastAsia" w:ascii="宋体" w:hAnsi="宋体" w:eastAsia="宋体" w:cs="宋体"/>
          <w:i w:val="0"/>
          <w:iCs w:val="0"/>
          <w:caps w:val="0"/>
          <w:color w:val="000000"/>
          <w:spacing w:val="0"/>
          <w:sz w:val="24"/>
          <w:szCs w:val="24"/>
          <w:shd w:val="clear" w:fill="FFFFFF"/>
          <w:vertAlign w:val="baseline"/>
        </w:rPr>
        <w:t>5.该产品的关键工序要求实施前，“关键工序”栏可不填，下同。</w:t>
      </w:r>
    </w:p>
    <w:p w14:paraId="15227DE1">
      <w:pPr>
        <w:pStyle w:val="17"/>
        <w:spacing w:line="360" w:lineRule="auto"/>
        <w:jc w:val="center"/>
        <w:outlineLvl w:val="0"/>
        <w:rPr>
          <w:rFonts w:hint="eastAsia" w:asciiTheme="majorEastAsia" w:hAnsiTheme="majorEastAsia" w:eastAsiaTheme="majorEastAsia" w:cstheme="majorEastAsia"/>
          <w:b/>
          <w:color w:val="auto"/>
          <w:sz w:val="36"/>
          <w:highlight w:val="none"/>
        </w:rPr>
        <w:sectPr>
          <w:pgSz w:w="11906" w:h="16838"/>
          <w:pgMar w:top="1440" w:right="1083" w:bottom="1440" w:left="1083" w:header="1020" w:footer="1077" w:gutter="0"/>
          <w:pgNumType w:fmt="decimal"/>
          <w:cols w:space="720" w:num="1"/>
          <w:docGrid w:type="linesAndChars" w:linePitch="331" w:charSpace="0"/>
        </w:sectPr>
      </w:pPr>
    </w:p>
    <w:p w14:paraId="2E5D65C7">
      <w:pPr>
        <w:pStyle w:val="17"/>
        <w:spacing w:line="360" w:lineRule="auto"/>
        <w:jc w:val="center"/>
        <w:outlineLvl w:val="0"/>
        <w:rPr>
          <w:rFonts w:hint="eastAsia" w:asciiTheme="majorEastAsia" w:hAnsiTheme="majorEastAsia" w:eastAsiaTheme="majorEastAsia" w:cstheme="majorEastAsia"/>
          <w:b/>
          <w:color w:val="auto"/>
          <w:sz w:val="36"/>
          <w:highlight w:val="none"/>
        </w:rPr>
      </w:pPr>
      <w:r>
        <w:rPr>
          <w:rFonts w:hint="eastAsia" w:asciiTheme="majorEastAsia" w:hAnsiTheme="majorEastAsia" w:eastAsiaTheme="majorEastAsia" w:cstheme="majorEastAsia"/>
          <w:b/>
          <w:color w:val="auto"/>
          <w:sz w:val="36"/>
          <w:highlight w:val="none"/>
        </w:rPr>
        <w:t>第三章 合同书样式及主要条款</w:t>
      </w:r>
      <w:bookmarkEnd w:id="203"/>
      <w:bookmarkEnd w:id="204"/>
      <w:bookmarkEnd w:id="205"/>
    </w:p>
    <w:tbl>
      <w:tblPr>
        <w:tblStyle w:val="30"/>
        <w:tblW w:w="101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1626"/>
        <w:gridCol w:w="7611"/>
      </w:tblGrid>
      <w:tr w14:paraId="0C812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61" w:type="dxa"/>
            <w:noWrap w:val="0"/>
            <w:vAlign w:val="center"/>
          </w:tcPr>
          <w:p w14:paraId="6120509B">
            <w:pPr>
              <w:jc w:val="center"/>
              <w:rPr>
                <w:rFonts w:ascii="宋体" w:hAnsi="宋体"/>
                <w:color w:val="000000"/>
                <w:sz w:val="24"/>
                <w:szCs w:val="24"/>
                <w:highlight w:val="none"/>
              </w:rPr>
            </w:pPr>
            <w:r>
              <w:rPr>
                <w:rFonts w:hint="eastAsia" w:ascii="宋体" w:hAnsi="宋体"/>
                <w:color w:val="000000"/>
                <w:sz w:val="24"/>
                <w:szCs w:val="24"/>
                <w:highlight w:val="none"/>
              </w:rPr>
              <w:t>序号</w:t>
            </w:r>
          </w:p>
        </w:tc>
        <w:tc>
          <w:tcPr>
            <w:tcW w:w="1626" w:type="dxa"/>
            <w:noWrap w:val="0"/>
            <w:vAlign w:val="center"/>
          </w:tcPr>
          <w:p w14:paraId="7553A2AB">
            <w:pPr>
              <w:jc w:val="center"/>
              <w:rPr>
                <w:rFonts w:ascii="宋体" w:hAnsi="宋体"/>
                <w:color w:val="000000"/>
                <w:sz w:val="24"/>
                <w:szCs w:val="24"/>
                <w:highlight w:val="none"/>
              </w:rPr>
            </w:pPr>
            <w:r>
              <w:rPr>
                <w:rFonts w:hint="eastAsia" w:ascii="宋体" w:hAnsi="宋体"/>
                <w:color w:val="000000"/>
                <w:sz w:val="24"/>
                <w:szCs w:val="24"/>
                <w:highlight w:val="none"/>
              </w:rPr>
              <w:t>项目</w:t>
            </w:r>
          </w:p>
        </w:tc>
        <w:tc>
          <w:tcPr>
            <w:tcW w:w="7611" w:type="dxa"/>
            <w:noWrap w:val="0"/>
            <w:vAlign w:val="center"/>
          </w:tcPr>
          <w:p w14:paraId="079CBBBD">
            <w:pPr>
              <w:jc w:val="center"/>
              <w:rPr>
                <w:rFonts w:ascii="宋体" w:hAnsi="宋体"/>
                <w:color w:val="000000"/>
                <w:sz w:val="24"/>
                <w:szCs w:val="24"/>
                <w:highlight w:val="none"/>
              </w:rPr>
            </w:pPr>
            <w:r>
              <w:rPr>
                <w:rFonts w:hint="eastAsia" w:ascii="宋体" w:hAnsi="宋体"/>
                <w:color w:val="000000"/>
                <w:sz w:val="24"/>
                <w:szCs w:val="24"/>
                <w:highlight w:val="none"/>
              </w:rPr>
              <w:t>内  容</w:t>
            </w:r>
          </w:p>
        </w:tc>
      </w:tr>
      <w:tr w14:paraId="7675A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61" w:type="dxa"/>
            <w:noWrap w:val="0"/>
            <w:vAlign w:val="center"/>
          </w:tcPr>
          <w:p w14:paraId="0E490BF8">
            <w:pPr>
              <w:jc w:val="center"/>
              <w:rPr>
                <w:rFonts w:ascii="宋体" w:hAnsi="宋体"/>
                <w:color w:val="000000"/>
                <w:sz w:val="21"/>
                <w:szCs w:val="21"/>
                <w:highlight w:val="none"/>
              </w:rPr>
            </w:pPr>
            <w:r>
              <w:rPr>
                <w:rFonts w:hint="eastAsia" w:ascii="宋体" w:hAnsi="宋体"/>
                <w:color w:val="000000"/>
                <w:sz w:val="21"/>
                <w:szCs w:val="21"/>
                <w:highlight w:val="none"/>
              </w:rPr>
              <w:t>1</w:t>
            </w:r>
          </w:p>
        </w:tc>
        <w:tc>
          <w:tcPr>
            <w:tcW w:w="1626" w:type="dxa"/>
            <w:noWrap w:val="0"/>
            <w:vAlign w:val="center"/>
          </w:tcPr>
          <w:p w14:paraId="5230FA1C">
            <w:pPr>
              <w:jc w:val="center"/>
              <w:rPr>
                <w:rFonts w:ascii="宋体" w:hAnsi="宋体"/>
                <w:color w:val="000000"/>
                <w:sz w:val="21"/>
                <w:szCs w:val="21"/>
                <w:highlight w:val="none"/>
              </w:rPr>
            </w:pPr>
            <w:r>
              <w:rPr>
                <w:rFonts w:hint="eastAsia" w:ascii="宋体" w:hAnsi="宋体"/>
                <w:color w:val="000000"/>
                <w:sz w:val="21"/>
                <w:szCs w:val="21"/>
                <w:highlight w:val="none"/>
              </w:rPr>
              <w:t>交货期</w:t>
            </w:r>
          </w:p>
        </w:tc>
        <w:tc>
          <w:tcPr>
            <w:tcW w:w="7611" w:type="dxa"/>
            <w:noWrap w:val="0"/>
            <w:vAlign w:val="center"/>
          </w:tcPr>
          <w:p w14:paraId="2CC53240">
            <w:pPr>
              <w:rPr>
                <w:rFonts w:hint="default" w:ascii="宋体" w:hAnsi="宋体"/>
                <w:color w:val="000000"/>
                <w:sz w:val="21"/>
                <w:szCs w:val="21"/>
                <w:highlight w:val="none"/>
                <w:lang w:val="en-US"/>
              </w:rPr>
            </w:pPr>
            <w:r>
              <w:rPr>
                <w:rFonts w:hint="eastAsia" w:ascii="宋体" w:hAnsi="宋体" w:eastAsia="宋体" w:cs="华文细黑"/>
                <w:color w:val="000000"/>
                <w:sz w:val="21"/>
                <w:szCs w:val="21"/>
                <w:highlight w:val="none"/>
              </w:rPr>
              <w:t>合同签订后</w:t>
            </w:r>
            <w:r>
              <w:rPr>
                <w:rFonts w:hint="eastAsia" w:ascii="宋体" w:hAnsi="宋体" w:eastAsia="宋体" w:cs="华文细黑"/>
                <w:color w:val="000000"/>
                <w:sz w:val="21"/>
                <w:szCs w:val="21"/>
                <w:highlight w:val="none"/>
                <w:u w:val="single"/>
                <w:lang w:val="en-US" w:eastAsia="zh-CN"/>
              </w:rPr>
              <w:t xml:space="preserve">   </w:t>
            </w:r>
            <w:r>
              <w:rPr>
                <w:rFonts w:hint="eastAsia" w:ascii="宋体" w:hAnsi="宋体" w:eastAsia="宋体" w:cs="华文细黑"/>
                <w:color w:val="000000"/>
                <w:sz w:val="21"/>
                <w:szCs w:val="21"/>
                <w:highlight w:val="none"/>
              </w:rPr>
              <w:t>个日历天内</w:t>
            </w:r>
            <w:r>
              <w:rPr>
                <w:rFonts w:hint="eastAsia" w:ascii="宋体" w:hAnsi="宋体" w:cs="华文细黑"/>
                <w:color w:val="000000"/>
                <w:sz w:val="21"/>
                <w:szCs w:val="21"/>
                <w:highlight w:val="none"/>
                <w:lang w:val="en-US" w:eastAsia="zh-CN"/>
              </w:rPr>
              <w:t>完成交货、安装、调试及验收，满足使用条件。</w:t>
            </w:r>
          </w:p>
        </w:tc>
      </w:tr>
      <w:tr w14:paraId="3E389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61" w:type="dxa"/>
            <w:noWrap w:val="0"/>
            <w:vAlign w:val="center"/>
          </w:tcPr>
          <w:p w14:paraId="5D0E66E3">
            <w:pPr>
              <w:jc w:val="center"/>
              <w:rPr>
                <w:rFonts w:ascii="宋体" w:hAnsi="宋体"/>
                <w:color w:val="000000"/>
                <w:sz w:val="21"/>
                <w:szCs w:val="21"/>
                <w:highlight w:val="none"/>
              </w:rPr>
            </w:pPr>
            <w:r>
              <w:rPr>
                <w:rFonts w:hint="eastAsia" w:ascii="宋体" w:hAnsi="宋体"/>
                <w:color w:val="000000"/>
                <w:sz w:val="21"/>
                <w:szCs w:val="21"/>
                <w:highlight w:val="none"/>
              </w:rPr>
              <w:t>2</w:t>
            </w:r>
          </w:p>
        </w:tc>
        <w:tc>
          <w:tcPr>
            <w:tcW w:w="1626" w:type="dxa"/>
            <w:noWrap w:val="0"/>
            <w:vAlign w:val="center"/>
          </w:tcPr>
          <w:p w14:paraId="710BB0F4">
            <w:pPr>
              <w:jc w:val="center"/>
              <w:rPr>
                <w:rFonts w:ascii="宋体" w:hAnsi="宋体"/>
                <w:color w:val="000000"/>
                <w:sz w:val="21"/>
                <w:szCs w:val="21"/>
                <w:highlight w:val="none"/>
              </w:rPr>
            </w:pPr>
            <w:r>
              <w:rPr>
                <w:rFonts w:hint="eastAsia" w:ascii="宋体" w:hAnsi="宋体"/>
                <w:color w:val="000000"/>
                <w:sz w:val="21"/>
                <w:szCs w:val="21"/>
                <w:highlight w:val="none"/>
              </w:rPr>
              <w:t>交货地点</w:t>
            </w:r>
          </w:p>
        </w:tc>
        <w:tc>
          <w:tcPr>
            <w:tcW w:w="7611" w:type="dxa"/>
            <w:noWrap w:val="0"/>
            <w:vAlign w:val="center"/>
          </w:tcPr>
          <w:p w14:paraId="4DA36B82">
            <w:pPr>
              <w:rPr>
                <w:rFonts w:ascii="宋体" w:hAnsi="宋体"/>
                <w:color w:val="000000"/>
                <w:sz w:val="21"/>
                <w:szCs w:val="21"/>
                <w:highlight w:val="none"/>
              </w:rPr>
            </w:pPr>
            <w:r>
              <w:rPr>
                <w:rFonts w:hint="eastAsia" w:ascii="宋体" w:hAnsi="宋体" w:eastAsia="宋体"/>
                <w:color w:val="000000"/>
                <w:sz w:val="21"/>
                <w:szCs w:val="21"/>
                <w:highlight w:val="none"/>
                <w:lang w:eastAsia="zh-CN"/>
              </w:rPr>
              <w:t>云南省滇南中心医院（红河哈尼族彝族自治州第一人民医院）</w:t>
            </w:r>
            <w:r>
              <w:rPr>
                <w:rFonts w:hint="eastAsia" w:ascii="宋体" w:hAnsi="宋体"/>
                <w:color w:val="000000"/>
                <w:sz w:val="21"/>
                <w:szCs w:val="21"/>
                <w:highlight w:val="none"/>
              </w:rPr>
              <w:t>用户指定地点</w:t>
            </w:r>
          </w:p>
        </w:tc>
      </w:tr>
      <w:tr w14:paraId="38350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61" w:type="dxa"/>
            <w:noWrap w:val="0"/>
            <w:vAlign w:val="center"/>
          </w:tcPr>
          <w:p w14:paraId="73E69EC7">
            <w:pPr>
              <w:jc w:val="center"/>
              <w:rPr>
                <w:rFonts w:ascii="宋体" w:hAnsi="宋体"/>
                <w:color w:val="000000"/>
                <w:sz w:val="21"/>
                <w:szCs w:val="21"/>
                <w:highlight w:val="none"/>
              </w:rPr>
            </w:pPr>
            <w:r>
              <w:rPr>
                <w:rFonts w:hint="eastAsia" w:ascii="宋体" w:hAnsi="宋体"/>
                <w:color w:val="000000"/>
                <w:sz w:val="21"/>
                <w:szCs w:val="21"/>
                <w:highlight w:val="none"/>
              </w:rPr>
              <w:t>3</w:t>
            </w:r>
          </w:p>
        </w:tc>
        <w:tc>
          <w:tcPr>
            <w:tcW w:w="1626" w:type="dxa"/>
            <w:noWrap w:val="0"/>
            <w:vAlign w:val="center"/>
          </w:tcPr>
          <w:p w14:paraId="7EF51CBE">
            <w:pPr>
              <w:jc w:val="center"/>
              <w:rPr>
                <w:rFonts w:ascii="宋体" w:hAnsi="宋体"/>
                <w:color w:val="000000"/>
                <w:sz w:val="21"/>
                <w:szCs w:val="21"/>
                <w:highlight w:val="none"/>
              </w:rPr>
            </w:pPr>
            <w:r>
              <w:rPr>
                <w:rFonts w:hint="eastAsia" w:ascii="宋体" w:hAnsi="宋体"/>
                <w:color w:val="000000"/>
                <w:sz w:val="21"/>
                <w:szCs w:val="21"/>
                <w:highlight w:val="none"/>
              </w:rPr>
              <w:t>交货方式</w:t>
            </w:r>
          </w:p>
        </w:tc>
        <w:tc>
          <w:tcPr>
            <w:tcW w:w="7611" w:type="dxa"/>
            <w:noWrap w:val="0"/>
            <w:vAlign w:val="center"/>
          </w:tcPr>
          <w:p w14:paraId="3AD16C53">
            <w:pPr>
              <w:rPr>
                <w:rFonts w:ascii="宋体" w:hAnsi="宋体"/>
                <w:color w:val="000000"/>
                <w:sz w:val="21"/>
                <w:szCs w:val="21"/>
                <w:highlight w:val="none"/>
              </w:rPr>
            </w:pPr>
            <w:r>
              <w:rPr>
                <w:rFonts w:hint="eastAsia" w:ascii="宋体" w:hAnsi="宋体" w:eastAsia="宋体"/>
                <w:color w:val="000000"/>
                <w:sz w:val="21"/>
                <w:szCs w:val="21"/>
                <w:highlight w:val="none"/>
                <w:lang w:val="en-US" w:eastAsia="zh-CN"/>
              </w:rPr>
              <w:t>安装、调试完成验收后</w:t>
            </w:r>
            <w:r>
              <w:rPr>
                <w:rFonts w:hint="eastAsia" w:ascii="宋体" w:hAnsi="宋体"/>
                <w:color w:val="000000"/>
                <w:sz w:val="21"/>
                <w:szCs w:val="21"/>
                <w:highlight w:val="none"/>
              </w:rPr>
              <w:t>交货</w:t>
            </w:r>
          </w:p>
        </w:tc>
      </w:tr>
      <w:tr w14:paraId="0F52E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61" w:type="dxa"/>
            <w:tcBorders>
              <w:top w:val="single" w:color="auto" w:sz="4" w:space="0"/>
              <w:left w:val="single" w:color="auto" w:sz="4" w:space="0"/>
              <w:bottom w:val="single" w:color="auto" w:sz="4" w:space="0"/>
              <w:right w:val="single" w:color="auto" w:sz="4" w:space="0"/>
            </w:tcBorders>
            <w:noWrap w:val="0"/>
            <w:vAlign w:val="center"/>
          </w:tcPr>
          <w:p w14:paraId="49373BC3">
            <w:pPr>
              <w:spacing w:line="360" w:lineRule="auto"/>
              <w:jc w:val="center"/>
              <w:rPr>
                <w:rFonts w:ascii="宋体" w:hAnsi="宋体"/>
                <w:color w:val="000000"/>
                <w:sz w:val="21"/>
                <w:szCs w:val="21"/>
                <w:highlight w:val="none"/>
              </w:rPr>
            </w:pPr>
            <w:r>
              <w:rPr>
                <w:rFonts w:ascii="宋体" w:hAnsi="宋体"/>
                <w:color w:val="000000"/>
                <w:sz w:val="21"/>
                <w:szCs w:val="21"/>
                <w:highlight w:val="none"/>
              </w:rPr>
              <w:t>4</w:t>
            </w:r>
          </w:p>
        </w:tc>
        <w:tc>
          <w:tcPr>
            <w:tcW w:w="1626" w:type="dxa"/>
            <w:tcBorders>
              <w:top w:val="single" w:color="auto" w:sz="4" w:space="0"/>
              <w:left w:val="single" w:color="auto" w:sz="4" w:space="0"/>
              <w:bottom w:val="single" w:color="auto" w:sz="4" w:space="0"/>
              <w:right w:val="single" w:color="auto" w:sz="4" w:space="0"/>
            </w:tcBorders>
            <w:noWrap w:val="0"/>
            <w:vAlign w:val="center"/>
          </w:tcPr>
          <w:p w14:paraId="0EBF673B">
            <w:pPr>
              <w:spacing w:line="360" w:lineRule="auto"/>
              <w:jc w:val="center"/>
              <w:rPr>
                <w:rFonts w:ascii="宋体" w:hAnsi="宋体"/>
                <w:color w:val="000000"/>
                <w:sz w:val="21"/>
                <w:szCs w:val="21"/>
                <w:highlight w:val="none"/>
              </w:rPr>
            </w:pPr>
            <w:r>
              <w:rPr>
                <w:rFonts w:hint="eastAsia" w:ascii="宋体" w:hAnsi="宋体"/>
                <w:color w:val="000000"/>
                <w:sz w:val="21"/>
                <w:szCs w:val="21"/>
                <w:highlight w:val="none"/>
              </w:rPr>
              <w:t>付款方式</w:t>
            </w:r>
          </w:p>
        </w:tc>
        <w:tc>
          <w:tcPr>
            <w:tcW w:w="7611" w:type="dxa"/>
            <w:tcBorders>
              <w:top w:val="single" w:color="auto" w:sz="4" w:space="0"/>
              <w:left w:val="single" w:color="auto" w:sz="4" w:space="0"/>
              <w:bottom w:val="single" w:color="auto" w:sz="4" w:space="0"/>
              <w:right w:val="single" w:color="auto" w:sz="4" w:space="0"/>
            </w:tcBorders>
            <w:noWrap w:val="0"/>
            <w:vAlign w:val="center"/>
          </w:tcPr>
          <w:p w14:paraId="5ED4C4D6">
            <w:pPr>
              <w:tabs>
                <w:tab w:val="left" w:pos="0"/>
              </w:tabs>
              <w:spacing w:line="360" w:lineRule="auto"/>
              <w:textAlignment w:val="baseline"/>
              <w:rPr>
                <w:rFonts w:ascii="宋体" w:hAnsi="宋体"/>
                <w:color w:val="000000"/>
                <w:sz w:val="21"/>
                <w:szCs w:val="21"/>
                <w:highlight w:val="none"/>
              </w:rPr>
            </w:pPr>
            <w:r>
              <w:rPr>
                <w:rFonts w:hint="eastAsia" w:ascii="宋体" w:hAnsi="宋体" w:eastAsia="宋体"/>
                <w:color w:val="000000"/>
                <w:sz w:val="21"/>
                <w:szCs w:val="21"/>
                <w:highlight w:val="none"/>
                <w:u w:val="single"/>
                <w:lang w:val="en-US" w:eastAsia="zh-CN"/>
              </w:rPr>
              <w:t>双方协商后签订</w:t>
            </w:r>
            <w:r>
              <w:rPr>
                <w:rFonts w:hint="eastAsia" w:ascii="宋体" w:hAnsi="宋体"/>
                <w:color w:val="000000"/>
                <w:sz w:val="21"/>
                <w:szCs w:val="21"/>
                <w:highlight w:val="none"/>
              </w:rPr>
              <w:t>。</w:t>
            </w:r>
          </w:p>
        </w:tc>
      </w:tr>
      <w:tr w14:paraId="0533D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61" w:type="dxa"/>
            <w:tcBorders>
              <w:top w:val="single" w:color="auto" w:sz="4" w:space="0"/>
              <w:left w:val="single" w:color="auto" w:sz="4" w:space="0"/>
              <w:bottom w:val="single" w:color="auto" w:sz="4" w:space="0"/>
              <w:right w:val="single" w:color="auto" w:sz="4" w:space="0"/>
            </w:tcBorders>
            <w:noWrap w:val="0"/>
            <w:vAlign w:val="center"/>
          </w:tcPr>
          <w:p w14:paraId="5D83F3E2">
            <w:pPr>
              <w:jc w:val="center"/>
              <w:rPr>
                <w:rFonts w:ascii="宋体" w:hAnsi="宋体"/>
                <w:color w:val="000000"/>
                <w:sz w:val="21"/>
                <w:szCs w:val="21"/>
                <w:highlight w:val="none"/>
              </w:rPr>
            </w:pPr>
            <w:r>
              <w:rPr>
                <w:rFonts w:ascii="宋体" w:hAnsi="宋体"/>
                <w:color w:val="000000"/>
                <w:sz w:val="21"/>
                <w:szCs w:val="21"/>
                <w:highlight w:val="none"/>
              </w:rPr>
              <w:t>5</w:t>
            </w:r>
          </w:p>
        </w:tc>
        <w:tc>
          <w:tcPr>
            <w:tcW w:w="1626" w:type="dxa"/>
            <w:tcBorders>
              <w:top w:val="single" w:color="auto" w:sz="4" w:space="0"/>
              <w:left w:val="single" w:color="auto" w:sz="4" w:space="0"/>
              <w:bottom w:val="single" w:color="auto" w:sz="4" w:space="0"/>
              <w:right w:val="single" w:color="auto" w:sz="4" w:space="0"/>
            </w:tcBorders>
            <w:noWrap w:val="0"/>
            <w:vAlign w:val="center"/>
          </w:tcPr>
          <w:p w14:paraId="32598303">
            <w:pPr>
              <w:jc w:val="center"/>
              <w:rPr>
                <w:rFonts w:ascii="宋体" w:hAnsi="宋体"/>
                <w:color w:val="000000"/>
                <w:sz w:val="21"/>
                <w:szCs w:val="21"/>
                <w:highlight w:val="none"/>
              </w:rPr>
            </w:pPr>
            <w:r>
              <w:rPr>
                <w:rFonts w:hint="eastAsia" w:ascii="宋体" w:hAnsi="宋体"/>
                <w:color w:val="000000"/>
                <w:sz w:val="21"/>
                <w:szCs w:val="21"/>
                <w:highlight w:val="none"/>
              </w:rPr>
              <w:t>质保期</w:t>
            </w:r>
          </w:p>
        </w:tc>
        <w:tc>
          <w:tcPr>
            <w:tcW w:w="7611" w:type="dxa"/>
            <w:tcBorders>
              <w:top w:val="single" w:color="auto" w:sz="4" w:space="0"/>
              <w:left w:val="single" w:color="auto" w:sz="4" w:space="0"/>
              <w:bottom w:val="single" w:color="auto" w:sz="4" w:space="0"/>
              <w:right w:val="single" w:color="auto" w:sz="4" w:space="0"/>
            </w:tcBorders>
            <w:noWrap w:val="0"/>
            <w:vAlign w:val="center"/>
          </w:tcPr>
          <w:p w14:paraId="7B7155F1">
            <w:pPr>
              <w:rPr>
                <w:rFonts w:ascii="宋体" w:hAnsi="宋体"/>
                <w:color w:val="000000"/>
                <w:sz w:val="21"/>
                <w:szCs w:val="21"/>
                <w:highlight w:val="none"/>
              </w:rPr>
            </w:pPr>
            <w:r>
              <w:rPr>
                <w:rFonts w:hint="eastAsia" w:ascii="宋体" w:hAnsi="宋体" w:eastAsia="宋体"/>
                <w:color w:val="000000"/>
                <w:sz w:val="21"/>
                <w:szCs w:val="21"/>
                <w:highlight w:val="none"/>
                <w:lang w:val="en-US" w:eastAsia="zh-CN"/>
              </w:rPr>
              <w:t xml:space="preserve"> </w:t>
            </w:r>
            <w:r>
              <w:rPr>
                <w:rFonts w:hint="eastAsia" w:asciiTheme="majorEastAsia" w:hAnsiTheme="majorEastAsia" w:eastAsiaTheme="majorEastAsia" w:cstheme="majorEastAsia"/>
                <w:color w:val="auto"/>
                <w:sz w:val="21"/>
                <w:szCs w:val="21"/>
                <w:highlight w:val="none"/>
                <w:u w:val="single"/>
                <w:lang w:val="en-US" w:eastAsia="zh-CN"/>
              </w:rPr>
              <w:t>不少于3年</w:t>
            </w:r>
            <w:r>
              <w:rPr>
                <w:rFonts w:hint="eastAsia" w:ascii="宋体" w:hAnsi="宋体"/>
                <w:color w:val="000000"/>
                <w:sz w:val="21"/>
                <w:szCs w:val="21"/>
                <w:highlight w:val="none"/>
              </w:rPr>
              <w:t>；</w:t>
            </w:r>
          </w:p>
        </w:tc>
      </w:tr>
      <w:tr w14:paraId="76527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jc w:val="center"/>
        </w:trPr>
        <w:tc>
          <w:tcPr>
            <w:tcW w:w="961" w:type="dxa"/>
            <w:tcBorders>
              <w:top w:val="single" w:color="auto" w:sz="4" w:space="0"/>
              <w:left w:val="single" w:color="auto" w:sz="4" w:space="0"/>
              <w:bottom w:val="single" w:color="auto" w:sz="4" w:space="0"/>
              <w:right w:val="single" w:color="auto" w:sz="4" w:space="0"/>
            </w:tcBorders>
            <w:noWrap w:val="0"/>
            <w:vAlign w:val="center"/>
          </w:tcPr>
          <w:p w14:paraId="4E6D45FB">
            <w:pPr>
              <w:jc w:val="center"/>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6</w:t>
            </w:r>
          </w:p>
        </w:tc>
        <w:tc>
          <w:tcPr>
            <w:tcW w:w="162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9B2BD2C">
            <w:pPr>
              <w:pStyle w:val="17"/>
              <w:jc w:val="center"/>
              <w:rPr>
                <w:rFonts w:hint="eastAsia" w:ascii="Times New Roman" w:hAnsi="Times New Roman" w:eastAsia="Times New Roman" w:cs="Times New Roman"/>
                <w:kern w:val="2"/>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rPr>
              <w:t>履约担保</w:t>
            </w:r>
          </w:p>
        </w:tc>
        <w:tc>
          <w:tcPr>
            <w:tcW w:w="761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CBB13D">
            <w:pPr>
              <w:pStyle w:val="17"/>
              <w:ind w:left="210" w:leftChars="100"/>
              <w:jc w:val="left"/>
              <w:rPr>
                <w:rFonts w:hint="eastAsia" w:asciiTheme="majorEastAsia" w:hAnsiTheme="majorEastAsia" w:eastAsiaTheme="majorEastAsia" w:cstheme="majorEastAsia"/>
                <w:bCs/>
                <w:color w:val="auto"/>
                <w:sz w:val="21"/>
                <w:szCs w:val="21"/>
                <w:highlight w:val="none"/>
              </w:rPr>
            </w:pPr>
            <w:r>
              <w:rPr>
                <w:rFonts w:hint="eastAsia" w:asciiTheme="majorEastAsia" w:hAnsiTheme="majorEastAsia" w:eastAsiaTheme="majorEastAsia" w:cstheme="majorEastAsia"/>
                <w:bCs/>
                <w:color w:val="auto"/>
                <w:sz w:val="21"/>
                <w:szCs w:val="21"/>
                <w:highlight w:val="none"/>
              </w:rPr>
              <w:t>履约保证金的形式：</w:t>
            </w:r>
            <w:r>
              <w:rPr>
                <w:rFonts w:hint="eastAsia" w:asciiTheme="majorEastAsia" w:hAnsiTheme="majorEastAsia" w:eastAsiaTheme="majorEastAsia" w:cstheme="majorEastAsia"/>
                <w:bCs/>
                <w:color w:val="auto"/>
                <w:sz w:val="21"/>
                <w:szCs w:val="21"/>
                <w:highlight w:val="none"/>
                <w:lang w:val="en-US" w:eastAsia="zh-CN"/>
              </w:rPr>
              <w:t>银行</w:t>
            </w:r>
            <w:r>
              <w:rPr>
                <w:rFonts w:hint="eastAsia" w:asciiTheme="majorEastAsia" w:hAnsiTheme="majorEastAsia" w:eastAsiaTheme="majorEastAsia" w:cstheme="majorEastAsia"/>
                <w:bCs/>
                <w:color w:val="auto"/>
                <w:sz w:val="21"/>
                <w:szCs w:val="21"/>
                <w:highlight w:val="none"/>
              </w:rPr>
              <w:t>转账</w:t>
            </w:r>
            <w:r>
              <w:rPr>
                <w:rFonts w:hint="eastAsia" w:asciiTheme="majorEastAsia" w:hAnsiTheme="majorEastAsia" w:eastAsiaTheme="majorEastAsia" w:cstheme="majorEastAsia"/>
                <w:bCs/>
                <w:color w:val="auto"/>
                <w:sz w:val="21"/>
                <w:szCs w:val="21"/>
                <w:highlight w:val="none"/>
                <w:lang w:eastAsia="zh-CN"/>
              </w:rPr>
              <w:t>、</w:t>
            </w:r>
            <w:r>
              <w:rPr>
                <w:rFonts w:hint="eastAsia" w:asciiTheme="majorEastAsia" w:hAnsiTheme="majorEastAsia" w:eastAsiaTheme="majorEastAsia" w:cstheme="majorEastAsia"/>
                <w:bCs/>
                <w:color w:val="auto"/>
                <w:sz w:val="21"/>
                <w:szCs w:val="21"/>
                <w:highlight w:val="none"/>
              </w:rPr>
              <w:t>支票、汇票、本票、保函、保险等非现金形式。</w:t>
            </w:r>
          </w:p>
          <w:p w14:paraId="13E5C374">
            <w:pPr>
              <w:pStyle w:val="17"/>
              <w:ind w:left="210" w:leftChars="100"/>
              <w:jc w:val="left"/>
              <w:rPr>
                <w:rFonts w:hint="eastAsia" w:asciiTheme="majorEastAsia" w:hAnsiTheme="majorEastAsia" w:eastAsiaTheme="majorEastAsia" w:cstheme="majorEastAsia"/>
                <w:bCs/>
                <w:color w:val="auto"/>
                <w:sz w:val="21"/>
                <w:szCs w:val="21"/>
                <w:highlight w:val="none"/>
              </w:rPr>
            </w:pPr>
            <w:r>
              <w:rPr>
                <w:rFonts w:hint="eastAsia" w:asciiTheme="majorEastAsia" w:hAnsiTheme="majorEastAsia" w:eastAsiaTheme="majorEastAsia" w:cstheme="majorEastAsia"/>
                <w:bCs/>
                <w:color w:val="auto"/>
                <w:sz w:val="21"/>
                <w:szCs w:val="21"/>
                <w:highlight w:val="none"/>
              </w:rPr>
              <w:t>履约保证金的金额：签约合同价的10％。</w:t>
            </w:r>
          </w:p>
          <w:p w14:paraId="2D7767F5">
            <w:pPr>
              <w:pStyle w:val="17"/>
              <w:ind w:left="210" w:leftChars="100"/>
              <w:jc w:val="left"/>
              <w:rPr>
                <w:rFonts w:hint="eastAsia" w:ascii="Times New Roman" w:hAnsi="Times New Roman" w:eastAsia="Times New Roman" w:cs="Times New Roman"/>
                <w:kern w:val="2"/>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lang w:val="en-US" w:eastAsia="zh-CN"/>
              </w:rPr>
              <w:t>具体缴纳方式双方签订合同时协商确定</w:t>
            </w:r>
            <w:r>
              <w:rPr>
                <w:rFonts w:hint="eastAsia" w:asciiTheme="majorEastAsia" w:hAnsiTheme="majorEastAsia" w:eastAsiaTheme="majorEastAsia" w:cstheme="majorEastAsia"/>
                <w:color w:val="auto"/>
                <w:kern w:val="0"/>
                <w:sz w:val="21"/>
                <w:szCs w:val="21"/>
                <w:highlight w:val="none"/>
              </w:rPr>
              <w:t xml:space="preserve"> </w:t>
            </w:r>
          </w:p>
        </w:tc>
      </w:tr>
      <w:tr w14:paraId="685E9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61" w:type="dxa"/>
            <w:tcBorders>
              <w:top w:val="single" w:color="auto" w:sz="4" w:space="0"/>
              <w:left w:val="single" w:color="auto" w:sz="4" w:space="0"/>
              <w:bottom w:val="single" w:color="auto" w:sz="4" w:space="0"/>
              <w:right w:val="single" w:color="auto" w:sz="4" w:space="0"/>
            </w:tcBorders>
            <w:noWrap w:val="0"/>
            <w:vAlign w:val="center"/>
          </w:tcPr>
          <w:p w14:paraId="2CDB1537">
            <w:pPr>
              <w:jc w:val="center"/>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7</w:t>
            </w:r>
          </w:p>
        </w:tc>
        <w:tc>
          <w:tcPr>
            <w:tcW w:w="162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F3074A9">
            <w:pPr>
              <w:spacing w:line="360" w:lineRule="exact"/>
              <w:jc w:val="center"/>
              <w:rPr>
                <w:rFonts w:hint="eastAsia" w:eastAsia="宋体"/>
                <w:szCs w:val="21"/>
                <w:highlight w:val="none"/>
                <w:lang w:val="en-US" w:eastAsia="zh-CN"/>
              </w:rPr>
            </w:pPr>
            <w:r>
              <w:rPr>
                <w:rFonts w:hint="eastAsia" w:eastAsia="宋体"/>
                <w:szCs w:val="21"/>
                <w:highlight w:val="none"/>
                <w:lang w:val="en-US" w:eastAsia="zh-CN"/>
              </w:rPr>
              <w:t>其他</w:t>
            </w:r>
          </w:p>
        </w:tc>
        <w:tc>
          <w:tcPr>
            <w:tcW w:w="761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FC119C3">
            <w:pPr>
              <w:widowControl/>
              <w:numPr>
                <w:ilvl w:val="0"/>
                <w:numId w:val="0"/>
              </w:numPr>
              <w:snapToGrid w:val="0"/>
              <w:spacing w:line="480" w:lineRule="exact"/>
              <w:rPr>
                <w:szCs w:val="21"/>
                <w:highlight w:val="none"/>
              </w:rPr>
            </w:pPr>
            <w:r>
              <w:rPr>
                <w:rFonts w:hint="eastAsia" w:ascii="宋体" w:hAnsi="宋体" w:eastAsia="宋体"/>
                <w:color w:val="000000"/>
                <w:sz w:val="21"/>
                <w:szCs w:val="21"/>
                <w:highlight w:val="none"/>
                <w:lang w:val="en-US" w:eastAsia="zh-CN"/>
              </w:rPr>
              <w:t>本项目要求中标人在中标后2个工作日内向采购人提供所投产品制造商授权书扫描件，在签订合同签2个工作日向采购人提供所投产品制造商授权书原件，若供货方无法按时，</w:t>
            </w:r>
            <w:r>
              <w:rPr>
                <w:rFonts w:hint="eastAsia" w:ascii="宋体" w:hAnsi="宋体" w:eastAsia="宋体"/>
                <w:color w:val="000000"/>
                <w:sz w:val="21"/>
                <w:szCs w:val="21"/>
                <w:highlight w:val="none"/>
                <w:lang w:eastAsia="zh-CN"/>
              </w:rPr>
              <w:t>视同放弃中标，将失去订立合同的资格，</w:t>
            </w:r>
            <w:r>
              <w:rPr>
                <w:rFonts w:hint="eastAsia" w:ascii="宋体" w:hAnsi="宋体" w:eastAsia="宋体"/>
                <w:color w:val="000000"/>
                <w:sz w:val="21"/>
                <w:szCs w:val="21"/>
                <w:highlight w:val="none"/>
                <w:lang w:val="en-US" w:eastAsia="zh-CN"/>
              </w:rPr>
              <w:t>招标人有权确定下一候选人为成交供应商，也可以重新开展政府采购活动。</w:t>
            </w:r>
          </w:p>
        </w:tc>
      </w:tr>
    </w:tbl>
    <w:p w14:paraId="618801FD">
      <w:pPr>
        <w:rPr>
          <w:rFonts w:hint="eastAsia" w:asciiTheme="majorEastAsia" w:hAnsiTheme="majorEastAsia" w:eastAsiaTheme="majorEastAsia" w:cstheme="majorEastAsia"/>
          <w:b/>
          <w:color w:val="auto"/>
          <w:sz w:val="36"/>
          <w:highlight w:val="none"/>
        </w:rPr>
      </w:pPr>
    </w:p>
    <w:p w14:paraId="4FF17DF4">
      <w:pPr>
        <w:pStyle w:val="17"/>
        <w:spacing w:line="360" w:lineRule="auto"/>
        <w:jc w:val="center"/>
        <w:outlineLvl w:val="9"/>
        <w:rPr>
          <w:rFonts w:hint="eastAsia" w:asciiTheme="majorEastAsia" w:hAnsiTheme="majorEastAsia" w:eastAsiaTheme="majorEastAsia" w:cstheme="majorEastAsia"/>
          <w:b/>
          <w:color w:val="auto"/>
          <w:sz w:val="36"/>
          <w:highlight w:val="none"/>
        </w:rPr>
      </w:pPr>
    </w:p>
    <w:p w14:paraId="124A7A7B">
      <w:pPr>
        <w:rPr>
          <w:rFonts w:hint="eastAsia"/>
          <w:color w:val="auto"/>
        </w:rPr>
      </w:pPr>
      <w:bookmarkStart w:id="206" w:name="_Toc31300"/>
      <w:bookmarkStart w:id="207" w:name="_Toc16642"/>
      <w:r>
        <w:rPr>
          <w:rFonts w:hint="eastAsia" w:hAnsi="宋体"/>
          <w:b/>
          <w:bCs/>
          <w:color w:val="auto"/>
          <w:sz w:val="24"/>
          <w:highlight w:val="none"/>
        </w:rPr>
        <w:br w:type="page"/>
      </w:r>
    </w:p>
    <w:p w14:paraId="0E04C992">
      <w:pPr>
        <w:jc w:val="center"/>
        <w:rPr>
          <w:rFonts w:ascii="宋体" w:hAnsi="宋体"/>
          <w:b/>
          <w:bCs/>
          <w:sz w:val="22"/>
          <w:szCs w:val="21"/>
        </w:rPr>
      </w:pPr>
      <w:r>
        <w:rPr>
          <w:rFonts w:hint="eastAsia" w:ascii="宋体" w:hAnsi="宋体"/>
          <w:b/>
          <w:sz w:val="22"/>
          <w:szCs w:val="21"/>
        </w:rPr>
        <w:t>（本合同内容仅供参考，甲乙双方可根据国家相关法律法规及本项目的情况另行约定）</w:t>
      </w:r>
    </w:p>
    <w:tbl>
      <w:tblPr>
        <w:tblStyle w:val="30"/>
        <w:tblW w:w="0" w:type="auto"/>
        <w:jc w:val="center"/>
        <w:tblLayout w:type="fixed"/>
        <w:tblCellMar>
          <w:top w:w="0" w:type="dxa"/>
          <w:left w:w="0" w:type="dxa"/>
          <w:bottom w:w="0" w:type="dxa"/>
          <w:right w:w="0" w:type="dxa"/>
        </w:tblCellMar>
      </w:tblPr>
      <w:tblGrid>
        <w:gridCol w:w="9750"/>
      </w:tblGrid>
      <w:tr w14:paraId="760AA37D">
        <w:tblPrEx>
          <w:tblCellMar>
            <w:top w:w="0" w:type="dxa"/>
            <w:left w:w="0" w:type="dxa"/>
            <w:bottom w:w="0" w:type="dxa"/>
            <w:right w:w="0" w:type="dxa"/>
          </w:tblCellMar>
        </w:tblPrEx>
        <w:trPr>
          <w:jc w:val="center"/>
        </w:trPr>
        <w:tc>
          <w:tcPr>
            <w:tcW w:w="9750" w:type="dxa"/>
            <w:noWrap w:val="0"/>
            <w:vAlign w:val="center"/>
          </w:tcPr>
          <w:p w14:paraId="087DA16D">
            <w:pPr>
              <w:tabs>
                <w:tab w:val="left" w:pos="1590"/>
                <w:tab w:val="left" w:pos="3409"/>
                <w:tab w:val="left" w:pos="4847"/>
                <w:tab w:val="left" w:pos="5711"/>
                <w:tab w:val="left" w:pos="7020"/>
                <w:tab w:val="left" w:pos="7891"/>
              </w:tabs>
              <w:rPr>
                <w:rFonts w:ascii="宋体" w:hAnsi="宋体" w:cs="Tahoma"/>
                <w:sz w:val="22"/>
                <w:szCs w:val="18"/>
              </w:rPr>
            </w:pPr>
            <w:r>
              <w:rPr>
                <w:rFonts w:hint="eastAsia" w:ascii="宋体" w:hAnsi="宋体" w:cs="Tahoma"/>
                <w:sz w:val="22"/>
              </w:rPr>
              <w:t>合同编号：</w:t>
            </w:r>
            <w:r>
              <w:rPr>
                <w:rFonts w:ascii="宋体" w:hAnsi="宋体" w:cs="Tahoma"/>
                <w:sz w:val="22"/>
              </w:rPr>
              <w:t xml:space="preserve">   </w:t>
            </w:r>
            <w:r>
              <w:rPr>
                <w:rFonts w:hint="eastAsia" w:ascii="宋体" w:hAnsi="宋体" w:cs="Tahoma"/>
                <w:sz w:val="22"/>
              </w:rPr>
              <w:t xml:space="preserve">                                    </w:t>
            </w:r>
            <w:r>
              <w:rPr>
                <w:rFonts w:hint="eastAsia" w:ascii="宋体" w:hAnsi="宋体" w:cs="Tahoma"/>
                <w:sz w:val="22"/>
                <w:lang w:eastAsia="zh-CN"/>
              </w:rPr>
              <w:t>项目编号</w:t>
            </w:r>
            <w:r>
              <w:rPr>
                <w:rFonts w:hint="eastAsia" w:ascii="宋体" w:hAnsi="宋体" w:cs="Tahoma"/>
                <w:sz w:val="22"/>
              </w:rPr>
              <w:t xml:space="preserve">： </w:t>
            </w:r>
          </w:p>
        </w:tc>
      </w:tr>
    </w:tbl>
    <w:p w14:paraId="308551EA">
      <w:pPr>
        <w:spacing w:after="240"/>
        <w:jc w:val="center"/>
        <w:rPr>
          <w:rFonts w:hint="eastAsia" w:ascii="宋体" w:hAnsi="宋体" w:eastAsia="宋体" w:cs="Tahoma"/>
          <w:sz w:val="22"/>
          <w:lang w:eastAsia="zh-CN"/>
        </w:rPr>
      </w:pPr>
      <w:r>
        <w:rPr>
          <w:rFonts w:hint="eastAsia" w:ascii="宋体" w:hAnsi="宋体" w:cs="Tahoma"/>
          <w:sz w:val="22"/>
        </w:rPr>
        <w:t>●本合同须加盖甲乙双方骑缝章有效</w:t>
      </w:r>
    </w:p>
    <w:p w14:paraId="382616E4">
      <w:pPr>
        <w:spacing w:after="240"/>
        <w:jc w:val="center"/>
        <w:rPr>
          <w:rFonts w:hint="eastAsia" w:ascii="宋体" w:hAnsi="宋体" w:eastAsia="宋体" w:cs="Tahoma"/>
          <w:sz w:val="22"/>
          <w:lang w:eastAsia="zh-CN"/>
        </w:rPr>
      </w:pPr>
    </w:p>
    <w:p w14:paraId="426FEF0A">
      <w:pPr>
        <w:spacing w:line="360" w:lineRule="auto"/>
        <w:ind w:firstLine="708" w:firstLineChars="177"/>
        <w:jc w:val="center"/>
        <w:rPr>
          <w:rFonts w:hint="eastAsia" w:ascii="宋体" w:hAnsi="宋体" w:eastAsia="宋体" w:cs="Tahoma"/>
          <w:sz w:val="40"/>
          <w:szCs w:val="39"/>
          <w:lang w:eastAsia="zh-CN"/>
        </w:rPr>
      </w:pPr>
      <w:r>
        <w:rPr>
          <w:rFonts w:hint="eastAsia" w:ascii="宋体" w:hAnsi="宋体" w:cs="Tahoma"/>
          <w:sz w:val="40"/>
          <w:szCs w:val="39"/>
        </w:rPr>
        <w:t>云南省政府采购</w:t>
      </w:r>
    </w:p>
    <w:p w14:paraId="237D35BA">
      <w:pPr>
        <w:spacing w:line="360" w:lineRule="auto"/>
        <w:ind w:firstLine="708" w:firstLineChars="177"/>
        <w:jc w:val="center"/>
        <w:rPr>
          <w:rFonts w:hint="eastAsia" w:ascii="宋体" w:hAnsi="宋体" w:eastAsia="宋体" w:cs="Tahoma"/>
          <w:sz w:val="40"/>
          <w:szCs w:val="39"/>
          <w:lang w:eastAsia="zh-CN"/>
        </w:rPr>
      </w:pPr>
    </w:p>
    <w:p w14:paraId="1BF1CDB1">
      <w:pPr>
        <w:spacing w:line="360" w:lineRule="auto"/>
        <w:ind w:firstLine="354" w:firstLineChars="177"/>
        <w:jc w:val="center"/>
        <w:rPr>
          <w:rFonts w:hint="eastAsia" w:ascii="宋体" w:hAnsi="宋体" w:eastAsia="宋体" w:cs="Tahoma"/>
          <w:sz w:val="20"/>
          <w:szCs w:val="18"/>
          <w:lang w:eastAsia="zh-CN"/>
        </w:rPr>
      </w:pPr>
    </w:p>
    <w:p w14:paraId="4A22B82F">
      <w:pPr>
        <w:spacing w:after="240"/>
        <w:rPr>
          <w:rFonts w:ascii="宋体" w:hAnsi="宋体" w:cs="Tahoma"/>
          <w:sz w:val="20"/>
          <w:szCs w:val="18"/>
        </w:rPr>
      </w:pPr>
    </w:p>
    <w:p w14:paraId="4DDA25FB">
      <w:pPr>
        <w:spacing w:after="240"/>
        <w:jc w:val="center"/>
        <w:rPr>
          <w:rFonts w:hint="eastAsia" w:ascii="宋体" w:hAnsi="宋体" w:eastAsia="宋体" w:cs="Tahoma"/>
          <w:sz w:val="20"/>
          <w:szCs w:val="18"/>
          <w:lang w:eastAsia="zh-CN"/>
        </w:rPr>
      </w:pPr>
      <w:r>
        <w:rPr>
          <w:rFonts w:hint="eastAsia" w:ascii="宋体" w:hAnsi="宋体" w:cs="Tahoma"/>
          <w:sz w:val="36"/>
          <w:szCs w:val="33"/>
        </w:rPr>
        <w:t>（委托采购）</w:t>
      </w:r>
      <w:r>
        <w:rPr>
          <w:rFonts w:hint="eastAsia" w:ascii="宋体" w:hAnsi="宋体" w:cs="Tahoma"/>
          <w:sz w:val="20"/>
          <w:szCs w:val="18"/>
        </w:rPr>
        <w:t xml:space="preserve"> </w:t>
      </w:r>
    </w:p>
    <w:p w14:paraId="3EFCB416">
      <w:pPr>
        <w:spacing w:after="240"/>
        <w:jc w:val="both"/>
        <w:rPr>
          <w:rFonts w:hint="eastAsia" w:ascii="宋体" w:hAnsi="宋体" w:eastAsia="宋体" w:cs="Tahoma"/>
          <w:sz w:val="20"/>
          <w:szCs w:val="18"/>
          <w:lang w:eastAsia="zh-CN"/>
        </w:rPr>
      </w:pPr>
    </w:p>
    <w:p w14:paraId="49850FB7">
      <w:pPr>
        <w:spacing w:after="240"/>
        <w:jc w:val="center"/>
        <w:rPr>
          <w:rFonts w:ascii="宋体" w:hAnsi="宋体" w:cs="Tahoma"/>
          <w:sz w:val="20"/>
          <w:szCs w:val="18"/>
        </w:rPr>
      </w:pPr>
      <w:r>
        <w:rPr>
          <w:rFonts w:hint="eastAsia" w:ascii="宋体" w:hAnsi="宋体" w:cs="Tahoma"/>
          <w:sz w:val="72"/>
          <w:szCs w:val="63"/>
        </w:rPr>
        <w:t>合</w:t>
      </w:r>
      <w:r>
        <w:rPr>
          <w:rFonts w:hint="eastAsia" w:ascii="宋体" w:hAnsi="宋体" w:cs="Tahoma"/>
          <w:sz w:val="20"/>
          <w:szCs w:val="18"/>
        </w:rPr>
        <w:t xml:space="preserve"> </w:t>
      </w:r>
    </w:p>
    <w:p w14:paraId="4B51A501">
      <w:pPr>
        <w:spacing w:after="240"/>
        <w:jc w:val="center"/>
        <w:rPr>
          <w:rFonts w:ascii="宋体" w:hAnsi="宋体" w:cs="Tahoma"/>
          <w:sz w:val="20"/>
          <w:szCs w:val="18"/>
        </w:rPr>
      </w:pPr>
      <w:r>
        <w:rPr>
          <w:rFonts w:hint="eastAsia" w:ascii="宋体" w:hAnsi="宋体" w:cs="Tahoma"/>
          <w:sz w:val="72"/>
          <w:szCs w:val="63"/>
        </w:rPr>
        <w:t>同</w:t>
      </w:r>
    </w:p>
    <w:p w14:paraId="2B3D4A4E">
      <w:pPr>
        <w:spacing w:after="240"/>
        <w:jc w:val="center"/>
        <w:rPr>
          <w:rFonts w:hint="eastAsia" w:ascii="宋体" w:hAnsi="宋体" w:eastAsia="宋体" w:cs="Tahoma"/>
          <w:sz w:val="20"/>
          <w:szCs w:val="18"/>
          <w:lang w:eastAsia="zh-CN"/>
        </w:rPr>
      </w:pPr>
      <w:r>
        <w:rPr>
          <w:rFonts w:hint="eastAsia" w:ascii="宋体" w:hAnsi="宋体" w:cs="Tahoma"/>
          <w:sz w:val="72"/>
          <w:szCs w:val="63"/>
        </w:rPr>
        <w:t>书</w:t>
      </w:r>
      <w:r>
        <w:rPr>
          <w:rFonts w:hint="eastAsia" w:ascii="宋体" w:hAnsi="宋体" w:cs="Tahoma"/>
          <w:sz w:val="20"/>
          <w:szCs w:val="18"/>
        </w:rPr>
        <w:t xml:space="preserve"> </w:t>
      </w:r>
    </w:p>
    <w:p w14:paraId="304F1894">
      <w:pPr>
        <w:spacing w:after="240"/>
        <w:jc w:val="center"/>
        <w:rPr>
          <w:rFonts w:hint="eastAsia" w:ascii="宋体" w:hAnsi="宋体" w:eastAsia="宋体" w:cs="Tahoma"/>
          <w:sz w:val="20"/>
          <w:szCs w:val="18"/>
          <w:lang w:eastAsia="zh-CN"/>
        </w:rPr>
      </w:pPr>
    </w:p>
    <w:p w14:paraId="111880B1">
      <w:pPr>
        <w:spacing w:after="240"/>
        <w:jc w:val="center"/>
        <w:rPr>
          <w:rFonts w:ascii="宋体" w:hAnsi="宋体" w:cs="Tahoma"/>
          <w:sz w:val="20"/>
          <w:szCs w:val="18"/>
        </w:rPr>
      </w:pPr>
      <w:r>
        <w:rPr>
          <w:rFonts w:hint="eastAsia" w:ascii="宋体" w:hAnsi="宋体" w:cs="Tahoma"/>
          <w:b/>
          <w:bCs/>
          <w:sz w:val="28"/>
          <w:szCs w:val="27"/>
        </w:rPr>
        <w:t>签订地点:</w:t>
      </w:r>
      <w:r>
        <w:rPr>
          <w:rFonts w:hint="eastAsia" w:ascii="宋体" w:hAnsi="宋体" w:cs="Tahoma"/>
          <w:sz w:val="20"/>
          <w:szCs w:val="18"/>
        </w:rPr>
        <w:t xml:space="preserve"> </w:t>
      </w:r>
    </w:p>
    <w:p w14:paraId="12B7E870">
      <w:pPr>
        <w:spacing w:after="240"/>
        <w:jc w:val="center"/>
        <w:rPr>
          <w:rFonts w:ascii="宋体" w:hAnsi="宋体" w:cs="Tahoma"/>
          <w:sz w:val="20"/>
          <w:szCs w:val="18"/>
        </w:rPr>
      </w:pPr>
    </w:p>
    <w:p w14:paraId="17B67004">
      <w:pPr>
        <w:spacing w:after="240"/>
        <w:jc w:val="center"/>
        <w:rPr>
          <w:rFonts w:hint="eastAsia" w:ascii="宋体" w:hAnsi="宋体" w:eastAsia="宋体" w:cs="Tahoma"/>
          <w:b/>
          <w:bCs/>
          <w:sz w:val="28"/>
          <w:szCs w:val="27"/>
          <w:lang w:eastAsia="zh-CN"/>
        </w:rPr>
      </w:pPr>
      <w:r>
        <w:rPr>
          <w:rFonts w:hint="eastAsia" w:ascii="宋体" w:hAnsi="宋体" w:cs="Tahoma"/>
          <w:b/>
          <w:bCs/>
          <w:sz w:val="28"/>
          <w:szCs w:val="27"/>
        </w:rPr>
        <w:t xml:space="preserve">签订日期:    年 月 日 </w:t>
      </w:r>
    </w:p>
    <w:p w14:paraId="1E64F231">
      <w:pPr>
        <w:spacing w:after="240"/>
        <w:jc w:val="center"/>
        <w:rPr>
          <w:rFonts w:hint="eastAsia" w:ascii="宋体" w:hAnsi="宋体" w:eastAsia="宋体" w:cs="Tahoma"/>
          <w:b/>
          <w:bCs/>
          <w:sz w:val="28"/>
          <w:szCs w:val="27"/>
          <w:lang w:eastAsia="zh-CN"/>
        </w:rPr>
      </w:pPr>
    </w:p>
    <w:p w14:paraId="318AB227">
      <w:pPr>
        <w:pStyle w:val="27"/>
        <w:ind w:firstLine="200"/>
        <w:jc w:val="center"/>
        <w:rPr>
          <w:rFonts w:ascii="宋体" w:hAnsi="宋体" w:cs="Tahoma"/>
          <w:sz w:val="22"/>
          <w:szCs w:val="21"/>
        </w:rPr>
      </w:pPr>
      <w:r>
        <w:rPr>
          <w:rFonts w:hint="eastAsia" w:cs="Tahoma"/>
          <w:b/>
          <w:bCs/>
          <w:sz w:val="28"/>
          <w:szCs w:val="27"/>
        </w:rPr>
        <w:t xml:space="preserve">云南省财政厅 制 </w:t>
      </w:r>
      <w:r>
        <w:rPr>
          <w:rFonts w:ascii="宋体" w:hAnsi="宋体"/>
          <w:b/>
          <w:sz w:val="22"/>
          <w:szCs w:val="21"/>
        </w:rPr>
        <w:br w:type="page"/>
      </w:r>
    </w:p>
    <w:p w14:paraId="48914229">
      <w:pPr>
        <w:spacing w:after="240"/>
        <w:rPr>
          <w:rFonts w:hint="eastAsia" w:ascii="宋体" w:hAnsi="宋体" w:cs="Tahoma"/>
          <w:sz w:val="22"/>
          <w:szCs w:val="21"/>
        </w:rPr>
      </w:pPr>
    </w:p>
    <w:p w14:paraId="53F67A3B">
      <w:pPr>
        <w:spacing w:line="400" w:lineRule="exact"/>
        <w:ind w:left="1619" w:leftChars="771"/>
        <w:rPr>
          <w:rFonts w:ascii="宋体" w:hAnsi="宋体" w:cs="Tahoma"/>
          <w:sz w:val="24"/>
          <w:szCs w:val="22"/>
        </w:rPr>
      </w:pPr>
    </w:p>
    <w:p w14:paraId="73FBC9AF">
      <w:pPr>
        <w:spacing w:line="400" w:lineRule="exact"/>
        <w:ind w:left="1619" w:leftChars="771"/>
        <w:rPr>
          <w:rFonts w:ascii="宋体" w:hAnsi="宋体" w:cs="Tahoma"/>
          <w:sz w:val="24"/>
          <w:szCs w:val="22"/>
        </w:rPr>
      </w:pPr>
      <w:r>
        <w:rPr>
          <w:rFonts w:hint="eastAsia" w:ascii="宋体" w:hAnsi="宋体" w:cs="Tahoma"/>
          <w:sz w:val="24"/>
          <w:szCs w:val="22"/>
        </w:rPr>
        <w:t>甲方（采购人公章）名    称：</w:t>
      </w:r>
    </w:p>
    <w:p w14:paraId="1EFCB4C0">
      <w:pPr>
        <w:spacing w:line="400" w:lineRule="exact"/>
        <w:ind w:left="1619" w:leftChars="771"/>
        <w:rPr>
          <w:rFonts w:ascii="宋体" w:hAnsi="宋体" w:cs="Tahoma"/>
          <w:sz w:val="24"/>
          <w:szCs w:val="22"/>
        </w:rPr>
      </w:pPr>
      <w:r>
        <w:rPr>
          <w:rFonts w:hint="eastAsia" w:ascii="宋体" w:hAnsi="宋体" w:cs="Tahoma"/>
          <w:sz w:val="24"/>
          <w:szCs w:val="22"/>
        </w:rPr>
        <w:t xml:space="preserve">地    址： </w:t>
      </w:r>
    </w:p>
    <w:p w14:paraId="31722EFD">
      <w:pPr>
        <w:spacing w:line="400" w:lineRule="exact"/>
        <w:ind w:left="1619" w:leftChars="771"/>
        <w:rPr>
          <w:rFonts w:ascii="宋体" w:hAnsi="宋体" w:cs="Tahoma"/>
          <w:sz w:val="24"/>
          <w:szCs w:val="22"/>
        </w:rPr>
      </w:pPr>
      <w:r>
        <w:rPr>
          <w:rFonts w:hint="eastAsia" w:ascii="宋体" w:hAnsi="宋体" w:cs="Tahoma"/>
          <w:sz w:val="24"/>
          <w:szCs w:val="22"/>
        </w:rPr>
        <w:t>邮    编：</w:t>
      </w:r>
    </w:p>
    <w:p w14:paraId="493C5375">
      <w:pPr>
        <w:spacing w:line="400" w:lineRule="exact"/>
        <w:ind w:left="1619" w:leftChars="771"/>
        <w:rPr>
          <w:rFonts w:ascii="宋体" w:hAnsi="宋体" w:cs="Tahoma"/>
          <w:sz w:val="24"/>
          <w:szCs w:val="22"/>
        </w:rPr>
      </w:pPr>
      <w:r>
        <w:rPr>
          <w:rFonts w:hint="eastAsia" w:ascii="宋体" w:hAnsi="宋体" w:cs="Tahoma"/>
          <w:sz w:val="24"/>
          <w:szCs w:val="22"/>
        </w:rPr>
        <w:t>法定代表人或委托代理人：</w:t>
      </w:r>
    </w:p>
    <w:p w14:paraId="0016C8DB">
      <w:pPr>
        <w:spacing w:line="400" w:lineRule="exact"/>
        <w:ind w:left="1619" w:leftChars="771"/>
        <w:rPr>
          <w:rFonts w:ascii="宋体" w:hAnsi="宋体" w:cs="Tahoma"/>
          <w:sz w:val="24"/>
          <w:szCs w:val="22"/>
        </w:rPr>
      </w:pPr>
      <w:r>
        <w:rPr>
          <w:rFonts w:hint="eastAsia" w:ascii="宋体" w:hAnsi="宋体" w:cs="Tahoma"/>
          <w:sz w:val="24"/>
          <w:szCs w:val="22"/>
        </w:rPr>
        <w:t>项目（技术）负责人：</w:t>
      </w:r>
    </w:p>
    <w:p w14:paraId="0D7B4550">
      <w:pPr>
        <w:spacing w:line="400" w:lineRule="exact"/>
        <w:ind w:left="1619" w:leftChars="771"/>
        <w:rPr>
          <w:rFonts w:ascii="宋体" w:hAnsi="宋体" w:cs="Tahoma"/>
          <w:sz w:val="24"/>
          <w:szCs w:val="22"/>
        </w:rPr>
      </w:pPr>
      <w:r>
        <w:rPr>
          <w:rFonts w:hint="eastAsia" w:ascii="宋体" w:hAnsi="宋体" w:cs="Tahoma"/>
          <w:sz w:val="24"/>
          <w:szCs w:val="22"/>
        </w:rPr>
        <w:t>电    话：</w:t>
      </w:r>
    </w:p>
    <w:p w14:paraId="02DA75A7">
      <w:pPr>
        <w:spacing w:line="400" w:lineRule="exact"/>
        <w:ind w:left="1619" w:leftChars="771"/>
        <w:rPr>
          <w:rFonts w:ascii="宋体" w:hAnsi="宋体" w:cs="Tahoma"/>
          <w:sz w:val="24"/>
          <w:szCs w:val="22"/>
        </w:rPr>
      </w:pPr>
      <w:r>
        <w:rPr>
          <w:rFonts w:hint="eastAsia" w:ascii="宋体" w:hAnsi="宋体" w:cs="Tahoma"/>
          <w:sz w:val="24"/>
          <w:szCs w:val="22"/>
        </w:rPr>
        <w:t>签订日期：</w:t>
      </w:r>
    </w:p>
    <w:p w14:paraId="53B8BB1C">
      <w:pPr>
        <w:spacing w:line="400" w:lineRule="exact"/>
        <w:ind w:left="1619" w:leftChars="771"/>
        <w:rPr>
          <w:rFonts w:ascii="宋体" w:hAnsi="宋体" w:cs="Tahoma"/>
          <w:sz w:val="24"/>
          <w:szCs w:val="22"/>
        </w:rPr>
      </w:pPr>
    </w:p>
    <w:p w14:paraId="6325854B">
      <w:pPr>
        <w:spacing w:line="400" w:lineRule="exact"/>
        <w:ind w:left="1619" w:leftChars="771"/>
        <w:rPr>
          <w:rFonts w:ascii="宋体" w:hAnsi="宋体" w:cs="Tahoma"/>
          <w:sz w:val="24"/>
          <w:szCs w:val="22"/>
        </w:rPr>
      </w:pPr>
    </w:p>
    <w:p w14:paraId="1E168118">
      <w:pPr>
        <w:spacing w:line="400" w:lineRule="exact"/>
        <w:ind w:left="1619" w:leftChars="771"/>
        <w:rPr>
          <w:rFonts w:ascii="宋体" w:hAnsi="宋体" w:cs="Tahoma"/>
          <w:sz w:val="24"/>
          <w:szCs w:val="22"/>
        </w:rPr>
      </w:pPr>
    </w:p>
    <w:p w14:paraId="43F435B3">
      <w:pPr>
        <w:spacing w:line="400" w:lineRule="exact"/>
        <w:ind w:left="1619" w:leftChars="771"/>
        <w:rPr>
          <w:rFonts w:hint="eastAsia" w:ascii="宋体" w:hAnsi="宋体" w:cs="Tahoma"/>
          <w:sz w:val="24"/>
          <w:szCs w:val="22"/>
        </w:rPr>
      </w:pPr>
    </w:p>
    <w:p w14:paraId="79F04F1C">
      <w:pPr>
        <w:spacing w:line="400" w:lineRule="exact"/>
        <w:ind w:left="1619" w:leftChars="771"/>
        <w:rPr>
          <w:rFonts w:ascii="宋体" w:hAnsi="宋体" w:cs="Tahoma"/>
          <w:sz w:val="24"/>
          <w:szCs w:val="22"/>
        </w:rPr>
      </w:pPr>
    </w:p>
    <w:p w14:paraId="7606ED5D">
      <w:pPr>
        <w:spacing w:line="400" w:lineRule="exact"/>
        <w:ind w:left="1619" w:leftChars="771"/>
        <w:rPr>
          <w:rFonts w:ascii="宋体" w:hAnsi="宋体" w:cs="Tahoma"/>
          <w:sz w:val="24"/>
          <w:szCs w:val="22"/>
        </w:rPr>
      </w:pPr>
    </w:p>
    <w:p w14:paraId="3582BA95">
      <w:pPr>
        <w:spacing w:line="400" w:lineRule="exact"/>
        <w:ind w:left="1619" w:leftChars="771"/>
        <w:rPr>
          <w:rFonts w:ascii="宋体" w:hAnsi="宋体" w:cs="Tahoma"/>
          <w:sz w:val="24"/>
          <w:szCs w:val="22"/>
        </w:rPr>
      </w:pPr>
    </w:p>
    <w:p w14:paraId="4F77042C">
      <w:pPr>
        <w:spacing w:line="400" w:lineRule="exact"/>
        <w:ind w:left="1619" w:leftChars="771"/>
        <w:rPr>
          <w:rFonts w:ascii="宋体" w:hAnsi="宋体" w:cs="Tahoma"/>
          <w:sz w:val="24"/>
          <w:szCs w:val="22"/>
        </w:rPr>
      </w:pPr>
      <w:r>
        <w:rPr>
          <w:rFonts w:hint="eastAsia" w:ascii="宋体" w:hAnsi="宋体" w:cs="Tahoma"/>
          <w:sz w:val="24"/>
          <w:szCs w:val="22"/>
        </w:rPr>
        <w:t xml:space="preserve">乙方（供应商公章）名    称： </w:t>
      </w:r>
    </w:p>
    <w:p w14:paraId="277D7347">
      <w:pPr>
        <w:spacing w:line="400" w:lineRule="exact"/>
        <w:ind w:left="1619" w:leftChars="771"/>
        <w:rPr>
          <w:rFonts w:ascii="宋体" w:hAnsi="宋体" w:cs="Tahoma"/>
          <w:sz w:val="24"/>
          <w:szCs w:val="22"/>
        </w:rPr>
      </w:pPr>
      <w:r>
        <w:rPr>
          <w:rFonts w:hint="eastAsia" w:ascii="宋体" w:hAnsi="宋体" w:cs="Tahoma"/>
          <w:sz w:val="24"/>
          <w:szCs w:val="22"/>
        </w:rPr>
        <w:t>地    址：</w:t>
      </w:r>
    </w:p>
    <w:p w14:paraId="1A9CD4E9">
      <w:pPr>
        <w:spacing w:line="400" w:lineRule="exact"/>
        <w:ind w:left="1619" w:leftChars="771"/>
        <w:rPr>
          <w:rFonts w:ascii="宋体" w:hAnsi="宋体" w:cs="Tahoma"/>
          <w:sz w:val="24"/>
          <w:szCs w:val="22"/>
        </w:rPr>
      </w:pPr>
      <w:r>
        <w:rPr>
          <w:rFonts w:hint="eastAsia" w:ascii="宋体" w:hAnsi="宋体" w:cs="Tahoma"/>
          <w:sz w:val="24"/>
          <w:szCs w:val="22"/>
        </w:rPr>
        <w:t>邮    编：</w:t>
      </w:r>
    </w:p>
    <w:p w14:paraId="31FF194A">
      <w:pPr>
        <w:spacing w:line="400" w:lineRule="exact"/>
        <w:ind w:left="1619" w:leftChars="771"/>
        <w:rPr>
          <w:rFonts w:ascii="宋体" w:hAnsi="宋体" w:cs="Tahoma"/>
          <w:sz w:val="24"/>
          <w:szCs w:val="22"/>
        </w:rPr>
      </w:pPr>
      <w:r>
        <w:rPr>
          <w:rFonts w:hint="eastAsia" w:ascii="宋体" w:hAnsi="宋体" w:cs="Tahoma"/>
          <w:sz w:val="24"/>
          <w:szCs w:val="22"/>
        </w:rPr>
        <w:t>法定代表人或委托代理人：</w:t>
      </w:r>
    </w:p>
    <w:p w14:paraId="2D036070">
      <w:pPr>
        <w:spacing w:line="400" w:lineRule="exact"/>
        <w:ind w:left="1619" w:leftChars="771"/>
        <w:rPr>
          <w:rFonts w:ascii="宋体" w:hAnsi="宋体" w:cs="Tahoma"/>
          <w:sz w:val="24"/>
          <w:szCs w:val="22"/>
        </w:rPr>
      </w:pPr>
      <w:r>
        <w:rPr>
          <w:rFonts w:hint="eastAsia" w:ascii="宋体" w:hAnsi="宋体" w:cs="Tahoma"/>
          <w:sz w:val="24"/>
          <w:szCs w:val="22"/>
        </w:rPr>
        <w:t>经办人：</w:t>
      </w:r>
    </w:p>
    <w:p w14:paraId="1EE2FDB9">
      <w:pPr>
        <w:spacing w:line="400" w:lineRule="exact"/>
        <w:ind w:left="1619" w:leftChars="771"/>
        <w:rPr>
          <w:rFonts w:ascii="宋体" w:hAnsi="宋体" w:cs="Tahoma"/>
          <w:sz w:val="24"/>
          <w:szCs w:val="22"/>
        </w:rPr>
      </w:pPr>
      <w:r>
        <w:rPr>
          <w:rFonts w:hint="eastAsia" w:ascii="宋体" w:hAnsi="宋体" w:cs="Tahoma"/>
          <w:sz w:val="24"/>
          <w:szCs w:val="22"/>
        </w:rPr>
        <w:t>电话：</w:t>
      </w:r>
    </w:p>
    <w:p w14:paraId="167C0962">
      <w:pPr>
        <w:spacing w:line="400" w:lineRule="exact"/>
        <w:ind w:left="1619" w:leftChars="771"/>
        <w:rPr>
          <w:rFonts w:ascii="宋体" w:hAnsi="宋体" w:cs="Tahoma"/>
          <w:sz w:val="24"/>
          <w:szCs w:val="22"/>
        </w:rPr>
      </w:pPr>
      <w:r>
        <w:rPr>
          <w:rFonts w:hint="eastAsia" w:ascii="宋体" w:hAnsi="宋体" w:cs="Tahoma"/>
          <w:sz w:val="24"/>
          <w:szCs w:val="22"/>
        </w:rPr>
        <w:t>签订日期：</w:t>
      </w:r>
    </w:p>
    <w:p w14:paraId="6BB46B0B">
      <w:pPr>
        <w:spacing w:line="400" w:lineRule="exact"/>
        <w:ind w:left="1619" w:leftChars="771"/>
        <w:rPr>
          <w:rFonts w:ascii="宋体" w:hAnsi="宋体" w:cs="Tahoma"/>
          <w:sz w:val="24"/>
          <w:szCs w:val="22"/>
        </w:rPr>
      </w:pPr>
    </w:p>
    <w:p w14:paraId="496819AC">
      <w:pPr>
        <w:pStyle w:val="134"/>
        <w:adjustRightInd w:val="0"/>
        <w:snapToGrid w:val="0"/>
        <w:spacing w:line="560" w:lineRule="exact"/>
        <w:rPr>
          <w:rFonts w:hint="eastAsia" w:ascii="宋体" w:hAnsi="宋体"/>
          <w:b/>
          <w:bCs/>
          <w:sz w:val="32"/>
        </w:rPr>
      </w:pPr>
    </w:p>
    <w:p w14:paraId="1E1C184D">
      <w:pPr>
        <w:widowControl w:val="0"/>
        <w:tabs>
          <w:tab w:val="center" w:pos="4409"/>
        </w:tabs>
        <w:spacing w:line="360" w:lineRule="auto"/>
        <w:ind w:right="-512" w:rightChars="-244"/>
        <w:jc w:val="both"/>
        <w:rPr>
          <w:rFonts w:hint="eastAsia" w:ascii="宋体" w:hAnsi="宋体" w:eastAsia="宋体" w:cs="Times New Roman"/>
          <w:b/>
          <w:kern w:val="2"/>
          <w:sz w:val="21"/>
          <w:szCs w:val="21"/>
          <w:highlight w:val="none"/>
        </w:rPr>
      </w:pPr>
      <w:r>
        <w:rPr>
          <w:rFonts w:ascii="宋体" w:hAnsi="宋体"/>
          <w:sz w:val="28"/>
        </w:rPr>
        <w:br w:type="page"/>
      </w:r>
      <w:r>
        <w:rPr>
          <w:rFonts w:hint="eastAsia" w:ascii="宋体" w:hAnsi="宋体" w:eastAsia="宋体" w:cs="Times New Roman"/>
          <w:b/>
          <w:kern w:val="2"/>
          <w:sz w:val="21"/>
          <w:szCs w:val="21"/>
          <w:highlight w:val="none"/>
        </w:rPr>
        <w:t>甲方（需方）：</w:t>
      </w:r>
      <w:r>
        <w:rPr>
          <w:rFonts w:hint="eastAsia" w:ascii="宋体" w:hAnsi="宋体" w:eastAsia="宋体" w:cs="Times New Roman"/>
          <w:b/>
          <w:kern w:val="2"/>
          <w:sz w:val="21"/>
          <w:szCs w:val="21"/>
          <w:highlight w:val="none"/>
          <w:lang w:eastAsia="zh-CN"/>
        </w:rPr>
        <w:t>云南省滇南中心医院（红河哈尼族彝族自治州第一人民医院）</w:t>
      </w:r>
      <w:r>
        <w:rPr>
          <w:rFonts w:ascii="宋体" w:hAnsi="宋体" w:eastAsia="宋体" w:cs="Times New Roman"/>
          <w:b/>
          <w:kern w:val="2"/>
          <w:sz w:val="21"/>
          <w:szCs w:val="21"/>
          <w:highlight w:val="none"/>
        </w:rPr>
        <w:tab/>
      </w:r>
    </w:p>
    <w:p w14:paraId="41846393">
      <w:pPr>
        <w:widowControl w:val="0"/>
        <w:jc w:val="both"/>
        <w:rPr>
          <w:rFonts w:hint="eastAsia" w:ascii="宋体" w:hAnsi="宋体" w:eastAsia="宋体" w:cs="Times New Roman"/>
          <w:b/>
          <w:kern w:val="2"/>
          <w:sz w:val="21"/>
          <w:szCs w:val="21"/>
          <w:highlight w:val="none"/>
        </w:rPr>
      </w:pPr>
      <w:r>
        <w:rPr>
          <w:rFonts w:hint="eastAsia" w:ascii="宋体" w:hAnsi="宋体" w:eastAsia="宋体" w:cs="Times New Roman"/>
          <w:b/>
          <w:kern w:val="2"/>
          <w:sz w:val="21"/>
          <w:szCs w:val="21"/>
          <w:highlight w:val="none"/>
        </w:rPr>
        <w:t>乙方（供方）：</w:t>
      </w:r>
    </w:p>
    <w:p w14:paraId="185E031E">
      <w:pPr>
        <w:widowControl w:val="0"/>
        <w:spacing w:line="360" w:lineRule="auto"/>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ab/>
      </w:r>
      <w:r>
        <w:rPr>
          <w:rFonts w:hint="eastAsia" w:ascii="宋体" w:hAnsi="宋体" w:eastAsia="宋体" w:cs="Times New Roman"/>
          <w:kern w:val="2"/>
          <w:sz w:val="21"/>
          <w:szCs w:val="21"/>
          <w:highlight w:val="none"/>
          <w:lang w:val="en-US" w:eastAsia="zh-CN"/>
        </w:rPr>
        <w:t xml:space="preserve">  </w:t>
      </w:r>
      <w:r>
        <w:rPr>
          <w:rFonts w:hint="eastAsia" w:ascii="宋体" w:hAnsi="宋体" w:eastAsia="宋体" w:cs="Times New Roman"/>
          <w:kern w:val="2"/>
          <w:sz w:val="21"/>
          <w:szCs w:val="21"/>
          <w:highlight w:val="none"/>
        </w:rPr>
        <w:t>根据招标编号：________________的设备采购项目。按招评标结果及《中华人民共和国民法典》，经供需双方协商签订，乙方向甲方提供以下产品及双方各自信守的条款的合同。</w:t>
      </w:r>
    </w:p>
    <w:p w14:paraId="3D9A0D10">
      <w:pPr>
        <w:widowControl w:val="0"/>
        <w:tabs>
          <w:tab w:val="center" w:pos="4409"/>
        </w:tabs>
        <w:spacing w:line="360" w:lineRule="auto"/>
        <w:ind w:right="-512" w:rightChars="-244"/>
        <w:jc w:val="both"/>
        <w:rPr>
          <w:rFonts w:hint="eastAsia" w:ascii="宋体" w:hAnsi="宋体" w:eastAsia="宋体" w:cs="Times New Roman"/>
          <w:b/>
          <w:kern w:val="2"/>
          <w:sz w:val="21"/>
          <w:szCs w:val="21"/>
          <w:highlight w:val="none"/>
        </w:rPr>
      </w:pPr>
      <w:r>
        <w:rPr>
          <w:rFonts w:hint="eastAsia" w:ascii="宋体" w:hAnsi="宋体" w:eastAsia="宋体" w:cs="Times New Roman"/>
          <w:b/>
          <w:kern w:val="2"/>
          <w:sz w:val="21"/>
          <w:szCs w:val="21"/>
          <w:highlight w:val="none"/>
        </w:rPr>
        <w:t>使用科室</w:t>
      </w:r>
      <w:r>
        <w:rPr>
          <w:rFonts w:hint="eastAsia" w:ascii="宋体" w:hAnsi="宋体" w:eastAsia="宋体" w:cs="Times New Roman"/>
          <w:b/>
          <w:kern w:val="2"/>
          <w:sz w:val="21"/>
          <w:szCs w:val="21"/>
          <w:highlight w:val="none"/>
          <w:u w:val="single"/>
        </w:rPr>
        <w:t xml:space="preserve">：            </w:t>
      </w:r>
      <w:r>
        <w:rPr>
          <w:rFonts w:hint="eastAsia" w:ascii="宋体" w:hAnsi="宋体" w:eastAsia="宋体" w:cs="Times New Roman"/>
          <w:b/>
          <w:kern w:val="2"/>
          <w:sz w:val="21"/>
          <w:szCs w:val="21"/>
          <w:highlight w:val="none"/>
        </w:rPr>
        <w:t xml:space="preserve">  </w:t>
      </w:r>
    </w:p>
    <w:p w14:paraId="3A0907A7">
      <w:pPr>
        <w:widowControl w:val="0"/>
        <w:numPr>
          <w:ilvl w:val="0"/>
          <w:numId w:val="6"/>
        </w:numPr>
        <w:tabs>
          <w:tab w:val="left" w:pos="0"/>
          <w:tab w:val="clear" w:pos="840"/>
        </w:tabs>
        <w:spacing w:line="360" w:lineRule="auto"/>
        <w:ind w:left="840" w:hanging="420"/>
        <w:jc w:val="both"/>
        <w:rPr>
          <w:rFonts w:hint="eastAsia" w:ascii="Times New Roman" w:hAnsi="Times New Roman" w:eastAsia="宋体" w:cs="Times New Roman"/>
          <w:b/>
          <w:kern w:val="2"/>
          <w:sz w:val="21"/>
          <w:szCs w:val="21"/>
          <w:highlight w:val="none"/>
        </w:rPr>
      </w:pPr>
      <w:r>
        <w:rPr>
          <w:rFonts w:hint="eastAsia" w:ascii="Times New Roman" w:hAnsi="Times New Roman" w:eastAsia="宋体" w:cs="Times New Roman"/>
          <w:b/>
          <w:kern w:val="2"/>
          <w:sz w:val="21"/>
          <w:szCs w:val="21"/>
          <w:highlight w:val="none"/>
        </w:rPr>
        <w:t>签订产品清单及价格（此表须与招标文件一致）</w:t>
      </w:r>
    </w:p>
    <w:tbl>
      <w:tblPr>
        <w:tblStyle w:val="3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0"/>
        <w:gridCol w:w="1204"/>
        <w:gridCol w:w="854"/>
        <w:gridCol w:w="1156"/>
        <w:gridCol w:w="935"/>
        <w:gridCol w:w="1204"/>
        <w:gridCol w:w="866"/>
        <w:gridCol w:w="820"/>
        <w:gridCol w:w="987"/>
        <w:gridCol w:w="1154"/>
      </w:tblGrid>
      <w:tr w14:paraId="3191B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387" w:type="pct"/>
            <w:noWrap w:val="0"/>
            <w:vAlign w:val="center"/>
          </w:tcPr>
          <w:p w14:paraId="78734591">
            <w:pPr>
              <w:widowControl w:val="0"/>
              <w:spacing w:line="360" w:lineRule="auto"/>
              <w:jc w:val="center"/>
              <w:rPr>
                <w:rFonts w:hint="eastAsia" w:ascii="Times New Roman" w:hAnsi="Times New Roman" w:eastAsia="宋体" w:cs="Times New Roman"/>
                <w:b/>
                <w:kern w:val="2"/>
                <w:sz w:val="21"/>
                <w:szCs w:val="21"/>
                <w:highlight w:val="none"/>
              </w:rPr>
            </w:pPr>
            <w:r>
              <w:rPr>
                <w:rFonts w:hint="eastAsia" w:ascii="Times New Roman" w:hAnsi="Times New Roman" w:eastAsia="宋体" w:cs="Times New Roman"/>
                <w:b/>
                <w:kern w:val="2"/>
                <w:sz w:val="21"/>
                <w:szCs w:val="21"/>
                <w:highlight w:val="none"/>
              </w:rPr>
              <w:t>序号</w:t>
            </w:r>
          </w:p>
        </w:tc>
        <w:tc>
          <w:tcPr>
            <w:tcW w:w="605" w:type="pct"/>
            <w:noWrap w:val="0"/>
            <w:vAlign w:val="center"/>
          </w:tcPr>
          <w:p w14:paraId="710FD0C4">
            <w:pPr>
              <w:widowControl w:val="0"/>
              <w:spacing w:line="360" w:lineRule="auto"/>
              <w:ind w:firstLine="105" w:firstLineChars="50"/>
              <w:jc w:val="center"/>
              <w:rPr>
                <w:rFonts w:hint="eastAsia" w:ascii="Times New Roman" w:hAnsi="Times New Roman" w:eastAsia="宋体" w:cs="Times New Roman"/>
                <w:b/>
                <w:kern w:val="2"/>
                <w:sz w:val="21"/>
                <w:szCs w:val="21"/>
                <w:highlight w:val="none"/>
              </w:rPr>
            </w:pPr>
            <w:r>
              <w:rPr>
                <w:rFonts w:hint="eastAsia" w:ascii="Times New Roman" w:hAnsi="Times New Roman" w:eastAsia="宋体" w:cs="Times New Roman"/>
                <w:b/>
                <w:kern w:val="2"/>
                <w:sz w:val="21"/>
                <w:szCs w:val="21"/>
                <w:highlight w:val="none"/>
              </w:rPr>
              <w:t>设备名称</w:t>
            </w:r>
          </w:p>
        </w:tc>
        <w:tc>
          <w:tcPr>
            <w:tcW w:w="427" w:type="pct"/>
            <w:noWrap w:val="0"/>
            <w:vAlign w:val="center"/>
          </w:tcPr>
          <w:p w14:paraId="02056CD3">
            <w:pPr>
              <w:widowControl w:val="0"/>
              <w:spacing w:line="360" w:lineRule="auto"/>
              <w:jc w:val="center"/>
              <w:rPr>
                <w:rFonts w:hint="eastAsia" w:ascii="Times New Roman" w:hAnsi="Times New Roman" w:eastAsia="宋体" w:cs="Times New Roman"/>
                <w:b/>
                <w:kern w:val="2"/>
                <w:sz w:val="21"/>
                <w:szCs w:val="21"/>
                <w:highlight w:val="none"/>
              </w:rPr>
            </w:pPr>
            <w:r>
              <w:rPr>
                <w:rFonts w:hint="eastAsia" w:ascii="Times New Roman" w:hAnsi="Times New Roman" w:eastAsia="宋体" w:cs="Times New Roman"/>
                <w:b/>
                <w:kern w:val="2"/>
                <w:sz w:val="21"/>
                <w:szCs w:val="21"/>
                <w:highlight w:val="none"/>
              </w:rPr>
              <w:t>品牌</w:t>
            </w:r>
          </w:p>
        </w:tc>
        <w:tc>
          <w:tcPr>
            <w:tcW w:w="581" w:type="pct"/>
            <w:noWrap w:val="0"/>
            <w:vAlign w:val="center"/>
          </w:tcPr>
          <w:p w14:paraId="791B257D">
            <w:pPr>
              <w:widowControl w:val="0"/>
              <w:spacing w:line="360" w:lineRule="auto"/>
              <w:jc w:val="center"/>
              <w:rPr>
                <w:rFonts w:hint="eastAsia" w:ascii="Times New Roman" w:hAnsi="Times New Roman" w:eastAsia="宋体" w:cs="Times New Roman"/>
                <w:b/>
                <w:kern w:val="2"/>
                <w:sz w:val="21"/>
                <w:szCs w:val="21"/>
                <w:highlight w:val="none"/>
              </w:rPr>
            </w:pPr>
            <w:r>
              <w:rPr>
                <w:rFonts w:hint="eastAsia" w:ascii="Times New Roman" w:hAnsi="Times New Roman" w:eastAsia="宋体" w:cs="Times New Roman"/>
                <w:b/>
                <w:kern w:val="2"/>
                <w:sz w:val="21"/>
                <w:szCs w:val="21"/>
                <w:highlight w:val="none"/>
              </w:rPr>
              <w:t>设备型号</w:t>
            </w:r>
          </w:p>
        </w:tc>
        <w:tc>
          <w:tcPr>
            <w:tcW w:w="470" w:type="pct"/>
            <w:noWrap w:val="0"/>
            <w:vAlign w:val="center"/>
          </w:tcPr>
          <w:p w14:paraId="18FCC371">
            <w:pPr>
              <w:widowControl w:val="0"/>
              <w:spacing w:line="360" w:lineRule="auto"/>
              <w:jc w:val="center"/>
              <w:rPr>
                <w:rFonts w:hint="eastAsia" w:ascii="Times New Roman" w:hAnsi="Times New Roman" w:eastAsia="宋体" w:cs="Times New Roman"/>
                <w:b/>
                <w:kern w:val="2"/>
                <w:sz w:val="21"/>
                <w:szCs w:val="21"/>
                <w:highlight w:val="none"/>
              </w:rPr>
            </w:pPr>
            <w:r>
              <w:rPr>
                <w:rFonts w:hint="eastAsia" w:ascii="Times New Roman" w:hAnsi="Times New Roman" w:eastAsia="宋体" w:cs="Times New Roman"/>
                <w:b/>
                <w:kern w:val="2"/>
                <w:sz w:val="21"/>
                <w:szCs w:val="21"/>
                <w:highlight w:val="none"/>
              </w:rPr>
              <w:t>产地</w:t>
            </w:r>
          </w:p>
        </w:tc>
        <w:tc>
          <w:tcPr>
            <w:tcW w:w="605" w:type="pct"/>
            <w:noWrap w:val="0"/>
            <w:vAlign w:val="center"/>
          </w:tcPr>
          <w:p w14:paraId="1A8E3DFF">
            <w:pPr>
              <w:widowControl w:val="0"/>
              <w:spacing w:line="360" w:lineRule="auto"/>
              <w:ind w:firstLine="210" w:firstLineChars="100"/>
              <w:jc w:val="center"/>
              <w:rPr>
                <w:rFonts w:hint="eastAsia" w:ascii="Times New Roman" w:hAnsi="Times New Roman" w:eastAsia="宋体" w:cs="Times New Roman"/>
                <w:b/>
                <w:kern w:val="2"/>
                <w:sz w:val="21"/>
                <w:szCs w:val="21"/>
                <w:highlight w:val="none"/>
              </w:rPr>
            </w:pPr>
            <w:r>
              <w:rPr>
                <w:rFonts w:hint="eastAsia" w:ascii="Times New Roman" w:hAnsi="Times New Roman" w:eastAsia="宋体" w:cs="Times New Roman"/>
                <w:b/>
                <w:kern w:val="2"/>
                <w:sz w:val="21"/>
                <w:szCs w:val="21"/>
                <w:highlight w:val="none"/>
              </w:rPr>
              <w:t>注册证号</w:t>
            </w:r>
          </w:p>
        </w:tc>
        <w:tc>
          <w:tcPr>
            <w:tcW w:w="435" w:type="pct"/>
            <w:noWrap w:val="0"/>
            <w:vAlign w:val="center"/>
          </w:tcPr>
          <w:p w14:paraId="22BB7DC4">
            <w:pPr>
              <w:widowControl w:val="0"/>
              <w:spacing w:line="360" w:lineRule="auto"/>
              <w:ind w:firstLine="105" w:firstLineChars="50"/>
              <w:jc w:val="center"/>
              <w:rPr>
                <w:rFonts w:hint="eastAsia" w:ascii="Times New Roman" w:hAnsi="Times New Roman" w:eastAsia="宋体" w:cs="Times New Roman"/>
                <w:b/>
                <w:kern w:val="2"/>
                <w:sz w:val="21"/>
                <w:szCs w:val="21"/>
                <w:highlight w:val="none"/>
              </w:rPr>
            </w:pPr>
            <w:r>
              <w:rPr>
                <w:rFonts w:hint="eastAsia" w:ascii="Times New Roman" w:hAnsi="Times New Roman" w:eastAsia="宋体" w:cs="Times New Roman"/>
                <w:b/>
                <w:kern w:val="2"/>
                <w:sz w:val="21"/>
                <w:szCs w:val="21"/>
                <w:highlight w:val="none"/>
              </w:rPr>
              <w:t>生产厂家</w:t>
            </w:r>
          </w:p>
        </w:tc>
        <w:tc>
          <w:tcPr>
            <w:tcW w:w="412" w:type="pct"/>
            <w:noWrap w:val="0"/>
            <w:vAlign w:val="center"/>
          </w:tcPr>
          <w:p w14:paraId="41BE1A32">
            <w:pPr>
              <w:widowControl w:val="0"/>
              <w:spacing w:line="360" w:lineRule="auto"/>
              <w:jc w:val="center"/>
              <w:rPr>
                <w:rFonts w:hint="eastAsia" w:ascii="Times New Roman" w:hAnsi="Times New Roman" w:eastAsia="宋体" w:cs="Times New Roman"/>
                <w:b/>
                <w:kern w:val="2"/>
                <w:sz w:val="21"/>
                <w:szCs w:val="21"/>
                <w:highlight w:val="none"/>
              </w:rPr>
            </w:pPr>
            <w:r>
              <w:rPr>
                <w:rFonts w:hint="eastAsia" w:ascii="Times New Roman" w:hAnsi="Times New Roman" w:eastAsia="宋体" w:cs="Times New Roman"/>
                <w:b/>
                <w:kern w:val="2"/>
                <w:sz w:val="21"/>
                <w:szCs w:val="21"/>
                <w:highlight w:val="none"/>
              </w:rPr>
              <w:t>数量</w:t>
            </w:r>
          </w:p>
        </w:tc>
        <w:tc>
          <w:tcPr>
            <w:tcW w:w="496" w:type="pct"/>
            <w:noWrap w:val="0"/>
            <w:vAlign w:val="center"/>
          </w:tcPr>
          <w:p w14:paraId="5B724651">
            <w:pPr>
              <w:widowControl w:val="0"/>
              <w:spacing w:line="360" w:lineRule="auto"/>
              <w:jc w:val="center"/>
              <w:rPr>
                <w:rFonts w:hint="eastAsia" w:ascii="Times New Roman" w:hAnsi="Times New Roman" w:eastAsia="宋体" w:cs="Times New Roman"/>
                <w:b/>
                <w:kern w:val="2"/>
                <w:sz w:val="21"/>
                <w:szCs w:val="21"/>
                <w:highlight w:val="none"/>
              </w:rPr>
            </w:pPr>
            <w:r>
              <w:rPr>
                <w:rFonts w:hint="eastAsia" w:ascii="Times New Roman" w:hAnsi="Times New Roman" w:eastAsia="宋体" w:cs="Times New Roman"/>
                <w:b/>
                <w:kern w:val="2"/>
                <w:sz w:val="21"/>
                <w:szCs w:val="21"/>
                <w:highlight w:val="none"/>
              </w:rPr>
              <w:t>单价</w:t>
            </w:r>
          </w:p>
          <w:p w14:paraId="02EFE5D3">
            <w:pPr>
              <w:widowControl w:val="0"/>
              <w:spacing w:line="360" w:lineRule="auto"/>
              <w:jc w:val="center"/>
              <w:rPr>
                <w:rFonts w:hint="eastAsia" w:ascii="Times New Roman" w:hAnsi="Times New Roman" w:eastAsia="宋体" w:cs="Times New Roman"/>
                <w:b/>
                <w:kern w:val="2"/>
                <w:sz w:val="21"/>
                <w:szCs w:val="21"/>
                <w:highlight w:val="none"/>
              </w:rPr>
            </w:pPr>
            <w:r>
              <w:rPr>
                <w:rFonts w:hint="eastAsia" w:ascii="Times New Roman" w:hAnsi="Times New Roman" w:eastAsia="宋体" w:cs="Times New Roman"/>
                <w:b/>
                <w:kern w:val="2"/>
                <w:sz w:val="21"/>
                <w:szCs w:val="21"/>
                <w:highlight w:val="none"/>
              </w:rPr>
              <w:t>（人民币小写）</w:t>
            </w:r>
          </w:p>
        </w:tc>
        <w:tc>
          <w:tcPr>
            <w:tcW w:w="576" w:type="pct"/>
            <w:noWrap w:val="0"/>
            <w:vAlign w:val="center"/>
          </w:tcPr>
          <w:p w14:paraId="33CC6D49">
            <w:pPr>
              <w:widowControl w:val="0"/>
              <w:spacing w:line="360" w:lineRule="auto"/>
              <w:jc w:val="center"/>
              <w:rPr>
                <w:rFonts w:hint="eastAsia" w:ascii="Times New Roman" w:hAnsi="Times New Roman" w:eastAsia="宋体" w:cs="Times New Roman"/>
                <w:b/>
                <w:kern w:val="2"/>
                <w:sz w:val="21"/>
                <w:szCs w:val="21"/>
                <w:highlight w:val="none"/>
              </w:rPr>
            </w:pPr>
            <w:r>
              <w:rPr>
                <w:rFonts w:hint="eastAsia" w:ascii="Times New Roman" w:hAnsi="Times New Roman" w:eastAsia="宋体" w:cs="Times New Roman"/>
                <w:b/>
                <w:kern w:val="2"/>
                <w:sz w:val="21"/>
                <w:szCs w:val="21"/>
                <w:highlight w:val="none"/>
              </w:rPr>
              <w:t>总价     （人民币小写）</w:t>
            </w:r>
          </w:p>
        </w:tc>
      </w:tr>
      <w:tr w14:paraId="2468A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5" w:hRule="atLeast"/>
          <w:jc w:val="center"/>
        </w:trPr>
        <w:tc>
          <w:tcPr>
            <w:tcW w:w="387" w:type="pct"/>
            <w:noWrap w:val="0"/>
            <w:vAlign w:val="top"/>
          </w:tcPr>
          <w:p w14:paraId="5BB42EBB">
            <w:pPr>
              <w:widowControl w:val="0"/>
              <w:spacing w:line="360" w:lineRule="auto"/>
              <w:jc w:val="center"/>
              <w:rPr>
                <w:rFonts w:hint="eastAsia" w:ascii="Times New Roman" w:hAnsi="Times New Roman" w:eastAsia="宋体" w:cs="Times New Roman"/>
                <w:kern w:val="2"/>
                <w:sz w:val="21"/>
                <w:szCs w:val="21"/>
                <w:highlight w:val="none"/>
              </w:rPr>
            </w:pPr>
          </w:p>
        </w:tc>
        <w:tc>
          <w:tcPr>
            <w:tcW w:w="605" w:type="pct"/>
            <w:noWrap w:val="0"/>
            <w:vAlign w:val="top"/>
          </w:tcPr>
          <w:p w14:paraId="6C3E3A4E">
            <w:pPr>
              <w:widowControl w:val="0"/>
              <w:spacing w:line="360" w:lineRule="auto"/>
              <w:jc w:val="center"/>
              <w:rPr>
                <w:rFonts w:hint="eastAsia" w:ascii="Times New Roman" w:hAnsi="Times New Roman" w:eastAsia="宋体" w:cs="Times New Roman"/>
                <w:kern w:val="2"/>
                <w:sz w:val="21"/>
                <w:szCs w:val="21"/>
                <w:highlight w:val="none"/>
              </w:rPr>
            </w:pPr>
          </w:p>
        </w:tc>
        <w:tc>
          <w:tcPr>
            <w:tcW w:w="427" w:type="pct"/>
            <w:noWrap w:val="0"/>
            <w:vAlign w:val="top"/>
          </w:tcPr>
          <w:p w14:paraId="24372022">
            <w:pPr>
              <w:widowControl w:val="0"/>
              <w:spacing w:line="360" w:lineRule="auto"/>
              <w:jc w:val="center"/>
              <w:rPr>
                <w:rFonts w:hint="eastAsia" w:ascii="Times New Roman" w:hAnsi="Times New Roman" w:eastAsia="宋体" w:cs="Times New Roman"/>
                <w:kern w:val="2"/>
                <w:sz w:val="21"/>
                <w:szCs w:val="21"/>
                <w:highlight w:val="none"/>
              </w:rPr>
            </w:pPr>
          </w:p>
        </w:tc>
        <w:tc>
          <w:tcPr>
            <w:tcW w:w="581" w:type="pct"/>
            <w:noWrap w:val="0"/>
            <w:vAlign w:val="top"/>
          </w:tcPr>
          <w:p w14:paraId="0AC7E8C3">
            <w:pPr>
              <w:widowControl w:val="0"/>
              <w:spacing w:line="360" w:lineRule="auto"/>
              <w:jc w:val="center"/>
              <w:rPr>
                <w:rFonts w:hint="eastAsia" w:ascii="Times New Roman" w:hAnsi="Times New Roman" w:eastAsia="宋体" w:cs="Times New Roman"/>
                <w:kern w:val="2"/>
                <w:sz w:val="21"/>
                <w:szCs w:val="21"/>
                <w:highlight w:val="none"/>
              </w:rPr>
            </w:pPr>
          </w:p>
        </w:tc>
        <w:tc>
          <w:tcPr>
            <w:tcW w:w="470" w:type="pct"/>
            <w:noWrap w:val="0"/>
            <w:vAlign w:val="top"/>
          </w:tcPr>
          <w:p w14:paraId="713EE2BB">
            <w:pPr>
              <w:widowControl w:val="0"/>
              <w:spacing w:line="360" w:lineRule="auto"/>
              <w:jc w:val="center"/>
              <w:rPr>
                <w:rFonts w:hint="eastAsia" w:ascii="Times New Roman" w:hAnsi="Times New Roman" w:eastAsia="宋体" w:cs="Times New Roman"/>
                <w:kern w:val="2"/>
                <w:sz w:val="21"/>
                <w:szCs w:val="21"/>
                <w:highlight w:val="none"/>
              </w:rPr>
            </w:pPr>
          </w:p>
        </w:tc>
        <w:tc>
          <w:tcPr>
            <w:tcW w:w="605" w:type="pct"/>
            <w:noWrap w:val="0"/>
            <w:vAlign w:val="top"/>
          </w:tcPr>
          <w:p w14:paraId="61CA8234">
            <w:pPr>
              <w:widowControl w:val="0"/>
              <w:spacing w:line="360" w:lineRule="auto"/>
              <w:jc w:val="center"/>
              <w:rPr>
                <w:rFonts w:hint="eastAsia" w:ascii="Times New Roman" w:hAnsi="Times New Roman" w:eastAsia="宋体" w:cs="Times New Roman"/>
                <w:kern w:val="2"/>
                <w:sz w:val="21"/>
                <w:szCs w:val="21"/>
                <w:highlight w:val="none"/>
              </w:rPr>
            </w:pPr>
          </w:p>
        </w:tc>
        <w:tc>
          <w:tcPr>
            <w:tcW w:w="435" w:type="pct"/>
            <w:noWrap w:val="0"/>
            <w:vAlign w:val="top"/>
          </w:tcPr>
          <w:p w14:paraId="2D949A01">
            <w:pPr>
              <w:widowControl w:val="0"/>
              <w:spacing w:line="360" w:lineRule="auto"/>
              <w:jc w:val="center"/>
              <w:rPr>
                <w:rFonts w:hint="eastAsia" w:ascii="Times New Roman" w:hAnsi="Times New Roman" w:eastAsia="宋体" w:cs="Times New Roman"/>
                <w:kern w:val="2"/>
                <w:sz w:val="21"/>
                <w:szCs w:val="21"/>
                <w:highlight w:val="none"/>
              </w:rPr>
            </w:pPr>
          </w:p>
        </w:tc>
        <w:tc>
          <w:tcPr>
            <w:tcW w:w="412" w:type="pct"/>
            <w:noWrap w:val="0"/>
            <w:vAlign w:val="top"/>
          </w:tcPr>
          <w:p w14:paraId="02107815">
            <w:pPr>
              <w:widowControl w:val="0"/>
              <w:spacing w:line="360" w:lineRule="auto"/>
              <w:jc w:val="center"/>
              <w:rPr>
                <w:rFonts w:hint="eastAsia" w:ascii="Times New Roman" w:hAnsi="Times New Roman" w:eastAsia="宋体" w:cs="Times New Roman"/>
                <w:kern w:val="2"/>
                <w:sz w:val="21"/>
                <w:szCs w:val="21"/>
                <w:highlight w:val="none"/>
              </w:rPr>
            </w:pPr>
          </w:p>
        </w:tc>
        <w:tc>
          <w:tcPr>
            <w:tcW w:w="496" w:type="pct"/>
            <w:noWrap w:val="0"/>
            <w:vAlign w:val="top"/>
          </w:tcPr>
          <w:p w14:paraId="5BF2D4BF">
            <w:pPr>
              <w:widowControl w:val="0"/>
              <w:spacing w:line="360" w:lineRule="auto"/>
              <w:jc w:val="center"/>
              <w:rPr>
                <w:rFonts w:hint="eastAsia" w:ascii="Times New Roman" w:hAnsi="Times New Roman" w:eastAsia="宋体" w:cs="Times New Roman"/>
                <w:kern w:val="2"/>
                <w:sz w:val="21"/>
                <w:szCs w:val="21"/>
                <w:highlight w:val="none"/>
              </w:rPr>
            </w:pPr>
          </w:p>
        </w:tc>
        <w:tc>
          <w:tcPr>
            <w:tcW w:w="576" w:type="pct"/>
            <w:noWrap w:val="0"/>
            <w:vAlign w:val="top"/>
          </w:tcPr>
          <w:p w14:paraId="1844EEF7">
            <w:pPr>
              <w:widowControl w:val="0"/>
              <w:spacing w:line="360" w:lineRule="auto"/>
              <w:jc w:val="center"/>
              <w:rPr>
                <w:rFonts w:hint="eastAsia" w:ascii="Times New Roman" w:hAnsi="Times New Roman" w:eastAsia="宋体" w:cs="Times New Roman"/>
                <w:kern w:val="2"/>
                <w:sz w:val="21"/>
                <w:szCs w:val="21"/>
                <w:highlight w:val="none"/>
              </w:rPr>
            </w:pPr>
          </w:p>
        </w:tc>
      </w:tr>
      <w:tr w14:paraId="4F077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3" w:hRule="atLeast"/>
          <w:jc w:val="center"/>
        </w:trPr>
        <w:tc>
          <w:tcPr>
            <w:tcW w:w="1421" w:type="pct"/>
            <w:gridSpan w:val="3"/>
            <w:noWrap w:val="0"/>
            <w:vAlign w:val="center"/>
          </w:tcPr>
          <w:p w14:paraId="1481CCBE">
            <w:pPr>
              <w:widowControl w:val="0"/>
              <w:spacing w:line="360" w:lineRule="auto"/>
              <w:jc w:val="center"/>
              <w:rPr>
                <w:rFonts w:hint="eastAsia" w:ascii="Times New Roman" w:hAnsi="Times New Roman" w:eastAsia="宋体" w:cs="Times New Roman"/>
                <w:b/>
                <w:kern w:val="2"/>
                <w:sz w:val="21"/>
                <w:szCs w:val="21"/>
                <w:highlight w:val="none"/>
              </w:rPr>
            </w:pPr>
            <w:r>
              <w:rPr>
                <w:rFonts w:hint="eastAsia" w:ascii="Times New Roman" w:hAnsi="Times New Roman" w:eastAsia="宋体" w:cs="Times New Roman"/>
                <w:b/>
                <w:kern w:val="2"/>
                <w:sz w:val="21"/>
                <w:szCs w:val="21"/>
                <w:highlight w:val="none"/>
              </w:rPr>
              <w:t>合同合计总价（人民币大写）：</w:t>
            </w:r>
          </w:p>
        </w:tc>
        <w:tc>
          <w:tcPr>
            <w:tcW w:w="3578" w:type="pct"/>
            <w:gridSpan w:val="7"/>
            <w:noWrap w:val="0"/>
            <w:vAlign w:val="center"/>
          </w:tcPr>
          <w:p w14:paraId="07035923">
            <w:pPr>
              <w:widowControl w:val="0"/>
              <w:spacing w:line="360" w:lineRule="auto"/>
              <w:jc w:val="center"/>
              <w:rPr>
                <w:rFonts w:hint="eastAsia" w:ascii="Times New Roman" w:hAnsi="Times New Roman" w:eastAsia="宋体" w:cs="Times New Roman"/>
                <w:b/>
                <w:kern w:val="2"/>
                <w:sz w:val="21"/>
                <w:szCs w:val="21"/>
                <w:highlight w:val="none"/>
              </w:rPr>
            </w:pPr>
          </w:p>
        </w:tc>
      </w:tr>
      <w:tr w14:paraId="3103C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5000" w:type="pct"/>
            <w:gridSpan w:val="10"/>
            <w:tcBorders>
              <w:left w:val="nil"/>
              <w:bottom w:val="nil"/>
              <w:right w:val="nil"/>
            </w:tcBorders>
            <w:noWrap w:val="0"/>
            <w:vAlign w:val="center"/>
          </w:tcPr>
          <w:p w14:paraId="37FB018F">
            <w:pPr>
              <w:widowControl w:val="0"/>
              <w:spacing w:line="360" w:lineRule="auto"/>
              <w:jc w:val="left"/>
              <w:rPr>
                <w:rFonts w:hint="eastAsia" w:ascii="Times New Roman" w:hAnsi="Times New Roman" w:eastAsia="宋体" w:cs="Times New Roman"/>
                <w:b/>
                <w:kern w:val="2"/>
                <w:sz w:val="21"/>
                <w:szCs w:val="21"/>
                <w:highlight w:val="none"/>
              </w:rPr>
            </w:pPr>
            <w:r>
              <w:rPr>
                <w:rFonts w:hint="eastAsia" w:ascii="宋体" w:hAnsi="宋体" w:eastAsia="宋体" w:cs="Times New Roman"/>
                <w:kern w:val="2"/>
                <w:sz w:val="21"/>
                <w:szCs w:val="21"/>
                <w:highlight w:val="none"/>
              </w:rPr>
              <w:t>价格为交货价包括一切运费、保险及税费、报关手续费，并包含吊装、安装、调试、培训等全部费用。</w:t>
            </w:r>
          </w:p>
        </w:tc>
      </w:tr>
    </w:tbl>
    <w:p w14:paraId="62B51A26">
      <w:pPr>
        <w:widowControl w:val="0"/>
        <w:numPr>
          <w:ilvl w:val="0"/>
          <w:numId w:val="0"/>
        </w:numPr>
        <w:tabs>
          <w:tab w:val="left" w:pos="0"/>
        </w:tabs>
        <w:spacing w:line="360" w:lineRule="auto"/>
        <w:ind w:leftChars="0"/>
        <w:jc w:val="both"/>
        <w:rPr>
          <w:rFonts w:hint="eastAsia" w:ascii="Times New Roman" w:hAnsi="Times New Roman" w:eastAsia="宋体" w:cs="Times New Roman"/>
          <w:b/>
          <w:kern w:val="2"/>
          <w:sz w:val="21"/>
          <w:szCs w:val="21"/>
          <w:highlight w:val="none"/>
        </w:rPr>
      </w:pPr>
      <w:r>
        <w:rPr>
          <w:rFonts w:hint="eastAsia" w:ascii="Times New Roman" w:hAnsi="Times New Roman" w:eastAsia="宋体" w:cs="Times New Roman"/>
          <w:b/>
          <w:kern w:val="2"/>
          <w:sz w:val="21"/>
          <w:szCs w:val="21"/>
          <w:highlight w:val="none"/>
          <w:lang w:val="en-US" w:eastAsia="zh-CN"/>
        </w:rPr>
        <w:t>二、</w:t>
      </w:r>
      <w:r>
        <w:rPr>
          <w:rFonts w:hint="eastAsia" w:ascii="Times New Roman" w:hAnsi="Times New Roman" w:eastAsia="宋体" w:cs="Times New Roman"/>
          <w:b/>
          <w:kern w:val="2"/>
          <w:sz w:val="21"/>
          <w:szCs w:val="21"/>
          <w:highlight w:val="none"/>
        </w:rPr>
        <w:t>履行合同双方责任约定</w:t>
      </w:r>
    </w:p>
    <w:p w14:paraId="3E1E1F3A">
      <w:pPr>
        <w:widowControl w:val="0"/>
        <w:numPr>
          <w:ilvl w:val="0"/>
          <w:numId w:val="7"/>
        </w:numPr>
        <w:spacing w:line="360" w:lineRule="auto"/>
        <w:ind w:left="862" w:hanging="720"/>
        <w:jc w:val="both"/>
        <w:rPr>
          <w:rFonts w:hint="eastAsia" w:ascii="宋体" w:hAnsi="宋体" w:eastAsia="宋体" w:cs="Times New Roman"/>
          <w:b/>
          <w:bCs/>
          <w:kern w:val="2"/>
          <w:sz w:val="21"/>
          <w:szCs w:val="21"/>
          <w:highlight w:val="none"/>
        </w:rPr>
      </w:pPr>
      <w:r>
        <w:rPr>
          <w:rFonts w:hint="eastAsia" w:ascii="宋体" w:hAnsi="宋体" w:eastAsia="宋体" w:cs="Times New Roman"/>
          <w:b/>
          <w:bCs/>
          <w:kern w:val="2"/>
          <w:sz w:val="21"/>
          <w:szCs w:val="21"/>
          <w:highlight w:val="none"/>
        </w:rPr>
        <w:t>乙方责任</w:t>
      </w:r>
    </w:p>
    <w:p w14:paraId="47C5E1A5">
      <w:pPr>
        <w:widowControl w:val="0"/>
        <w:numPr>
          <w:ilvl w:val="0"/>
          <w:numId w:val="8"/>
        </w:numPr>
        <w:spacing w:line="360" w:lineRule="auto"/>
        <w:ind w:left="780" w:hanging="36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供方确保所供产品，在品牌、型号、厂家及各项性能指标，完全符合招投标的要求。（除非需方另有特殊要求）。</w:t>
      </w:r>
    </w:p>
    <w:p w14:paraId="2F1A695B">
      <w:pPr>
        <w:widowControl w:val="0"/>
        <w:numPr>
          <w:ilvl w:val="0"/>
          <w:numId w:val="8"/>
        </w:numPr>
        <w:spacing w:line="360" w:lineRule="auto"/>
        <w:ind w:left="780" w:hanging="36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乙方确保所供产品，为全新原装，并具有国家相关部门注册，符合国家质量检测标准。进口产品具备国家相关部门要求的完整手续。</w:t>
      </w:r>
    </w:p>
    <w:p w14:paraId="369AA6DC">
      <w:pPr>
        <w:widowControl w:val="0"/>
        <w:numPr>
          <w:ilvl w:val="0"/>
          <w:numId w:val="8"/>
        </w:numPr>
        <w:spacing w:line="360" w:lineRule="auto"/>
        <w:ind w:left="780" w:hanging="36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乙方确保所供进口产品的电源及电源插头，符合中国要求，并具备中、英操作说明书及电子产品的电子电气结构线路图，保证所供设备的电子元件编码标识清晰，符合使用方验收条件。</w:t>
      </w:r>
    </w:p>
    <w:p w14:paraId="6A5E49F8">
      <w:pPr>
        <w:widowControl w:val="0"/>
        <w:numPr>
          <w:ilvl w:val="0"/>
          <w:numId w:val="8"/>
        </w:numPr>
        <w:spacing w:line="360" w:lineRule="auto"/>
        <w:ind w:left="780" w:hanging="36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乙方确保所供产品全部实行三包。因产品质量问题，由供方负责，并承诺对该产品自院方验收日起实行包含配件的免费保修</w:t>
      </w:r>
      <w:r>
        <w:rPr>
          <w:rFonts w:hint="eastAsia" w:ascii="宋体" w:hAnsi="宋体" w:eastAsia="宋体" w:cs="Times New Roman"/>
          <w:kern w:val="2"/>
          <w:sz w:val="21"/>
          <w:szCs w:val="21"/>
          <w:highlight w:val="none"/>
          <w:u w:val="single"/>
          <w:lang w:val="en-US" w:eastAsia="zh-CN"/>
        </w:rPr>
        <w:t xml:space="preserve">       </w:t>
      </w:r>
      <w:r>
        <w:rPr>
          <w:rFonts w:hint="eastAsia" w:ascii="宋体" w:hAnsi="宋体" w:eastAsia="宋体" w:cs="Times New Roman"/>
          <w:kern w:val="2"/>
          <w:sz w:val="21"/>
          <w:szCs w:val="21"/>
          <w:highlight w:val="none"/>
        </w:rPr>
        <w:t>年。如乙方没有按照合同约定履行三包义务的，甲方可以任意选择如下两种方式之一要求乙方承担违约责任：一、每延期一天按照设备在停止使用前七个工作日内的日平均收入向甲方承担赔偿责任。如设备所在科室在该七个工作日内使用同类产品设备超过一台导致无法区分乙方所供设备日平均收入的，以该科室所使用的全部同类产品设备日平均收入除以产品设备数量所得单台设备日平均收入作为计算依据；二、按照延期时间的5倍增加保修时间（如：延期2天的，增加保修时间至10天）。如该产品属于某种设备的附属物，而因该设备的原因导致该设备无法使用的，甲方也可以比照本条违约责任第一项按照设备的日平均收入要求乙方承担赔偿责任或按照第二项要求承担延长保修时间的责任。</w:t>
      </w:r>
    </w:p>
    <w:p w14:paraId="1127BD8A">
      <w:pPr>
        <w:widowControl w:val="0"/>
        <w:numPr>
          <w:ilvl w:val="0"/>
          <w:numId w:val="8"/>
        </w:numPr>
        <w:spacing w:line="360" w:lineRule="auto"/>
        <w:ind w:left="780" w:hanging="36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在产品操作重要部位，标有中文操作的警告标示。</w:t>
      </w:r>
    </w:p>
    <w:p w14:paraId="2240380D">
      <w:pPr>
        <w:widowControl w:val="0"/>
        <w:numPr>
          <w:ilvl w:val="0"/>
          <w:numId w:val="8"/>
        </w:numPr>
        <w:spacing w:line="360" w:lineRule="auto"/>
        <w:ind w:left="780" w:hanging="36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乙方负责设备运至使用方机房，并安装调试正常。同时负责一切装卸搬运、安装、商检工作及计量检测鉴定的费用，在验收合格之前出现的自然损坏或质量问题均由乙方负责。</w:t>
      </w:r>
    </w:p>
    <w:p w14:paraId="316F0BC3">
      <w:pPr>
        <w:widowControl w:val="0"/>
        <w:numPr>
          <w:ilvl w:val="0"/>
          <w:numId w:val="8"/>
        </w:numPr>
        <w:spacing w:line="360" w:lineRule="auto"/>
        <w:ind w:left="780" w:hanging="36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设备运至医院时乙方必须先通知设备物资科，由设备物资科安排工程师协同安装，以免无安装材料而影响验收工作。</w:t>
      </w:r>
    </w:p>
    <w:p w14:paraId="2F6171A2">
      <w:pPr>
        <w:widowControl w:val="0"/>
        <w:numPr>
          <w:ilvl w:val="0"/>
          <w:numId w:val="8"/>
        </w:numPr>
        <w:spacing w:line="360" w:lineRule="auto"/>
        <w:ind w:left="780" w:hanging="36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所供产品，由乙方派工程技术人员到需方指定地点，安装并培训操作人员。</w:t>
      </w:r>
    </w:p>
    <w:p w14:paraId="2DE88000">
      <w:pPr>
        <w:widowControl w:val="0"/>
        <w:numPr>
          <w:ilvl w:val="0"/>
          <w:numId w:val="8"/>
        </w:numPr>
        <w:spacing w:line="360" w:lineRule="auto"/>
        <w:ind w:left="780" w:hanging="36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乙方承诺对其所开具的发票的真实合法承担其相应责任。</w:t>
      </w:r>
    </w:p>
    <w:p w14:paraId="54DCEF4C">
      <w:pPr>
        <w:widowControl w:val="0"/>
        <w:numPr>
          <w:ilvl w:val="0"/>
          <w:numId w:val="7"/>
        </w:numPr>
        <w:tabs>
          <w:tab w:val="left" w:pos="540"/>
        </w:tabs>
        <w:spacing w:line="360" w:lineRule="auto"/>
        <w:ind w:left="720" w:hanging="180"/>
        <w:jc w:val="both"/>
        <w:rPr>
          <w:rFonts w:hint="eastAsia" w:ascii="宋体" w:hAnsi="宋体" w:eastAsia="宋体" w:cs="Times New Roman"/>
          <w:b/>
          <w:bCs/>
          <w:kern w:val="2"/>
          <w:sz w:val="21"/>
          <w:szCs w:val="21"/>
          <w:highlight w:val="none"/>
        </w:rPr>
      </w:pPr>
      <w:r>
        <w:rPr>
          <w:rFonts w:hint="eastAsia" w:ascii="宋体" w:hAnsi="宋体" w:eastAsia="宋体" w:cs="Times New Roman"/>
          <w:b/>
          <w:bCs/>
          <w:kern w:val="2"/>
          <w:sz w:val="21"/>
          <w:szCs w:val="21"/>
          <w:highlight w:val="none"/>
        </w:rPr>
        <w:t>甲方责任</w:t>
      </w:r>
    </w:p>
    <w:p w14:paraId="19EB510C">
      <w:pPr>
        <w:widowControl w:val="0"/>
        <w:numPr>
          <w:ilvl w:val="0"/>
          <w:numId w:val="9"/>
        </w:numPr>
        <w:spacing w:line="360" w:lineRule="auto"/>
        <w:ind w:left="644" w:hanging="36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负责提供产品安装、培训场地。</w:t>
      </w:r>
    </w:p>
    <w:p w14:paraId="1284C779">
      <w:pPr>
        <w:widowControl w:val="0"/>
        <w:numPr>
          <w:ilvl w:val="0"/>
          <w:numId w:val="9"/>
        </w:numPr>
        <w:spacing w:line="360" w:lineRule="auto"/>
        <w:ind w:left="644" w:hanging="36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负责组织使用操作人员、设备物资科工程师及乙方人员，进行产品的安装、调试、培训及移交工作。</w:t>
      </w:r>
    </w:p>
    <w:p w14:paraId="5E953140">
      <w:pPr>
        <w:widowControl w:val="0"/>
        <w:numPr>
          <w:ilvl w:val="0"/>
          <w:numId w:val="9"/>
        </w:numPr>
        <w:spacing w:line="360" w:lineRule="auto"/>
        <w:ind w:left="644" w:hanging="36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负责按甲方工作程序，组织对产品试用后按投标产品的性能、配置及中文使用手册，电子结构线路图等资料的验收工作。</w:t>
      </w:r>
    </w:p>
    <w:p w14:paraId="77D0DB8C">
      <w:pPr>
        <w:widowControl w:val="0"/>
        <w:numPr>
          <w:ilvl w:val="0"/>
          <w:numId w:val="9"/>
        </w:numPr>
        <w:spacing w:line="360" w:lineRule="auto"/>
        <w:ind w:left="644" w:hanging="36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负责在产品全部相关手续办齐后，按甲方付款程序付款。付款方式：</w:t>
      </w:r>
      <w:r>
        <w:rPr>
          <w:rFonts w:hint="eastAsia" w:ascii="宋体" w:hAnsi="宋体" w:eastAsia="宋体"/>
          <w:color w:val="000000"/>
          <w:sz w:val="21"/>
          <w:szCs w:val="21"/>
          <w:highlight w:val="none"/>
          <w:u w:val="single"/>
          <w:lang w:val="en-US" w:eastAsia="zh-CN"/>
        </w:rPr>
        <w:t>双方协商后签订</w:t>
      </w:r>
      <w:r>
        <w:rPr>
          <w:rFonts w:hint="eastAsia" w:ascii="宋体" w:hAnsi="宋体" w:eastAsia="宋体" w:cs="Times New Roman"/>
          <w:kern w:val="2"/>
          <w:sz w:val="21"/>
          <w:szCs w:val="21"/>
          <w:highlight w:val="none"/>
        </w:rPr>
        <w:t>。</w:t>
      </w:r>
    </w:p>
    <w:p w14:paraId="1F80B921">
      <w:pPr>
        <w:widowControl w:val="0"/>
        <w:numPr>
          <w:ilvl w:val="0"/>
          <w:numId w:val="7"/>
        </w:numPr>
        <w:spacing w:line="360" w:lineRule="auto"/>
        <w:ind w:left="862" w:hanging="720"/>
        <w:jc w:val="both"/>
        <w:rPr>
          <w:rFonts w:hint="eastAsia" w:ascii="宋体" w:hAnsi="宋体" w:eastAsia="宋体" w:cs="Times New Roman"/>
          <w:b/>
          <w:bCs/>
          <w:kern w:val="2"/>
          <w:sz w:val="21"/>
          <w:szCs w:val="21"/>
          <w:highlight w:val="none"/>
        </w:rPr>
      </w:pPr>
      <w:r>
        <w:rPr>
          <w:rFonts w:hint="eastAsia" w:ascii="宋体" w:hAnsi="宋体" w:eastAsia="宋体" w:cs="Times New Roman"/>
          <w:b/>
          <w:bCs/>
          <w:kern w:val="2"/>
          <w:sz w:val="21"/>
          <w:szCs w:val="21"/>
          <w:highlight w:val="none"/>
        </w:rPr>
        <w:t>不可抗力</w:t>
      </w:r>
    </w:p>
    <w:p w14:paraId="279FB0A2">
      <w:pPr>
        <w:widowControl w:val="0"/>
        <w:spacing w:line="360" w:lineRule="auto"/>
        <w:ind w:left="42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甲乙双方因国家政府行为、交通事故、自然灾害、火灾、战争等无法预见的不可抗力不能履行本合同的义务时，均不承担责任，而有关处理事项须双方协调解决。</w:t>
      </w:r>
    </w:p>
    <w:p w14:paraId="54F201B4">
      <w:pPr>
        <w:widowControl w:val="0"/>
        <w:numPr>
          <w:ilvl w:val="0"/>
          <w:numId w:val="7"/>
        </w:numPr>
        <w:spacing w:line="360" w:lineRule="auto"/>
        <w:ind w:left="862" w:hanging="720"/>
        <w:jc w:val="both"/>
        <w:rPr>
          <w:rFonts w:hint="eastAsia" w:ascii="宋体" w:hAnsi="宋体" w:eastAsia="宋体" w:cs="Times New Roman"/>
          <w:b/>
          <w:bCs/>
          <w:kern w:val="2"/>
          <w:sz w:val="21"/>
          <w:szCs w:val="21"/>
          <w:highlight w:val="none"/>
        </w:rPr>
      </w:pPr>
      <w:r>
        <w:rPr>
          <w:rFonts w:hint="eastAsia" w:ascii="宋体" w:hAnsi="宋体" w:eastAsia="宋体" w:cs="Times New Roman"/>
          <w:b/>
          <w:bCs/>
          <w:kern w:val="2"/>
          <w:sz w:val="21"/>
          <w:szCs w:val="21"/>
          <w:highlight w:val="none"/>
        </w:rPr>
        <w:t>交货时间及地点：</w:t>
      </w:r>
    </w:p>
    <w:p w14:paraId="6D440DC5">
      <w:pPr>
        <w:widowControl w:val="0"/>
        <w:spacing w:line="360" w:lineRule="auto"/>
        <w:ind w:left="420" w:leftChars="200" w:firstLine="4" w:firstLineChars="2"/>
        <w:jc w:val="both"/>
        <w:rPr>
          <w:rFonts w:hint="eastAsia" w:ascii="宋体" w:hAnsi="宋体" w:eastAsia="宋体" w:cs="Times New Roman"/>
          <w:kern w:val="2"/>
          <w:sz w:val="21"/>
          <w:szCs w:val="21"/>
          <w:highlight w:val="none"/>
          <w:u w:val="single"/>
        </w:rPr>
      </w:pPr>
      <w:r>
        <w:rPr>
          <w:rFonts w:hint="eastAsia" w:ascii="宋体" w:hAnsi="宋体" w:eastAsia="宋体" w:cs="Times New Roman"/>
          <w:kern w:val="2"/>
          <w:sz w:val="21"/>
          <w:szCs w:val="21"/>
          <w:highlight w:val="none"/>
        </w:rPr>
        <w:t>1．交货时间：</w:t>
      </w:r>
      <w:r>
        <w:rPr>
          <w:rFonts w:hint="eastAsia" w:ascii="宋体" w:hAnsi="宋体" w:eastAsia="宋体" w:cs="Times New Roman"/>
          <w:kern w:val="2"/>
          <w:sz w:val="21"/>
          <w:szCs w:val="21"/>
          <w:highlight w:val="none"/>
          <w:u w:val="single"/>
        </w:rPr>
        <w:t xml:space="preserve">_    </w:t>
      </w:r>
      <w:r>
        <w:rPr>
          <w:rFonts w:hint="eastAsia" w:ascii="宋体" w:hAnsi="宋体" w:eastAsia="宋体" w:cs="Times New Roman"/>
          <w:kern w:val="2"/>
          <w:sz w:val="21"/>
          <w:szCs w:val="21"/>
          <w:highlight w:val="none"/>
        </w:rPr>
        <w:t>。若延期交货，乙方每天应向甲方缴纳延期额的千分之一作为违约金。因不可抗拒力所导致的交货、服务及付款延迟等按照《中华人民共和国民法典》有关条文处理。逾期30</w:t>
      </w:r>
      <w:r>
        <w:rPr>
          <w:rFonts w:hint="eastAsia" w:ascii="宋体" w:hAnsi="宋体" w:eastAsia="宋体" w:cs="Times New Roman"/>
          <w:kern w:val="2"/>
          <w:sz w:val="21"/>
          <w:szCs w:val="21"/>
          <w:highlight w:val="none"/>
          <w:lang w:val="en-US" w:eastAsia="zh-CN"/>
        </w:rPr>
        <w:t>日</w:t>
      </w:r>
      <w:r>
        <w:rPr>
          <w:rFonts w:hint="eastAsia" w:ascii="宋体" w:hAnsi="宋体" w:eastAsia="宋体" w:cs="Times New Roman"/>
          <w:kern w:val="2"/>
          <w:sz w:val="21"/>
          <w:szCs w:val="21"/>
          <w:highlight w:val="none"/>
        </w:rPr>
        <w:t>，甲方有权解除合同、拒付本合同项下的价款并追究乙方违约责任，乙方向甲方支付合同总价款30%的违约金并赔偿甲方因此而遭受的损失。</w:t>
      </w:r>
      <w:r>
        <w:rPr>
          <w:rFonts w:hint="eastAsia" w:ascii="宋体" w:hAnsi="宋体" w:eastAsia="宋体" w:cs="Times New Roman"/>
          <w:kern w:val="2"/>
          <w:sz w:val="21"/>
          <w:szCs w:val="21"/>
          <w:highlight w:val="none"/>
        </w:rPr>
        <w:br w:type="textWrapping"/>
      </w:r>
      <w:r>
        <w:rPr>
          <w:rFonts w:hint="eastAsia" w:ascii="宋体" w:hAnsi="宋体" w:eastAsia="宋体" w:cs="Times New Roman"/>
          <w:kern w:val="2"/>
          <w:sz w:val="21"/>
          <w:szCs w:val="21"/>
          <w:highlight w:val="none"/>
        </w:rPr>
        <w:t>2．交货地点：送货上门到甲方指定的地点，</w:t>
      </w:r>
      <w:r>
        <w:rPr>
          <w:rFonts w:hint="eastAsia" w:ascii="宋体" w:hAnsi="宋体" w:eastAsia="宋体" w:cs="Times New Roman"/>
          <w:kern w:val="2"/>
          <w:sz w:val="21"/>
          <w:szCs w:val="21"/>
          <w:highlight w:val="none"/>
          <w:lang w:eastAsia="zh-CN"/>
        </w:rPr>
        <w:t>云南省滇南中心医院（红河哈尼族彝族自治州第一人民医院）</w:t>
      </w:r>
      <w:r>
        <w:rPr>
          <w:rFonts w:hint="eastAsia" w:ascii="宋体" w:hAnsi="宋体" w:eastAsia="宋体" w:cs="Times New Roman"/>
          <w:kern w:val="2"/>
          <w:sz w:val="21"/>
          <w:szCs w:val="21"/>
          <w:highlight w:val="none"/>
          <w:u w:val="single"/>
        </w:rPr>
        <w:t xml:space="preserve">               </w:t>
      </w:r>
    </w:p>
    <w:p w14:paraId="4C0A9DFF">
      <w:pPr>
        <w:widowControl w:val="0"/>
        <w:spacing w:line="360" w:lineRule="auto"/>
        <w:ind w:firstLine="105" w:firstLineChars="50"/>
        <w:jc w:val="both"/>
        <w:rPr>
          <w:rFonts w:hint="eastAsia" w:ascii="宋体" w:hAnsi="宋体" w:eastAsia="宋体" w:cs="Times New Roman"/>
          <w:b/>
          <w:bCs/>
          <w:kern w:val="2"/>
          <w:sz w:val="21"/>
          <w:szCs w:val="21"/>
          <w:highlight w:val="none"/>
        </w:rPr>
      </w:pPr>
      <w:r>
        <w:rPr>
          <w:rFonts w:hint="eastAsia" w:ascii="宋体" w:hAnsi="宋体" w:eastAsia="宋体" w:cs="Times New Roman"/>
          <w:b/>
          <w:bCs/>
          <w:kern w:val="2"/>
          <w:sz w:val="21"/>
          <w:szCs w:val="21"/>
          <w:highlight w:val="none"/>
        </w:rPr>
        <w:t>（五）技术培训</w:t>
      </w:r>
    </w:p>
    <w:p w14:paraId="44D09B4D">
      <w:pPr>
        <w:widowControl w:val="0"/>
        <w:spacing w:line="360" w:lineRule="auto"/>
        <w:ind w:left="420" w:leftChars="200" w:firstLine="105" w:firstLineChars="5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1、乙方向甲方提供</w:t>
      </w:r>
      <w:r>
        <w:rPr>
          <w:rFonts w:hint="eastAsia" w:ascii="宋体" w:hAnsi="宋体" w:eastAsia="宋体" w:cs="Times New Roman"/>
          <w:kern w:val="2"/>
          <w:sz w:val="21"/>
          <w:szCs w:val="21"/>
          <w:highlight w:val="none"/>
          <w:u w:val="single"/>
        </w:rPr>
        <w:t xml:space="preserve">    </w:t>
      </w:r>
      <w:r>
        <w:rPr>
          <w:rFonts w:hint="eastAsia" w:ascii="宋体" w:hAnsi="宋体" w:eastAsia="宋体" w:cs="Times New Roman"/>
          <w:kern w:val="2"/>
          <w:sz w:val="21"/>
          <w:szCs w:val="21"/>
          <w:highlight w:val="none"/>
        </w:rPr>
        <w:t>天的设备使用人员现场例行免费培训，直至使用人员及工程师能完全掌握使用方法，独立完成操作为止。培训内容包括设备的调试、使用、一般的维修、维护及保养等；食宿自理（各自负责）。</w:t>
      </w:r>
    </w:p>
    <w:p w14:paraId="1278EE5B">
      <w:pPr>
        <w:widowControl w:val="0"/>
        <w:spacing w:line="360" w:lineRule="auto"/>
        <w:ind w:left="420" w:leftChars="200" w:firstLine="105" w:firstLineChars="50"/>
        <w:jc w:val="left"/>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2、若招投标文件对某些大型仪器设备的技术培训有特殊要求的，乙方还应出资对甲方技术人员进行外地培训，甲方人员交通、食宿及培训等费用由乙方负责。培训天数为</w:t>
      </w:r>
      <w:r>
        <w:rPr>
          <w:rFonts w:ascii="宋体" w:hAnsi="宋体" w:eastAsia="宋体" w:cs="Times New Roman"/>
          <w:kern w:val="2"/>
          <w:sz w:val="21"/>
          <w:szCs w:val="21"/>
          <w:highlight w:val="none"/>
        </w:rPr>
        <w:t>_______</w:t>
      </w:r>
      <w:r>
        <w:rPr>
          <w:rFonts w:hint="eastAsia" w:ascii="宋体" w:hAnsi="宋体" w:eastAsia="宋体" w:cs="Times New Roman"/>
          <w:kern w:val="2"/>
          <w:sz w:val="21"/>
          <w:szCs w:val="21"/>
          <w:highlight w:val="none"/>
        </w:rPr>
        <w:t xml:space="preserve">天，人员  </w:t>
      </w:r>
      <w:r>
        <w:rPr>
          <w:rFonts w:hint="eastAsia" w:ascii="宋体" w:hAnsi="宋体" w:eastAsia="宋体" w:cs="Times New Roman"/>
          <w:kern w:val="2"/>
          <w:sz w:val="21"/>
          <w:szCs w:val="21"/>
          <w:highlight w:val="none"/>
          <w:u w:val="single"/>
        </w:rPr>
        <w:t xml:space="preserve">     </w:t>
      </w:r>
      <w:r>
        <w:rPr>
          <w:rFonts w:ascii="宋体" w:hAnsi="宋体" w:eastAsia="宋体" w:cs="Times New Roman"/>
          <w:kern w:val="2"/>
          <w:sz w:val="21"/>
          <w:szCs w:val="21"/>
          <w:highlight w:val="none"/>
        </w:rPr>
        <w:t>____</w:t>
      </w:r>
      <w:r>
        <w:rPr>
          <w:rFonts w:hint="eastAsia" w:ascii="宋体" w:hAnsi="宋体" w:eastAsia="宋体" w:cs="Times New Roman"/>
          <w:kern w:val="2"/>
          <w:sz w:val="21"/>
          <w:szCs w:val="21"/>
          <w:highlight w:val="none"/>
        </w:rPr>
        <w:t>人，地点为</w:t>
      </w:r>
      <w:r>
        <w:rPr>
          <w:rFonts w:ascii="宋体" w:hAnsi="宋体" w:eastAsia="宋体" w:cs="Times New Roman"/>
          <w:kern w:val="2"/>
          <w:sz w:val="21"/>
          <w:szCs w:val="21"/>
          <w:highlight w:val="none"/>
        </w:rPr>
        <w:t xml:space="preserve">_____________ </w:t>
      </w:r>
      <w:r>
        <w:rPr>
          <w:rFonts w:hint="eastAsia" w:ascii="宋体" w:hAnsi="宋体" w:eastAsia="宋体" w:cs="Times New Roman"/>
          <w:kern w:val="2"/>
          <w:sz w:val="21"/>
          <w:szCs w:val="21"/>
          <w:highlight w:val="none"/>
        </w:rPr>
        <w:t>。</w:t>
      </w:r>
    </w:p>
    <w:p w14:paraId="31E07046">
      <w:pPr>
        <w:widowControl w:val="0"/>
        <w:spacing w:line="360" w:lineRule="auto"/>
        <w:ind w:left="420" w:leftChars="200" w:firstLine="105" w:firstLineChars="50"/>
        <w:jc w:val="both"/>
        <w:rPr>
          <w:rFonts w:hint="eastAsia" w:ascii="宋体" w:hAnsi="宋体" w:eastAsia="宋体" w:cs="Times New Roman"/>
          <w:b/>
          <w:bCs/>
          <w:kern w:val="2"/>
          <w:sz w:val="21"/>
          <w:szCs w:val="21"/>
          <w:highlight w:val="none"/>
        </w:rPr>
      </w:pPr>
      <w:r>
        <w:rPr>
          <w:rFonts w:hint="eastAsia" w:ascii="宋体" w:hAnsi="宋体" w:eastAsia="宋体" w:cs="Times New Roman"/>
          <w:b/>
          <w:bCs/>
          <w:kern w:val="2"/>
          <w:sz w:val="21"/>
          <w:szCs w:val="21"/>
          <w:highlight w:val="none"/>
        </w:rPr>
        <w:t>（六）履约保证金</w:t>
      </w:r>
    </w:p>
    <w:p w14:paraId="21F2CA53">
      <w:pPr>
        <w:widowControl w:val="0"/>
        <w:spacing w:line="360" w:lineRule="auto"/>
        <w:ind w:left="420" w:leftChars="200" w:firstLine="105" w:firstLineChars="5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1、履约保证金金额：合同金额的10％。</w:t>
      </w:r>
    </w:p>
    <w:p w14:paraId="792BDE45">
      <w:pPr>
        <w:widowControl w:val="0"/>
        <w:spacing w:line="360" w:lineRule="auto"/>
        <w:ind w:left="420" w:leftChars="200" w:firstLine="105" w:firstLineChars="5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2、履约保证金交纳方式：</w:t>
      </w:r>
      <w:r>
        <w:rPr>
          <w:rFonts w:hint="eastAsia" w:ascii="宋体" w:hAnsi="宋体" w:eastAsia="宋体" w:cs="Times New Roman"/>
          <w:kern w:val="2"/>
          <w:sz w:val="21"/>
          <w:szCs w:val="21"/>
          <w:highlight w:val="none"/>
          <w:u w:val="single"/>
          <w:lang w:val="en-US" w:eastAsia="zh-CN"/>
        </w:rPr>
        <w:t xml:space="preserve">   双方协商      </w:t>
      </w:r>
      <w:r>
        <w:rPr>
          <w:rFonts w:hint="eastAsia" w:ascii="宋体" w:hAnsi="宋体" w:eastAsia="宋体" w:cs="Times New Roman"/>
          <w:kern w:val="2"/>
          <w:sz w:val="21"/>
          <w:szCs w:val="21"/>
          <w:highlight w:val="none"/>
        </w:rPr>
        <w:t>。</w:t>
      </w:r>
    </w:p>
    <w:p w14:paraId="4B8CAEB6">
      <w:pPr>
        <w:widowControl w:val="0"/>
        <w:spacing w:line="360" w:lineRule="auto"/>
        <w:ind w:left="420" w:leftChars="200" w:firstLine="105" w:firstLineChars="5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3、履约保证金缴纳期限：中标单位在签订合同前向采购人缴纳合同金额10％的履约保证金，验收合格后，不计息退还。</w:t>
      </w:r>
    </w:p>
    <w:p w14:paraId="7EB035BD">
      <w:pPr>
        <w:widowControl w:val="0"/>
        <w:spacing w:line="360" w:lineRule="auto"/>
        <w:ind w:left="420" w:leftChars="200" w:firstLine="105" w:firstLineChars="5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4、履约保证金的退还：在设备正常运行满12个月后的15个工作日内，无质量问题和售后服务问题，已按本合同履行，则甲方向乙方一次性退还履约保证金。</w:t>
      </w:r>
    </w:p>
    <w:p w14:paraId="554E7A93">
      <w:pPr>
        <w:widowControl w:val="0"/>
        <w:spacing w:line="360" w:lineRule="auto"/>
        <w:ind w:left="420" w:leftChars="200" w:firstLine="105" w:firstLineChars="5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5、履约保证金不予退还的情形：在履约担保有效期内，如乙方不履行或不按合同履行约定的义务，履约保证金不予退还。</w:t>
      </w:r>
    </w:p>
    <w:p w14:paraId="4F7F9B95">
      <w:pPr>
        <w:widowControl w:val="0"/>
        <w:spacing w:line="360" w:lineRule="auto"/>
        <w:ind w:left="420" w:leftChars="200" w:firstLine="105" w:firstLineChars="5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6、履约保证金有效期：中标单位在签订合同前乙方向甲方提交履约保证金，至合同履行完毕后30日后失效。</w:t>
      </w:r>
    </w:p>
    <w:p w14:paraId="582A8402">
      <w:pPr>
        <w:widowControl w:val="0"/>
        <w:spacing w:line="360" w:lineRule="auto"/>
        <w:ind w:left="350" w:leftChars="67" w:hanging="210" w:hangingChars="100"/>
        <w:jc w:val="both"/>
        <w:rPr>
          <w:rFonts w:hint="eastAsia" w:ascii="宋体" w:hAnsi="宋体" w:eastAsia="宋体" w:cs="Times New Roman"/>
          <w:b/>
          <w:bCs/>
          <w:kern w:val="2"/>
          <w:sz w:val="21"/>
          <w:szCs w:val="21"/>
          <w:highlight w:val="none"/>
          <w:lang w:eastAsia="zh-CN"/>
        </w:rPr>
      </w:pPr>
      <w:r>
        <w:rPr>
          <w:rFonts w:hint="eastAsia" w:ascii="宋体" w:hAnsi="宋体" w:eastAsia="宋体" w:cs="Times New Roman"/>
          <w:b/>
          <w:bCs/>
          <w:kern w:val="2"/>
          <w:sz w:val="21"/>
          <w:szCs w:val="21"/>
          <w:highlight w:val="none"/>
          <w:lang w:eastAsia="zh-CN"/>
        </w:rPr>
        <w:t>（</w:t>
      </w:r>
      <w:r>
        <w:rPr>
          <w:rFonts w:hint="eastAsia" w:ascii="宋体" w:hAnsi="宋体" w:eastAsia="宋体" w:cs="Times New Roman"/>
          <w:b/>
          <w:bCs/>
          <w:kern w:val="2"/>
          <w:sz w:val="21"/>
          <w:szCs w:val="21"/>
          <w:highlight w:val="none"/>
          <w:lang w:val="en-US" w:eastAsia="zh-CN"/>
        </w:rPr>
        <w:t>七</w:t>
      </w:r>
      <w:r>
        <w:rPr>
          <w:rFonts w:hint="eastAsia" w:ascii="宋体" w:hAnsi="宋体" w:eastAsia="宋体" w:cs="Times New Roman"/>
          <w:b/>
          <w:bCs/>
          <w:kern w:val="2"/>
          <w:sz w:val="21"/>
          <w:szCs w:val="21"/>
          <w:highlight w:val="none"/>
          <w:lang w:eastAsia="zh-CN"/>
        </w:rPr>
        <w:t>）合同价款结算</w:t>
      </w:r>
    </w:p>
    <w:p w14:paraId="19FDFAD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eastAsia="zh-CN"/>
        </w:rPr>
        <w:t>1、价款的结算：</w:t>
      </w:r>
      <w:r>
        <w:rPr>
          <w:rFonts w:hint="eastAsia" w:ascii="宋体" w:hAnsi="宋体" w:eastAsia="宋体" w:cs="Times New Roman"/>
          <w:kern w:val="2"/>
          <w:sz w:val="21"/>
          <w:szCs w:val="21"/>
          <w:highlight w:val="none"/>
          <w:u w:val="single"/>
          <w:lang w:eastAsia="zh-CN"/>
        </w:rPr>
        <w:t>双方另行协商</w:t>
      </w:r>
      <w:r>
        <w:rPr>
          <w:rFonts w:hint="eastAsia" w:ascii="宋体" w:hAnsi="宋体" w:eastAsia="宋体" w:cs="Times New Roman"/>
          <w:kern w:val="2"/>
          <w:sz w:val="21"/>
          <w:szCs w:val="21"/>
          <w:highlight w:val="none"/>
          <w:lang w:eastAsia="zh-CN"/>
        </w:rPr>
        <w:t>。</w:t>
      </w:r>
    </w:p>
    <w:p w14:paraId="08A29CA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eastAsia="zh-CN"/>
        </w:rPr>
        <w:t>乙方开户行及账号</w:t>
      </w:r>
    </w:p>
    <w:p w14:paraId="38535E7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eastAsia="zh-CN"/>
        </w:rPr>
        <w:t>乙方开户行：</w:t>
      </w:r>
    </w:p>
    <w:p w14:paraId="69DD7E7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eastAsia="zh-CN"/>
        </w:rPr>
        <w:t>乙方账户：</w:t>
      </w:r>
    </w:p>
    <w:p w14:paraId="72EF5F5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eastAsia="zh-CN"/>
        </w:rPr>
        <w:t>乙方账号：</w:t>
      </w:r>
    </w:p>
    <w:p w14:paraId="7989878C">
      <w:pPr>
        <w:widowControl w:val="0"/>
        <w:spacing w:line="360" w:lineRule="auto"/>
        <w:ind w:left="350" w:leftChars="67" w:hanging="210" w:hangingChars="10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lang w:eastAsia="zh-CN"/>
        </w:rPr>
        <w:t>（</w:t>
      </w:r>
      <w:r>
        <w:rPr>
          <w:rFonts w:hint="eastAsia" w:ascii="宋体" w:hAnsi="宋体" w:eastAsia="宋体" w:cs="Times New Roman"/>
          <w:kern w:val="2"/>
          <w:sz w:val="21"/>
          <w:szCs w:val="21"/>
          <w:highlight w:val="none"/>
          <w:lang w:val="en-US" w:eastAsia="zh-CN"/>
        </w:rPr>
        <w:t>八</w:t>
      </w:r>
      <w:r>
        <w:rPr>
          <w:rFonts w:hint="eastAsia" w:ascii="宋体" w:hAnsi="宋体" w:eastAsia="宋体" w:cs="Times New Roman"/>
          <w:kern w:val="2"/>
          <w:sz w:val="21"/>
          <w:szCs w:val="21"/>
          <w:highlight w:val="none"/>
          <w:lang w:eastAsia="zh-CN"/>
        </w:rPr>
        <w:t>）</w:t>
      </w:r>
      <w:r>
        <w:rPr>
          <w:rFonts w:hint="eastAsia" w:ascii="宋体" w:hAnsi="宋体" w:eastAsia="宋体" w:cs="Times New Roman"/>
          <w:kern w:val="2"/>
          <w:sz w:val="21"/>
          <w:szCs w:val="21"/>
          <w:highlight w:val="none"/>
        </w:rPr>
        <w:t>本项目招投标文件作为本合同附属文件，与合同具有同等法律效力。</w:t>
      </w:r>
    </w:p>
    <w:p w14:paraId="26B72D9A">
      <w:pPr>
        <w:widowControl w:val="0"/>
        <w:spacing w:line="360" w:lineRule="auto"/>
        <w:ind w:left="350" w:leftChars="67" w:hanging="210" w:hangingChars="100"/>
        <w:jc w:val="both"/>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eastAsia="zh-CN"/>
        </w:rPr>
        <w:t>（</w:t>
      </w:r>
      <w:r>
        <w:rPr>
          <w:rFonts w:hint="eastAsia" w:ascii="宋体" w:hAnsi="宋体" w:eastAsia="宋体" w:cs="Times New Roman"/>
          <w:kern w:val="2"/>
          <w:sz w:val="21"/>
          <w:szCs w:val="21"/>
          <w:highlight w:val="none"/>
          <w:lang w:val="en-US" w:eastAsia="zh-CN"/>
        </w:rPr>
        <w:t>九</w:t>
      </w:r>
      <w:r>
        <w:rPr>
          <w:rFonts w:hint="eastAsia" w:ascii="宋体" w:hAnsi="宋体" w:eastAsia="宋体" w:cs="Times New Roman"/>
          <w:kern w:val="2"/>
          <w:sz w:val="21"/>
          <w:szCs w:val="21"/>
          <w:highlight w:val="none"/>
          <w:lang w:eastAsia="zh-CN"/>
        </w:rPr>
        <w:t>）</w:t>
      </w:r>
      <w:r>
        <w:t>如遇本项工作与国家相关政策和规定不符时，则经双方协商一致后做相应调整，协商不成时即终止。</w:t>
      </w:r>
    </w:p>
    <w:p w14:paraId="33CB561C">
      <w:pPr>
        <w:widowControl w:val="0"/>
        <w:spacing w:line="360" w:lineRule="auto"/>
        <w:ind w:left="350" w:leftChars="67" w:hanging="210" w:hangingChars="10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w:t>
      </w:r>
      <w:r>
        <w:rPr>
          <w:rFonts w:hint="eastAsia" w:ascii="宋体" w:hAnsi="宋体" w:eastAsia="宋体" w:cs="Times New Roman"/>
          <w:kern w:val="2"/>
          <w:sz w:val="21"/>
          <w:szCs w:val="21"/>
          <w:highlight w:val="none"/>
          <w:lang w:val="en-US" w:eastAsia="zh-CN"/>
        </w:rPr>
        <w:t>十</w:t>
      </w:r>
      <w:r>
        <w:rPr>
          <w:rFonts w:hint="eastAsia" w:ascii="宋体" w:hAnsi="宋体" w:eastAsia="宋体" w:cs="Times New Roman"/>
          <w:kern w:val="2"/>
          <w:sz w:val="21"/>
          <w:szCs w:val="21"/>
          <w:highlight w:val="none"/>
        </w:rPr>
        <w:t>）本合同经双方法定代表人签字和单位盖章后生效。合同未尽事宜，双方协商解决，如协商不成的，任何一方均可向</w:t>
      </w:r>
      <w:r>
        <w:rPr>
          <w:rFonts w:hint="eastAsia" w:ascii="宋体" w:hAnsi="宋体" w:eastAsia="宋体" w:cs="Times New Roman"/>
          <w:kern w:val="2"/>
          <w:sz w:val="21"/>
          <w:szCs w:val="21"/>
          <w:highlight w:val="none"/>
          <w:lang w:eastAsia="zh-CN"/>
        </w:rPr>
        <w:t>云南省滇南中心医院（红河哈尼族彝族自治州第一人民医院）</w:t>
      </w:r>
      <w:r>
        <w:rPr>
          <w:rFonts w:hint="eastAsia" w:ascii="宋体" w:hAnsi="宋体" w:eastAsia="宋体" w:cs="Times New Roman"/>
          <w:kern w:val="2"/>
          <w:sz w:val="21"/>
          <w:szCs w:val="21"/>
          <w:highlight w:val="none"/>
        </w:rPr>
        <w:t>所在地人民法院提起诉讼。</w:t>
      </w:r>
    </w:p>
    <w:p w14:paraId="79B1ED6B">
      <w:pPr>
        <w:widowControl w:val="0"/>
        <w:spacing w:line="360" w:lineRule="auto"/>
        <w:ind w:left="350" w:leftChars="67" w:hanging="210" w:hangingChars="100"/>
        <w:jc w:val="both"/>
        <w:rPr>
          <w:rFonts w:hint="default" w:ascii="宋体" w:hAnsi="宋体" w:eastAsia="宋体" w:cs="Times New Roman"/>
          <w:kern w:val="2"/>
          <w:sz w:val="21"/>
          <w:szCs w:val="21"/>
          <w:highlight w:val="none"/>
          <w:lang w:val="en-US" w:eastAsia="zh-CN"/>
        </w:rPr>
      </w:pPr>
      <w:r>
        <w:rPr>
          <w:rFonts w:hint="eastAsia" w:ascii="宋体" w:hAnsi="宋体" w:eastAsia="宋体" w:cs="Times New Roman"/>
          <w:kern w:val="2"/>
          <w:sz w:val="21"/>
          <w:szCs w:val="21"/>
          <w:highlight w:val="none"/>
          <w:lang w:eastAsia="zh-CN"/>
        </w:rPr>
        <w:t>（</w:t>
      </w:r>
      <w:r>
        <w:rPr>
          <w:rFonts w:hint="eastAsia" w:ascii="宋体" w:hAnsi="宋体" w:eastAsia="宋体" w:cs="Times New Roman"/>
          <w:kern w:val="2"/>
          <w:sz w:val="21"/>
          <w:szCs w:val="21"/>
          <w:highlight w:val="none"/>
          <w:lang w:val="en-US" w:eastAsia="zh-CN"/>
        </w:rPr>
        <w:t>十一</w:t>
      </w:r>
      <w:r>
        <w:rPr>
          <w:rFonts w:hint="eastAsia" w:ascii="宋体" w:hAnsi="宋体" w:eastAsia="宋体" w:cs="Times New Roman"/>
          <w:kern w:val="2"/>
          <w:sz w:val="21"/>
          <w:szCs w:val="21"/>
          <w:highlight w:val="none"/>
          <w:lang w:eastAsia="zh-CN"/>
        </w:rPr>
        <w:t>）</w:t>
      </w:r>
      <w:r>
        <w:rPr>
          <w:rFonts w:hint="eastAsia" w:ascii="宋体" w:hAnsi="宋体" w:eastAsia="宋体" w:cs="Times New Roman"/>
          <w:kern w:val="2"/>
          <w:sz w:val="21"/>
          <w:szCs w:val="21"/>
          <w:highlight w:val="none"/>
          <w:lang w:val="en-US" w:eastAsia="zh-CN"/>
        </w:rPr>
        <w:t>本合同一式四份，甲乙双方各执两份。</w:t>
      </w:r>
    </w:p>
    <w:p w14:paraId="4354BC85">
      <w:pPr>
        <w:widowControl w:val="0"/>
        <w:spacing w:line="360" w:lineRule="auto"/>
        <w:ind w:left="350" w:leftChars="67" w:hanging="210" w:hangingChars="100"/>
        <w:jc w:val="both"/>
        <w:rPr>
          <w:rFonts w:hint="eastAsia" w:ascii="宋体" w:hAnsi="宋体" w:eastAsia="宋体" w:cs="Times New Roman"/>
          <w:b/>
          <w:bCs/>
          <w:kern w:val="2"/>
          <w:sz w:val="21"/>
          <w:szCs w:val="21"/>
          <w:highlight w:val="none"/>
        </w:rPr>
      </w:pPr>
      <w:r>
        <w:rPr>
          <w:rFonts w:hint="eastAsia" w:ascii="宋体" w:hAnsi="宋体" w:eastAsia="宋体" w:cs="Times New Roman"/>
          <w:b/>
          <w:bCs/>
          <w:kern w:val="2"/>
          <w:sz w:val="21"/>
          <w:szCs w:val="21"/>
          <w:highlight w:val="none"/>
        </w:rPr>
        <w:t>三、双方签字确认的配置清单及增配内容。（由供货公司按投标文件内容注明，详见附件）</w:t>
      </w:r>
    </w:p>
    <w:tbl>
      <w:tblPr>
        <w:tblStyle w:val="30"/>
        <w:tblW w:w="9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940"/>
        <w:gridCol w:w="1842"/>
        <w:gridCol w:w="2977"/>
      </w:tblGrid>
      <w:tr w14:paraId="0A9AF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2130" w:type="dxa"/>
            <w:noWrap w:val="0"/>
            <w:vAlign w:val="center"/>
          </w:tcPr>
          <w:p w14:paraId="026DD65F">
            <w:pPr>
              <w:widowControl w:val="0"/>
              <w:spacing w:line="360" w:lineRule="auto"/>
              <w:ind w:left="350" w:leftChars="67" w:hanging="210" w:hangingChars="100"/>
              <w:jc w:val="both"/>
              <w:rPr>
                <w:rFonts w:hint="eastAsia" w:ascii="宋体" w:hAnsi="宋体" w:eastAsia="宋体" w:cs="Times New Roman"/>
                <w:b/>
                <w:kern w:val="2"/>
                <w:szCs w:val="21"/>
                <w:highlight w:val="none"/>
              </w:rPr>
            </w:pPr>
            <w:r>
              <w:rPr>
                <w:rFonts w:hint="eastAsia" w:ascii="宋体" w:hAnsi="宋体" w:eastAsia="宋体" w:cs="Times New Roman"/>
                <w:b/>
                <w:bCs/>
                <w:kern w:val="2"/>
                <w:sz w:val="21"/>
                <w:szCs w:val="21"/>
                <w:highlight w:val="none"/>
              </w:rPr>
              <w:br w:type="page"/>
            </w:r>
            <w:r>
              <w:rPr>
                <w:rFonts w:hint="eastAsia" w:ascii="宋体" w:hAnsi="宋体" w:eastAsia="宋体" w:cs="Times New Roman"/>
                <w:b/>
                <w:kern w:val="2"/>
                <w:szCs w:val="21"/>
                <w:highlight w:val="none"/>
              </w:rPr>
              <w:t>需方</w:t>
            </w:r>
          </w:p>
        </w:tc>
        <w:tc>
          <w:tcPr>
            <w:tcW w:w="2940" w:type="dxa"/>
            <w:noWrap w:val="0"/>
            <w:vAlign w:val="center"/>
          </w:tcPr>
          <w:p w14:paraId="1B67C0A9">
            <w:pPr>
              <w:widowControl w:val="0"/>
              <w:jc w:val="center"/>
              <w:rPr>
                <w:rFonts w:hint="eastAsia" w:ascii="宋体" w:hAnsi="宋体" w:eastAsia="宋体" w:cs="Times New Roman"/>
                <w:kern w:val="2"/>
                <w:szCs w:val="21"/>
                <w:highlight w:val="none"/>
                <w:lang w:eastAsia="zh-CN"/>
              </w:rPr>
            </w:pPr>
            <w:r>
              <w:rPr>
                <w:rFonts w:hint="eastAsia" w:ascii="宋体" w:hAnsi="宋体" w:eastAsia="宋体" w:cs="Times New Roman"/>
                <w:kern w:val="2"/>
                <w:szCs w:val="21"/>
                <w:highlight w:val="none"/>
                <w:lang w:eastAsia="zh-CN"/>
              </w:rPr>
              <w:t>云南省滇南中心医院（红河哈尼族彝族自治州第一人民医院）</w:t>
            </w:r>
          </w:p>
        </w:tc>
        <w:tc>
          <w:tcPr>
            <w:tcW w:w="1842" w:type="dxa"/>
            <w:noWrap w:val="0"/>
            <w:vAlign w:val="center"/>
          </w:tcPr>
          <w:p w14:paraId="252DDE7E">
            <w:pPr>
              <w:widowControl w:val="0"/>
              <w:jc w:val="center"/>
              <w:rPr>
                <w:rFonts w:hint="eastAsia" w:ascii="宋体" w:hAnsi="宋体" w:eastAsia="宋体" w:cs="Times New Roman"/>
                <w:b/>
                <w:kern w:val="2"/>
                <w:szCs w:val="21"/>
                <w:highlight w:val="none"/>
              </w:rPr>
            </w:pPr>
            <w:r>
              <w:rPr>
                <w:rFonts w:hint="eastAsia" w:ascii="宋体" w:hAnsi="宋体" w:eastAsia="宋体" w:cs="Times New Roman"/>
                <w:b/>
                <w:kern w:val="2"/>
                <w:szCs w:val="21"/>
                <w:highlight w:val="none"/>
              </w:rPr>
              <w:t>供方</w:t>
            </w:r>
          </w:p>
        </w:tc>
        <w:tc>
          <w:tcPr>
            <w:tcW w:w="2977" w:type="dxa"/>
            <w:noWrap w:val="0"/>
            <w:vAlign w:val="center"/>
          </w:tcPr>
          <w:p w14:paraId="7601DA7C">
            <w:pPr>
              <w:widowControl w:val="0"/>
              <w:jc w:val="center"/>
              <w:rPr>
                <w:rFonts w:hint="eastAsia" w:ascii="宋体" w:hAnsi="宋体" w:eastAsia="宋体" w:cs="Times New Roman"/>
                <w:kern w:val="2"/>
                <w:szCs w:val="21"/>
                <w:highlight w:val="none"/>
              </w:rPr>
            </w:pPr>
          </w:p>
        </w:tc>
      </w:tr>
      <w:tr w14:paraId="325CB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2130" w:type="dxa"/>
            <w:noWrap w:val="0"/>
            <w:vAlign w:val="center"/>
          </w:tcPr>
          <w:p w14:paraId="17473C52">
            <w:pPr>
              <w:widowControl w:val="0"/>
              <w:jc w:val="center"/>
              <w:rPr>
                <w:rFonts w:hint="eastAsia" w:ascii="宋体" w:hAnsi="宋体" w:eastAsia="宋体" w:cs="Times New Roman"/>
                <w:b/>
                <w:kern w:val="2"/>
                <w:szCs w:val="21"/>
                <w:highlight w:val="none"/>
              </w:rPr>
            </w:pPr>
            <w:r>
              <w:rPr>
                <w:rFonts w:hint="eastAsia" w:ascii="宋体" w:hAnsi="宋体" w:eastAsia="宋体" w:cs="Times New Roman"/>
                <w:b/>
                <w:kern w:val="2"/>
                <w:szCs w:val="21"/>
                <w:highlight w:val="none"/>
              </w:rPr>
              <w:t>地址</w:t>
            </w:r>
          </w:p>
        </w:tc>
        <w:tc>
          <w:tcPr>
            <w:tcW w:w="2940" w:type="dxa"/>
            <w:noWrap w:val="0"/>
            <w:vAlign w:val="center"/>
          </w:tcPr>
          <w:p w14:paraId="604E86B1">
            <w:pPr>
              <w:widowControl w:val="0"/>
              <w:jc w:val="center"/>
              <w:rPr>
                <w:rFonts w:hint="eastAsia" w:ascii="宋体" w:hAnsi="宋体" w:eastAsia="宋体" w:cs="Times New Roman"/>
                <w:kern w:val="2"/>
                <w:szCs w:val="21"/>
                <w:highlight w:val="none"/>
              </w:rPr>
            </w:pPr>
            <w:r>
              <w:rPr>
                <w:rFonts w:hint="eastAsia" w:ascii="宋体" w:hAnsi="宋体" w:eastAsia="宋体" w:cs="Times New Roman"/>
                <w:kern w:val="2"/>
                <w:szCs w:val="21"/>
                <w:highlight w:val="none"/>
                <w:lang w:val="en-US" w:eastAsia="zh-CN"/>
              </w:rPr>
              <w:t>云南省红河州个旧市锡缘路1号</w:t>
            </w:r>
          </w:p>
        </w:tc>
        <w:tc>
          <w:tcPr>
            <w:tcW w:w="1842" w:type="dxa"/>
            <w:noWrap w:val="0"/>
            <w:vAlign w:val="center"/>
          </w:tcPr>
          <w:p w14:paraId="24379CAB">
            <w:pPr>
              <w:widowControl w:val="0"/>
              <w:jc w:val="center"/>
              <w:rPr>
                <w:rFonts w:hint="eastAsia" w:ascii="宋体" w:hAnsi="宋体" w:eastAsia="宋体" w:cs="Times New Roman"/>
                <w:b/>
                <w:kern w:val="2"/>
                <w:szCs w:val="21"/>
                <w:highlight w:val="none"/>
              </w:rPr>
            </w:pPr>
            <w:r>
              <w:rPr>
                <w:rFonts w:hint="eastAsia" w:ascii="宋体" w:hAnsi="宋体" w:eastAsia="宋体" w:cs="Times New Roman"/>
                <w:b/>
                <w:kern w:val="2"/>
                <w:szCs w:val="21"/>
                <w:highlight w:val="none"/>
              </w:rPr>
              <w:t>地址</w:t>
            </w:r>
          </w:p>
        </w:tc>
        <w:tc>
          <w:tcPr>
            <w:tcW w:w="2977" w:type="dxa"/>
            <w:noWrap w:val="0"/>
            <w:vAlign w:val="center"/>
          </w:tcPr>
          <w:p w14:paraId="0617F5DE">
            <w:pPr>
              <w:widowControl w:val="0"/>
              <w:jc w:val="center"/>
              <w:rPr>
                <w:rFonts w:hint="eastAsia" w:ascii="宋体" w:hAnsi="宋体" w:eastAsia="宋体" w:cs="Times New Roman"/>
                <w:kern w:val="2"/>
                <w:szCs w:val="21"/>
                <w:highlight w:val="none"/>
              </w:rPr>
            </w:pPr>
          </w:p>
        </w:tc>
      </w:tr>
      <w:tr w14:paraId="4E7FD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2130" w:type="dxa"/>
            <w:noWrap w:val="0"/>
            <w:vAlign w:val="center"/>
          </w:tcPr>
          <w:p w14:paraId="487E14CF">
            <w:pPr>
              <w:widowControl w:val="0"/>
              <w:jc w:val="center"/>
              <w:rPr>
                <w:rFonts w:hint="eastAsia" w:ascii="宋体" w:hAnsi="宋体" w:eastAsia="宋体" w:cs="Times New Roman"/>
                <w:b/>
                <w:kern w:val="2"/>
                <w:szCs w:val="21"/>
                <w:highlight w:val="none"/>
              </w:rPr>
            </w:pPr>
            <w:r>
              <w:rPr>
                <w:rFonts w:hint="eastAsia" w:ascii="宋体" w:hAnsi="宋体" w:eastAsia="宋体" w:cs="Times New Roman"/>
                <w:b/>
                <w:kern w:val="2"/>
                <w:szCs w:val="21"/>
                <w:highlight w:val="none"/>
              </w:rPr>
              <w:t>邮编</w:t>
            </w:r>
          </w:p>
        </w:tc>
        <w:tc>
          <w:tcPr>
            <w:tcW w:w="2940" w:type="dxa"/>
            <w:noWrap w:val="0"/>
            <w:vAlign w:val="center"/>
          </w:tcPr>
          <w:p w14:paraId="2B64B628">
            <w:pPr>
              <w:widowControl w:val="0"/>
              <w:jc w:val="center"/>
              <w:rPr>
                <w:rFonts w:hint="eastAsia" w:ascii="宋体" w:hAnsi="宋体" w:eastAsia="宋体" w:cs="Times New Roman"/>
                <w:kern w:val="2"/>
                <w:szCs w:val="21"/>
                <w:highlight w:val="none"/>
              </w:rPr>
            </w:pPr>
          </w:p>
        </w:tc>
        <w:tc>
          <w:tcPr>
            <w:tcW w:w="1842" w:type="dxa"/>
            <w:noWrap w:val="0"/>
            <w:vAlign w:val="center"/>
          </w:tcPr>
          <w:p w14:paraId="296C44F6">
            <w:pPr>
              <w:widowControl w:val="0"/>
              <w:jc w:val="center"/>
              <w:rPr>
                <w:rFonts w:hint="eastAsia" w:ascii="宋体" w:hAnsi="宋体" w:eastAsia="宋体" w:cs="Times New Roman"/>
                <w:b/>
                <w:kern w:val="2"/>
                <w:szCs w:val="21"/>
                <w:highlight w:val="none"/>
              </w:rPr>
            </w:pPr>
            <w:r>
              <w:rPr>
                <w:rFonts w:hint="eastAsia" w:ascii="宋体" w:hAnsi="宋体" w:eastAsia="宋体" w:cs="Times New Roman"/>
                <w:b/>
                <w:kern w:val="2"/>
                <w:szCs w:val="21"/>
                <w:highlight w:val="none"/>
              </w:rPr>
              <w:t>供方电话及邮箱</w:t>
            </w:r>
          </w:p>
        </w:tc>
        <w:tc>
          <w:tcPr>
            <w:tcW w:w="2977" w:type="dxa"/>
            <w:noWrap w:val="0"/>
            <w:vAlign w:val="center"/>
          </w:tcPr>
          <w:p w14:paraId="245F64E7">
            <w:pPr>
              <w:widowControl w:val="0"/>
              <w:jc w:val="center"/>
              <w:rPr>
                <w:rFonts w:hint="eastAsia" w:ascii="宋体" w:hAnsi="宋体" w:eastAsia="宋体" w:cs="Times New Roman"/>
                <w:kern w:val="2"/>
                <w:szCs w:val="21"/>
                <w:highlight w:val="none"/>
              </w:rPr>
            </w:pPr>
          </w:p>
        </w:tc>
      </w:tr>
      <w:tr w14:paraId="0E1CA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2130" w:type="dxa"/>
            <w:noWrap w:val="0"/>
            <w:vAlign w:val="center"/>
          </w:tcPr>
          <w:p w14:paraId="4E2B84AB">
            <w:pPr>
              <w:widowControl w:val="0"/>
              <w:jc w:val="center"/>
              <w:rPr>
                <w:rFonts w:hint="eastAsia" w:ascii="宋体" w:hAnsi="宋体" w:eastAsia="宋体" w:cs="Times New Roman"/>
                <w:b/>
                <w:kern w:val="2"/>
                <w:szCs w:val="21"/>
                <w:highlight w:val="none"/>
              </w:rPr>
            </w:pPr>
            <w:r>
              <w:rPr>
                <w:rFonts w:hint="eastAsia" w:ascii="宋体" w:hAnsi="宋体" w:eastAsia="宋体" w:cs="Times New Roman"/>
                <w:b/>
                <w:kern w:val="2"/>
                <w:szCs w:val="21"/>
                <w:highlight w:val="none"/>
              </w:rPr>
              <w:t>需方电话</w:t>
            </w:r>
          </w:p>
        </w:tc>
        <w:tc>
          <w:tcPr>
            <w:tcW w:w="2940" w:type="dxa"/>
            <w:noWrap w:val="0"/>
            <w:vAlign w:val="center"/>
          </w:tcPr>
          <w:p w14:paraId="07F16870">
            <w:pPr>
              <w:widowControl w:val="0"/>
              <w:jc w:val="center"/>
              <w:rPr>
                <w:rFonts w:hint="eastAsia" w:ascii="宋体" w:hAnsi="宋体" w:eastAsia="宋体" w:cs="Times New Roman"/>
                <w:kern w:val="2"/>
                <w:szCs w:val="21"/>
                <w:highlight w:val="none"/>
              </w:rPr>
            </w:pPr>
          </w:p>
        </w:tc>
        <w:tc>
          <w:tcPr>
            <w:tcW w:w="1842" w:type="dxa"/>
            <w:noWrap w:val="0"/>
            <w:vAlign w:val="center"/>
          </w:tcPr>
          <w:p w14:paraId="5B501124">
            <w:pPr>
              <w:widowControl w:val="0"/>
              <w:jc w:val="center"/>
              <w:rPr>
                <w:rFonts w:hint="eastAsia" w:ascii="宋体" w:hAnsi="宋体" w:eastAsia="宋体" w:cs="Times New Roman"/>
                <w:b/>
                <w:kern w:val="2"/>
                <w:szCs w:val="21"/>
                <w:highlight w:val="none"/>
              </w:rPr>
            </w:pPr>
            <w:r>
              <w:rPr>
                <w:rFonts w:hint="eastAsia" w:ascii="宋体" w:hAnsi="宋体" w:eastAsia="宋体" w:cs="Times New Roman"/>
                <w:b/>
                <w:kern w:val="2"/>
                <w:szCs w:val="21"/>
                <w:highlight w:val="none"/>
              </w:rPr>
              <w:t>法定代表人签字</w:t>
            </w:r>
          </w:p>
        </w:tc>
        <w:tc>
          <w:tcPr>
            <w:tcW w:w="2977" w:type="dxa"/>
            <w:noWrap w:val="0"/>
            <w:vAlign w:val="center"/>
          </w:tcPr>
          <w:p w14:paraId="11B8ABE7">
            <w:pPr>
              <w:widowControl w:val="0"/>
              <w:jc w:val="center"/>
              <w:rPr>
                <w:rFonts w:hint="eastAsia" w:ascii="宋体" w:hAnsi="宋体" w:eastAsia="宋体" w:cs="Times New Roman"/>
                <w:kern w:val="2"/>
                <w:szCs w:val="21"/>
                <w:highlight w:val="none"/>
              </w:rPr>
            </w:pPr>
          </w:p>
        </w:tc>
      </w:tr>
      <w:tr w14:paraId="0BE17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2130" w:type="dxa"/>
            <w:noWrap w:val="0"/>
            <w:vAlign w:val="center"/>
          </w:tcPr>
          <w:p w14:paraId="6D033528">
            <w:pPr>
              <w:widowControl w:val="0"/>
              <w:jc w:val="center"/>
              <w:rPr>
                <w:rFonts w:hint="eastAsia" w:ascii="宋体" w:hAnsi="宋体" w:eastAsia="宋体" w:cs="Times New Roman"/>
                <w:b/>
                <w:kern w:val="2"/>
                <w:szCs w:val="21"/>
                <w:highlight w:val="none"/>
              </w:rPr>
            </w:pPr>
            <w:r>
              <w:rPr>
                <w:rFonts w:hint="eastAsia" w:ascii="宋体" w:hAnsi="宋体" w:eastAsia="宋体" w:cs="Times New Roman"/>
                <w:b/>
                <w:kern w:val="2"/>
                <w:szCs w:val="21"/>
                <w:highlight w:val="none"/>
              </w:rPr>
              <w:t>法定代表人签字</w:t>
            </w:r>
          </w:p>
        </w:tc>
        <w:tc>
          <w:tcPr>
            <w:tcW w:w="2940" w:type="dxa"/>
            <w:noWrap w:val="0"/>
            <w:vAlign w:val="center"/>
          </w:tcPr>
          <w:p w14:paraId="267653B8">
            <w:pPr>
              <w:widowControl w:val="0"/>
              <w:jc w:val="center"/>
              <w:rPr>
                <w:rFonts w:hint="eastAsia" w:ascii="宋体" w:hAnsi="宋体" w:eastAsia="宋体" w:cs="Times New Roman"/>
                <w:kern w:val="2"/>
                <w:szCs w:val="21"/>
                <w:highlight w:val="none"/>
              </w:rPr>
            </w:pPr>
          </w:p>
        </w:tc>
        <w:tc>
          <w:tcPr>
            <w:tcW w:w="1842" w:type="dxa"/>
            <w:noWrap w:val="0"/>
            <w:vAlign w:val="center"/>
          </w:tcPr>
          <w:p w14:paraId="28B32BAC">
            <w:pPr>
              <w:widowControl w:val="0"/>
              <w:jc w:val="center"/>
              <w:rPr>
                <w:rFonts w:hint="eastAsia" w:ascii="宋体" w:hAnsi="宋体" w:eastAsia="宋体" w:cs="Times New Roman"/>
                <w:b/>
                <w:kern w:val="2"/>
                <w:szCs w:val="21"/>
                <w:highlight w:val="none"/>
              </w:rPr>
            </w:pPr>
            <w:r>
              <w:rPr>
                <w:rFonts w:hint="eastAsia" w:ascii="宋体" w:hAnsi="宋体" w:eastAsia="宋体" w:cs="Times New Roman"/>
                <w:b/>
                <w:kern w:val="2"/>
                <w:szCs w:val="21"/>
                <w:highlight w:val="none"/>
              </w:rPr>
              <w:t>法定代表人手机</w:t>
            </w:r>
          </w:p>
        </w:tc>
        <w:tc>
          <w:tcPr>
            <w:tcW w:w="2977" w:type="dxa"/>
            <w:noWrap w:val="0"/>
            <w:vAlign w:val="center"/>
          </w:tcPr>
          <w:p w14:paraId="6A18047F">
            <w:pPr>
              <w:widowControl w:val="0"/>
              <w:jc w:val="center"/>
              <w:rPr>
                <w:rFonts w:hint="eastAsia" w:ascii="宋体" w:hAnsi="宋体" w:eastAsia="宋体" w:cs="Times New Roman"/>
                <w:kern w:val="2"/>
                <w:szCs w:val="21"/>
                <w:highlight w:val="none"/>
              </w:rPr>
            </w:pPr>
          </w:p>
        </w:tc>
      </w:tr>
      <w:tr w14:paraId="2DDE5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2130" w:type="dxa"/>
            <w:noWrap w:val="0"/>
            <w:vAlign w:val="center"/>
          </w:tcPr>
          <w:p w14:paraId="71687AB1">
            <w:pPr>
              <w:widowControl w:val="0"/>
              <w:jc w:val="center"/>
              <w:rPr>
                <w:rFonts w:hint="eastAsia" w:ascii="宋体" w:hAnsi="宋体" w:eastAsia="宋体" w:cs="Times New Roman"/>
                <w:b/>
                <w:kern w:val="2"/>
                <w:szCs w:val="21"/>
                <w:highlight w:val="none"/>
              </w:rPr>
            </w:pPr>
            <w:r>
              <w:rPr>
                <w:rFonts w:hint="eastAsia" w:ascii="宋体" w:hAnsi="宋体" w:eastAsia="宋体" w:cs="Times New Roman"/>
                <w:b/>
                <w:kern w:val="2"/>
                <w:szCs w:val="21"/>
                <w:highlight w:val="none"/>
              </w:rPr>
              <w:t>主管领导签字</w:t>
            </w:r>
          </w:p>
        </w:tc>
        <w:tc>
          <w:tcPr>
            <w:tcW w:w="2940" w:type="dxa"/>
            <w:noWrap w:val="0"/>
            <w:vAlign w:val="center"/>
          </w:tcPr>
          <w:p w14:paraId="6E3E80B5">
            <w:pPr>
              <w:widowControl w:val="0"/>
              <w:jc w:val="center"/>
              <w:rPr>
                <w:rFonts w:hint="eastAsia" w:ascii="宋体" w:hAnsi="宋体" w:eastAsia="宋体" w:cs="Times New Roman"/>
                <w:kern w:val="2"/>
                <w:szCs w:val="21"/>
                <w:highlight w:val="none"/>
              </w:rPr>
            </w:pPr>
          </w:p>
        </w:tc>
        <w:tc>
          <w:tcPr>
            <w:tcW w:w="1842" w:type="dxa"/>
            <w:noWrap w:val="0"/>
            <w:vAlign w:val="center"/>
          </w:tcPr>
          <w:p w14:paraId="248CB254">
            <w:pPr>
              <w:widowControl w:val="0"/>
              <w:jc w:val="center"/>
              <w:rPr>
                <w:rFonts w:hint="eastAsia" w:ascii="宋体" w:hAnsi="宋体" w:eastAsia="宋体" w:cs="Times New Roman"/>
                <w:b/>
                <w:kern w:val="2"/>
                <w:szCs w:val="21"/>
                <w:highlight w:val="none"/>
              </w:rPr>
            </w:pPr>
            <w:r>
              <w:rPr>
                <w:rFonts w:hint="eastAsia" w:ascii="宋体" w:hAnsi="宋体" w:eastAsia="宋体" w:cs="Times New Roman"/>
                <w:b/>
                <w:kern w:val="2"/>
                <w:szCs w:val="21"/>
                <w:highlight w:val="none"/>
              </w:rPr>
              <w:t>项目负责人签字</w:t>
            </w:r>
          </w:p>
        </w:tc>
        <w:tc>
          <w:tcPr>
            <w:tcW w:w="2977" w:type="dxa"/>
            <w:noWrap w:val="0"/>
            <w:vAlign w:val="center"/>
          </w:tcPr>
          <w:p w14:paraId="7DD4264B">
            <w:pPr>
              <w:widowControl w:val="0"/>
              <w:jc w:val="center"/>
              <w:rPr>
                <w:rFonts w:hint="eastAsia" w:ascii="宋体" w:hAnsi="宋体" w:eastAsia="宋体" w:cs="Times New Roman"/>
                <w:kern w:val="2"/>
                <w:szCs w:val="21"/>
                <w:highlight w:val="none"/>
              </w:rPr>
            </w:pPr>
          </w:p>
        </w:tc>
      </w:tr>
      <w:tr w14:paraId="23F53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2130" w:type="dxa"/>
            <w:noWrap w:val="0"/>
            <w:vAlign w:val="center"/>
          </w:tcPr>
          <w:p w14:paraId="361A60BC">
            <w:pPr>
              <w:widowControl w:val="0"/>
              <w:jc w:val="center"/>
              <w:rPr>
                <w:rFonts w:hint="eastAsia" w:ascii="宋体" w:hAnsi="宋体" w:eastAsia="宋体" w:cs="Times New Roman"/>
                <w:b/>
                <w:kern w:val="2"/>
                <w:szCs w:val="21"/>
                <w:highlight w:val="none"/>
              </w:rPr>
            </w:pPr>
            <w:r>
              <w:rPr>
                <w:rFonts w:hint="eastAsia" w:ascii="宋体" w:hAnsi="宋体" w:eastAsia="宋体" w:cs="Times New Roman"/>
                <w:b/>
                <w:kern w:val="2"/>
                <w:szCs w:val="21"/>
                <w:highlight w:val="none"/>
              </w:rPr>
              <w:t>设备物资科负责人</w:t>
            </w:r>
          </w:p>
        </w:tc>
        <w:tc>
          <w:tcPr>
            <w:tcW w:w="2940" w:type="dxa"/>
            <w:noWrap w:val="0"/>
            <w:vAlign w:val="center"/>
          </w:tcPr>
          <w:p w14:paraId="2EA87AF8">
            <w:pPr>
              <w:widowControl w:val="0"/>
              <w:jc w:val="center"/>
              <w:rPr>
                <w:rFonts w:hint="eastAsia" w:ascii="宋体" w:hAnsi="宋体" w:eastAsia="宋体" w:cs="Times New Roman"/>
                <w:kern w:val="2"/>
                <w:szCs w:val="21"/>
                <w:highlight w:val="none"/>
              </w:rPr>
            </w:pPr>
          </w:p>
        </w:tc>
        <w:tc>
          <w:tcPr>
            <w:tcW w:w="1842" w:type="dxa"/>
            <w:noWrap w:val="0"/>
            <w:vAlign w:val="center"/>
          </w:tcPr>
          <w:p w14:paraId="635E36D6">
            <w:pPr>
              <w:widowControl w:val="0"/>
              <w:jc w:val="center"/>
              <w:rPr>
                <w:rFonts w:hint="eastAsia" w:ascii="宋体" w:hAnsi="宋体" w:eastAsia="宋体" w:cs="Times New Roman"/>
                <w:b/>
                <w:kern w:val="2"/>
                <w:szCs w:val="21"/>
                <w:highlight w:val="none"/>
              </w:rPr>
            </w:pPr>
            <w:r>
              <w:rPr>
                <w:rFonts w:hint="eastAsia" w:ascii="宋体" w:hAnsi="宋体" w:eastAsia="宋体" w:cs="Times New Roman"/>
                <w:b/>
                <w:kern w:val="2"/>
                <w:szCs w:val="21"/>
                <w:highlight w:val="none"/>
              </w:rPr>
              <w:t>项目负责人手机</w:t>
            </w:r>
          </w:p>
        </w:tc>
        <w:tc>
          <w:tcPr>
            <w:tcW w:w="2977" w:type="dxa"/>
            <w:noWrap w:val="0"/>
            <w:vAlign w:val="center"/>
          </w:tcPr>
          <w:p w14:paraId="1CB85901">
            <w:pPr>
              <w:widowControl w:val="0"/>
              <w:jc w:val="center"/>
              <w:rPr>
                <w:rFonts w:hint="eastAsia" w:ascii="宋体" w:hAnsi="宋体" w:eastAsia="宋体" w:cs="Times New Roman"/>
                <w:kern w:val="2"/>
                <w:szCs w:val="21"/>
                <w:highlight w:val="none"/>
              </w:rPr>
            </w:pPr>
          </w:p>
        </w:tc>
      </w:tr>
      <w:tr w14:paraId="328E8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2130" w:type="dxa"/>
            <w:noWrap w:val="0"/>
            <w:vAlign w:val="center"/>
          </w:tcPr>
          <w:p w14:paraId="47EBFC2B">
            <w:pPr>
              <w:widowControl w:val="0"/>
              <w:jc w:val="center"/>
              <w:rPr>
                <w:rFonts w:hint="eastAsia" w:ascii="宋体" w:hAnsi="宋体" w:eastAsia="宋体" w:cs="Times New Roman"/>
                <w:b/>
                <w:color w:val="000000"/>
                <w:kern w:val="2"/>
                <w:szCs w:val="21"/>
                <w:highlight w:val="none"/>
              </w:rPr>
            </w:pPr>
            <w:r>
              <w:rPr>
                <w:rFonts w:hint="eastAsia" w:ascii="宋体" w:hAnsi="宋体" w:eastAsia="宋体" w:cs="Times New Roman"/>
                <w:b/>
                <w:color w:val="000000"/>
                <w:kern w:val="2"/>
                <w:szCs w:val="21"/>
                <w:highlight w:val="none"/>
              </w:rPr>
              <w:t>科室技术负责人</w:t>
            </w:r>
          </w:p>
        </w:tc>
        <w:tc>
          <w:tcPr>
            <w:tcW w:w="2940" w:type="dxa"/>
            <w:noWrap w:val="0"/>
            <w:vAlign w:val="center"/>
          </w:tcPr>
          <w:p w14:paraId="1B6D51DC">
            <w:pPr>
              <w:widowControl w:val="0"/>
              <w:jc w:val="center"/>
              <w:rPr>
                <w:rFonts w:hint="eastAsia" w:ascii="宋体" w:hAnsi="宋体" w:eastAsia="宋体" w:cs="Times New Roman"/>
                <w:color w:val="FF0000"/>
                <w:kern w:val="2"/>
                <w:szCs w:val="21"/>
                <w:highlight w:val="none"/>
              </w:rPr>
            </w:pPr>
          </w:p>
        </w:tc>
        <w:tc>
          <w:tcPr>
            <w:tcW w:w="1842" w:type="dxa"/>
            <w:noWrap w:val="0"/>
            <w:vAlign w:val="center"/>
          </w:tcPr>
          <w:p w14:paraId="6EE9843C">
            <w:pPr>
              <w:widowControl w:val="0"/>
              <w:jc w:val="center"/>
              <w:rPr>
                <w:rFonts w:hint="eastAsia" w:ascii="宋体" w:hAnsi="宋体" w:eastAsia="宋体" w:cs="Times New Roman"/>
                <w:b/>
                <w:kern w:val="2"/>
                <w:szCs w:val="21"/>
                <w:highlight w:val="none"/>
              </w:rPr>
            </w:pPr>
            <w:r>
              <w:rPr>
                <w:rFonts w:hint="eastAsia" w:ascii="宋体" w:hAnsi="宋体" w:eastAsia="宋体" w:cs="Times New Roman"/>
                <w:b/>
                <w:kern w:val="2"/>
                <w:szCs w:val="21"/>
                <w:highlight w:val="none"/>
              </w:rPr>
              <w:t>开户行名称</w:t>
            </w:r>
          </w:p>
        </w:tc>
        <w:tc>
          <w:tcPr>
            <w:tcW w:w="2977" w:type="dxa"/>
            <w:noWrap w:val="0"/>
            <w:vAlign w:val="center"/>
          </w:tcPr>
          <w:p w14:paraId="6D044A92">
            <w:pPr>
              <w:widowControl w:val="0"/>
              <w:jc w:val="center"/>
              <w:rPr>
                <w:rFonts w:hint="eastAsia" w:ascii="宋体" w:hAnsi="宋体" w:eastAsia="宋体" w:cs="Times New Roman"/>
                <w:kern w:val="2"/>
                <w:szCs w:val="21"/>
                <w:highlight w:val="none"/>
              </w:rPr>
            </w:pPr>
          </w:p>
        </w:tc>
      </w:tr>
      <w:tr w14:paraId="2FB8B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2130" w:type="dxa"/>
            <w:noWrap w:val="0"/>
            <w:vAlign w:val="center"/>
          </w:tcPr>
          <w:p w14:paraId="5B548D30">
            <w:pPr>
              <w:widowControl w:val="0"/>
              <w:jc w:val="center"/>
              <w:rPr>
                <w:rFonts w:hint="eastAsia" w:ascii="宋体" w:hAnsi="宋体" w:eastAsia="宋体" w:cs="Times New Roman"/>
                <w:b/>
                <w:kern w:val="2"/>
                <w:szCs w:val="21"/>
                <w:highlight w:val="none"/>
              </w:rPr>
            </w:pPr>
            <w:r>
              <w:rPr>
                <w:rFonts w:hint="eastAsia" w:ascii="宋体" w:hAnsi="宋体" w:eastAsia="宋体" w:cs="Times New Roman"/>
                <w:b/>
                <w:kern w:val="2"/>
                <w:szCs w:val="21"/>
                <w:highlight w:val="none"/>
              </w:rPr>
              <w:t>合同签订日期</w:t>
            </w:r>
          </w:p>
        </w:tc>
        <w:tc>
          <w:tcPr>
            <w:tcW w:w="2940" w:type="dxa"/>
            <w:noWrap w:val="0"/>
            <w:vAlign w:val="center"/>
          </w:tcPr>
          <w:p w14:paraId="1E5DDFEB">
            <w:pPr>
              <w:widowControl w:val="0"/>
              <w:jc w:val="center"/>
              <w:rPr>
                <w:rFonts w:hint="eastAsia" w:ascii="宋体" w:hAnsi="宋体" w:eastAsia="宋体" w:cs="Times New Roman"/>
                <w:kern w:val="2"/>
                <w:szCs w:val="21"/>
                <w:highlight w:val="none"/>
              </w:rPr>
            </w:pPr>
            <w:r>
              <w:rPr>
                <w:rFonts w:hint="eastAsia" w:ascii="宋体" w:hAnsi="宋体" w:eastAsia="宋体" w:cs="Times New Roman"/>
                <w:kern w:val="2"/>
                <w:szCs w:val="21"/>
                <w:highlight w:val="none"/>
              </w:rPr>
              <w:t>年  月  日</w:t>
            </w:r>
          </w:p>
        </w:tc>
        <w:tc>
          <w:tcPr>
            <w:tcW w:w="1842" w:type="dxa"/>
            <w:noWrap w:val="0"/>
            <w:vAlign w:val="center"/>
          </w:tcPr>
          <w:p w14:paraId="39CC54B2">
            <w:pPr>
              <w:widowControl w:val="0"/>
              <w:jc w:val="center"/>
              <w:rPr>
                <w:rFonts w:hint="eastAsia" w:ascii="宋体" w:hAnsi="宋体" w:eastAsia="宋体" w:cs="Times New Roman"/>
                <w:b/>
                <w:kern w:val="2"/>
                <w:szCs w:val="21"/>
                <w:highlight w:val="none"/>
              </w:rPr>
            </w:pPr>
            <w:r>
              <w:rPr>
                <w:rFonts w:hint="eastAsia" w:ascii="宋体" w:hAnsi="宋体" w:eastAsia="宋体" w:cs="Times New Roman"/>
                <w:b/>
                <w:kern w:val="2"/>
                <w:szCs w:val="21"/>
                <w:highlight w:val="none"/>
              </w:rPr>
              <w:t>账号</w:t>
            </w:r>
          </w:p>
        </w:tc>
        <w:tc>
          <w:tcPr>
            <w:tcW w:w="2977" w:type="dxa"/>
            <w:noWrap w:val="0"/>
            <w:vAlign w:val="center"/>
          </w:tcPr>
          <w:p w14:paraId="6003DF84">
            <w:pPr>
              <w:widowControl w:val="0"/>
              <w:jc w:val="center"/>
              <w:rPr>
                <w:rFonts w:hint="eastAsia" w:ascii="宋体" w:hAnsi="宋体" w:eastAsia="宋体" w:cs="Times New Roman"/>
                <w:kern w:val="2"/>
                <w:szCs w:val="21"/>
                <w:highlight w:val="none"/>
              </w:rPr>
            </w:pPr>
          </w:p>
        </w:tc>
      </w:tr>
    </w:tbl>
    <w:p w14:paraId="11A218D0">
      <w:pPr>
        <w:rPr>
          <w:rFonts w:hint="eastAsia" w:asciiTheme="majorEastAsia" w:hAnsiTheme="majorEastAsia" w:eastAsiaTheme="majorEastAsia" w:cstheme="majorEastAsia"/>
          <w:b/>
          <w:color w:val="auto"/>
          <w:sz w:val="36"/>
          <w:highlight w:val="none"/>
        </w:rPr>
      </w:pPr>
      <w:r>
        <w:rPr>
          <w:rFonts w:hint="eastAsia" w:ascii="宋体" w:hAnsi="宋体" w:eastAsia="宋体" w:cs="Times New Roman"/>
          <w:kern w:val="2"/>
          <w:sz w:val="24"/>
          <w:szCs w:val="24"/>
          <w:highlight w:val="none"/>
          <w:lang w:val="en-US" w:eastAsia="zh-CN"/>
        </w:rPr>
        <w:br w:type="page"/>
      </w:r>
    </w:p>
    <w:p w14:paraId="25B3CE67">
      <w:pPr>
        <w:spacing w:line="440" w:lineRule="exact"/>
        <w:jc w:val="center"/>
        <w:outlineLvl w:val="0"/>
        <w:rPr>
          <w:rFonts w:hint="eastAsia" w:asciiTheme="majorEastAsia" w:hAnsiTheme="majorEastAsia" w:eastAsiaTheme="majorEastAsia" w:cstheme="majorEastAsia"/>
          <w:b/>
          <w:color w:val="auto"/>
          <w:sz w:val="36"/>
          <w:highlight w:val="none"/>
        </w:rPr>
      </w:pPr>
      <w:bookmarkStart w:id="208" w:name="_Toc20102"/>
      <w:r>
        <w:rPr>
          <w:rFonts w:hint="eastAsia" w:asciiTheme="majorEastAsia" w:hAnsiTheme="majorEastAsia" w:eastAsiaTheme="majorEastAsia" w:cstheme="majorEastAsia"/>
          <w:b/>
          <w:color w:val="auto"/>
          <w:sz w:val="36"/>
          <w:highlight w:val="none"/>
        </w:rPr>
        <w:t>第四章 投标文件格式</w:t>
      </w:r>
      <w:bookmarkEnd w:id="206"/>
      <w:bookmarkEnd w:id="207"/>
      <w:bookmarkEnd w:id="208"/>
    </w:p>
    <w:p w14:paraId="19980813">
      <w:pPr>
        <w:pStyle w:val="17"/>
        <w:spacing w:line="360" w:lineRule="auto"/>
        <w:rPr>
          <w:rFonts w:hint="eastAsia" w:asciiTheme="majorEastAsia" w:hAnsiTheme="majorEastAsia" w:eastAsiaTheme="majorEastAsia" w:cstheme="majorEastAsia"/>
          <w:b/>
          <w:bCs/>
          <w:color w:val="auto"/>
          <w:sz w:val="72"/>
          <w:highlight w:val="none"/>
        </w:rPr>
      </w:pPr>
    </w:p>
    <w:p w14:paraId="20FC63CA">
      <w:pPr>
        <w:pStyle w:val="17"/>
        <w:spacing w:line="360" w:lineRule="auto"/>
        <w:jc w:val="center"/>
        <w:rPr>
          <w:rFonts w:hint="eastAsia" w:asciiTheme="majorEastAsia" w:hAnsiTheme="majorEastAsia" w:eastAsiaTheme="majorEastAsia" w:cstheme="majorEastAsia"/>
          <w:b/>
          <w:bCs/>
          <w:color w:val="auto"/>
          <w:sz w:val="48"/>
          <w:szCs w:val="48"/>
          <w:highlight w:val="none"/>
          <w:u w:val="single"/>
          <w:lang w:eastAsia="zh-CN"/>
        </w:rPr>
      </w:pPr>
      <w:r>
        <w:rPr>
          <w:rFonts w:hint="eastAsia" w:asciiTheme="majorEastAsia" w:hAnsiTheme="majorEastAsia" w:eastAsiaTheme="majorEastAsia" w:cstheme="majorEastAsia"/>
          <w:b/>
          <w:bCs/>
          <w:color w:val="auto"/>
          <w:sz w:val="48"/>
          <w:szCs w:val="48"/>
          <w:highlight w:val="none"/>
        </w:rPr>
        <w:t xml:space="preserve"> </w:t>
      </w:r>
      <w:r>
        <w:rPr>
          <w:rFonts w:hint="eastAsia" w:asciiTheme="majorEastAsia" w:hAnsiTheme="majorEastAsia" w:eastAsiaTheme="majorEastAsia" w:cstheme="majorEastAsia"/>
          <w:b/>
          <w:bCs/>
          <w:color w:val="auto"/>
          <w:sz w:val="48"/>
          <w:szCs w:val="48"/>
          <w:highlight w:val="none"/>
          <w:lang w:eastAsia="zh-CN"/>
        </w:rPr>
        <w:t>云南省滇南中心医院（红河哈尼族彝族自治州第一人民医院）流式细胞仪等医疗设备采购项目（一标段）</w:t>
      </w:r>
    </w:p>
    <w:p w14:paraId="00B03F23">
      <w:pPr>
        <w:pStyle w:val="17"/>
        <w:spacing w:line="360" w:lineRule="auto"/>
        <w:jc w:val="center"/>
        <w:rPr>
          <w:rFonts w:hint="eastAsia" w:asciiTheme="majorEastAsia" w:hAnsiTheme="majorEastAsia" w:eastAsiaTheme="majorEastAsia" w:cstheme="majorEastAsia"/>
          <w:b/>
          <w:bCs/>
          <w:color w:val="auto"/>
          <w:sz w:val="32"/>
          <w:szCs w:val="32"/>
          <w:highlight w:val="none"/>
          <w:lang w:val="en-US" w:eastAsia="zh-CN"/>
        </w:rPr>
      </w:pPr>
    </w:p>
    <w:p w14:paraId="7991F1EB">
      <w:pPr>
        <w:pStyle w:val="17"/>
        <w:spacing w:line="360" w:lineRule="auto"/>
        <w:jc w:val="center"/>
        <w:rPr>
          <w:rFonts w:hint="eastAsia" w:asciiTheme="majorEastAsia" w:hAnsiTheme="majorEastAsia" w:eastAsiaTheme="majorEastAsia" w:cstheme="majorEastAsia"/>
          <w:b/>
          <w:bCs/>
          <w:color w:val="auto"/>
          <w:sz w:val="32"/>
          <w:szCs w:val="32"/>
          <w:highlight w:val="none"/>
          <w:lang w:val="en-US" w:eastAsia="zh-CN"/>
        </w:rPr>
      </w:pPr>
    </w:p>
    <w:p w14:paraId="60CB1AD4">
      <w:pPr>
        <w:pStyle w:val="17"/>
        <w:spacing w:line="360" w:lineRule="auto"/>
        <w:jc w:val="center"/>
        <w:rPr>
          <w:rFonts w:hint="eastAsia" w:asciiTheme="majorEastAsia" w:hAnsiTheme="majorEastAsia" w:eastAsiaTheme="majorEastAsia" w:cstheme="majorEastAsia"/>
          <w:b/>
          <w:bCs/>
          <w:color w:val="auto"/>
          <w:sz w:val="32"/>
          <w:szCs w:val="32"/>
          <w:highlight w:val="none"/>
          <w:lang w:val="en-US" w:eastAsia="zh-CN"/>
        </w:rPr>
      </w:pPr>
    </w:p>
    <w:p w14:paraId="7328F855">
      <w:pPr>
        <w:pStyle w:val="17"/>
        <w:spacing w:line="360" w:lineRule="auto"/>
        <w:jc w:val="center"/>
        <w:rPr>
          <w:rFonts w:hint="eastAsia" w:asciiTheme="majorEastAsia" w:hAnsiTheme="majorEastAsia" w:eastAsiaTheme="majorEastAsia" w:cstheme="majorEastAsia"/>
          <w:b/>
          <w:bCs/>
          <w:color w:val="auto"/>
          <w:sz w:val="32"/>
          <w:szCs w:val="32"/>
          <w:highlight w:val="none"/>
        </w:rPr>
      </w:pPr>
    </w:p>
    <w:p w14:paraId="11B13CFF">
      <w:pPr>
        <w:pStyle w:val="17"/>
        <w:spacing w:line="360" w:lineRule="auto"/>
        <w:jc w:val="center"/>
        <w:rPr>
          <w:rFonts w:hint="eastAsia" w:asciiTheme="majorEastAsia" w:hAnsiTheme="majorEastAsia" w:eastAsiaTheme="majorEastAsia" w:cstheme="majorEastAsia"/>
          <w:b/>
          <w:bCs/>
          <w:color w:val="auto"/>
          <w:sz w:val="96"/>
          <w:szCs w:val="96"/>
          <w:highlight w:val="none"/>
        </w:rPr>
      </w:pPr>
      <w:r>
        <w:rPr>
          <w:rFonts w:hint="eastAsia" w:asciiTheme="majorEastAsia" w:hAnsiTheme="majorEastAsia" w:eastAsiaTheme="majorEastAsia" w:cstheme="majorEastAsia"/>
          <w:b/>
          <w:bCs/>
          <w:color w:val="auto"/>
          <w:sz w:val="72"/>
          <w:szCs w:val="72"/>
          <w:highlight w:val="none"/>
        </w:rPr>
        <w:t>投</w:t>
      </w:r>
      <w:r>
        <w:rPr>
          <w:rFonts w:hint="eastAsia" w:asciiTheme="majorEastAsia" w:hAnsiTheme="majorEastAsia" w:eastAsiaTheme="majorEastAsia" w:cstheme="majorEastAsia"/>
          <w:b/>
          <w:bCs/>
          <w:color w:val="auto"/>
          <w:sz w:val="72"/>
          <w:szCs w:val="72"/>
          <w:highlight w:val="none"/>
          <w:lang w:val="en-US" w:eastAsia="zh-CN"/>
        </w:rPr>
        <w:t xml:space="preserve">  </w:t>
      </w:r>
      <w:r>
        <w:rPr>
          <w:rFonts w:hint="eastAsia" w:asciiTheme="majorEastAsia" w:hAnsiTheme="majorEastAsia" w:eastAsiaTheme="majorEastAsia" w:cstheme="majorEastAsia"/>
          <w:b/>
          <w:bCs/>
          <w:color w:val="auto"/>
          <w:sz w:val="72"/>
          <w:szCs w:val="72"/>
          <w:highlight w:val="none"/>
        </w:rPr>
        <w:t>标</w:t>
      </w:r>
      <w:r>
        <w:rPr>
          <w:rFonts w:hint="eastAsia" w:asciiTheme="majorEastAsia" w:hAnsiTheme="majorEastAsia" w:eastAsiaTheme="majorEastAsia" w:cstheme="majorEastAsia"/>
          <w:b/>
          <w:bCs/>
          <w:color w:val="auto"/>
          <w:sz w:val="72"/>
          <w:szCs w:val="72"/>
          <w:highlight w:val="none"/>
          <w:lang w:val="en-US" w:eastAsia="zh-CN"/>
        </w:rPr>
        <w:t xml:space="preserve">  </w:t>
      </w:r>
      <w:r>
        <w:rPr>
          <w:rFonts w:hint="eastAsia" w:asciiTheme="majorEastAsia" w:hAnsiTheme="majorEastAsia" w:eastAsiaTheme="majorEastAsia" w:cstheme="majorEastAsia"/>
          <w:b/>
          <w:bCs/>
          <w:color w:val="auto"/>
          <w:sz w:val="72"/>
          <w:szCs w:val="72"/>
          <w:highlight w:val="none"/>
        </w:rPr>
        <w:t>文</w:t>
      </w:r>
      <w:r>
        <w:rPr>
          <w:rFonts w:hint="eastAsia" w:asciiTheme="majorEastAsia" w:hAnsiTheme="majorEastAsia" w:eastAsiaTheme="majorEastAsia" w:cstheme="majorEastAsia"/>
          <w:b/>
          <w:bCs/>
          <w:color w:val="auto"/>
          <w:sz w:val="72"/>
          <w:szCs w:val="72"/>
          <w:highlight w:val="none"/>
          <w:lang w:val="en-US" w:eastAsia="zh-CN"/>
        </w:rPr>
        <w:t xml:space="preserve">  </w:t>
      </w:r>
      <w:r>
        <w:rPr>
          <w:rFonts w:hint="eastAsia" w:asciiTheme="majorEastAsia" w:hAnsiTheme="majorEastAsia" w:eastAsiaTheme="majorEastAsia" w:cstheme="majorEastAsia"/>
          <w:b/>
          <w:bCs/>
          <w:color w:val="auto"/>
          <w:sz w:val="72"/>
          <w:szCs w:val="72"/>
          <w:highlight w:val="none"/>
        </w:rPr>
        <w:t>件</w:t>
      </w:r>
    </w:p>
    <w:p w14:paraId="50E6F169">
      <w:pPr>
        <w:pStyle w:val="17"/>
        <w:spacing w:line="360" w:lineRule="auto"/>
        <w:ind w:firstLine="3586" w:firstLineChars="1281"/>
        <w:rPr>
          <w:rFonts w:hint="eastAsia" w:asciiTheme="majorEastAsia" w:hAnsiTheme="majorEastAsia" w:eastAsiaTheme="majorEastAsia" w:cstheme="majorEastAsia"/>
          <w:b/>
          <w:color w:val="auto"/>
          <w:sz w:val="28"/>
          <w:szCs w:val="28"/>
          <w:highlight w:val="none"/>
          <w:u w:val="single"/>
        </w:rPr>
      </w:pPr>
      <w:r>
        <w:rPr>
          <w:rFonts w:hint="eastAsia" w:asciiTheme="majorEastAsia" w:hAnsiTheme="majorEastAsia" w:eastAsiaTheme="majorEastAsia" w:cstheme="majorEastAsia"/>
          <w:b/>
          <w:color w:val="auto"/>
          <w:sz w:val="28"/>
          <w:szCs w:val="28"/>
          <w:highlight w:val="none"/>
        </w:rPr>
        <w:t>项目编号：</w:t>
      </w:r>
      <w:r>
        <w:rPr>
          <w:rFonts w:hint="eastAsia" w:asciiTheme="majorEastAsia" w:hAnsiTheme="majorEastAsia" w:eastAsiaTheme="majorEastAsia" w:cstheme="majorEastAsia"/>
          <w:b/>
          <w:color w:val="auto"/>
          <w:sz w:val="28"/>
          <w:szCs w:val="28"/>
          <w:highlight w:val="none"/>
          <w:u w:val="single"/>
        </w:rPr>
        <w:t xml:space="preserve">           </w:t>
      </w:r>
    </w:p>
    <w:p w14:paraId="229F3016">
      <w:pPr>
        <w:pStyle w:val="12"/>
        <w:rPr>
          <w:rFonts w:hint="eastAsia" w:asciiTheme="majorEastAsia" w:hAnsiTheme="majorEastAsia" w:eastAsiaTheme="majorEastAsia" w:cstheme="majorEastAsia"/>
          <w:color w:val="auto"/>
          <w:highlight w:val="none"/>
        </w:rPr>
      </w:pPr>
    </w:p>
    <w:p w14:paraId="45A2C10E">
      <w:pPr>
        <w:pStyle w:val="17"/>
        <w:spacing w:line="360" w:lineRule="auto"/>
        <w:rPr>
          <w:rFonts w:hint="eastAsia" w:asciiTheme="majorEastAsia" w:hAnsiTheme="majorEastAsia" w:eastAsiaTheme="majorEastAsia" w:cstheme="majorEastAsia"/>
          <w:b/>
          <w:bCs/>
          <w:color w:val="auto"/>
          <w:sz w:val="72"/>
          <w:szCs w:val="72"/>
          <w:highlight w:val="none"/>
        </w:rPr>
      </w:pPr>
    </w:p>
    <w:p w14:paraId="3C77DEC2">
      <w:pPr>
        <w:pStyle w:val="47"/>
        <w:ind w:firstLine="803"/>
        <w:rPr>
          <w:rFonts w:hint="eastAsia" w:asciiTheme="majorEastAsia" w:hAnsiTheme="majorEastAsia" w:eastAsiaTheme="majorEastAsia" w:cstheme="majorEastAsia"/>
          <w:b/>
          <w:bCs/>
          <w:color w:val="auto"/>
          <w:sz w:val="40"/>
          <w:szCs w:val="40"/>
          <w:highlight w:val="none"/>
        </w:rPr>
      </w:pPr>
    </w:p>
    <w:p w14:paraId="3CA89DA3">
      <w:pPr>
        <w:pStyle w:val="47"/>
        <w:ind w:firstLine="803"/>
        <w:rPr>
          <w:rFonts w:hint="eastAsia" w:asciiTheme="majorEastAsia" w:hAnsiTheme="majorEastAsia" w:eastAsiaTheme="majorEastAsia" w:cstheme="majorEastAsia"/>
          <w:b/>
          <w:bCs/>
          <w:color w:val="auto"/>
          <w:sz w:val="40"/>
          <w:szCs w:val="40"/>
          <w:highlight w:val="none"/>
        </w:rPr>
      </w:pPr>
    </w:p>
    <w:p w14:paraId="461258A0">
      <w:pPr>
        <w:spacing w:line="360" w:lineRule="auto"/>
        <w:ind w:firstLine="1600" w:firstLineChars="500"/>
        <w:rPr>
          <w:rFonts w:hint="eastAsia"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bCs/>
          <w:color w:val="auto"/>
          <w:sz w:val="32"/>
          <w:szCs w:val="32"/>
          <w:highlight w:val="none"/>
        </w:rPr>
        <w:t>投标人名称：</w:t>
      </w:r>
      <w:r>
        <w:rPr>
          <w:rFonts w:hint="eastAsia" w:asciiTheme="majorEastAsia" w:hAnsiTheme="majorEastAsia" w:eastAsiaTheme="majorEastAsia" w:cstheme="majorEastAsia"/>
          <w:b/>
          <w:bCs/>
          <w:color w:val="auto"/>
          <w:sz w:val="32"/>
          <w:szCs w:val="32"/>
          <w:highlight w:val="none"/>
          <w:u w:val="single"/>
        </w:rPr>
        <w:t xml:space="preserve">                     </w:t>
      </w:r>
      <w:r>
        <w:rPr>
          <w:rFonts w:hint="eastAsia" w:asciiTheme="majorEastAsia" w:hAnsiTheme="majorEastAsia" w:eastAsiaTheme="majorEastAsia" w:cstheme="majorEastAsia"/>
          <w:b/>
          <w:bCs/>
          <w:color w:val="auto"/>
          <w:sz w:val="32"/>
          <w:szCs w:val="32"/>
          <w:highlight w:val="none"/>
          <w:u w:val="single"/>
          <w:lang w:eastAsia="zh-CN"/>
        </w:rPr>
        <w:t>（</w:t>
      </w:r>
      <w:r>
        <w:rPr>
          <w:rFonts w:hint="eastAsia" w:asciiTheme="majorEastAsia" w:hAnsiTheme="majorEastAsia" w:eastAsiaTheme="majorEastAsia" w:cstheme="majorEastAsia"/>
          <w:b/>
          <w:bCs/>
          <w:color w:val="auto"/>
          <w:sz w:val="32"/>
          <w:szCs w:val="32"/>
          <w:highlight w:val="none"/>
        </w:rPr>
        <w:t>盖单位公章</w:t>
      </w:r>
      <w:r>
        <w:rPr>
          <w:rFonts w:hint="eastAsia" w:asciiTheme="majorEastAsia" w:hAnsiTheme="majorEastAsia" w:eastAsiaTheme="majorEastAsia" w:cstheme="majorEastAsia"/>
          <w:b/>
          <w:bCs/>
          <w:color w:val="auto"/>
          <w:sz w:val="32"/>
          <w:szCs w:val="32"/>
          <w:highlight w:val="none"/>
          <w:lang w:eastAsia="zh-CN"/>
        </w:rPr>
        <w:t>）</w:t>
      </w:r>
    </w:p>
    <w:p w14:paraId="2691D4B1">
      <w:pPr>
        <w:pStyle w:val="17"/>
        <w:spacing w:before="166" w:beforeLines="50" w:line="360" w:lineRule="auto"/>
        <w:ind w:firstLine="1600" w:firstLineChars="500"/>
        <w:rPr>
          <w:rFonts w:hint="eastAsia" w:asciiTheme="majorEastAsia" w:hAnsiTheme="majorEastAsia" w:eastAsiaTheme="majorEastAsia" w:cstheme="majorEastAsia"/>
          <w:b/>
          <w:bCs/>
          <w:color w:val="auto"/>
          <w:sz w:val="32"/>
          <w:szCs w:val="22"/>
          <w:highlight w:val="none"/>
        </w:rPr>
      </w:pPr>
      <w:r>
        <w:rPr>
          <w:rFonts w:hint="eastAsia" w:asciiTheme="majorEastAsia" w:hAnsiTheme="majorEastAsia" w:eastAsiaTheme="majorEastAsia" w:cstheme="majorEastAsia"/>
          <w:b/>
          <w:bCs/>
          <w:color w:val="auto"/>
          <w:sz w:val="32"/>
          <w:szCs w:val="22"/>
          <w:highlight w:val="none"/>
        </w:rPr>
        <w:t>法定代表人或委托代理人：</w:t>
      </w:r>
      <w:r>
        <w:rPr>
          <w:rFonts w:hint="eastAsia" w:asciiTheme="majorEastAsia" w:hAnsiTheme="majorEastAsia" w:eastAsiaTheme="majorEastAsia" w:cstheme="majorEastAsia"/>
          <w:b/>
          <w:bCs/>
          <w:color w:val="auto"/>
          <w:sz w:val="32"/>
          <w:szCs w:val="22"/>
          <w:highlight w:val="none"/>
          <w:u w:val="single"/>
        </w:rPr>
        <w:t xml:space="preserve">         </w:t>
      </w:r>
      <w:r>
        <w:rPr>
          <w:rFonts w:hint="eastAsia" w:asciiTheme="majorEastAsia" w:hAnsiTheme="majorEastAsia" w:eastAsiaTheme="majorEastAsia" w:cstheme="majorEastAsia"/>
          <w:b/>
          <w:bCs/>
          <w:color w:val="auto"/>
          <w:sz w:val="32"/>
          <w:szCs w:val="22"/>
          <w:highlight w:val="none"/>
        </w:rPr>
        <w:t>（签字或盖章）</w:t>
      </w:r>
    </w:p>
    <w:p w14:paraId="47FF20ED">
      <w:pPr>
        <w:pStyle w:val="17"/>
        <w:spacing w:line="360" w:lineRule="auto"/>
        <w:ind w:firstLine="1400" w:firstLineChars="500"/>
        <w:rPr>
          <w:rFonts w:hint="eastAsia" w:asciiTheme="majorEastAsia" w:hAnsiTheme="majorEastAsia" w:eastAsiaTheme="majorEastAsia" w:cstheme="majorEastAsia"/>
          <w:b/>
          <w:bCs/>
          <w:color w:val="auto"/>
          <w:sz w:val="28"/>
          <w:szCs w:val="21"/>
          <w:highlight w:val="none"/>
        </w:rPr>
      </w:pPr>
    </w:p>
    <w:p w14:paraId="35F5106D">
      <w:pPr>
        <w:pStyle w:val="17"/>
        <w:spacing w:line="360" w:lineRule="auto"/>
        <w:jc w:val="center"/>
        <w:rPr>
          <w:rFonts w:hint="eastAsia"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bCs/>
          <w:color w:val="auto"/>
          <w:sz w:val="32"/>
          <w:szCs w:val="32"/>
          <w:highlight w:val="none"/>
        </w:rPr>
        <w:t>日期：</w:t>
      </w:r>
      <w:r>
        <w:rPr>
          <w:rFonts w:hint="eastAsia" w:asciiTheme="majorEastAsia" w:hAnsiTheme="majorEastAsia" w:eastAsiaTheme="majorEastAsia" w:cstheme="majorEastAsia"/>
          <w:b/>
          <w:bCs/>
          <w:color w:val="auto"/>
          <w:sz w:val="32"/>
          <w:szCs w:val="32"/>
          <w:highlight w:val="none"/>
          <w:u w:val="single"/>
        </w:rPr>
        <w:t xml:space="preserve">       </w:t>
      </w:r>
      <w:r>
        <w:rPr>
          <w:rFonts w:hint="eastAsia" w:asciiTheme="majorEastAsia" w:hAnsiTheme="majorEastAsia" w:eastAsiaTheme="majorEastAsia" w:cstheme="majorEastAsia"/>
          <w:b/>
          <w:bCs/>
          <w:color w:val="auto"/>
          <w:sz w:val="32"/>
          <w:szCs w:val="32"/>
          <w:highlight w:val="none"/>
        </w:rPr>
        <w:t xml:space="preserve">年 </w:t>
      </w:r>
      <w:r>
        <w:rPr>
          <w:rFonts w:hint="eastAsia" w:asciiTheme="majorEastAsia" w:hAnsiTheme="majorEastAsia" w:eastAsiaTheme="majorEastAsia" w:cstheme="majorEastAsia"/>
          <w:b/>
          <w:bCs/>
          <w:color w:val="auto"/>
          <w:sz w:val="32"/>
          <w:szCs w:val="32"/>
          <w:highlight w:val="none"/>
          <w:u w:val="single"/>
        </w:rPr>
        <w:t xml:space="preserve">     </w:t>
      </w:r>
      <w:r>
        <w:rPr>
          <w:rFonts w:hint="eastAsia" w:asciiTheme="majorEastAsia" w:hAnsiTheme="majorEastAsia" w:eastAsiaTheme="majorEastAsia" w:cstheme="majorEastAsia"/>
          <w:b/>
          <w:bCs/>
          <w:color w:val="auto"/>
          <w:sz w:val="32"/>
          <w:szCs w:val="32"/>
          <w:highlight w:val="none"/>
        </w:rPr>
        <w:t>月</w:t>
      </w:r>
      <w:r>
        <w:rPr>
          <w:rFonts w:hint="eastAsia" w:asciiTheme="majorEastAsia" w:hAnsiTheme="majorEastAsia" w:eastAsiaTheme="majorEastAsia" w:cstheme="majorEastAsia"/>
          <w:b/>
          <w:bCs/>
          <w:color w:val="auto"/>
          <w:sz w:val="32"/>
          <w:szCs w:val="32"/>
          <w:highlight w:val="none"/>
          <w:u w:val="single"/>
        </w:rPr>
        <w:t xml:space="preserve">      </w:t>
      </w:r>
      <w:r>
        <w:rPr>
          <w:rFonts w:hint="eastAsia" w:asciiTheme="majorEastAsia" w:hAnsiTheme="majorEastAsia" w:eastAsiaTheme="majorEastAsia" w:cstheme="majorEastAsia"/>
          <w:b/>
          <w:bCs/>
          <w:color w:val="auto"/>
          <w:sz w:val="32"/>
          <w:szCs w:val="32"/>
          <w:highlight w:val="none"/>
        </w:rPr>
        <w:t>日</w:t>
      </w:r>
      <w:bookmarkStart w:id="209" w:name="_Toc476140491"/>
      <w:bookmarkStart w:id="210" w:name="_Toc15477"/>
      <w:bookmarkStart w:id="211" w:name="_Toc16919_WPSOffice_Level2"/>
    </w:p>
    <w:p w14:paraId="5ACD777D">
      <w:pPr>
        <w:rPr>
          <w:rFonts w:hint="eastAsia" w:asciiTheme="majorEastAsia" w:hAnsiTheme="majorEastAsia" w:eastAsiaTheme="majorEastAsia" w:cstheme="majorEastAsia"/>
          <w:b/>
          <w:bCs/>
          <w:color w:val="auto"/>
          <w:sz w:val="32"/>
          <w:szCs w:val="32"/>
          <w:highlight w:val="none"/>
        </w:rPr>
      </w:pPr>
    </w:p>
    <w:p w14:paraId="49293485">
      <w:pPr>
        <w:pStyle w:val="12"/>
        <w:rPr>
          <w:rFonts w:hint="eastAsia" w:asciiTheme="majorEastAsia" w:hAnsiTheme="majorEastAsia" w:eastAsiaTheme="majorEastAsia" w:cstheme="majorEastAsia"/>
          <w:color w:val="auto"/>
          <w:highlight w:val="none"/>
        </w:rPr>
      </w:pPr>
    </w:p>
    <w:bookmarkEnd w:id="209"/>
    <w:bookmarkEnd w:id="210"/>
    <w:bookmarkEnd w:id="211"/>
    <w:p w14:paraId="7F6A5B89">
      <w:pPr>
        <w:pStyle w:val="4"/>
        <w:numPr>
          <w:ilvl w:val="2"/>
          <w:numId w:val="0"/>
        </w:numPr>
        <w:tabs>
          <w:tab w:val="clear" w:pos="900"/>
        </w:tabs>
        <w:spacing w:after="0" w:line="360" w:lineRule="auto"/>
        <w:jc w:val="center"/>
        <w:rPr>
          <w:rFonts w:hint="eastAsia" w:asciiTheme="majorEastAsia" w:hAnsiTheme="majorEastAsia" w:eastAsiaTheme="majorEastAsia" w:cstheme="majorEastAsia"/>
          <w:color w:val="auto"/>
          <w:highlight w:val="none"/>
        </w:rPr>
      </w:pPr>
      <w:bookmarkStart w:id="212" w:name="_Toc113569060"/>
      <w:bookmarkStart w:id="213" w:name="_Toc111813232"/>
      <w:bookmarkStart w:id="214" w:name="_Toc16926"/>
      <w:bookmarkStart w:id="215" w:name="_Toc5494"/>
      <w:r>
        <w:rPr>
          <w:rFonts w:hint="eastAsia" w:asciiTheme="majorEastAsia" w:hAnsiTheme="majorEastAsia" w:eastAsiaTheme="majorEastAsia" w:cstheme="majorEastAsia"/>
          <w:color w:val="auto"/>
          <w:highlight w:val="none"/>
        </w:rPr>
        <w:t>一、投标文件资格审查部分格式</w:t>
      </w:r>
      <w:bookmarkEnd w:id="212"/>
      <w:bookmarkEnd w:id="213"/>
    </w:p>
    <w:p w14:paraId="61934A94">
      <w:pPr>
        <w:pStyle w:val="4"/>
        <w:numPr>
          <w:ilvl w:val="2"/>
          <w:numId w:val="0"/>
        </w:numPr>
        <w:tabs>
          <w:tab w:val="clear" w:pos="900"/>
        </w:tabs>
        <w:spacing w:before="0" w:line="360" w:lineRule="auto"/>
        <w:ind w:left="851" w:leftChars="0"/>
        <w:jc w:val="center"/>
        <w:rPr>
          <w:rFonts w:hint="eastAsia" w:asciiTheme="majorEastAsia" w:hAnsiTheme="majorEastAsia" w:eastAsiaTheme="majorEastAsia" w:cstheme="majorEastAsia"/>
          <w:color w:val="auto"/>
          <w:highlight w:val="none"/>
        </w:rPr>
      </w:pPr>
      <w:bookmarkStart w:id="216" w:name="_Toc520749005"/>
      <w:bookmarkStart w:id="217" w:name="_Toc113569061"/>
      <w:bookmarkStart w:id="218" w:name="_Toc111813233"/>
      <w:bookmarkStart w:id="219" w:name="_Toc451856213"/>
      <w:bookmarkStart w:id="220" w:name="_Toc10117026"/>
      <w:r>
        <w:rPr>
          <w:rFonts w:hint="eastAsia" w:asciiTheme="majorEastAsia" w:hAnsiTheme="majorEastAsia" w:eastAsiaTheme="majorEastAsia" w:cstheme="majorEastAsia"/>
          <w:color w:val="auto"/>
          <w:highlight w:val="none"/>
        </w:rPr>
        <w:t>（一）投标函</w:t>
      </w:r>
      <w:bookmarkEnd w:id="216"/>
      <w:bookmarkEnd w:id="217"/>
      <w:bookmarkEnd w:id="218"/>
      <w:bookmarkEnd w:id="219"/>
      <w:bookmarkEnd w:id="220"/>
    </w:p>
    <w:p w14:paraId="5A750240">
      <w:pPr>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b/>
          <w:color w:val="auto"/>
          <w:szCs w:val="21"/>
          <w:highlight w:val="none"/>
        </w:rPr>
        <w:t>致：</w:t>
      </w:r>
      <w:r>
        <w:rPr>
          <w:rFonts w:hint="eastAsia" w:asciiTheme="majorEastAsia" w:hAnsiTheme="majorEastAsia" w:eastAsiaTheme="majorEastAsia" w:cstheme="majorEastAsia"/>
          <w:b/>
          <w:color w:val="auto"/>
          <w:szCs w:val="21"/>
          <w:highlight w:val="none"/>
          <w:u w:val="single"/>
          <w:lang w:val="en-US" w:eastAsia="zh-CN"/>
        </w:rPr>
        <w:t xml:space="preserve">                      （采购人）</w:t>
      </w:r>
    </w:p>
    <w:p w14:paraId="2742553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我方仔细研究了</w:t>
      </w:r>
      <w:r>
        <w:rPr>
          <w:rFonts w:hint="eastAsia" w:asciiTheme="majorEastAsia" w:hAnsiTheme="majorEastAsia" w:eastAsiaTheme="majorEastAsia" w:cstheme="majorEastAsia"/>
          <w:color w:val="auto"/>
          <w:szCs w:val="21"/>
          <w:highlight w:val="none"/>
          <w:u w:val="single"/>
        </w:rPr>
        <w:t xml:space="preserve">       （采购项目名称）</w:t>
      </w:r>
      <w:r>
        <w:rPr>
          <w:rFonts w:hint="eastAsia" w:asciiTheme="majorEastAsia" w:hAnsiTheme="majorEastAsia" w:eastAsiaTheme="majorEastAsia" w:cstheme="majorEastAsia"/>
          <w:color w:val="auto"/>
          <w:szCs w:val="21"/>
          <w:highlight w:val="none"/>
          <w:u w:val="single"/>
          <w:lang w:eastAsia="zh-CN"/>
        </w:rPr>
        <w:t>（标段号）</w:t>
      </w:r>
      <w:r>
        <w:rPr>
          <w:rFonts w:hint="eastAsia" w:asciiTheme="majorEastAsia" w:hAnsiTheme="majorEastAsia" w:eastAsiaTheme="majorEastAsia" w:cstheme="majorEastAsia"/>
          <w:color w:val="auto"/>
          <w:szCs w:val="21"/>
          <w:highlight w:val="none"/>
          <w:u w:val="single"/>
        </w:rPr>
        <w:t xml:space="preserve"> （项目编号：       ）</w:t>
      </w:r>
      <w:r>
        <w:rPr>
          <w:rFonts w:hint="eastAsia" w:asciiTheme="majorEastAsia" w:hAnsiTheme="majorEastAsia" w:eastAsiaTheme="majorEastAsia" w:cstheme="majorEastAsia"/>
          <w:color w:val="auto"/>
          <w:szCs w:val="21"/>
          <w:highlight w:val="none"/>
        </w:rPr>
        <w:t>招标文件的全部内容，正式授权下述签字人</w:t>
      </w:r>
      <w:r>
        <w:rPr>
          <w:rFonts w:hint="eastAsia" w:asciiTheme="majorEastAsia" w:hAnsiTheme="majorEastAsia" w:eastAsiaTheme="majorEastAsia" w:cstheme="majorEastAsia"/>
          <w:color w:val="auto"/>
          <w:szCs w:val="21"/>
          <w:highlight w:val="none"/>
          <w:u w:val="single"/>
        </w:rPr>
        <w:t xml:space="preserve">     （姓名和职务）    </w:t>
      </w:r>
      <w:r>
        <w:rPr>
          <w:rFonts w:hint="eastAsia" w:asciiTheme="majorEastAsia" w:hAnsiTheme="majorEastAsia" w:eastAsiaTheme="majorEastAsia" w:cstheme="majorEastAsia"/>
          <w:color w:val="auto"/>
          <w:szCs w:val="21"/>
          <w:highlight w:val="none"/>
        </w:rPr>
        <w:t>全权代表</w:t>
      </w:r>
      <w:r>
        <w:rPr>
          <w:rFonts w:hint="eastAsia" w:asciiTheme="majorEastAsia" w:hAnsiTheme="majorEastAsia" w:eastAsiaTheme="majorEastAsia" w:cstheme="majorEastAsia"/>
          <w:color w:val="auto"/>
          <w:szCs w:val="21"/>
          <w:highlight w:val="none"/>
          <w:u w:val="single"/>
        </w:rPr>
        <w:t xml:space="preserve">    （投标人全称）    </w:t>
      </w:r>
      <w:r>
        <w:rPr>
          <w:rFonts w:hint="eastAsia" w:asciiTheme="majorEastAsia" w:hAnsiTheme="majorEastAsia" w:eastAsiaTheme="majorEastAsia" w:cstheme="majorEastAsia"/>
          <w:color w:val="auto"/>
          <w:szCs w:val="21"/>
          <w:highlight w:val="none"/>
        </w:rPr>
        <w:t>参加投标，并提交投标文件。</w:t>
      </w:r>
    </w:p>
    <w:p w14:paraId="46C96D0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据此函，签字人兹宣布同意如下：</w:t>
      </w:r>
    </w:p>
    <w:p w14:paraId="685D870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1、按招标文件采购需求及技术要求和投标报价汇总表，投标总报价</w:t>
      </w:r>
      <w:r>
        <w:rPr>
          <w:rFonts w:hint="eastAsia" w:asciiTheme="majorEastAsia" w:hAnsiTheme="majorEastAsia" w:eastAsiaTheme="majorEastAsia" w:cstheme="majorEastAsia"/>
          <w:color w:val="auto"/>
          <w:szCs w:val="21"/>
          <w:highlight w:val="none"/>
          <w:u w:val="single"/>
        </w:rPr>
        <w:t xml:space="preserve">     （大写） </w:t>
      </w:r>
      <w:r>
        <w:rPr>
          <w:rFonts w:hint="eastAsia" w:asciiTheme="majorEastAsia" w:hAnsiTheme="majorEastAsia" w:eastAsiaTheme="majorEastAsia" w:cstheme="majorEastAsia"/>
          <w:color w:val="auto"/>
          <w:szCs w:val="21"/>
          <w:highlight w:val="none"/>
        </w:rPr>
        <w:t>，人民币</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lang w:eastAsia="zh-CN"/>
        </w:rPr>
        <w:t>）</w:t>
      </w:r>
      <w:r>
        <w:rPr>
          <w:rFonts w:hint="eastAsia" w:asciiTheme="majorEastAsia" w:hAnsiTheme="majorEastAsia" w:eastAsiaTheme="majorEastAsia" w:cstheme="majorEastAsia"/>
          <w:color w:val="auto"/>
          <w:szCs w:val="21"/>
          <w:highlight w:val="none"/>
        </w:rPr>
        <w:t>，在</w:t>
      </w:r>
      <w:r>
        <w:rPr>
          <w:rFonts w:hint="eastAsia" w:asciiTheme="majorEastAsia" w:hAnsiTheme="majorEastAsia" w:eastAsiaTheme="majorEastAsia" w:cstheme="majorEastAsia"/>
          <w:color w:val="auto"/>
          <w:szCs w:val="21"/>
          <w:highlight w:val="none"/>
          <w:u w:val="single"/>
        </w:rPr>
        <w:t xml:space="preserve">    （交货期限）   </w:t>
      </w:r>
      <w:r>
        <w:rPr>
          <w:rFonts w:hint="eastAsia" w:asciiTheme="majorEastAsia" w:hAnsiTheme="majorEastAsia" w:eastAsiaTheme="majorEastAsia" w:cstheme="majorEastAsia"/>
          <w:color w:val="auto"/>
          <w:szCs w:val="21"/>
          <w:highlight w:val="none"/>
        </w:rPr>
        <w:t>。</w:t>
      </w:r>
    </w:p>
    <w:p w14:paraId="275FE88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2、我方已详细审查全部招标文件，包括澄清文件</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如有</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。我们完全理解并同意放弃对这方面有不明及误解的权力。</w:t>
      </w:r>
    </w:p>
    <w:p w14:paraId="0ED4B2E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3、在投标人须知规定的开标日期起遵循本投标文件，并在投标人须知规定的投标文件有效期满之前均具有约束力。</w:t>
      </w:r>
    </w:p>
    <w:p w14:paraId="4722208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4、同意投标人须知中关于没收投标保证金的规定。</w:t>
      </w:r>
    </w:p>
    <w:p w14:paraId="57563EA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5、同意应贵方要求提供与本投标有关的任何数据或资料，并保证数据和资料的完整性和真实性。</w:t>
      </w:r>
    </w:p>
    <w:p w14:paraId="77F1015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6、完全理解贵方不一定要接受最低报价的投标人为中标人的行为。</w:t>
      </w:r>
    </w:p>
    <w:p w14:paraId="708594F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7、如我方中标：</w:t>
      </w:r>
    </w:p>
    <w:p w14:paraId="18ACC50B">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（1）我方承诺在收到中标通知书后，在中标通知书规定的期限内与采购人签订合同，并履行相应的合同责任和义务。</w:t>
      </w:r>
    </w:p>
    <w:p w14:paraId="49060113">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（2）我方承诺按照招标文件规定向你方递交履约担保。</w:t>
      </w:r>
    </w:p>
    <w:p w14:paraId="42786A1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（3）我方承诺将承担售后服务及保修责任。</w:t>
      </w:r>
    </w:p>
    <w:p w14:paraId="771FFB9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8、我方在此声明，所递交的投标文件及有关资料内容完整、真实和准确。</w:t>
      </w:r>
    </w:p>
    <w:p w14:paraId="4823F430">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9、我公司理解并完全接受本文件全部内容，并承诺参与投标后，不再对招标文件内容有任何疑问。</w:t>
      </w:r>
    </w:p>
    <w:p w14:paraId="08EBC47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10、本投标自开标之日起</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天内有效。</w:t>
      </w:r>
    </w:p>
    <w:p w14:paraId="5014C39E">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11、</w:t>
      </w:r>
      <w:r>
        <w:rPr>
          <w:rFonts w:hint="eastAsia" w:asciiTheme="majorEastAsia" w:hAnsiTheme="majorEastAsia" w:eastAsiaTheme="majorEastAsia" w:cstheme="majorEastAsia"/>
          <w:color w:val="auto"/>
          <w:szCs w:val="21"/>
          <w:highlight w:val="none"/>
          <w:u w:val="single"/>
        </w:rPr>
        <w:t xml:space="preserve">              （其他补充说明）     </w:t>
      </w:r>
      <w:r>
        <w:rPr>
          <w:rFonts w:hint="eastAsia" w:asciiTheme="majorEastAsia" w:hAnsiTheme="majorEastAsia" w:eastAsiaTheme="majorEastAsia" w:cstheme="majorEastAsia"/>
          <w:color w:val="auto"/>
          <w:szCs w:val="21"/>
          <w:highlight w:val="none"/>
        </w:rPr>
        <w:t>。</w:t>
      </w:r>
    </w:p>
    <w:p w14:paraId="527E0085">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ajorEastAsia" w:hAnsiTheme="majorEastAsia" w:eastAsiaTheme="majorEastAsia" w:cstheme="majorEastAsia"/>
          <w:color w:val="auto"/>
          <w:szCs w:val="21"/>
          <w:highlight w:val="none"/>
          <w:u w:val="single"/>
        </w:rPr>
      </w:pPr>
      <w:r>
        <w:rPr>
          <w:rFonts w:hint="eastAsia" w:asciiTheme="majorEastAsia" w:hAnsiTheme="majorEastAsia" w:eastAsiaTheme="majorEastAsia" w:cstheme="majorEastAsia"/>
          <w:color w:val="auto"/>
          <w:szCs w:val="21"/>
          <w:highlight w:val="none"/>
        </w:rPr>
        <w:t>与本投标有关的正式通讯地址为：</w:t>
      </w:r>
    </w:p>
    <w:p w14:paraId="358DB935">
      <w:pPr>
        <w:spacing w:before="60" w:after="60" w:line="360" w:lineRule="auto"/>
        <w:ind w:left="424" w:leftChars="202"/>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地址：</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 xml:space="preserve">  邮政编码：</w:t>
      </w:r>
      <w:r>
        <w:rPr>
          <w:rFonts w:hint="eastAsia" w:asciiTheme="majorEastAsia" w:hAnsiTheme="majorEastAsia" w:eastAsiaTheme="majorEastAsia" w:cstheme="majorEastAsia"/>
          <w:color w:val="auto"/>
          <w:szCs w:val="21"/>
          <w:highlight w:val="none"/>
          <w:u w:val="single"/>
        </w:rPr>
        <w:t xml:space="preserve">                         </w:t>
      </w:r>
    </w:p>
    <w:p w14:paraId="132AB8D3">
      <w:pPr>
        <w:spacing w:before="60" w:after="60" w:line="360" w:lineRule="auto"/>
        <w:ind w:left="424" w:leftChars="202"/>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电话：</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 xml:space="preserve">  传    真：</w:t>
      </w:r>
      <w:r>
        <w:rPr>
          <w:rFonts w:hint="eastAsia" w:asciiTheme="majorEastAsia" w:hAnsiTheme="majorEastAsia" w:eastAsiaTheme="majorEastAsia" w:cstheme="majorEastAsia"/>
          <w:color w:val="auto"/>
          <w:szCs w:val="21"/>
          <w:highlight w:val="none"/>
          <w:u w:val="single"/>
        </w:rPr>
        <w:t xml:space="preserve">                         </w:t>
      </w:r>
    </w:p>
    <w:p w14:paraId="3AAAEB02">
      <w:pPr>
        <w:spacing w:line="360" w:lineRule="auto"/>
        <w:ind w:firstLine="420" w:firstLineChars="2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开户银行名称：</w:t>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ab/>
      </w:r>
    </w:p>
    <w:p w14:paraId="283C7AB1">
      <w:pPr>
        <w:spacing w:line="360" w:lineRule="auto"/>
        <w:ind w:firstLine="420" w:firstLineChars="2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开户银行账号：</w:t>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ab/>
      </w:r>
    </w:p>
    <w:p w14:paraId="57D1B2EC">
      <w:pPr>
        <w:spacing w:before="60" w:after="60" w:line="360" w:lineRule="auto"/>
        <w:ind w:left="424" w:leftChars="202"/>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highlight w:val="none"/>
        </w:rPr>
        <w:t>法定代表人</w:t>
      </w:r>
      <w:bookmarkStart w:id="221" w:name="_Hlk17977763"/>
      <w:r>
        <w:rPr>
          <w:rFonts w:hint="eastAsia" w:asciiTheme="majorEastAsia" w:hAnsiTheme="majorEastAsia" w:eastAsiaTheme="majorEastAsia" w:cstheme="majorEastAsia"/>
          <w:color w:val="auto"/>
          <w:highlight w:val="none"/>
        </w:rPr>
        <w:t>或委托代理人</w:t>
      </w:r>
      <w:bookmarkEnd w:id="221"/>
      <w:r>
        <w:rPr>
          <w:rFonts w:hint="eastAsia" w:asciiTheme="majorEastAsia" w:hAnsiTheme="majorEastAsia" w:eastAsiaTheme="majorEastAsia" w:cstheme="majorEastAsia"/>
          <w:color w:val="auto"/>
          <w:szCs w:val="21"/>
          <w:highlight w:val="none"/>
        </w:rPr>
        <w:t>（电子签名）：</w:t>
      </w:r>
      <w:r>
        <w:rPr>
          <w:rFonts w:hint="eastAsia" w:asciiTheme="majorEastAsia" w:hAnsiTheme="majorEastAsia" w:eastAsiaTheme="majorEastAsia" w:cstheme="majorEastAsia"/>
          <w:color w:val="auto"/>
          <w:szCs w:val="21"/>
          <w:highlight w:val="none"/>
          <w:u w:val="single"/>
        </w:rPr>
        <w:t xml:space="preserve">                   </w:t>
      </w:r>
    </w:p>
    <w:p w14:paraId="5D880E13">
      <w:pPr>
        <w:spacing w:before="60" w:after="60" w:line="360" w:lineRule="auto"/>
        <w:ind w:left="424" w:leftChars="202"/>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投标人全称（加盖电子公章）：</w:t>
      </w:r>
      <w:r>
        <w:rPr>
          <w:rFonts w:hint="eastAsia" w:asciiTheme="majorEastAsia" w:hAnsiTheme="majorEastAsia" w:eastAsiaTheme="majorEastAsia" w:cstheme="majorEastAsia"/>
          <w:color w:val="auto"/>
          <w:szCs w:val="21"/>
          <w:highlight w:val="none"/>
          <w:u w:val="single"/>
        </w:rPr>
        <w:t xml:space="preserve">                           </w:t>
      </w:r>
    </w:p>
    <w:p w14:paraId="2030BB5F">
      <w:pPr>
        <w:spacing w:line="360" w:lineRule="auto"/>
        <w:ind w:firstLine="420" w:firstLineChars="200"/>
        <w:rPr>
          <w:rFonts w:hint="eastAsia" w:asciiTheme="majorEastAsia" w:hAnsiTheme="majorEastAsia" w:eastAsiaTheme="majorEastAsia" w:cstheme="majorEastAsia"/>
          <w:b/>
          <w:bCs/>
          <w:color w:val="auto"/>
          <w:sz w:val="30"/>
          <w:szCs w:val="32"/>
          <w:highlight w:val="none"/>
        </w:rPr>
      </w:pPr>
      <w:r>
        <w:rPr>
          <w:rFonts w:hint="eastAsia" w:asciiTheme="majorEastAsia" w:hAnsiTheme="majorEastAsia" w:eastAsiaTheme="majorEastAsia" w:cstheme="majorEastAsia"/>
          <w:color w:val="auto"/>
          <w:szCs w:val="21"/>
          <w:highlight w:val="none"/>
        </w:rPr>
        <w:t>日期：</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u w:val="single"/>
        </w:rPr>
        <w:t xml:space="preserve">      </w:t>
      </w:r>
      <w:bookmarkStart w:id="222" w:name="_Toc10117027"/>
      <w:bookmarkStart w:id="223" w:name="_Toc520749006"/>
    </w:p>
    <w:p w14:paraId="0BF81627">
      <w:pPr>
        <w:rPr>
          <w:rFonts w:hint="eastAsia" w:asciiTheme="majorEastAsia" w:hAnsiTheme="majorEastAsia" w:eastAsiaTheme="majorEastAsia" w:cstheme="majorEastAsia"/>
          <w:color w:val="auto"/>
          <w:highlight w:val="none"/>
        </w:rPr>
      </w:pPr>
      <w:bookmarkStart w:id="224" w:name="_Toc520749015"/>
      <w:bookmarkStart w:id="225" w:name="_Toc111813244"/>
      <w:bookmarkStart w:id="226" w:name="_Toc10117037"/>
      <w:bookmarkStart w:id="227" w:name="_Toc113569062"/>
      <w:bookmarkStart w:id="228" w:name="_Toc111813234"/>
      <w:r>
        <w:rPr>
          <w:rFonts w:hint="eastAsia" w:asciiTheme="majorEastAsia" w:hAnsiTheme="majorEastAsia" w:eastAsiaTheme="majorEastAsia" w:cstheme="majorEastAsia"/>
          <w:color w:val="auto"/>
          <w:highlight w:val="none"/>
        </w:rPr>
        <w:br w:type="page"/>
      </w:r>
    </w:p>
    <w:p w14:paraId="57DC980F">
      <w:pPr>
        <w:pStyle w:val="4"/>
        <w:numPr>
          <w:ilvl w:val="2"/>
          <w:numId w:val="0"/>
        </w:numPr>
        <w:tabs>
          <w:tab w:val="clear" w:pos="900"/>
        </w:tabs>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highlight w:val="none"/>
        </w:rPr>
        <w:t>（二）法定代表人身份证明书</w:t>
      </w:r>
      <w:bookmarkEnd w:id="224"/>
      <w:bookmarkEnd w:id="225"/>
      <w:bookmarkEnd w:id="226"/>
      <w:bookmarkEnd w:id="227"/>
    </w:p>
    <w:p w14:paraId="35015A97">
      <w:pPr>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 标 人：</w:t>
      </w:r>
      <w:r>
        <w:rPr>
          <w:rFonts w:hint="eastAsia" w:asciiTheme="majorEastAsia" w:hAnsiTheme="majorEastAsia" w:eastAsiaTheme="majorEastAsia" w:cstheme="majorEastAsia"/>
          <w:color w:val="auto"/>
          <w:szCs w:val="21"/>
          <w:highlight w:val="none"/>
          <w:u w:val="single"/>
        </w:rPr>
        <w:t xml:space="preserve">                                                       </w:t>
      </w:r>
    </w:p>
    <w:p w14:paraId="03841FC5">
      <w:pPr>
        <w:spacing w:line="360" w:lineRule="auto"/>
        <w:rPr>
          <w:rFonts w:hint="eastAsia" w:asciiTheme="majorEastAsia" w:hAnsiTheme="majorEastAsia" w:eastAsiaTheme="majorEastAsia" w:cstheme="majorEastAsia"/>
          <w:color w:val="auto"/>
          <w:szCs w:val="21"/>
          <w:highlight w:val="none"/>
          <w:u w:val="single"/>
        </w:rPr>
      </w:pPr>
      <w:r>
        <w:rPr>
          <w:rFonts w:hint="eastAsia" w:asciiTheme="majorEastAsia" w:hAnsiTheme="majorEastAsia" w:eastAsiaTheme="majorEastAsia" w:cstheme="majorEastAsia"/>
          <w:color w:val="auto"/>
          <w:szCs w:val="21"/>
          <w:highlight w:val="none"/>
        </w:rPr>
        <w:t>单位性质：</w:t>
      </w:r>
      <w:r>
        <w:rPr>
          <w:rFonts w:hint="eastAsia" w:asciiTheme="majorEastAsia" w:hAnsiTheme="majorEastAsia" w:eastAsiaTheme="majorEastAsia" w:cstheme="majorEastAsia"/>
          <w:color w:val="auto"/>
          <w:szCs w:val="21"/>
          <w:highlight w:val="none"/>
          <w:u w:val="single"/>
        </w:rPr>
        <w:t xml:space="preserve">                                                       </w:t>
      </w:r>
    </w:p>
    <w:p w14:paraId="2FDD6922">
      <w:pPr>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地    址：</w:t>
      </w:r>
      <w:r>
        <w:rPr>
          <w:rFonts w:hint="eastAsia" w:asciiTheme="majorEastAsia" w:hAnsiTheme="majorEastAsia" w:eastAsiaTheme="majorEastAsia" w:cstheme="majorEastAsia"/>
          <w:color w:val="auto"/>
          <w:szCs w:val="21"/>
          <w:highlight w:val="none"/>
          <w:u w:val="single"/>
        </w:rPr>
        <w:t xml:space="preserve">                                                       </w:t>
      </w:r>
    </w:p>
    <w:p w14:paraId="55407345">
      <w:pPr>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成立时间：</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年</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月</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日</w:t>
      </w:r>
    </w:p>
    <w:p w14:paraId="383D93CE">
      <w:pPr>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经营期限：</w:t>
      </w:r>
      <w:r>
        <w:rPr>
          <w:rFonts w:hint="eastAsia" w:asciiTheme="majorEastAsia" w:hAnsiTheme="majorEastAsia" w:eastAsiaTheme="majorEastAsia" w:cstheme="majorEastAsia"/>
          <w:color w:val="auto"/>
          <w:szCs w:val="21"/>
          <w:highlight w:val="none"/>
          <w:u w:val="single"/>
        </w:rPr>
        <w:t xml:space="preserve">                                                       </w:t>
      </w:r>
    </w:p>
    <w:p w14:paraId="4E21D7AC">
      <w:pPr>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姓    名：</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性    别：</w:t>
      </w:r>
      <w:r>
        <w:rPr>
          <w:rFonts w:hint="eastAsia" w:asciiTheme="majorEastAsia" w:hAnsiTheme="majorEastAsia" w:eastAsiaTheme="majorEastAsia" w:cstheme="majorEastAsia"/>
          <w:color w:val="auto"/>
          <w:szCs w:val="21"/>
          <w:highlight w:val="none"/>
          <w:u w:val="single"/>
        </w:rPr>
        <w:t xml:space="preserve">               </w:t>
      </w:r>
    </w:p>
    <w:p w14:paraId="75549233">
      <w:pPr>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年    龄：</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职    务：</w:t>
      </w:r>
      <w:r>
        <w:rPr>
          <w:rFonts w:hint="eastAsia" w:asciiTheme="majorEastAsia" w:hAnsiTheme="majorEastAsia" w:eastAsiaTheme="majorEastAsia" w:cstheme="majorEastAsia"/>
          <w:color w:val="auto"/>
          <w:szCs w:val="21"/>
          <w:highlight w:val="none"/>
          <w:u w:val="single"/>
        </w:rPr>
        <w:t xml:space="preserve">               </w:t>
      </w:r>
    </w:p>
    <w:p w14:paraId="7200ED32">
      <w:pPr>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系</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（投标人名称）的法定代表人。</w:t>
      </w:r>
    </w:p>
    <w:p w14:paraId="7B3B6E5F">
      <w:pPr>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特此证明。</w:t>
      </w:r>
    </w:p>
    <w:p w14:paraId="2932AAEA">
      <w:pPr>
        <w:spacing w:line="360" w:lineRule="auto"/>
        <w:rPr>
          <w:rFonts w:hint="eastAsia" w:asciiTheme="majorEastAsia" w:hAnsiTheme="majorEastAsia" w:eastAsiaTheme="majorEastAsia" w:cstheme="majorEastAsia"/>
          <w:color w:val="auto"/>
          <w:szCs w:val="21"/>
          <w:highlight w:val="none"/>
        </w:rPr>
      </w:pPr>
    </w:p>
    <w:p w14:paraId="3366202C">
      <w:pPr>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b/>
          <w:color w:val="auto"/>
          <w:szCs w:val="21"/>
          <w:highlight w:val="none"/>
        </w:rPr>
        <w:t>注：附法定代表人身份证扫描件（彩色）。</w:t>
      </w:r>
    </w:p>
    <w:tbl>
      <w:tblPr>
        <w:tblStyle w:val="30"/>
        <w:tblW w:w="0" w:type="auto"/>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674"/>
      </w:tblGrid>
      <w:tr w14:paraId="31FAACB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noWrap w:val="0"/>
            <w:vAlign w:val="center"/>
          </w:tcPr>
          <w:p w14:paraId="02E3C71D">
            <w:pPr>
              <w:spacing w:line="460" w:lineRule="exac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法定代表人身份证复印件正面</w:t>
            </w:r>
          </w:p>
        </w:tc>
        <w:tc>
          <w:tcPr>
            <w:tcW w:w="257" w:type="dxa"/>
            <w:tcBorders>
              <w:top w:val="nil"/>
              <w:bottom w:val="nil"/>
            </w:tcBorders>
            <w:noWrap w:val="0"/>
            <w:vAlign w:val="center"/>
          </w:tcPr>
          <w:p w14:paraId="53BA1B91">
            <w:pPr>
              <w:widowControl/>
              <w:spacing w:line="460" w:lineRule="exact"/>
              <w:jc w:val="center"/>
              <w:rPr>
                <w:rFonts w:hint="eastAsia" w:asciiTheme="majorEastAsia" w:hAnsiTheme="majorEastAsia" w:eastAsiaTheme="majorEastAsia" w:cstheme="majorEastAsia"/>
                <w:color w:val="auto"/>
                <w:szCs w:val="21"/>
                <w:highlight w:val="none"/>
              </w:rPr>
            </w:pPr>
          </w:p>
          <w:p w14:paraId="439CC1D3">
            <w:pPr>
              <w:spacing w:line="460" w:lineRule="exact"/>
              <w:jc w:val="center"/>
              <w:rPr>
                <w:rFonts w:hint="eastAsia" w:asciiTheme="majorEastAsia" w:hAnsiTheme="majorEastAsia" w:eastAsiaTheme="majorEastAsia" w:cstheme="majorEastAsia"/>
                <w:color w:val="auto"/>
                <w:szCs w:val="21"/>
                <w:highlight w:val="none"/>
              </w:rPr>
            </w:pPr>
          </w:p>
        </w:tc>
        <w:tc>
          <w:tcPr>
            <w:tcW w:w="4674" w:type="dxa"/>
            <w:noWrap w:val="0"/>
            <w:vAlign w:val="center"/>
          </w:tcPr>
          <w:p w14:paraId="1E7B3C75">
            <w:pPr>
              <w:spacing w:line="460" w:lineRule="exac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法定代表人身份证复印件背面</w:t>
            </w:r>
          </w:p>
        </w:tc>
      </w:tr>
    </w:tbl>
    <w:p w14:paraId="054A5699">
      <w:pPr>
        <w:spacing w:line="360" w:lineRule="auto"/>
        <w:rPr>
          <w:rFonts w:hint="eastAsia" w:asciiTheme="majorEastAsia" w:hAnsiTheme="majorEastAsia" w:eastAsiaTheme="majorEastAsia" w:cstheme="majorEastAsia"/>
          <w:color w:val="auto"/>
          <w:szCs w:val="21"/>
          <w:highlight w:val="none"/>
        </w:rPr>
      </w:pPr>
    </w:p>
    <w:p w14:paraId="21E3175F">
      <w:pPr>
        <w:spacing w:line="360" w:lineRule="auto"/>
        <w:ind w:right="525"/>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投标人全称（加盖电子公章）：</w:t>
      </w:r>
      <w:r>
        <w:rPr>
          <w:rFonts w:hint="eastAsia" w:asciiTheme="majorEastAsia" w:hAnsiTheme="majorEastAsia" w:eastAsiaTheme="majorEastAsia" w:cstheme="majorEastAsia"/>
          <w:color w:val="auto"/>
          <w:szCs w:val="21"/>
          <w:highlight w:val="none"/>
          <w:u w:val="single"/>
        </w:rPr>
        <w:t xml:space="preserve">                     </w:t>
      </w:r>
    </w:p>
    <w:p w14:paraId="4CABA186">
      <w:pPr>
        <w:spacing w:line="360" w:lineRule="auto"/>
        <w:jc w:val="right"/>
        <w:rPr>
          <w:rFonts w:hint="eastAsia" w:asciiTheme="majorEastAsia" w:hAnsiTheme="majorEastAsia" w:eastAsiaTheme="majorEastAsia" w:cstheme="majorEastAsia"/>
          <w:color w:val="auto"/>
          <w:szCs w:val="21"/>
          <w:highlight w:val="none"/>
        </w:rPr>
      </w:pPr>
    </w:p>
    <w:p w14:paraId="15AF5594">
      <w:pPr>
        <w:wordWrap w:val="0"/>
        <w:spacing w:line="360" w:lineRule="auto"/>
        <w:ind w:right="42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日期：</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年</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月</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 xml:space="preserve">日      </w:t>
      </w:r>
    </w:p>
    <w:p w14:paraId="6E5E8E1E">
      <w:pPr>
        <w:pStyle w:val="4"/>
        <w:numPr>
          <w:ilvl w:val="2"/>
          <w:numId w:val="0"/>
        </w:numPr>
        <w:tabs>
          <w:tab w:val="clear" w:pos="900"/>
        </w:tabs>
        <w:spacing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br w:type="page"/>
      </w:r>
      <w:bookmarkStart w:id="229" w:name="_Toc113569063"/>
      <w:r>
        <w:rPr>
          <w:rFonts w:hint="eastAsia" w:asciiTheme="majorEastAsia" w:hAnsiTheme="majorEastAsia" w:eastAsiaTheme="majorEastAsia" w:cstheme="majorEastAsia"/>
          <w:color w:val="auto"/>
          <w:highlight w:val="none"/>
        </w:rPr>
        <w:t>（三）法定代表人授权委托书</w:t>
      </w:r>
      <w:bookmarkEnd w:id="229"/>
    </w:p>
    <w:p w14:paraId="2C5B6CBB">
      <w:pPr>
        <w:spacing w:line="360" w:lineRule="auto"/>
        <w:ind w:firstLine="472" w:firstLineChars="225"/>
        <w:rPr>
          <w:rFonts w:hint="eastAsia" w:asciiTheme="majorEastAsia" w:hAnsiTheme="majorEastAsia" w:eastAsiaTheme="majorEastAsia" w:cstheme="majorEastAsia"/>
          <w:color w:val="auto"/>
          <w:szCs w:val="21"/>
          <w:highlight w:val="none"/>
        </w:rPr>
      </w:pPr>
    </w:p>
    <w:p w14:paraId="5A9D105C">
      <w:pPr>
        <w:keepNext w:val="0"/>
        <w:keepLines w:val="0"/>
        <w:pageBreakBefore w:val="0"/>
        <w:widowControl w:val="0"/>
        <w:kinsoku/>
        <w:wordWrap/>
        <w:overflowPunct/>
        <w:topLinePunct w:val="0"/>
        <w:autoSpaceDE/>
        <w:autoSpaceDN/>
        <w:bidi w:val="0"/>
        <w:adjustRightInd w:val="0"/>
        <w:snapToGrid w:val="0"/>
        <w:spacing w:line="384" w:lineRule="auto"/>
        <w:ind w:firstLine="420"/>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本授权委托书声明：我</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lang w:eastAsia="zh-CN"/>
        </w:rPr>
        <w:t>（</w:t>
      </w:r>
      <w:r>
        <w:rPr>
          <w:rFonts w:hint="eastAsia" w:asciiTheme="majorEastAsia" w:hAnsiTheme="majorEastAsia" w:eastAsiaTheme="majorEastAsia" w:cstheme="majorEastAsia"/>
          <w:color w:val="auto"/>
          <w:szCs w:val="21"/>
          <w:highlight w:val="none"/>
        </w:rPr>
        <w:t>姓名</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系</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lang w:eastAsia="zh-CN"/>
        </w:rPr>
        <w:t>（</w:t>
      </w:r>
      <w:r>
        <w:rPr>
          <w:rFonts w:hint="eastAsia" w:asciiTheme="majorEastAsia" w:hAnsiTheme="majorEastAsia" w:eastAsiaTheme="majorEastAsia" w:cstheme="majorEastAsia"/>
          <w:color w:val="auto"/>
          <w:szCs w:val="21"/>
          <w:highlight w:val="none"/>
        </w:rPr>
        <w:t>投标人名称</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 xml:space="preserve">的法定代表人，现授权委托我单位的 </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lang w:eastAsia="zh-CN"/>
        </w:rPr>
        <w:t>（</w:t>
      </w:r>
      <w:r>
        <w:rPr>
          <w:rFonts w:hint="eastAsia" w:asciiTheme="majorEastAsia" w:hAnsiTheme="majorEastAsia" w:eastAsiaTheme="majorEastAsia" w:cstheme="majorEastAsia"/>
          <w:color w:val="auto"/>
          <w:szCs w:val="21"/>
          <w:highlight w:val="none"/>
        </w:rPr>
        <w:t>姓名</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为我公司代理人，以公司名义参加的</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bCs/>
          <w:color w:val="auto"/>
          <w:szCs w:val="21"/>
          <w:highlight w:val="none"/>
          <w:u w:val="single"/>
        </w:rPr>
        <w:t>项目名称</w:t>
      </w:r>
      <w:r>
        <w:rPr>
          <w:rFonts w:hint="eastAsia" w:asciiTheme="majorEastAsia" w:hAnsiTheme="majorEastAsia" w:eastAsiaTheme="majorEastAsia" w:cstheme="majorEastAsia"/>
          <w:color w:val="auto"/>
          <w:szCs w:val="21"/>
          <w:highlight w:val="none"/>
          <w:u w:val="single"/>
        </w:rPr>
        <w:t>）（标段号）</w:t>
      </w:r>
      <w:r>
        <w:rPr>
          <w:rFonts w:hint="eastAsia" w:asciiTheme="majorEastAsia" w:hAnsiTheme="majorEastAsia" w:eastAsiaTheme="majorEastAsia" w:cstheme="majorEastAsia"/>
          <w:bCs/>
          <w:color w:val="auto"/>
          <w:szCs w:val="21"/>
          <w:highlight w:val="none"/>
          <w:u w:val="single"/>
        </w:rPr>
        <w:t xml:space="preserve">     </w:t>
      </w:r>
      <w:r>
        <w:rPr>
          <w:rFonts w:hint="eastAsia" w:asciiTheme="majorEastAsia" w:hAnsiTheme="majorEastAsia" w:eastAsiaTheme="majorEastAsia" w:cstheme="majorEastAsia"/>
          <w:bCs/>
          <w:color w:val="auto"/>
          <w:szCs w:val="21"/>
          <w:highlight w:val="none"/>
          <w:u w:val="single"/>
          <w:lang w:eastAsia="zh-CN"/>
        </w:rPr>
        <w:t>（</w:t>
      </w:r>
      <w:r>
        <w:rPr>
          <w:rFonts w:hint="eastAsia" w:asciiTheme="majorEastAsia" w:hAnsiTheme="majorEastAsia" w:eastAsiaTheme="majorEastAsia" w:cstheme="majorEastAsia"/>
          <w:color w:val="auto"/>
          <w:szCs w:val="21"/>
          <w:highlight w:val="none"/>
        </w:rPr>
        <w:t>项目编号：</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lang w:eastAsia="zh-CN"/>
        </w:rPr>
        <w:t>）</w:t>
      </w:r>
      <w:r>
        <w:rPr>
          <w:rFonts w:hint="eastAsia" w:asciiTheme="majorEastAsia" w:hAnsiTheme="majorEastAsia" w:eastAsiaTheme="majorEastAsia" w:cstheme="majorEastAsia"/>
          <w:color w:val="auto"/>
          <w:szCs w:val="21"/>
          <w:highlight w:val="none"/>
        </w:rPr>
        <w:t>的投标活动。代理人在开标、评标、合同谈判过程中所签署的一切文件和处理与之有关的一切事务，我均予以承认。</w:t>
      </w:r>
    </w:p>
    <w:p w14:paraId="7B5EF6EC">
      <w:pPr>
        <w:keepNext w:val="0"/>
        <w:keepLines w:val="0"/>
        <w:pageBreakBefore w:val="0"/>
        <w:widowControl w:val="0"/>
        <w:kinsoku/>
        <w:wordWrap/>
        <w:overflowPunct/>
        <w:topLinePunct w:val="0"/>
        <w:autoSpaceDE/>
        <w:autoSpaceDN/>
        <w:bidi w:val="0"/>
        <w:adjustRightInd w:val="0"/>
        <w:snapToGrid w:val="0"/>
        <w:spacing w:line="384" w:lineRule="auto"/>
        <w:ind w:firstLine="472" w:firstLineChars="225"/>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代理人无转委托权，特此委托。</w:t>
      </w:r>
    </w:p>
    <w:p w14:paraId="0022D5A5">
      <w:pPr>
        <w:keepNext w:val="0"/>
        <w:keepLines w:val="0"/>
        <w:pageBreakBefore w:val="0"/>
        <w:widowControl w:val="0"/>
        <w:kinsoku/>
        <w:wordWrap/>
        <w:overflowPunct/>
        <w:topLinePunct w:val="0"/>
        <w:autoSpaceDE/>
        <w:autoSpaceDN/>
        <w:bidi w:val="0"/>
        <w:adjustRightInd w:val="0"/>
        <w:snapToGrid w:val="0"/>
        <w:spacing w:line="384" w:lineRule="auto"/>
        <w:textAlignment w:val="auto"/>
        <w:rPr>
          <w:rFonts w:hint="eastAsia" w:asciiTheme="majorEastAsia" w:hAnsiTheme="majorEastAsia" w:eastAsiaTheme="majorEastAsia" w:cstheme="majorEastAsia"/>
          <w:color w:val="auto"/>
          <w:szCs w:val="21"/>
          <w:highlight w:val="none"/>
          <w:u w:val="single"/>
          <w:lang w:val="en-US" w:eastAsia="zh-CN"/>
        </w:rPr>
      </w:pPr>
      <w:r>
        <w:rPr>
          <w:rFonts w:hint="eastAsia" w:asciiTheme="majorEastAsia" w:hAnsiTheme="majorEastAsia" w:eastAsiaTheme="majorEastAsia" w:cstheme="majorEastAsia"/>
          <w:color w:val="auto"/>
          <w:szCs w:val="21"/>
          <w:highlight w:val="none"/>
        </w:rPr>
        <w:t xml:space="preserve">代理人：  </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 xml:space="preserve"> </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性别：</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none"/>
          <w:lang w:eastAsia="zh-CN"/>
        </w:rPr>
        <w:t>；</w:t>
      </w:r>
      <w:r>
        <w:rPr>
          <w:rFonts w:hint="eastAsia" w:asciiTheme="majorEastAsia" w:hAnsiTheme="majorEastAsia" w:eastAsiaTheme="majorEastAsia" w:cstheme="majorEastAsia"/>
          <w:color w:val="auto"/>
          <w:szCs w:val="21"/>
          <w:highlight w:val="none"/>
        </w:rPr>
        <w:t>年龄：</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u w:val="none"/>
          <w:lang w:val="en-US" w:eastAsia="zh-CN"/>
        </w:rPr>
        <w:t>；</w:t>
      </w:r>
      <w:r>
        <w:rPr>
          <w:rFonts w:hint="eastAsia" w:asciiTheme="majorEastAsia" w:hAnsiTheme="majorEastAsia" w:eastAsiaTheme="majorEastAsia" w:cstheme="majorEastAsia"/>
          <w:color w:val="auto"/>
          <w:szCs w:val="21"/>
          <w:highlight w:val="none"/>
        </w:rPr>
        <w:t xml:space="preserve">部门： </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 xml:space="preserve"> 职务：</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u w:val="none"/>
          <w:lang w:val="en-US" w:eastAsia="zh-CN"/>
        </w:rPr>
        <w:t>；</w:t>
      </w:r>
    </w:p>
    <w:p w14:paraId="44A0A7FB">
      <w:pPr>
        <w:keepNext w:val="0"/>
        <w:keepLines w:val="0"/>
        <w:pageBreakBefore w:val="0"/>
        <w:widowControl w:val="0"/>
        <w:kinsoku/>
        <w:wordWrap/>
        <w:overflowPunct/>
        <w:topLinePunct w:val="0"/>
        <w:autoSpaceDE/>
        <w:autoSpaceDN/>
        <w:bidi w:val="0"/>
        <w:adjustRightInd w:val="0"/>
        <w:snapToGrid w:val="0"/>
        <w:spacing w:line="384" w:lineRule="auto"/>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代理人无转委托权，特此委托。</w:t>
      </w:r>
    </w:p>
    <w:p w14:paraId="718646B4">
      <w:pPr>
        <w:keepNext w:val="0"/>
        <w:keepLines w:val="0"/>
        <w:pageBreakBefore w:val="0"/>
        <w:widowControl w:val="0"/>
        <w:kinsoku/>
        <w:wordWrap/>
        <w:overflowPunct/>
        <w:topLinePunct w:val="0"/>
        <w:autoSpaceDE/>
        <w:autoSpaceDN/>
        <w:bidi w:val="0"/>
        <w:adjustRightInd w:val="0"/>
        <w:snapToGrid w:val="0"/>
        <w:spacing w:line="384" w:lineRule="auto"/>
        <w:textAlignment w:val="auto"/>
        <w:rPr>
          <w:rFonts w:hint="default" w:asciiTheme="majorEastAsia" w:hAnsiTheme="majorEastAsia" w:eastAsiaTheme="majorEastAsia" w:cstheme="majorEastAsia"/>
          <w:color w:val="auto"/>
          <w:szCs w:val="21"/>
          <w:highlight w:val="none"/>
          <w:u w:val="single"/>
          <w:lang w:val="en-US" w:eastAsia="zh-CN"/>
        </w:rPr>
      </w:pPr>
      <w:r>
        <w:rPr>
          <w:rFonts w:hint="eastAsia" w:asciiTheme="majorEastAsia" w:hAnsiTheme="majorEastAsia" w:eastAsiaTheme="majorEastAsia" w:cstheme="majorEastAsia"/>
          <w:color w:val="auto"/>
          <w:szCs w:val="21"/>
          <w:highlight w:val="none"/>
        </w:rPr>
        <w:t>投标人全称</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加盖电子公章</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lang w:val="en-US" w:eastAsia="zh-CN"/>
        </w:rPr>
        <w:t xml:space="preserve">                  </w:t>
      </w:r>
    </w:p>
    <w:p w14:paraId="2EB04290">
      <w:pPr>
        <w:pStyle w:val="9"/>
        <w:keepNext w:val="0"/>
        <w:keepLines w:val="0"/>
        <w:pageBreakBefore w:val="0"/>
        <w:widowControl w:val="0"/>
        <w:kinsoku/>
        <w:wordWrap/>
        <w:overflowPunct/>
        <w:topLinePunct w:val="0"/>
        <w:autoSpaceDE/>
        <w:autoSpaceDN/>
        <w:bidi w:val="0"/>
        <w:adjustRightInd w:val="0"/>
        <w:snapToGrid w:val="0"/>
        <w:spacing w:before="0" w:line="384" w:lineRule="auto"/>
        <w:textAlignment w:val="auto"/>
        <w:rPr>
          <w:rFonts w:hint="eastAsia" w:asciiTheme="majorEastAsia" w:hAnsiTheme="majorEastAsia" w:eastAsiaTheme="majorEastAsia" w:cstheme="majorEastAsia"/>
          <w:color w:val="auto"/>
          <w:sz w:val="21"/>
          <w:szCs w:val="21"/>
          <w:highlight w:val="none"/>
          <w:u w:val="single"/>
          <w:lang w:val="en-US" w:eastAsia="zh-CN"/>
        </w:rPr>
      </w:pPr>
      <w:r>
        <w:rPr>
          <w:rFonts w:hint="eastAsia" w:asciiTheme="majorEastAsia" w:hAnsiTheme="majorEastAsia" w:eastAsiaTheme="majorEastAsia" w:cstheme="majorEastAsia"/>
          <w:color w:val="auto"/>
          <w:sz w:val="21"/>
          <w:szCs w:val="21"/>
          <w:highlight w:val="none"/>
        </w:rPr>
        <w:t xml:space="preserve">法定代表人 </w:t>
      </w:r>
      <w:r>
        <w:rPr>
          <w:rFonts w:hint="eastAsia" w:asciiTheme="majorEastAsia" w:hAnsiTheme="majorEastAsia" w:eastAsiaTheme="majorEastAsia" w:cstheme="majorEastAsia"/>
          <w:color w:val="auto"/>
          <w:sz w:val="21"/>
          <w:szCs w:val="21"/>
          <w:highlight w:val="none"/>
          <w:lang w:eastAsia="zh-CN"/>
        </w:rPr>
        <w:t>（</w:t>
      </w:r>
      <w:r>
        <w:rPr>
          <w:rFonts w:hint="eastAsia" w:asciiTheme="majorEastAsia" w:hAnsiTheme="majorEastAsia" w:eastAsiaTheme="majorEastAsia" w:cstheme="majorEastAsia"/>
          <w:color w:val="auto"/>
          <w:sz w:val="21"/>
          <w:szCs w:val="21"/>
          <w:highlight w:val="none"/>
        </w:rPr>
        <w:t>电子签名</w:t>
      </w:r>
      <w:r>
        <w:rPr>
          <w:rFonts w:hint="eastAsia" w:asciiTheme="majorEastAsia" w:hAnsiTheme="majorEastAsia" w:eastAsiaTheme="majorEastAsia" w:cstheme="majorEastAsia"/>
          <w:color w:val="auto"/>
          <w:sz w:val="21"/>
          <w:szCs w:val="21"/>
          <w:highlight w:val="none"/>
          <w:lang w:eastAsia="zh-CN"/>
        </w:rPr>
        <w:t>）</w:t>
      </w:r>
      <w:r>
        <w:rPr>
          <w:rFonts w:hint="eastAsia" w:asciiTheme="majorEastAsia" w:hAnsiTheme="majorEastAsia" w:eastAsiaTheme="majorEastAsia" w:cstheme="majorEastAsia"/>
          <w:color w:val="auto"/>
          <w:sz w:val="21"/>
          <w:szCs w:val="21"/>
          <w:highlight w:val="none"/>
        </w:rPr>
        <w:t>：</w:t>
      </w:r>
      <w:r>
        <w:rPr>
          <w:rFonts w:hint="eastAsia" w:asciiTheme="majorEastAsia" w:hAnsiTheme="majorEastAsia" w:eastAsiaTheme="majorEastAsia" w:cstheme="majorEastAsia"/>
          <w:color w:val="auto"/>
          <w:sz w:val="21"/>
          <w:szCs w:val="21"/>
          <w:highlight w:val="none"/>
          <w:u w:val="single"/>
          <w:lang w:val="en-US" w:eastAsia="zh-CN"/>
        </w:rPr>
        <w:t xml:space="preserve">                      </w:t>
      </w:r>
    </w:p>
    <w:p w14:paraId="05520798">
      <w:pPr>
        <w:pStyle w:val="9"/>
        <w:keepNext w:val="0"/>
        <w:keepLines w:val="0"/>
        <w:pageBreakBefore w:val="0"/>
        <w:widowControl w:val="0"/>
        <w:kinsoku/>
        <w:wordWrap/>
        <w:overflowPunct/>
        <w:topLinePunct w:val="0"/>
        <w:autoSpaceDE/>
        <w:autoSpaceDN/>
        <w:bidi w:val="0"/>
        <w:adjustRightInd w:val="0"/>
        <w:snapToGrid w:val="0"/>
        <w:spacing w:before="0" w:line="384" w:lineRule="auto"/>
        <w:textAlignment w:val="auto"/>
        <w:rPr>
          <w:rFonts w:hint="eastAsia" w:asciiTheme="majorEastAsia" w:hAnsiTheme="majorEastAsia" w:eastAsiaTheme="majorEastAsia" w:cstheme="majorEastAsia"/>
          <w:color w:val="auto"/>
          <w:sz w:val="21"/>
          <w:szCs w:val="21"/>
          <w:highlight w:val="none"/>
          <w:u w:val="single"/>
          <w:lang w:val="en-US" w:eastAsia="zh-CN"/>
        </w:rPr>
      </w:pPr>
      <w:r>
        <w:rPr>
          <w:rFonts w:hint="eastAsia" w:asciiTheme="majorEastAsia" w:hAnsiTheme="majorEastAsia" w:eastAsiaTheme="majorEastAsia" w:cstheme="majorEastAsia"/>
          <w:color w:val="auto"/>
          <w:sz w:val="21"/>
          <w:szCs w:val="21"/>
          <w:highlight w:val="none"/>
        </w:rPr>
        <w:t>代</w:t>
      </w:r>
      <w:r>
        <w:rPr>
          <w:rFonts w:hint="eastAsia" w:asciiTheme="majorEastAsia" w:hAnsiTheme="majorEastAsia" w:eastAsiaTheme="majorEastAsia" w:cstheme="majorEastAsia"/>
          <w:color w:val="auto"/>
          <w:sz w:val="21"/>
          <w:szCs w:val="21"/>
          <w:highlight w:val="none"/>
          <w:lang w:val="en-US" w:eastAsia="zh-CN"/>
        </w:rPr>
        <w:t xml:space="preserve">      </w:t>
      </w:r>
      <w:r>
        <w:rPr>
          <w:rFonts w:hint="eastAsia" w:asciiTheme="majorEastAsia" w:hAnsiTheme="majorEastAsia" w:eastAsiaTheme="majorEastAsia" w:cstheme="majorEastAsia"/>
          <w:color w:val="auto"/>
          <w:sz w:val="21"/>
          <w:szCs w:val="21"/>
          <w:highlight w:val="none"/>
        </w:rPr>
        <w:t>理</w:t>
      </w:r>
      <w:r>
        <w:rPr>
          <w:rFonts w:hint="eastAsia" w:asciiTheme="majorEastAsia" w:hAnsiTheme="majorEastAsia" w:eastAsiaTheme="majorEastAsia" w:cstheme="majorEastAsia"/>
          <w:color w:val="auto"/>
          <w:sz w:val="21"/>
          <w:szCs w:val="21"/>
          <w:highlight w:val="none"/>
          <w:lang w:val="en-US" w:eastAsia="zh-CN"/>
        </w:rPr>
        <w:t xml:space="preserve">     </w:t>
      </w:r>
      <w:r>
        <w:rPr>
          <w:rFonts w:hint="eastAsia" w:asciiTheme="majorEastAsia" w:hAnsiTheme="majorEastAsia" w:eastAsiaTheme="majorEastAsia" w:cstheme="majorEastAsia"/>
          <w:color w:val="auto"/>
          <w:sz w:val="21"/>
          <w:szCs w:val="21"/>
          <w:highlight w:val="none"/>
        </w:rPr>
        <w:t>人</w:t>
      </w:r>
      <w:r>
        <w:rPr>
          <w:rFonts w:hint="eastAsia" w:asciiTheme="majorEastAsia" w:hAnsiTheme="majorEastAsia" w:eastAsiaTheme="majorEastAsia" w:cstheme="majorEastAsia"/>
          <w:color w:val="auto"/>
          <w:sz w:val="21"/>
          <w:szCs w:val="21"/>
          <w:highlight w:val="none"/>
          <w:lang w:eastAsia="zh-CN"/>
        </w:rPr>
        <w:t>（</w:t>
      </w:r>
      <w:r>
        <w:rPr>
          <w:rFonts w:hint="eastAsia" w:asciiTheme="majorEastAsia" w:hAnsiTheme="majorEastAsia" w:eastAsiaTheme="majorEastAsia" w:cstheme="majorEastAsia"/>
          <w:color w:val="auto"/>
          <w:sz w:val="21"/>
          <w:szCs w:val="21"/>
          <w:highlight w:val="none"/>
          <w:lang w:val="en-US" w:eastAsia="zh-CN"/>
        </w:rPr>
        <w:t>签字</w:t>
      </w:r>
      <w:r>
        <w:rPr>
          <w:rFonts w:hint="eastAsia" w:asciiTheme="majorEastAsia" w:hAnsiTheme="majorEastAsia" w:eastAsiaTheme="majorEastAsia" w:cstheme="majorEastAsia"/>
          <w:color w:val="auto"/>
          <w:sz w:val="21"/>
          <w:szCs w:val="21"/>
          <w:highlight w:val="none"/>
          <w:lang w:eastAsia="zh-CN"/>
        </w:rPr>
        <w:t>）</w:t>
      </w:r>
      <w:r>
        <w:rPr>
          <w:rFonts w:hint="eastAsia" w:asciiTheme="majorEastAsia" w:hAnsiTheme="majorEastAsia" w:eastAsiaTheme="majorEastAsia" w:cstheme="majorEastAsia"/>
          <w:color w:val="auto"/>
          <w:sz w:val="21"/>
          <w:szCs w:val="21"/>
          <w:highlight w:val="none"/>
        </w:rPr>
        <w:t xml:space="preserve">： </w:t>
      </w:r>
      <w:r>
        <w:rPr>
          <w:rFonts w:hint="eastAsia" w:asciiTheme="majorEastAsia" w:hAnsiTheme="majorEastAsia" w:eastAsiaTheme="majorEastAsia" w:cstheme="majorEastAsia"/>
          <w:color w:val="auto"/>
          <w:sz w:val="21"/>
          <w:szCs w:val="21"/>
          <w:highlight w:val="none"/>
          <w:u w:val="single"/>
          <w:lang w:val="en-US" w:eastAsia="zh-CN"/>
        </w:rPr>
        <w:t xml:space="preserve">                           </w:t>
      </w:r>
    </w:p>
    <w:p w14:paraId="196E2542">
      <w:pPr>
        <w:pStyle w:val="9"/>
        <w:keepNext w:val="0"/>
        <w:keepLines w:val="0"/>
        <w:pageBreakBefore w:val="0"/>
        <w:widowControl w:val="0"/>
        <w:kinsoku/>
        <w:wordWrap/>
        <w:overflowPunct/>
        <w:topLinePunct w:val="0"/>
        <w:autoSpaceDE/>
        <w:autoSpaceDN/>
        <w:bidi w:val="0"/>
        <w:adjustRightInd w:val="0"/>
        <w:snapToGrid w:val="0"/>
        <w:spacing w:before="0" w:line="384" w:lineRule="auto"/>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日期：</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年</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月</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日</w:t>
      </w:r>
    </w:p>
    <w:p w14:paraId="5B79EBA2">
      <w:pPr>
        <w:spacing w:line="360" w:lineRule="auto"/>
        <w:rPr>
          <w:rFonts w:hint="eastAsia" w:asciiTheme="majorEastAsia" w:hAnsiTheme="majorEastAsia" w:eastAsiaTheme="majorEastAsia" w:cstheme="majorEastAsia"/>
          <w:color w:val="auto"/>
          <w:szCs w:val="21"/>
          <w:highlight w:val="none"/>
        </w:rPr>
      </w:pPr>
    </w:p>
    <w:tbl>
      <w:tblPr>
        <w:tblStyle w:val="30"/>
        <w:tblW w:w="9777"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674"/>
      </w:tblGrid>
      <w:tr w14:paraId="1616209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noWrap w:val="0"/>
            <w:vAlign w:val="center"/>
          </w:tcPr>
          <w:p w14:paraId="328E4980">
            <w:pPr>
              <w:spacing w:line="460" w:lineRule="exac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代理人身份证复印件正面</w:t>
            </w:r>
          </w:p>
        </w:tc>
        <w:tc>
          <w:tcPr>
            <w:tcW w:w="257" w:type="dxa"/>
            <w:tcBorders>
              <w:top w:val="nil"/>
              <w:bottom w:val="nil"/>
            </w:tcBorders>
            <w:noWrap w:val="0"/>
            <w:vAlign w:val="center"/>
          </w:tcPr>
          <w:p w14:paraId="4B0CC0B1">
            <w:pPr>
              <w:widowControl/>
              <w:spacing w:line="460" w:lineRule="exact"/>
              <w:jc w:val="center"/>
              <w:rPr>
                <w:rFonts w:hint="eastAsia" w:asciiTheme="majorEastAsia" w:hAnsiTheme="majorEastAsia" w:eastAsiaTheme="majorEastAsia" w:cstheme="majorEastAsia"/>
                <w:color w:val="auto"/>
                <w:szCs w:val="21"/>
                <w:highlight w:val="none"/>
              </w:rPr>
            </w:pPr>
          </w:p>
          <w:p w14:paraId="35B3FA19">
            <w:pPr>
              <w:spacing w:line="460" w:lineRule="exact"/>
              <w:jc w:val="center"/>
              <w:rPr>
                <w:rFonts w:hint="eastAsia" w:asciiTheme="majorEastAsia" w:hAnsiTheme="majorEastAsia" w:eastAsiaTheme="majorEastAsia" w:cstheme="majorEastAsia"/>
                <w:color w:val="auto"/>
                <w:szCs w:val="21"/>
                <w:highlight w:val="none"/>
              </w:rPr>
            </w:pPr>
          </w:p>
        </w:tc>
        <w:tc>
          <w:tcPr>
            <w:tcW w:w="4674" w:type="dxa"/>
            <w:noWrap w:val="0"/>
            <w:vAlign w:val="center"/>
          </w:tcPr>
          <w:p w14:paraId="1E9F09AF">
            <w:pPr>
              <w:spacing w:line="460" w:lineRule="exac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代理人身份证复印件背面</w:t>
            </w:r>
          </w:p>
        </w:tc>
      </w:tr>
    </w:tbl>
    <w:p w14:paraId="328116C5">
      <w:pPr>
        <w:spacing w:line="360" w:lineRule="auto"/>
        <w:ind w:firstLine="470" w:firstLineChars="224"/>
        <w:rPr>
          <w:rFonts w:hint="eastAsia" w:asciiTheme="majorEastAsia" w:hAnsiTheme="majorEastAsia" w:eastAsiaTheme="majorEastAsia" w:cstheme="majorEastAsia"/>
          <w:b/>
          <w:color w:val="auto"/>
          <w:szCs w:val="21"/>
          <w:highlight w:val="none"/>
        </w:rPr>
      </w:pPr>
    </w:p>
    <w:p w14:paraId="35F06385">
      <w:pPr>
        <w:spacing w:line="360" w:lineRule="auto"/>
        <w:ind w:firstLine="470" w:firstLineChars="224"/>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注：附授权委托人身份证扫描件，如投标人由法定代表人亲自签署投标文件并参与相关活动，则不需要办理授权。如有被授权的代理人签署上述文件，则必须按本格式规定填报并提交授权书，否则被授权的代理人将不被认可。</w:t>
      </w:r>
    </w:p>
    <w:p w14:paraId="0A11BD0C">
      <w:pPr>
        <w:pStyle w:val="4"/>
        <w:numPr>
          <w:ilvl w:val="2"/>
          <w:numId w:val="0"/>
        </w:numPr>
        <w:tabs>
          <w:tab w:val="clear" w:pos="900"/>
        </w:tabs>
        <w:spacing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br w:type="page"/>
      </w:r>
      <w:bookmarkStart w:id="230" w:name="_Toc113569064"/>
      <w:r>
        <w:rPr>
          <w:rFonts w:hint="eastAsia" w:asciiTheme="majorEastAsia" w:hAnsiTheme="majorEastAsia" w:eastAsiaTheme="majorEastAsia" w:cstheme="majorEastAsia"/>
          <w:color w:val="auto"/>
          <w:highlight w:val="none"/>
        </w:rPr>
        <w:t>（四）</w:t>
      </w:r>
      <w:bookmarkEnd w:id="222"/>
      <w:bookmarkEnd w:id="223"/>
      <w:r>
        <w:rPr>
          <w:rFonts w:hint="eastAsia" w:asciiTheme="majorEastAsia" w:hAnsiTheme="majorEastAsia" w:eastAsiaTheme="majorEastAsia" w:cstheme="majorEastAsia"/>
          <w:color w:val="auto"/>
          <w:highlight w:val="none"/>
        </w:rPr>
        <w:t>投标人基本情况表</w:t>
      </w:r>
      <w:bookmarkEnd w:id="228"/>
      <w:bookmarkEnd w:id="230"/>
    </w:p>
    <w:tbl>
      <w:tblPr>
        <w:tblStyle w:val="3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79"/>
        <w:gridCol w:w="3859"/>
        <w:gridCol w:w="4738"/>
      </w:tblGrid>
      <w:tr w14:paraId="6E461D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noWrap w:val="0"/>
            <w:vAlign w:val="center"/>
          </w:tcPr>
          <w:p w14:paraId="57D42096">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w:t>
            </w:r>
          </w:p>
        </w:tc>
        <w:tc>
          <w:tcPr>
            <w:tcW w:w="8597" w:type="dxa"/>
            <w:gridSpan w:val="2"/>
            <w:tcBorders>
              <w:top w:val="single" w:color="auto" w:sz="6" w:space="0"/>
              <w:left w:val="single" w:color="auto" w:sz="6" w:space="0"/>
              <w:bottom w:val="single" w:color="auto" w:sz="6" w:space="0"/>
              <w:right w:val="single" w:color="auto" w:sz="6" w:space="0"/>
            </w:tcBorders>
            <w:noWrap w:val="0"/>
            <w:vAlign w:val="center"/>
          </w:tcPr>
          <w:p w14:paraId="7468EB1A">
            <w:pPr>
              <w:spacing w:line="360" w:lineRule="auto"/>
              <w:ind w:firstLine="1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企业名称：</w:t>
            </w:r>
          </w:p>
        </w:tc>
      </w:tr>
      <w:tr w14:paraId="3A58F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noWrap w:val="0"/>
            <w:vAlign w:val="center"/>
          </w:tcPr>
          <w:p w14:paraId="756420B9">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2</w:t>
            </w:r>
          </w:p>
        </w:tc>
        <w:tc>
          <w:tcPr>
            <w:tcW w:w="8597" w:type="dxa"/>
            <w:gridSpan w:val="2"/>
            <w:tcBorders>
              <w:top w:val="single" w:color="auto" w:sz="6" w:space="0"/>
              <w:left w:val="single" w:color="auto" w:sz="6" w:space="0"/>
              <w:bottom w:val="single" w:color="auto" w:sz="6" w:space="0"/>
              <w:right w:val="single" w:color="auto" w:sz="6" w:space="0"/>
            </w:tcBorders>
            <w:noWrap w:val="0"/>
            <w:vAlign w:val="center"/>
          </w:tcPr>
          <w:p w14:paraId="220D85EB">
            <w:pPr>
              <w:spacing w:line="360" w:lineRule="auto"/>
              <w:ind w:firstLine="1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企业地址：</w:t>
            </w:r>
          </w:p>
        </w:tc>
      </w:tr>
      <w:tr w14:paraId="6498C8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noWrap w:val="0"/>
            <w:vAlign w:val="center"/>
          </w:tcPr>
          <w:p w14:paraId="0931A44B">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3</w:t>
            </w:r>
          </w:p>
        </w:tc>
        <w:tc>
          <w:tcPr>
            <w:tcW w:w="8597" w:type="dxa"/>
            <w:gridSpan w:val="2"/>
            <w:tcBorders>
              <w:top w:val="single" w:color="auto" w:sz="6" w:space="0"/>
              <w:left w:val="single" w:color="auto" w:sz="6" w:space="0"/>
              <w:bottom w:val="single" w:color="auto" w:sz="6" w:space="0"/>
              <w:right w:val="single" w:color="auto" w:sz="6" w:space="0"/>
            </w:tcBorders>
            <w:noWrap w:val="0"/>
            <w:vAlign w:val="center"/>
          </w:tcPr>
          <w:p w14:paraId="365D8B4B">
            <w:pPr>
              <w:spacing w:line="360" w:lineRule="auto"/>
              <w:ind w:firstLine="1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所有资质：</w:t>
            </w:r>
          </w:p>
        </w:tc>
      </w:tr>
      <w:tr w14:paraId="0D5E75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noWrap w:val="0"/>
            <w:vAlign w:val="center"/>
          </w:tcPr>
          <w:p w14:paraId="7B6A1438">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4</w:t>
            </w:r>
          </w:p>
        </w:tc>
        <w:tc>
          <w:tcPr>
            <w:tcW w:w="3859" w:type="dxa"/>
            <w:tcBorders>
              <w:top w:val="single" w:color="auto" w:sz="6" w:space="0"/>
              <w:left w:val="single" w:color="auto" w:sz="6" w:space="0"/>
              <w:bottom w:val="single" w:color="auto" w:sz="6" w:space="0"/>
              <w:right w:val="single" w:color="auto" w:sz="6" w:space="0"/>
            </w:tcBorders>
            <w:noWrap w:val="0"/>
            <w:vAlign w:val="center"/>
          </w:tcPr>
          <w:p w14:paraId="666810B8">
            <w:pPr>
              <w:spacing w:line="360" w:lineRule="auto"/>
              <w:ind w:firstLine="1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电话</w:t>
            </w:r>
          </w:p>
        </w:tc>
        <w:tc>
          <w:tcPr>
            <w:tcW w:w="4738" w:type="dxa"/>
            <w:tcBorders>
              <w:top w:val="single" w:color="auto" w:sz="6" w:space="0"/>
              <w:left w:val="single" w:color="auto" w:sz="6" w:space="0"/>
              <w:bottom w:val="single" w:color="auto" w:sz="6" w:space="0"/>
              <w:right w:val="single" w:color="auto" w:sz="6" w:space="0"/>
            </w:tcBorders>
            <w:noWrap w:val="0"/>
            <w:vAlign w:val="center"/>
          </w:tcPr>
          <w:p w14:paraId="265B8E8E">
            <w:pPr>
              <w:spacing w:line="360" w:lineRule="auto"/>
              <w:ind w:firstLine="1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联系人</w:t>
            </w:r>
          </w:p>
        </w:tc>
      </w:tr>
      <w:tr w14:paraId="7F98EB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noWrap w:val="0"/>
            <w:vAlign w:val="center"/>
          </w:tcPr>
          <w:p w14:paraId="013ED206">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5</w:t>
            </w:r>
          </w:p>
        </w:tc>
        <w:tc>
          <w:tcPr>
            <w:tcW w:w="3859" w:type="dxa"/>
            <w:tcBorders>
              <w:top w:val="single" w:color="auto" w:sz="6" w:space="0"/>
              <w:left w:val="single" w:color="auto" w:sz="6" w:space="0"/>
              <w:bottom w:val="single" w:color="auto" w:sz="6" w:space="0"/>
              <w:right w:val="single" w:color="auto" w:sz="6" w:space="0"/>
            </w:tcBorders>
            <w:noWrap w:val="0"/>
            <w:vAlign w:val="center"/>
          </w:tcPr>
          <w:p w14:paraId="04EF9865">
            <w:pPr>
              <w:spacing w:line="360" w:lineRule="auto"/>
              <w:ind w:firstLine="1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传真</w:t>
            </w:r>
          </w:p>
        </w:tc>
        <w:tc>
          <w:tcPr>
            <w:tcW w:w="4738" w:type="dxa"/>
            <w:tcBorders>
              <w:top w:val="single" w:color="auto" w:sz="6" w:space="0"/>
              <w:left w:val="single" w:color="auto" w:sz="6" w:space="0"/>
              <w:bottom w:val="single" w:color="auto" w:sz="6" w:space="0"/>
              <w:right w:val="single" w:color="auto" w:sz="6" w:space="0"/>
            </w:tcBorders>
            <w:noWrap w:val="0"/>
            <w:vAlign w:val="center"/>
          </w:tcPr>
          <w:p w14:paraId="4B98ABBB">
            <w:pPr>
              <w:spacing w:line="360" w:lineRule="auto"/>
              <w:ind w:firstLine="1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电子邮箱</w:t>
            </w:r>
          </w:p>
        </w:tc>
      </w:tr>
      <w:tr w14:paraId="06C58D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noWrap w:val="0"/>
            <w:vAlign w:val="center"/>
          </w:tcPr>
          <w:p w14:paraId="33C2900E">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6</w:t>
            </w:r>
          </w:p>
        </w:tc>
        <w:tc>
          <w:tcPr>
            <w:tcW w:w="3859" w:type="dxa"/>
            <w:tcBorders>
              <w:top w:val="single" w:color="auto" w:sz="6" w:space="0"/>
              <w:left w:val="single" w:color="auto" w:sz="6" w:space="0"/>
              <w:bottom w:val="single" w:color="auto" w:sz="6" w:space="0"/>
              <w:right w:val="single" w:color="auto" w:sz="6" w:space="0"/>
            </w:tcBorders>
            <w:noWrap w:val="0"/>
            <w:vAlign w:val="center"/>
          </w:tcPr>
          <w:p w14:paraId="52AD789C">
            <w:pPr>
              <w:spacing w:line="360" w:lineRule="auto"/>
              <w:ind w:firstLine="1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注册地</w:t>
            </w:r>
          </w:p>
        </w:tc>
        <w:tc>
          <w:tcPr>
            <w:tcW w:w="4738" w:type="dxa"/>
            <w:tcBorders>
              <w:top w:val="single" w:color="auto" w:sz="6" w:space="0"/>
              <w:left w:val="single" w:color="auto" w:sz="6" w:space="0"/>
              <w:bottom w:val="single" w:color="auto" w:sz="6" w:space="0"/>
              <w:right w:val="single" w:color="auto" w:sz="6" w:space="0"/>
            </w:tcBorders>
            <w:noWrap w:val="0"/>
            <w:vAlign w:val="center"/>
          </w:tcPr>
          <w:p w14:paraId="29AC3F09">
            <w:pPr>
              <w:spacing w:line="360" w:lineRule="auto"/>
              <w:ind w:firstLine="1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注册年份    </w:t>
            </w:r>
          </w:p>
        </w:tc>
      </w:tr>
      <w:tr w14:paraId="3F505C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noWrap w:val="0"/>
            <w:vAlign w:val="center"/>
          </w:tcPr>
          <w:p w14:paraId="24DDA54C">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7</w:t>
            </w:r>
          </w:p>
        </w:tc>
        <w:tc>
          <w:tcPr>
            <w:tcW w:w="8597" w:type="dxa"/>
            <w:gridSpan w:val="2"/>
            <w:tcBorders>
              <w:top w:val="single" w:color="auto" w:sz="6" w:space="0"/>
              <w:left w:val="single" w:color="auto" w:sz="6" w:space="0"/>
              <w:bottom w:val="single" w:color="auto" w:sz="6" w:space="0"/>
              <w:right w:val="single" w:color="auto" w:sz="6" w:space="0"/>
            </w:tcBorders>
            <w:noWrap w:val="0"/>
            <w:vAlign w:val="center"/>
          </w:tcPr>
          <w:p w14:paraId="63937A85">
            <w:pPr>
              <w:spacing w:line="360" w:lineRule="auto"/>
              <w:ind w:firstLine="1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统一社会信用代码：                       （请附营业执照复印件）</w:t>
            </w:r>
          </w:p>
        </w:tc>
      </w:tr>
      <w:tr w14:paraId="58F4F6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401" w:hRule="atLeast"/>
          <w:jc w:val="center"/>
        </w:trPr>
        <w:tc>
          <w:tcPr>
            <w:tcW w:w="579" w:type="dxa"/>
            <w:tcBorders>
              <w:top w:val="single" w:color="auto" w:sz="6" w:space="0"/>
              <w:left w:val="single" w:color="auto" w:sz="6" w:space="0"/>
              <w:bottom w:val="single" w:color="auto" w:sz="6" w:space="0"/>
              <w:right w:val="single" w:color="auto" w:sz="6" w:space="0"/>
            </w:tcBorders>
            <w:noWrap w:val="0"/>
            <w:vAlign w:val="center"/>
          </w:tcPr>
          <w:p w14:paraId="6D197FB5">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8</w:t>
            </w:r>
          </w:p>
        </w:tc>
        <w:tc>
          <w:tcPr>
            <w:tcW w:w="8597" w:type="dxa"/>
            <w:gridSpan w:val="2"/>
            <w:tcBorders>
              <w:top w:val="single" w:color="auto" w:sz="6" w:space="0"/>
              <w:left w:val="single" w:color="auto" w:sz="6" w:space="0"/>
              <w:bottom w:val="single" w:color="auto" w:sz="6" w:space="0"/>
              <w:right w:val="single" w:color="auto" w:sz="6" w:space="0"/>
            </w:tcBorders>
            <w:noWrap w:val="0"/>
            <w:vAlign w:val="center"/>
          </w:tcPr>
          <w:p w14:paraId="07FD5A29">
            <w:pPr>
              <w:spacing w:line="360" w:lineRule="auto"/>
              <w:ind w:firstLine="1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主营范围：</w:t>
            </w:r>
          </w:p>
          <w:p w14:paraId="52E88397">
            <w:pPr>
              <w:spacing w:line="360" w:lineRule="auto"/>
              <w:ind w:firstLine="100"/>
              <w:rPr>
                <w:rFonts w:hint="eastAsia" w:asciiTheme="majorEastAsia" w:hAnsiTheme="majorEastAsia" w:eastAsiaTheme="majorEastAsia" w:cstheme="majorEastAsia"/>
                <w:color w:val="auto"/>
                <w:szCs w:val="21"/>
                <w:highlight w:val="none"/>
                <w:u w:val="single"/>
              </w:rPr>
            </w:pPr>
            <w:r>
              <w:rPr>
                <w:rFonts w:hint="eastAsia" w:asciiTheme="majorEastAsia" w:hAnsiTheme="majorEastAsia" w:eastAsiaTheme="majorEastAsia" w:cstheme="majorEastAsia"/>
                <w:color w:val="auto"/>
                <w:szCs w:val="21"/>
                <w:highlight w:val="none"/>
              </w:rPr>
              <w:t>1、</w:t>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rPr>
              <w:t xml:space="preserve"> </w:t>
            </w:r>
          </w:p>
          <w:p w14:paraId="53F01830">
            <w:pPr>
              <w:spacing w:line="360" w:lineRule="auto"/>
              <w:ind w:firstLine="1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2、</w:t>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 xml:space="preserve"> </w:t>
            </w:r>
          </w:p>
          <w:p w14:paraId="7244E1A0">
            <w:pPr>
              <w:spacing w:line="360" w:lineRule="auto"/>
              <w:ind w:firstLine="1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3、</w:t>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 xml:space="preserve"> </w:t>
            </w:r>
          </w:p>
          <w:p w14:paraId="71E82BC9">
            <w:pPr>
              <w:spacing w:line="360" w:lineRule="auto"/>
              <w:ind w:firstLine="1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4、</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rPr>
              <w:tab/>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rPr>
              <w:tab/>
            </w:r>
          </w:p>
          <w:p w14:paraId="4E3E69CD">
            <w:pPr>
              <w:spacing w:line="360" w:lineRule="auto"/>
              <w:ind w:firstLine="1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w:t>
            </w:r>
          </w:p>
          <w:p w14:paraId="59A9B817">
            <w:pPr>
              <w:spacing w:line="360" w:lineRule="auto"/>
              <w:ind w:firstLine="1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w:t>
            </w:r>
          </w:p>
        </w:tc>
      </w:tr>
      <w:tr w14:paraId="4DBA1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80" w:hRule="atLeast"/>
          <w:jc w:val="center"/>
        </w:trPr>
        <w:tc>
          <w:tcPr>
            <w:tcW w:w="579" w:type="dxa"/>
            <w:tcBorders>
              <w:top w:val="single" w:color="auto" w:sz="6" w:space="0"/>
              <w:left w:val="single" w:color="auto" w:sz="6" w:space="0"/>
              <w:bottom w:val="single" w:color="auto" w:sz="6" w:space="0"/>
              <w:right w:val="single" w:color="auto" w:sz="6" w:space="0"/>
            </w:tcBorders>
            <w:noWrap w:val="0"/>
            <w:vAlign w:val="center"/>
          </w:tcPr>
          <w:p w14:paraId="796F3E45">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9</w:t>
            </w:r>
          </w:p>
        </w:tc>
        <w:tc>
          <w:tcPr>
            <w:tcW w:w="8597" w:type="dxa"/>
            <w:gridSpan w:val="2"/>
            <w:tcBorders>
              <w:top w:val="single" w:color="auto" w:sz="6" w:space="0"/>
              <w:left w:val="single" w:color="auto" w:sz="6" w:space="0"/>
              <w:bottom w:val="single" w:color="auto" w:sz="6" w:space="0"/>
              <w:right w:val="single" w:color="auto" w:sz="6" w:space="0"/>
            </w:tcBorders>
            <w:noWrap w:val="0"/>
            <w:vAlign w:val="center"/>
          </w:tcPr>
          <w:p w14:paraId="3EEC6942">
            <w:pPr>
              <w:spacing w:line="360" w:lineRule="auto"/>
              <w:ind w:firstLine="1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其他需要说明的情况</w:t>
            </w:r>
          </w:p>
        </w:tc>
      </w:tr>
    </w:tbl>
    <w:p w14:paraId="6D5CF70F">
      <w:pPr>
        <w:spacing w:line="360" w:lineRule="auto"/>
        <w:rPr>
          <w:rFonts w:hint="eastAsia" w:asciiTheme="majorEastAsia" w:hAnsiTheme="majorEastAsia" w:eastAsiaTheme="majorEastAsia" w:cstheme="majorEastAsia"/>
          <w:color w:val="auto"/>
          <w:sz w:val="18"/>
          <w:szCs w:val="28"/>
          <w:highlight w:val="none"/>
        </w:rPr>
      </w:pPr>
    </w:p>
    <w:p w14:paraId="27743140">
      <w:pPr>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注：1、附投标人简介（包括投标人固定经营场所、从业人员、技术能力等）。</w:t>
      </w:r>
    </w:p>
    <w:p w14:paraId="245FA393">
      <w:pPr>
        <w:numPr>
          <w:ilvl w:val="0"/>
          <w:numId w:val="10"/>
        </w:numPr>
        <w:spacing w:line="360" w:lineRule="auto"/>
        <w:ind w:left="0" w:leftChars="0" w:firstLine="420" w:firstLineChars="2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附投标人的营业执照。</w:t>
      </w:r>
    </w:p>
    <w:p w14:paraId="55DEC107">
      <w:pPr>
        <w:numPr>
          <w:ilvl w:val="0"/>
          <w:numId w:val="0"/>
        </w:numPr>
        <w:spacing w:line="360" w:lineRule="auto"/>
        <w:ind w:leftChars="200"/>
        <w:rPr>
          <w:rFonts w:hint="eastAsia" w:asciiTheme="majorEastAsia" w:hAnsiTheme="majorEastAsia" w:eastAsiaTheme="majorEastAsia" w:cstheme="majorEastAsia"/>
          <w:color w:val="auto"/>
          <w:szCs w:val="21"/>
          <w:highlight w:val="none"/>
        </w:rPr>
      </w:pPr>
    </w:p>
    <w:p w14:paraId="26EF91F5">
      <w:pPr>
        <w:spacing w:before="60" w:after="60" w:line="48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投标人全称</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加盖电子公章</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w:t>
      </w:r>
      <w:r>
        <w:rPr>
          <w:rFonts w:hint="eastAsia" w:asciiTheme="majorEastAsia" w:hAnsiTheme="majorEastAsia" w:eastAsiaTheme="majorEastAsia" w:cstheme="majorEastAsia"/>
          <w:color w:val="auto"/>
          <w:szCs w:val="21"/>
          <w:highlight w:val="none"/>
          <w:u w:val="single"/>
        </w:rPr>
        <w:t xml:space="preserve">                              </w:t>
      </w:r>
    </w:p>
    <w:p w14:paraId="6DE0F149">
      <w:pPr>
        <w:spacing w:before="60" w:after="60" w:line="480" w:lineRule="auto"/>
        <w:rPr>
          <w:rFonts w:hint="eastAsia" w:asciiTheme="majorEastAsia" w:hAnsiTheme="majorEastAsia" w:eastAsiaTheme="majorEastAsia" w:cstheme="majorEastAsia"/>
          <w:color w:val="auto"/>
          <w:szCs w:val="21"/>
          <w:highlight w:val="none"/>
          <w:u w:val="single"/>
        </w:rPr>
      </w:pPr>
      <w:r>
        <w:rPr>
          <w:rFonts w:hint="eastAsia" w:asciiTheme="majorEastAsia" w:hAnsiTheme="majorEastAsia" w:eastAsiaTheme="majorEastAsia" w:cstheme="majorEastAsia"/>
          <w:color w:val="auto"/>
          <w:szCs w:val="21"/>
          <w:highlight w:val="none"/>
        </w:rPr>
        <w:t>法定代表人或委托代理人（电子签名）：</w:t>
      </w:r>
      <w:r>
        <w:rPr>
          <w:rFonts w:hint="eastAsia" w:asciiTheme="majorEastAsia" w:hAnsiTheme="majorEastAsia" w:eastAsiaTheme="majorEastAsia" w:cstheme="majorEastAsia"/>
          <w:color w:val="auto"/>
          <w:szCs w:val="21"/>
          <w:highlight w:val="none"/>
          <w:u w:val="single"/>
        </w:rPr>
        <w:t xml:space="preserve">                      </w:t>
      </w:r>
    </w:p>
    <w:p w14:paraId="3767C3F6">
      <w:pPr>
        <w:spacing w:before="60" w:after="60" w:line="48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日期：</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年</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月</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日</w:t>
      </w:r>
    </w:p>
    <w:p w14:paraId="276D027A">
      <w:pPr>
        <w:rPr>
          <w:rFonts w:hint="eastAsia" w:asciiTheme="majorEastAsia" w:hAnsiTheme="majorEastAsia" w:eastAsiaTheme="majorEastAsia" w:cstheme="majorEastAsia"/>
          <w:color w:val="auto"/>
          <w:highlight w:val="none"/>
        </w:rPr>
      </w:pPr>
    </w:p>
    <w:p w14:paraId="33511AEF">
      <w:pPr>
        <w:pStyle w:val="4"/>
        <w:numPr>
          <w:ilvl w:val="2"/>
          <w:numId w:val="0"/>
        </w:numPr>
        <w:tabs>
          <w:tab w:val="clear" w:pos="900"/>
        </w:tabs>
        <w:spacing w:line="360" w:lineRule="auto"/>
        <w:jc w:val="center"/>
        <w:rPr>
          <w:rFonts w:hint="eastAsia" w:asciiTheme="majorEastAsia" w:hAnsiTheme="majorEastAsia" w:eastAsiaTheme="majorEastAsia" w:cstheme="majorEastAsia"/>
          <w:color w:val="auto"/>
          <w:highlight w:val="none"/>
        </w:rPr>
      </w:pPr>
      <w:bookmarkStart w:id="231" w:name="_Toc111813235"/>
      <w:bookmarkStart w:id="232" w:name="_Toc520749007"/>
      <w:bookmarkStart w:id="233" w:name="_Toc113569065"/>
      <w:bookmarkStart w:id="234" w:name="_Toc10117028"/>
      <w:r>
        <w:rPr>
          <w:rFonts w:hint="eastAsia" w:asciiTheme="majorEastAsia" w:hAnsiTheme="majorEastAsia" w:eastAsiaTheme="majorEastAsia" w:cstheme="majorEastAsia"/>
          <w:color w:val="auto"/>
          <w:highlight w:val="none"/>
        </w:rPr>
        <w:t>（五）营业执照</w:t>
      </w:r>
      <w:bookmarkEnd w:id="231"/>
      <w:bookmarkEnd w:id="232"/>
      <w:bookmarkEnd w:id="233"/>
      <w:bookmarkEnd w:id="234"/>
    </w:p>
    <w:p w14:paraId="5369D725">
      <w:pPr>
        <w:spacing w:line="360" w:lineRule="auto"/>
        <w:ind w:firstLine="540" w:firstLineChars="225"/>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附法人或者其他组织的营业执照等证明文件扫描件加盖电子公章。</w:t>
      </w:r>
    </w:p>
    <w:p w14:paraId="619F4DB5">
      <w:pPr>
        <w:spacing w:line="360" w:lineRule="auto"/>
        <w:ind w:firstLine="540" w:firstLineChars="225"/>
        <w:jc w:val="center"/>
        <w:rPr>
          <w:rFonts w:hint="eastAsia" w:asciiTheme="majorEastAsia" w:hAnsiTheme="majorEastAsia" w:eastAsiaTheme="majorEastAsia" w:cstheme="majorEastAsia"/>
          <w:color w:val="auto"/>
          <w:sz w:val="24"/>
          <w:highlight w:val="none"/>
        </w:rPr>
      </w:pPr>
    </w:p>
    <w:p w14:paraId="18027B5A">
      <w:pPr>
        <w:pStyle w:val="4"/>
        <w:numPr>
          <w:ilvl w:val="2"/>
          <w:numId w:val="0"/>
        </w:numPr>
        <w:tabs>
          <w:tab w:val="clear" w:pos="900"/>
        </w:tabs>
        <w:spacing w:line="360" w:lineRule="auto"/>
        <w:ind w:left="851" w:leftChars="0"/>
        <w:jc w:val="center"/>
        <w:rPr>
          <w:rFonts w:hint="eastAsia" w:asciiTheme="majorEastAsia" w:hAnsiTheme="majorEastAsia" w:eastAsiaTheme="majorEastAsia" w:cstheme="majorEastAsia"/>
          <w:color w:val="auto"/>
          <w:highlight w:val="none"/>
        </w:rPr>
      </w:pPr>
      <w:bookmarkStart w:id="235" w:name="_Toc10117029"/>
      <w:bookmarkStart w:id="236" w:name="_Toc111813236"/>
      <w:bookmarkStart w:id="237" w:name="_Toc113569066"/>
      <w:r>
        <w:rPr>
          <w:rFonts w:hint="eastAsia" w:asciiTheme="majorEastAsia" w:hAnsiTheme="majorEastAsia" w:eastAsiaTheme="majorEastAsia" w:cstheme="majorEastAsia"/>
          <w:color w:val="auto"/>
          <w:highlight w:val="none"/>
        </w:rPr>
        <w:t>（六）具有良好的商业信誉和健全的财务会计制度</w:t>
      </w:r>
      <w:bookmarkEnd w:id="235"/>
      <w:bookmarkEnd w:id="236"/>
      <w:bookmarkEnd w:id="237"/>
    </w:p>
    <w:p w14:paraId="6E94D565">
      <w:pPr>
        <w:spacing w:line="360" w:lineRule="auto"/>
        <w:ind w:firstLine="540" w:firstLineChars="225"/>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（扫描件加盖电子公章）。</w:t>
      </w:r>
    </w:p>
    <w:p w14:paraId="6B71E736">
      <w:pPr>
        <w:spacing w:line="360" w:lineRule="auto"/>
        <w:ind w:firstLine="540" w:firstLineChars="225"/>
        <w:jc w:val="center"/>
        <w:rPr>
          <w:rFonts w:hint="eastAsia" w:asciiTheme="majorEastAsia" w:hAnsiTheme="majorEastAsia" w:eastAsiaTheme="majorEastAsia" w:cstheme="majorEastAsia"/>
          <w:color w:val="auto"/>
          <w:sz w:val="24"/>
          <w:highlight w:val="none"/>
        </w:rPr>
      </w:pPr>
    </w:p>
    <w:p w14:paraId="64C2E6F8">
      <w:pPr>
        <w:pStyle w:val="4"/>
        <w:numPr>
          <w:ilvl w:val="2"/>
          <w:numId w:val="0"/>
        </w:numPr>
        <w:tabs>
          <w:tab w:val="clear" w:pos="900"/>
        </w:tabs>
        <w:spacing w:line="360" w:lineRule="auto"/>
        <w:ind w:left="851" w:leftChars="0"/>
        <w:jc w:val="center"/>
        <w:rPr>
          <w:rFonts w:hint="eastAsia" w:asciiTheme="majorEastAsia" w:hAnsiTheme="majorEastAsia" w:eastAsiaTheme="majorEastAsia" w:cstheme="majorEastAsia"/>
          <w:color w:val="auto"/>
          <w:highlight w:val="none"/>
        </w:rPr>
      </w:pPr>
      <w:bookmarkStart w:id="238" w:name="_Toc520749008"/>
      <w:bookmarkStart w:id="239" w:name="_Toc111813237"/>
      <w:bookmarkStart w:id="240" w:name="_Toc10117030"/>
      <w:bookmarkStart w:id="241" w:name="_Toc113569067"/>
      <w:r>
        <w:rPr>
          <w:rFonts w:hint="eastAsia" w:asciiTheme="majorEastAsia" w:hAnsiTheme="majorEastAsia" w:eastAsiaTheme="majorEastAsia" w:cstheme="majorEastAsia"/>
          <w:color w:val="auto"/>
          <w:highlight w:val="none"/>
        </w:rPr>
        <w:t>（七）</w:t>
      </w:r>
      <w:bookmarkEnd w:id="238"/>
      <w:r>
        <w:rPr>
          <w:rFonts w:hint="eastAsia" w:asciiTheme="majorEastAsia" w:hAnsiTheme="majorEastAsia" w:eastAsiaTheme="majorEastAsia" w:cstheme="majorEastAsia"/>
          <w:color w:val="auto"/>
          <w:highlight w:val="none"/>
        </w:rPr>
        <w:t>具有履行合同所必需的设备和专业技术能力</w:t>
      </w:r>
      <w:bookmarkEnd w:id="239"/>
      <w:bookmarkEnd w:id="240"/>
      <w:bookmarkEnd w:id="241"/>
    </w:p>
    <w:p w14:paraId="1BE5CB70">
      <w:pPr>
        <w:spacing w:line="360" w:lineRule="auto"/>
        <w:ind w:firstLine="540" w:firstLineChars="225"/>
        <w:jc w:val="center"/>
        <w:rPr>
          <w:rFonts w:hint="eastAsia" w:asciiTheme="majorEastAsia" w:hAnsiTheme="majorEastAsia" w:eastAsiaTheme="majorEastAsia" w:cstheme="majorEastAsia"/>
          <w:color w:val="auto"/>
          <w:sz w:val="24"/>
          <w:highlight w:val="none"/>
        </w:rPr>
      </w:pPr>
      <w:bookmarkStart w:id="242" w:name="_Toc520749009"/>
      <w:r>
        <w:rPr>
          <w:rFonts w:hint="eastAsia" w:asciiTheme="majorEastAsia" w:hAnsiTheme="majorEastAsia" w:eastAsiaTheme="majorEastAsia" w:cstheme="majorEastAsia"/>
          <w:color w:val="auto"/>
          <w:sz w:val="24"/>
          <w:highlight w:val="none"/>
        </w:rPr>
        <w:t>具有履行合同所必需的设备和专业技术能力，提供相关证明材料或承诺书（扫描件加盖电子公章）。</w:t>
      </w:r>
    </w:p>
    <w:p w14:paraId="0024FA04">
      <w:pPr>
        <w:spacing w:line="360" w:lineRule="auto"/>
        <w:ind w:firstLine="540" w:firstLineChars="225"/>
        <w:jc w:val="center"/>
        <w:rPr>
          <w:rFonts w:hint="eastAsia" w:asciiTheme="majorEastAsia" w:hAnsiTheme="majorEastAsia" w:eastAsiaTheme="majorEastAsia" w:cstheme="majorEastAsia"/>
          <w:color w:val="auto"/>
          <w:sz w:val="24"/>
          <w:highlight w:val="none"/>
        </w:rPr>
      </w:pPr>
    </w:p>
    <w:p w14:paraId="1CAE3628">
      <w:pPr>
        <w:pStyle w:val="4"/>
        <w:numPr>
          <w:ilvl w:val="2"/>
          <w:numId w:val="0"/>
        </w:numPr>
        <w:tabs>
          <w:tab w:val="clear" w:pos="900"/>
        </w:tabs>
        <w:spacing w:line="360" w:lineRule="auto"/>
        <w:ind w:left="851" w:leftChars="0"/>
        <w:jc w:val="center"/>
        <w:rPr>
          <w:rFonts w:hint="eastAsia" w:asciiTheme="majorEastAsia" w:hAnsiTheme="majorEastAsia" w:eastAsiaTheme="majorEastAsia" w:cstheme="majorEastAsia"/>
          <w:color w:val="auto"/>
          <w:highlight w:val="none"/>
        </w:rPr>
      </w:pPr>
      <w:bookmarkStart w:id="243" w:name="_Toc10117031"/>
      <w:bookmarkStart w:id="244" w:name="_Toc111813238"/>
      <w:bookmarkStart w:id="245" w:name="_Toc113569068"/>
      <w:r>
        <w:rPr>
          <w:rFonts w:hint="eastAsia" w:asciiTheme="majorEastAsia" w:hAnsiTheme="majorEastAsia" w:eastAsiaTheme="majorEastAsia" w:cstheme="majorEastAsia"/>
          <w:color w:val="auto"/>
          <w:highlight w:val="none"/>
        </w:rPr>
        <w:t>（八）有依法缴纳税收和社会保障资金的良好记录</w:t>
      </w:r>
      <w:bookmarkEnd w:id="242"/>
      <w:bookmarkEnd w:id="243"/>
      <w:bookmarkEnd w:id="244"/>
      <w:bookmarkEnd w:id="245"/>
    </w:p>
    <w:p w14:paraId="31455844">
      <w:pPr>
        <w:spacing w:line="360" w:lineRule="auto"/>
        <w:ind w:firstLine="540" w:firstLineChars="225"/>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（扫描件加盖电子公章）。</w:t>
      </w:r>
    </w:p>
    <w:p w14:paraId="577BA734">
      <w:pPr>
        <w:spacing w:line="360" w:lineRule="auto"/>
        <w:ind w:firstLine="540" w:firstLineChars="225"/>
        <w:jc w:val="center"/>
        <w:rPr>
          <w:rFonts w:hint="eastAsia" w:asciiTheme="majorEastAsia" w:hAnsiTheme="majorEastAsia" w:eastAsiaTheme="majorEastAsia" w:cstheme="majorEastAsia"/>
          <w:color w:val="auto"/>
          <w:sz w:val="24"/>
          <w:highlight w:val="none"/>
        </w:rPr>
      </w:pPr>
    </w:p>
    <w:p w14:paraId="5950D048">
      <w:pPr>
        <w:pStyle w:val="4"/>
        <w:numPr>
          <w:ilvl w:val="2"/>
          <w:numId w:val="0"/>
        </w:numPr>
        <w:tabs>
          <w:tab w:val="clear" w:pos="900"/>
        </w:tabs>
        <w:spacing w:line="360" w:lineRule="auto"/>
        <w:ind w:left="851" w:leftChars="0"/>
        <w:jc w:val="center"/>
        <w:rPr>
          <w:rFonts w:hint="eastAsia" w:asciiTheme="majorEastAsia" w:hAnsiTheme="majorEastAsia" w:eastAsiaTheme="majorEastAsia" w:cstheme="majorEastAsia"/>
          <w:color w:val="auto"/>
          <w:highlight w:val="none"/>
        </w:rPr>
      </w:pPr>
      <w:bookmarkStart w:id="246" w:name="_Toc520749010"/>
      <w:bookmarkStart w:id="247" w:name="_Toc10117032"/>
      <w:bookmarkStart w:id="248" w:name="_Toc113569069"/>
      <w:bookmarkStart w:id="249" w:name="_Toc111813239"/>
      <w:r>
        <w:rPr>
          <w:rFonts w:hint="eastAsia" w:asciiTheme="majorEastAsia" w:hAnsiTheme="majorEastAsia" w:eastAsiaTheme="majorEastAsia" w:cstheme="majorEastAsia"/>
          <w:color w:val="auto"/>
          <w:highlight w:val="none"/>
        </w:rPr>
        <w:t>（九）</w:t>
      </w:r>
      <w:bookmarkEnd w:id="246"/>
      <w:bookmarkEnd w:id="247"/>
      <w:bookmarkEnd w:id="248"/>
      <w:bookmarkEnd w:id="249"/>
      <w:bookmarkStart w:id="250" w:name="_Toc111813241"/>
      <w:bookmarkStart w:id="251" w:name="_Toc10117035"/>
      <w:bookmarkStart w:id="252" w:name="_Toc520749017"/>
      <w:bookmarkStart w:id="253" w:name="_Toc113569072"/>
      <w:r>
        <w:rPr>
          <w:rFonts w:hint="eastAsia" w:asciiTheme="majorEastAsia" w:hAnsiTheme="majorEastAsia" w:eastAsiaTheme="majorEastAsia" w:cstheme="majorEastAsia"/>
          <w:color w:val="auto"/>
          <w:highlight w:val="none"/>
        </w:rPr>
        <w:t>投标保证金</w:t>
      </w:r>
      <w:bookmarkEnd w:id="250"/>
      <w:bookmarkEnd w:id="251"/>
      <w:bookmarkEnd w:id="252"/>
      <w:bookmarkEnd w:id="253"/>
    </w:p>
    <w:p w14:paraId="0B4563BC">
      <w:pPr>
        <w:spacing w:line="360" w:lineRule="auto"/>
        <w:ind w:firstLine="540" w:firstLineChars="225"/>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附投标保证金缴纳凭证扫描件加盖电子公章。</w:t>
      </w:r>
    </w:p>
    <w:p w14:paraId="4311C786">
      <w:pPr>
        <w:pStyle w:val="14"/>
        <w:ind w:left="0" w:leftChars="0" w:firstLine="0" w:firstLineChars="0"/>
        <w:rPr>
          <w:rFonts w:hint="eastAsia" w:asciiTheme="majorEastAsia" w:hAnsiTheme="majorEastAsia" w:eastAsiaTheme="majorEastAsia" w:cstheme="majorEastAsia"/>
          <w:color w:val="auto"/>
          <w:sz w:val="24"/>
          <w:highlight w:val="none"/>
        </w:rPr>
      </w:pPr>
    </w:p>
    <w:p w14:paraId="295278A9">
      <w:pPr>
        <w:rPr>
          <w:rFonts w:hint="eastAsia" w:asciiTheme="majorEastAsia" w:hAnsiTheme="majorEastAsia" w:eastAsiaTheme="majorEastAsia" w:cstheme="majorEastAsia"/>
          <w:color w:val="auto"/>
          <w:szCs w:val="21"/>
          <w:highlight w:val="none"/>
        </w:rPr>
      </w:pPr>
    </w:p>
    <w:p w14:paraId="3E9ABCC3">
      <w:pPr>
        <w:pStyle w:val="4"/>
        <w:numPr>
          <w:ilvl w:val="2"/>
          <w:numId w:val="0"/>
        </w:numPr>
        <w:tabs>
          <w:tab w:val="clear" w:pos="900"/>
        </w:tabs>
        <w:spacing w:line="360" w:lineRule="auto"/>
        <w:ind w:left="851" w:leftChars="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w:t>
      </w:r>
      <w:r>
        <w:rPr>
          <w:rFonts w:hint="eastAsia" w:asciiTheme="majorEastAsia" w:hAnsiTheme="majorEastAsia" w:eastAsiaTheme="majorEastAsia" w:cstheme="majorEastAsia"/>
          <w:color w:val="auto"/>
          <w:highlight w:val="none"/>
          <w:lang w:val="en-US" w:eastAsia="zh-CN"/>
        </w:rPr>
        <w:t>十</w:t>
      </w:r>
      <w:r>
        <w:rPr>
          <w:rFonts w:hint="eastAsia" w:asciiTheme="majorEastAsia" w:hAnsiTheme="majorEastAsia" w:eastAsiaTheme="majorEastAsia" w:cstheme="majorEastAsia"/>
          <w:color w:val="auto"/>
          <w:highlight w:val="none"/>
        </w:rPr>
        <w:t>）医疗器械生产（经营）许可证、医疗器械注册证</w:t>
      </w:r>
    </w:p>
    <w:p w14:paraId="1E90C78F">
      <w:pPr>
        <w:spacing w:line="360" w:lineRule="auto"/>
        <w:ind w:firstLine="540" w:firstLineChars="225"/>
        <w:jc w:val="lef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人如果是代理商或经销商，须提供医疗器械经营许可/备案证、所投产品制造商医疗器械生产许可/备案证（制造商工商注册地在中华人民共和国境外的，不做此要求）、所投产品的医疗器械注册证；投标人如果是制造商，须提供医疗器械生产许可/备案证（制造商工商注册地在中华人民共和国境外的，不做此要求）、所投产品的医疗器械注册证。医疗器械生产或经营许可/备案证生产或经营范围须覆盖所投第二、三类医疗器械（扫描件加盖电子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14:paraId="4E1A38F1">
      <w:pPr>
        <w:pStyle w:val="4"/>
        <w:numPr>
          <w:ilvl w:val="2"/>
          <w:numId w:val="0"/>
        </w:numPr>
        <w:tabs>
          <w:tab w:val="clear" w:pos="900"/>
        </w:tabs>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br w:type="page"/>
      </w:r>
      <w:bookmarkStart w:id="254" w:name="_Toc111813243"/>
      <w:bookmarkStart w:id="255" w:name="_Toc113569073"/>
      <w:r>
        <w:rPr>
          <w:rFonts w:hint="eastAsia" w:asciiTheme="majorEastAsia" w:hAnsiTheme="majorEastAsia" w:eastAsiaTheme="majorEastAsia" w:cstheme="majorEastAsia"/>
          <w:color w:val="auto"/>
          <w:highlight w:val="none"/>
        </w:rPr>
        <w:t>（十</w:t>
      </w:r>
      <w:r>
        <w:rPr>
          <w:rFonts w:hint="eastAsia" w:asciiTheme="majorEastAsia" w:hAnsiTheme="majorEastAsia" w:eastAsiaTheme="majorEastAsia" w:cstheme="majorEastAsia"/>
          <w:color w:val="auto"/>
          <w:highlight w:val="none"/>
          <w:lang w:val="en-US" w:eastAsia="zh-CN"/>
        </w:rPr>
        <w:t>一</w:t>
      </w:r>
      <w:r>
        <w:rPr>
          <w:rFonts w:hint="eastAsia" w:asciiTheme="majorEastAsia" w:hAnsiTheme="majorEastAsia" w:eastAsiaTheme="majorEastAsia" w:cstheme="majorEastAsia"/>
          <w:color w:val="auto"/>
          <w:highlight w:val="none"/>
        </w:rPr>
        <w:t>）廉洁承诺书</w:t>
      </w:r>
      <w:bookmarkEnd w:id="254"/>
      <w:bookmarkEnd w:id="255"/>
    </w:p>
    <w:p w14:paraId="2A08A8B5">
      <w:pPr>
        <w:jc w:val="center"/>
        <w:rPr>
          <w:rFonts w:hint="eastAsia" w:asciiTheme="majorEastAsia" w:hAnsiTheme="majorEastAsia" w:eastAsiaTheme="majorEastAsia" w:cstheme="majorEastAsia"/>
          <w:b/>
          <w:bCs/>
          <w:color w:val="auto"/>
          <w:spacing w:val="40"/>
          <w:sz w:val="32"/>
          <w:szCs w:val="28"/>
          <w:highlight w:val="none"/>
        </w:rPr>
      </w:pPr>
      <w:r>
        <w:rPr>
          <w:rFonts w:hint="eastAsia" w:asciiTheme="majorEastAsia" w:hAnsiTheme="majorEastAsia" w:eastAsiaTheme="majorEastAsia" w:cstheme="majorEastAsia"/>
          <w:b/>
          <w:color w:val="auto"/>
          <w:sz w:val="30"/>
          <w:szCs w:val="30"/>
          <w:highlight w:val="none"/>
        </w:rPr>
        <w:t>承诺书（投标人）</w:t>
      </w:r>
    </w:p>
    <w:p w14:paraId="034908CF">
      <w:pPr>
        <w:keepNext w:val="0"/>
        <w:keepLines w:val="0"/>
        <w:pageBreakBefore w:val="0"/>
        <w:widowControl w:val="0"/>
        <w:kinsoku/>
        <w:wordWrap/>
        <w:overflowPunct/>
        <w:topLinePunct w:val="0"/>
        <w:autoSpaceDE/>
        <w:autoSpaceDN/>
        <w:bidi w:val="0"/>
        <w:adjustRightInd/>
        <w:snapToGrid/>
        <w:spacing w:before="167" w:beforeLines="50" w:line="360" w:lineRule="auto"/>
        <w:ind w:firstLine="441" w:firstLineChars="210"/>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本企业参与</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lang w:eastAsia="zh-CN"/>
        </w:rPr>
        <w:t>（</w:t>
      </w:r>
      <w:r>
        <w:rPr>
          <w:rFonts w:hint="eastAsia" w:asciiTheme="majorEastAsia" w:hAnsiTheme="majorEastAsia" w:eastAsiaTheme="majorEastAsia" w:cstheme="majorEastAsia"/>
          <w:color w:val="auto"/>
          <w:szCs w:val="21"/>
          <w:highlight w:val="none"/>
          <w:u w:val="single"/>
          <w:lang w:val="en-US" w:eastAsia="zh-CN"/>
        </w:rPr>
        <w:t>项目名称</w:t>
      </w:r>
      <w:r>
        <w:rPr>
          <w:rFonts w:hint="eastAsia" w:asciiTheme="majorEastAsia" w:hAnsiTheme="majorEastAsia" w:eastAsiaTheme="majorEastAsia" w:cstheme="majorEastAsia"/>
          <w:color w:val="auto"/>
          <w:szCs w:val="21"/>
          <w:highlight w:val="none"/>
          <w:u w:val="single"/>
          <w:lang w:eastAsia="zh-CN"/>
        </w:rPr>
        <w:t>）（标段号）</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的投标人，现</w:t>
      </w:r>
      <w:r>
        <w:rPr>
          <w:rFonts w:hint="eastAsia" w:asciiTheme="majorEastAsia" w:hAnsiTheme="majorEastAsia" w:eastAsiaTheme="majorEastAsia" w:cstheme="majorEastAsia"/>
          <w:color w:val="auto"/>
          <w:szCs w:val="21"/>
          <w:highlight w:val="none"/>
          <w:lang w:eastAsia="zh-CN"/>
        </w:rPr>
        <w:t>做</w:t>
      </w:r>
      <w:r>
        <w:rPr>
          <w:rFonts w:hint="eastAsia" w:asciiTheme="majorEastAsia" w:hAnsiTheme="majorEastAsia" w:eastAsiaTheme="majorEastAsia" w:cstheme="majorEastAsia"/>
          <w:color w:val="auto"/>
          <w:szCs w:val="21"/>
          <w:highlight w:val="none"/>
        </w:rPr>
        <w:t>如下承诺：</w:t>
      </w:r>
    </w:p>
    <w:p w14:paraId="38694C45">
      <w:pPr>
        <w:spacing w:line="360" w:lineRule="auto"/>
        <w:ind w:firstLine="441" w:firstLineChars="21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1、所提供的一切材料都是真实、有效、合法的。</w:t>
      </w:r>
    </w:p>
    <w:p w14:paraId="6A740F1F">
      <w:pPr>
        <w:spacing w:line="360" w:lineRule="auto"/>
        <w:ind w:firstLine="441" w:firstLineChars="21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2、不与其他投标人串通投标，不损害采购人或其他投标人的合法权益。</w:t>
      </w:r>
    </w:p>
    <w:p w14:paraId="335F7113">
      <w:pPr>
        <w:spacing w:line="360" w:lineRule="auto"/>
        <w:ind w:firstLine="441" w:firstLineChars="21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3、不转让、出租、出借资质证书、人员岗位证书或以其他方式允许他人以本企业名义投标。</w:t>
      </w:r>
    </w:p>
    <w:p w14:paraId="728E3928">
      <w:pPr>
        <w:spacing w:line="360" w:lineRule="auto"/>
        <w:ind w:firstLine="441" w:firstLineChars="21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4、不与采购人或采购代理机构串通投标，损害国家利益、社会公共利益或者他人的合法权益。</w:t>
      </w:r>
    </w:p>
    <w:p w14:paraId="49B577D3">
      <w:pPr>
        <w:spacing w:line="360" w:lineRule="auto"/>
        <w:ind w:firstLine="441" w:firstLineChars="21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5、不向采购人、评标委员会成员、监督人员行贿。</w:t>
      </w:r>
    </w:p>
    <w:p w14:paraId="2F6D05CE">
      <w:pPr>
        <w:spacing w:line="360" w:lineRule="auto"/>
        <w:ind w:firstLine="441" w:firstLineChars="21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6、不扰乱招标投标活动正常秩序。</w:t>
      </w:r>
    </w:p>
    <w:p w14:paraId="0A215F26">
      <w:pPr>
        <w:spacing w:line="360" w:lineRule="auto"/>
        <w:ind w:firstLine="441" w:firstLineChars="21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7、不进行虚假恶意投诉。</w:t>
      </w:r>
    </w:p>
    <w:p w14:paraId="17A43D18">
      <w:pPr>
        <w:spacing w:line="360" w:lineRule="auto"/>
        <w:ind w:firstLine="441" w:firstLineChars="21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8、因违反</w:t>
      </w:r>
      <w:r>
        <w:rPr>
          <w:rFonts w:hint="eastAsia" w:asciiTheme="majorEastAsia" w:hAnsiTheme="majorEastAsia" w:eastAsiaTheme="majorEastAsia" w:cstheme="majorEastAsia"/>
          <w:color w:val="auto"/>
          <w:szCs w:val="21"/>
          <w:highlight w:val="none"/>
          <w:lang w:eastAsia="zh-CN"/>
        </w:rPr>
        <w:t>法律法规</w:t>
      </w:r>
      <w:r>
        <w:rPr>
          <w:rFonts w:hint="eastAsia" w:asciiTheme="majorEastAsia" w:hAnsiTheme="majorEastAsia" w:eastAsiaTheme="majorEastAsia" w:cstheme="majorEastAsia"/>
          <w:color w:val="auto"/>
          <w:szCs w:val="21"/>
          <w:highlight w:val="none"/>
        </w:rPr>
        <w:t>、规章被查处的，不干预案件查处。</w:t>
      </w:r>
    </w:p>
    <w:p w14:paraId="23242902">
      <w:pPr>
        <w:spacing w:line="360" w:lineRule="auto"/>
        <w:ind w:firstLine="441" w:firstLineChars="21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如出现上述行为，本投标人自愿承担相关责任，接受招标投标监督管理部门、纪检监察部门或司法机关调查处理。给采购人造成损失的，依法承担赔偿责任。</w:t>
      </w:r>
    </w:p>
    <w:p w14:paraId="3D36BBEA">
      <w:pPr>
        <w:widowControl/>
        <w:spacing w:line="520" w:lineRule="exact"/>
        <w:ind w:firstLine="480" w:firstLineChars="200"/>
        <w:rPr>
          <w:rFonts w:hint="eastAsia" w:asciiTheme="majorEastAsia" w:hAnsiTheme="majorEastAsia" w:eastAsiaTheme="majorEastAsia" w:cstheme="majorEastAsia"/>
          <w:color w:val="auto"/>
          <w:sz w:val="24"/>
          <w:highlight w:val="none"/>
        </w:rPr>
      </w:pPr>
    </w:p>
    <w:p w14:paraId="376B78C2">
      <w:pPr>
        <w:spacing w:before="60" w:after="60" w:line="48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投标人全称</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加盖电子公章</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w:t>
      </w:r>
      <w:r>
        <w:rPr>
          <w:rFonts w:hint="eastAsia" w:asciiTheme="majorEastAsia" w:hAnsiTheme="majorEastAsia" w:eastAsiaTheme="majorEastAsia" w:cstheme="majorEastAsia"/>
          <w:color w:val="auto"/>
          <w:szCs w:val="21"/>
          <w:highlight w:val="none"/>
          <w:u w:val="single"/>
        </w:rPr>
        <w:t xml:space="preserve">                                  </w:t>
      </w:r>
    </w:p>
    <w:p w14:paraId="2E439708">
      <w:pPr>
        <w:spacing w:before="60" w:after="60" w:line="480" w:lineRule="auto"/>
        <w:rPr>
          <w:rFonts w:hint="eastAsia" w:asciiTheme="majorEastAsia" w:hAnsiTheme="majorEastAsia" w:eastAsiaTheme="majorEastAsia" w:cstheme="majorEastAsia"/>
          <w:color w:val="auto"/>
          <w:szCs w:val="21"/>
          <w:highlight w:val="none"/>
          <w:u w:val="single"/>
        </w:rPr>
      </w:pPr>
      <w:r>
        <w:rPr>
          <w:rFonts w:hint="eastAsia" w:asciiTheme="majorEastAsia" w:hAnsiTheme="majorEastAsia" w:eastAsiaTheme="majorEastAsia" w:cstheme="majorEastAsia"/>
          <w:color w:val="auto"/>
          <w:szCs w:val="21"/>
          <w:highlight w:val="none"/>
        </w:rPr>
        <w:t>法定代表人或委托代理人（电子签名）：</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u w:val="single"/>
        </w:rPr>
        <w:t xml:space="preserve">            </w:t>
      </w:r>
    </w:p>
    <w:p w14:paraId="5116EA90">
      <w:pPr>
        <w:spacing w:before="60" w:after="60" w:line="48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日期：</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年</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月</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日</w:t>
      </w:r>
    </w:p>
    <w:p w14:paraId="2AFB079F">
      <w:pPr>
        <w:widowControl/>
        <w:spacing w:line="600" w:lineRule="exact"/>
        <w:ind w:right="640" w:firstLine="480" w:firstLineChars="200"/>
        <w:rPr>
          <w:rFonts w:hint="eastAsia" w:asciiTheme="majorEastAsia" w:hAnsiTheme="majorEastAsia" w:eastAsiaTheme="majorEastAsia" w:cstheme="majorEastAsia"/>
          <w:color w:val="auto"/>
          <w:sz w:val="24"/>
          <w:highlight w:val="none"/>
        </w:rPr>
      </w:pPr>
    </w:p>
    <w:p w14:paraId="7E2233E4">
      <w:pPr>
        <w:widowControl/>
        <w:spacing w:line="600" w:lineRule="exact"/>
        <w:ind w:right="640" w:firstLine="480" w:firstLineChars="200"/>
        <w:rPr>
          <w:rFonts w:hint="eastAsia" w:asciiTheme="majorEastAsia" w:hAnsiTheme="majorEastAsia" w:eastAsiaTheme="majorEastAsia" w:cstheme="majorEastAsia"/>
          <w:color w:val="auto"/>
          <w:sz w:val="24"/>
          <w:highlight w:val="none"/>
        </w:rPr>
      </w:pPr>
    </w:p>
    <w:p w14:paraId="44F1099B">
      <w:pPr>
        <w:pStyle w:val="4"/>
        <w:numPr>
          <w:ilvl w:val="2"/>
          <w:numId w:val="0"/>
        </w:numPr>
        <w:tabs>
          <w:tab w:val="clear" w:pos="900"/>
        </w:tabs>
        <w:spacing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4"/>
          <w:highlight w:val="none"/>
        </w:rPr>
        <w:br w:type="page"/>
      </w:r>
      <w:bookmarkStart w:id="256" w:name="_Toc113569074"/>
      <w:bookmarkStart w:id="257" w:name="_Toc111813246"/>
      <w:bookmarkStart w:id="258" w:name="_Toc520749019"/>
      <w:bookmarkStart w:id="259" w:name="_Toc10117039"/>
      <w:bookmarkStart w:id="260" w:name="_Toc450064602"/>
      <w:bookmarkStart w:id="261" w:name="_Toc529957203"/>
      <w:bookmarkStart w:id="262" w:name="_Toc486584251"/>
      <w:bookmarkStart w:id="263" w:name="_Toc389644553"/>
      <w:r>
        <w:rPr>
          <w:rFonts w:hint="eastAsia" w:asciiTheme="majorEastAsia" w:hAnsiTheme="majorEastAsia" w:eastAsiaTheme="majorEastAsia" w:cstheme="majorEastAsia"/>
          <w:color w:val="auto"/>
          <w:highlight w:val="none"/>
        </w:rPr>
        <w:t>（十</w:t>
      </w:r>
      <w:r>
        <w:rPr>
          <w:rFonts w:hint="eastAsia" w:asciiTheme="majorEastAsia" w:hAnsiTheme="majorEastAsia" w:eastAsiaTheme="majorEastAsia" w:cstheme="majorEastAsia"/>
          <w:color w:val="auto"/>
          <w:highlight w:val="none"/>
          <w:lang w:val="en-US" w:eastAsia="zh-CN"/>
        </w:rPr>
        <w:t>二</w:t>
      </w:r>
      <w:r>
        <w:rPr>
          <w:rFonts w:hint="eastAsia" w:asciiTheme="majorEastAsia" w:hAnsiTheme="majorEastAsia" w:eastAsiaTheme="majorEastAsia" w:cstheme="majorEastAsia"/>
          <w:color w:val="auto"/>
          <w:highlight w:val="none"/>
        </w:rPr>
        <w:t>）招标文件要求投标人提交的其他资料或投标人认为应提交的其他资料</w:t>
      </w:r>
      <w:bookmarkEnd w:id="256"/>
      <w:bookmarkEnd w:id="257"/>
      <w:bookmarkEnd w:id="258"/>
      <w:bookmarkEnd w:id="259"/>
    </w:p>
    <w:p w14:paraId="29D17565">
      <w:pPr>
        <w:spacing w:line="360" w:lineRule="auto"/>
        <w:ind w:firstLine="540" w:firstLineChars="225"/>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投标人自行编制，格式自定。</w:t>
      </w:r>
    </w:p>
    <w:p w14:paraId="57CE27F7">
      <w:pPr>
        <w:rPr>
          <w:rFonts w:hint="eastAsia" w:asciiTheme="majorEastAsia" w:hAnsiTheme="majorEastAsia" w:eastAsiaTheme="majorEastAsia" w:cstheme="majorEastAsia"/>
          <w:b/>
          <w:color w:val="auto"/>
          <w:sz w:val="32"/>
          <w:szCs w:val="44"/>
          <w:highlight w:val="none"/>
        </w:rPr>
      </w:pPr>
    </w:p>
    <w:p w14:paraId="23C8C70F">
      <w:pPr>
        <w:pStyle w:val="4"/>
        <w:numPr>
          <w:ilvl w:val="2"/>
          <w:numId w:val="0"/>
        </w:numPr>
        <w:tabs>
          <w:tab w:val="clear" w:pos="900"/>
        </w:tabs>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br w:type="page"/>
      </w:r>
      <w:bookmarkEnd w:id="260"/>
      <w:bookmarkEnd w:id="261"/>
      <w:bookmarkEnd w:id="262"/>
      <w:bookmarkEnd w:id="263"/>
      <w:bookmarkStart w:id="264" w:name="_Toc520749020"/>
      <w:bookmarkStart w:id="265" w:name="_Toc111813247"/>
      <w:bookmarkStart w:id="266" w:name="_Toc10117040"/>
      <w:bookmarkStart w:id="267" w:name="_Toc113569075"/>
      <w:bookmarkStart w:id="268" w:name="_Toc38173198"/>
      <w:bookmarkStart w:id="269" w:name="_Toc78603135"/>
      <w:r>
        <w:rPr>
          <w:rFonts w:hint="eastAsia" w:asciiTheme="majorEastAsia" w:hAnsiTheme="majorEastAsia" w:eastAsiaTheme="majorEastAsia" w:cstheme="majorEastAsia"/>
          <w:color w:val="auto"/>
          <w:highlight w:val="none"/>
        </w:rPr>
        <w:t>二、投标文件商务部分格式</w:t>
      </w:r>
      <w:bookmarkEnd w:id="264"/>
      <w:bookmarkEnd w:id="265"/>
      <w:bookmarkEnd w:id="266"/>
      <w:bookmarkEnd w:id="267"/>
    </w:p>
    <w:p w14:paraId="60D0BC70">
      <w:pPr>
        <w:pStyle w:val="4"/>
        <w:numPr>
          <w:ilvl w:val="2"/>
          <w:numId w:val="0"/>
        </w:numPr>
        <w:tabs>
          <w:tab w:val="clear" w:pos="900"/>
        </w:tabs>
        <w:spacing w:line="360" w:lineRule="auto"/>
        <w:jc w:val="center"/>
        <w:rPr>
          <w:rFonts w:hint="eastAsia" w:asciiTheme="majorEastAsia" w:hAnsiTheme="majorEastAsia" w:eastAsiaTheme="majorEastAsia" w:cstheme="majorEastAsia"/>
          <w:color w:val="auto"/>
          <w:highlight w:val="none"/>
        </w:rPr>
      </w:pPr>
      <w:bookmarkStart w:id="270" w:name="_Toc10117042"/>
      <w:bookmarkStart w:id="271" w:name="_Toc111813249"/>
      <w:bookmarkStart w:id="272" w:name="_Toc520749022"/>
      <w:bookmarkStart w:id="273" w:name="_Toc113569076"/>
      <w:r>
        <w:rPr>
          <w:rFonts w:hint="eastAsia" w:asciiTheme="majorEastAsia" w:hAnsiTheme="majorEastAsia" w:eastAsiaTheme="majorEastAsia" w:cstheme="majorEastAsia"/>
          <w:color w:val="auto"/>
          <w:highlight w:val="none"/>
        </w:rPr>
        <w:t>（一）开标一览表</w:t>
      </w:r>
      <w:bookmarkEnd w:id="270"/>
      <w:bookmarkEnd w:id="271"/>
      <w:bookmarkEnd w:id="272"/>
      <w:bookmarkEnd w:id="273"/>
    </w:p>
    <w:p w14:paraId="1B016FC8">
      <w:pP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项目名称：</w:t>
      </w:r>
      <w:r>
        <w:rPr>
          <w:rFonts w:hint="eastAsia" w:asciiTheme="majorEastAsia" w:hAnsiTheme="majorEastAsia" w:eastAsiaTheme="majorEastAsia" w:cstheme="majorEastAsia"/>
          <w:color w:val="auto"/>
          <w:szCs w:val="21"/>
          <w:highlight w:val="none"/>
          <w:u w:val="single"/>
        </w:rPr>
        <w:t xml:space="preserve">                         （标段号）   </w:t>
      </w:r>
      <w:r>
        <w:rPr>
          <w:rFonts w:hint="eastAsia" w:asciiTheme="majorEastAsia" w:hAnsiTheme="majorEastAsia" w:eastAsiaTheme="majorEastAsia" w:cstheme="majorEastAsia"/>
          <w:color w:val="auto"/>
          <w:szCs w:val="21"/>
          <w:highlight w:val="none"/>
        </w:rPr>
        <w:t xml:space="preserve">             招标编号：</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 xml:space="preserve"> </w:t>
      </w:r>
    </w:p>
    <w:p w14:paraId="318013A3">
      <w:pPr>
        <w:rPr>
          <w:rFonts w:hint="eastAsia" w:asciiTheme="majorEastAsia" w:hAnsiTheme="majorEastAsia" w:eastAsiaTheme="majorEastAsia" w:cstheme="majorEastAsia"/>
          <w:color w:val="auto"/>
          <w:highlight w:val="none"/>
        </w:rPr>
      </w:pPr>
    </w:p>
    <w:tbl>
      <w:tblPr>
        <w:tblStyle w:val="30"/>
        <w:tblW w:w="9640" w:type="dxa"/>
        <w:tblInd w:w="-1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410"/>
        <w:gridCol w:w="7230"/>
      </w:tblGrid>
      <w:tr w14:paraId="6D908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62" w:hRule="atLeast"/>
        </w:trPr>
        <w:tc>
          <w:tcPr>
            <w:tcW w:w="2410" w:type="dxa"/>
            <w:noWrap w:val="0"/>
            <w:vAlign w:val="center"/>
          </w:tcPr>
          <w:p w14:paraId="14073E97">
            <w:pPr>
              <w:keepNext w:val="0"/>
              <w:keepLines w:val="0"/>
              <w:pageBreakBefore w:val="0"/>
              <w:kinsoku/>
              <w:wordWrap/>
              <w:overflowPunct/>
              <w:topLinePunct w:val="0"/>
              <w:autoSpaceDE/>
              <w:autoSpaceDN/>
              <w:bidi w:val="0"/>
              <w:adjustRightInd/>
              <w:snapToGrid/>
              <w:spacing w:line="192" w:lineRule="auto"/>
              <w:ind w:firstLine="8" w:firstLineChars="4"/>
              <w:jc w:val="center"/>
              <w:textAlignment w:va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项目名称</w:t>
            </w:r>
          </w:p>
        </w:tc>
        <w:tc>
          <w:tcPr>
            <w:tcW w:w="7230" w:type="dxa"/>
            <w:tcBorders>
              <w:right w:val="single" w:color="auto" w:sz="4" w:space="0"/>
            </w:tcBorders>
            <w:noWrap w:val="0"/>
            <w:vAlign w:val="center"/>
          </w:tcPr>
          <w:p w14:paraId="006011D9">
            <w:pPr>
              <w:keepNext w:val="0"/>
              <w:keepLines w:val="0"/>
              <w:pageBreakBefore w:val="0"/>
              <w:widowControl/>
              <w:kinsoku/>
              <w:wordWrap/>
              <w:overflowPunct/>
              <w:topLinePunct w:val="0"/>
              <w:autoSpaceDE/>
              <w:autoSpaceDN/>
              <w:bidi w:val="0"/>
              <w:adjustRightInd/>
              <w:snapToGrid/>
              <w:spacing w:line="192" w:lineRule="auto"/>
              <w:jc w:val="center"/>
              <w:textAlignment w:val="auto"/>
              <w:rPr>
                <w:rFonts w:hint="eastAsia" w:asciiTheme="majorEastAsia" w:hAnsiTheme="majorEastAsia" w:eastAsiaTheme="majorEastAsia" w:cstheme="majorEastAsia"/>
                <w:color w:val="auto"/>
                <w:sz w:val="21"/>
                <w:szCs w:val="21"/>
                <w:highlight w:val="none"/>
              </w:rPr>
            </w:pPr>
          </w:p>
        </w:tc>
      </w:tr>
      <w:tr w14:paraId="4B626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69" w:hRule="atLeast"/>
        </w:trPr>
        <w:tc>
          <w:tcPr>
            <w:tcW w:w="2410" w:type="dxa"/>
            <w:noWrap w:val="0"/>
            <w:vAlign w:val="center"/>
          </w:tcPr>
          <w:p w14:paraId="78115ACD">
            <w:pPr>
              <w:keepNext w:val="0"/>
              <w:keepLines w:val="0"/>
              <w:pageBreakBefore w:val="0"/>
              <w:kinsoku/>
              <w:wordWrap/>
              <w:overflowPunct/>
              <w:topLinePunct w:val="0"/>
              <w:autoSpaceDE/>
              <w:autoSpaceDN/>
              <w:bidi w:val="0"/>
              <w:adjustRightInd/>
              <w:snapToGrid/>
              <w:spacing w:before="120" w:line="192" w:lineRule="auto"/>
              <w:ind w:firstLine="8" w:firstLineChars="4"/>
              <w:jc w:val="center"/>
              <w:textAlignment w:va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投标总价</w:t>
            </w:r>
          </w:p>
        </w:tc>
        <w:tc>
          <w:tcPr>
            <w:tcW w:w="7230" w:type="dxa"/>
            <w:tcBorders>
              <w:right w:val="single" w:color="auto" w:sz="4" w:space="0"/>
            </w:tcBorders>
            <w:noWrap w:val="0"/>
            <w:vAlign w:val="center"/>
          </w:tcPr>
          <w:p w14:paraId="5909E525">
            <w:pPr>
              <w:keepNext w:val="0"/>
              <w:keepLines w:val="0"/>
              <w:pageBreakBefore w:val="0"/>
              <w:widowControl/>
              <w:kinsoku/>
              <w:wordWrap/>
              <w:overflowPunct/>
              <w:topLinePunct w:val="0"/>
              <w:autoSpaceDE/>
              <w:autoSpaceDN/>
              <w:bidi w:val="0"/>
              <w:adjustRightInd/>
              <w:snapToGrid/>
              <w:spacing w:line="192" w:lineRule="auto"/>
              <w:textAlignment w:va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大写：</w:t>
            </w:r>
          </w:p>
          <w:p w14:paraId="45BC157B">
            <w:pPr>
              <w:keepNext w:val="0"/>
              <w:keepLines w:val="0"/>
              <w:pageBreakBefore w:val="0"/>
              <w:widowControl/>
              <w:kinsoku/>
              <w:wordWrap/>
              <w:overflowPunct/>
              <w:topLinePunct w:val="0"/>
              <w:autoSpaceDE/>
              <w:autoSpaceDN/>
              <w:bidi w:val="0"/>
              <w:adjustRightInd/>
              <w:snapToGrid/>
              <w:spacing w:line="192" w:lineRule="auto"/>
              <w:textAlignment w:va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小写：</w:t>
            </w:r>
          </w:p>
        </w:tc>
      </w:tr>
      <w:tr w14:paraId="38A33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21" w:hRule="atLeast"/>
        </w:trPr>
        <w:tc>
          <w:tcPr>
            <w:tcW w:w="2410" w:type="dxa"/>
            <w:noWrap w:val="0"/>
            <w:vAlign w:val="center"/>
          </w:tcPr>
          <w:p w14:paraId="6C491E7D">
            <w:pPr>
              <w:keepNext w:val="0"/>
              <w:keepLines w:val="0"/>
              <w:pageBreakBefore w:val="0"/>
              <w:kinsoku/>
              <w:wordWrap/>
              <w:overflowPunct/>
              <w:topLinePunct w:val="0"/>
              <w:autoSpaceDE/>
              <w:autoSpaceDN/>
              <w:bidi w:val="0"/>
              <w:adjustRightInd/>
              <w:snapToGrid/>
              <w:spacing w:before="120" w:line="192" w:lineRule="auto"/>
              <w:ind w:firstLine="8" w:firstLineChars="4"/>
              <w:jc w:val="center"/>
              <w:textAlignment w:va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交货期限</w:t>
            </w:r>
          </w:p>
        </w:tc>
        <w:tc>
          <w:tcPr>
            <w:tcW w:w="7230" w:type="dxa"/>
            <w:tcBorders>
              <w:right w:val="single" w:color="auto" w:sz="4" w:space="0"/>
            </w:tcBorders>
            <w:noWrap w:val="0"/>
            <w:vAlign w:val="center"/>
          </w:tcPr>
          <w:p w14:paraId="136F14D9">
            <w:pPr>
              <w:keepNext w:val="0"/>
              <w:keepLines w:val="0"/>
              <w:pageBreakBefore w:val="0"/>
              <w:widowControl/>
              <w:kinsoku/>
              <w:wordWrap/>
              <w:overflowPunct/>
              <w:topLinePunct w:val="0"/>
              <w:autoSpaceDE/>
              <w:autoSpaceDN/>
              <w:bidi w:val="0"/>
              <w:adjustRightInd/>
              <w:snapToGrid/>
              <w:spacing w:line="192" w:lineRule="auto"/>
              <w:textAlignment w:val="auto"/>
              <w:rPr>
                <w:rFonts w:hint="eastAsia" w:asciiTheme="majorEastAsia" w:hAnsiTheme="majorEastAsia" w:eastAsiaTheme="majorEastAsia" w:cstheme="majorEastAsia"/>
                <w:color w:val="auto"/>
                <w:sz w:val="21"/>
                <w:szCs w:val="21"/>
                <w:highlight w:val="none"/>
              </w:rPr>
            </w:pPr>
          </w:p>
        </w:tc>
      </w:tr>
      <w:tr w14:paraId="6FD42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21" w:hRule="atLeast"/>
        </w:trPr>
        <w:tc>
          <w:tcPr>
            <w:tcW w:w="2410" w:type="dxa"/>
            <w:noWrap w:val="0"/>
            <w:vAlign w:val="center"/>
          </w:tcPr>
          <w:p w14:paraId="7982FA52">
            <w:pPr>
              <w:keepNext w:val="0"/>
              <w:keepLines w:val="0"/>
              <w:pageBreakBefore w:val="0"/>
              <w:kinsoku/>
              <w:wordWrap/>
              <w:overflowPunct/>
              <w:topLinePunct w:val="0"/>
              <w:autoSpaceDE/>
              <w:autoSpaceDN/>
              <w:bidi w:val="0"/>
              <w:adjustRightInd/>
              <w:snapToGrid/>
              <w:spacing w:before="120" w:line="192" w:lineRule="auto"/>
              <w:ind w:firstLine="8" w:firstLineChars="4"/>
              <w:jc w:val="center"/>
              <w:textAlignment w:va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交付</w:t>
            </w:r>
            <w:r>
              <w:rPr>
                <w:rFonts w:hint="eastAsia" w:asciiTheme="majorEastAsia" w:hAnsiTheme="majorEastAsia" w:eastAsiaTheme="majorEastAsia" w:cstheme="majorEastAsia"/>
                <w:color w:val="auto"/>
                <w:sz w:val="21"/>
                <w:szCs w:val="21"/>
                <w:highlight w:val="none"/>
              </w:rPr>
              <w:t>地点</w:t>
            </w:r>
          </w:p>
        </w:tc>
        <w:tc>
          <w:tcPr>
            <w:tcW w:w="7230" w:type="dxa"/>
            <w:tcBorders>
              <w:right w:val="single" w:color="auto" w:sz="4" w:space="0"/>
            </w:tcBorders>
            <w:noWrap w:val="0"/>
            <w:vAlign w:val="center"/>
          </w:tcPr>
          <w:p w14:paraId="2AFF1670">
            <w:pPr>
              <w:keepNext w:val="0"/>
              <w:keepLines w:val="0"/>
              <w:pageBreakBefore w:val="0"/>
              <w:widowControl/>
              <w:kinsoku/>
              <w:wordWrap/>
              <w:overflowPunct/>
              <w:topLinePunct w:val="0"/>
              <w:autoSpaceDE/>
              <w:autoSpaceDN/>
              <w:bidi w:val="0"/>
              <w:adjustRightInd/>
              <w:snapToGrid/>
              <w:spacing w:line="192" w:lineRule="auto"/>
              <w:textAlignment w:val="auto"/>
              <w:rPr>
                <w:rFonts w:hint="eastAsia" w:asciiTheme="majorEastAsia" w:hAnsiTheme="majorEastAsia" w:eastAsiaTheme="majorEastAsia" w:cstheme="majorEastAsia"/>
                <w:color w:val="auto"/>
                <w:sz w:val="21"/>
                <w:szCs w:val="21"/>
                <w:highlight w:val="none"/>
              </w:rPr>
            </w:pPr>
          </w:p>
        </w:tc>
      </w:tr>
      <w:tr w14:paraId="40851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21" w:hRule="atLeast"/>
        </w:trPr>
        <w:tc>
          <w:tcPr>
            <w:tcW w:w="2410" w:type="dxa"/>
            <w:noWrap w:val="0"/>
            <w:vAlign w:val="center"/>
          </w:tcPr>
          <w:p w14:paraId="7965F6CD">
            <w:pPr>
              <w:keepNext w:val="0"/>
              <w:keepLines w:val="0"/>
              <w:pageBreakBefore w:val="0"/>
              <w:kinsoku/>
              <w:wordWrap/>
              <w:overflowPunct/>
              <w:topLinePunct w:val="0"/>
              <w:autoSpaceDE/>
              <w:autoSpaceDN/>
              <w:bidi w:val="0"/>
              <w:adjustRightInd/>
              <w:snapToGrid/>
              <w:spacing w:before="120" w:line="192" w:lineRule="auto"/>
              <w:ind w:firstLine="8" w:firstLineChars="4"/>
              <w:jc w:val="center"/>
              <w:textAlignment w:val="auto"/>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rPr>
              <w:t>质量</w:t>
            </w:r>
            <w:r>
              <w:rPr>
                <w:rFonts w:hint="eastAsia" w:asciiTheme="majorEastAsia" w:hAnsiTheme="majorEastAsia" w:eastAsiaTheme="majorEastAsia" w:cstheme="majorEastAsia"/>
                <w:color w:val="auto"/>
                <w:sz w:val="21"/>
                <w:szCs w:val="21"/>
                <w:highlight w:val="none"/>
                <w:lang w:val="en-US" w:eastAsia="zh-CN"/>
              </w:rPr>
              <w:t>承诺</w:t>
            </w:r>
          </w:p>
        </w:tc>
        <w:tc>
          <w:tcPr>
            <w:tcW w:w="7230" w:type="dxa"/>
            <w:tcBorders>
              <w:right w:val="single" w:color="auto" w:sz="4" w:space="0"/>
            </w:tcBorders>
            <w:noWrap w:val="0"/>
            <w:vAlign w:val="center"/>
          </w:tcPr>
          <w:p w14:paraId="56AD8FF8">
            <w:pPr>
              <w:keepNext w:val="0"/>
              <w:keepLines w:val="0"/>
              <w:pageBreakBefore w:val="0"/>
              <w:widowControl/>
              <w:kinsoku/>
              <w:wordWrap/>
              <w:overflowPunct/>
              <w:topLinePunct w:val="0"/>
              <w:autoSpaceDE/>
              <w:autoSpaceDN/>
              <w:bidi w:val="0"/>
              <w:adjustRightInd/>
              <w:snapToGrid/>
              <w:spacing w:line="192" w:lineRule="auto"/>
              <w:textAlignment w:val="auto"/>
              <w:rPr>
                <w:rFonts w:hint="eastAsia" w:asciiTheme="majorEastAsia" w:hAnsiTheme="majorEastAsia" w:eastAsiaTheme="majorEastAsia" w:cstheme="majorEastAsia"/>
                <w:color w:val="auto"/>
                <w:sz w:val="21"/>
                <w:szCs w:val="21"/>
                <w:highlight w:val="none"/>
              </w:rPr>
            </w:pPr>
          </w:p>
        </w:tc>
      </w:tr>
      <w:tr w14:paraId="0B477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21" w:hRule="atLeast"/>
        </w:trPr>
        <w:tc>
          <w:tcPr>
            <w:tcW w:w="2410" w:type="dxa"/>
            <w:noWrap w:val="0"/>
            <w:vAlign w:val="center"/>
          </w:tcPr>
          <w:p w14:paraId="65E80F40">
            <w:pPr>
              <w:keepNext w:val="0"/>
              <w:keepLines w:val="0"/>
              <w:pageBreakBefore w:val="0"/>
              <w:kinsoku/>
              <w:wordWrap/>
              <w:overflowPunct/>
              <w:topLinePunct w:val="0"/>
              <w:autoSpaceDE/>
              <w:autoSpaceDN/>
              <w:bidi w:val="0"/>
              <w:adjustRightInd/>
              <w:snapToGrid/>
              <w:spacing w:before="120" w:line="192" w:lineRule="auto"/>
              <w:ind w:firstLine="8" w:firstLineChars="4"/>
              <w:jc w:val="center"/>
              <w:textAlignment w:val="auto"/>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质保期</w:t>
            </w:r>
          </w:p>
        </w:tc>
        <w:tc>
          <w:tcPr>
            <w:tcW w:w="7230" w:type="dxa"/>
            <w:tcBorders>
              <w:right w:val="single" w:color="auto" w:sz="4" w:space="0"/>
            </w:tcBorders>
            <w:noWrap w:val="0"/>
            <w:vAlign w:val="center"/>
          </w:tcPr>
          <w:p w14:paraId="565F5BF9">
            <w:pPr>
              <w:keepNext w:val="0"/>
              <w:keepLines w:val="0"/>
              <w:pageBreakBefore w:val="0"/>
              <w:widowControl/>
              <w:kinsoku/>
              <w:wordWrap/>
              <w:overflowPunct/>
              <w:topLinePunct w:val="0"/>
              <w:autoSpaceDE/>
              <w:autoSpaceDN/>
              <w:bidi w:val="0"/>
              <w:adjustRightInd/>
              <w:snapToGrid/>
              <w:spacing w:line="192" w:lineRule="auto"/>
              <w:textAlignment w:val="auto"/>
              <w:rPr>
                <w:rFonts w:hint="eastAsia" w:asciiTheme="majorEastAsia" w:hAnsiTheme="majorEastAsia" w:eastAsiaTheme="majorEastAsia" w:cstheme="majorEastAsia"/>
                <w:color w:val="auto"/>
                <w:sz w:val="21"/>
                <w:szCs w:val="21"/>
                <w:highlight w:val="none"/>
              </w:rPr>
            </w:pPr>
          </w:p>
        </w:tc>
      </w:tr>
      <w:tr w14:paraId="7E86C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94" w:hRule="atLeast"/>
        </w:trPr>
        <w:tc>
          <w:tcPr>
            <w:tcW w:w="2410" w:type="dxa"/>
            <w:noWrap w:val="0"/>
            <w:vAlign w:val="center"/>
          </w:tcPr>
          <w:p w14:paraId="6624449D">
            <w:pPr>
              <w:keepNext w:val="0"/>
              <w:keepLines w:val="0"/>
              <w:pageBreakBefore w:val="0"/>
              <w:kinsoku/>
              <w:wordWrap/>
              <w:overflowPunct/>
              <w:topLinePunct w:val="0"/>
              <w:autoSpaceDE/>
              <w:autoSpaceDN/>
              <w:bidi w:val="0"/>
              <w:adjustRightInd/>
              <w:snapToGrid/>
              <w:spacing w:before="120" w:line="192" w:lineRule="auto"/>
              <w:ind w:firstLine="8" w:firstLineChars="4"/>
              <w:jc w:val="center"/>
              <w:textAlignment w:va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投标保证金</w:t>
            </w:r>
          </w:p>
        </w:tc>
        <w:tc>
          <w:tcPr>
            <w:tcW w:w="7230" w:type="dxa"/>
            <w:tcBorders>
              <w:right w:val="single" w:color="auto" w:sz="4" w:space="0"/>
            </w:tcBorders>
            <w:noWrap w:val="0"/>
            <w:vAlign w:val="center"/>
          </w:tcPr>
          <w:p w14:paraId="15DAE54B">
            <w:pPr>
              <w:keepNext w:val="0"/>
              <w:keepLines w:val="0"/>
              <w:pageBreakBefore w:val="0"/>
              <w:widowControl/>
              <w:kinsoku/>
              <w:wordWrap/>
              <w:overflowPunct/>
              <w:topLinePunct w:val="0"/>
              <w:autoSpaceDE/>
              <w:autoSpaceDN/>
              <w:bidi w:val="0"/>
              <w:adjustRightInd/>
              <w:snapToGrid/>
              <w:spacing w:line="192" w:lineRule="auto"/>
              <w:textAlignment w:val="auto"/>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保证金形式：</w:t>
            </w:r>
          </w:p>
          <w:p w14:paraId="2FEB3805">
            <w:pPr>
              <w:keepNext w:val="0"/>
              <w:keepLines w:val="0"/>
              <w:pageBreakBefore w:val="0"/>
              <w:widowControl/>
              <w:kinsoku/>
              <w:wordWrap/>
              <w:overflowPunct/>
              <w:topLinePunct w:val="0"/>
              <w:autoSpaceDE/>
              <w:autoSpaceDN/>
              <w:bidi w:val="0"/>
              <w:adjustRightInd/>
              <w:snapToGrid/>
              <w:spacing w:line="192" w:lineRule="auto"/>
              <w:textAlignment w:va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保证金金额：</w:t>
            </w:r>
          </w:p>
        </w:tc>
      </w:tr>
      <w:tr w14:paraId="2ACB6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84" w:hRule="atLeast"/>
        </w:trPr>
        <w:tc>
          <w:tcPr>
            <w:tcW w:w="2410" w:type="dxa"/>
            <w:noWrap w:val="0"/>
            <w:vAlign w:val="center"/>
          </w:tcPr>
          <w:p w14:paraId="7D4EF8FB">
            <w:pPr>
              <w:keepNext w:val="0"/>
              <w:keepLines w:val="0"/>
              <w:pageBreakBefore w:val="0"/>
              <w:kinsoku/>
              <w:wordWrap/>
              <w:overflowPunct/>
              <w:topLinePunct w:val="0"/>
              <w:autoSpaceDE/>
              <w:autoSpaceDN/>
              <w:bidi w:val="0"/>
              <w:adjustRightInd/>
              <w:snapToGrid/>
              <w:spacing w:before="120" w:line="192" w:lineRule="auto"/>
              <w:ind w:firstLine="8" w:firstLineChars="4"/>
              <w:jc w:val="center"/>
              <w:textAlignment w:va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其他承诺或声明</w:t>
            </w:r>
          </w:p>
        </w:tc>
        <w:tc>
          <w:tcPr>
            <w:tcW w:w="7230" w:type="dxa"/>
            <w:tcBorders>
              <w:right w:val="single" w:color="auto" w:sz="4" w:space="0"/>
            </w:tcBorders>
            <w:noWrap w:val="0"/>
            <w:vAlign w:val="center"/>
          </w:tcPr>
          <w:p w14:paraId="299FA9FC">
            <w:pPr>
              <w:keepNext w:val="0"/>
              <w:keepLines w:val="0"/>
              <w:pageBreakBefore w:val="0"/>
              <w:widowControl/>
              <w:kinsoku/>
              <w:wordWrap/>
              <w:overflowPunct/>
              <w:topLinePunct w:val="0"/>
              <w:autoSpaceDE/>
              <w:autoSpaceDN/>
              <w:bidi w:val="0"/>
              <w:adjustRightInd/>
              <w:snapToGrid/>
              <w:spacing w:line="192" w:lineRule="auto"/>
              <w:textAlignment w:val="auto"/>
              <w:rPr>
                <w:rFonts w:hint="eastAsia" w:asciiTheme="majorEastAsia" w:hAnsiTheme="majorEastAsia" w:eastAsiaTheme="majorEastAsia" w:cstheme="majorEastAsia"/>
                <w:color w:val="auto"/>
                <w:sz w:val="21"/>
                <w:szCs w:val="21"/>
                <w:highlight w:val="none"/>
              </w:rPr>
            </w:pPr>
          </w:p>
        </w:tc>
      </w:tr>
    </w:tbl>
    <w:p w14:paraId="40E28A5A">
      <w:pPr>
        <w:spacing w:line="360" w:lineRule="auto"/>
        <w:ind w:firstLine="441" w:firstLineChars="21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注： </w:t>
      </w:r>
    </w:p>
    <w:p w14:paraId="68E198DD">
      <w:pPr>
        <w:spacing w:line="360" w:lineRule="auto"/>
        <w:ind w:firstLine="441" w:firstLineChars="21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开标一览表内容与投标文件中相应内容不一致的，以开标一览表为准；大写金额和小写金额不一致的，以大写金额为准；单价金额小数点或者百分比有明显错位的，以开标一览表的总价为准，并修改单价；总价金额与按单价汇总金额不一致的，以单价金额计算结果为准。</w:t>
      </w:r>
    </w:p>
    <w:p w14:paraId="3D6D30AA">
      <w:pPr>
        <w:spacing w:line="360" w:lineRule="auto"/>
        <w:ind w:firstLine="441" w:firstLineChars="21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2.此表中的投标总价即为最终报价，不允许有任何调整，如有价格折扣，应在投标声明中列出，开标时一并予以公布，未在本表中列出的价格折扣一律不予认可。</w:t>
      </w:r>
    </w:p>
    <w:p w14:paraId="02EDDE07">
      <w:pPr>
        <w:spacing w:line="360" w:lineRule="auto"/>
        <w:ind w:firstLine="441" w:firstLineChars="210"/>
        <w:rPr>
          <w:rFonts w:hint="eastAsia" w:asciiTheme="majorEastAsia" w:hAnsiTheme="majorEastAsia" w:eastAsiaTheme="majorEastAsia" w:cstheme="majorEastAsia"/>
          <w:color w:val="auto"/>
          <w:szCs w:val="21"/>
          <w:highlight w:val="none"/>
        </w:rPr>
      </w:pPr>
    </w:p>
    <w:p w14:paraId="60ADBF8F">
      <w:pPr>
        <w:spacing w:before="60" w:after="60" w:line="48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投标人全称</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加盖电子公章</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w:t>
      </w:r>
      <w:r>
        <w:rPr>
          <w:rFonts w:hint="eastAsia" w:asciiTheme="majorEastAsia" w:hAnsiTheme="majorEastAsia" w:eastAsiaTheme="majorEastAsia" w:cstheme="majorEastAsia"/>
          <w:color w:val="auto"/>
          <w:szCs w:val="21"/>
          <w:highlight w:val="none"/>
          <w:u w:val="single"/>
        </w:rPr>
        <w:t xml:space="preserve">                                  </w:t>
      </w:r>
    </w:p>
    <w:p w14:paraId="2B75C6AD">
      <w:pPr>
        <w:spacing w:before="60" w:after="60" w:line="480" w:lineRule="auto"/>
        <w:rPr>
          <w:rFonts w:hint="eastAsia" w:asciiTheme="majorEastAsia" w:hAnsiTheme="majorEastAsia" w:eastAsiaTheme="majorEastAsia" w:cstheme="majorEastAsia"/>
          <w:color w:val="auto"/>
          <w:szCs w:val="21"/>
          <w:highlight w:val="none"/>
          <w:u w:val="single"/>
        </w:rPr>
      </w:pPr>
      <w:r>
        <w:rPr>
          <w:rFonts w:hint="eastAsia" w:asciiTheme="majorEastAsia" w:hAnsiTheme="majorEastAsia" w:eastAsiaTheme="majorEastAsia" w:cstheme="majorEastAsia"/>
          <w:color w:val="auto"/>
          <w:szCs w:val="21"/>
          <w:highlight w:val="none"/>
        </w:rPr>
        <w:t>法定代表人或委托代理人（电子签名）：</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u w:val="single"/>
        </w:rPr>
        <w:t xml:space="preserve">            </w:t>
      </w:r>
    </w:p>
    <w:p w14:paraId="0CB1AABA">
      <w:pPr>
        <w:spacing w:before="60" w:after="60" w:line="48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日期：</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年</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月</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日</w:t>
      </w:r>
    </w:p>
    <w:p w14:paraId="063B54C6">
      <w:pPr>
        <w:pStyle w:val="4"/>
        <w:numPr>
          <w:ilvl w:val="2"/>
          <w:numId w:val="0"/>
        </w:numPr>
        <w:tabs>
          <w:tab w:val="clear" w:pos="900"/>
        </w:tabs>
        <w:spacing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Cs w:val="21"/>
          <w:highlight w:val="none"/>
        </w:rPr>
        <w:br w:type="page"/>
      </w:r>
      <w:bookmarkStart w:id="274" w:name="_Toc111813250"/>
      <w:bookmarkStart w:id="275" w:name="_Toc529957207"/>
      <w:bookmarkStart w:id="276" w:name="_Toc113569077"/>
      <w:bookmarkStart w:id="277" w:name="_Toc486584255"/>
      <w:r>
        <w:rPr>
          <w:rFonts w:hint="eastAsia" w:asciiTheme="majorEastAsia" w:hAnsiTheme="majorEastAsia" w:eastAsiaTheme="majorEastAsia" w:cstheme="majorEastAsia"/>
          <w:color w:val="auto"/>
          <w:highlight w:val="none"/>
        </w:rPr>
        <w:t>（二）投标分项报价表</w:t>
      </w:r>
      <w:bookmarkEnd w:id="274"/>
      <w:bookmarkEnd w:id="275"/>
      <w:bookmarkEnd w:id="276"/>
      <w:bookmarkEnd w:id="277"/>
    </w:p>
    <w:p w14:paraId="5B1974FB">
      <w:pPr>
        <w:pStyle w:val="132"/>
        <w:autoSpaceDE w:val="0"/>
        <w:autoSpaceDN w:val="0"/>
        <w:adjustRightInd w:val="0"/>
        <w:ind w:firstLine="630" w:firstLineChars="300"/>
        <w:jc w:val="left"/>
        <w:rPr>
          <w:rFonts w:hint="eastAsia" w:asciiTheme="majorEastAsia" w:hAnsiTheme="majorEastAsia" w:eastAsiaTheme="majorEastAsia" w:cstheme="majorEastAsia"/>
          <w:b/>
          <w:color w:val="auto"/>
          <w:kern w:val="0"/>
          <w:szCs w:val="21"/>
          <w:highlight w:val="none"/>
        </w:rPr>
      </w:pPr>
    </w:p>
    <w:p w14:paraId="31AA202C">
      <w:pPr>
        <w:pStyle w:val="132"/>
        <w:autoSpaceDE w:val="0"/>
        <w:autoSpaceDN w:val="0"/>
        <w:adjustRightInd w:val="0"/>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b/>
          <w:color w:val="auto"/>
          <w:kern w:val="0"/>
          <w:szCs w:val="21"/>
          <w:highlight w:val="none"/>
        </w:rPr>
        <w:t>项目名称：</w:t>
      </w:r>
      <w:r>
        <w:rPr>
          <w:rFonts w:hint="eastAsia" w:asciiTheme="majorEastAsia" w:hAnsiTheme="majorEastAsia" w:eastAsiaTheme="majorEastAsia" w:cstheme="majorEastAsia"/>
          <w:b/>
          <w:color w:val="auto"/>
          <w:kern w:val="0"/>
          <w:szCs w:val="21"/>
          <w:highlight w:val="none"/>
          <w:u w:val="single"/>
        </w:rPr>
        <w:t xml:space="preserve">                </w:t>
      </w:r>
      <w:r>
        <w:rPr>
          <w:rFonts w:hint="eastAsia" w:asciiTheme="majorEastAsia" w:hAnsiTheme="majorEastAsia" w:eastAsiaTheme="majorEastAsia" w:cstheme="majorEastAsia"/>
          <w:b w:val="0"/>
          <w:bCs/>
          <w:color w:val="auto"/>
          <w:kern w:val="0"/>
          <w:szCs w:val="21"/>
          <w:highlight w:val="none"/>
          <w:u w:val="single"/>
        </w:rPr>
        <w:t>（标段号）</w:t>
      </w:r>
      <w:r>
        <w:rPr>
          <w:rFonts w:hint="eastAsia" w:asciiTheme="majorEastAsia" w:hAnsiTheme="majorEastAsia" w:eastAsiaTheme="majorEastAsia" w:cstheme="majorEastAsia"/>
          <w:b/>
          <w:color w:val="auto"/>
          <w:kern w:val="0"/>
          <w:szCs w:val="21"/>
          <w:highlight w:val="none"/>
        </w:rPr>
        <w:t xml:space="preserve">                              项目编号：</w:t>
      </w:r>
      <w:r>
        <w:rPr>
          <w:rFonts w:hint="eastAsia" w:asciiTheme="majorEastAsia" w:hAnsiTheme="majorEastAsia" w:eastAsiaTheme="majorEastAsia" w:cstheme="majorEastAsia"/>
          <w:b/>
          <w:color w:val="auto"/>
          <w:kern w:val="0"/>
          <w:szCs w:val="21"/>
          <w:highlight w:val="none"/>
          <w:u w:val="single"/>
        </w:rPr>
        <w:t xml:space="preserve">              </w:t>
      </w:r>
      <w:r>
        <w:rPr>
          <w:rFonts w:hint="eastAsia" w:asciiTheme="majorEastAsia" w:hAnsiTheme="majorEastAsia" w:eastAsiaTheme="majorEastAsia" w:cstheme="majorEastAsia"/>
          <w:color w:val="auto"/>
          <w:szCs w:val="21"/>
          <w:highlight w:val="none"/>
        </w:rPr>
        <w:t xml:space="preserve">   </w:t>
      </w:r>
    </w:p>
    <w:p w14:paraId="3E14E33F">
      <w:pPr>
        <w:pStyle w:val="132"/>
        <w:autoSpaceDE w:val="0"/>
        <w:autoSpaceDN w:val="0"/>
        <w:adjustRightInd w:val="0"/>
        <w:jc w:val="left"/>
        <w:rPr>
          <w:rFonts w:hint="eastAsia" w:asciiTheme="majorEastAsia" w:hAnsiTheme="majorEastAsia" w:eastAsiaTheme="majorEastAsia" w:cstheme="majorEastAsia"/>
          <w:color w:val="auto"/>
          <w:szCs w:val="21"/>
          <w:highlight w:val="none"/>
        </w:rPr>
      </w:pPr>
    </w:p>
    <w:tbl>
      <w:tblPr>
        <w:tblStyle w:val="30"/>
        <w:tblW w:w="997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0"/>
        <w:gridCol w:w="1676"/>
        <w:gridCol w:w="1112"/>
        <w:gridCol w:w="1083"/>
        <w:gridCol w:w="1214"/>
        <w:gridCol w:w="907"/>
        <w:gridCol w:w="1448"/>
        <w:gridCol w:w="1985"/>
      </w:tblGrid>
      <w:tr w14:paraId="07510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trPr>
        <w:tc>
          <w:tcPr>
            <w:tcW w:w="550" w:type="dxa"/>
            <w:noWrap w:val="0"/>
            <w:vAlign w:val="center"/>
          </w:tcPr>
          <w:p w14:paraId="5E258759">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序号</w:t>
            </w:r>
          </w:p>
        </w:tc>
        <w:tc>
          <w:tcPr>
            <w:tcW w:w="1676" w:type="dxa"/>
            <w:noWrap w:val="0"/>
            <w:vAlign w:val="center"/>
          </w:tcPr>
          <w:p w14:paraId="5C3AD46A">
            <w:pPr>
              <w:jc w:val="center"/>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货物名称</w:t>
            </w:r>
          </w:p>
        </w:tc>
        <w:tc>
          <w:tcPr>
            <w:tcW w:w="1112" w:type="dxa"/>
            <w:noWrap w:val="0"/>
            <w:vAlign w:val="center"/>
          </w:tcPr>
          <w:p w14:paraId="5A6A6483">
            <w:pPr>
              <w:jc w:val="center"/>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品牌（规格型号）</w:t>
            </w:r>
          </w:p>
        </w:tc>
        <w:tc>
          <w:tcPr>
            <w:tcW w:w="1083" w:type="dxa"/>
            <w:noWrap w:val="0"/>
            <w:vAlign w:val="center"/>
          </w:tcPr>
          <w:p w14:paraId="0274E2BB">
            <w:pPr>
              <w:jc w:val="center"/>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制造商</w:t>
            </w:r>
          </w:p>
        </w:tc>
        <w:tc>
          <w:tcPr>
            <w:tcW w:w="1214" w:type="dxa"/>
            <w:noWrap w:val="0"/>
            <w:vAlign w:val="center"/>
          </w:tcPr>
          <w:p w14:paraId="416DF5BC">
            <w:pPr>
              <w:jc w:val="center"/>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制造商</w:t>
            </w:r>
            <w:r>
              <w:rPr>
                <w:rFonts w:hint="eastAsia" w:asciiTheme="majorEastAsia" w:hAnsiTheme="majorEastAsia" w:eastAsiaTheme="majorEastAsia" w:cstheme="majorEastAsia"/>
                <w:color w:val="auto"/>
                <w:highlight w:val="none"/>
                <w:lang w:val="en-US" w:eastAsia="zh-CN"/>
              </w:rPr>
              <w:br w:type="textWrapping"/>
            </w:r>
            <w:r>
              <w:rPr>
                <w:rFonts w:hint="eastAsia" w:asciiTheme="majorEastAsia" w:hAnsiTheme="majorEastAsia" w:eastAsiaTheme="majorEastAsia" w:cstheme="majorEastAsia"/>
                <w:color w:val="auto"/>
                <w:highlight w:val="none"/>
                <w:lang w:val="en-US" w:eastAsia="zh-CN"/>
              </w:rPr>
              <w:t>规模</w:t>
            </w:r>
          </w:p>
        </w:tc>
        <w:tc>
          <w:tcPr>
            <w:tcW w:w="907" w:type="dxa"/>
            <w:noWrap w:val="0"/>
            <w:vAlign w:val="center"/>
          </w:tcPr>
          <w:p w14:paraId="6E9D8F9A">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数量</w:t>
            </w:r>
          </w:p>
        </w:tc>
        <w:tc>
          <w:tcPr>
            <w:tcW w:w="1448" w:type="dxa"/>
            <w:noWrap w:val="0"/>
            <w:vAlign w:val="center"/>
          </w:tcPr>
          <w:p w14:paraId="4EFD0479">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单价（元）</w:t>
            </w:r>
          </w:p>
        </w:tc>
        <w:tc>
          <w:tcPr>
            <w:tcW w:w="1985" w:type="dxa"/>
            <w:noWrap w:val="0"/>
            <w:vAlign w:val="center"/>
          </w:tcPr>
          <w:p w14:paraId="351F9A3C">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总价（元）</w:t>
            </w:r>
          </w:p>
        </w:tc>
      </w:tr>
      <w:tr w14:paraId="26FE9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550" w:type="dxa"/>
            <w:noWrap w:val="0"/>
            <w:vAlign w:val="center"/>
          </w:tcPr>
          <w:p w14:paraId="2939B50D">
            <w:pPr>
              <w:spacing w:line="48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w:t>
            </w:r>
          </w:p>
        </w:tc>
        <w:tc>
          <w:tcPr>
            <w:tcW w:w="1676" w:type="dxa"/>
            <w:noWrap w:val="0"/>
            <w:vAlign w:val="center"/>
          </w:tcPr>
          <w:p w14:paraId="4507B961">
            <w:pPr>
              <w:spacing w:line="480" w:lineRule="auto"/>
              <w:jc w:val="center"/>
              <w:rPr>
                <w:rFonts w:hint="eastAsia" w:asciiTheme="majorEastAsia" w:hAnsiTheme="majorEastAsia" w:eastAsiaTheme="majorEastAsia" w:cstheme="majorEastAsia"/>
                <w:color w:val="auto"/>
                <w:szCs w:val="21"/>
                <w:highlight w:val="none"/>
              </w:rPr>
            </w:pPr>
          </w:p>
        </w:tc>
        <w:tc>
          <w:tcPr>
            <w:tcW w:w="1112" w:type="dxa"/>
            <w:noWrap w:val="0"/>
            <w:vAlign w:val="center"/>
          </w:tcPr>
          <w:p w14:paraId="0C1AA9D8">
            <w:pPr>
              <w:spacing w:line="480" w:lineRule="auto"/>
              <w:jc w:val="center"/>
              <w:rPr>
                <w:rFonts w:hint="eastAsia" w:asciiTheme="majorEastAsia" w:hAnsiTheme="majorEastAsia" w:eastAsiaTheme="majorEastAsia" w:cstheme="majorEastAsia"/>
                <w:color w:val="auto"/>
                <w:szCs w:val="21"/>
                <w:highlight w:val="none"/>
              </w:rPr>
            </w:pPr>
          </w:p>
        </w:tc>
        <w:tc>
          <w:tcPr>
            <w:tcW w:w="1083" w:type="dxa"/>
            <w:noWrap w:val="0"/>
            <w:vAlign w:val="center"/>
          </w:tcPr>
          <w:p w14:paraId="1B8DA268">
            <w:pPr>
              <w:spacing w:line="480" w:lineRule="auto"/>
              <w:jc w:val="center"/>
              <w:rPr>
                <w:rFonts w:hint="eastAsia" w:asciiTheme="majorEastAsia" w:hAnsiTheme="majorEastAsia" w:eastAsiaTheme="majorEastAsia" w:cstheme="majorEastAsia"/>
                <w:color w:val="auto"/>
                <w:szCs w:val="21"/>
                <w:highlight w:val="none"/>
              </w:rPr>
            </w:pPr>
          </w:p>
        </w:tc>
        <w:tc>
          <w:tcPr>
            <w:tcW w:w="1214" w:type="dxa"/>
            <w:noWrap w:val="0"/>
            <w:vAlign w:val="center"/>
          </w:tcPr>
          <w:p w14:paraId="53CEB376">
            <w:pPr>
              <w:spacing w:line="480" w:lineRule="auto"/>
              <w:jc w:val="center"/>
              <w:rPr>
                <w:rFonts w:hint="eastAsia" w:asciiTheme="majorEastAsia" w:hAnsiTheme="majorEastAsia" w:eastAsiaTheme="majorEastAsia" w:cstheme="majorEastAsia"/>
                <w:color w:val="auto"/>
                <w:szCs w:val="21"/>
                <w:highlight w:val="none"/>
              </w:rPr>
            </w:pPr>
          </w:p>
        </w:tc>
        <w:tc>
          <w:tcPr>
            <w:tcW w:w="907" w:type="dxa"/>
            <w:noWrap w:val="0"/>
            <w:vAlign w:val="center"/>
          </w:tcPr>
          <w:p w14:paraId="7C91E84B">
            <w:pPr>
              <w:spacing w:line="480" w:lineRule="auto"/>
              <w:jc w:val="center"/>
              <w:rPr>
                <w:rFonts w:hint="eastAsia" w:asciiTheme="majorEastAsia" w:hAnsiTheme="majorEastAsia" w:eastAsiaTheme="majorEastAsia" w:cstheme="majorEastAsia"/>
                <w:color w:val="auto"/>
                <w:szCs w:val="21"/>
                <w:highlight w:val="none"/>
              </w:rPr>
            </w:pPr>
          </w:p>
        </w:tc>
        <w:tc>
          <w:tcPr>
            <w:tcW w:w="1448" w:type="dxa"/>
            <w:noWrap w:val="0"/>
            <w:vAlign w:val="center"/>
          </w:tcPr>
          <w:p w14:paraId="42408112">
            <w:pPr>
              <w:spacing w:line="480" w:lineRule="auto"/>
              <w:jc w:val="center"/>
              <w:rPr>
                <w:rFonts w:hint="eastAsia" w:asciiTheme="majorEastAsia" w:hAnsiTheme="majorEastAsia" w:eastAsiaTheme="majorEastAsia" w:cstheme="majorEastAsia"/>
                <w:color w:val="auto"/>
                <w:szCs w:val="21"/>
                <w:highlight w:val="none"/>
              </w:rPr>
            </w:pPr>
          </w:p>
        </w:tc>
        <w:tc>
          <w:tcPr>
            <w:tcW w:w="1985" w:type="dxa"/>
            <w:noWrap w:val="0"/>
            <w:vAlign w:val="center"/>
          </w:tcPr>
          <w:p w14:paraId="78776AD0">
            <w:pPr>
              <w:spacing w:line="480" w:lineRule="auto"/>
              <w:jc w:val="center"/>
              <w:rPr>
                <w:rFonts w:hint="eastAsia" w:asciiTheme="majorEastAsia" w:hAnsiTheme="majorEastAsia" w:eastAsiaTheme="majorEastAsia" w:cstheme="majorEastAsia"/>
                <w:color w:val="auto"/>
                <w:szCs w:val="21"/>
                <w:highlight w:val="none"/>
              </w:rPr>
            </w:pPr>
          </w:p>
        </w:tc>
      </w:tr>
      <w:tr w14:paraId="0C3AE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50" w:type="dxa"/>
            <w:noWrap w:val="0"/>
            <w:vAlign w:val="center"/>
          </w:tcPr>
          <w:p w14:paraId="51D4AA31">
            <w:pPr>
              <w:spacing w:line="48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2</w:t>
            </w:r>
          </w:p>
        </w:tc>
        <w:tc>
          <w:tcPr>
            <w:tcW w:w="1676" w:type="dxa"/>
            <w:noWrap w:val="0"/>
            <w:vAlign w:val="center"/>
          </w:tcPr>
          <w:p w14:paraId="282B14D2">
            <w:pPr>
              <w:spacing w:line="480" w:lineRule="auto"/>
              <w:jc w:val="center"/>
              <w:rPr>
                <w:rFonts w:hint="eastAsia" w:asciiTheme="majorEastAsia" w:hAnsiTheme="majorEastAsia" w:eastAsiaTheme="majorEastAsia" w:cstheme="majorEastAsia"/>
                <w:color w:val="auto"/>
                <w:szCs w:val="21"/>
                <w:highlight w:val="none"/>
              </w:rPr>
            </w:pPr>
          </w:p>
        </w:tc>
        <w:tc>
          <w:tcPr>
            <w:tcW w:w="1112" w:type="dxa"/>
            <w:noWrap w:val="0"/>
            <w:vAlign w:val="center"/>
          </w:tcPr>
          <w:p w14:paraId="39759AE6">
            <w:pPr>
              <w:spacing w:line="480" w:lineRule="auto"/>
              <w:jc w:val="center"/>
              <w:rPr>
                <w:rFonts w:hint="eastAsia" w:asciiTheme="majorEastAsia" w:hAnsiTheme="majorEastAsia" w:eastAsiaTheme="majorEastAsia" w:cstheme="majorEastAsia"/>
                <w:color w:val="auto"/>
                <w:szCs w:val="21"/>
                <w:highlight w:val="none"/>
              </w:rPr>
            </w:pPr>
          </w:p>
        </w:tc>
        <w:tc>
          <w:tcPr>
            <w:tcW w:w="1083" w:type="dxa"/>
            <w:noWrap w:val="0"/>
            <w:vAlign w:val="center"/>
          </w:tcPr>
          <w:p w14:paraId="0910666A">
            <w:pPr>
              <w:spacing w:line="480" w:lineRule="auto"/>
              <w:jc w:val="center"/>
              <w:rPr>
                <w:rFonts w:hint="eastAsia" w:asciiTheme="majorEastAsia" w:hAnsiTheme="majorEastAsia" w:eastAsiaTheme="majorEastAsia" w:cstheme="majorEastAsia"/>
                <w:color w:val="auto"/>
                <w:szCs w:val="21"/>
                <w:highlight w:val="none"/>
              </w:rPr>
            </w:pPr>
          </w:p>
        </w:tc>
        <w:tc>
          <w:tcPr>
            <w:tcW w:w="1214" w:type="dxa"/>
            <w:noWrap w:val="0"/>
            <w:vAlign w:val="center"/>
          </w:tcPr>
          <w:p w14:paraId="2CFEBD3E">
            <w:pPr>
              <w:spacing w:line="480" w:lineRule="auto"/>
              <w:jc w:val="center"/>
              <w:rPr>
                <w:rFonts w:hint="eastAsia" w:asciiTheme="majorEastAsia" w:hAnsiTheme="majorEastAsia" w:eastAsiaTheme="majorEastAsia" w:cstheme="majorEastAsia"/>
                <w:color w:val="auto"/>
                <w:szCs w:val="21"/>
                <w:highlight w:val="none"/>
              </w:rPr>
            </w:pPr>
          </w:p>
        </w:tc>
        <w:tc>
          <w:tcPr>
            <w:tcW w:w="907" w:type="dxa"/>
            <w:noWrap w:val="0"/>
            <w:vAlign w:val="center"/>
          </w:tcPr>
          <w:p w14:paraId="7015DBFF">
            <w:pPr>
              <w:spacing w:line="480" w:lineRule="auto"/>
              <w:jc w:val="center"/>
              <w:rPr>
                <w:rFonts w:hint="eastAsia" w:asciiTheme="majorEastAsia" w:hAnsiTheme="majorEastAsia" w:eastAsiaTheme="majorEastAsia" w:cstheme="majorEastAsia"/>
                <w:color w:val="auto"/>
                <w:szCs w:val="21"/>
                <w:highlight w:val="none"/>
              </w:rPr>
            </w:pPr>
          </w:p>
        </w:tc>
        <w:tc>
          <w:tcPr>
            <w:tcW w:w="1448" w:type="dxa"/>
            <w:noWrap w:val="0"/>
            <w:vAlign w:val="center"/>
          </w:tcPr>
          <w:p w14:paraId="107F05CA">
            <w:pPr>
              <w:spacing w:line="480" w:lineRule="auto"/>
              <w:jc w:val="center"/>
              <w:rPr>
                <w:rFonts w:hint="eastAsia" w:asciiTheme="majorEastAsia" w:hAnsiTheme="majorEastAsia" w:eastAsiaTheme="majorEastAsia" w:cstheme="majorEastAsia"/>
                <w:color w:val="auto"/>
                <w:szCs w:val="21"/>
                <w:highlight w:val="none"/>
              </w:rPr>
            </w:pPr>
          </w:p>
        </w:tc>
        <w:tc>
          <w:tcPr>
            <w:tcW w:w="1985" w:type="dxa"/>
            <w:noWrap w:val="0"/>
            <w:vAlign w:val="center"/>
          </w:tcPr>
          <w:p w14:paraId="1F885A14">
            <w:pPr>
              <w:spacing w:line="480" w:lineRule="auto"/>
              <w:jc w:val="center"/>
              <w:rPr>
                <w:rFonts w:hint="eastAsia" w:asciiTheme="majorEastAsia" w:hAnsiTheme="majorEastAsia" w:eastAsiaTheme="majorEastAsia" w:cstheme="majorEastAsia"/>
                <w:color w:val="auto"/>
                <w:szCs w:val="21"/>
                <w:highlight w:val="none"/>
              </w:rPr>
            </w:pPr>
          </w:p>
        </w:tc>
      </w:tr>
      <w:tr w14:paraId="48A1F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550" w:type="dxa"/>
            <w:noWrap w:val="0"/>
            <w:vAlign w:val="center"/>
          </w:tcPr>
          <w:p w14:paraId="3DF221E0">
            <w:pPr>
              <w:spacing w:line="48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3</w:t>
            </w:r>
          </w:p>
        </w:tc>
        <w:tc>
          <w:tcPr>
            <w:tcW w:w="1676" w:type="dxa"/>
            <w:noWrap w:val="0"/>
            <w:vAlign w:val="center"/>
          </w:tcPr>
          <w:p w14:paraId="45AC0106">
            <w:pPr>
              <w:spacing w:line="480" w:lineRule="auto"/>
              <w:jc w:val="center"/>
              <w:rPr>
                <w:rFonts w:hint="eastAsia" w:asciiTheme="majorEastAsia" w:hAnsiTheme="majorEastAsia" w:eastAsiaTheme="majorEastAsia" w:cstheme="majorEastAsia"/>
                <w:color w:val="auto"/>
                <w:szCs w:val="21"/>
                <w:highlight w:val="none"/>
              </w:rPr>
            </w:pPr>
          </w:p>
        </w:tc>
        <w:tc>
          <w:tcPr>
            <w:tcW w:w="1112" w:type="dxa"/>
            <w:noWrap w:val="0"/>
            <w:vAlign w:val="center"/>
          </w:tcPr>
          <w:p w14:paraId="2BB7F3A4">
            <w:pPr>
              <w:spacing w:line="480" w:lineRule="auto"/>
              <w:jc w:val="center"/>
              <w:rPr>
                <w:rFonts w:hint="eastAsia" w:asciiTheme="majorEastAsia" w:hAnsiTheme="majorEastAsia" w:eastAsiaTheme="majorEastAsia" w:cstheme="majorEastAsia"/>
                <w:color w:val="auto"/>
                <w:szCs w:val="21"/>
                <w:highlight w:val="none"/>
              </w:rPr>
            </w:pPr>
          </w:p>
        </w:tc>
        <w:tc>
          <w:tcPr>
            <w:tcW w:w="1083" w:type="dxa"/>
            <w:noWrap w:val="0"/>
            <w:vAlign w:val="center"/>
          </w:tcPr>
          <w:p w14:paraId="16BF66E0">
            <w:pPr>
              <w:spacing w:line="480" w:lineRule="auto"/>
              <w:jc w:val="center"/>
              <w:rPr>
                <w:rFonts w:hint="eastAsia" w:asciiTheme="majorEastAsia" w:hAnsiTheme="majorEastAsia" w:eastAsiaTheme="majorEastAsia" w:cstheme="majorEastAsia"/>
                <w:color w:val="auto"/>
                <w:szCs w:val="21"/>
                <w:highlight w:val="none"/>
              </w:rPr>
            </w:pPr>
          </w:p>
        </w:tc>
        <w:tc>
          <w:tcPr>
            <w:tcW w:w="1214" w:type="dxa"/>
            <w:noWrap w:val="0"/>
            <w:vAlign w:val="center"/>
          </w:tcPr>
          <w:p w14:paraId="7AEF13DB">
            <w:pPr>
              <w:spacing w:line="480" w:lineRule="auto"/>
              <w:jc w:val="center"/>
              <w:rPr>
                <w:rFonts w:hint="eastAsia" w:asciiTheme="majorEastAsia" w:hAnsiTheme="majorEastAsia" w:eastAsiaTheme="majorEastAsia" w:cstheme="majorEastAsia"/>
                <w:color w:val="auto"/>
                <w:szCs w:val="21"/>
                <w:highlight w:val="none"/>
              </w:rPr>
            </w:pPr>
          </w:p>
        </w:tc>
        <w:tc>
          <w:tcPr>
            <w:tcW w:w="907" w:type="dxa"/>
            <w:noWrap w:val="0"/>
            <w:vAlign w:val="center"/>
          </w:tcPr>
          <w:p w14:paraId="578F999F">
            <w:pPr>
              <w:spacing w:line="480" w:lineRule="auto"/>
              <w:jc w:val="center"/>
              <w:rPr>
                <w:rFonts w:hint="eastAsia" w:asciiTheme="majorEastAsia" w:hAnsiTheme="majorEastAsia" w:eastAsiaTheme="majorEastAsia" w:cstheme="majorEastAsia"/>
                <w:color w:val="auto"/>
                <w:szCs w:val="21"/>
                <w:highlight w:val="none"/>
              </w:rPr>
            </w:pPr>
          </w:p>
        </w:tc>
        <w:tc>
          <w:tcPr>
            <w:tcW w:w="1448" w:type="dxa"/>
            <w:noWrap w:val="0"/>
            <w:vAlign w:val="center"/>
          </w:tcPr>
          <w:p w14:paraId="3E436866">
            <w:pPr>
              <w:spacing w:line="480" w:lineRule="auto"/>
              <w:jc w:val="center"/>
              <w:rPr>
                <w:rFonts w:hint="eastAsia" w:asciiTheme="majorEastAsia" w:hAnsiTheme="majorEastAsia" w:eastAsiaTheme="majorEastAsia" w:cstheme="majorEastAsia"/>
                <w:color w:val="auto"/>
                <w:szCs w:val="21"/>
                <w:highlight w:val="none"/>
              </w:rPr>
            </w:pPr>
          </w:p>
        </w:tc>
        <w:tc>
          <w:tcPr>
            <w:tcW w:w="1985" w:type="dxa"/>
            <w:noWrap w:val="0"/>
            <w:vAlign w:val="center"/>
          </w:tcPr>
          <w:p w14:paraId="207A8D26">
            <w:pPr>
              <w:spacing w:line="480" w:lineRule="auto"/>
              <w:jc w:val="center"/>
              <w:rPr>
                <w:rFonts w:hint="eastAsia" w:asciiTheme="majorEastAsia" w:hAnsiTheme="majorEastAsia" w:eastAsiaTheme="majorEastAsia" w:cstheme="majorEastAsia"/>
                <w:color w:val="auto"/>
                <w:szCs w:val="21"/>
                <w:highlight w:val="none"/>
              </w:rPr>
            </w:pPr>
          </w:p>
        </w:tc>
      </w:tr>
      <w:tr w14:paraId="5D36D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550" w:type="dxa"/>
            <w:noWrap w:val="0"/>
            <w:vAlign w:val="center"/>
          </w:tcPr>
          <w:p w14:paraId="390DE864">
            <w:pPr>
              <w:spacing w:line="48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4</w:t>
            </w:r>
          </w:p>
        </w:tc>
        <w:tc>
          <w:tcPr>
            <w:tcW w:w="1676" w:type="dxa"/>
            <w:noWrap w:val="0"/>
            <w:vAlign w:val="center"/>
          </w:tcPr>
          <w:p w14:paraId="49B0E79A">
            <w:pPr>
              <w:spacing w:line="480" w:lineRule="auto"/>
              <w:jc w:val="center"/>
              <w:rPr>
                <w:rFonts w:hint="eastAsia" w:asciiTheme="majorEastAsia" w:hAnsiTheme="majorEastAsia" w:eastAsiaTheme="majorEastAsia" w:cstheme="majorEastAsia"/>
                <w:color w:val="auto"/>
                <w:szCs w:val="21"/>
                <w:highlight w:val="none"/>
              </w:rPr>
            </w:pPr>
          </w:p>
        </w:tc>
        <w:tc>
          <w:tcPr>
            <w:tcW w:w="1112" w:type="dxa"/>
            <w:noWrap w:val="0"/>
            <w:vAlign w:val="center"/>
          </w:tcPr>
          <w:p w14:paraId="3E0C3910">
            <w:pPr>
              <w:spacing w:line="480" w:lineRule="auto"/>
              <w:jc w:val="center"/>
              <w:rPr>
                <w:rFonts w:hint="eastAsia" w:asciiTheme="majorEastAsia" w:hAnsiTheme="majorEastAsia" w:eastAsiaTheme="majorEastAsia" w:cstheme="majorEastAsia"/>
                <w:color w:val="auto"/>
                <w:szCs w:val="21"/>
                <w:highlight w:val="none"/>
              </w:rPr>
            </w:pPr>
          </w:p>
        </w:tc>
        <w:tc>
          <w:tcPr>
            <w:tcW w:w="1083" w:type="dxa"/>
            <w:noWrap w:val="0"/>
            <w:vAlign w:val="center"/>
          </w:tcPr>
          <w:p w14:paraId="03592C3A">
            <w:pPr>
              <w:spacing w:line="480" w:lineRule="auto"/>
              <w:jc w:val="center"/>
              <w:rPr>
                <w:rFonts w:hint="eastAsia" w:asciiTheme="majorEastAsia" w:hAnsiTheme="majorEastAsia" w:eastAsiaTheme="majorEastAsia" w:cstheme="majorEastAsia"/>
                <w:color w:val="auto"/>
                <w:szCs w:val="21"/>
                <w:highlight w:val="none"/>
              </w:rPr>
            </w:pPr>
          </w:p>
        </w:tc>
        <w:tc>
          <w:tcPr>
            <w:tcW w:w="1214" w:type="dxa"/>
            <w:noWrap w:val="0"/>
            <w:vAlign w:val="center"/>
          </w:tcPr>
          <w:p w14:paraId="21F0CBE9">
            <w:pPr>
              <w:spacing w:line="480" w:lineRule="auto"/>
              <w:jc w:val="center"/>
              <w:rPr>
                <w:rFonts w:hint="eastAsia" w:asciiTheme="majorEastAsia" w:hAnsiTheme="majorEastAsia" w:eastAsiaTheme="majorEastAsia" w:cstheme="majorEastAsia"/>
                <w:color w:val="auto"/>
                <w:szCs w:val="21"/>
                <w:highlight w:val="none"/>
              </w:rPr>
            </w:pPr>
          </w:p>
        </w:tc>
        <w:tc>
          <w:tcPr>
            <w:tcW w:w="907" w:type="dxa"/>
            <w:noWrap w:val="0"/>
            <w:vAlign w:val="center"/>
          </w:tcPr>
          <w:p w14:paraId="42B060CB">
            <w:pPr>
              <w:spacing w:line="480" w:lineRule="auto"/>
              <w:jc w:val="center"/>
              <w:rPr>
                <w:rFonts w:hint="eastAsia" w:asciiTheme="majorEastAsia" w:hAnsiTheme="majorEastAsia" w:eastAsiaTheme="majorEastAsia" w:cstheme="majorEastAsia"/>
                <w:color w:val="auto"/>
                <w:szCs w:val="21"/>
                <w:highlight w:val="none"/>
              </w:rPr>
            </w:pPr>
          </w:p>
        </w:tc>
        <w:tc>
          <w:tcPr>
            <w:tcW w:w="1448" w:type="dxa"/>
            <w:noWrap w:val="0"/>
            <w:vAlign w:val="center"/>
          </w:tcPr>
          <w:p w14:paraId="3C42787F">
            <w:pPr>
              <w:spacing w:line="480" w:lineRule="auto"/>
              <w:jc w:val="center"/>
              <w:rPr>
                <w:rFonts w:hint="eastAsia" w:asciiTheme="majorEastAsia" w:hAnsiTheme="majorEastAsia" w:eastAsiaTheme="majorEastAsia" w:cstheme="majorEastAsia"/>
                <w:color w:val="auto"/>
                <w:szCs w:val="21"/>
                <w:highlight w:val="none"/>
              </w:rPr>
            </w:pPr>
          </w:p>
        </w:tc>
        <w:tc>
          <w:tcPr>
            <w:tcW w:w="1985" w:type="dxa"/>
            <w:noWrap w:val="0"/>
            <w:vAlign w:val="center"/>
          </w:tcPr>
          <w:p w14:paraId="1CC7EE49">
            <w:pPr>
              <w:spacing w:line="480" w:lineRule="auto"/>
              <w:jc w:val="center"/>
              <w:rPr>
                <w:rFonts w:hint="eastAsia" w:asciiTheme="majorEastAsia" w:hAnsiTheme="majorEastAsia" w:eastAsiaTheme="majorEastAsia" w:cstheme="majorEastAsia"/>
                <w:color w:val="auto"/>
                <w:szCs w:val="21"/>
                <w:highlight w:val="none"/>
              </w:rPr>
            </w:pPr>
          </w:p>
        </w:tc>
      </w:tr>
      <w:tr w14:paraId="181D0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7990" w:type="dxa"/>
            <w:gridSpan w:val="7"/>
            <w:noWrap w:val="0"/>
            <w:vAlign w:val="center"/>
          </w:tcPr>
          <w:p w14:paraId="56E3FFB4">
            <w:pPr>
              <w:spacing w:line="48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合计</w:t>
            </w:r>
          </w:p>
        </w:tc>
        <w:tc>
          <w:tcPr>
            <w:tcW w:w="1985" w:type="dxa"/>
            <w:noWrap w:val="0"/>
            <w:vAlign w:val="center"/>
          </w:tcPr>
          <w:p w14:paraId="3BEE7D6C">
            <w:pPr>
              <w:spacing w:line="480" w:lineRule="auto"/>
              <w:jc w:val="center"/>
              <w:rPr>
                <w:rFonts w:hint="eastAsia" w:asciiTheme="majorEastAsia" w:hAnsiTheme="majorEastAsia" w:eastAsiaTheme="majorEastAsia" w:cstheme="majorEastAsia"/>
                <w:color w:val="auto"/>
                <w:szCs w:val="21"/>
                <w:highlight w:val="none"/>
              </w:rPr>
            </w:pPr>
          </w:p>
        </w:tc>
      </w:tr>
    </w:tbl>
    <w:p w14:paraId="02FC7A1B">
      <w:pPr>
        <w:pStyle w:val="132"/>
        <w:spacing w:line="360" w:lineRule="auto"/>
        <w:ind w:firstLine="2" w:firstLineChars="1"/>
        <w:rPr>
          <w:rFonts w:hint="eastAsia" w:asciiTheme="majorEastAsia" w:hAnsiTheme="majorEastAsia" w:eastAsiaTheme="majorEastAsia" w:cstheme="majorEastAsia"/>
          <w:b/>
          <w:color w:val="auto"/>
          <w:sz w:val="20"/>
          <w:szCs w:val="21"/>
          <w:highlight w:val="none"/>
        </w:rPr>
      </w:pPr>
      <w:r>
        <w:rPr>
          <w:rFonts w:hint="eastAsia" w:asciiTheme="majorEastAsia" w:hAnsiTheme="majorEastAsia" w:eastAsiaTheme="majorEastAsia" w:cstheme="majorEastAsia"/>
          <w:b/>
          <w:color w:val="auto"/>
          <w:sz w:val="20"/>
          <w:szCs w:val="21"/>
          <w:highlight w:val="none"/>
        </w:rPr>
        <w:t>注：</w:t>
      </w:r>
    </w:p>
    <w:p w14:paraId="5C041643">
      <w:pPr>
        <w:pStyle w:val="132"/>
        <w:spacing w:line="360" w:lineRule="auto"/>
        <w:ind w:firstLine="2" w:firstLineChars="1"/>
        <w:rPr>
          <w:rFonts w:hint="eastAsia" w:asciiTheme="majorEastAsia" w:hAnsiTheme="majorEastAsia" w:eastAsiaTheme="majorEastAsia" w:cstheme="majorEastAsia"/>
          <w:b/>
          <w:color w:val="auto"/>
          <w:sz w:val="20"/>
          <w:szCs w:val="21"/>
          <w:highlight w:val="none"/>
        </w:rPr>
      </w:pPr>
      <w:r>
        <w:rPr>
          <w:rFonts w:hint="eastAsia" w:asciiTheme="majorEastAsia" w:hAnsiTheme="majorEastAsia" w:eastAsiaTheme="majorEastAsia" w:cstheme="majorEastAsia"/>
          <w:b/>
          <w:color w:val="auto"/>
          <w:sz w:val="20"/>
          <w:szCs w:val="21"/>
          <w:highlight w:val="none"/>
        </w:rPr>
        <w:t>1、此表中“合计”不能超过“第</w:t>
      </w:r>
      <w:r>
        <w:rPr>
          <w:rFonts w:hint="eastAsia" w:asciiTheme="majorEastAsia" w:hAnsiTheme="majorEastAsia" w:eastAsiaTheme="majorEastAsia" w:cstheme="majorEastAsia"/>
          <w:b/>
          <w:color w:val="auto"/>
          <w:sz w:val="20"/>
          <w:szCs w:val="21"/>
          <w:highlight w:val="none"/>
          <w:lang w:val="en-US" w:eastAsia="zh-CN"/>
        </w:rPr>
        <w:t>五</w:t>
      </w:r>
      <w:r>
        <w:rPr>
          <w:rFonts w:hint="eastAsia" w:asciiTheme="majorEastAsia" w:hAnsiTheme="majorEastAsia" w:eastAsiaTheme="majorEastAsia" w:cstheme="majorEastAsia"/>
          <w:b/>
          <w:color w:val="auto"/>
          <w:sz w:val="20"/>
          <w:szCs w:val="21"/>
          <w:highlight w:val="none"/>
        </w:rPr>
        <w:t>章采购服务需求及技术要求”中规定的最高限价及单价最高限价。</w:t>
      </w:r>
    </w:p>
    <w:p w14:paraId="43725A42">
      <w:pPr>
        <w:pStyle w:val="132"/>
        <w:spacing w:line="360" w:lineRule="auto"/>
        <w:ind w:firstLine="2" w:firstLineChars="1"/>
        <w:rPr>
          <w:rFonts w:hint="eastAsia" w:asciiTheme="majorEastAsia" w:hAnsiTheme="majorEastAsia" w:eastAsiaTheme="majorEastAsia" w:cstheme="majorEastAsia"/>
          <w:b/>
          <w:color w:val="auto"/>
          <w:sz w:val="20"/>
          <w:szCs w:val="21"/>
          <w:highlight w:val="none"/>
        </w:rPr>
      </w:pPr>
      <w:r>
        <w:rPr>
          <w:rFonts w:hint="eastAsia" w:asciiTheme="majorEastAsia" w:hAnsiTheme="majorEastAsia" w:eastAsiaTheme="majorEastAsia" w:cstheme="majorEastAsia"/>
          <w:b/>
          <w:color w:val="auto"/>
          <w:sz w:val="20"/>
          <w:szCs w:val="21"/>
          <w:highlight w:val="none"/>
        </w:rPr>
        <w:t>2、此表中 “合计”应与“开标一览表”中投标总价的价格保持一致。</w:t>
      </w:r>
    </w:p>
    <w:p w14:paraId="355875BA">
      <w:pPr>
        <w:pStyle w:val="132"/>
        <w:spacing w:line="360" w:lineRule="auto"/>
        <w:ind w:firstLine="2" w:firstLineChars="1"/>
        <w:rPr>
          <w:rFonts w:hint="eastAsia" w:asciiTheme="majorEastAsia" w:hAnsiTheme="majorEastAsia" w:eastAsiaTheme="majorEastAsia" w:cstheme="majorEastAsia"/>
          <w:b/>
          <w:color w:val="auto"/>
          <w:sz w:val="20"/>
          <w:szCs w:val="21"/>
          <w:highlight w:val="none"/>
        </w:rPr>
      </w:pPr>
      <w:r>
        <w:rPr>
          <w:rFonts w:hint="eastAsia" w:asciiTheme="majorEastAsia" w:hAnsiTheme="majorEastAsia" w:eastAsiaTheme="majorEastAsia" w:cstheme="majorEastAsia"/>
          <w:b/>
          <w:color w:val="auto"/>
          <w:sz w:val="20"/>
          <w:szCs w:val="21"/>
          <w:highlight w:val="none"/>
        </w:rPr>
        <w:t>3、如果不提供详细投标分项报价表将视为非实质性响应招标文件。</w:t>
      </w:r>
    </w:p>
    <w:p w14:paraId="7E557E4A">
      <w:pPr>
        <w:pStyle w:val="132"/>
        <w:spacing w:line="360" w:lineRule="auto"/>
        <w:ind w:firstLine="2" w:firstLineChars="1"/>
        <w:rPr>
          <w:rFonts w:hint="eastAsia" w:asciiTheme="majorEastAsia" w:hAnsiTheme="majorEastAsia" w:eastAsiaTheme="majorEastAsia" w:cstheme="majorEastAsia"/>
          <w:b/>
          <w:color w:val="auto"/>
          <w:sz w:val="20"/>
          <w:szCs w:val="21"/>
          <w:highlight w:val="none"/>
          <w:lang w:val="en-US" w:eastAsia="zh-CN"/>
        </w:rPr>
      </w:pPr>
      <w:r>
        <w:rPr>
          <w:rFonts w:hint="eastAsia" w:asciiTheme="majorEastAsia" w:hAnsiTheme="majorEastAsia" w:eastAsiaTheme="majorEastAsia" w:cstheme="majorEastAsia"/>
          <w:b/>
          <w:color w:val="auto"/>
          <w:sz w:val="20"/>
          <w:szCs w:val="21"/>
          <w:highlight w:val="none"/>
          <w:lang w:val="en-US" w:eastAsia="zh-CN"/>
        </w:rPr>
        <w:t>4、“制造商规模”应如实填写“中型企业”或“小型企业”或“微型企业”或“残疾人福利性单位” 或“监狱企业”或“其他”，并按招标文件要求提供《中小企业声明函》。本项填报的制造商规模应与《中小企业声明函》中的规模一致，若出现内容矛盾或前后不一致的，以《中小企业声明函》为准。</w:t>
      </w:r>
    </w:p>
    <w:p w14:paraId="16095221">
      <w:pPr>
        <w:spacing w:line="380" w:lineRule="exact"/>
        <w:rPr>
          <w:rFonts w:hint="eastAsia" w:asciiTheme="majorEastAsia" w:hAnsiTheme="majorEastAsia" w:eastAsiaTheme="majorEastAsia" w:cstheme="majorEastAsia"/>
          <w:b/>
          <w:color w:val="auto"/>
          <w:sz w:val="20"/>
          <w:szCs w:val="21"/>
          <w:highlight w:val="none"/>
        </w:rPr>
      </w:pPr>
      <w:r>
        <w:rPr>
          <w:rFonts w:hint="eastAsia" w:asciiTheme="majorEastAsia" w:hAnsiTheme="majorEastAsia" w:eastAsiaTheme="majorEastAsia" w:cstheme="majorEastAsia"/>
          <w:b/>
          <w:color w:val="auto"/>
          <w:sz w:val="20"/>
          <w:szCs w:val="21"/>
          <w:highlight w:val="none"/>
          <w:lang w:val="en-US" w:eastAsia="zh-CN"/>
        </w:rPr>
        <w:t>5、</w:t>
      </w:r>
      <w:r>
        <w:rPr>
          <w:rFonts w:hint="eastAsia" w:asciiTheme="majorEastAsia" w:hAnsiTheme="majorEastAsia" w:eastAsiaTheme="majorEastAsia" w:cstheme="majorEastAsia"/>
          <w:b/>
          <w:color w:val="auto"/>
          <w:kern w:val="2"/>
          <w:sz w:val="20"/>
          <w:szCs w:val="21"/>
          <w:highlight w:val="none"/>
          <w:lang w:val="en-US" w:eastAsia="zh-CN" w:bidi="ar-SA"/>
        </w:rPr>
        <w:t>投标报价合理性内容包含但不限于：提供近三年内完成的类似项目的项目合同、发票、验收证明、当时的投标报价及分项报价表；所提供的分项报价表和成本分析表，应能说明设备硬件、软件、税费、运输安装、调试、售后、人工、管理费、利润等证明采购单价的合理性及竞争优势的来源等相关资料的影印件或复印件，并提供《报价合理性说明函》（格式自拟）。若投标报价出现异常低价，评标委员会将参照《政府采购货物和服务招标投标管理办法》第六十条规定启动异常低价投标（响应）审查，供应商所提供的书面说明、证明材料不能证明其报价合理性的，评标委员会应当将其作为无效投标处理。</w:t>
      </w:r>
    </w:p>
    <w:p w14:paraId="2C5DC041">
      <w:pPr>
        <w:spacing w:before="60" w:after="60" w:line="48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投标人全称</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加盖电子公章</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w:t>
      </w:r>
      <w:r>
        <w:rPr>
          <w:rFonts w:hint="eastAsia" w:asciiTheme="majorEastAsia" w:hAnsiTheme="majorEastAsia" w:eastAsiaTheme="majorEastAsia" w:cstheme="majorEastAsia"/>
          <w:color w:val="auto"/>
          <w:szCs w:val="21"/>
          <w:highlight w:val="none"/>
          <w:u w:val="single"/>
        </w:rPr>
        <w:t xml:space="preserve">                                  </w:t>
      </w:r>
    </w:p>
    <w:p w14:paraId="58EBFBBF">
      <w:pPr>
        <w:spacing w:before="60" w:after="60" w:line="480" w:lineRule="auto"/>
        <w:rPr>
          <w:rFonts w:hint="eastAsia" w:asciiTheme="majorEastAsia" w:hAnsiTheme="majorEastAsia" w:eastAsiaTheme="majorEastAsia" w:cstheme="majorEastAsia"/>
          <w:color w:val="auto"/>
          <w:szCs w:val="21"/>
          <w:highlight w:val="none"/>
          <w:u w:val="single"/>
        </w:rPr>
      </w:pPr>
      <w:r>
        <w:rPr>
          <w:rFonts w:hint="eastAsia" w:asciiTheme="majorEastAsia" w:hAnsiTheme="majorEastAsia" w:eastAsiaTheme="majorEastAsia" w:cstheme="majorEastAsia"/>
          <w:color w:val="auto"/>
          <w:szCs w:val="21"/>
          <w:highlight w:val="none"/>
        </w:rPr>
        <w:t>法定代表人或委托代理人（电子签名）：</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u w:val="single"/>
        </w:rPr>
        <w:t xml:space="preserve">            </w:t>
      </w:r>
    </w:p>
    <w:p w14:paraId="5CC96F5E">
      <w:pPr>
        <w:spacing w:before="60" w:after="60" w:line="480" w:lineRule="auto"/>
        <w:jc w:val="left"/>
        <w:rPr>
          <w:rFonts w:hint="eastAsia" w:asciiTheme="majorEastAsia" w:hAnsiTheme="majorEastAsia" w:eastAsiaTheme="majorEastAsia" w:cstheme="majorEastAsia"/>
          <w:color w:val="auto"/>
          <w:szCs w:val="21"/>
          <w:highlight w:val="none"/>
        </w:rPr>
        <w:sectPr>
          <w:pgSz w:w="11906" w:h="16838"/>
          <w:pgMar w:top="1440" w:right="1083" w:bottom="1440" w:left="1083" w:header="1020" w:footer="1077" w:gutter="0"/>
          <w:pgNumType w:fmt="decimal"/>
          <w:cols w:space="720" w:num="1"/>
          <w:docGrid w:type="linesAndChars" w:linePitch="331" w:charSpace="0"/>
        </w:sectPr>
      </w:pPr>
      <w:r>
        <w:rPr>
          <w:rFonts w:hint="eastAsia" w:asciiTheme="majorEastAsia" w:hAnsiTheme="majorEastAsia" w:eastAsiaTheme="majorEastAsia" w:cstheme="majorEastAsia"/>
          <w:color w:val="auto"/>
          <w:szCs w:val="21"/>
          <w:highlight w:val="none"/>
        </w:rPr>
        <w:t>日期：</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年</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月</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日</w:t>
      </w:r>
    </w:p>
    <w:p w14:paraId="120A2306">
      <w:pPr>
        <w:jc w:val="center"/>
        <w:outlineLvl w:val="2"/>
        <w:rPr>
          <w:rFonts w:hint="eastAsia" w:asciiTheme="majorEastAsia" w:hAnsiTheme="majorEastAsia" w:eastAsiaTheme="majorEastAsia" w:cstheme="majorEastAsia"/>
          <w:b/>
          <w:color w:val="auto"/>
          <w:kern w:val="0"/>
          <w:sz w:val="28"/>
          <w:szCs w:val="20"/>
          <w:highlight w:val="none"/>
          <w:lang w:val="en-US" w:eastAsia="zh-CN" w:bidi="ar-SA"/>
        </w:rPr>
      </w:pPr>
      <w:bookmarkStart w:id="278" w:name="_Toc389644558"/>
      <w:bookmarkStart w:id="279" w:name="_Toc113569078"/>
      <w:bookmarkStart w:id="280" w:name="_Toc486584259"/>
      <w:bookmarkStart w:id="281" w:name="_Toc529957211"/>
      <w:bookmarkStart w:id="282" w:name="_Toc450064607"/>
      <w:bookmarkStart w:id="283" w:name="_Toc111813257"/>
      <w:bookmarkStart w:id="284" w:name="_Toc486584256"/>
      <w:bookmarkStart w:id="285" w:name="_Toc529957208"/>
      <w:bookmarkStart w:id="286" w:name="_Toc450064609"/>
      <w:bookmarkStart w:id="287" w:name="_Toc111813251"/>
      <w:r>
        <w:rPr>
          <w:rFonts w:hint="eastAsia" w:asciiTheme="majorEastAsia" w:hAnsiTheme="majorEastAsia" w:eastAsiaTheme="majorEastAsia" w:cstheme="majorEastAsia"/>
          <w:b/>
          <w:color w:val="auto"/>
          <w:kern w:val="0"/>
          <w:sz w:val="28"/>
          <w:szCs w:val="20"/>
          <w:highlight w:val="none"/>
          <w:lang w:val="en-US" w:eastAsia="zh-CN" w:bidi="ar-SA"/>
        </w:rPr>
        <w:t>（三）商务条款偏离表</w:t>
      </w:r>
      <w:bookmarkEnd w:id="278"/>
      <w:bookmarkEnd w:id="279"/>
      <w:bookmarkEnd w:id="280"/>
      <w:bookmarkEnd w:id="281"/>
      <w:bookmarkEnd w:id="282"/>
      <w:bookmarkEnd w:id="283"/>
    </w:p>
    <w:tbl>
      <w:tblPr>
        <w:tblStyle w:val="30"/>
        <w:tblW w:w="102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95"/>
        <w:gridCol w:w="1781"/>
        <w:gridCol w:w="2550"/>
        <w:gridCol w:w="2371"/>
        <w:gridCol w:w="1430"/>
        <w:gridCol w:w="1430"/>
      </w:tblGrid>
      <w:tr w14:paraId="1E203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86" w:hRule="atLeast"/>
          <w:jc w:val="center"/>
        </w:trPr>
        <w:tc>
          <w:tcPr>
            <w:tcW w:w="695" w:type="dxa"/>
            <w:noWrap w:val="0"/>
            <w:vAlign w:val="center"/>
          </w:tcPr>
          <w:p w14:paraId="60DD9525">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序号</w:t>
            </w:r>
          </w:p>
        </w:tc>
        <w:tc>
          <w:tcPr>
            <w:tcW w:w="1781" w:type="dxa"/>
            <w:noWrap w:val="0"/>
            <w:vAlign w:val="center"/>
          </w:tcPr>
          <w:p w14:paraId="39ED3601">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商务条款</w:t>
            </w:r>
          </w:p>
        </w:tc>
        <w:tc>
          <w:tcPr>
            <w:tcW w:w="2550" w:type="dxa"/>
            <w:noWrap w:val="0"/>
            <w:vAlign w:val="center"/>
          </w:tcPr>
          <w:p w14:paraId="6BDAD2E5">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招标文件的条款要求</w:t>
            </w:r>
          </w:p>
        </w:tc>
        <w:tc>
          <w:tcPr>
            <w:tcW w:w="2371" w:type="dxa"/>
            <w:noWrap w:val="0"/>
            <w:vAlign w:val="center"/>
          </w:tcPr>
          <w:p w14:paraId="21B47A14">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投标文件对应承诺</w:t>
            </w:r>
          </w:p>
        </w:tc>
        <w:tc>
          <w:tcPr>
            <w:tcW w:w="1430" w:type="dxa"/>
            <w:noWrap w:val="0"/>
            <w:vAlign w:val="top"/>
          </w:tcPr>
          <w:p w14:paraId="197D7562">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正偏离/响应/负偏离</w:t>
            </w:r>
          </w:p>
        </w:tc>
        <w:tc>
          <w:tcPr>
            <w:tcW w:w="1430" w:type="dxa"/>
            <w:noWrap w:val="0"/>
            <w:vAlign w:val="center"/>
          </w:tcPr>
          <w:p w14:paraId="2A10DF00">
            <w:pPr>
              <w:spacing w:line="400" w:lineRule="atLeast"/>
              <w:jc w:val="center"/>
              <w:rPr>
                <w:rFonts w:hint="eastAsia" w:asciiTheme="majorEastAsia" w:hAnsiTheme="majorEastAsia" w:eastAsiaTheme="majorEastAsia" w:cstheme="majorEastAsia"/>
                <w:color w:val="auto"/>
                <w:szCs w:val="21"/>
                <w:highlight w:val="none"/>
                <w:lang w:eastAsia="zh-CN"/>
              </w:rPr>
            </w:pPr>
            <w:r>
              <w:rPr>
                <w:rFonts w:hint="eastAsia" w:asciiTheme="majorEastAsia" w:hAnsiTheme="majorEastAsia" w:eastAsiaTheme="majorEastAsia" w:cstheme="majorEastAsia"/>
                <w:color w:val="auto"/>
                <w:szCs w:val="21"/>
                <w:highlight w:val="none"/>
                <w:lang w:eastAsia="zh-CN"/>
              </w:rPr>
              <w:t>备注</w:t>
            </w:r>
          </w:p>
        </w:tc>
      </w:tr>
      <w:tr w14:paraId="175CC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86" w:hRule="atLeast"/>
          <w:jc w:val="center"/>
        </w:trPr>
        <w:tc>
          <w:tcPr>
            <w:tcW w:w="695" w:type="dxa"/>
            <w:noWrap w:val="0"/>
            <w:vAlign w:val="center"/>
          </w:tcPr>
          <w:p w14:paraId="1FD410E2">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w:t>
            </w:r>
          </w:p>
        </w:tc>
        <w:tc>
          <w:tcPr>
            <w:tcW w:w="1781" w:type="dxa"/>
            <w:noWrap w:val="0"/>
            <w:vAlign w:val="center"/>
          </w:tcPr>
          <w:p w14:paraId="5F704BB9">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lang w:val="en-US" w:eastAsia="zh-CN"/>
              </w:rPr>
              <w:t>交货期限</w:t>
            </w:r>
          </w:p>
        </w:tc>
        <w:tc>
          <w:tcPr>
            <w:tcW w:w="2550" w:type="dxa"/>
            <w:noWrap w:val="0"/>
            <w:vAlign w:val="top"/>
          </w:tcPr>
          <w:p w14:paraId="3B6EC015">
            <w:pPr>
              <w:spacing w:line="400" w:lineRule="atLeast"/>
              <w:rPr>
                <w:rFonts w:hint="eastAsia" w:asciiTheme="majorEastAsia" w:hAnsiTheme="majorEastAsia" w:eastAsiaTheme="majorEastAsia" w:cstheme="majorEastAsia"/>
                <w:color w:val="auto"/>
                <w:szCs w:val="21"/>
                <w:highlight w:val="none"/>
              </w:rPr>
            </w:pPr>
          </w:p>
        </w:tc>
        <w:tc>
          <w:tcPr>
            <w:tcW w:w="2371" w:type="dxa"/>
            <w:noWrap w:val="0"/>
            <w:vAlign w:val="top"/>
          </w:tcPr>
          <w:p w14:paraId="4A7C88D9">
            <w:pPr>
              <w:spacing w:line="400" w:lineRule="atLeast"/>
              <w:rPr>
                <w:rFonts w:hint="eastAsia" w:asciiTheme="majorEastAsia" w:hAnsiTheme="majorEastAsia" w:eastAsiaTheme="majorEastAsia" w:cstheme="majorEastAsia"/>
                <w:color w:val="auto"/>
                <w:szCs w:val="21"/>
                <w:highlight w:val="none"/>
              </w:rPr>
            </w:pPr>
          </w:p>
        </w:tc>
        <w:tc>
          <w:tcPr>
            <w:tcW w:w="1430" w:type="dxa"/>
            <w:noWrap w:val="0"/>
            <w:vAlign w:val="top"/>
          </w:tcPr>
          <w:p w14:paraId="3FAAB4C4">
            <w:pPr>
              <w:spacing w:line="400" w:lineRule="atLeast"/>
              <w:rPr>
                <w:rFonts w:hint="eastAsia" w:asciiTheme="majorEastAsia" w:hAnsiTheme="majorEastAsia" w:eastAsiaTheme="majorEastAsia" w:cstheme="majorEastAsia"/>
                <w:color w:val="auto"/>
                <w:szCs w:val="21"/>
                <w:highlight w:val="none"/>
              </w:rPr>
            </w:pPr>
          </w:p>
        </w:tc>
        <w:tc>
          <w:tcPr>
            <w:tcW w:w="1430" w:type="dxa"/>
            <w:noWrap w:val="0"/>
            <w:vAlign w:val="top"/>
          </w:tcPr>
          <w:p w14:paraId="6D9FB538">
            <w:pPr>
              <w:spacing w:line="400" w:lineRule="atLeast"/>
              <w:rPr>
                <w:rFonts w:hint="eastAsia" w:asciiTheme="majorEastAsia" w:hAnsiTheme="majorEastAsia" w:eastAsiaTheme="majorEastAsia" w:cstheme="majorEastAsia"/>
                <w:color w:val="auto"/>
                <w:szCs w:val="21"/>
                <w:highlight w:val="none"/>
              </w:rPr>
            </w:pPr>
          </w:p>
        </w:tc>
      </w:tr>
      <w:tr w14:paraId="1A53B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86" w:hRule="atLeast"/>
          <w:jc w:val="center"/>
        </w:trPr>
        <w:tc>
          <w:tcPr>
            <w:tcW w:w="695" w:type="dxa"/>
            <w:noWrap w:val="0"/>
            <w:vAlign w:val="center"/>
          </w:tcPr>
          <w:p w14:paraId="6EC735D2">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2</w:t>
            </w:r>
          </w:p>
        </w:tc>
        <w:tc>
          <w:tcPr>
            <w:tcW w:w="1781" w:type="dxa"/>
            <w:noWrap w:val="0"/>
            <w:vAlign w:val="center"/>
          </w:tcPr>
          <w:p w14:paraId="4D55C17E">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lang w:val="en-US" w:eastAsia="zh-CN"/>
              </w:rPr>
              <w:t>交付地点</w:t>
            </w:r>
          </w:p>
        </w:tc>
        <w:tc>
          <w:tcPr>
            <w:tcW w:w="2550" w:type="dxa"/>
            <w:noWrap w:val="0"/>
            <w:vAlign w:val="top"/>
          </w:tcPr>
          <w:p w14:paraId="1E31288A">
            <w:pPr>
              <w:spacing w:line="400" w:lineRule="atLeast"/>
              <w:rPr>
                <w:rFonts w:hint="eastAsia" w:asciiTheme="majorEastAsia" w:hAnsiTheme="majorEastAsia" w:eastAsiaTheme="majorEastAsia" w:cstheme="majorEastAsia"/>
                <w:color w:val="auto"/>
                <w:szCs w:val="21"/>
                <w:highlight w:val="none"/>
              </w:rPr>
            </w:pPr>
          </w:p>
        </w:tc>
        <w:tc>
          <w:tcPr>
            <w:tcW w:w="2371" w:type="dxa"/>
            <w:noWrap w:val="0"/>
            <w:vAlign w:val="top"/>
          </w:tcPr>
          <w:p w14:paraId="3F06BD0F">
            <w:pPr>
              <w:spacing w:line="400" w:lineRule="atLeast"/>
              <w:rPr>
                <w:rFonts w:hint="eastAsia" w:asciiTheme="majorEastAsia" w:hAnsiTheme="majorEastAsia" w:eastAsiaTheme="majorEastAsia" w:cstheme="majorEastAsia"/>
                <w:color w:val="auto"/>
                <w:szCs w:val="21"/>
                <w:highlight w:val="none"/>
              </w:rPr>
            </w:pPr>
          </w:p>
        </w:tc>
        <w:tc>
          <w:tcPr>
            <w:tcW w:w="1430" w:type="dxa"/>
            <w:noWrap w:val="0"/>
            <w:vAlign w:val="top"/>
          </w:tcPr>
          <w:p w14:paraId="55A9B7D0">
            <w:pPr>
              <w:spacing w:line="400" w:lineRule="atLeast"/>
              <w:rPr>
                <w:rFonts w:hint="eastAsia" w:asciiTheme="majorEastAsia" w:hAnsiTheme="majorEastAsia" w:eastAsiaTheme="majorEastAsia" w:cstheme="majorEastAsia"/>
                <w:color w:val="auto"/>
                <w:szCs w:val="21"/>
                <w:highlight w:val="none"/>
              </w:rPr>
            </w:pPr>
          </w:p>
        </w:tc>
        <w:tc>
          <w:tcPr>
            <w:tcW w:w="1430" w:type="dxa"/>
            <w:noWrap w:val="0"/>
            <w:vAlign w:val="top"/>
          </w:tcPr>
          <w:p w14:paraId="498831F4">
            <w:pPr>
              <w:spacing w:line="400" w:lineRule="atLeast"/>
              <w:rPr>
                <w:rFonts w:hint="eastAsia" w:asciiTheme="majorEastAsia" w:hAnsiTheme="majorEastAsia" w:eastAsiaTheme="majorEastAsia" w:cstheme="majorEastAsia"/>
                <w:color w:val="auto"/>
                <w:szCs w:val="21"/>
                <w:highlight w:val="none"/>
              </w:rPr>
            </w:pPr>
          </w:p>
        </w:tc>
      </w:tr>
      <w:tr w14:paraId="7E58A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86" w:hRule="atLeast"/>
          <w:jc w:val="center"/>
        </w:trPr>
        <w:tc>
          <w:tcPr>
            <w:tcW w:w="695" w:type="dxa"/>
            <w:noWrap w:val="0"/>
            <w:vAlign w:val="center"/>
          </w:tcPr>
          <w:p w14:paraId="6168DAC1">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3</w:t>
            </w:r>
          </w:p>
        </w:tc>
        <w:tc>
          <w:tcPr>
            <w:tcW w:w="1781" w:type="dxa"/>
            <w:noWrap w:val="0"/>
            <w:vAlign w:val="center"/>
          </w:tcPr>
          <w:p w14:paraId="7C0C2226">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质量</w:t>
            </w:r>
            <w:r>
              <w:rPr>
                <w:rFonts w:hint="eastAsia" w:asciiTheme="majorEastAsia" w:hAnsiTheme="majorEastAsia" w:eastAsiaTheme="majorEastAsia" w:cstheme="majorEastAsia"/>
                <w:color w:val="auto"/>
                <w:szCs w:val="21"/>
                <w:highlight w:val="none"/>
                <w:lang w:val="en-US" w:eastAsia="zh-CN"/>
              </w:rPr>
              <w:t>承诺</w:t>
            </w:r>
          </w:p>
        </w:tc>
        <w:tc>
          <w:tcPr>
            <w:tcW w:w="2550" w:type="dxa"/>
            <w:noWrap w:val="0"/>
            <w:vAlign w:val="top"/>
          </w:tcPr>
          <w:p w14:paraId="0A63F6A2">
            <w:pPr>
              <w:spacing w:line="400" w:lineRule="atLeast"/>
              <w:rPr>
                <w:rFonts w:hint="eastAsia" w:asciiTheme="majorEastAsia" w:hAnsiTheme="majorEastAsia" w:eastAsiaTheme="majorEastAsia" w:cstheme="majorEastAsia"/>
                <w:color w:val="auto"/>
                <w:szCs w:val="21"/>
                <w:highlight w:val="none"/>
              </w:rPr>
            </w:pPr>
          </w:p>
        </w:tc>
        <w:tc>
          <w:tcPr>
            <w:tcW w:w="2371" w:type="dxa"/>
            <w:noWrap w:val="0"/>
            <w:vAlign w:val="top"/>
          </w:tcPr>
          <w:p w14:paraId="1E00D88E">
            <w:pPr>
              <w:spacing w:line="400" w:lineRule="atLeast"/>
              <w:rPr>
                <w:rFonts w:hint="eastAsia" w:asciiTheme="majorEastAsia" w:hAnsiTheme="majorEastAsia" w:eastAsiaTheme="majorEastAsia" w:cstheme="majorEastAsia"/>
                <w:color w:val="auto"/>
                <w:szCs w:val="21"/>
                <w:highlight w:val="none"/>
              </w:rPr>
            </w:pPr>
          </w:p>
        </w:tc>
        <w:tc>
          <w:tcPr>
            <w:tcW w:w="1430" w:type="dxa"/>
            <w:noWrap w:val="0"/>
            <w:vAlign w:val="top"/>
          </w:tcPr>
          <w:p w14:paraId="6273A3C3">
            <w:pPr>
              <w:spacing w:line="400" w:lineRule="atLeast"/>
              <w:rPr>
                <w:rFonts w:hint="eastAsia" w:asciiTheme="majorEastAsia" w:hAnsiTheme="majorEastAsia" w:eastAsiaTheme="majorEastAsia" w:cstheme="majorEastAsia"/>
                <w:color w:val="auto"/>
                <w:szCs w:val="21"/>
                <w:highlight w:val="none"/>
              </w:rPr>
            </w:pPr>
          </w:p>
        </w:tc>
        <w:tc>
          <w:tcPr>
            <w:tcW w:w="1430" w:type="dxa"/>
            <w:noWrap w:val="0"/>
            <w:vAlign w:val="top"/>
          </w:tcPr>
          <w:p w14:paraId="397D670E">
            <w:pPr>
              <w:spacing w:line="400" w:lineRule="atLeast"/>
              <w:rPr>
                <w:rFonts w:hint="eastAsia" w:asciiTheme="majorEastAsia" w:hAnsiTheme="majorEastAsia" w:eastAsiaTheme="majorEastAsia" w:cstheme="majorEastAsia"/>
                <w:color w:val="auto"/>
                <w:szCs w:val="21"/>
                <w:highlight w:val="none"/>
              </w:rPr>
            </w:pPr>
          </w:p>
        </w:tc>
      </w:tr>
      <w:tr w14:paraId="525D9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86" w:hRule="atLeast"/>
          <w:jc w:val="center"/>
        </w:trPr>
        <w:tc>
          <w:tcPr>
            <w:tcW w:w="695" w:type="dxa"/>
            <w:noWrap w:val="0"/>
            <w:vAlign w:val="center"/>
          </w:tcPr>
          <w:p w14:paraId="6474A589">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4</w:t>
            </w:r>
          </w:p>
        </w:tc>
        <w:tc>
          <w:tcPr>
            <w:tcW w:w="1781" w:type="dxa"/>
            <w:noWrap w:val="0"/>
            <w:vAlign w:val="center"/>
          </w:tcPr>
          <w:p w14:paraId="6E39755E">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lang w:val="en-US" w:eastAsia="zh-CN"/>
              </w:rPr>
              <w:t>合同履行期限</w:t>
            </w:r>
          </w:p>
        </w:tc>
        <w:tc>
          <w:tcPr>
            <w:tcW w:w="2550" w:type="dxa"/>
            <w:noWrap w:val="0"/>
            <w:vAlign w:val="top"/>
          </w:tcPr>
          <w:p w14:paraId="092D997A">
            <w:pPr>
              <w:spacing w:line="400" w:lineRule="atLeast"/>
              <w:rPr>
                <w:rFonts w:hint="eastAsia" w:asciiTheme="majorEastAsia" w:hAnsiTheme="majorEastAsia" w:eastAsiaTheme="majorEastAsia" w:cstheme="majorEastAsia"/>
                <w:color w:val="auto"/>
                <w:szCs w:val="21"/>
                <w:highlight w:val="none"/>
              </w:rPr>
            </w:pPr>
          </w:p>
        </w:tc>
        <w:tc>
          <w:tcPr>
            <w:tcW w:w="2371" w:type="dxa"/>
            <w:noWrap w:val="0"/>
            <w:vAlign w:val="top"/>
          </w:tcPr>
          <w:p w14:paraId="12583153">
            <w:pPr>
              <w:spacing w:line="400" w:lineRule="atLeast"/>
              <w:rPr>
                <w:rFonts w:hint="eastAsia" w:asciiTheme="majorEastAsia" w:hAnsiTheme="majorEastAsia" w:eastAsiaTheme="majorEastAsia" w:cstheme="majorEastAsia"/>
                <w:color w:val="auto"/>
                <w:szCs w:val="21"/>
                <w:highlight w:val="none"/>
              </w:rPr>
            </w:pPr>
          </w:p>
        </w:tc>
        <w:tc>
          <w:tcPr>
            <w:tcW w:w="1430" w:type="dxa"/>
            <w:noWrap w:val="0"/>
            <w:vAlign w:val="top"/>
          </w:tcPr>
          <w:p w14:paraId="3B57159E">
            <w:pPr>
              <w:spacing w:line="400" w:lineRule="atLeast"/>
              <w:rPr>
                <w:rFonts w:hint="eastAsia" w:asciiTheme="majorEastAsia" w:hAnsiTheme="majorEastAsia" w:eastAsiaTheme="majorEastAsia" w:cstheme="majorEastAsia"/>
                <w:color w:val="auto"/>
                <w:szCs w:val="21"/>
                <w:highlight w:val="none"/>
              </w:rPr>
            </w:pPr>
          </w:p>
        </w:tc>
        <w:tc>
          <w:tcPr>
            <w:tcW w:w="1430" w:type="dxa"/>
            <w:noWrap w:val="0"/>
            <w:vAlign w:val="top"/>
          </w:tcPr>
          <w:p w14:paraId="0B3DAD8D">
            <w:pPr>
              <w:spacing w:line="400" w:lineRule="atLeast"/>
              <w:rPr>
                <w:rFonts w:hint="eastAsia" w:asciiTheme="majorEastAsia" w:hAnsiTheme="majorEastAsia" w:eastAsiaTheme="majorEastAsia" w:cstheme="majorEastAsia"/>
                <w:color w:val="auto"/>
                <w:szCs w:val="21"/>
                <w:highlight w:val="none"/>
              </w:rPr>
            </w:pPr>
          </w:p>
        </w:tc>
      </w:tr>
      <w:tr w14:paraId="07D5D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86" w:hRule="atLeast"/>
          <w:jc w:val="center"/>
        </w:trPr>
        <w:tc>
          <w:tcPr>
            <w:tcW w:w="695" w:type="dxa"/>
            <w:noWrap w:val="0"/>
            <w:vAlign w:val="center"/>
          </w:tcPr>
          <w:p w14:paraId="2ECC64B7">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5</w:t>
            </w:r>
          </w:p>
        </w:tc>
        <w:tc>
          <w:tcPr>
            <w:tcW w:w="1781" w:type="dxa"/>
            <w:noWrap w:val="0"/>
            <w:vAlign w:val="center"/>
          </w:tcPr>
          <w:p w14:paraId="6DC7A14E">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lang w:val="en-US" w:eastAsia="zh-CN"/>
              </w:rPr>
              <w:t>质保期</w:t>
            </w:r>
          </w:p>
        </w:tc>
        <w:tc>
          <w:tcPr>
            <w:tcW w:w="2550" w:type="dxa"/>
            <w:noWrap w:val="0"/>
            <w:vAlign w:val="top"/>
          </w:tcPr>
          <w:p w14:paraId="20F47A50">
            <w:pPr>
              <w:spacing w:line="400" w:lineRule="atLeast"/>
              <w:rPr>
                <w:rFonts w:hint="eastAsia" w:asciiTheme="majorEastAsia" w:hAnsiTheme="majorEastAsia" w:eastAsiaTheme="majorEastAsia" w:cstheme="majorEastAsia"/>
                <w:color w:val="auto"/>
                <w:szCs w:val="21"/>
                <w:highlight w:val="none"/>
              </w:rPr>
            </w:pPr>
          </w:p>
        </w:tc>
        <w:tc>
          <w:tcPr>
            <w:tcW w:w="2371" w:type="dxa"/>
            <w:noWrap w:val="0"/>
            <w:vAlign w:val="top"/>
          </w:tcPr>
          <w:p w14:paraId="2BCB9812">
            <w:pPr>
              <w:spacing w:line="400" w:lineRule="atLeast"/>
              <w:rPr>
                <w:rFonts w:hint="eastAsia" w:asciiTheme="majorEastAsia" w:hAnsiTheme="majorEastAsia" w:eastAsiaTheme="majorEastAsia" w:cstheme="majorEastAsia"/>
                <w:color w:val="auto"/>
                <w:szCs w:val="21"/>
                <w:highlight w:val="none"/>
              </w:rPr>
            </w:pPr>
          </w:p>
        </w:tc>
        <w:tc>
          <w:tcPr>
            <w:tcW w:w="1430" w:type="dxa"/>
            <w:noWrap w:val="0"/>
            <w:vAlign w:val="top"/>
          </w:tcPr>
          <w:p w14:paraId="23C71CE1">
            <w:pPr>
              <w:spacing w:line="400" w:lineRule="atLeast"/>
              <w:rPr>
                <w:rFonts w:hint="eastAsia" w:asciiTheme="majorEastAsia" w:hAnsiTheme="majorEastAsia" w:eastAsiaTheme="majorEastAsia" w:cstheme="majorEastAsia"/>
                <w:color w:val="auto"/>
                <w:szCs w:val="21"/>
                <w:highlight w:val="none"/>
              </w:rPr>
            </w:pPr>
          </w:p>
        </w:tc>
        <w:tc>
          <w:tcPr>
            <w:tcW w:w="1430" w:type="dxa"/>
            <w:noWrap w:val="0"/>
            <w:vAlign w:val="top"/>
          </w:tcPr>
          <w:p w14:paraId="296CCC6E">
            <w:pPr>
              <w:spacing w:line="400" w:lineRule="atLeast"/>
              <w:rPr>
                <w:rFonts w:hint="eastAsia" w:asciiTheme="majorEastAsia" w:hAnsiTheme="majorEastAsia" w:eastAsiaTheme="majorEastAsia" w:cstheme="majorEastAsia"/>
                <w:color w:val="auto"/>
                <w:szCs w:val="21"/>
                <w:highlight w:val="none"/>
              </w:rPr>
            </w:pPr>
          </w:p>
        </w:tc>
      </w:tr>
      <w:tr w14:paraId="0EF27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86" w:hRule="atLeast"/>
          <w:jc w:val="center"/>
        </w:trPr>
        <w:tc>
          <w:tcPr>
            <w:tcW w:w="695" w:type="dxa"/>
            <w:noWrap w:val="0"/>
            <w:vAlign w:val="center"/>
          </w:tcPr>
          <w:p w14:paraId="5C2AFEF4">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6</w:t>
            </w:r>
          </w:p>
        </w:tc>
        <w:tc>
          <w:tcPr>
            <w:tcW w:w="1781" w:type="dxa"/>
            <w:noWrap w:val="0"/>
            <w:vAlign w:val="center"/>
          </w:tcPr>
          <w:p w14:paraId="796D2492">
            <w:pPr>
              <w:spacing w:line="400" w:lineRule="atLeast"/>
              <w:jc w:val="center"/>
              <w:rPr>
                <w:rFonts w:hint="eastAsia" w:asciiTheme="majorEastAsia" w:hAnsiTheme="majorEastAsia" w:eastAsiaTheme="majorEastAsia" w:cstheme="majorEastAsia"/>
                <w:color w:val="auto"/>
                <w:szCs w:val="21"/>
                <w:highlight w:val="none"/>
              </w:rPr>
            </w:pPr>
          </w:p>
        </w:tc>
        <w:tc>
          <w:tcPr>
            <w:tcW w:w="2550" w:type="dxa"/>
            <w:noWrap w:val="0"/>
            <w:vAlign w:val="top"/>
          </w:tcPr>
          <w:p w14:paraId="7F0C309C">
            <w:pPr>
              <w:spacing w:line="400" w:lineRule="atLeast"/>
              <w:rPr>
                <w:rFonts w:hint="eastAsia" w:asciiTheme="majorEastAsia" w:hAnsiTheme="majorEastAsia" w:eastAsiaTheme="majorEastAsia" w:cstheme="majorEastAsia"/>
                <w:color w:val="auto"/>
                <w:szCs w:val="21"/>
                <w:highlight w:val="none"/>
              </w:rPr>
            </w:pPr>
          </w:p>
        </w:tc>
        <w:tc>
          <w:tcPr>
            <w:tcW w:w="2371" w:type="dxa"/>
            <w:noWrap w:val="0"/>
            <w:vAlign w:val="top"/>
          </w:tcPr>
          <w:p w14:paraId="176C8D79">
            <w:pPr>
              <w:spacing w:line="400" w:lineRule="atLeast"/>
              <w:rPr>
                <w:rFonts w:hint="eastAsia" w:asciiTheme="majorEastAsia" w:hAnsiTheme="majorEastAsia" w:eastAsiaTheme="majorEastAsia" w:cstheme="majorEastAsia"/>
                <w:color w:val="auto"/>
                <w:szCs w:val="21"/>
                <w:highlight w:val="none"/>
              </w:rPr>
            </w:pPr>
          </w:p>
        </w:tc>
        <w:tc>
          <w:tcPr>
            <w:tcW w:w="1430" w:type="dxa"/>
            <w:noWrap w:val="0"/>
            <w:vAlign w:val="top"/>
          </w:tcPr>
          <w:p w14:paraId="5383F305">
            <w:pPr>
              <w:spacing w:line="400" w:lineRule="atLeast"/>
              <w:rPr>
                <w:rFonts w:hint="eastAsia" w:asciiTheme="majorEastAsia" w:hAnsiTheme="majorEastAsia" w:eastAsiaTheme="majorEastAsia" w:cstheme="majorEastAsia"/>
                <w:color w:val="auto"/>
                <w:szCs w:val="21"/>
                <w:highlight w:val="none"/>
              </w:rPr>
            </w:pPr>
          </w:p>
        </w:tc>
        <w:tc>
          <w:tcPr>
            <w:tcW w:w="1430" w:type="dxa"/>
            <w:noWrap w:val="0"/>
            <w:vAlign w:val="top"/>
          </w:tcPr>
          <w:p w14:paraId="533BAA67">
            <w:pPr>
              <w:spacing w:line="400" w:lineRule="atLeast"/>
              <w:rPr>
                <w:rFonts w:hint="eastAsia" w:asciiTheme="majorEastAsia" w:hAnsiTheme="majorEastAsia" w:eastAsiaTheme="majorEastAsia" w:cstheme="majorEastAsia"/>
                <w:color w:val="auto"/>
                <w:szCs w:val="21"/>
                <w:highlight w:val="none"/>
              </w:rPr>
            </w:pPr>
          </w:p>
        </w:tc>
      </w:tr>
      <w:tr w14:paraId="1AAF7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86" w:hRule="atLeast"/>
          <w:jc w:val="center"/>
        </w:trPr>
        <w:tc>
          <w:tcPr>
            <w:tcW w:w="695" w:type="dxa"/>
            <w:noWrap w:val="0"/>
            <w:vAlign w:val="center"/>
          </w:tcPr>
          <w:p w14:paraId="28A1EFC5">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7</w:t>
            </w:r>
          </w:p>
        </w:tc>
        <w:tc>
          <w:tcPr>
            <w:tcW w:w="1781" w:type="dxa"/>
            <w:noWrap w:val="0"/>
            <w:vAlign w:val="center"/>
          </w:tcPr>
          <w:p w14:paraId="4AF7AFE3">
            <w:pPr>
              <w:spacing w:line="400" w:lineRule="atLeast"/>
              <w:jc w:val="center"/>
              <w:rPr>
                <w:rFonts w:hint="eastAsia" w:asciiTheme="majorEastAsia" w:hAnsiTheme="majorEastAsia" w:eastAsiaTheme="majorEastAsia" w:cstheme="majorEastAsia"/>
                <w:color w:val="auto"/>
                <w:szCs w:val="21"/>
                <w:highlight w:val="none"/>
              </w:rPr>
            </w:pPr>
          </w:p>
        </w:tc>
        <w:tc>
          <w:tcPr>
            <w:tcW w:w="2550" w:type="dxa"/>
            <w:noWrap w:val="0"/>
            <w:vAlign w:val="top"/>
          </w:tcPr>
          <w:p w14:paraId="6524DA6C">
            <w:pPr>
              <w:spacing w:line="400" w:lineRule="atLeast"/>
              <w:rPr>
                <w:rFonts w:hint="eastAsia" w:asciiTheme="majorEastAsia" w:hAnsiTheme="majorEastAsia" w:eastAsiaTheme="majorEastAsia" w:cstheme="majorEastAsia"/>
                <w:color w:val="auto"/>
                <w:szCs w:val="21"/>
                <w:highlight w:val="none"/>
              </w:rPr>
            </w:pPr>
          </w:p>
        </w:tc>
        <w:tc>
          <w:tcPr>
            <w:tcW w:w="2371" w:type="dxa"/>
            <w:noWrap w:val="0"/>
            <w:vAlign w:val="top"/>
          </w:tcPr>
          <w:p w14:paraId="304F9C7A">
            <w:pPr>
              <w:spacing w:line="400" w:lineRule="atLeast"/>
              <w:rPr>
                <w:rFonts w:hint="eastAsia" w:asciiTheme="majorEastAsia" w:hAnsiTheme="majorEastAsia" w:eastAsiaTheme="majorEastAsia" w:cstheme="majorEastAsia"/>
                <w:color w:val="auto"/>
                <w:szCs w:val="21"/>
                <w:highlight w:val="none"/>
              </w:rPr>
            </w:pPr>
          </w:p>
        </w:tc>
        <w:tc>
          <w:tcPr>
            <w:tcW w:w="1430" w:type="dxa"/>
            <w:noWrap w:val="0"/>
            <w:vAlign w:val="top"/>
          </w:tcPr>
          <w:p w14:paraId="10E0CF32">
            <w:pPr>
              <w:spacing w:line="400" w:lineRule="atLeast"/>
              <w:rPr>
                <w:rFonts w:hint="eastAsia" w:asciiTheme="majorEastAsia" w:hAnsiTheme="majorEastAsia" w:eastAsiaTheme="majorEastAsia" w:cstheme="majorEastAsia"/>
                <w:color w:val="auto"/>
                <w:szCs w:val="21"/>
                <w:highlight w:val="none"/>
              </w:rPr>
            </w:pPr>
          </w:p>
        </w:tc>
        <w:tc>
          <w:tcPr>
            <w:tcW w:w="1430" w:type="dxa"/>
            <w:noWrap w:val="0"/>
            <w:vAlign w:val="top"/>
          </w:tcPr>
          <w:p w14:paraId="1E85DF41">
            <w:pPr>
              <w:spacing w:line="400" w:lineRule="atLeast"/>
              <w:rPr>
                <w:rFonts w:hint="eastAsia" w:asciiTheme="majorEastAsia" w:hAnsiTheme="majorEastAsia" w:eastAsiaTheme="majorEastAsia" w:cstheme="majorEastAsia"/>
                <w:color w:val="auto"/>
                <w:szCs w:val="21"/>
                <w:highlight w:val="none"/>
              </w:rPr>
            </w:pPr>
          </w:p>
        </w:tc>
      </w:tr>
      <w:tr w14:paraId="12399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86" w:hRule="atLeast"/>
          <w:jc w:val="center"/>
        </w:trPr>
        <w:tc>
          <w:tcPr>
            <w:tcW w:w="695" w:type="dxa"/>
            <w:noWrap w:val="0"/>
            <w:vAlign w:val="center"/>
          </w:tcPr>
          <w:p w14:paraId="4690E96A">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8</w:t>
            </w:r>
          </w:p>
        </w:tc>
        <w:tc>
          <w:tcPr>
            <w:tcW w:w="1781" w:type="dxa"/>
            <w:noWrap w:val="0"/>
            <w:vAlign w:val="center"/>
          </w:tcPr>
          <w:p w14:paraId="0396E98F">
            <w:pPr>
              <w:spacing w:line="400" w:lineRule="atLeast"/>
              <w:jc w:val="center"/>
              <w:rPr>
                <w:rFonts w:hint="eastAsia" w:asciiTheme="majorEastAsia" w:hAnsiTheme="majorEastAsia" w:eastAsiaTheme="majorEastAsia" w:cstheme="majorEastAsia"/>
                <w:color w:val="auto"/>
                <w:szCs w:val="21"/>
                <w:highlight w:val="none"/>
              </w:rPr>
            </w:pPr>
          </w:p>
        </w:tc>
        <w:tc>
          <w:tcPr>
            <w:tcW w:w="2550" w:type="dxa"/>
            <w:noWrap w:val="0"/>
            <w:vAlign w:val="top"/>
          </w:tcPr>
          <w:p w14:paraId="4979FED4">
            <w:pPr>
              <w:spacing w:line="400" w:lineRule="atLeast"/>
              <w:rPr>
                <w:rFonts w:hint="eastAsia" w:asciiTheme="majorEastAsia" w:hAnsiTheme="majorEastAsia" w:eastAsiaTheme="majorEastAsia" w:cstheme="majorEastAsia"/>
                <w:color w:val="auto"/>
                <w:szCs w:val="21"/>
                <w:highlight w:val="none"/>
              </w:rPr>
            </w:pPr>
          </w:p>
        </w:tc>
        <w:tc>
          <w:tcPr>
            <w:tcW w:w="2371" w:type="dxa"/>
            <w:noWrap w:val="0"/>
            <w:vAlign w:val="top"/>
          </w:tcPr>
          <w:p w14:paraId="37B0F52B">
            <w:pPr>
              <w:spacing w:line="400" w:lineRule="atLeast"/>
              <w:rPr>
                <w:rFonts w:hint="eastAsia" w:asciiTheme="majorEastAsia" w:hAnsiTheme="majorEastAsia" w:eastAsiaTheme="majorEastAsia" w:cstheme="majorEastAsia"/>
                <w:color w:val="auto"/>
                <w:szCs w:val="21"/>
                <w:highlight w:val="none"/>
              </w:rPr>
            </w:pPr>
          </w:p>
        </w:tc>
        <w:tc>
          <w:tcPr>
            <w:tcW w:w="1430" w:type="dxa"/>
            <w:noWrap w:val="0"/>
            <w:vAlign w:val="top"/>
          </w:tcPr>
          <w:p w14:paraId="09778FFA">
            <w:pPr>
              <w:spacing w:line="400" w:lineRule="atLeast"/>
              <w:rPr>
                <w:rFonts w:hint="eastAsia" w:asciiTheme="majorEastAsia" w:hAnsiTheme="majorEastAsia" w:eastAsiaTheme="majorEastAsia" w:cstheme="majorEastAsia"/>
                <w:color w:val="auto"/>
                <w:szCs w:val="21"/>
                <w:highlight w:val="none"/>
              </w:rPr>
            </w:pPr>
          </w:p>
        </w:tc>
        <w:tc>
          <w:tcPr>
            <w:tcW w:w="1430" w:type="dxa"/>
            <w:noWrap w:val="0"/>
            <w:vAlign w:val="top"/>
          </w:tcPr>
          <w:p w14:paraId="36BE21A5">
            <w:pPr>
              <w:spacing w:line="400" w:lineRule="atLeast"/>
              <w:rPr>
                <w:rFonts w:hint="eastAsia" w:asciiTheme="majorEastAsia" w:hAnsiTheme="majorEastAsia" w:eastAsiaTheme="majorEastAsia" w:cstheme="majorEastAsia"/>
                <w:color w:val="auto"/>
                <w:szCs w:val="21"/>
                <w:highlight w:val="none"/>
              </w:rPr>
            </w:pPr>
          </w:p>
        </w:tc>
      </w:tr>
      <w:tr w14:paraId="6E742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695" w:type="dxa"/>
            <w:noWrap w:val="0"/>
            <w:vAlign w:val="center"/>
          </w:tcPr>
          <w:p w14:paraId="3E9BDC95">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9</w:t>
            </w:r>
          </w:p>
        </w:tc>
        <w:tc>
          <w:tcPr>
            <w:tcW w:w="1781" w:type="dxa"/>
            <w:noWrap w:val="0"/>
            <w:vAlign w:val="top"/>
          </w:tcPr>
          <w:p w14:paraId="29870E85">
            <w:pPr>
              <w:spacing w:line="400" w:lineRule="atLeast"/>
              <w:rPr>
                <w:rFonts w:hint="eastAsia" w:asciiTheme="majorEastAsia" w:hAnsiTheme="majorEastAsia" w:eastAsiaTheme="majorEastAsia" w:cstheme="majorEastAsia"/>
                <w:color w:val="auto"/>
                <w:szCs w:val="21"/>
                <w:highlight w:val="none"/>
              </w:rPr>
            </w:pPr>
          </w:p>
        </w:tc>
        <w:tc>
          <w:tcPr>
            <w:tcW w:w="2550" w:type="dxa"/>
            <w:noWrap w:val="0"/>
            <w:vAlign w:val="top"/>
          </w:tcPr>
          <w:p w14:paraId="505B0BD4">
            <w:pPr>
              <w:spacing w:line="400" w:lineRule="atLeast"/>
              <w:rPr>
                <w:rFonts w:hint="eastAsia" w:asciiTheme="majorEastAsia" w:hAnsiTheme="majorEastAsia" w:eastAsiaTheme="majorEastAsia" w:cstheme="majorEastAsia"/>
                <w:color w:val="auto"/>
                <w:szCs w:val="21"/>
                <w:highlight w:val="none"/>
              </w:rPr>
            </w:pPr>
          </w:p>
        </w:tc>
        <w:tc>
          <w:tcPr>
            <w:tcW w:w="2371" w:type="dxa"/>
            <w:noWrap w:val="0"/>
            <w:vAlign w:val="top"/>
          </w:tcPr>
          <w:p w14:paraId="7DB04604">
            <w:pPr>
              <w:spacing w:line="400" w:lineRule="atLeast"/>
              <w:rPr>
                <w:rFonts w:hint="eastAsia" w:asciiTheme="majorEastAsia" w:hAnsiTheme="majorEastAsia" w:eastAsiaTheme="majorEastAsia" w:cstheme="majorEastAsia"/>
                <w:color w:val="auto"/>
                <w:szCs w:val="21"/>
                <w:highlight w:val="none"/>
              </w:rPr>
            </w:pPr>
          </w:p>
        </w:tc>
        <w:tc>
          <w:tcPr>
            <w:tcW w:w="1430" w:type="dxa"/>
            <w:noWrap w:val="0"/>
            <w:vAlign w:val="top"/>
          </w:tcPr>
          <w:p w14:paraId="2AB23889">
            <w:pPr>
              <w:spacing w:line="400" w:lineRule="atLeast"/>
              <w:rPr>
                <w:rFonts w:hint="eastAsia" w:asciiTheme="majorEastAsia" w:hAnsiTheme="majorEastAsia" w:eastAsiaTheme="majorEastAsia" w:cstheme="majorEastAsia"/>
                <w:color w:val="auto"/>
                <w:szCs w:val="21"/>
                <w:highlight w:val="none"/>
              </w:rPr>
            </w:pPr>
          </w:p>
        </w:tc>
        <w:tc>
          <w:tcPr>
            <w:tcW w:w="1430" w:type="dxa"/>
            <w:noWrap w:val="0"/>
            <w:vAlign w:val="top"/>
          </w:tcPr>
          <w:p w14:paraId="68CD9C79">
            <w:pPr>
              <w:spacing w:line="400" w:lineRule="atLeast"/>
              <w:rPr>
                <w:rFonts w:hint="eastAsia" w:asciiTheme="majorEastAsia" w:hAnsiTheme="majorEastAsia" w:eastAsiaTheme="majorEastAsia" w:cstheme="majorEastAsia"/>
                <w:color w:val="auto"/>
                <w:szCs w:val="21"/>
                <w:highlight w:val="none"/>
              </w:rPr>
            </w:pPr>
          </w:p>
        </w:tc>
      </w:tr>
    </w:tbl>
    <w:p w14:paraId="1AC6718B">
      <w:pPr>
        <w:rPr>
          <w:rFonts w:hint="eastAsia" w:asciiTheme="majorEastAsia" w:hAnsiTheme="majorEastAsia" w:eastAsiaTheme="majorEastAsia" w:cstheme="majorEastAsia"/>
          <w:color w:val="auto"/>
          <w:highlight w:val="none"/>
        </w:rPr>
      </w:pPr>
    </w:p>
    <w:p w14:paraId="584BA76D">
      <w:pPr>
        <w:rPr>
          <w:rFonts w:hint="default" w:eastAsiaTheme="majorEastAsia"/>
          <w:lang w:val="en-US" w:eastAsia="zh-CN"/>
        </w:rPr>
      </w:pPr>
    </w:p>
    <w:p w14:paraId="2211B1B6">
      <w:pPr>
        <w:spacing w:before="60" w:after="60" w:line="48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投标人全称</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加盖电子公章</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w:t>
      </w:r>
      <w:r>
        <w:rPr>
          <w:rFonts w:hint="eastAsia" w:asciiTheme="majorEastAsia" w:hAnsiTheme="majorEastAsia" w:eastAsiaTheme="majorEastAsia" w:cstheme="majorEastAsia"/>
          <w:color w:val="auto"/>
          <w:szCs w:val="21"/>
          <w:highlight w:val="none"/>
          <w:u w:val="single"/>
        </w:rPr>
        <w:t xml:space="preserve">                                  </w:t>
      </w:r>
    </w:p>
    <w:p w14:paraId="0DB3054F">
      <w:pPr>
        <w:spacing w:before="60" w:after="60" w:line="480" w:lineRule="auto"/>
        <w:rPr>
          <w:rFonts w:hint="eastAsia" w:asciiTheme="majorEastAsia" w:hAnsiTheme="majorEastAsia" w:eastAsiaTheme="majorEastAsia" w:cstheme="majorEastAsia"/>
          <w:color w:val="auto"/>
          <w:szCs w:val="21"/>
          <w:highlight w:val="none"/>
          <w:u w:val="single"/>
        </w:rPr>
      </w:pPr>
      <w:r>
        <w:rPr>
          <w:rFonts w:hint="eastAsia" w:asciiTheme="majorEastAsia" w:hAnsiTheme="majorEastAsia" w:eastAsiaTheme="majorEastAsia" w:cstheme="majorEastAsia"/>
          <w:color w:val="auto"/>
          <w:szCs w:val="21"/>
          <w:highlight w:val="none"/>
        </w:rPr>
        <w:t>法定代表人或委托代理人（电子签名）：</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u w:val="single"/>
        </w:rPr>
        <w:t xml:space="preserve">            </w:t>
      </w:r>
    </w:p>
    <w:p w14:paraId="6ADE66C4">
      <w:pPr>
        <w:spacing w:before="60" w:after="60" w:line="48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日期：</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年</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月</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日</w:t>
      </w:r>
    </w:p>
    <w:p w14:paraId="665D7B59">
      <w:pPr>
        <w:rPr>
          <w:rFonts w:hint="eastAsia" w:asciiTheme="majorEastAsia" w:hAnsiTheme="majorEastAsia" w:eastAsiaTheme="majorEastAsia" w:cstheme="majorEastAsia"/>
          <w:color w:val="auto"/>
          <w:highlight w:val="none"/>
        </w:rPr>
      </w:pPr>
      <w:bookmarkStart w:id="288" w:name="_Toc113569079"/>
      <w:r>
        <w:rPr>
          <w:rFonts w:hint="eastAsia" w:asciiTheme="majorEastAsia" w:hAnsiTheme="majorEastAsia" w:eastAsiaTheme="majorEastAsia" w:cstheme="majorEastAsia"/>
          <w:color w:val="auto"/>
          <w:highlight w:val="none"/>
        </w:rPr>
        <w:br w:type="page"/>
      </w:r>
    </w:p>
    <w:p w14:paraId="342731A6">
      <w:pPr>
        <w:pStyle w:val="4"/>
        <w:numPr>
          <w:ilvl w:val="2"/>
          <w:numId w:val="0"/>
        </w:numPr>
        <w:tabs>
          <w:tab w:val="clear" w:pos="900"/>
        </w:tabs>
        <w:spacing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（四）《中小企业声明函》</w:t>
      </w:r>
      <w:bookmarkEnd w:id="284"/>
      <w:bookmarkEnd w:id="285"/>
      <w:bookmarkEnd w:id="286"/>
      <w:r>
        <w:rPr>
          <w:rFonts w:hint="eastAsia" w:asciiTheme="majorEastAsia" w:hAnsiTheme="majorEastAsia" w:eastAsiaTheme="majorEastAsia" w:cstheme="majorEastAsia"/>
          <w:color w:val="auto"/>
          <w:highlight w:val="none"/>
        </w:rPr>
        <w:t>（货物）</w:t>
      </w:r>
      <w:bookmarkEnd w:id="287"/>
      <w:bookmarkEnd w:id="288"/>
    </w:p>
    <w:p w14:paraId="3BBC1F5F">
      <w:pPr>
        <w:pStyle w:val="73"/>
        <w:spacing w:before="120" w:line="360" w:lineRule="auto"/>
        <w:ind w:firstLine="480" w:firstLineChars="200"/>
        <w:rPr>
          <w:rFonts w:hint="eastAsia" w:asciiTheme="majorEastAsia" w:hAnsiTheme="majorEastAsia" w:eastAsiaTheme="majorEastAsia" w:cstheme="majorEastAsia"/>
          <w:color w:val="auto"/>
          <w:highlight w:val="none"/>
        </w:rPr>
      </w:pPr>
    </w:p>
    <w:p w14:paraId="250CAB5B">
      <w:pPr>
        <w:autoSpaceDE w:val="0"/>
        <w:autoSpaceDN w:val="0"/>
        <w:adjustRightInd w:val="0"/>
        <w:spacing w:line="360" w:lineRule="auto"/>
        <w:ind w:firstLine="42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本公司（联合体）郑重声明，根据《政府采购促进中小企业发展管理办法》（财库﹝2020﹞46 号）的规定，本公司（联合体）参加</w:t>
      </w:r>
      <w:r>
        <w:rPr>
          <w:rFonts w:hint="eastAsia" w:asciiTheme="majorEastAsia" w:hAnsiTheme="majorEastAsia" w:eastAsiaTheme="majorEastAsia" w:cstheme="majorEastAsia"/>
          <w:color w:val="auto"/>
          <w:szCs w:val="21"/>
          <w:highlight w:val="none"/>
          <w:u w:val="single"/>
        </w:rPr>
        <w:t>（单位名称）</w:t>
      </w:r>
      <w:r>
        <w:rPr>
          <w:rFonts w:hint="eastAsia" w:asciiTheme="majorEastAsia" w:hAnsiTheme="majorEastAsia" w:eastAsiaTheme="majorEastAsia" w:cstheme="majorEastAsia"/>
          <w:color w:val="auto"/>
          <w:szCs w:val="21"/>
          <w:highlight w:val="none"/>
        </w:rPr>
        <w:t>的</w:t>
      </w:r>
      <w:r>
        <w:rPr>
          <w:rFonts w:hint="eastAsia" w:asciiTheme="majorEastAsia" w:hAnsiTheme="majorEastAsia" w:eastAsiaTheme="majorEastAsia" w:cstheme="majorEastAsia"/>
          <w:color w:val="auto"/>
          <w:szCs w:val="21"/>
          <w:highlight w:val="none"/>
          <w:u w:val="single"/>
        </w:rPr>
        <w:t>（项目名称）（标段号）</w:t>
      </w:r>
      <w:r>
        <w:rPr>
          <w:rFonts w:hint="eastAsia" w:asciiTheme="majorEastAsia" w:hAnsiTheme="majorEastAsia" w:eastAsiaTheme="majorEastAsia" w:cstheme="majorEastAsia"/>
          <w:color w:val="auto"/>
          <w:szCs w:val="21"/>
          <w:highlight w:val="none"/>
        </w:rPr>
        <w:t>采购活动，提供的货物全部由符合政策要求的中小企业制造。相关企业（含联合体中的中小企业、签订分包意向协议的中小企业）的具体情况如下：</w:t>
      </w:r>
    </w:p>
    <w:p w14:paraId="3484ECA5">
      <w:pPr>
        <w:autoSpaceDE w:val="0"/>
        <w:autoSpaceDN w:val="0"/>
        <w:adjustRightInd w:val="0"/>
        <w:spacing w:line="360" w:lineRule="auto"/>
        <w:ind w:firstLine="42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 </w:t>
      </w:r>
      <w:r>
        <w:rPr>
          <w:rFonts w:hint="eastAsia" w:asciiTheme="majorEastAsia" w:hAnsiTheme="majorEastAsia" w:eastAsiaTheme="majorEastAsia" w:cstheme="majorEastAsia"/>
          <w:color w:val="auto"/>
          <w:szCs w:val="21"/>
          <w:highlight w:val="none"/>
          <w:u w:val="single"/>
        </w:rPr>
        <w:t xml:space="preserve">（标的名称） </w:t>
      </w:r>
      <w:r>
        <w:rPr>
          <w:rFonts w:hint="eastAsia" w:asciiTheme="majorEastAsia" w:hAnsiTheme="majorEastAsia" w:eastAsiaTheme="majorEastAsia" w:cstheme="majorEastAsia"/>
          <w:color w:val="auto"/>
          <w:szCs w:val="21"/>
          <w:highlight w:val="none"/>
        </w:rPr>
        <w:t>，属于</w:t>
      </w:r>
      <w:r>
        <w:rPr>
          <w:rFonts w:hint="eastAsia" w:asciiTheme="majorEastAsia" w:hAnsiTheme="majorEastAsia" w:eastAsiaTheme="majorEastAsia" w:cstheme="majorEastAsia"/>
          <w:color w:val="auto"/>
          <w:szCs w:val="21"/>
          <w:highlight w:val="none"/>
          <w:u w:val="single"/>
        </w:rPr>
        <w:t>（采购文件中明确的所属行业）</w:t>
      </w:r>
      <w:r>
        <w:rPr>
          <w:rFonts w:hint="eastAsia" w:asciiTheme="majorEastAsia" w:hAnsiTheme="majorEastAsia" w:eastAsiaTheme="majorEastAsia" w:cstheme="majorEastAsia"/>
          <w:color w:val="auto"/>
          <w:szCs w:val="21"/>
          <w:highlight w:val="none"/>
        </w:rPr>
        <w:t>行业；制造商为</w:t>
      </w:r>
      <w:r>
        <w:rPr>
          <w:rFonts w:hint="eastAsia" w:asciiTheme="majorEastAsia" w:hAnsiTheme="majorEastAsia" w:eastAsiaTheme="majorEastAsia" w:cstheme="majorEastAsia"/>
          <w:color w:val="auto"/>
          <w:szCs w:val="21"/>
          <w:highlight w:val="none"/>
          <w:u w:val="single"/>
        </w:rPr>
        <w:t>（企业名称）</w:t>
      </w:r>
      <w:r>
        <w:rPr>
          <w:rFonts w:hint="eastAsia" w:asciiTheme="majorEastAsia" w:hAnsiTheme="majorEastAsia" w:eastAsiaTheme="majorEastAsia" w:cstheme="majorEastAsia"/>
          <w:color w:val="auto"/>
          <w:szCs w:val="21"/>
          <w:highlight w:val="none"/>
        </w:rPr>
        <w:t>，从业人员</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人，营业收入为</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万元，资产总额为</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万元，属于</w:t>
      </w:r>
      <w:r>
        <w:rPr>
          <w:rFonts w:hint="eastAsia" w:asciiTheme="majorEastAsia" w:hAnsiTheme="majorEastAsia" w:eastAsiaTheme="majorEastAsia" w:cstheme="majorEastAsia"/>
          <w:color w:val="auto"/>
          <w:szCs w:val="21"/>
          <w:highlight w:val="none"/>
          <w:u w:val="single"/>
        </w:rPr>
        <w:t>（中型企业、小型企业、微型企业）</w:t>
      </w:r>
      <w:r>
        <w:rPr>
          <w:rFonts w:hint="eastAsia" w:asciiTheme="majorEastAsia" w:hAnsiTheme="majorEastAsia" w:eastAsiaTheme="majorEastAsia" w:cstheme="majorEastAsia"/>
          <w:color w:val="auto"/>
          <w:szCs w:val="21"/>
          <w:highlight w:val="none"/>
        </w:rPr>
        <w:t>；</w:t>
      </w:r>
    </w:p>
    <w:p w14:paraId="7D828A96">
      <w:pPr>
        <w:autoSpaceDE w:val="0"/>
        <w:autoSpaceDN w:val="0"/>
        <w:adjustRightInd w:val="0"/>
        <w:spacing w:line="360" w:lineRule="auto"/>
        <w:ind w:firstLine="42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2. </w:t>
      </w:r>
      <w:r>
        <w:rPr>
          <w:rFonts w:hint="eastAsia" w:asciiTheme="majorEastAsia" w:hAnsiTheme="majorEastAsia" w:eastAsiaTheme="majorEastAsia" w:cstheme="majorEastAsia"/>
          <w:color w:val="auto"/>
          <w:szCs w:val="21"/>
          <w:highlight w:val="none"/>
          <w:u w:val="single"/>
        </w:rPr>
        <w:t xml:space="preserve">（标的名称） </w:t>
      </w:r>
      <w:r>
        <w:rPr>
          <w:rFonts w:hint="eastAsia" w:asciiTheme="majorEastAsia" w:hAnsiTheme="majorEastAsia" w:eastAsiaTheme="majorEastAsia" w:cstheme="majorEastAsia"/>
          <w:color w:val="auto"/>
          <w:szCs w:val="21"/>
          <w:highlight w:val="none"/>
        </w:rPr>
        <w:t>，属于</w:t>
      </w:r>
      <w:r>
        <w:rPr>
          <w:rFonts w:hint="eastAsia" w:asciiTheme="majorEastAsia" w:hAnsiTheme="majorEastAsia" w:eastAsiaTheme="majorEastAsia" w:cstheme="majorEastAsia"/>
          <w:color w:val="auto"/>
          <w:szCs w:val="21"/>
          <w:highlight w:val="none"/>
          <w:u w:val="single"/>
        </w:rPr>
        <w:t>（采购文件中明确的所属行业）</w:t>
      </w:r>
      <w:r>
        <w:rPr>
          <w:rFonts w:hint="eastAsia" w:asciiTheme="majorEastAsia" w:hAnsiTheme="majorEastAsia" w:eastAsiaTheme="majorEastAsia" w:cstheme="majorEastAsia"/>
          <w:color w:val="auto"/>
          <w:szCs w:val="21"/>
          <w:highlight w:val="none"/>
        </w:rPr>
        <w:t>行业；制造商为</w:t>
      </w:r>
      <w:r>
        <w:rPr>
          <w:rFonts w:hint="eastAsia" w:asciiTheme="majorEastAsia" w:hAnsiTheme="majorEastAsia" w:eastAsiaTheme="majorEastAsia" w:cstheme="majorEastAsia"/>
          <w:color w:val="auto"/>
          <w:szCs w:val="21"/>
          <w:highlight w:val="none"/>
          <w:u w:val="single"/>
        </w:rPr>
        <w:t>（企业名称）</w:t>
      </w:r>
      <w:r>
        <w:rPr>
          <w:rFonts w:hint="eastAsia" w:asciiTheme="majorEastAsia" w:hAnsiTheme="majorEastAsia" w:eastAsiaTheme="majorEastAsia" w:cstheme="majorEastAsia"/>
          <w:color w:val="auto"/>
          <w:szCs w:val="21"/>
          <w:highlight w:val="none"/>
        </w:rPr>
        <w:t>，从业人员</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人，营业收入为</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万元，资产总额为</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万元，属于</w:t>
      </w:r>
      <w:r>
        <w:rPr>
          <w:rFonts w:hint="eastAsia" w:asciiTheme="majorEastAsia" w:hAnsiTheme="majorEastAsia" w:eastAsiaTheme="majorEastAsia" w:cstheme="majorEastAsia"/>
          <w:color w:val="auto"/>
          <w:szCs w:val="21"/>
          <w:highlight w:val="none"/>
          <w:u w:val="single"/>
        </w:rPr>
        <w:t>（中型企业、小型企业、微型企业）</w:t>
      </w:r>
      <w:r>
        <w:rPr>
          <w:rFonts w:hint="eastAsia" w:asciiTheme="majorEastAsia" w:hAnsiTheme="majorEastAsia" w:eastAsiaTheme="majorEastAsia" w:cstheme="majorEastAsia"/>
          <w:color w:val="auto"/>
          <w:szCs w:val="21"/>
          <w:highlight w:val="none"/>
        </w:rPr>
        <w:t>；</w:t>
      </w:r>
    </w:p>
    <w:p w14:paraId="1B4B2C23">
      <w:pPr>
        <w:autoSpaceDE w:val="0"/>
        <w:autoSpaceDN w:val="0"/>
        <w:adjustRightInd w:val="0"/>
        <w:spacing w:line="360" w:lineRule="auto"/>
        <w:ind w:firstLine="42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w:t>
      </w:r>
    </w:p>
    <w:p w14:paraId="33213F53">
      <w:pPr>
        <w:autoSpaceDE w:val="0"/>
        <w:autoSpaceDN w:val="0"/>
        <w:adjustRightInd w:val="0"/>
        <w:spacing w:line="360" w:lineRule="auto"/>
        <w:ind w:firstLine="42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以上企业，不属于大企业的分支机构，不存在控股股东为大企业的情形，也不存在与大企业的负责人为同一人的情形。</w:t>
      </w:r>
    </w:p>
    <w:p w14:paraId="37ABCCE2">
      <w:pPr>
        <w:autoSpaceDE w:val="0"/>
        <w:autoSpaceDN w:val="0"/>
        <w:adjustRightInd w:val="0"/>
        <w:spacing w:line="360" w:lineRule="auto"/>
        <w:ind w:firstLine="42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本企业对上述声明内容的真实性负责。如有虚假，将依法承担相应责任。</w:t>
      </w:r>
    </w:p>
    <w:p w14:paraId="5420147E">
      <w:pPr>
        <w:pStyle w:val="73"/>
        <w:spacing w:before="120" w:line="360" w:lineRule="auto"/>
        <w:rPr>
          <w:rFonts w:hint="eastAsia" w:asciiTheme="majorEastAsia" w:hAnsiTheme="majorEastAsia" w:eastAsiaTheme="majorEastAsia" w:cstheme="majorEastAsia"/>
          <w:color w:val="auto"/>
          <w:kern w:val="2"/>
          <w:sz w:val="21"/>
          <w:szCs w:val="21"/>
          <w:highlight w:val="none"/>
        </w:rPr>
      </w:pPr>
    </w:p>
    <w:p w14:paraId="6E59BEDC">
      <w:pPr>
        <w:spacing w:before="60" w:after="60" w:line="48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投标人全称</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加盖电子公章</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w:t>
      </w:r>
      <w:r>
        <w:rPr>
          <w:rFonts w:hint="eastAsia" w:asciiTheme="majorEastAsia" w:hAnsiTheme="majorEastAsia" w:eastAsiaTheme="majorEastAsia" w:cstheme="majorEastAsia"/>
          <w:color w:val="auto"/>
          <w:szCs w:val="21"/>
          <w:highlight w:val="none"/>
          <w:u w:val="single"/>
        </w:rPr>
        <w:t xml:space="preserve">                                  </w:t>
      </w:r>
    </w:p>
    <w:p w14:paraId="6F0B5138">
      <w:pPr>
        <w:spacing w:before="60" w:after="60" w:line="480" w:lineRule="auto"/>
        <w:rPr>
          <w:rFonts w:hint="eastAsia" w:asciiTheme="majorEastAsia" w:hAnsiTheme="majorEastAsia" w:eastAsiaTheme="majorEastAsia" w:cstheme="majorEastAsia"/>
          <w:color w:val="auto"/>
          <w:szCs w:val="21"/>
          <w:highlight w:val="none"/>
          <w:u w:val="single"/>
        </w:rPr>
      </w:pPr>
      <w:r>
        <w:rPr>
          <w:rFonts w:hint="eastAsia" w:asciiTheme="majorEastAsia" w:hAnsiTheme="majorEastAsia" w:eastAsiaTheme="majorEastAsia" w:cstheme="majorEastAsia"/>
          <w:color w:val="auto"/>
          <w:szCs w:val="21"/>
          <w:highlight w:val="none"/>
        </w:rPr>
        <w:t>法定代表人或委托代理人（电子签名）：</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u w:val="single"/>
        </w:rPr>
        <w:t xml:space="preserve">            </w:t>
      </w:r>
    </w:p>
    <w:p w14:paraId="55A0D601">
      <w:pPr>
        <w:spacing w:before="60" w:after="60" w:line="48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日期：</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年</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月</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日</w:t>
      </w:r>
    </w:p>
    <w:p w14:paraId="29016721">
      <w:pPr>
        <w:spacing w:line="360" w:lineRule="auto"/>
        <w:ind w:right="960" w:firstLine="420" w:firstLineChars="200"/>
        <w:jc w:val="center"/>
        <w:rPr>
          <w:rFonts w:hint="eastAsia" w:asciiTheme="majorEastAsia" w:hAnsiTheme="majorEastAsia" w:eastAsiaTheme="majorEastAsia" w:cstheme="majorEastAsia"/>
          <w:color w:val="auto"/>
          <w:szCs w:val="21"/>
          <w:highlight w:val="none"/>
        </w:rPr>
      </w:pPr>
    </w:p>
    <w:p w14:paraId="12ADF17F">
      <w:pPr>
        <w:pStyle w:val="7"/>
        <w:ind w:firstLine="422"/>
        <w:jc w:val="left"/>
        <w:rPr>
          <w:rFonts w:hint="eastAsia" w:asciiTheme="majorEastAsia" w:hAnsiTheme="majorEastAsia" w:eastAsiaTheme="majorEastAsia" w:cstheme="majorEastAsia"/>
          <w:b/>
          <w:color w:val="auto"/>
          <w:highlight w:val="none"/>
        </w:rPr>
      </w:pPr>
    </w:p>
    <w:p w14:paraId="7EDE4611">
      <w:pPr>
        <w:spacing w:line="360" w:lineRule="auto"/>
        <w:ind w:firstLine="420" w:firstLineChars="200"/>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注：</w:t>
      </w:r>
    </w:p>
    <w:p w14:paraId="5C4A0052">
      <w:pPr>
        <w:spacing w:line="360" w:lineRule="auto"/>
        <w:ind w:firstLine="420" w:firstLineChars="200"/>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1.从业人员、营业收入、资产总额填报上一年度数据，无上一年度数据的新成立企业可不填报。</w:t>
      </w:r>
    </w:p>
    <w:p w14:paraId="4ABBBBAF">
      <w:pPr>
        <w:spacing w:line="360" w:lineRule="auto"/>
        <w:ind w:firstLine="420" w:firstLineChars="200"/>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szCs w:val="21"/>
          <w:highlight w:val="none"/>
        </w:rPr>
        <w:t>2、⑵按《政府采购促进中小企业发展管理办法》（财库［2020］46号）及《财政部关于进一步加大政府采购支持中小企业力度的通知》（财库［2022］19号）的规定提交</w:t>
      </w:r>
      <w:r>
        <w:rPr>
          <w:rFonts w:hint="eastAsia" w:asciiTheme="majorEastAsia" w:hAnsiTheme="majorEastAsia" w:eastAsiaTheme="majorEastAsia" w:cstheme="majorEastAsia"/>
          <w:b/>
          <w:color w:val="auto"/>
          <w:highlight w:val="none"/>
        </w:rPr>
        <w:t>。</w:t>
      </w:r>
    </w:p>
    <w:p w14:paraId="5462F3AC">
      <w:pPr>
        <w:pStyle w:val="7"/>
        <w:ind w:firstLine="422"/>
        <w:jc w:val="lef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br w:type="page"/>
      </w:r>
    </w:p>
    <w:p w14:paraId="1BCDF7DA">
      <w:pPr>
        <w:pStyle w:val="7"/>
        <w:spacing w:before="240"/>
        <w:jc w:val="center"/>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残疾人福利性单位声明函（若有）</w:t>
      </w:r>
    </w:p>
    <w:p w14:paraId="20B29ECE">
      <w:pPr>
        <w:pStyle w:val="7"/>
        <w:jc w:val="center"/>
        <w:rPr>
          <w:rFonts w:hint="eastAsia" w:asciiTheme="majorEastAsia" w:hAnsiTheme="majorEastAsia" w:eastAsiaTheme="majorEastAsia" w:cstheme="majorEastAsia"/>
          <w:color w:val="auto"/>
          <w:sz w:val="32"/>
          <w:highlight w:val="none"/>
        </w:rPr>
      </w:pPr>
    </w:p>
    <w:p w14:paraId="1BEBE95B">
      <w:pPr>
        <w:spacing w:line="588" w:lineRule="exact"/>
        <w:ind w:firstLine="444" w:firstLineChars="200"/>
        <w:rPr>
          <w:rFonts w:hint="eastAsia" w:asciiTheme="majorEastAsia" w:hAnsiTheme="majorEastAsia" w:eastAsiaTheme="majorEastAsia" w:cstheme="majorEastAsia"/>
          <w:color w:val="auto"/>
          <w:spacing w:val="6"/>
          <w:highlight w:val="none"/>
        </w:rPr>
      </w:pPr>
      <w:r>
        <w:rPr>
          <w:rFonts w:hint="eastAsia" w:asciiTheme="majorEastAsia" w:hAnsiTheme="majorEastAsia" w:eastAsiaTheme="majorEastAsia" w:cstheme="majorEastAsia"/>
          <w:color w:val="auto"/>
          <w:spacing w:val="6"/>
          <w:highlight w:val="none"/>
        </w:rPr>
        <w:t>本单位郑重声明，根据《财政部 民政部 中国残疾人联合会关于促进残疾人就业政府采购政策的通知》（财库</w:t>
      </w:r>
      <w:r>
        <w:rPr>
          <w:rFonts w:hint="eastAsia" w:asciiTheme="majorEastAsia" w:hAnsiTheme="majorEastAsia" w:eastAsiaTheme="majorEastAsia" w:cstheme="majorEastAsia"/>
          <w:color w:val="auto"/>
          <w:highlight w:val="none"/>
        </w:rPr>
        <w:t>〔2017〕 141</w:t>
      </w:r>
      <w:r>
        <w:rPr>
          <w:rFonts w:hint="eastAsia" w:asciiTheme="majorEastAsia" w:hAnsiTheme="majorEastAsia" w:eastAsiaTheme="majorEastAsia" w:cstheme="majorEastAsia"/>
          <w:color w:val="auto"/>
          <w:spacing w:val="6"/>
          <w:highlight w:val="none"/>
        </w:rPr>
        <w:t>号）的规定，本单位为符合条件的残疾人福利性单位，且本单位参加</w:t>
      </w:r>
      <w:r>
        <w:rPr>
          <w:rFonts w:hint="eastAsia" w:asciiTheme="majorEastAsia" w:hAnsiTheme="majorEastAsia" w:eastAsiaTheme="majorEastAsia" w:cstheme="majorEastAsia"/>
          <w:color w:val="auto"/>
          <w:spacing w:val="6"/>
          <w:highlight w:val="none"/>
          <w:u w:val="single"/>
          <w:lang w:val="en-US" w:eastAsia="zh-CN"/>
        </w:rPr>
        <w:t xml:space="preserve">      </w:t>
      </w:r>
      <w:r>
        <w:rPr>
          <w:rFonts w:hint="eastAsia" w:asciiTheme="majorEastAsia" w:hAnsiTheme="majorEastAsia" w:eastAsiaTheme="majorEastAsia" w:cstheme="majorEastAsia"/>
          <w:color w:val="auto"/>
          <w:spacing w:val="6"/>
          <w:highlight w:val="none"/>
        </w:rPr>
        <w:t>单位的</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lang w:eastAsia="zh-CN"/>
        </w:rPr>
        <w:t>（</w:t>
      </w:r>
      <w:r>
        <w:rPr>
          <w:rFonts w:hint="eastAsia" w:asciiTheme="majorEastAsia" w:hAnsiTheme="majorEastAsia" w:eastAsiaTheme="majorEastAsia" w:cstheme="majorEastAsia"/>
          <w:color w:val="auto"/>
          <w:szCs w:val="21"/>
          <w:highlight w:val="none"/>
          <w:u w:val="single"/>
          <w:lang w:val="en-US" w:eastAsia="zh-CN"/>
        </w:rPr>
        <w:t>项目名称</w:t>
      </w:r>
      <w:r>
        <w:rPr>
          <w:rFonts w:hint="eastAsia" w:asciiTheme="majorEastAsia" w:hAnsiTheme="majorEastAsia" w:eastAsiaTheme="majorEastAsia" w:cstheme="majorEastAsia"/>
          <w:color w:val="auto"/>
          <w:szCs w:val="21"/>
          <w:highlight w:val="none"/>
          <w:u w:val="single"/>
          <w:lang w:eastAsia="zh-CN"/>
        </w:rPr>
        <w:t>）（标段号）</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pacing w:val="6"/>
          <w:highlight w:val="none"/>
        </w:rPr>
        <w:t>采购活动提供本单位制造的货物（由本单位承担工程/提供服务），或者提供其他残疾人福利性单位制造的货物（不包括使用非残疾人福利性单位注册商标的货物）。</w:t>
      </w:r>
    </w:p>
    <w:p w14:paraId="14B401D3">
      <w:pPr>
        <w:spacing w:line="588" w:lineRule="exact"/>
        <w:ind w:firstLine="444" w:firstLineChars="200"/>
        <w:rPr>
          <w:rFonts w:hint="eastAsia" w:asciiTheme="majorEastAsia" w:hAnsiTheme="majorEastAsia" w:eastAsiaTheme="majorEastAsia" w:cstheme="majorEastAsia"/>
          <w:color w:val="auto"/>
          <w:spacing w:val="6"/>
          <w:highlight w:val="none"/>
        </w:rPr>
      </w:pPr>
      <w:r>
        <w:rPr>
          <w:rFonts w:hint="eastAsia" w:asciiTheme="majorEastAsia" w:hAnsiTheme="majorEastAsia" w:eastAsiaTheme="majorEastAsia" w:cstheme="majorEastAsia"/>
          <w:color w:val="auto"/>
          <w:spacing w:val="6"/>
          <w:highlight w:val="none"/>
        </w:rPr>
        <w:t>本单位对上述声明的真实性负责。如有虚假，将依法承担相应责任。</w:t>
      </w:r>
    </w:p>
    <w:p w14:paraId="1FEED3AC">
      <w:pPr>
        <w:spacing w:line="588" w:lineRule="exact"/>
        <w:rPr>
          <w:rFonts w:hint="eastAsia" w:asciiTheme="majorEastAsia" w:hAnsiTheme="majorEastAsia" w:eastAsiaTheme="majorEastAsia" w:cstheme="majorEastAsia"/>
          <w:color w:val="auto"/>
          <w:spacing w:val="6"/>
          <w:highlight w:val="none"/>
        </w:rPr>
      </w:pPr>
    </w:p>
    <w:p w14:paraId="6A8ED866">
      <w:pPr>
        <w:spacing w:before="60" w:after="60" w:line="48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投标人全称</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加盖电子公章</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w:t>
      </w:r>
      <w:r>
        <w:rPr>
          <w:rFonts w:hint="eastAsia" w:asciiTheme="majorEastAsia" w:hAnsiTheme="majorEastAsia" w:eastAsiaTheme="majorEastAsia" w:cstheme="majorEastAsia"/>
          <w:color w:val="auto"/>
          <w:szCs w:val="21"/>
          <w:highlight w:val="none"/>
          <w:u w:val="single"/>
        </w:rPr>
        <w:t xml:space="preserve">                                  </w:t>
      </w:r>
    </w:p>
    <w:p w14:paraId="34A6495A">
      <w:pPr>
        <w:spacing w:before="60" w:after="60" w:line="480" w:lineRule="auto"/>
        <w:rPr>
          <w:rFonts w:hint="eastAsia" w:asciiTheme="majorEastAsia" w:hAnsiTheme="majorEastAsia" w:eastAsiaTheme="majorEastAsia" w:cstheme="majorEastAsia"/>
          <w:color w:val="auto"/>
          <w:szCs w:val="21"/>
          <w:highlight w:val="none"/>
          <w:u w:val="single"/>
        </w:rPr>
      </w:pPr>
      <w:r>
        <w:rPr>
          <w:rFonts w:hint="eastAsia" w:asciiTheme="majorEastAsia" w:hAnsiTheme="majorEastAsia" w:eastAsiaTheme="majorEastAsia" w:cstheme="majorEastAsia"/>
          <w:color w:val="auto"/>
          <w:szCs w:val="21"/>
          <w:highlight w:val="none"/>
        </w:rPr>
        <w:t>法定代表人或委托代理人（电子签名）：</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u w:val="single"/>
        </w:rPr>
        <w:t xml:space="preserve">            </w:t>
      </w:r>
    </w:p>
    <w:p w14:paraId="0556F5DD">
      <w:pPr>
        <w:spacing w:before="60" w:after="60" w:line="48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日期：</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年</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月</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日</w:t>
      </w:r>
    </w:p>
    <w:p w14:paraId="388D2881">
      <w:pPr>
        <w:spacing w:line="360" w:lineRule="auto"/>
        <w:ind w:firstLine="480" w:firstLineChars="200"/>
        <w:rPr>
          <w:rFonts w:hint="eastAsia" w:asciiTheme="majorEastAsia" w:hAnsiTheme="majorEastAsia" w:eastAsiaTheme="majorEastAsia" w:cstheme="majorEastAsia"/>
          <w:color w:val="auto"/>
          <w:sz w:val="24"/>
          <w:highlight w:val="none"/>
        </w:rPr>
      </w:pPr>
    </w:p>
    <w:p w14:paraId="54460FCA">
      <w:pPr>
        <w:spacing w:line="360" w:lineRule="auto"/>
        <w:ind w:firstLine="480" w:firstLineChars="200"/>
        <w:rPr>
          <w:rFonts w:hint="eastAsia" w:asciiTheme="majorEastAsia" w:hAnsiTheme="majorEastAsia" w:eastAsiaTheme="majorEastAsia" w:cstheme="majorEastAsia"/>
          <w:color w:val="auto"/>
          <w:sz w:val="24"/>
          <w:highlight w:val="none"/>
        </w:rPr>
      </w:pPr>
    </w:p>
    <w:p w14:paraId="54B88487">
      <w:pPr>
        <w:pStyle w:val="7"/>
        <w:spacing w:line="360" w:lineRule="auto"/>
        <w:ind w:firstLine="422"/>
        <w:jc w:val="lef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注：符合条件的残疾人福利性单位在参加政府采购活动时，应当按《三部门联合发布关于促进残疾人就业政府采购政策的通知》（财库〔2017〕141号）提供规定的《残疾人福利性单位声明函》，并对声明的真实性负责，本声明函只填写属于残疾人福利性单位生产的产品，不属于残疾人福利性单位的产品不需要填写，本表不填写不构成废标条款，但不得参与残疾人福利性单位扣减。</w:t>
      </w:r>
    </w:p>
    <w:p w14:paraId="26C8F0AC">
      <w:pPr>
        <w:rPr>
          <w:rFonts w:hint="eastAsia" w:asciiTheme="majorEastAsia" w:hAnsiTheme="majorEastAsia" w:eastAsiaTheme="majorEastAsia" w:cstheme="majorEastAsia"/>
          <w:color w:val="auto"/>
          <w:highlight w:val="none"/>
        </w:rPr>
      </w:pPr>
    </w:p>
    <w:p w14:paraId="7FB7F81F">
      <w:pPr>
        <w:tabs>
          <w:tab w:val="left" w:pos="4860"/>
        </w:tabs>
        <w:spacing w:line="360" w:lineRule="auto"/>
        <w:ind w:right="1560" w:firstLine="444" w:firstLineChars="200"/>
        <w:rPr>
          <w:rFonts w:hint="eastAsia" w:asciiTheme="majorEastAsia" w:hAnsiTheme="majorEastAsia" w:eastAsiaTheme="majorEastAsia" w:cstheme="majorEastAsia"/>
          <w:color w:val="auto"/>
          <w:spacing w:val="6"/>
          <w:szCs w:val="21"/>
          <w:highlight w:val="none"/>
        </w:rPr>
      </w:pPr>
    </w:p>
    <w:p w14:paraId="549DC0D1">
      <w:pPr>
        <w:tabs>
          <w:tab w:val="left" w:pos="4860"/>
        </w:tabs>
        <w:spacing w:line="360" w:lineRule="auto"/>
        <w:ind w:right="1560" w:firstLine="444" w:firstLineChars="200"/>
        <w:rPr>
          <w:rFonts w:hint="eastAsia" w:asciiTheme="majorEastAsia" w:hAnsiTheme="majorEastAsia" w:eastAsiaTheme="majorEastAsia" w:cstheme="majorEastAsia"/>
          <w:color w:val="auto"/>
          <w:spacing w:val="6"/>
          <w:szCs w:val="21"/>
          <w:highlight w:val="none"/>
        </w:rPr>
      </w:pPr>
    </w:p>
    <w:p w14:paraId="3D874F34">
      <w:pPr>
        <w:tabs>
          <w:tab w:val="left" w:pos="4860"/>
        </w:tabs>
        <w:spacing w:line="360" w:lineRule="auto"/>
        <w:ind w:right="1560" w:firstLine="444" w:firstLineChars="200"/>
        <w:rPr>
          <w:rFonts w:hint="eastAsia" w:asciiTheme="majorEastAsia" w:hAnsiTheme="majorEastAsia" w:eastAsiaTheme="majorEastAsia" w:cstheme="majorEastAsia"/>
          <w:color w:val="auto"/>
          <w:spacing w:val="6"/>
          <w:szCs w:val="21"/>
          <w:highlight w:val="none"/>
        </w:rPr>
      </w:pPr>
    </w:p>
    <w:p w14:paraId="2E5CDA70">
      <w:pPr>
        <w:pStyle w:val="7"/>
        <w:ind w:firstLine="643"/>
        <w:jc w:val="center"/>
        <w:rPr>
          <w:rFonts w:hint="eastAsia" w:asciiTheme="majorEastAsia" w:hAnsiTheme="majorEastAsia" w:eastAsiaTheme="majorEastAsia" w:cstheme="majorEastAsia"/>
          <w:b/>
          <w:color w:val="auto"/>
          <w:sz w:val="32"/>
          <w:szCs w:val="32"/>
          <w:highlight w:val="none"/>
        </w:rPr>
      </w:pPr>
    </w:p>
    <w:p w14:paraId="1780485C">
      <w:pPr>
        <w:rPr>
          <w:rFonts w:hint="eastAsia" w:asciiTheme="majorEastAsia" w:hAnsiTheme="majorEastAsia" w:eastAsiaTheme="majorEastAsia" w:cstheme="majorEastAsia"/>
          <w:b/>
          <w:color w:val="auto"/>
          <w:sz w:val="32"/>
          <w:szCs w:val="32"/>
          <w:highlight w:val="none"/>
        </w:rPr>
      </w:pPr>
      <w:bookmarkStart w:id="289" w:name="_Toc530392270"/>
      <w:bookmarkStart w:id="290" w:name="_Toc10117047"/>
      <w:r>
        <w:rPr>
          <w:rFonts w:hint="eastAsia" w:asciiTheme="majorEastAsia" w:hAnsiTheme="majorEastAsia" w:eastAsiaTheme="majorEastAsia" w:cstheme="majorEastAsia"/>
          <w:b/>
          <w:color w:val="auto"/>
          <w:sz w:val="32"/>
          <w:szCs w:val="32"/>
          <w:highlight w:val="none"/>
        </w:rPr>
        <w:br w:type="page"/>
      </w:r>
    </w:p>
    <w:p w14:paraId="122EB089">
      <w:pPr>
        <w:pStyle w:val="7"/>
        <w:ind w:firstLine="643"/>
        <w:jc w:val="center"/>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监狱企业证明材料</w:t>
      </w:r>
      <w:bookmarkEnd w:id="289"/>
      <w:bookmarkEnd w:id="290"/>
      <w:r>
        <w:rPr>
          <w:rFonts w:hint="eastAsia" w:asciiTheme="majorEastAsia" w:hAnsiTheme="majorEastAsia" w:eastAsiaTheme="majorEastAsia" w:cstheme="majorEastAsia"/>
          <w:b/>
          <w:color w:val="auto"/>
          <w:sz w:val="32"/>
          <w:szCs w:val="32"/>
          <w:highlight w:val="none"/>
        </w:rPr>
        <w:t>（若有）</w:t>
      </w:r>
    </w:p>
    <w:p w14:paraId="00EB5E2A">
      <w:pPr>
        <w:jc w:val="center"/>
        <w:rPr>
          <w:rFonts w:hint="eastAsia" w:asciiTheme="majorEastAsia" w:hAnsiTheme="majorEastAsia" w:eastAsiaTheme="majorEastAsia" w:cstheme="majorEastAsia"/>
          <w:color w:val="auto"/>
          <w:szCs w:val="21"/>
          <w:highlight w:val="none"/>
          <w:shd w:val="clear" w:color="auto" w:fill="FFFFFF"/>
        </w:rPr>
      </w:pPr>
    </w:p>
    <w:p w14:paraId="60F1955E">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Cs w:val="21"/>
          <w:highlight w:val="none"/>
          <w:shd w:val="clear" w:color="auto" w:fill="FFFFFF"/>
        </w:rPr>
        <w:t>附监狱企业证明材料扫描件</w:t>
      </w:r>
    </w:p>
    <w:bookmarkEnd w:id="268"/>
    <w:bookmarkEnd w:id="269"/>
    <w:p w14:paraId="291A409D">
      <w:pPr>
        <w:pStyle w:val="4"/>
        <w:numPr>
          <w:ilvl w:val="2"/>
          <w:numId w:val="0"/>
        </w:numPr>
        <w:tabs>
          <w:tab w:val="clear" w:pos="900"/>
        </w:tabs>
        <w:spacing w:line="360" w:lineRule="auto"/>
        <w:ind w:left="851" w:leftChars="0"/>
        <w:jc w:val="center"/>
        <w:rPr>
          <w:rFonts w:hint="eastAsia" w:asciiTheme="majorEastAsia" w:hAnsiTheme="majorEastAsia" w:eastAsiaTheme="majorEastAsia" w:cstheme="majorEastAsia"/>
          <w:color w:val="auto"/>
          <w:sz w:val="28"/>
          <w:szCs w:val="28"/>
          <w:highlight w:val="none"/>
        </w:rPr>
      </w:pPr>
      <w:bookmarkStart w:id="291" w:name="_Toc529957209"/>
      <w:bookmarkStart w:id="292" w:name="_Toc486584257"/>
      <w:bookmarkStart w:id="293" w:name="_Toc389644557"/>
      <w:bookmarkStart w:id="294" w:name="_Toc450064606"/>
      <w:bookmarkStart w:id="295" w:name="_Toc38173197"/>
      <w:bookmarkStart w:id="296" w:name="_Toc78603134"/>
      <w:bookmarkStart w:id="297" w:name="_Toc31603098"/>
      <w:r>
        <w:rPr>
          <w:rFonts w:hint="eastAsia" w:asciiTheme="majorEastAsia" w:hAnsiTheme="majorEastAsia" w:eastAsiaTheme="majorEastAsia" w:cstheme="majorEastAsia"/>
          <w:color w:val="auto"/>
          <w:sz w:val="32"/>
          <w:highlight w:val="none"/>
        </w:rPr>
        <w:br w:type="page"/>
      </w:r>
      <w:bookmarkStart w:id="298" w:name="_Toc10117048"/>
      <w:bookmarkStart w:id="299" w:name="_Toc113569080"/>
      <w:bookmarkStart w:id="300" w:name="_Toc111813252"/>
      <w:r>
        <w:rPr>
          <w:rFonts w:hint="eastAsia" w:asciiTheme="majorEastAsia" w:hAnsiTheme="majorEastAsia" w:eastAsiaTheme="majorEastAsia" w:cstheme="majorEastAsia"/>
          <w:color w:val="auto"/>
          <w:highlight w:val="none"/>
        </w:rPr>
        <w:t>（五）类似项目业绩表</w:t>
      </w:r>
      <w:bookmarkEnd w:id="298"/>
      <w:bookmarkEnd w:id="299"/>
      <w:bookmarkEnd w:id="300"/>
      <w:r>
        <w:rPr>
          <w:rFonts w:hint="eastAsia" w:asciiTheme="majorEastAsia" w:hAnsiTheme="majorEastAsia" w:eastAsiaTheme="majorEastAsia" w:cstheme="majorEastAsia"/>
          <w:color w:val="auto"/>
          <w:highlight w:val="none"/>
        </w:rPr>
        <w:t>（若有）</w:t>
      </w:r>
    </w:p>
    <w:tbl>
      <w:tblPr>
        <w:tblStyle w:val="3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05"/>
        <w:gridCol w:w="2047"/>
        <w:gridCol w:w="2507"/>
        <w:gridCol w:w="1838"/>
        <w:gridCol w:w="1529"/>
      </w:tblGrid>
      <w:tr w14:paraId="2D44F0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6"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54A4292A">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序号</w:t>
            </w:r>
          </w:p>
        </w:tc>
        <w:tc>
          <w:tcPr>
            <w:tcW w:w="2047" w:type="dxa"/>
            <w:tcBorders>
              <w:top w:val="single" w:color="auto" w:sz="6" w:space="0"/>
              <w:left w:val="single" w:color="auto" w:sz="6" w:space="0"/>
              <w:bottom w:val="single" w:color="auto" w:sz="6" w:space="0"/>
              <w:right w:val="single" w:color="auto" w:sz="6" w:space="0"/>
            </w:tcBorders>
            <w:noWrap w:val="0"/>
            <w:vAlign w:val="center"/>
          </w:tcPr>
          <w:p w14:paraId="5DBA4BB4">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项目名称</w:t>
            </w:r>
          </w:p>
        </w:tc>
        <w:tc>
          <w:tcPr>
            <w:tcW w:w="2507" w:type="dxa"/>
            <w:tcBorders>
              <w:top w:val="single" w:color="auto" w:sz="6" w:space="0"/>
              <w:left w:val="single" w:color="auto" w:sz="6" w:space="0"/>
              <w:bottom w:val="single" w:color="auto" w:sz="6" w:space="0"/>
              <w:right w:val="single" w:color="auto" w:sz="4" w:space="0"/>
            </w:tcBorders>
            <w:noWrap w:val="0"/>
            <w:vAlign w:val="center"/>
          </w:tcPr>
          <w:p w14:paraId="3FFA8AB6">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业主名称</w:t>
            </w:r>
          </w:p>
        </w:tc>
        <w:tc>
          <w:tcPr>
            <w:tcW w:w="1838" w:type="dxa"/>
            <w:tcBorders>
              <w:top w:val="single" w:color="auto" w:sz="6" w:space="0"/>
              <w:left w:val="single" w:color="auto" w:sz="6" w:space="0"/>
              <w:bottom w:val="single" w:color="auto" w:sz="6" w:space="0"/>
              <w:right w:val="single" w:color="auto" w:sz="4" w:space="0"/>
            </w:tcBorders>
            <w:noWrap w:val="0"/>
            <w:vAlign w:val="center"/>
          </w:tcPr>
          <w:p w14:paraId="4D7FC321">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合同金额（万元）</w:t>
            </w:r>
          </w:p>
        </w:tc>
        <w:tc>
          <w:tcPr>
            <w:tcW w:w="1529" w:type="dxa"/>
            <w:tcBorders>
              <w:top w:val="single" w:color="auto" w:sz="6" w:space="0"/>
              <w:left w:val="single" w:color="auto" w:sz="6" w:space="0"/>
              <w:bottom w:val="single" w:color="auto" w:sz="6" w:space="0"/>
              <w:right w:val="single" w:color="auto" w:sz="6" w:space="0"/>
            </w:tcBorders>
            <w:noWrap w:val="0"/>
            <w:vAlign w:val="center"/>
          </w:tcPr>
          <w:p w14:paraId="63940F33">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完成时间</w:t>
            </w:r>
          </w:p>
        </w:tc>
      </w:tr>
      <w:tr w14:paraId="488E82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6"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12766D41">
            <w:pPr>
              <w:spacing w:line="360" w:lineRule="auto"/>
              <w:ind w:left="120"/>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w:t>
            </w:r>
          </w:p>
        </w:tc>
        <w:tc>
          <w:tcPr>
            <w:tcW w:w="2047" w:type="dxa"/>
            <w:tcBorders>
              <w:top w:val="single" w:color="auto" w:sz="6" w:space="0"/>
              <w:left w:val="single" w:color="auto" w:sz="6" w:space="0"/>
              <w:bottom w:val="single" w:color="auto" w:sz="6" w:space="0"/>
              <w:right w:val="single" w:color="auto" w:sz="6" w:space="0"/>
            </w:tcBorders>
            <w:noWrap w:val="0"/>
            <w:vAlign w:val="center"/>
          </w:tcPr>
          <w:p w14:paraId="1ECEBDC9">
            <w:pPr>
              <w:spacing w:line="360" w:lineRule="auto"/>
              <w:jc w:val="center"/>
              <w:rPr>
                <w:rFonts w:hint="eastAsia" w:asciiTheme="majorEastAsia" w:hAnsiTheme="majorEastAsia" w:eastAsiaTheme="majorEastAsia" w:cstheme="majorEastAsia"/>
                <w:color w:val="auto"/>
                <w:szCs w:val="21"/>
                <w:highlight w:val="none"/>
              </w:rPr>
            </w:pPr>
          </w:p>
        </w:tc>
        <w:tc>
          <w:tcPr>
            <w:tcW w:w="2507" w:type="dxa"/>
            <w:tcBorders>
              <w:top w:val="single" w:color="auto" w:sz="6" w:space="0"/>
              <w:left w:val="single" w:color="auto" w:sz="6" w:space="0"/>
              <w:bottom w:val="single" w:color="auto" w:sz="6" w:space="0"/>
              <w:right w:val="single" w:color="auto" w:sz="4" w:space="0"/>
            </w:tcBorders>
            <w:noWrap w:val="0"/>
            <w:vAlign w:val="center"/>
          </w:tcPr>
          <w:p w14:paraId="6492083A">
            <w:pPr>
              <w:spacing w:line="360" w:lineRule="auto"/>
              <w:jc w:val="center"/>
              <w:rPr>
                <w:rFonts w:hint="eastAsia" w:asciiTheme="majorEastAsia" w:hAnsiTheme="majorEastAsia" w:eastAsiaTheme="majorEastAsia" w:cstheme="majorEastAsia"/>
                <w:color w:val="auto"/>
                <w:szCs w:val="21"/>
                <w:highlight w:val="none"/>
              </w:rPr>
            </w:pPr>
          </w:p>
        </w:tc>
        <w:tc>
          <w:tcPr>
            <w:tcW w:w="1838" w:type="dxa"/>
            <w:tcBorders>
              <w:top w:val="single" w:color="auto" w:sz="6" w:space="0"/>
              <w:left w:val="single" w:color="auto" w:sz="6" w:space="0"/>
              <w:bottom w:val="single" w:color="auto" w:sz="6" w:space="0"/>
              <w:right w:val="single" w:color="auto" w:sz="4" w:space="0"/>
            </w:tcBorders>
            <w:noWrap w:val="0"/>
            <w:vAlign w:val="center"/>
          </w:tcPr>
          <w:p w14:paraId="2CFC9E29">
            <w:pPr>
              <w:spacing w:line="360" w:lineRule="auto"/>
              <w:jc w:val="center"/>
              <w:rPr>
                <w:rFonts w:hint="eastAsia" w:asciiTheme="majorEastAsia" w:hAnsiTheme="majorEastAsia" w:eastAsiaTheme="majorEastAsia" w:cstheme="majorEastAsia"/>
                <w:color w:val="auto"/>
                <w:szCs w:val="21"/>
                <w:highlight w:val="none"/>
              </w:rPr>
            </w:pPr>
          </w:p>
        </w:tc>
        <w:tc>
          <w:tcPr>
            <w:tcW w:w="1529" w:type="dxa"/>
            <w:tcBorders>
              <w:top w:val="single" w:color="auto" w:sz="6" w:space="0"/>
              <w:left w:val="single" w:color="auto" w:sz="6" w:space="0"/>
              <w:bottom w:val="single" w:color="auto" w:sz="6" w:space="0"/>
              <w:right w:val="single" w:color="auto" w:sz="6" w:space="0"/>
            </w:tcBorders>
            <w:noWrap w:val="0"/>
            <w:vAlign w:val="center"/>
          </w:tcPr>
          <w:p w14:paraId="172B6B6D">
            <w:pPr>
              <w:spacing w:line="360" w:lineRule="auto"/>
              <w:jc w:val="center"/>
              <w:rPr>
                <w:rFonts w:hint="eastAsia" w:asciiTheme="majorEastAsia" w:hAnsiTheme="majorEastAsia" w:eastAsiaTheme="majorEastAsia" w:cstheme="majorEastAsia"/>
                <w:color w:val="auto"/>
                <w:szCs w:val="21"/>
                <w:highlight w:val="none"/>
              </w:rPr>
            </w:pPr>
          </w:p>
        </w:tc>
      </w:tr>
      <w:tr w14:paraId="48190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6"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006E94E1">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2</w:t>
            </w:r>
          </w:p>
        </w:tc>
        <w:tc>
          <w:tcPr>
            <w:tcW w:w="2047" w:type="dxa"/>
            <w:tcBorders>
              <w:top w:val="single" w:color="auto" w:sz="6" w:space="0"/>
              <w:left w:val="single" w:color="auto" w:sz="6" w:space="0"/>
              <w:bottom w:val="single" w:color="auto" w:sz="6" w:space="0"/>
              <w:right w:val="single" w:color="auto" w:sz="6" w:space="0"/>
            </w:tcBorders>
            <w:noWrap w:val="0"/>
            <w:vAlign w:val="center"/>
          </w:tcPr>
          <w:p w14:paraId="320B8794">
            <w:pPr>
              <w:spacing w:line="360" w:lineRule="auto"/>
              <w:jc w:val="center"/>
              <w:rPr>
                <w:rFonts w:hint="eastAsia" w:asciiTheme="majorEastAsia" w:hAnsiTheme="majorEastAsia" w:eastAsiaTheme="majorEastAsia" w:cstheme="majorEastAsia"/>
                <w:color w:val="auto"/>
                <w:szCs w:val="21"/>
                <w:highlight w:val="none"/>
              </w:rPr>
            </w:pPr>
          </w:p>
        </w:tc>
        <w:tc>
          <w:tcPr>
            <w:tcW w:w="2507" w:type="dxa"/>
            <w:tcBorders>
              <w:top w:val="single" w:color="auto" w:sz="6" w:space="0"/>
              <w:left w:val="single" w:color="auto" w:sz="6" w:space="0"/>
              <w:bottom w:val="single" w:color="auto" w:sz="6" w:space="0"/>
              <w:right w:val="single" w:color="auto" w:sz="4" w:space="0"/>
            </w:tcBorders>
            <w:noWrap w:val="0"/>
            <w:vAlign w:val="center"/>
          </w:tcPr>
          <w:p w14:paraId="4C545490">
            <w:pPr>
              <w:spacing w:line="360" w:lineRule="auto"/>
              <w:jc w:val="center"/>
              <w:rPr>
                <w:rFonts w:hint="eastAsia" w:asciiTheme="majorEastAsia" w:hAnsiTheme="majorEastAsia" w:eastAsiaTheme="majorEastAsia" w:cstheme="majorEastAsia"/>
                <w:color w:val="auto"/>
                <w:szCs w:val="21"/>
                <w:highlight w:val="none"/>
              </w:rPr>
            </w:pPr>
          </w:p>
        </w:tc>
        <w:tc>
          <w:tcPr>
            <w:tcW w:w="1838" w:type="dxa"/>
            <w:tcBorders>
              <w:top w:val="single" w:color="auto" w:sz="6" w:space="0"/>
              <w:left w:val="single" w:color="auto" w:sz="6" w:space="0"/>
              <w:bottom w:val="single" w:color="auto" w:sz="6" w:space="0"/>
              <w:right w:val="single" w:color="auto" w:sz="4" w:space="0"/>
            </w:tcBorders>
            <w:noWrap w:val="0"/>
            <w:vAlign w:val="center"/>
          </w:tcPr>
          <w:p w14:paraId="38718420">
            <w:pPr>
              <w:spacing w:line="360" w:lineRule="auto"/>
              <w:jc w:val="center"/>
              <w:rPr>
                <w:rFonts w:hint="eastAsia" w:asciiTheme="majorEastAsia" w:hAnsiTheme="majorEastAsia" w:eastAsiaTheme="majorEastAsia" w:cstheme="majorEastAsia"/>
                <w:color w:val="auto"/>
                <w:szCs w:val="21"/>
                <w:highlight w:val="none"/>
              </w:rPr>
            </w:pPr>
          </w:p>
        </w:tc>
        <w:tc>
          <w:tcPr>
            <w:tcW w:w="1529" w:type="dxa"/>
            <w:tcBorders>
              <w:top w:val="single" w:color="auto" w:sz="6" w:space="0"/>
              <w:left w:val="single" w:color="auto" w:sz="6" w:space="0"/>
              <w:bottom w:val="single" w:color="auto" w:sz="6" w:space="0"/>
              <w:right w:val="single" w:color="auto" w:sz="6" w:space="0"/>
            </w:tcBorders>
            <w:noWrap w:val="0"/>
            <w:vAlign w:val="center"/>
          </w:tcPr>
          <w:p w14:paraId="542106E2">
            <w:pPr>
              <w:spacing w:line="360" w:lineRule="auto"/>
              <w:jc w:val="center"/>
              <w:rPr>
                <w:rFonts w:hint="eastAsia" w:asciiTheme="majorEastAsia" w:hAnsiTheme="majorEastAsia" w:eastAsiaTheme="majorEastAsia" w:cstheme="majorEastAsia"/>
                <w:color w:val="auto"/>
                <w:szCs w:val="21"/>
                <w:highlight w:val="none"/>
              </w:rPr>
            </w:pPr>
          </w:p>
        </w:tc>
      </w:tr>
      <w:tr w14:paraId="524F2B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6"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7E9C4C4F">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3</w:t>
            </w:r>
          </w:p>
        </w:tc>
        <w:tc>
          <w:tcPr>
            <w:tcW w:w="2047" w:type="dxa"/>
            <w:tcBorders>
              <w:top w:val="single" w:color="auto" w:sz="6" w:space="0"/>
              <w:left w:val="single" w:color="auto" w:sz="6" w:space="0"/>
              <w:bottom w:val="single" w:color="auto" w:sz="6" w:space="0"/>
              <w:right w:val="single" w:color="auto" w:sz="6" w:space="0"/>
            </w:tcBorders>
            <w:noWrap w:val="0"/>
            <w:vAlign w:val="center"/>
          </w:tcPr>
          <w:p w14:paraId="78C963EE">
            <w:pPr>
              <w:spacing w:line="360" w:lineRule="auto"/>
              <w:jc w:val="center"/>
              <w:rPr>
                <w:rFonts w:hint="eastAsia" w:asciiTheme="majorEastAsia" w:hAnsiTheme="majorEastAsia" w:eastAsiaTheme="majorEastAsia" w:cstheme="majorEastAsia"/>
                <w:color w:val="auto"/>
                <w:szCs w:val="21"/>
                <w:highlight w:val="none"/>
              </w:rPr>
            </w:pPr>
          </w:p>
        </w:tc>
        <w:tc>
          <w:tcPr>
            <w:tcW w:w="2507" w:type="dxa"/>
            <w:tcBorders>
              <w:top w:val="single" w:color="auto" w:sz="6" w:space="0"/>
              <w:left w:val="single" w:color="auto" w:sz="6" w:space="0"/>
              <w:bottom w:val="single" w:color="auto" w:sz="6" w:space="0"/>
              <w:right w:val="single" w:color="auto" w:sz="4" w:space="0"/>
            </w:tcBorders>
            <w:noWrap w:val="0"/>
            <w:vAlign w:val="center"/>
          </w:tcPr>
          <w:p w14:paraId="2D357B39">
            <w:pPr>
              <w:spacing w:line="360" w:lineRule="auto"/>
              <w:jc w:val="center"/>
              <w:rPr>
                <w:rFonts w:hint="eastAsia" w:asciiTheme="majorEastAsia" w:hAnsiTheme="majorEastAsia" w:eastAsiaTheme="majorEastAsia" w:cstheme="majorEastAsia"/>
                <w:color w:val="auto"/>
                <w:szCs w:val="21"/>
                <w:highlight w:val="none"/>
              </w:rPr>
            </w:pPr>
          </w:p>
        </w:tc>
        <w:tc>
          <w:tcPr>
            <w:tcW w:w="1838" w:type="dxa"/>
            <w:tcBorders>
              <w:top w:val="single" w:color="auto" w:sz="6" w:space="0"/>
              <w:left w:val="single" w:color="auto" w:sz="6" w:space="0"/>
              <w:bottom w:val="single" w:color="auto" w:sz="6" w:space="0"/>
              <w:right w:val="single" w:color="auto" w:sz="4" w:space="0"/>
            </w:tcBorders>
            <w:noWrap w:val="0"/>
            <w:vAlign w:val="center"/>
          </w:tcPr>
          <w:p w14:paraId="39F7BB13">
            <w:pPr>
              <w:spacing w:line="360" w:lineRule="auto"/>
              <w:jc w:val="center"/>
              <w:rPr>
                <w:rFonts w:hint="eastAsia" w:asciiTheme="majorEastAsia" w:hAnsiTheme="majorEastAsia" w:eastAsiaTheme="majorEastAsia" w:cstheme="majorEastAsia"/>
                <w:color w:val="auto"/>
                <w:szCs w:val="21"/>
                <w:highlight w:val="none"/>
              </w:rPr>
            </w:pPr>
          </w:p>
        </w:tc>
        <w:tc>
          <w:tcPr>
            <w:tcW w:w="1529" w:type="dxa"/>
            <w:tcBorders>
              <w:top w:val="single" w:color="auto" w:sz="6" w:space="0"/>
              <w:left w:val="single" w:color="auto" w:sz="6" w:space="0"/>
              <w:bottom w:val="single" w:color="auto" w:sz="6" w:space="0"/>
              <w:right w:val="single" w:color="auto" w:sz="6" w:space="0"/>
            </w:tcBorders>
            <w:noWrap w:val="0"/>
            <w:vAlign w:val="center"/>
          </w:tcPr>
          <w:p w14:paraId="61B59776">
            <w:pPr>
              <w:spacing w:line="360" w:lineRule="auto"/>
              <w:jc w:val="center"/>
              <w:rPr>
                <w:rFonts w:hint="eastAsia" w:asciiTheme="majorEastAsia" w:hAnsiTheme="majorEastAsia" w:eastAsiaTheme="majorEastAsia" w:cstheme="majorEastAsia"/>
                <w:color w:val="auto"/>
                <w:szCs w:val="21"/>
                <w:highlight w:val="none"/>
              </w:rPr>
            </w:pPr>
          </w:p>
        </w:tc>
      </w:tr>
      <w:tr w14:paraId="5845A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6"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031CE12F">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4</w:t>
            </w:r>
          </w:p>
        </w:tc>
        <w:tc>
          <w:tcPr>
            <w:tcW w:w="2047" w:type="dxa"/>
            <w:tcBorders>
              <w:top w:val="single" w:color="auto" w:sz="6" w:space="0"/>
              <w:left w:val="single" w:color="auto" w:sz="6" w:space="0"/>
              <w:bottom w:val="single" w:color="auto" w:sz="6" w:space="0"/>
              <w:right w:val="single" w:color="auto" w:sz="6" w:space="0"/>
            </w:tcBorders>
            <w:noWrap w:val="0"/>
            <w:vAlign w:val="center"/>
          </w:tcPr>
          <w:p w14:paraId="3D4FC58C">
            <w:pPr>
              <w:spacing w:line="360" w:lineRule="auto"/>
              <w:jc w:val="center"/>
              <w:rPr>
                <w:rFonts w:hint="eastAsia" w:asciiTheme="majorEastAsia" w:hAnsiTheme="majorEastAsia" w:eastAsiaTheme="majorEastAsia" w:cstheme="majorEastAsia"/>
                <w:color w:val="auto"/>
                <w:szCs w:val="21"/>
                <w:highlight w:val="none"/>
              </w:rPr>
            </w:pPr>
          </w:p>
        </w:tc>
        <w:tc>
          <w:tcPr>
            <w:tcW w:w="2507" w:type="dxa"/>
            <w:tcBorders>
              <w:top w:val="single" w:color="auto" w:sz="6" w:space="0"/>
              <w:left w:val="single" w:color="auto" w:sz="6" w:space="0"/>
              <w:bottom w:val="single" w:color="auto" w:sz="6" w:space="0"/>
              <w:right w:val="single" w:color="auto" w:sz="4" w:space="0"/>
            </w:tcBorders>
            <w:noWrap w:val="0"/>
            <w:vAlign w:val="center"/>
          </w:tcPr>
          <w:p w14:paraId="0321FA29">
            <w:pPr>
              <w:spacing w:line="360" w:lineRule="auto"/>
              <w:jc w:val="center"/>
              <w:rPr>
                <w:rFonts w:hint="eastAsia" w:asciiTheme="majorEastAsia" w:hAnsiTheme="majorEastAsia" w:eastAsiaTheme="majorEastAsia" w:cstheme="majorEastAsia"/>
                <w:color w:val="auto"/>
                <w:szCs w:val="21"/>
                <w:highlight w:val="none"/>
              </w:rPr>
            </w:pPr>
          </w:p>
        </w:tc>
        <w:tc>
          <w:tcPr>
            <w:tcW w:w="1838" w:type="dxa"/>
            <w:tcBorders>
              <w:top w:val="single" w:color="auto" w:sz="6" w:space="0"/>
              <w:left w:val="single" w:color="auto" w:sz="6" w:space="0"/>
              <w:bottom w:val="single" w:color="auto" w:sz="6" w:space="0"/>
              <w:right w:val="single" w:color="auto" w:sz="4" w:space="0"/>
            </w:tcBorders>
            <w:noWrap w:val="0"/>
            <w:vAlign w:val="center"/>
          </w:tcPr>
          <w:p w14:paraId="4C63CDA6">
            <w:pPr>
              <w:spacing w:line="360" w:lineRule="auto"/>
              <w:jc w:val="center"/>
              <w:rPr>
                <w:rFonts w:hint="eastAsia" w:asciiTheme="majorEastAsia" w:hAnsiTheme="majorEastAsia" w:eastAsiaTheme="majorEastAsia" w:cstheme="majorEastAsia"/>
                <w:color w:val="auto"/>
                <w:szCs w:val="21"/>
                <w:highlight w:val="none"/>
              </w:rPr>
            </w:pPr>
          </w:p>
        </w:tc>
        <w:tc>
          <w:tcPr>
            <w:tcW w:w="1529" w:type="dxa"/>
            <w:tcBorders>
              <w:top w:val="single" w:color="auto" w:sz="6" w:space="0"/>
              <w:left w:val="single" w:color="auto" w:sz="6" w:space="0"/>
              <w:bottom w:val="single" w:color="auto" w:sz="6" w:space="0"/>
              <w:right w:val="single" w:color="auto" w:sz="6" w:space="0"/>
            </w:tcBorders>
            <w:noWrap w:val="0"/>
            <w:vAlign w:val="center"/>
          </w:tcPr>
          <w:p w14:paraId="76C095DF">
            <w:pPr>
              <w:spacing w:line="360" w:lineRule="auto"/>
              <w:jc w:val="center"/>
              <w:rPr>
                <w:rFonts w:hint="eastAsia" w:asciiTheme="majorEastAsia" w:hAnsiTheme="majorEastAsia" w:eastAsiaTheme="majorEastAsia" w:cstheme="majorEastAsia"/>
                <w:color w:val="auto"/>
                <w:szCs w:val="21"/>
                <w:highlight w:val="none"/>
              </w:rPr>
            </w:pPr>
          </w:p>
        </w:tc>
      </w:tr>
      <w:tr w14:paraId="6F9153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6"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5E97C69E">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5</w:t>
            </w:r>
          </w:p>
        </w:tc>
        <w:tc>
          <w:tcPr>
            <w:tcW w:w="2047" w:type="dxa"/>
            <w:tcBorders>
              <w:top w:val="single" w:color="auto" w:sz="6" w:space="0"/>
              <w:left w:val="single" w:color="auto" w:sz="6" w:space="0"/>
              <w:bottom w:val="single" w:color="auto" w:sz="6" w:space="0"/>
              <w:right w:val="single" w:color="auto" w:sz="6" w:space="0"/>
            </w:tcBorders>
            <w:noWrap w:val="0"/>
            <w:vAlign w:val="center"/>
          </w:tcPr>
          <w:p w14:paraId="0C57E1B1">
            <w:pPr>
              <w:spacing w:line="360" w:lineRule="auto"/>
              <w:jc w:val="center"/>
              <w:rPr>
                <w:rFonts w:hint="eastAsia" w:asciiTheme="majorEastAsia" w:hAnsiTheme="majorEastAsia" w:eastAsiaTheme="majorEastAsia" w:cstheme="majorEastAsia"/>
                <w:color w:val="auto"/>
                <w:szCs w:val="21"/>
                <w:highlight w:val="none"/>
              </w:rPr>
            </w:pPr>
          </w:p>
        </w:tc>
        <w:tc>
          <w:tcPr>
            <w:tcW w:w="2507" w:type="dxa"/>
            <w:tcBorders>
              <w:top w:val="single" w:color="auto" w:sz="6" w:space="0"/>
              <w:left w:val="single" w:color="auto" w:sz="6" w:space="0"/>
              <w:bottom w:val="single" w:color="auto" w:sz="6" w:space="0"/>
              <w:right w:val="single" w:color="auto" w:sz="4" w:space="0"/>
            </w:tcBorders>
            <w:noWrap w:val="0"/>
            <w:vAlign w:val="center"/>
          </w:tcPr>
          <w:p w14:paraId="04EE463E">
            <w:pPr>
              <w:spacing w:line="360" w:lineRule="auto"/>
              <w:jc w:val="center"/>
              <w:rPr>
                <w:rFonts w:hint="eastAsia" w:asciiTheme="majorEastAsia" w:hAnsiTheme="majorEastAsia" w:eastAsiaTheme="majorEastAsia" w:cstheme="majorEastAsia"/>
                <w:color w:val="auto"/>
                <w:szCs w:val="21"/>
                <w:highlight w:val="none"/>
              </w:rPr>
            </w:pPr>
          </w:p>
        </w:tc>
        <w:tc>
          <w:tcPr>
            <w:tcW w:w="1838" w:type="dxa"/>
            <w:tcBorders>
              <w:top w:val="single" w:color="auto" w:sz="6" w:space="0"/>
              <w:left w:val="single" w:color="auto" w:sz="6" w:space="0"/>
              <w:bottom w:val="single" w:color="auto" w:sz="6" w:space="0"/>
              <w:right w:val="single" w:color="auto" w:sz="4" w:space="0"/>
            </w:tcBorders>
            <w:noWrap w:val="0"/>
            <w:vAlign w:val="center"/>
          </w:tcPr>
          <w:p w14:paraId="0E339E8A">
            <w:pPr>
              <w:spacing w:line="360" w:lineRule="auto"/>
              <w:jc w:val="center"/>
              <w:rPr>
                <w:rFonts w:hint="eastAsia" w:asciiTheme="majorEastAsia" w:hAnsiTheme="majorEastAsia" w:eastAsiaTheme="majorEastAsia" w:cstheme="majorEastAsia"/>
                <w:color w:val="auto"/>
                <w:szCs w:val="21"/>
                <w:highlight w:val="none"/>
              </w:rPr>
            </w:pPr>
          </w:p>
        </w:tc>
        <w:tc>
          <w:tcPr>
            <w:tcW w:w="1529" w:type="dxa"/>
            <w:tcBorders>
              <w:top w:val="single" w:color="auto" w:sz="6" w:space="0"/>
              <w:left w:val="single" w:color="auto" w:sz="6" w:space="0"/>
              <w:bottom w:val="single" w:color="auto" w:sz="6" w:space="0"/>
              <w:right w:val="single" w:color="auto" w:sz="6" w:space="0"/>
            </w:tcBorders>
            <w:noWrap w:val="0"/>
            <w:vAlign w:val="center"/>
          </w:tcPr>
          <w:p w14:paraId="3436A6C3">
            <w:pPr>
              <w:spacing w:line="360" w:lineRule="auto"/>
              <w:jc w:val="center"/>
              <w:rPr>
                <w:rFonts w:hint="eastAsia" w:asciiTheme="majorEastAsia" w:hAnsiTheme="majorEastAsia" w:eastAsiaTheme="majorEastAsia" w:cstheme="majorEastAsia"/>
                <w:color w:val="auto"/>
                <w:szCs w:val="21"/>
                <w:highlight w:val="none"/>
              </w:rPr>
            </w:pPr>
          </w:p>
        </w:tc>
      </w:tr>
      <w:tr w14:paraId="16B759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6"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2EE5E0A6">
            <w:pPr>
              <w:spacing w:line="360" w:lineRule="auto"/>
              <w:jc w:val="center"/>
              <w:rPr>
                <w:rFonts w:hint="eastAsia" w:asciiTheme="majorEastAsia" w:hAnsiTheme="majorEastAsia" w:eastAsiaTheme="majorEastAsia" w:cstheme="majorEastAsia"/>
                <w:color w:val="auto"/>
                <w:szCs w:val="21"/>
                <w:highlight w:val="none"/>
              </w:rPr>
            </w:pPr>
          </w:p>
        </w:tc>
        <w:tc>
          <w:tcPr>
            <w:tcW w:w="2047" w:type="dxa"/>
            <w:tcBorders>
              <w:top w:val="single" w:color="auto" w:sz="6" w:space="0"/>
              <w:left w:val="single" w:color="auto" w:sz="6" w:space="0"/>
              <w:bottom w:val="single" w:color="auto" w:sz="6" w:space="0"/>
              <w:right w:val="single" w:color="auto" w:sz="6" w:space="0"/>
            </w:tcBorders>
            <w:noWrap w:val="0"/>
            <w:vAlign w:val="center"/>
          </w:tcPr>
          <w:p w14:paraId="188539FF">
            <w:pPr>
              <w:spacing w:line="360" w:lineRule="auto"/>
              <w:jc w:val="center"/>
              <w:rPr>
                <w:rFonts w:hint="eastAsia" w:asciiTheme="majorEastAsia" w:hAnsiTheme="majorEastAsia" w:eastAsiaTheme="majorEastAsia" w:cstheme="majorEastAsia"/>
                <w:color w:val="auto"/>
                <w:szCs w:val="21"/>
                <w:highlight w:val="none"/>
              </w:rPr>
            </w:pPr>
          </w:p>
        </w:tc>
        <w:tc>
          <w:tcPr>
            <w:tcW w:w="2507" w:type="dxa"/>
            <w:tcBorders>
              <w:top w:val="single" w:color="auto" w:sz="6" w:space="0"/>
              <w:left w:val="single" w:color="auto" w:sz="6" w:space="0"/>
              <w:bottom w:val="single" w:color="auto" w:sz="6" w:space="0"/>
              <w:right w:val="single" w:color="auto" w:sz="4" w:space="0"/>
            </w:tcBorders>
            <w:noWrap w:val="0"/>
            <w:vAlign w:val="center"/>
          </w:tcPr>
          <w:p w14:paraId="12038798">
            <w:pPr>
              <w:spacing w:line="360" w:lineRule="auto"/>
              <w:jc w:val="center"/>
              <w:rPr>
                <w:rFonts w:hint="eastAsia" w:asciiTheme="majorEastAsia" w:hAnsiTheme="majorEastAsia" w:eastAsiaTheme="majorEastAsia" w:cstheme="majorEastAsia"/>
                <w:color w:val="auto"/>
                <w:szCs w:val="21"/>
                <w:highlight w:val="none"/>
              </w:rPr>
            </w:pPr>
          </w:p>
        </w:tc>
        <w:tc>
          <w:tcPr>
            <w:tcW w:w="1838" w:type="dxa"/>
            <w:tcBorders>
              <w:top w:val="single" w:color="auto" w:sz="6" w:space="0"/>
              <w:left w:val="single" w:color="auto" w:sz="6" w:space="0"/>
              <w:bottom w:val="single" w:color="auto" w:sz="6" w:space="0"/>
              <w:right w:val="single" w:color="auto" w:sz="4" w:space="0"/>
            </w:tcBorders>
            <w:noWrap w:val="0"/>
            <w:vAlign w:val="center"/>
          </w:tcPr>
          <w:p w14:paraId="4B99D69F">
            <w:pPr>
              <w:spacing w:line="360" w:lineRule="auto"/>
              <w:jc w:val="center"/>
              <w:rPr>
                <w:rFonts w:hint="eastAsia" w:asciiTheme="majorEastAsia" w:hAnsiTheme="majorEastAsia" w:eastAsiaTheme="majorEastAsia" w:cstheme="majorEastAsia"/>
                <w:color w:val="auto"/>
                <w:szCs w:val="21"/>
                <w:highlight w:val="none"/>
              </w:rPr>
            </w:pPr>
          </w:p>
        </w:tc>
        <w:tc>
          <w:tcPr>
            <w:tcW w:w="1529" w:type="dxa"/>
            <w:tcBorders>
              <w:top w:val="single" w:color="auto" w:sz="6" w:space="0"/>
              <w:left w:val="single" w:color="auto" w:sz="6" w:space="0"/>
              <w:bottom w:val="single" w:color="auto" w:sz="6" w:space="0"/>
              <w:right w:val="single" w:color="auto" w:sz="6" w:space="0"/>
            </w:tcBorders>
            <w:noWrap w:val="0"/>
            <w:vAlign w:val="center"/>
          </w:tcPr>
          <w:p w14:paraId="6B590100">
            <w:pPr>
              <w:spacing w:line="360" w:lineRule="auto"/>
              <w:jc w:val="center"/>
              <w:rPr>
                <w:rFonts w:hint="eastAsia" w:asciiTheme="majorEastAsia" w:hAnsiTheme="majorEastAsia" w:eastAsiaTheme="majorEastAsia" w:cstheme="majorEastAsia"/>
                <w:color w:val="auto"/>
                <w:szCs w:val="21"/>
                <w:highlight w:val="none"/>
              </w:rPr>
            </w:pPr>
          </w:p>
        </w:tc>
      </w:tr>
    </w:tbl>
    <w:p w14:paraId="5430AC54">
      <w:pPr>
        <w:spacing w:line="360" w:lineRule="auto"/>
        <w:ind w:firstLine="420" w:firstLineChars="2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注：附证明材料扫描件</w:t>
      </w:r>
    </w:p>
    <w:p w14:paraId="23B35542">
      <w:pPr>
        <w:spacing w:line="360" w:lineRule="auto"/>
        <w:ind w:firstLine="424" w:firstLineChars="202"/>
        <w:rPr>
          <w:rFonts w:hint="eastAsia" w:asciiTheme="majorEastAsia" w:hAnsiTheme="majorEastAsia" w:eastAsiaTheme="majorEastAsia" w:cstheme="majorEastAsia"/>
          <w:b/>
          <w:color w:val="auto"/>
          <w:szCs w:val="21"/>
          <w:highlight w:val="none"/>
        </w:rPr>
      </w:pPr>
    </w:p>
    <w:p w14:paraId="0B0C8AC0">
      <w:pPr>
        <w:spacing w:line="480" w:lineRule="auto"/>
        <w:ind w:firstLine="420" w:firstLineChars="200"/>
        <w:rPr>
          <w:rFonts w:hint="eastAsia" w:asciiTheme="majorEastAsia" w:hAnsiTheme="majorEastAsia" w:eastAsiaTheme="majorEastAsia" w:cstheme="majorEastAsia"/>
          <w:color w:val="auto"/>
          <w:szCs w:val="21"/>
          <w:highlight w:val="none"/>
          <w:u w:val="single"/>
        </w:rPr>
      </w:pPr>
      <w:r>
        <w:rPr>
          <w:rFonts w:hint="eastAsia" w:asciiTheme="majorEastAsia" w:hAnsiTheme="majorEastAsia" w:eastAsiaTheme="majorEastAsia" w:cstheme="majorEastAsia"/>
          <w:color w:val="auto"/>
          <w:szCs w:val="21"/>
          <w:highlight w:val="none"/>
        </w:rPr>
        <w:t>投标人（电子签章）：</w:t>
      </w:r>
      <w:r>
        <w:rPr>
          <w:rFonts w:hint="eastAsia" w:asciiTheme="majorEastAsia" w:hAnsiTheme="majorEastAsia" w:eastAsiaTheme="majorEastAsia" w:cstheme="majorEastAsia"/>
          <w:color w:val="auto"/>
          <w:szCs w:val="21"/>
          <w:highlight w:val="none"/>
          <w:u w:val="single"/>
        </w:rPr>
        <w:t xml:space="preserve">                                  </w:t>
      </w:r>
    </w:p>
    <w:p w14:paraId="4F914EBE">
      <w:pPr>
        <w:spacing w:line="480" w:lineRule="auto"/>
        <w:ind w:firstLine="420" w:firstLineChars="2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法定代表人（电子签名）：</w:t>
      </w:r>
      <w:r>
        <w:rPr>
          <w:rFonts w:hint="eastAsia" w:asciiTheme="majorEastAsia" w:hAnsiTheme="majorEastAsia" w:eastAsiaTheme="majorEastAsia" w:cstheme="majorEastAsia"/>
          <w:color w:val="auto"/>
          <w:szCs w:val="21"/>
          <w:highlight w:val="none"/>
          <w:u w:val="single"/>
        </w:rPr>
        <w:t xml:space="preserve">                              </w:t>
      </w:r>
    </w:p>
    <w:p w14:paraId="7934D1D4">
      <w:pPr>
        <w:spacing w:line="480" w:lineRule="auto"/>
        <w:ind w:firstLine="420" w:firstLineChars="2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日  期：</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年</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月</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日</w:t>
      </w:r>
    </w:p>
    <w:p w14:paraId="4E2CDD2F">
      <w:pPr>
        <w:rPr>
          <w:rFonts w:hint="eastAsia" w:asciiTheme="majorEastAsia" w:hAnsiTheme="majorEastAsia" w:eastAsiaTheme="majorEastAsia" w:cstheme="majorEastAsia"/>
          <w:color w:val="auto"/>
          <w:highlight w:val="none"/>
        </w:rPr>
      </w:pPr>
      <w:bookmarkStart w:id="301" w:name="_Toc10117049"/>
    </w:p>
    <w:p w14:paraId="76F10F2A">
      <w:pP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highlight w:val="none"/>
        </w:rPr>
        <w:br w:type="page"/>
      </w:r>
      <w:bookmarkStart w:id="302" w:name="_Toc111813253"/>
    </w:p>
    <w:p w14:paraId="640CB8BD">
      <w:pPr>
        <w:pStyle w:val="4"/>
        <w:numPr>
          <w:ilvl w:val="2"/>
          <w:numId w:val="0"/>
        </w:numPr>
        <w:tabs>
          <w:tab w:val="clear" w:pos="900"/>
        </w:tabs>
        <w:spacing w:before="0" w:after="0" w:line="360" w:lineRule="auto"/>
        <w:jc w:val="center"/>
        <w:rPr>
          <w:rFonts w:hint="eastAsia" w:asciiTheme="majorEastAsia" w:hAnsiTheme="majorEastAsia" w:eastAsiaTheme="majorEastAsia" w:cstheme="majorEastAsia"/>
          <w:color w:val="auto"/>
          <w:highlight w:val="none"/>
        </w:rPr>
      </w:pPr>
      <w:bookmarkStart w:id="303" w:name="_Toc10117054"/>
      <w:bookmarkStart w:id="304" w:name="_Toc113569082"/>
      <w:bookmarkStart w:id="305" w:name="_Toc457090337"/>
      <w:bookmarkStart w:id="306" w:name="_Toc509593413"/>
      <w:bookmarkStart w:id="307" w:name="_Toc111813260"/>
      <w:r>
        <w:rPr>
          <w:rFonts w:hint="eastAsia" w:asciiTheme="majorEastAsia" w:hAnsiTheme="majorEastAsia" w:eastAsiaTheme="majorEastAsia" w:cstheme="majorEastAsia"/>
          <w:color w:val="auto"/>
          <w:highlight w:val="none"/>
        </w:rPr>
        <w:t>（</w:t>
      </w:r>
      <w:r>
        <w:rPr>
          <w:rFonts w:hint="eastAsia" w:asciiTheme="majorEastAsia" w:hAnsiTheme="majorEastAsia" w:eastAsiaTheme="majorEastAsia" w:cstheme="majorEastAsia"/>
          <w:color w:val="auto"/>
          <w:highlight w:val="none"/>
          <w:lang w:val="en-US" w:eastAsia="zh-CN"/>
        </w:rPr>
        <w:t>六</w:t>
      </w:r>
      <w:r>
        <w:rPr>
          <w:rFonts w:hint="eastAsia" w:asciiTheme="majorEastAsia" w:hAnsiTheme="majorEastAsia" w:eastAsiaTheme="majorEastAsia" w:cstheme="majorEastAsia"/>
          <w:color w:val="auto"/>
          <w:highlight w:val="none"/>
        </w:rPr>
        <w:t>）</w:t>
      </w:r>
      <w:bookmarkEnd w:id="303"/>
      <w:bookmarkEnd w:id="304"/>
      <w:bookmarkEnd w:id="305"/>
      <w:bookmarkEnd w:id="306"/>
      <w:bookmarkEnd w:id="307"/>
      <w:r>
        <w:rPr>
          <w:rFonts w:hint="eastAsia" w:asciiTheme="majorEastAsia" w:hAnsiTheme="majorEastAsia" w:eastAsiaTheme="majorEastAsia" w:cstheme="majorEastAsia"/>
          <w:color w:val="auto"/>
          <w:highlight w:val="none"/>
        </w:rPr>
        <w:t>实施方案</w:t>
      </w:r>
    </w:p>
    <w:p w14:paraId="52925758">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投标人自行编写。</w:t>
      </w:r>
      <w:bookmarkStart w:id="308" w:name="_Toc311705901"/>
      <w:bookmarkStart w:id="309" w:name="_Toc28337"/>
      <w:bookmarkStart w:id="310" w:name="_Toc28375"/>
      <w:bookmarkStart w:id="311" w:name="_Toc321497547"/>
      <w:bookmarkStart w:id="312" w:name="_Toc7030"/>
      <w:bookmarkStart w:id="313" w:name="_Toc30773"/>
    </w:p>
    <w:p w14:paraId="6E56D310">
      <w:pPr>
        <w:pStyle w:val="12"/>
        <w:numPr>
          <w:ilvl w:val="0"/>
          <w:numId w:val="0"/>
        </w:numPr>
        <w:rPr>
          <w:rFonts w:hint="default" w:eastAsia="宋体"/>
          <w:color w:val="auto"/>
          <w:lang w:val="en-US" w:eastAsia="zh-CN"/>
        </w:rPr>
      </w:pPr>
      <w:r>
        <w:rPr>
          <w:rFonts w:hint="eastAsia" w:eastAsia="宋体"/>
          <w:color w:val="auto"/>
          <w:lang w:val="en-US" w:eastAsia="zh-CN"/>
        </w:rPr>
        <w:t xml:space="preserve">   </w:t>
      </w:r>
    </w:p>
    <w:bookmarkEnd w:id="308"/>
    <w:bookmarkEnd w:id="309"/>
    <w:bookmarkEnd w:id="310"/>
    <w:bookmarkEnd w:id="311"/>
    <w:bookmarkEnd w:id="312"/>
    <w:bookmarkEnd w:id="313"/>
    <w:p w14:paraId="149DC837">
      <w:pPr>
        <w:pStyle w:val="4"/>
        <w:numPr>
          <w:ilvl w:val="2"/>
          <w:numId w:val="0"/>
        </w:numPr>
        <w:tabs>
          <w:tab w:val="clear" w:pos="900"/>
        </w:tabs>
        <w:spacing w:before="0" w:after="0" w:line="360" w:lineRule="auto"/>
        <w:jc w:val="center"/>
        <w:rPr>
          <w:rFonts w:hint="eastAsia" w:asciiTheme="majorEastAsia" w:hAnsiTheme="majorEastAsia" w:eastAsiaTheme="majorEastAsia" w:cstheme="majorEastAsia"/>
          <w:color w:val="auto"/>
          <w:sz w:val="30"/>
          <w:szCs w:val="30"/>
          <w:highlight w:val="none"/>
        </w:rPr>
      </w:pPr>
      <w:bookmarkStart w:id="314" w:name="_Toc113569083"/>
      <w:r>
        <w:rPr>
          <w:rFonts w:hint="eastAsia" w:asciiTheme="majorEastAsia" w:hAnsiTheme="majorEastAsia" w:eastAsiaTheme="majorEastAsia" w:cstheme="majorEastAsia"/>
          <w:color w:val="auto"/>
          <w:highlight w:val="none"/>
          <w:lang w:val="en-US" w:eastAsia="zh-CN"/>
        </w:rPr>
        <w:t>（七</w:t>
      </w:r>
      <w:r>
        <w:rPr>
          <w:rFonts w:hint="eastAsia" w:asciiTheme="majorEastAsia" w:hAnsiTheme="majorEastAsia" w:eastAsiaTheme="majorEastAsia" w:cstheme="majorEastAsia"/>
          <w:color w:val="auto"/>
          <w:highlight w:val="none"/>
        </w:rPr>
        <w:t>）售后服务方案</w:t>
      </w:r>
    </w:p>
    <w:p w14:paraId="6597D4C5">
      <w:pPr>
        <w:spacing w:line="360" w:lineRule="auto"/>
        <w:ind w:firstLine="315" w:firstLineChars="150"/>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投标人自行编写。</w:t>
      </w:r>
    </w:p>
    <w:p w14:paraId="55843B33">
      <w:pPr>
        <w:pStyle w:val="14"/>
        <w:rPr>
          <w:rFonts w:hint="eastAsia" w:asciiTheme="majorEastAsia" w:hAnsiTheme="majorEastAsia" w:eastAsiaTheme="majorEastAsia" w:cstheme="majorEastAsia"/>
          <w:color w:val="auto"/>
          <w:szCs w:val="21"/>
          <w:highlight w:val="none"/>
        </w:rPr>
      </w:pPr>
    </w:p>
    <w:p w14:paraId="67DB61CA">
      <w:pPr>
        <w:pStyle w:val="4"/>
        <w:numPr>
          <w:ilvl w:val="2"/>
          <w:numId w:val="0"/>
        </w:numPr>
        <w:tabs>
          <w:tab w:val="clear" w:pos="900"/>
        </w:tabs>
        <w:spacing w:before="0" w:after="0" w:line="360" w:lineRule="auto"/>
        <w:jc w:val="center"/>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highlight w:val="none"/>
          <w:lang w:val="en-US" w:eastAsia="zh-CN"/>
        </w:rPr>
        <w:t>（八）质量承诺及保证措施</w:t>
      </w:r>
    </w:p>
    <w:p w14:paraId="19F96753">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投标人自行编写。</w:t>
      </w:r>
    </w:p>
    <w:p w14:paraId="68B92206">
      <w:pPr>
        <w:numPr>
          <w:ilvl w:val="2"/>
          <w:numId w:val="0"/>
        </w:numPr>
        <w:spacing w:before="0" w:after="0" w:line="360" w:lineRule="auto"/>
        <w:ind w:left="851" w:leftChars="0" w:firstLine="2880" w:firstLineChars="900"/>
        <w:jc w:val="both"/>
        <w:outlineLvl w:val="9"/>
        <w:rPr>
          <w:rFonts w:hint="eastAsia" w:asciiTheme="majorEastAsia" w:hAnsiTheme="majorEastAsia" w:eastAsiaTheme="majorEastAsia" w:cstheme="majorEastAsia"/>
          <w:color w:val="auto"/>
          <w:sz w:val="32"/>
          <w:szCs w:val="32"/>
          <w:highlight w:val="none"/>
        </w:rPr>
      </w:pPr>
    </w:p>
    <w:p w14:paraId="5DE113F3">
      <w:pPr>
        <w:pStyle w:val="4"/>
        <w:numPr>
          <w:ilvl w:val="2"/>
          <w:numId w:val="0"/>
        </w:numPr>
        <w:tabs>
          <w:tab w:val="clear" w:pos="900"/>
        </w:tabs>
        <w:spacing w:before="0" w:after="0" w:line="360" w:lineRule="auto"/>
        <w:jc w:val="center"/>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highlight w:val="none"/>
          <w:lang w:val="en-US" w:eastAsia="zh-CN"/>
        </w:rPr>
        <w:t>（九）质保期承诺</w:t>
      </w:r>
    </w:p>
    <w:p w14:paraId="2B1A5038">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投标人自行编写。</w:t>
      </w:r>
    </w:p>
    <w:p w14:paraId="5BE034E9">
      <w:pPr>
        <w:pStyle w:val="14"/>
        <w:rPr>
          <w:rFonts w:hint="eastAsia"/>
          <w:lang w:eastAsia="zh-CN"/>
        </w:rPr>
      </w:pPr>
    </w:p>
    <w:bookmarkEnd w:id="314"/>
    <w:p w14:paraId="55185BF4">
      <w:pPr>
        <w:numPr>
          <w:ilvl w:val="2"/>
          <w:numId w:val="0"/>
        </w:numPr>
        <w:spacing w:before="0" w:after="0" w:line="360" w:lineRule="auto"/>
        <w:jc w:val="center"/>
        <w:outlineLvl w:val="9"/>
        <w:rPr>
          <w:rFonts w:hint="eastAsia" w:asciiTheme="majorEastAsia" w:hAnsiTheme="majorEastAsia" w:eastAsiaTheme="majorEastAsia" w:cstheme="majorEastAsia"/>
          <w:color w:val="auto"/>
          <w:highlight w:val="none"/>
        </w:rPr>
      </w:pPr>
      <w:bookmarkStart w:id="315" w:name="_Toc113569084"/>
    </w:p>
    <w:p w14:paraId="4C8009C7">
      <w:pPr>
        <w:pStyle w:val="4"/>
        <w:numPr>
          <w:ilvl w:val="2"/>
          <w:numId w:val="0"/>
        </w:numPr>
        <w:tabs>
          <w:tab w:val="clear" w:pos="900"/>
        </w:tabs>
        <w:spacing w:before="0" w:after="0" w:line="360" w:lineRule="auto"/>
        <w:jc w:val="center"/>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（十）</w:t>
      </w:r>
      <w:bookmarkEnd w:id="301"/>
      <w:bookmarkEnd w:id="302"/>
      <w:bookmarkEnd w:id="315"/>
      <w:r>
        <w:rPr>
          <w:rFonts w:hint="eastAsia" w:asciiTheme="majorEastAsia" w:hAnsiTheme="majorEastAsia" w:eastAsiaTheme="majorEastAsia" w:cstheme="majorEastAsia"/>
          <w:color w:val="auto"/>
          <w:highlight w:val="none"/>
          <w:lang w:val="en-US" w:eastAsia="zh-CN"/>
        </w:rPr>
        <w:t>其他资料</w:t>
      </w:r>
    </w:p>
    <w:p w14:paraId="7A38822B">
      <w:pPr>
        <w:ind w:firstLine="315" w:firstLineChars="150"/>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投标人自行编写。</w:t>
      </w:r>
    </w:p>
    <w:p w14:paraId="7F54AF83">
      <w:pPr>
        <w:rPr>
          <w:rFonts w:hint="eastAsia" w:asciiTheme="majorEastAsia" w:hAnsiTheme="majorEastAsia" w:eastAsiaTheme="majorEastAsia" w:cstheme="majorEastAsia"/>
          <w:b/>
          <w:color w:val="auto"/>
          <w:sz w:val="32"/>
          <w:szCs w:val="44"/>
          <w:highlight w:val="none"/>
        </w:rPr>
      </w:pPr>
    </w:p>
    <w:p w14:paraId="7F28D306">
      <w:pPr>
        <w:rPr>
          <w:rFonts w:hint="eastAsia" w:asciiTheme="majorEastAsia" w:hAnsiTheme="majorEastAsia" w:eastAsiaTheme="majorEastAsia" w:cstheme="majorEastAsia"/>
          <w:b/>
          <w:color w:val="auto"/>
          <w:sz w:val="32"/>
          <w:szCs w:val="44"/>
          <w:highlight w:val="none"/>
        </w:rPr>
      </w:pPr>
    </w:p>
    <w:p w14:paraId="2F3FAEA0">
      <w:pPr>
        <w:rPr>
          <w:rFonts w:hint="eastAsia" w:asciiTheme="majorEastAsia" w:hAnsiTheme="majorEastAsia" w:eastAsiaTheme="majorEastAsia" w:cstheme="majorEastAsia"/>
          <w:b/>
          <w:color w:val="auto"/>
          <w:sz w:val="32"/>
          <w:szCs w:val="44"/>
          <w:highlight w:val="none"/>
        </w:rPr>
      </w:pPr>
      <w:r>
        <w:rPr>
          <w:rFonts w:hint="eastAsia" w:asciiTheme="majorEastAsia" w:hAnsiTheme="majorEastAsia" w:eastAsiaTheme="majorEastAsia" w:cstheme="majorEastAsia"/>
          <w:color w:val="auto"/>
          <w:sz w:val="32"/>
          <w:highlight w:val="none"/>
        </w:rPr>
        <w:br w:type="page"/>
      </w:r>
    </w:p>
    <w:bookmarkEnd w:id="291"/>
    <w:bookmarkEnd w:id="292"/>
    <w:bookmarkEnd w:id="293"/>
    <w:bookmarkEnd w:id="294"/>
    <w:p w14:paraId="1BEF0B68">
      <w:pPr>
        <w:pStyle w:val="4"/>
        <w:numPr>
          <w:ilvl w:val="2"/>
          <w:numId w:val="0"/>
        </w:numPr>
        <w:tabs>
          <w:tab w:val="clear" w:pos="900"/>
        </w:tabs>
        <w:spacing w:line="360" w:lineRule="auto"/>
        <w:ind w:left="851" w:leftChars="0"/>
        <w:jc w:val="center"/>
        <w:rPr>
          <w:rFonts w:hint="eastAsia" w:asciiTheme="majorEastAsia" w:hAnsiTheme="majorEastAsia" w:eastAsiaTheme="majorEastAsia" w:cstheme="majorEastAsia"/>
          <w:color w:val="auto"/>
          <w:szCs w:val="30"/>
          <w:highlight w:val="none"/>
        </w:rPr>
      </w:pPr>
      <w:bookmarkStart w:id="316" w:name="_Toc113569086"/>
      <w:bookmarkStart w:id="317" w:name="_Toc10117050"/>
      <w:bookmarkStart w:id="318" w:name="_Toc520749024"/>
      <w:bookmarkStart w:id="319" w:name="_Toc111813255"/>
      <w:r>
        <w:rPr>
          <w:rFonts w:hint="eastAsia" w:asciiTheme="majorEastAsia" w:hAnsiTheme="majorEastAsia" w:eastAsiaTheme="majorEastAsia" w:cstheme="majorEastAsia"/>
          <w:color w:val="auto"/>
          <w:szCs w:val="30"/>
          <w:highlight w:val="none"/>
        </w:rPr>
        <w:t>三、投标文件技术部分格式</w:t>
      </w:r>
      <w:bookmarkEnd w:id="316"/>
      <w:bookmarkEnd w:id="317"/>
      <w:bookmarkEnd w:id="318"/>
      <w:bookmarkEnd w:id="319"/>
    </w:p>
    <w:p w14:paraId="66740F0B">
      <w:pPr>
        <w:pStyle w:val="4"/>
        <w:numPr>
          <w:ilvl w:val="2"/>
          <w:numId w:val="0"/>
        </w:numPr>
        <w:tabs>
          <w:tab w:val="clear" w:pos="900"/>
        </w:tabs>
        <w:spacing w:line="360" w:lineRule="auto"/>
        <w:ind w:left="851" w:leftChars="0"/>
        <w:jc w:val="center"/>
        <w:rPr>
          <w:rFonts w:hint="eastAsia" w:asciiTheme="majorEastAsia" w:hAnsiTheme="majorEastAsia" w:eastAsiaTheme="majorEastAsia" w:cstheme="majorEastAsia"/>
          <w:color w:val="auto"/>
          <w:highlight w:val="none"/>
        </w:rPr>
      </w:pPr>
      <w:bookmarkStart w:id="320" w:name="_Toc509593411"/>
      <w:bookmarkStart w:id="321" w:name="_Toc12543"/>
      <w:bookmarkStart w:id="322" w:name="_Toc1298"/>
      <w:bookmarkStart w:id="323" w:name="_Toc9806"/>
      <w:bookmarkStart w:id="324" w:name="_Toc309"/>
      <w:bookmarkStart w:id="325" w:name="_Toc111813256"/>
      <w:bookmarkStart w:id="326" w:name="_Toc113569087"/>
      <w:bookmarkStart w:id="327" w:name="_Toc10117051"/>
      <w:bookmarkStart w:id="328" w:name="_Toc457090335"/>
      <w:r>
        <w:rPr>
          <w:rFonts w:hint="eastAsia" w:asciiTheme="majorEastAsia" w:hAnsiTheme="majorEastAsia" w:eastAsiaTheme="majorEastAsia" w:cstheme="majorEastAsia"/>
          <w:color w:val="auto"/>
          <w:highlight w:val="none"/>
        </w:rPr>
        <w:t>（一）技术规格偏离表</w:t>
      </w:r>
      <w:bookmarkEnd w:id="320"/>
      <w:bookmarkEnd w:id="321"/>
      <w:bookmarkEnd w:id="322"/>
      <w:bookmarkEnd w:id="323"/>
      <w:bookmarkEnd w:id="324"/>
      <w:bookmarkEnd w:id="325"/>
      <w:bookmarkEnd w:id="326"/>
      <w:bookmarkEnd w:id="327"/>
      <w:bookmarkEnd w:id="328"/>
    </w:p>
    <w:tbl>
      <w:tblPr>
        <w:tblStyle w:val="30"/>
        <w:tblW w:w="976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48"/>
        <w:gridCol w:w="2520"/>
        <w:gridCol w:w="2172"/>
        <w:gridCol w:w="1985"/>
        <w:gridCol w:w="1168"/>
        <w:gridCol w:w="1168"/>
      </w:tblGrid>
      <w:tr w14:paraId="67321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748" w:type="dxa"/>
            <w:noWrap w:val="0"/>
            <w:vAlign w:val="center"/>
          </w:tcPr>
          <w:p w14:paraId="04E46E3D">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序号</w:t>
            </w:r>
          </w:p>
        </w:tc>
        <w:tc>
          <w:tcPr>
            <w:tcW w:w="2520" w:type="dxa"/>
            <w:noWrap w:val="0"/>
            <w:vAlign w:val="center"/>
          </w:tcPr>
          <w:p w14:paraId="55E7E0F6">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lang w:val="en-US" w:eastAsia="zh-CN"/>
              </w:rPr>
              <w:t>货物</w:t>
            </w:r>
            <w:r>
              <w:rPr>
                <w:rFonts w:hint="eastAsia" w:asciiTheme="majorEastAsia" w:hAnsiTheme="majorEastAsia" w:eastAsiaTheme="majorEastAsia" w:cstheme="majorEastAsia"/>
                <w:color w:val="auto"/>
                <w:szCs w:val="21"/>
                <w:highlight w:val="none"/>
              </w:rPr>
              <w:t>名称</w:t>
            </w:r>
          </w:p>
        </w:tc>
        <w:tc>
          <w:tcPr>
            <w:tcW w:w="2172" w:type="dxa"/>
            <w:noWrap w:val="0"/>
            <w:vAlign w:val="center"/>
          </w:tcPr>
          <w:p w14:paraId="42B7EBEF">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招标文件技术</w:t>
            </w:r>
          </w:p>
          <w:p w14:paraId="643B4A1B">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规范、要求</w:t>
            </w:r>
          </w:p>
        </w:tc>
        <w:tc>
          <w:tcPr>
            <w:tcW w:w="1985" w:type="dxa"/>
            <w:noWrap w:val="0"/>
            <w:vAlign w:val="center"/>
          </w:tcPr>
          <w:p w14:paraId="7966D1F5">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投标文件</w:t>
            </w:r>
          </w:p>
          <w:p w14:paraId="5B711ADF">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对应规范</w:t>
            </w:r>
          </w:p>
        </w:tc>
        <w:tc>
          <w:tcPr>
            <w:tcW w:w="1168" w:type="dxa"/>
            <w:noWrap w:val="0"/>
            <w:vAlign w:val="top"/>
          </w:tcPr>
          <w:p w14:paraId="594748EB">
            <w:pPr>
              <w:spacing w:line="400" w:lineRule="atLeast"/>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正偏离/响应/负偏离</w:t>
            </w:r>
          </w:p>
        </w:tc>
        <w:tc>
          <w:tcPr>
            <w:tcW w:w="1168" w:type="dxa"/>
            <w:noWrap w:val="0"/>
            <w:vAlign w:val="center"/>
          </w:tcPr>
          <w:p w14:paraId="295B5E80">
            <w:pPr>
              <w:spacing w:line="400" w:lineRule="atLeast"/>
              <w:jc w:val="center"/>
              <w:rPr>
                <w:rFonts w:hint="eastAsia" w:asciiTheme="majorEastAsia" w:hAnsiTheme="majorEastAsia" w:eastAsiaTheme="majorEastAsia" w:cstheme="majorEastAsia"/>
                <w:color w:val="auto"/>
                <w:szCs w:val="21"/>
                <w:highlight w:val="none"/>
              </w:rPr>
            </w:pPr>
            <w:r>
              <w:rPr>
                <w:rFonts w:hint="default" w:ascii="宋体" w:hAnsi="宋体" w:eastAsia="宋体" w:cs="宋体"/>
                <w:b/>
                <w:color w:val="auto"/>
                <w:sz w:val="24"/>
                <w:szCs w:val="24"/>
                <w:highlight w:val="none"/>
                <w:lang w:val="en-US" w:eastAsia="zh-CN"/>
              </w:rPr>
              <w:t>证明材料在投标文件的具体页码（并用醒目方式标注对应参数位置）</w:t>
            </w:r>
          </w:p>
        </w:tc>
      </w:tr>
      <w:tr w14:paraId="63661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748" w:type="dxa"/>
            <w:noWrap w:val="0"/>
            <w:vAlign w:val="top"/>
          </w:tcPr>
          <w:p w14:paraId="10E7AC28">
            <w:pPr>
              <w:spacing w:line="400" w:lineRule="atLeast"/>
              <w:rPr>
                <w:rFonts w:hint="eastAsia" w:asciiTheme="majorEastAsia" w:hAnsiTheme="majorEastAsia" w:eastAsiaTheme="majorEastAsia" w:cstheme="majorEastAsia"/>
                <w:color w:val="auto"/>
                <w:szCs w:val="21"/>
                <w:highlight w:val="none"/>
              </w:rPr>
            </w:pPr>
          </w:p>
        </w:tc>
        <w:tc>
          <w:tcPr>
            <w:tcW w:w="2520" w:type="dxa"/>
            <w:noWrap w:val="0"/>
            <w:vAlign w:val="top"/>
          </w:tcPr>
          <w:p w14:paraId="008A000D">
            <w:pPr>
              <w:spacing w:line="400" w:lineRule="atLeast"/>
              <w:rPr>
                <w:rFonts w:hint="eastAsia" w:asciiTheme="majorEastAsia" w:hAnsiTheme="majorEastAsia" w:eastAsiaTheme="majorEastAsia" w:cstheme="majorEastAsia"/>
                <w:color w:val="auto"/>
                <w:szCs w:val="21"/>
                <w:highlight w:val="none"/>
              </w:rPr>
            </w:pPr>
          </w:p>
        </w:tc>
        <w:tc>
          <w:tcPr>
            <w:tcW w:w="2172" w:type="dxa"/>
            <w:noWrap w:val="0"/>
            <w:vAlign w:val="top"/>
          </w:tcPr>
          <w:p w14:paraId="0D15311B">
            <w:pPr>
              <w:spacing w:line="400" w:lineRule="atLeast"/>
              <w:rPr>
                <w:rFonts w:hint="eastAsia" w:asciiTheme="majorEastAsia" w:hAnsiTheme="majorEastAsia" w:eastAsiaTheme="majorEastAsia" w:cstheme="majorEastAsia"/>
                <w:color w:val="auto"/>
                <w:szCs w:val="21"/>
                <w:highlight w:val="none"/>
              </w:rPr>
            </w:pPr>
          </w:p>
        </w:tc>
        <w:tc>
          <w:tcPr>
            <w:tcW w:w="1985" w:type="dxa"/>
            <w:noWrap w:val="0"/>
            <w:vAlign w:val="top"/>
          </w:tcPr>
          <w:p w14:paraId="7D1573AF">
            <w:pPr>
              <w:spacing w:line="400" w:lineRule="atLeast"/>
              <w:rPr>
                <w:rFonts w:hint="eastAsia" w:asciiTheme="majorEastAsia" w:hAnsiTheme="majorEastAsia" w:eastAsiaTheme="majorEastAsia" w:cstheme="majorEastAsia"/>
                <w:color w:val="auto"/>
                <w:szCs w:val="21"/>
                <w:highlight w:val="none"/>
              </w:rPr>
            </w:pPr>
          </w:p>
        </w:tc>
        <w:tc>
          <w:tcPr>
            <w:tcW w:w="1168" w:type="dxa"/>
            <w:noWrap w:val="0"/>
            <w:vAlign w:val="top"/>
          </w:tcPr>
          <w:p w14:paraId="0F4503B0">
            <w:pPr>
              <w:spacing w:line="400" w:lineRule="atLeast"/>
              <w:rPr>
                <w:rFonts w:hint="eastAsia" w:asciiTheme="majorEastAsia" w:hAnsiTheme="majorEastAsia" w:eastAsiaTheme="majorEastAsia" w:cstheme="majorEastAsia"/>
                <w:color w:val="auto"/>
                <w:szCs w:val="21"/>
                <w:highlight w:val="none"/>
              </w:rPr>
            </w:pPr>
          </w:p>
        </w:tc>
        <w:tc>
          <w:tcPr>
            <w:tcW w:w="1168" w:type="dxa"/>
            <w:noWrap w:val="0"/>
            <w:vAlign w:val="top"/>
          </w:tcPr>
          <w:p w14:paraId="7C5A7DB4">
            <w:pPr>
              <w:spacing w:line="400" w:lineRule="atLeast"/>
              <w:rPr>
                <w:rFonts w:hint="eastAsia" w:asciiTheme="majorEastAsia" w:hAnsiTheme="majorEastAsia" w:eastAsiaTheme="majorEastAsia" w:cstheme="majorEastAsia"/>
                <w:color w:val="auto"/>
                <w:szCs w:val="21"/>
                <w:highlight w:val="none"/>
              </w:rPr>
            </w:pPr>
          </w:p>
        </w:tc>
      </w:tr>
      <w:tr w14:paraId="259E7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748" w:type="dxa"/>
            <w:noWrap w:val="0"/>
            <w:vAlign w:val="top"/>
          </w:tcPr>
          <w:p w14:paraId="00691EED">
            <w:pPr>
              <w:spacing w:line="400" w:lineRule="atLeast"/>
              <w:rPr>
                <w:rFonts w:hint="eastAsia" w:asciiTheme="majorEastAsia" w:hAnsiTheme="majorEastAsia" w:eastAsiaTheme="majorEastAsia" w:cstheme="majorEastAsia"/>
                <w:color w:val="auto"/>
                <w:szCs w:val="21"/>
                <w:highlight w:val="none"/>
              </w:rPr>
            </w:pPr>
          </w:p>
        </w:tc>
        <w:tc>
          <w:tcPr>
            <w:tcW w:w="2520" w:type="dxa"/>
            <w:noWrap w:val="0"/>
            <w:vAlign w:val="top"/>
          </w:tcPr>
          <w:p w14:paraId="0D3C10D0">
            <w:pPr>
              <w:spacing w:line="400" w:lineRule="atLeast"/>
              <w:rPr>
                <w:rFonts w:hint="eastAsia" w:asciiTheme="majorEastAsia" w:hAnsiTheme="majorEastAsia" w:eastAsiaTheme="majorEastAsia" w:cstheme="majorEastAsia"/>
                <w:color w:val="auto"/>
                <w:szCs w:val="21"/>
                <w:highlight w:val="none"/>
              </w:rPr>
            </w:pPr>
          </w:p>
        </w:tc>
        <w:tc>
          <w:tcPr>
            <w:tcW w:w="2172" w:type="dxa"/>
            <w:noWrap w:val="0"/>
            <w:vAlign w:val="top"/>
          </w:tcPr>
          <w:p w14:paraId="7D72DBFB">
            <w:pPr>
              <w:spacing w:line="400" w:lineRule="atLeast"/>
              <w:rPr>
                <w:rFonts w:hint="eastAsia" w:asciiTheme="majorEastAsia" w:hAnsiTheme="majorEastAsia" w:eastAsiaTheme="majorEastAsia" w:cstheme="majorEastAsia"/>
                <w:color w:val="auto"/>
                <w:szCs w:val="21"/>
                <w:highlight w:val="none"/>
              </w:rPr>
            </w:pPr>
          </w:p>
        </w:tc>
        <w:tc>
          <w:tcPr>
            <w:tcW w:w="1985" w:type="dxa"/>
            <w:noWrap w:val="0"/>
            <w:vAlign w:val="top"/>
          </w:tcPr>
          <w:p w14:paraId="5154413C">
            <w:pPr>
              <w:spacing w:line="400" w:lineRule="atLeast"/>
              <w:rPr>
                <w:rFonts w:hint="eastAsia" w:asciiTheme="majorEastAsia" w:hAnsiTheme="majorEastAsia" w:eastAsiaTheme="majorEastAsia" w:cstheme="majorEastAsia"/>
                <w:color w:val="auto"/>
                <w:szCs w:val="21"/>
                <w:highlight w:val="none"/>
              </w:rPr>
            </w:pPr>
          </w:p>
        </w:tc>
        <w:tc>
          <w:tcPr>
            <w:tcW w:w="1168" w:type="dxa"/>
            <w:noWrap w:val="0"/>
            <w:vAlign w:val="top"/>
          </w:tcPr>
          <w:p w14:paraId="4658E92E">
            <w:pPr>
              <w:spacing w:line="400" w:lineRule="atLeast"/>
              <w:rPr>
                <w:rFonts w:hint="eastAsia" w:asciiTheme="majorEastAsia" w:hAnsiTheme="majorEastAsia" w:eastAsiaTheme="majorEastAsia" w:cstheme="majorEastAsia"/>
                <w:color w:val="auto"/>
                <w:szCs w:val="21"/>
                <w:highlight w:val="none"/>
              </w:rPr>
            </w:pPr>
          </w:p>
        </w:tc>
        <w:tc>
          <w:tcPr>
            <w:tcW w:w="1168" w:type="dxa"/>
            <w:noWrap w:val="0"/>
            <w:vAlign w:val="top"/>
          </w:tcPr>
          <w:p w14:paraId="5210391F">
            <w:pPr>
              <w:spacing w:line="400" w:lineRule="atLeast"/>
              <w:rPr>
                <w:rFonts w:hint="eastAsia" w:asciiTheme="majorEastAsia" w:hAnsiTheme="majorEastAsia" w:eastAsiaTheme="majorEastAsia" w:cstheme="majorEastAsia"/>
                <w:color w:val="auto"/>
                <w:szCs w:val="21"/>
                <w:highlight w:val="none"/>
              </w:rPr>
            </w:pPr>
          </w:p>
        </w:tc>
      </w:tr>
      <w:tr w14:paraId="5064F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748" w:type="dxa"/>
            <w:noWrap w:val="0"/>
            <w:vAlign w:val="top"/>
          </w:tcPr>
          <w:p w14:paraId="09428A10">
            <w:pPr>
              <w:spacing w:line="400" w:lineRule="atLeast"/>
              <w:rPr>
                <w:rFonts w:hint="eastAsia" w:asciiTheme="majorEastAsia" w:hAnsiTheme="majorEastAsia" w:eastAsiaTheme="majorEastAsia" w:cstheme="majorEastAsia"/>
                <w:color w:val="auto"/>
                <w:szCs w:val="21"/>
                <w:highlight w:val="none"/>
              </w:rPr>
            </w:pPr>
          </w:p>
        </w:tc>
        <w:tc>
          <w:tcPr>
            <w:tcW w:w="2520" w:type="dxa"/>
            <w:noWrap w:val="0"/>
            <w:vAlign w:val="top"/>
          </w:tcPr>
          <w:p w14:paraId="035E8DD0">
            <w:pPr>
              <w:spacing w:line="400" w:lineRule="atLeast"/>
              <w:rPr>
                <w:rFonts w:hint="eastAsia" w:asciiTheme="majorEastAsia" w:hAnsiTheme="majorEastAsia" w:eastAsiaTheme="majorEastAsia" w:cstheme="majorEastAsia"/>
                <w:color w:val="auto"/>
                <w:szCs w:val="21"/>
                <w:highlight w:val="none"/>
              </w:rPr>
            </w:pPr>
          </w:p>
        </w:tc>
        <w:tc>
          <w:tcPr>
            <w:tcW w:w="2172" w:type="dxa"/>
            <w:noWrap w:val="0"/>
            <w:vAlign w:val="top"/>
          </w:tcPr>
          <w:p w14:paraId="35D03097">
            <w:pPr>
              <w:spacing w:line="400" w:lineRule="atLeast"/>
              <w:rPr>
                <w:rFonts w:hint="eastAsia" w:asciiTheme="majorEastAsia" w:hAnsiTheme="majorEastAsia" w:eastAsiaTheme="majorEastAsia" w:cstheme="majorEastAsia"/>
                <w:color w:val="auto"/>
                <w:szCs w:val="21"/>
                <w:highlight w:val="none"/>
              </w:rPr>
            </w:pPr>
          </w:p>
        </w:tc>
        <w:tc>
          <w:tcPr>
            <w:tcW w:w="1985" w:type="dxa"/>
            <w:noWrap w:val="0"/>
            <w:vAlign w:val="top"/>
          </w:tcPr>
          <w:p w14:paraId="418E8E28">
            <w:pPr>
              <w:spacing w:line="400" w:lineRule="atLeast"/>
              <w:rPr>
                <w:rFonts w:hint="eastAsia" w:asciiTheme="majorEastAsia" w:hAnsiTheme="majorEastAsia" w:eastAsiaTheme="majorEastAsia" w:cstheme="majorEastAsia"/>
                <w:color w:val="auto"/>
                <w:szCs w:val="21"/>
                <w:highlight w:val="none"/>
              </w:rPr>
            </w:pPr>
          </w:p>
        </w:tc>
        <w:tc>
          <w:tcPr>
            <w:tcW w:w="1168" w:type="dxa"/>
            <w:noWrap w:val="0"/>
            <w:vAlign w:val="top"/>
          </w:tcPr>
          <w:p w14:paraId="06756A8A">
            <w:pPr>
              <w:spacing w:line="400" w:lineRule="atLeast"/>
              <w:rPr>
                <w:rFonts w:hint="eastAsia" w:asciiTheme="majorEastAsia" w:hAnsiTheme="majorEastAsia" w:eastAsiaTheme="majorEastAsia" w:cstheme="majorEastAsia"/>
                <w:color w:val="auto"/>
                <w:szCs w:val="21"/>
                <w:highlight w:val="none"/>
              </w:rPr>
            </w:pPr>
          </w:p>
        </w:tc>
        <w:tc>
          <w:tcPr>
            <w:tcW w:w="1168" w:type="dxa"/>
            <w:noWrap w:val="0"/>
            <w:vAlign w:val="top"/>
          </w:tcPr>
          <w:p w14:paraId="5384FFD8">
            <w:pPr>
              <w:spacing w:line="400" w:lineRule="atLeast"/>
              <w:rPr>
                <w:rFonts w:hint="eastAsia" w:asciiTheme="majorEastAsia" w:hAnsiTheme="majorEastAsia" w:eastAsiaTheme="majorEastAsia" w:cstheme="majorEastAsia"/>
                <w:color w:val="auto"/>
                <w:szCs w:val="21"/>
                <w:highlight w:val="none"/>
              </w:rPr>
            </w:pPr>
          </w:p>
        </w:tc>
      </w:tr>
      <w:tr w14:paraId="63B7F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748" w:type="dxa"/>
            <w:noWrap w:val="0"/>
            <w:vAlign w:val="top"/>
          </w:tcPr>
          <w:p w14:paraId="7B33521C">
            <w:pPr>
              <w:spacing w:line="400" w:lineRule="atLeast"/>
              <w:rPr>
                <w:rFonts w:hint="eastAsia" w:asciiTheme="majorEastAsia" w:hAnsiTheme="majorEastAsia" w:eastAsiaTheme="majorEastAsia" w:cstheme="majorEastAsia"/>
                <w:color w:val="auto"/>
                <w:szCs w:val="21"/>
                <w:highlight w:val="none"/>
              </w:rPr>
            </w:pPr>
          </w:p>
        </w:tc>
        <w:tc>
          <w:tcPr>
            <w:tcW w:w="2520" w:type="dxa"/>
            <w:noWrap w:val="0"/>
            <w:vAlign w:val="top"/>
          </w:tcPr>
          <w:p w14:paraId="0B0F383B">
            <w:pPr>
              <w:spacing w:line="400" w:lineRule="atLeast"/>
              <w:rPr>
                <w:rFonts w:hint="eastAsia" w:asciiTheme="majorEastAsia" w:hAnsiTheme="majorEastAsia" w:eastAsiaTheme="majorEastAsia" w:cstheme="majorEastAsia"/>
                <w:color w:val="auto"/>
                <w:szCs w:val="21"/>
                <w:highlight w:val="none"/>
              </w:rPr>
            </w:pPr>
          </w:p>
        </w:tc>
        <w:tc>
          <w:tcPr>
            <w:tcW w:w="2172" w:type="dxa"/>
            <w:noWrap w:val="0"/>
            <w:vAlign w:val="top"/>
          </w:tcPr>
          <w:p w14:paraId="16F3B5E6">
            <w:pPr>
              <w:spacing w:line="400" w:lineRule="atLeast"/>
              <w:rPr>
                <w:rFonts w:hint="eastAsia" w:asciiTheme="majorEastAsia" w:hAnsiTheme="majorEastAsia" w:eastAsiaTheme="majorEastAsia" w:cstheme="majorEastAsia"/>
                <w:color w:val="auto"/>
                <w:szCs w:val="21"/>
                <w:highlight w:val="none"/>
              </w:rPr>
            </w:pPr>
          </w:p>
        </w:tc>
        <w:tc>
          <w:tcPr>
            <w:tcW w:w="1985" w:type="dxa"/>
            <w:noWrap w:val="0"/>
            <w:vAlign w:val="top"/>
          </w:tcPr>
          <w:p w14:paraId="029A7AF8">
            <w:pPr>
              <w:spacing w:line="400" w:lineRule="atLeast"/>
              <w:rPr>
                <w:rFonts w:hint="eastAsia" w:asciiTheme="majorEastAsia" w:hAnsiTheme="majorEastAsia" w:eastAsiaTheme="majorEastAsia" w:cstheme="majorEastAsia"/>
                <w:color w:val="auto"/>
                <w:szCs w:val="21"/>
                <w:highlight w:val="none"/>
              </w:rPr>
            </w:pPr>
          </w:p>
        </w:tc>
        <w:tc>
          <w:tcPr>
            <w:tcW w:w="1168" w:type="dxa"/>
            <w:noWrap w:val="0"/>
            <w:vAlign w:val="top"/>
          </w:tcPr>
          <w:p w14:paraId="709BA3B0">
            <w:pPr>
              <w:spacing w:line="400" w:lineRule="atLeast"/>
              <w:rPr>
                <w:rFonts w:hint="eastAsia" w:asciiTheme="majorEastAsia" w:hAnsiTheme="majorEastAsia" w:eastAsiaTheme="majorEastAsia" w:cstheme="majorEastAsia"/>
                <w:color w:val="auto"/>
                <w:szCs w:val="21"/>
                <w:highlight w:val="none"/>
              </w:rPr>
            </w:pPr>
          </w:p>
        </w:tc>
        <w:tc>
          <w:tcPr>
            <w:tcW w:w="1168" w:type="dxa"/>
            <w:noWrap w:val="0"/>
            <w:vAlign w:val="top"/>
          </w:tcPr>
          <w:p w14:paraId="1C2A1CC6">
            <w:pPr>
              <w:spacing w:line="400" w:lineRule="atLeast"/>
              <w:rPr>
                <w:rFonts w:hint="eastAsia" w:asciiTheme="majorEastAsia" w:hAnsiTheme="majorEastAsia" w:eastAsiaTheme="majorEastAsia" w:cstheme="majorEastAsia"/>
                <w:color w:val="auto"/>
                <w:szCs w:val="21"/>
                <w:highlight w:val="none"/>
              </w:rPr>
            </w:pPr>
          </w:p>
        </w:tc>
      </w:tr>
    </w:tbl>
    <w:p w14:paraId="40EF25FB">
      <w:pPr>
        <w:pStyle w:val="7"/>
        <w:rPr>
          <w:rFonts w:hint="eastAsia" w:asciiTheme="majorEastAsia" w:hAnsiTheme="majorEastAsia" w:eastAsiaTheme="majorEastAsia" w:cstheme="majorEastAsia"/>
          <w:color w:val="auto"/>
          <w:highlight w:val="none"/>
        </w:rPr>
      </w:pPr>
    </w:p>
    <w:p w14:paraId="1A759BCC">
      <w:pPr>
        <w:spacing w:before="60" w:after="60" w:line="48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投标人全称</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加盖电子公章</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w:t>
      </w:r>
      <w:r>
        <w:rPr>
          <w:rFonts w:hint="eastAsia" w:asciiTheme="majorEastAsia" w:hAnsiTheme="majorEastAsia" w:eastAsiaTheme="majorEastAsia" w:cstheme="majorEastAsia"/>
          <w:color w:val="auto"/>
          <w:szCs w:val="21"/>
          <w:highlight w:val="none"/>
          <w:u w:val="single"/>
        </w:rPr>
        <w:t xml:space="preserve">                                  </w:t>
      </w:r>
    </w:p>
    <w:p w14:paraId="48E0EB83">
      <w:pPr>
        <w:spacing w:before="60" w:after="60" w:line="480" w:lineRule="auto"/>
        <w:rPr>
          <w:rFonts w:hint="eastAsia" w:asciiTheme="majorEastAsia" w:hAnsiTheme="majorEastAsia" w:eastAsiaTheme="majorEastAsia" w:cstheme="majorEastAsia"/>
          <w:color w:val="auto"/>
          <w:szCs w:val="21"/>
          <w:highlight w:val="none"/>
          <w:u w:val="single"/>
        </w:rPr>
      </w:pPr>
      <w:r>
        <w:rPr>
          <w:rFonts w:hint="eastAsia" w:asciiTheme="majorEastAsia" w:hAnsiTheme="majorEastAsia" w:eastAsiaTheme="majorEastAsia" w:cstheme="majorEastAsia"/>
          <w:color w:val="auto"/>
          <w:szCs w:val="21"/>
          <w:highlight w:val="none"/>
        </w:rPr>
        <w:t>法定代表人或委托代理人（电子签名）：</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u w:val="single"/>
        </w:rPr>
        <w:t xml:space="preserve">            </w:t>
      </w:r>
    </w:p>
    <w:p w14:paraId="4AF8CB5F">
      <w:pPr>
        <w:spacing w:before="60" w:after="60" w:line="48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日期：</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年</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月</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日</w:t>
      </w:r>
    </w:p>
    <w:p w14:paraId="3A067857">
      <w:pPr>
        <w:spacing w:line="276"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注：</w:t>
      </w:r>
    </w:p>
    <w:p w14:paraId="41F8409C">
      <w:pPr>
        <w:spacing w:line="276"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1.如果不提供技术规格偏离表将视为非实质性响应招标文件。</w:t>
      </w:r>
    </w:p>
    <w:p w14:paraId="6A1976DF">
      <w:pPr>
        <w:spacing w:line="276"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2.投标人应对照招标文件技术规格，逐条说明所提供货物和服务已对招标文件的技术规格做出了响应，并申明与技术规格条文的偏差和例外。特别对有具体参数要求的指标，投标人必须提供所投设备的具体参数值。</w:t>
      </w:r>
    </w:p>
    <w:p w14:paraId="08FBE8F5">
      <w:pPr>
        <w:spacing w:line="276"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3.投标人应如实填写本表，不得复制招标文件的参数填写。</w:t>
      </w:r>
    </w:p>
    <w:p w14:paraId="1BA544E0">
      <w:pPr>
        <w:pStyle w:val="10"/>
        <w:spacing w:line="360" w:lineRule="auto"/>
        <w:rPr>
          <w:rFonts w:hint="eastAsia" w:ascii="宋体" w:hAnsi="宋体"/>
          <w:color w:val="auto"/>
          <w:sz w:val="24"/>
          <w:szCs w:val="24"/>
          <w:highlight w:val="none"/>
        </w:rPr>
      </w:pPr>
      <w:r>
        <w:rPr>
          <w:rFonts w:hint="eastAsia" w:asciiTheme="majorEastAsia" w:hAnsiTheme="majorEastAsia" w:eastAsiaTheme="majorEastAsia" w:cstheme="majorEastAsia"/>
          <w:color w:val="auto"/>
          <w:szCs w:val="21"/>
          <w:highlight w:val="none"/>
          <w:lang w:val="en-US" w:eastAsia="zh-CN"/>
        </w:rPr>
        <w:t>4.</w:t>
      </w:r>
      <w:r>
        <w:rPr>
          <w:rFonts w:hint="eastAsia" w:ascii="宋体" w:hAnsi="宋体"/>
          <w:color w:val="auto"/>
          <w:sz w:val="24"/>
          <w:szCs w:val="24"/>
          <w:highlight w:val="none"/>
        </w:rPr>
        <w:t>若投标文件中最新技术支持资料参数与技术规格偏离表应答不符或无技术资料应答</w:t>
      </w:r>
      <w:r>
        <w:rPr>
          <w:rFonts w:hint="eastAsia" w:ascii="宋体" w:hAnsi="宋体"/>
          <w:color w:val="auto"/>
          <w:sz w:val="24"/>
          <w:szCs w:val="24"/>
          <w:highlight w:val="none"/>
          <w:lang w:eastAsia="zh-CN"/>
        </w:rPr>
        <w:t>或未写明</w:t>
      </w:r>
      <w:r>
        <w:rPr>
          <w:rFonts w:hint="eastAsia" w:ascii="宋体" w:hAnsi="宋体"/>
          <w:color w:val="auto"/>
          <w:sz w:val="24"/>
          <w:szCs w:val="24"/>
          <w:highlight w:val="none"/>
          <w:lang w:val="en-US" w:eastAsia="zh-CN"/>
        </w:rPr>
        <w:t>证明材料在投标文件的具体页码</w:t>
      </w:r>
      <w:r>
        <w:rPr>
          <w:rFonts w:hint="eastAsia" w:ascii="宋体" w:hAnsi="宋体"/>
          <w:color w:val="auto"/>
          <w:sz w:val="24"/>
          <w:szCs w:val="24"/>
          <w:highlight w:val="none"/>
        </w:rPr>
        <w:t>，视为不响应该条技术参数要求。</w:t>
      </w:r>
    </w:p>
    <w:p w14:paraId="7B9017F2">
      <w:pPr>
        <w:pStyle w:val="4"/>
        <w:numPr>
          <w:ilvl w:val="2"/>
          <w:numId w:val="0"/>
        </w:numPr>
        <w:tabs>
          <w:tab w:val="clear" w:pos="900"/>
        </w:tabs>
        <w:spacing w:before="0" w:after="0" w:line="360" w:lineRule="auto"/>
        <w:ind w:left="851" w:leftChars="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18"/>
          <w:szCs w:val="18"/>
          <w:highlight w:val="none"/>
        </w:rPr>
        <w:br w:type="page"/>
      </w:r>
      <w:bookmarkStart w:id="329" w:name="_Toc111813258"/>
      <w:bookmarkStart w:id="330" w:name="_Toc10117052"/>
      <w:bookmarkStart w:id="331" w:name="_Toc457090336"/>
      <w:r>
        <w:rPr>
          <w:rFonts w:hint="eastAsia" w:asciiTheme="majorEastAsia" w:hAnsiTheme="majorEastAsia" w:eastAsiaTheme="majorEastAsia" w:cstheme="majorEastAsia"/>
          <w:color w:val="auto"/>
          <w:highlight w:val="none"/>
        </w:rPr>
        <w:t>（二）项目组成员配置表</w:t>
      </w:r>
    </w:p>
    <w:tbl>
      <w:tblPr>
        <w:tblStyle w:val="30"/>
        <w:tblW w:w="92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3578"/>
        <w:gridCol w:w="2290"/>
        <w:gridCol w:w="2261"/>
      </w:tblGrid>
      <w:tr w14:paraId="75465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130" w:type="dxa"/>
            <w:vAlign w:val="center"/>
          </w:tcPr>
          <w:p w14:paraId="322A50F1">
            <w:pPr>
              <w:jc w:val="both"/>
              <w:rPr>
                <w:rFonts w:hint="eastAsia" w:ascii="宋体" w:hAnsi="宋体" w:eastAsia="宋体" w:cs="宋体"/>
                <w:caps/>
                <w:color w:val="auto"/>
                <w:sz w:val="24"/>
                <w:szCs w:val="24"/>
                <w:highlight w:val="none"/>
                <w:lang w:val="en-US" w:eastAsia="zh-CN"/>
              </w:rPr>
            </w:pPr>
            <w:r>
              <w:rPr>
                <w:rFonts w:hint="eastAsia" w:ascii="宋体" w:hAnsi="宋体" w:eastAsia="宋体" w:cs="宋体"/>
                <w:caps/>
                <w:color w:val="auto"/>
                <w:sz w:val="24"/>
                <w:szCs w:val="24"/>
                <w:highlight w:val="none"/>
                <w:lang w:val="en-US" w:eastAsia="zh-CN"/>
              </w:rPr>
              <w:t>序号</w:t>
            </w:r>
          </w:p>
        </w:tc>
        <w:tc>
          <w:tcPr>
            <w:tcW w:w="3578" w:type="dxa"/>
            <w:vAlign w:val="center"/>
          </w:tcPr>
          <w:p w14:paraId="5B6375EF">
            <w:pPr>
              <w:ind w:firstLine="878" w:firstLineChars="366"/>
              <w:jc w:val="both"/>
              <w:rPr>
                <w:rFonts w:hint="eastAsia" w:ascii="宋体" w:hAnsi="宋体" w:eastAsia="宋体" w:cs="宋体"/>
                <w:caps/>
                <w:color w:val="auto"/>
                <w:sz w:val="24"/>
                <w:szCs w:val="24"/>
                <w:highlight w:val="none"/>
                <w:lang w:val="en-US" w:eastAsia="zh-CN"/>
              </w:rPr>
            </w:pPr>
            <w:r>
              <w:rPr>
                <w:rFonts w:hint="eastAsia" w:ascii="宋体" w:hAnsi="宋体" w:eastAsia="宋体" w:cs="宋体"/>
                <w:caps/>
                <w:color w:val="auto"/>
                <w:sz w:val="24"/>
                <w:szCs w:val="24"/>
                <w:highlight w:val="none"/>
                <w:lang w:val="en-US" w:eastAsia="zh-CN"/>
              </w:rPr>
              <w:t>姓名</w:t>
            </w:r>
          </w:p>
        </w:tc>
        <w:tc>
          <w:tcPr>
            <w:tcW w:w="2290" w:type="dxa"/>
            <w:vAlign w:val="center"/>
          </w:tcPr>
          <w:p w14:paraId="6D29DF7C">
            <w:pPr>
              <w:jc w:val="center"/>
              <w:rPr>
                <w:rFonts w:hint="eastAsia" w:ascii="宋体" w:hAnsi="宋体" w:eastAsia="宋体" w:cs="宋体"/>
                <w:caps/>
                <w:color w:val="auto"/>
                <w:sz w:val="24"/>
                <w:szCs w:val="24"/>
                <w:highlight w:val="none"/>
                <w:lang w:val="en-US" w:eastAsia="zh-CN"/>
              </w:rPr>
            </w:pPr>
            <w:r>
              <w:rPr>
                <w:rFonts w:hint="eastAsia" w:ascii="宋体" w:hAnsi="宋体" w:eastAsia="宋体" w:cs="宋体"/>
                <w:caps/>
                <w:color w:val="auto"/>
                <w:sz w:val="24"/>
                <w:szCs w:val="24"/>
                <w:highlight w:val="none"/>
                <w:lang w:val="en-US" w:eastAsia="zh-CN"/>
              </w:rPr>
              <w:t>职务</w:t>
            </w:r>
          </w:p>
        </w:tc>
        <w:tc>
          <w:tcPr>
            <w:tcW w:w="2261" w:type="dxa"/>
            <w:vAlign w:val="center"/>
          </w:tcPr>
          <w:p w14:paraId="1139E403">
            <w:pPr>
              <w:ind w:firstLine="560"/>
              <w:jc w:val="center"/>
              <w:rPr>
                <w:rFonts w:hint="eastAsia" w:ascii="宋体" w:hAnsi="宋体" w:eastAsia="宋体" w:cs="宋体"/>
                <w:caps/>
                <w:color w:val="auto"/>
                <w:sz w:val="24"/>
                <w:szCs w:val="24"/>
                <w:highlight w:val="none"/>
                <w:lang w:val="en-US" w:eastAsia="zh-CN"/>
              </w:rPr>
            </w:pPr>
            <w:r>
              <w:rPr>
                <w:rFonts w:hint="eastAsia" w:ascii="宋体" w:hAnsi="宋体" w:eastAsia="宋体" w:cs="宋体"/>
                <w:caps/>
                <w:color w:val="auto"/>
                <w:sz w:val="24"/>
                <w:szCs w:val="24"/>
                <w:highlight w:val="none"/>
                <w:lang w:val="en-US" w:eastAsia="zh-CN"/>
              </w:rPr>
              <w:t>备注</w:t>
            </w:r>
          </w:p>
        </w:tc>
      </w:tr>
      <w:tr w14:paraId="41649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130" w:type="dxa"/>
            <w:vAlign w:val="center"/>
          </w:tcPr>
          <w:p w14:paraId="2D51DC15">
            <w:pPr>
              <w:ind w:firstLine="560"/>
              <w:jc w:val="center"/>
              <w:rPr>
                <w:rFonts w:hint="eastAsia" w:ascii="宋体" w:hAnsi="宋体" w:eastAsia="宋体" w:cs="宋体"/>
                <w:caps/>
                <w:color w:val="auto"/>
                <w:sz w:val="24"/>
                <w:szCs w:val="24"/>
                <w:highlight w:val="none"/>
              </w:rPr>
            </w:pPr>
          </w:p>
        </w:tc>
        <w:tc>
          <w:tcPr>
            <w:tcW w:w="3578" w:type="dxa"/>
            <w:vAlign w:val="center"/>
          </w:tcPr>
          <w:p w14:paraId="2B55DF4F">
            <w:pPr>
              <w:ind w:firstLine="560"/>
              <w:jc w:val="center"/>
              <w:rPr>
                <w:rFonts w:hint="eastAsia" w:ascii="宋体" w:hAnsi="宋体" w:eastAsia="宋体" w:cs="宋体"/>
                <w:caps/>
                <w:color w:val="auto"/>
                <w:sz w:val="24"/>
                <w:szCs w:val="24"/>
                <w:highlight w:val="none"/>
              </w:rPr>
            </w:pPr>
          </w:p>
        </w:tc>
        <w:tc>
          <w:tcPr>
            <w:tcW w:w="2290" w:type="dxa"/>
            <w:vAlign w:val="center"/>
          </w:tcPr>
          <w:p w14:paraId="49397BB2">
            <w:pPr>
              <w:ind w:firstLine="560"/>
              <w:jc w:val="center"/>
              <w:rPr>
                <w:rFonts w:hint="eastAsia" w:ascii="宋体" w:hAnsi="宋体" w:eastAsia="宋体" w:cs="宋体"/>
                <w:caps/>
                <w:color w:val="auto"/>
                <w:sz w:val="24"/>
                <w:szCs w:val="24"/>
                <w:highlight w:val="none"/>
              </w:rPr>
            </w:pPr>
          </w:p>
        </w:tc>
        <w:tc>
          <w:tcPr>
            <w:tcW w:w="2261" w:type="dxa"/>
            <w:vAlign w:val="center"/>
          </w:tcPr>
          <w:p w14:paraId="7498D854">
            <w:pPr>
              <w:ind w:firstLine="560"/>
              <w:jc w:val="center"/>
              <w:rPr>
                <w:rFonts w:hint="eastAsia" w:ascii="宋体" w:hAnsi="宋体" w:eastAsia="宋体" w:cs="宋体"/>
                <w:caps/>
                <w:color w:val="auto"/>
                <w:sz w:val="24"/>
                <w:szCs w:val="24"/>
                <w:highlight w:val="none"/>
              </w:rPr>
            </w:pPr>
          </w:p>
        </w:tc>
      </w:tr>
      <w:tr w14:paraId="362C3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130" w:type="dxa"/>
            <w:vAlign w:val="center"/>
          </w:tcPr>
          <w:p w14:paraId="4897AACD">
            <w:pPr>
              <w:ind w:firstLine="560"/>
              <w:jc w:val="center"/>
              <w:rPr>
                <w:rFonts w:hint="eastAsia" w:ascii="宋体" w:hAnsi="宋体" w:eastAsia="宋体" w:cs="宋体"/>
                <w:caps/>
                <w:color w:val="auto"/>
                <w:sz w:val="24"/>
                <w:szCs w:val="24"/>
                <w:highlight w:val="none"/>
              </w:rPr>
            </w:pPr>
          </w:p>
        </w:tc>
        <w:tc>
          <w:tcPr>
            <w:tcW w:w="3578" w:type="dxa"/>
            <w:vAlign w:val="center"/>
          </w:tcPr>
          <w:p w14:paraId="1AE4C35F">
            <w:pPr>
              <w:ind w:firstLine="560"/>
              <w:jc w:val="center"/>
              <w:rPr>
                <w:rFonts w:hint="eastAsia" w:ascii="宋体" w:hAnsi="宋体" w:eastAsia="宋体" w:cs="宋体"/>
                <w:caps/>
                <w:color w:val="auto"/>
                <w:sz w:val="24"/>
                <w:szCs w:val="24"/>
                <w:highlight w:val="none"/>
              </w:rPr>
            </w:pPr>
          </w:p>
        </w:tc>
        <w:tc>
          <w:tcPr>
            <w:tcW w:w="2290" w:type="dxa"/>
            <w:vAlign w:val="center"/>
          </w:tcPr>
          <w:p w14:paraId="213CCCE1">
            <w:pPr>
              <w:ind w:firstLine="560"/>
              <w:jc w:val="center"/>
              <w:rPr>
                <w:rFonts w:hint="eastAsia" w:ascii="宋体" w:hAnsi="宋体" w:eastAsia="宋体" w:cs="宋体"/>
                <w:caps/>
                <w:color w:val="auto"/>
                <w:sz w:val="24"/>
                <w:szCs w:val="24"/>
                <w:highlight w:val="none"/>
              </w:rPr>
            </w:pPr>
          </w:p>
        </w:tc>
        <w:tc>
          <w:tcPr>
            <w:tcW w:w="2261" w:type="dxa"/>
            <w:vAlign w:val="center"/>
          </w:tcPr>
          <w:p w14:paraId="7A32EAEA">
            <w:pPr>
              <w:ind w:firstLine="560"/>
              <w:jc w:val="center"/>
              <w:rPr>
                <w:rFonts w:hint="eastAsia" w:ascii="宋体" w:hAnsi="宋体" w:eastAsia="宋体" w:cs="宋体"/>
                <w:caps/>
                <w:color w:val="auto"/>
                <w:sz w:val="24"/>
                <w:szCs w:val="24"/>
                <w:highlight w:val="none"/>
              </w:rPr>
            </w:pPr>
          </w:p>
        </w:tc>
      </w:tr>
      <w:tr w14:paraId="21F54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130" w:type="dxa"/>
            <w:vAlign w:val="center"/>
          </w:tcPr>
          <w:p w14:paraId="609E3FAF">
            <w:pPr>
              <w:ind w:firstLine="560"/>
              <w:jc w:val="center"/>
              <w:rPr>
                <w:rFonts w:hint="eastAsia" w:ascii="宋体" w:hAnsi="宋体" w:eastAsia="宋体" w:cs="宋体"/>
                <w:caps/>
                <w:color w:val="auto"/>
                <w:sz w:val="24"/>
                <w:szCs w:val="24"/>
                <w:highlight w:val="none"/>
              </w:rPr>
            </w:pPr>
          </w:p>
        </w:tc>
        <w:tc>
          <w:tcPr>
            <w:tcW w:w="3578" w:type="dxa"/>
            <w:vAlign w:val="center"/>
          </w:tcPr>
          <w:p w14:paraId="2E80BB91">
            <w:pPr>
              <w:ind w:firstLine="560"/>
              <w:jc w:val="center"/>
              <w:rPr>
                <w:rFonts w:hint="eastAsia" w:ascii="宋体" w:hAnsi="宋体" w:eastAsia="宋体" w:cs="宋体"/>
                <w:caps/>
                <w:color w:val="auto"/>
                <w:sz w:val="24"/>
                <w:szCs w:val="24"/>
                <w:highlight w:val="none"/>
              </w:rPr>
            </w:pPr>
          </w:p>
        </w:tc>
        <w:tc>
          <w:tcPr>
            <w:tcW w:w="2290" w:type="dxa"/>
            <w:vAlign w:val="center"/>
          </w:tcPr>
          <w:p w14:paraId="5D9D4C80">
            <w:pPr>
              <w:ind w:firstLine="560"/>
              <w:jc w:val="center"/>
              <w:rPr>
                <w:rFonts w:hint="eastAsia" w:ascii="宋体" w:hAnsi="宋体" w:eastAsia="宋体" w:cs="宋体"/>
                <w:caps/>
                <w:color w:val="auto"/>
                <w:sz w:val="24"/>
                <w:szCs w:val="24"/>
                <w:highlight w:val="none"/>
              </w:rPr>
            </w:pPr>
          </w:p>
        </w:tc>
        <w:tc>
          <w:tcPr>
            <w:tcW w:w="2261" w:type="dxa"/>
            <w:vAlign w:val="center"/>
          </w:tcPr>
          <w:p w14:paraId="5D47884F">
            <w:pPr>
              <w:ind w:firstLine="560"/>
              <w:jc w:val="center"/>
              <w:rPr>
                <w:rFonts w:hint="eastAsia" w:ascii="宋体" w:hAnsi="宋体" w:eastAsia="宋体" w:cs="宋体"/>
                <w:caps/>
                <w:color w:val="auto"/>
                <w:sz w:val="24"/>
                <w:szCs w:val="24"/>
                <w:highlight w:val="none"/>
              </w:rPr>
            </w:pPr>
          </w:p>
        </w:tc>
      </w:tr>
      <w:tr w14:paraId="6D426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130" w:type="dxa"/>
            <w:vAlign w:val="center"/>
          </w:tcPr>
          <w:p w14:paraId="2CC5A9CB">
            <w:pPr>
              <w:ind w:firstLine="560"/>
              <w:jc w:val="center"/>
              <w:rPr>
                <w:rFonts w:hint="eastAsia" w:ascii="宋体" w:hAnsi="宋体" w:eastAsia="宋体" w:cs="宋体"/>
                <w:caps/>
                <w:color w:val="auto"/>
                <w:sz w:val="24"/>
                <w:szCs w:val="24"/>
                <w:highlight w:val="none"/>
              </w:rPr>
            </w:pPr>
          </w:p>
        </w:tc>
        <w:tc>
          <w:tcPr>
            <w:tcW w:w="3578" w:type="dxa"/>
            <w:vAlign w:val="center"/>
          </w:tcPr>
          <w:p w14:paraId="2E887C44">
            <w:pPr>
              <w:ind w:firstLine="560"/>
              <w:jc w:val="center"/>
              <w:rPr>
                <w:rFonts w:hint="eastAsia" w:ascii="宋体" w:hAnsi="宋体" w:eastAsia="宋体" w:cs="宋体"/>
                <w:caps/>
                <w:color w:val="auto"/>
                <w:sz w:val="24"/>
                <w:szCs w:val="24"/>
                <w:highlight w:val="none"/>
              </w:rPr>
            </w:pPr>
          </w:p>
        </w:tc>
        <w:tc>
          <w:tcPr>
            <w:tcW w:w="2290" w:type="dxa"/>
            <w:vAlign w:val="center"/>
          </w:tcPr>
          <w:p w14:paraId="49C02D61">
            <w:pPr>
              <w:ind w:firstLine="560"/>
              <w:jc w:val="center"/>
              <w:rPr>
                <w:rFonts w:hint="eastAsia" w:ascii="宋体" w:hAnsi="宋体" w:eastAsia="宋体" w:cs="宋体"/>
                <w:caps/>
                <w:color w:val="auto"/>
                <w:sz w:val="24"/>
                <w:szCs w:val="24"/>
                <w:highlight w:val="none"/>
              </w:rPr>
            </w:pPr>
          </w:p>
        </w:tc>
        <w:tc>
          <w:tcPr>
            <w:tcW w:w="2261" w:type="dxa"/>
            <w:vAlign w:val="center"/>
          </w:tcPr>
          <w:p w14:paraId="06F8BB8D">
            <w:pPr>
              <w:ind w:firstLine="560"/>
              <w:jc w:val="center"/>
              <w:rPr>
                <w:rFonts w:hint="eastAsia" w:ascii="宋体" w:hAnsi="宋体" w:eastAsia="宋体" w:cs="宋体"/>
                <w:caps/>
                <w:color w:val="auto"/>
                <w:sz w:val="24"/>
                <w:szCs w:val="24"/>
                <w:highlight w:val="none"/>
              </w:rPr>
            </w:pPr>
          </w:p>
        </w:tc>
      </w:tr>
      <w:tr w14:paraId="3090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130" w:type="dxa"/>
            <w:vAlign w:val="center"/>
          </w:tcPr>
          <w:p w14:paraId="3374EBD3">
            <w:pPr>
              <w:ind w:firstLine="560"/>
              <w:jc w:val="center"/>
              <w:rPr>
                <w:rFonts w:hint="eastAsia" w:ascii="宋体" w:hAnsi="宋体" w:eastAsia="宋体" w:cs="宋体"/>
                <w:caps/>
                <w:color w:val="auto"/>
                <w:sz w:val="24"/>
                <w:szCs w:val="24"/>
                <w:highlight w:val="none"/>
              </w:rPr>
            </w:pPr>
          </w:p>
        </w:tc>
        <w:tc>
          <w:tcPr>
            <w:tcW w:w="3578" w:type="dxa"/>
            <w:vAlign w:val="center"/>
          </w:tcPr>
          <w:p w14:paraId="75C8EDD8">
            <w:pPr>
              <w:ind w:firstLine="560"/>
              <w:jc w:val="center"/>
              <w:rPr>
                <w:rFonts w:hint="eastAsia" w:ascii="宋体" w:hAnsi="宋体" w:eastAsia="宋体" w:cs="宋体"/>
                <w:caps/>
                <w:color w:val="auto"/>
                <w:sz w:val="24"/>
                <w:szCs w:val="24"/>
                <w:highlight w:val="none"/>
              </w:rPr>
            </w:pPr>
          </w:p>
        </w:tc>
        <w:tc>
          <w:tcPr>
            <w:tcW w:w="2290" w:type="dxa"/>
            <w:vAlign w:val="center"/>
          </w:tcPr>
          <w:p w14:paraId="06D8DEFB">
            <w:pPr>
              <w:ind w:firstLine="560"/>
              <w:jc w:val="center"/>
              <w:rPr>
                <w:rFonts w:hint="eastAsia" w:ascii="宋体" w:hAnsi="宋体" w:eastAsia="宋体" w:cs="宋体"/>
                <w:caps/>
                <w:color w:val="auto"/>
                <w:sz w:val="24"/>
                <w:szCs w:val="24"/>
                <w:highlight w:val="none"/>
              </w:rPr>
            </w:pPr>
          </w:p>
        </w:tc>
        <w:tc>
          <w:tcPr>
            <w:tcW w:w="2261" w:type="dxa"/>
            <w:vAlign w:val="center"/>
          </w:tcPr>
          <w:p w14:paraId="646ECCEF">
            <w:pPr>
              <w:ind w:firstLine="560"/>
              <w:jc w:val="center"/>
              <w:rPr>
                <w:rFonts w:hint="eastAsia" w:ascii="宋体" w:hAnsi="宋体" w:eastAsia="宋体" w:cs="宋体"/>
                <w:caps/>
                <w:color w:val="auto"/>
                <w:sz w:val="24"/>
                <w:szCs w:val="24"/>
                <w:highlight w:val="none"/>
              </w:rPr>
            </w:pPr>
          </w:p>
        </w:tc>
      </w:tr>
      <w:tr w14:paraId="5A17F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130" w:type="dxa"/>
            <w:vAlign w:val="center"/>
          </w:tcPr>
          <w:p w14:paraId="3D6D4EA2">
            <w:pPr>
              <w:ind w:firstLine="560"/>
              <w:jc w:val="center"/>
              <w:rPr>
                <w:rFonts w:hint="eastAsia" w:ascii="宋体" w:hAnsi="宋体" w:eastAsia="宋体" w:cs="宋体"/>
                <w:caps/>
                <w:color w:val="auto"/>
                <w:sz w:val="24"/>
                <w:szCs w:val="24"/>
                <w:highlight w:val="none"/>
              </w:rPr>
            </w:pPr>
          </w:p>
        </w:tc>
        <w:tc>
          <w:tcPr>
            <w:tcW w:w="3578" w:type="dxa"/>
            <w:vAlign w:val="center"/>
          </w:tcPr>
          <w:p w14:paraId="57AD0430">
            <w:pPr>
              <w:ind w:firstLine="560"/>
              <w:jc w:val="center"/>
              <w:rPr>
                <w:rFonts w:hint="eastAsia" w:ascii="宋体" w:hAnsi="宋体" w:eastAsia="宋体" w:cs="宋体"/>
                <w:caps/>
                <w:color w:val="auto"/>
                <w:sz w:val="24"/>
                <w:szCs w:val="24"/>
                <w:highlight w:val="none"/>
              </w:rPr>
            </w:pPr>
          </w:p>
        </w:tc>
        <w:tc>
          <w:tcPr>
            <w:tcW w:w="2290" w:type="dxa"/>
            <w:vAlign w:val="center"/>
          </w:tcPr>
          <w:p w14:paraId="16BDDA30">
            <w:pPr>
              <w:ind w:firstLine="560"/>
              <w:jc w:val="center"/>
              <w:rPr>
                <w:rFonts w:hint="eastAsia" w:ascii="宋体" w:hAnsi="宋体" w:eastAsia="宋体" w:cs="宋体"/>
                <w:caps/>
                <w:color w:val="auto"/>
                <w:sz w:val="24"/>
                <w:szCs w:val="24"/>
                <w:highlight w:val="none"/>
              </w:rPr>
            </w:pPr>
          </w:p>
        </w:tc>
        <w:tc>
          <w:tcPr>
            <w:tcW w:w="2261" w:type="dxa"/>
            <w:vAlign w:val="center"/>
          </w:tcPr>
          <w:p w14:paraId="270C32BD">
            <w:pPr>
              <w:ind w:firstLine="560"/>
              <w:jc w:val="center"/>
              <w:rPr>
                <w:rFonts w:hint="eastAsia" w:ascii="宋体" w:hAnsi="宋体" w:eastAsia="宋体" w:cs="宋体"/>
                <w:caps/>
                <w:color w:val="auto"/>
                <w:sz w:val="24"/>
                <w:szCs w:val="24"/>
                <w:highlight w:val="none"/>
              </w:rPr>
            </w:pPr>
          </w:p>
        </w:tc>
      </w:tr>
      <w:tr w14:paraId="6A9A3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130" w:type="dxa"/>
            <w:vAlign w:val="center"/>
          </w:tcPr>
          <w:p w14:paraId="6542F68F">
            <w:pPr>
              <w:ind w:firstLine="560"/>
              <w:jc w:val="center"/>
              <w:rPr>
                <w:rFonts w:hint="eastAsia" w:ascii="宋体" w:hAnsi="宋体" w:eastAsia="宋体" w:cs="宋体"/>
                <w:caps/>
                <w:color w:val="auto"/>
                <w:sz w:val="24"/>
                <w:szCs w:val="24"/>
                <w:highlight w:val="none"/>
              </w:rPr>
            </w:pPr>
          </w:p>
        </w:tc>
        <w:tc>
          <w:tcPr>
            <w:tcW w:w="3578" w:type="dxa"/>
            <w:vAlign w:val="center"/>
          </w:tcPr>
          <w:p w14:paraId="0A90E9EE">
            <w:pPr>
              <w:ind w:firstLine="560"/>
              <w:jc w:val="center"/>
              <w:rPr>
                <w:rFonts w:hint="eastAsia" w:ascii="宋体" w:hAnsi="宋体" w:eastAsia="宋体" w:cs="宋体"/>
                <w:caps/>
                <w:color w:val="auto"/>
                <w:sz w:val="24"/>
                <w:szCs w:val="24"/>
                <w:highlight w:val="none"/>
              </w:rPr>
            </w:pPr>
          </w:p>
        </w:tc>
        <w:tc>
          <w:tcPr>
            <w:tcW w:w="2290" w:type="dxa"/>
            <w:vAlign w:val="center"/>
          </w:tcPr>
          <w:p w14:paraId="446A51AB">
            <w:pPr>
              <w:ind w:firstLine="560"/>
              <w:jc w:val="center"/>
              <w:rPr>
                <w:rFonts w:hint="eastAsia" w:ascii="宋体" w:hAnsi="宋体" w:eastAsia="宋体" w:cs="宋体"/>
                <w:caps/>
                <w:color w:val="auto"/>
                <w:sz w:val="24"/>
                <w:szCs w:val="24"/>
                <w:highlight w:val="none"/>
              </w:rPr>
            </w:pPr>
          </w:p>
        </w:tc>
        <w:tc>
          <w:tcPr>
            <w:tcW w:w="2261" w:type="dxa"/>
            <w:vAlign w:val="center"/>
          </w:tcPr>
          <w:p w14:paraId="07654F56">
            <w:pPr>
              <w:ind w:firstLine="560"/>
              <w:jc w:val="center"/>
              <w:rPr>
                <w:rFonts w:hint="eastAsia" w:ascii="宋体" w:hAnsi="宋体" w:eastAsia="宋体" w:cs="宋体"/>
                <w:caps/>
                <w:color w:val="auto"/>
                <w:sz w:val="24"/>
                <w:szCs w:val="24"/>
                <w:highlight w:val="none"/>
              </w:rPr>
            </w:pPr>
          </w:p>
        </w:tc>
      </w:tr>
    </w:tbl>
    <w:p w14:paraId="0167A783">
      <w:pPr>
        <w:autoSpaceDE w:val="0"/>
        <w:autoSpaceDN w:val="0"/>
        <w:adjustRightInd w:val="0"/>
        <w:spacing w:line="360" w:lineRule="exact"/>
        <w:ind w:right="-694"/>
        <w:rPr>
          <w:rFonts w:hint="eastAsia" w:asciiTheme="majorEastAsia" w:hAnsiTheme="majorEastAsia" w:eastAsiaTheme="majorEastAsia" w:cstheme="majorEastAsia"/>
          <w:color w:val="auto"/>
          <w:kern w:val="0"/>
          <w:szCs w:val="21"/>
          <w:highlight w:val="none"/>
          <w:u w:val="single"/>
        </w:rPr>
      </w:pPr>
    </w:p>
    <w:p w14:paraId="30CF8F24">
      <w:pPr>
        <w:pStyle w:val="17"/>
        <w:spacing w:line="276" w:lineRule="auto"/>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注：</w:t>
      </w:r>
    </w:p>
    <w:p w14:paraId="109DCDC3">
      <w:pPr>
        <w:pStyle w:val="17"/>
        <w:numPr>
          <w:ilvl w:val="0"/>
          <w:numId w:val="11"/>
        </w:numPr>
        <w:spacing w:line="276" w:lineRule="auto"/>
        <w:rPr>
          <w:rFonts w:hint="eastAsia" w:asciiTheme="majorEastAsia" w:hAnsiTheme="majorEastAsia" w:eastAsiaTheme="majorEastAsia" w:cstheme="majorEastAsia"/>
          <w:color w:val="auto"/>
          <w:szCs w:val="21"/>
          <w:highlight w:val="none"/>
          <w:lang w:eastAsia="zh-CN"/>
        </w:rPr>
      </w:pPr>
      <w:r>
        <w:rPr>
          <w:rFonts w:hint="eastAsia" w:asciiTheme="majorEastAsia" w:hAnsiTheme="majorEastAsia" w:eastAsiaTheme="majorEastAsia" w:cstheme="majorEastAsia"/>
          <w:color w:val="auto"/>
          <w:szCs w:val="21"/>
          <w:highlight w:val="none"/>
        </w:rPr>
        <w:t>表格长度和内容投标人须根据招标文件要求并结合自身实际情况自行调整进行填写</w:t>
      </w:r>
      <w:r>
        <w:rPr>
          <w:rFonts w:hint="eastAsia" w:asciiTheme="majorEastAsia" w:hAnsiTheme="majorEastAsia" w:eastAsiaTheme="majorEastAsia" w:cstheme="majorEastAsia"/>
          <w:color w:val="auto"/>
          <w:szCs w:val="21"/>
          <w:highlight w:val="none"/>
          <w:lang w:eastAsia="zh-CN"/>
        </w:rPr>
        <w:t>。</w:t>
      </w:r>
    </w:p>
    <w:p w14:paraId="057886AD">
      <w:pPr>
        <w:pStyle w:val="17"/>
        <w:numPr>
          <w:ilvl w:val="0"/>
          <w:numId w:val="11"/>
        </w:numPr>
        <w:spacing w:line="276" w:lineRule="auto"/>
        <w:rPr>
          <w:rFonts w:hint="eastAsia" w:asciiTheme="majorEastAsia" w:hAnsiTheme="majorEastAsia" w:eastAsiaTheme="majorEastAsia" w:cstheme="majorEastAsia"/>
          <w:color w:val="auto"/>
          <w:szCs w:val="21"/>
          <w:highlight w:val="none"/>
          <w:lang w:eastAsia="zh-CN"/>
        </w:rPr>
      </w:pPr>
      <w:r>
        <w:rPr>
          <w:rFonts w:hint="eastAsia" w:asciiTheme="majorEastAsia" w:hAnsiTheme="majorEastAsia" w:eastAsiaTheme="majorEastAsia" w:cstheme="majorEastAsia"/>
          <w:color w:val="auto"/>
          <w:szCs w:val="21"/>
          <w:highlight w:val="none"/>
        </w:rPr>
        <w:t>项目组成员需分别填写此表，后附劳动合同</w:t>
      </w:r>
      <w:r>
        <w:rPr>
          <w:rFonts w:hint="eastAsia" w:asciiTheme="majorEastAsia" w:hAnsiTheme="majorEastAsia" w:eastAsiaTheme="majorEastAsia" w:cstheme="majorEastAsia"/>
          <w:color w:val="auto"/>
          <w:szCs w:val="21"/>
          <w:highlight w:val="none"/>
          <w:lang w:val="en-US" w:eastAsia="zh-CN"/>
        </w:rPr>
        <w:t>、</w:t>
      </w:r>
      <w:r>
        <w:rPr>
          <w:rFonts w:hint="eastAsia" w:asciiTheme="majorEastAsia" w:hAnsiTheme="majorEastAsia" w:eastAsiaTheme="majorEastAsia" w:cstheme="majorEastAsia"/>
          <w:color w:val="auto"/>
          <w:szCs w:val="21"/>
          <w:highlight w:val="none"/>
        </w:rPr>
        <w:t>相关</w:t>
      </w:r>
      <w:r>
        <w:rPr>
          <w:rFonts w:hint="eastAsia" w:asciiTheme="majorEastAsia" w:hAnsiTheme="majorEastAsia" w:eastAsiaTheme="majorEastAsia" w:cstheme="majorEastAsia"/>
          <w:color w:val="auto"/>
          <w:szCs w:val="21"/>
          <w:highlight w:val="none"/>
          <w:lang w:val="en-US" w:eastAsia="zh-CN"/>
        </w:rPr>
        <w:t>证件</w:t>
      </w:r>
      <w:r>
        <w:rPr>
          <w:rFonts w:hint="eastAsia" w:asciiTheme="majorEastAsia" w:hAnsiTheme="majorEastAsia" w:eastAsiaTheme="majorEastAsia" w:cstheme="majorEastAsia"/>
          <w:color w:val="auto"/>
          <w:szCs w:val="21"/>
          <w:highlight w:val="none"/>
        </w:rPr>
        <w:t>原件扫描</w:t>
      </w:r>
      <w:r>
        <w:rPr>
          <w:rFonts w:hint="eastAsia" w:asciiTheme="majorEastAsia" w:hAnsiTheme="majorEastAsia" w:eastAsiaTheme="majorEastAsia" w:cstheme="majorEastAsia"/>
          <w:color w:val="auto"/>
          <w:szCs w:val="21"/>
          <w:highlight w:val="none"/>
          <w:lang w:eastAsia="zh-CN"/>
        </w:rPr>
        <w:t>。</w:t>
      </w:r>
    </w:p>
    <w:p w14:paraId="7221198D">
      <w:pPr>
        <w:spacing w:before="60" w:after="60" w:line="48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投标人全称</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加盖电子公章</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w:t>
      </w:r>
      <w:r>
        <w:rPr>
          <w:rFonts w:hint="eastAsia" w:asciiTheme="majorEastAsia" w:hAnsiTheme="majorEastAsia" w:eastAsiaTheme="majorEastAsia" w:cstheme="majorEastAsia"/>
          <w:color w:val="auto"/>
          <w:szCs w:val="21"/>
          <w:highlight w:val="none"/>
          <w:u w:val="single"/>
        </w:rPr>
        <w:t xml:space="preserve">                                  </w:t>
      </w:r>
    </w:p>
    <w:p w14:paraId="10AA8C0F">
      <w:pPr>
        <w:spacing w:before="60" w:after="60" w:line="480" w:lineRule="auto"/>
        <w:rPr>
          <w:rFonts w:hint="eastAsia" w:asciiTheme="majorEastAsia" w:hAnsiTheme="majorEastAsia" w:eastAsiaTheme="majorEastAsia" w:cstheme="majorEastAsia"/>
          <w:color w:val="auto"/>
          <w:szCs w:val="21"/>
          <w:highlight w:val="none"/>
          <w:u w:val="single"/>
        </w:rPr>
      </w:pPr>
      <w:r>
        <w:rPr>
          <w:rFonts w:hint="eastAsia" w:asciiTheme="majorEastAsia" w:hAnsiTheme="majorEastAsia" w:eastAsiaTheme="majorEastAsia" w:cstheme="majorEastAsia"/>
          <w:color w:val="auto"/>
          <w:szCs w:val="21"/>
          <w:highlight w:val="none"/>
        </w:rPr>
        <w:t>法定代表人或委托代理人（电子签名）：</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u w:val="single"/>
        </w:rPr>
        <w:t xml:space="preserve">            </w:t>
      </w:r>
    </w:p>
    <w:p w14:paraId="05F1FB05">
      <w:pP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Cs w:val="21"/>
          <w:highlight w:val="none"/>
        </w:rPr>
        <w:t>日期：</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年</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月</w:t>
      </w:r>
      <w:r>
        <w:rPr>
          <w:rFonts w:hint="eastAsia" w:asciiTheme="majorEastAsia" w:hAnsiTheme="majorEastAsia" w:eastAsiaTheme="majorEastAsia" w:cstheme="majorEastAsia"/>
          <w:color w:val="auto"/>
          <w:szCs w:val="21"/>
          <w:highlight w:val="none"/>
          <w:u w:val="single"/>
          <w:lang w:val="en-US" w:eastAsia="zh-CN"/>
        </w:rPr>
        <w:t xml:space="preserve">      </w:t>
      </w:r>
      <w:r>
        <w:rPr>
          <w:rFonts w:hint="eastAsia" w:asciiTheme="majorEastAsia" w:hAnsiTheme="majorEastAsia" w:eastAsiaTheme="majorEastAsia" w:cstheme="majorEastAsia"/>
          <w:color w:val="auto"/>
          <w:szCs w:val="21"/>
          <w:highlight w:val="none"/>
        </w:rPr>
        <w:t>日</w:t>
      </w:r>
    </w:p>
    <w:p w14:paraId="5DF280EB">
      <w:pPr>
        <w:autoSpaceDE w:val="0"/>
        <w:autoSpaceDN w:val="0"/>
        <w:adjustRightInd w:val="0"/>
        <w:spacing w:line="360" w:lineRule="exact"/>
        <w:ind w:right="-694"/>
        <w:rPr>
          <w:rFonts w:hint="eastAsia" w:asciiTheme="majorEastAsia" w:hAnsiTheme="majorEastAsia" w:eastAsiaTheme="majorEastAsia" w:cstheme="majorEastAsia"/>
          <w:color w:val="auto"/>
          <w:kern w:val="0"/>
          <w:szCs w:val="21"/>
          <w:highlight w:val="none"/>
          <w:u w:val="single"/>
        </w:rPr>
      </w:pPr>
    </w:p>
    <w:bookmarkEnd w:id="329"/>
    <w:bookmarkEnd w:id="330"/>
    <w:p w14:paraId="34DE0444">
      <w:pPr>
        <w:numPr>
          <w:ilvl w:val="2"/>
          <w:numId w:val="0"/>
        </w:numPr>
        <w:spacing w:before="0" w:after="0" w:line="360" w:lineRule="auto"/>
        <w:ind w:left="851" w:leftChars="0"/>
        <w:jc w:val="center"/>
        <w:outlineLvl w:val="9"/>
        <w:rPr>
          <w:rFonts w:hint="eastAsia" w:asciiTheme="majorEastAsia" w:hAnsiTheme="majorEastAsia" w:eastAsiaTheme="majorEastAsia" w:cstheme="majorEastAsia"/>
          <w:color w:val="auto"/>
          <w:highlight w:val="none"/>
        </w:rPr>
      </w:pPr>
      <w:bookmarkStart w:id="332" w:name="_Toc509593412"/>
      <w:bookmarkStart w:id="333" w:name="_Toc111813259"/>
      <w:bookmarkStart w:id="334" w:name="_Toc10117053"/>
      <w:bookmarkStart w:id="335" w:name="_Toc113569088"/>
    </w:p>
    <w:p w14:paraId="0FF9B4A9">
      <w:pPr>
        <w:numPr>
          <w:ilvl w:val="2"/>
          <w:numId w:val="0"/>
        </w:numPr>
        <w:spacing w:before="0" w:after="0" w:line="360" w:lineRule="auto"/>
        <w:ind w:left="851" w:leftChars="0"/>
        <w:jc w:val="center"/>
        <w:outlineLvl w:val="9"/>
        <w:rPr>
          <w:rFonts w:hint="eastAsia" w:asciiTheme="majorEastAsia" w:hAnsiTheme="majorEastAsia" w:eastAsiaTheme="majorEastAsia" w:cstheme="majorEastAsia"/>
          <w:color w:val="auto"/>
          <w:highlight w:val="none"/>
        </w:rPr>
      </w:pPr>
    </w:p>
    <w:p w14:paraId="2F9BD2AF">
      <w:pPr>
        <w:pStyle w:val="14"/>
        <w:rPr>
          <w:rFonts w:hint="eastAsia"/>
        </w:rPr>
      </w:pPr>
    </w:p>
    <w:p w14:paraId="3933116C">
      <w:pPr>
        <w:numPr>
          <w:ilvl w:val="2"/>
          <w:numId w:val="0"/>
        </w:numPr>
        <w:spacing w:before="0" w:after="0" w:line="360" w:lineRule="auto"/>
        <w:ind w:left="851" w:leftChars="0"/>
        <w:jc w:val="center"/>
        <w:outlineLvl w:val="9"/>
        <w:rPr>
          <w:rFonts w:hint="eastAsia" w:asciiTheme="majorEastAsia" w:hAnsiTheme="majorEastAsia" w:eastAsiaTheme="majorEastAsia" w:cstheme="majorEastAsia"/>
          <w:color w:val="auto"/>
          <w:highlight w:val="none"/>
        </w:rPr>
      </w:pPr>
    </w:p>
    <w:p w14:paraId="72F73908">
      <w:pPr>
        <w:numPr>
          <w:ilvl w:val="2"/>
          <w:numId w:val="0"/>
        </w:numPr>
        <w:spacing w:before="0" w:after="0" w:line="360" w:lineRule="auto"/>
        <w:ind w:left="851" w:leftChars="0"/>
        <w:jc w:val="center"/>
        <w:outlineLvl w:val="9"/>
        <w:rPr>
          <w:rFonts w:hint="eastAsia" w:asciiTheme="majorEastAsia" w:hAnsiTheme="majorEastAsia" w:eastAsiaTheme="majorEastAsia" w:cstheme="majorEastAsia"/>
          <w:color w:val="auto"/>
          <w:highlight w:val="none"/>
        </w:rPr>
      </w:pPr>
    </w:p>
    <w:p w14:paraId="70078104">
      <w:pP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br w:type="page"/>
      </w:r>
    </w:p>
    <w:p w14:paraId="0E373FBD">
      <w:pPr>
        <w:pStyle w:val="4"/>
        <w:numPr>
          <w:ilvl w:val="2"/>
          <w:numId w:val="0"/>
        </w:numPr>
        <w:tabs>
          <w:tab w:val="clear" w:pos="900"/>
        </w:tabs>
        <w:spacing w:line="360" w:lineRule="auto"/>
        <w:ind w:left="851" w:leftChars="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（三）</w:t>
      </w:r>
      <w:bookmarkEnd w:id="331"/>
      <w:bookmarkEnd w:id="332"/>
      <w:bookmarkEnd w:id="333"/>
      <w:bookmarkEnd w:id="334"/>
      <w:bookmarkEnd w:id="335"/>
      <w:bookmarkStart w:id="336" w:name="_Toc10117056"/>
      <w:bookmarkStart w:id="337" w:name="_Toc509593416"/>
      <w:bookmarkStart w:id="338" w:name="_Toc457090340"/>
      <w:bookmarkStart w:id="339" w:name="_Toc111813262"/>
      <w:bookmarkStart w:id="340" w:name="_Toc113569089"/>
      <w:bookmarkStart w:id="341" w:name="_Toc17548"/>
      <w:bookmarkStart w:id="342" w:name="_Toc30475"/>
      <w:bookmarkStart w:id="343" w:name="_Toc32653"/>
      <w:bookmarkStart w:id="344" w:name="_Toc2047"/>
      <w:r>
        <w:rPr>
          <w:rFonts w:hint="eastAsia" w:asciiTheme="majorEastAsia" w:hAnsiTheme="majorEastAsia" w:eastAsiaTheme="majorEastAsia" w:cstheme="majorEastAsia"/>
          <w:color w:val="auto"/>
          <w:highlight w:val="none"/>
        </w:rPr>
        <w:t>投标人认为有必要提供的其他资料</w:t>
      </w:r>
      <w:bookmarkEnd w:id="295"/>
      <w:bookmarkEnd w:id="296"/>
      <w:bookmarkEnd w:id="297"/>
      <w:bookmarkEnd w:id="336"/>
      <w:bookmarkEnd w:id="337"/>
      <w:bookmarkEnd w:id="338"/>
      <w:bookmarkEnd w:id="339"/>
      <w:bookmarkEnd w:id="340"/>
      <w:bookmarkEnd w:id="341"/>
      <w:bookmarkEnd w:id="342"/>
      <w:bookmarkEnd w:id="343"/>
      <w:bookmarkEnd w:id="344"/>
    </w:p>
    <w:p w14:paraId="05A725AF">
      <w:pPr>
        <w:spacing w:line="500" w:lineRule="exact"/>
        <w:jc w:val="center"/>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br w:type="page"/>
      </w:r>
    </w:p>
    <w:bookmarkEnd w:id="214"/>
    <w:bookmarkEnd w:id="215"/>
    <w:p w14:paraId="217D3388">
      <w:pPr>
        <w:numPr>
          <w:ilvl w:val="0"/>
          <w:numId w:val="12"/>
        </w:numPr>
        <w:spacing w:line="360" w:lineRule="auto"/>
        <w:ind w:firstLine="720" w:firstLineChars="200"/>
        <w:jc w:val="center"/>
        <w:outlineLvl w:val="0"/>
        <w:rPr>
          <w:rFonts w:hint="eastAsia" w:asciiTheme="majorEastAsia" w:hAnsiTheme="majorEastAsia" w:eastAsiaTheme="majorEastAsia" w:cstheme="majorEastAsia"/>
          <w:b/>
          <w:color w:val="auto"/>
          <w:sz w:val="32"/>
          <w:szCs w:val="32"/>
          <w:highlight w:val="none"/>
        </w:rPr>
      </w:pPr>
      <w:bookmarkStart w:id="345" w:name="_Toc272"/>
      <w:r>
        <w:rPr>
          <w:rFonts w:hint="eastAsia" w:asciiTheme="majorEastAsia" w:hAnsiTheme="majorEastAsia" w:eastAsiaTheme="majorEastAsia" w:cstheme="majorEastAsia"/>
          <w:b/>
          <w:bCs/>
          <w:color w:val="auto"/>
          <w:sz w:val="36"/>
          <w:szCs w:val="36"/>
          <w:highlight w:val="none"/>
        </w:rPr>
        <w:t>采购需求及技术要求</w:t>
      </w:r>
      <w:bookmarkEnd w:id="345"/>
    </w:p>
    <w:p w14:paraId="118459BA">
      <w:pPr>
        <w:widowControl/>
        <w:numPr>
          <w:ilvl w:val="0"/>
          <w:numId w:val="0"/>
        </w:numPr>
        <w:snapToGrid w:val="0"/>
        <w:spacing w:line="480" w:lineRule="exact"/>
        <w:rPr>
          <w:rFonts w:hint="eastAsia" w:eastAsia="宋体"/>
          <w:b/>
          <w:bCs w:val="0"/>
          <w:color w:val="auto"/>
          <w:sz w:val="24"/>
          <w:szCs w:val="24"/>
          <w:highlight w:val="none"/>
          <w:lang w:val="en-US" w:eastAsia="zh-CN"/>
        </w:rPr>
      </w:pPr>
      <w:r>
        <w:rPr>
          <w:rFonts w:hint="eastAsia" w:eastAsia="宋体"/>
          <w:b/>
          <w:bCs w:val="0"/>
          <w:color w:val="auto"/>
          <w:sz w:val="24"/>
          <w:szCs w:val="24"/>
          <w:highlight w:val="none"/>
          <w:lang w:val="en-US" w:eastAsia="zh-CN"/>
        </w:rPr>
        <w:t>一、基本要求</w:t>
      </w:r>
    </w:p>
    <w:p w14:paraId="0F62C6B6">
      <w:pPr>
        <w:widowControl/>
        <w:numPr>
          <w:ilvl w:val="0"/>
          <w:numId w:val="0"/>
        </w:numPr>
        <w:snapToGrid w:val="0"/>
        <w:spacing w:line="480" w:lineRule="exact"/>
        <w:rPr>
          <w:rFonts w:hint="eastAsia" w:eastAsia="宋体"/>
          <w:b w:val="0"/>
          <w:bCs/>
          <w:color w:val="auto"/>
          <w:sz w:val="24"/>
          <w:szCs w:val="24"/>
          <w:highlight w:val="none"/>
          <w:lang w:val="en-US" w:eastAsia="zh-CN"/>
        </w:rPr>
      </w:pPr>
      <w:r>
        <w:rPr>
          <w:rFonts w:hint="eastAsia" w:asciiTheme="majorEastAsia" w:hAnsiTheme="majorEastAsia" w:eastAsiaTheme="majorEastAsia" w:cstheme="majorEastAsia"/>
          <w:sz w:val="18"/>
          <w:szCs w:val="18"/>
          <w:vertAlign w:val="baseline"/>
        </w:rPr>
        <w:t>★</w:t>
      </w:r>
      <w:r>
        <w:rPr>
          <w:rFonts w:hint="eastAsia" w:eastAsia="宋体"/>
          <w:b w:val="0"/>
          <w:bCs/>
          <w:color w:val="auto"/>
          <w:sz w:val="24"/>
          <w:szCs w:val="24"/>
          <w:highlight w:val="none"/>
          <w:lang w:val="en-US" w:eastAsia="zh-CN"/>
        </w:rPr>
        <w:t>1、投标公司必须提供现场应用培训，保证使用人员正确操作，在设备电器操作关键部位标贴有中文警示标志。</w:t>
      </w:r>
    </w:p>
    <w:p w14:paraId="25D3DB47">
      <w:pPr>
        <w:widowControl/>
        <w:numPr>
          <w:ilvl w:val="0"/>
          <w:numId w:val="0"/>
        </w:numPr>
        <w:snapToGrid w:val="0"/>
        <w:spacing w:line="480" w:lineRule="exact"/>
        <w:rPr>
          <w:rFonts w:hint="eastAsia" w:eastAsia="宋体"/>
          <w:b w:val="0"/>
          <w:bCs/>
          <w:color w:val="auto"/>
          <w:sz w:val="24"/>
          <w:szCs w:val="24"/>
          <w:highlight w:val="none"/>
          <w:lang w:val="en-US" w:eastAsia="zh-CN"/>
        </w:rPr>
      </w:pPr>
      <w:r>
        <w:rPr>
          <w:rFonts w:hint="eastAsia" w:asciiTheme="majorEastAsia" w:hAnsiTheme="majorEastAsia" w:eastAsiaTheme="majorEastAsia" w:cstheme="majorEastAsia"/>
          <w:sz w:val="18"/>
          <w:szCs w:val="18"/>
          <w:vertAlign w:val="baseline"/>
        </w:rPr>
        <w:t>★</w:t>
      </w:r>
      <w:r>
        <w:rPr>
          <w:rFonts w:hint="eastAsia" w:eastAsia="宋体"/>
          <w:b w:val="0"/>
          <w:bCs/>
          <w:color w:val="auto"/>
          <w:sz w:val="24"/>
          <w:szCs w:val="24"/>
          <w:highlight w:val="none"/>
          <w:lang w:val="en-US" w:eastAsia="zh-CN"/>
        </w:rPr>
        <w:t>2、投标公司所投电子产品，必须具备中文操作使用手册，所安装设备电子元件编码标识清晰，否则视为不符合验收产品，不予验收。</w:t>
      </w:r>
    </w:p>
    <w:p w14:paraId="696DC502">
      <w:pPr>
        <w:widowControl/>
        <w:numPr>
          <w:ilvl w:val="0"/>
          <w:numId w:val="0"/>
        </w:numPr>
        <w:snapToGrid w:val="0"/>
        <w:spacing w:line="480" w:lineRule="exact"/>
        <w:rPr>
          <w:rFonts w:hint="eastAsia" w:eastAsia="宋体"/>
          <w:b w:val="0"/>
          <w:bCs/>
          <w:color w:val="auto"/>
          <w:sz w:val="24"/>
          <w:szCs w:val="24"/>
          <w:highlight w:val="none"/>
          <w:lang w:val="en-US" w:eastAsia="zh-CN"/>
        </w:rPr>
      </w:pPr>
      <w:r>
        <w:rPr>
          <w:rFonts w:hint="eastAsia" w:asciiTheme="majorEastAsia" w:hAnsiTheme="majorEastAsia" w:eastAsiaTheme="majorEastAsia" w:cstheme="majorEastAsia"/>
          <w:sz w:val="18"/>
          <w:szCs w:val="18"/>
          <w:highlight w:val="none"/>
          <w:vertAlign w:val="baseline"/>
        </w:rPr>
        <w:t>★</w:t>
      </w:r>
      <w:r>
        <w:rPr>
          <w:rFonts w:hint="eastAsia" w:eastAsia="宋体"/>
          <w:b w:val="0"/>
          <w:bCs/>
          <w:color w:val="auto"/>
          <w:sz w:val="24"/>
          <w:szCs w:val="24"/>
          <w:highlight w:val="none"/>
          <w:lang w:val="en-US" w:eastAsia="zh-CN"/>
        </w:rPr>
        <w:t>3、所投产品质保期≥3年（如参数中有明确写明质保期的，以参数为准）。</w:t>
      </w:r>
    </w:p>
    <w:p w14:paraId="30145127">
      <w:pPr>
        <w:widowControl/>
        <w:numPr>
          <w:ilvl w:val="0"/>
          <w:numId w:val="0"/>
        </w:numPr>
        <w:snapToGrid w:val="0"/>
        <w:spacing w:line="480" w:lineRule="exact"/>
        <w:rPr>
          <w:rFonts w:hint="eastAsia" w:eastAsia="宋体"/>
          <w:b w:val="0"/>
          <w:bCs/>
          <w:color w:val="auto"/>
          <w:sz w:val="24"/>
          <w:szCs w:val="24"/>
          <w:highlight w:val="none"/>
          <w:lang w:val="en-US" w:eastAsia="zh-CN"/>
        </w:rPr>
      </w:pPr>
      <w:r>
        <w:rPr>
          <w:rFonts w:hint="eastAsia" w:asciiTheme="majorEastAsia" w:hAnsiTheme="majorEastAsia" w:eastAsiaTheme="majorEastAsia" w:cstheme="majorEastAsia"/>
          <w:sz w:val="18"/>
          <w:szCs w:val="18"/>
          <w:vertAlign w:val="baseline"/>
        </w:rPr>
        <w:t>★</w:t>
      </w:r>
      <w:r>
        <w:rPr>
          <w:rFonts w:hint="eastAsia" w:eastAsia="宋体"/>
          <w:b w:val="0"/>
          <w:bCs/>
          <w:color w:val="auto"/>
          <w:sz w:val="24"/>
          <w:szCs w:val="24"/>
          <w:highlight w:val="none"/>
          <w:lang w:val="en-US" w:eastAsia="zh-CN"/>
        </w:rPr>
        <w:t>4、所投产品由供货方负责运至使用方机房安装，并负责一切装卸搬运、安装、商检工作及计量检测鉴定的费用，在验收合格之前出现的自然损坏或质量问题均由供方负责。</w:t>
      </w:r>
    </w:p>
    <w:p w14:paraId="3B3A8D1F">
      <w:pPr>
        <w:widowControl/>
        <w:numPr>
          <w:ilvl w:val="0"/>
          <w:numId w:val="0"/>
        </w:numPr>
        <w:snapToGrid w:val="0"/>
        <w:spacing w:line="480" w:lineRule="exact"/>
        <w:rPr>
          <w:rFonts w:hint="eastAsia" w:eastAsia="宋体"/>
          <w:b w:val="0"/>
          <w:bCs/>
          <w:color w:val="auto"/>
          <w:sz w:val="24"/>
          <w:szCs w:val="24"/>
          <w:highlight w:val="none"/>
          <w:lang w:val="en-US" w:eastAsia="zh-CN"/>
        </w:rPr>
      </w:pPr>
      <w:r>
        <w:rPr>
          <w:rFonts w:hint="eastAsia" w:asciiTheme="majorEastAsia" w:hAnsiTheme="majorEastAsia" w:eastAsiaTheme="majorEastAsia" w:cstheme="majorEastAsia"/>
          <w:sz w:val="18"/>
          <w:szCs w:val="18"/>
          <w:vertAlign w:val="baseline"/>
        </w:rPr>
        <w:t>★</w:t>
      </w:r>
      <w:r>
        <w:rPr>
          <w:rFonts w:hint="eastAsia" w:eastAsia="宋体"/>
          <w:b w:val="0"/>
          <w:bCs/>
          <w:color w:val="auto"/>
          <w:sz w:val="24"/>
          <w:szCs w:val="24"/>
          <w:highlight w:val="none"/>
          <w:lang w:val="en-US" w:eastAsia="zh-CN"/>
        </w:rPr>
        <w:t>5、本次所招标采购产品，要求投标商所投产品机型的硬件和软件为所投产品厂家当前推向市场的最新版本的产品，所投产品必须为采购合同签订起半年内新生产的产品，不得将即将停产或淘汰的产品投标销售予购买方。</w:t>
      </w:r>
    </w:p>
    <w:p w14:paraId="56E5425D">
      <w:pPr>
        <w:widowControl/>
        <w:numPr>
          <w:ilvl w:val="0"/>
          <w:numId w:val="0"/>
        </w:numPr>
        <w:snapToGrid w:val="0"/>
        <w:spacing w:line="480" w:lineRule="exact"/>
        <w:rPr>
          <w:rFonts w:hint="eastAsia" w:eastAsia="宋体"/>
          <w:b w:val="0"/>
          <w:bCs/>
          <w:color w:val="auto"/>
          <w:sz w:val="24"/>
          <w:szCs w:val="24"/>
          <w:highlight w:val="none"/>
          <w:lang w:val="en-US" w:eastAsia="zh-CN"/>
        </w:rPr>
      </w:pPr>
      <w:r>
        <w:rPr>
          <w:rFonts w:hint="eastAsia" w:asciiTheme="majorEastAsia" w:hAnsiTheme="majorEastAsia" w:eastAsiaTheme="majorEastAsia" w:cstheme="majorEastAsia"/>
          <w:sz w:val="18"/>
          <w:szCs w:val="18"/>
          <w:vertAlign w:val="baseline"/>
        </w:rPr>
        <w:t>★</w:t>
      </w:r>
      <w:r>
        <w:rPr>
          <w:rFonts w:hint="eastAsia" w:eastAsia="宋体"/>
          <w:b w:val="0"/>
          <w:bCs/>
          <w:color w:val="auto"/>
          <w:sz w:val="24"/>
          <w:szCs w:val="24"/>
          <w:highlight w:val="none"/>
          <w:lang w:val="en-US" w:eastAsia="zh-CN"/>
        </w:rPr>
        <w:t>6、承诺提供与医院现有信息系统免费接口，并免费协助完成接口工作，同时承担与医院现有系统的第三方接口费用；免费协助完成与医院其它相关信息系统的互联互通工作。</w:t>
      </w:r>
    </w:p>
    <w:p w14:paraId="64243A7E">
      <w:pPr>
        <w:widowControl/>
        <w:numPr>
          <w:ilvl w:val="0"/>
          <w:numId w:val="0"/>
        </w:numPr>
        <w:snapToGrid w:val="0"/>
        <w:spacing w:line="480" w:lineRule="exact"/>
        <w:rPr>
          <w:rFonts w:hint="eastAsia" w:eastAsia="宋体"/>
          <w:b w:val="0"/>
          <w:bCs/>
          <w:color w:val="auto"/>
          <w:sz w:val="24"/>
          <w:szCs w:val="24"/>
          <w:highlight w:val="none"/>
          <w:lang w:val="en-US" w:eastAsia="zh-CN"/>
        </w:rPr>
      </w:pPr>
      <w:r>
        <w:rPr>
          <w:rFonts w:hint="eastAsia" w:eastAsia="宋体"/>
          <w:b w:val="0"/>
          <w:bCs/>
          <w:color w:val="auto"/>
          <w:sz w:val="24"/>
          <w:szCs w:val="24"/>
          <w:highlight w:val="none"/>
          <w:lang w:val="en-US" w:eastAsia="zh-CN"/>
        </w:rPr>
        <w:t>以上6项内容需提供承诺函。</w:t>
      </w:r>
    </w:p>
    <w:p w14:paraId="78AD7F0E">
      <w:pPr>
        <w:widowControl/>
        <w:numPr>
          <w:ilvl w:val="0"/>
          <w:numId w:val="0"/>
        </w:numPr>
        <w:snapToGrid w:val="0"/>
        <w:spacing w:line="480" w:lineRule="exact"/>
        <w:rPr>
          <w:rFonts w:hint="default" w:eastAsia="宋体"/>
          <w:b w:val="0"/>
          <w:bCs/>
          <w:color w:val="auto"/>
          <w:sz w:val="24"/>
          <w:szCs w:val="24"/>
          <w:highlight w:val="yellow"/>
          <w:lang w:val="en-US" w:eastAsia="zh-CN"/>
        </w:rPr>
      </w:pPr>
      <w:r>
        <w:rPr>
          <w:rFonts w:hint="eastAsia" w:eastAsia="宋体"/>
          <w:b w:val="0"/>
          <w:bCs/>
          <w:color w:val="auto"/>
          <w:sz w:val="24"/>
          <w:szCs w:val="24"/>
          <w:highlight w:val="none"/>
          <w:lang w:val="en-US" w:eastAsia="zh-CN"/>
        </w:rPr>
        <w:t>7、本项目要求中标人在中标后2个工作日内向采购人提供所投产品制造商授权书扫描件，在签订合同签2个工作日向采购人提供所投产品制造商授权书原件，若供货方无法按时，</w:t>
      </w:r>
      <w:r>
        <w:rPr>
          <w:rFonts w:hint="eastAsia" w:ascii="宋体" w:hAnsi="宋体" w:eastAsia="宋体" w:cs="宋体"/>
          <w:i w:val="0"/>
          <w:iCs w:val="0"/>
          <w:caps w:val="0"/>
          <w:color w:val="383838"/>
          <w:spacing w:val="0"/>
          <w:sz w:val="24"/>
          <w:szCs w:val="24"/>
          <w:highlight w:val="none"/>
          <w:shd w:val="clear" w:fill="FFFFFF"/>
        </w:rPr>
        <w:t>视同放弃中标，将失去订立合同的资格</w:t>
      </w:r>
      <w:r>
        <w:rPr>
          <w:rFonts w:hint="eastAsia" w:ascii="宋体" w:hAnsi="宋体" w:eastAsia="宋体" w:cs="宋体"/>
          <w:i w:val="0"/>
          <w:iCs w:val="0"/>
          <w:caps w:val="0"/>
          <w:color w:val="383838"/>
          <w:spacing w:val="0"/>
          <w:sz w:val="24"/>
          <w:szCs w:val="24"/>
          <w:highlight w:val="none"/>
          <w:shd w:val="clear" w:fill="FFFFFF"/>
          <w:lang w:eastAsia="zh-CN"/>
        </w:rPr>
        <w:t>，</w:t>
      </w:r>
      <w:r>
        <w:rPr>
          <w:rFonts w:hint="eastAsia" w:ascii="宋体" w:hAnsi="宋体" w:eastAsia="宋体" w:cs="宋体"/>
          <w:i w:val="0"/>
          <w:iCs w:val="0"/>
          <w:caps w:val="0"/>
          <w:color w:val="383838"/>
          <w:spacing w:val="0"/>
          <w:sz w:val="24"/>
          <w:szCs w:val="24"/>
          <w:highlight w:val="none"/>
          <w:shd w:val="clear" w:fill="FFFFFF"/>
          <w:lang w:val="en-US" w:eastAsia="zh-CN"/>
        </w:rPr>
        <w:t>招标人有权确定下一候选人为成交供应商或者重新开展政府采购活动。</w:t>
      </w:r>
    </w:p>
    <w:p w14:paraId="0263449B">
      <w:pPr>
        <w:widowControl/>
        <w:numPr>
          <w:ilvl w:val="0"/>
          <w:numId w:val="0"/>
        </w:numPr>
        <w:snapToGrid w:val="0"/>
        <w:spacing w:line="480" w:lineRule="exact"/>
        <w:rPr>
          <w:rFonts w:hint="eastAsia"/>
          <w:b/>
          <w:bCs w:val="0"/>
          <w:color w:val="auto"/>
          <w:sz w:val="24"/>
          <w:szCs w:val="24"/>
          <w:highlight w:val="none"/>
          <w:lang w:val="en-US"/>
        </w:rPr>
      </w:pPr>
      <w:r>
        <w:rPr>
          <w:rFonts w:hint="eastAsia" w:eastAsia="宋体"/>
          <w:b/>
          <w:bCs w:val="0"/>
          <w:color w:val="auto"/>
          <w:sz w:val="24"/>
          <w:szCs w:val="24"/>
          <w:highlight w:val="none"/>
          <w:lang w:val="en-US" w:eastAsia="zh-CN"/>
        </w:rPr>
        <w:t>二、</w:t>
      </w:r>
      <w:r>
        <w:rPr>
          <w:rFonts w:hint="eastAsia"/>
          <w:b/>
          <w:bCs w:val="0"/>
          <w:color w:val="auto"/>
          <w:sz w:val="24"/>
          <w:szCs w:val="24"/>
          <w:highlight w:val="none"/>
          <w:lang w:val="en-US"/>
        </w:rPr>
        <w:t>说明：</w:t>
      </w:r>
    </w:p>
    <w:p w14:paraId="61D6B251">
      <w:pPr>
        <w:widowControl/>
        <w:snapToGrid w:val="0"/>
        <w:spacing w:line="480" w:lineRule="exact"/>
        <w:ind w:left="-210" w:leftChars="-100" w:firstLine="480" w:firstLineChars="200"/>
        <w:rPr>
          <w:bCs/>
          <w:color w:val="auto"/>
          <w:sz w:val="24"/>
          <w:szCs w:val="24"/>
          <w:highlight w:val="none"/>
          <w:lang w:val="en-US"/>
        </w:rPr>
      </w:pPr>
      <w:r>
        <w:rPr>
          <w:rFonts w:hint="eastAsia"/>
          <w:bCs/>
          <w:color w:val="auto"/>
          <w:sz w:val="24"/>
          <w:szCs w:val="24"/>
          <w:highlight w:val="none"/>
          <w:lang w:val="en-US" w:eastAsia="zh-CN"/>
        </w:rPr>
        <w:t xml:space="preserve"> 1.使用综合评分法的采购项目，提供相同品牌产品且通过资格审查、符合性审查的不同投标人参加同一合同项下投标的，按一家投标人计算，评审</w:t>
      </w:r>
      <w:r>
        <w:rPr>
          <w:rFonts w:hint="eastAsia"/>
          <w:bCs/>
          <w:color w:val="auto"/>
          <w:sz w:val="24"/>
          <w:szCs w:val="24"/>
          <w:highlight w:val="none"/>
          <w:lang w:val="en-US"/>
        </w:rPr>
        <w:t>后得分最高的同品牌投标人获得中标人推荐资格；评审得分相同的，由招标人或者招标人委托评标委员会按照招标文件规定的方式确定一个投标人获得中标人推荐资格，招标文件未规定的采取随机抽取方式确定。</w:t>
      </w:r>
    </w:p>
    <w:p w14:paraId="5FF13C6D">
      <w:pPr>
        <w:widowControl/>
        <w:snapToGrid w:val="0"/>
        <w:spacing w:line="480" w:lineRule="exact"/>
        <w:ind w:left="-210" w:leftChars="-100" w:firstLine="480" w:firstLineChars="200"/>
        <w:rPr>
          <w:bCs/>
          <w:color w:val="auto"/>
          <w:sz w:val="24"/>
          <w:szCs w:val="24"/>
          <w:highlight w:val="none"/>
          <w:lang w:val="en-US"/>
        </w:rPr>
      </w:pPr>
      <w:r>
        <w:rPr>
          <w:rFonts w:hint="eastAsia"/>
          <w:bCs/>
          <w:color w:val="auto"/>
          <w:sz w:val="24"/>
          <w:szCs w:val="24"/>
          <w:highlight w:val="none"/>
          <w:lang w:val="en-US" w:eastAsia="zh-CN"/>
        </w:rPr>
        <w:t>2．</w:t>
      </w:r>
      <w:r>
        <w:rPr>
          <w:rFonts w:hint="eastAsia"/>
          <w:bCs/>
          <w:color w:val="auto"/>
          <w:sz w:val="24"/>
          <w:szCs w:val="24"/>
          <w:highlight w:val="none"/>
          <w:lang w:val="en-US"/>
        </w:rPr>
        <w:t>各投标人必须对招标文件第</w:t>
      </w:r>
      <w:r>
        <w:rPr>
          <w:rFonts w:hint="eastAsia" w:eastAsia="宋体"/>
          <w:bCs/>
          <w:color w:val="auto"/>
          <w:sz w:val="24"/>
          <w:szCs w:val="24"/>
          <w:highlight w:val="none"/>
          <w:lang w:val="en-US" w:eastAsia="zh-CN"/>
        </w:rPr>
        <w:t>五</w:t>
      </w:r>
      <w:r>
        <w:rPr>
          <w:rFonts w:hint="eastAsia"/>
          <w:bCs/>
          <w:color w:val="auto"/>
          <w:sz w:val="24"/>
          <w:szCs w:val="24"/>
          <w:highlight w:val="none"/>
          <w:lang w:val="en-US"/>
        </w:rPr>
        <w:t>章《采购需求》中的技术、服务要求作出全面、真实</w:t>
      </w:r>
      <w:r>
        <w:rPr>
          <w:rFonts w:hint="eastAsia" w:eastAsia="宋体"/>
          <w:bCs/>
          <w:color w:val="auto"/>
          <w:sz w:val="24"/>
          <w:szCs w:val="24"/>
          <w:highlight w:val="none"/>
          <w:lang w:val="en-US" w:eastAsia="zh-CN"/>
        </w:rPr>
        <w:t>的</w:t>
      </w:r>
      <w:r>
        <w:rPr>
          <w:rFonts w:hint="eastAsia"/>
          <w:bCs/>
          <w:color w:val="auto"/>
          <w:sz w:val="24"/>
          <w:szCs w:val="24"/>
          <w:highlight w:val="none"/>
          <w:lang w:val="en-US"/>
        </w:rPr>
        <w:t>反映，同时填写技术规格偏离表。若投标文件中响应情况与招标文件采购需求内容不符或无有效证明，而投标人又未在投标文件中作出说明和解释的，评标委员会在评审时将视为不响应该条技术、服务要求的规定。</w:t>
      </w:r>
    </w:p>
    <w:p w14:paraId="5865AA5C">
      <w:pPr>
        <w:widowControl/>
        <w:snapToGrid w:val="0"/>
        <w:spacing w:line="480" w:lineRule="exact"/>
        <w:ind w:left="-210" w:leftChars="-100" w:firstLine="480" w:firstLineChars="200"/>
        <w:rPr>
          <w:bCs/>
          <w:color w:val="auto"/>
          <w:sz w:val="24"/>
          <w:szCs w:val="24"/>
          <w:highlight w:val="none"/>
          <w:lang w:val="en-US"/>
        </w:rPr>
      </w:pPr>
      <w:r>
        <w:rPr>
          <w:rFonts w:hint="eastAsia"/>
          <w:bCs/>
          <w:color w:val="auto"/>
          <w:sz w:val="24"/>
          <w:szCs w:val="24"/>
          <w:highlight w:val="none"/>
          <w:lang w:val="en-US" w:eastAsia="zh-CN"/>
        </w:rPr>
        <w:t>3．</w:t>
      </w:r>
      <w:r>
        <w:rPr>
          <w:rFonts w:hint="eastAsia"/>
          <w:bCs/>
          <w:color w:val="auto"/>
          <w:sz w:val="24"/>
          <w:szCs w:val="24"/>
          <w:highlight w:val="none"/>
          <w:lang w:val="en-US"/>
        </w:rPr>
        <w:t>本章各项技术参数、规格和性能要求如出现引用</w:t>
      </w:r>
      <w:r>
        <w:rPr>
          <w:rFonts w:hint="eastAsia"/>
          <w:bCs/>
          <w:color w:val="auto"/>
          <w:sz w:val="24"/>
          <w:szCs w:val="24"/>
          <w:highlight w:val="none"/>
          <w:lang w:val="en-US" w:eastAsia="zh-CN"/>
        </w:rPr>
        <w:t>某一品牌、</w:t>
      </w:r>
      <w:r>
        <w:rPr>
          <w:rFonts w:hint="eastAsia"/>
          <w:bCs/>
          <w:color w:val="auto"/>
          <w:sz w:val="24"/>
          <w:szCs w:val="24"/>
          <w:highlight w:val="none"/>
          <w:lang w:val="en-US"/>
        </w:rPr>
        <w:t>某一特定的专利技术、商标、名称、设计、原产地或供应者等情况，则仅起参考作用。投标人可选用实质上“相当于”或“优于”该参考技术规格要求的产品投标。</w:t>
      </w:r>
    </w:p>
    <w:p w14:paraId="583361FE">
      <w:pPr>
        <w:widowControl/>
        <w:snapToGrid w:val="0"/>
        <w:spacing w:line="480" w:lineRule="exact"/>
        <w:ind w:left="-210" w:leftChars="-100" w:firstLine="480" w:firstLineChars="200"/>
        <w:rPr>
          <w:bCs/>
          <w:color w:val="auto"/>
          <w:sz w:val="24"/>
          <w:szCs w:val="24"/>
          <w:highlight w:val="none"/>
          <w:lang w:val="en-US"/>
        </w:rPr>
      </w:pPr>
      <w:r>
        <w:rPr>
          <w:rFonts w:hint="eastAsia"/>
          <w:bCs/>
          <w:color w:val="auto"/>
          <w:sz w:val="24"/>
          <w:szCs w:val="24"/>
          <w:highlight w:val="none"/>
          <w:lang w:val="en-US" w:eastAsia="zh-CN"/>
        </w:rPr>
        <w:t>4．</w:t>
      </w:r>
      <w:r>
        <w:rPr>
          <w:rFonts w:hint="eastAsia"/>
          <w:bCs/>
          <w:color w:val="auto"/>
          <w:sz w:val="24"/>
          <w:szCs w:val="24"/>
          <w:highlight w:val="none"/>
          <w:lang w:val="en-US"/>
        </w:rPr>
        <w:t>总价中包括设备金额、包装、运输保险费、安装及相关材料费、调试费、检验费及培训所需费用及税金。</w:t>
      </w:r>
    </w:p>
    <w:p w14:paraId="47AF7EB6">
      <w:pPr>
        <w:widowControl/>
        <w:snapToGrid w:val="0"/>
        <w:spacing w:line="480" w:lineRule="exact"/>
        <w:ind w:left="-210" w:leftChars="-100" w:firstLine="480" w:firstLineChars="200"/>
        <w:rPr>
          <w:bCs/>
          <w:color w:val="auto"/>
          <w:sz w:val="24"/>
          <w:szCs w:val="24"/>
          <w:highlight w:val="none"/>
          <w:lang w:val="en-US"/>
        </w:rPr>
      </w:pPr>
      <w:r>
        <w:rPr>
          <w:rFonts w:hint="eastAsia"/>
          <w:bCs/>
          <w:color w:val="auto"/>
          <w:sz w:val="24"/>
          <w:szCs w:val="24"/>
          <w:highlight w:val="none"/>
          <w:lang w:val="en-US" w:eastAsia="zh-CN"/>
        </w:rPr>
        <w:t>6．</w:t>
      </w:r>
      <w:r>
        <w:rPr>
          <w:rFonts w:hint="eastAsia"/>
          <w:bCs/>
          <w:color w:val="auto"/>
          <w:sz w:val="24"/>
          <w:szCs w:val="24"/>
          <w:highlight w:val="none"/>
          <w:lang w:val="en-US"/>
        </w:rPr>
        <w:t>保证采购方在产品使用期间不受第三方提出侵犯其版权、商标权和工业设计权的起诉。本文件的解释权属于招标人、招标代理机构。</w:t>
      </w:r>
    </w:p>
    <w:p w14:paraId="7AFDCFA0">
      <w:pPr>
        <w:widowControl/>
        <w:snapToGrid w:val="0"/>
        <w:spacing w:line="480" w:lineRule="exact"/>
        <w:ind w:left="-210" w:leftChars="-100" w:firstLine="480" w:firstLineChars="200"/>
        <w:rPr>
          <w:bCs/>
          <w:color w:val="auto"/>
          <w:sz w:val="24"/>
          <w:szCs w:val="24"/>
          <w:highlight w:val="none"/>
          <w:lang w:val="en-US"/>
        </w:rPr>
      </w:pPr>
      <w:r>
        <w:rPr>
          <w:rFonts w:hint="eastAsia"/>
          <w:bCs/>
          <w:color w:val="auto"/>
          <w:sz w:val="24"/>
          <w:szCs w:val="24"/>
          <w:highlight w:val="none"/>
          <w:lang w:val="en-US" w:eastAsia="zh-CN"/>
        </w:rPr>
        <w:t>8．</w:t>
      </w:r>
      <w:r>
        <w:rPr>
          <w:rFonts w:hint="eastAsia"/>
          <w:bCs/>
          <w:color w:val="auto"/>
          <w:sz w:val="24"/>
          <w:szCs w:val="24"/>
          <w:highlight w:val="none"/>
          <w:lang w:val="en-US"/>
        </w:rPr>
        <w:t>投标人应注意投标风险，认真阅读和理解招标文件，选择符合或优于标书要求的产品参与投标。如所供产品存在技术偏离，投标人应如实填写技术</w:t>
      </w:r>
      <w:r>
        <w:rPr>
          <w:rFonts w:hint="eastAsia" w:eastAsia="宋体"/>
          <w:bCs/>
          <w:color w:val="auto"/>
          <w:sz w:val="24"/>
          <w:szCs w:val="24"/>
          <w:highlight w:val="none"/>
          <w:lang w:val="en-US" w:eastAsia="zh-CN"/>
        </w:rPr>
        <w:t>（</w:t>
      </w:r>
      <w:r>
        <w:rPr>
          <w:rFonts w:hint="eastAsia"/>
          <w:bCs/>
          <w:color w:val="auto"/>
          <w:sz w:val="24"/>
          <w:szCs w:val="24"/>
          <w:highlight w:val="none"/>
          <w:lang w:val="en-US"/>
        </w:rPr>
        <w:t>规格）参数偏离表。投标人中标后所供产品（配置、型号、性能等）和投标文件中所描述不一致，则招标人有权拒绝收货，且将该情况上报财政主管部门。由此引起的一切损失由投标人负责。若用户验收时发现某一货物中存在虚假应标情况（配件或相关设备不能完全提供）。将拒绝支付合同货款，同时向政府采购监督管理部门汇报情况，将该中标人的虚假应标行为记入企业信用档案，同时依法取消其中标资格。由此引起的损失由投标人承担。</w:t>
      </w:r>
    </w:p>
    <w:p w14:paraId="59CA02ED">
      <w:pPr>
        <w:rPr>
          <w:rFonts w:hint="eastAsia"/>
          <w:color w:val="auto"/>
          <w:highlight w:val="none"/>
        </w:rPr>
      </w:pPr>
      <w:r>
        <w:rPr>
          <w:rFonts w:hint="eastAsia"/>
          <w:color w:val="auto"/>
          <w:highlight w:val="none"/>
        </w:rPr>
        <w:br w:type="page"/>
      </w:r>
    </w:p>
    <w:p w14:paraId="561F472A">
      <w:pPr>
        <w:keepNext w:val="0"/>
        <w:keepLines w:val="0"/>
        <w:pageBreakBefore w:val="0"/>
        <w:widowControl/>
        <w:numPr>
          <w:ilvl w:val="0"/>
          <w:numId w:val="13"/>
        </w:numPr>
        <w:kinsoku/>
        <w:wordWrap/>
        <w:overflowPunct/>
        <w:topLinePunct w:val="0"/>
        <w:autoSpaceDE/>
        <w:autoSpaceDN/>
        <w:bidi w:val="0"/>
        <w:adjustRightInd/>
        <w:snapToGrid w:val="0"/>
        <w:spacing w:after="0" w:line="580" w:lineRule="exact"/>
        <w:jc w:val="center"/>
        <w:textAlignment w:val="auto"/>
        <w:rPr>
          <w:rFonts w:hint="eastAsia" w:asciiTheme="majorEastAsia" w:hAnsiTheme="majorEastAsia" w:eastAsiaTheme="majorEastAsia" w:cstheme="majorEastAsia"/>
          <w:b/>
          <w:bCs/>
          <w:sz w:val="32"/>
          <w:szCs w:val="32"/>
          <w:lang w:val="en-US" w:eastAsia="zh-CN"/>
        </w:rPr>
      </w:pPr>
      <w:r>
        <w:rPr>
          <w:rFonts w:hint="eastAsia" w:asciiTheme="majorEastAsia" w:hAnsiTheme="majorEastAsia" w:eastAsiaTheme="majorEastAsia" w:cstheme="majorEastAsia"/>
          <w:b/>
          <w:bCs/>
          <w:sz w:val="32"/>
          <w:szCs w:val="32"/>
          <w:lang w:val="en-US" w:eastAsia="zh-CN"/>
        </w:rPr>
        <w:t>采购内容</w:t>
      </w:r>
    </w:p>
    <w:p w14:paraId="4C43C1AA">
      <w:pPr>
        <w:pStyle w:val="14"/>
        <w:numPr>
          <w:ilvl w:val="0"/>
          <w:numId w:val="0"/>
        </w:numPr>
        <w:rPr>
          <w:rFonts w:hint="default"/>
          <w:lang w:val="en-US" w:eastAsia="zh-CN"/>
        </w:rPr>
      </w:pPr>
    </w:p>
    <w:tbl>
      <w:tblPr>
        <w:tblStyle w:val="30"/>
        <w:tblpPr w:leftFromText="180" w:rightFromText="180" w:vertAnchor="text" w:horzAnchor="page" w:tblpX="1350" w:tblpY="263"/>
        <w:tblOverlap w:val="never"/>
        <w:tblW w:w="49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7"/>
        <w:gridCol w:w="2299"/>
        <w:gridCol w:w="1384"/>
        <w:gridCol w:w="1171"/>
        <w:gridCol w:w="1519"/>
        <w:gridCol w:w="1358"/>
        <w:gridCol w:w="1256"/>
      </w:tblGrid>
      <w:tr w14:paraId="3F666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476" w:type="pct"/>
            <w:noWrap/>
            <w:vAlign w:val="center"/>
          </w:tcPr>
          <w:p w14:paraId="2A70E39E">
            <w:pPr>
              <w:keepLines w:val="0"/>
              <w:pageBreakBefore w:val="0"/>
              <w:widowControl/>
              <w:kinsoku/>
              <w:overflowPunct/>
              <w:topLinePunct w:val="0"/>
              <w:autoSpaceDE/>
              <w:autoSpaceDN/>
              <w:bidi w:val="0"/>
              <w:spacing w:line="360" w:lineRule="auto"/>
              <w:jc w:val="center"/>
              <w:rPr>
                <w:rFonts w:hint="eastAsia" w:ascii="宋体" w:hAnsi="宋体" w:eastAsia="宋体"/>
                <w:b/>
                <w:bCs/>
                <w:color w:val="auto"/>
                <w:highlight w:val="none"/>
                <w:lang w:eastAsia="zh-CN"/>
              </w:rPr>
            </w:pPr>
            <w:r>
              <w:rPr>
                <w:rFonts w:hint="eastAsia" w:ascii="宋体" w:hAnsi="宋体" w:eastAsia="宋体"/>
                <w:b/>
                <w:bCs/>
                <w:color w:val="auto"/>
                <w:highlight w:val="none"/>
                <w:lang w:val="en-US" w:eastAsia="zh-CN"/>
              </w:rPr>
              <w:t>标段号</w:t>
            </w:r>
          </w:p>
        </w:tc>
        <w:tc>
          <w:tcPr>
            <w:tcW w:w="1156" w:type="pct"/>
            <w:noWrap/>
            <w:vAlign w:val="center"/>
          </w:tcPr>
          <w:p w14:paraId="2CA20054">
            <w:pPr>
              <w:keepLines w:val="0"/>
              <w:pageBreakBefore w:val="0"/>
              <w:widowControl/>
              <w:kinsoku/>
              <w:overflowPunct/>
              <w:topLinePunct w:val="0"/>
              <w:autoSpaceDE/>
              <w:autoSpaceDN/>
              <w:bidi w:val="0"/>
              <w:spacing w:line="360" w:lineRule="auto"/>
              <w:jc w:val="center"/>
              <w:rPr>
                <w:rFonts w:hint="default" w:ascii="宋体" w:hAnsi="宋体" w:eastAsia="宋体"/>
                <w:b/>
                <w:bCs/>
                <w:color w:val="auto"/>
                <w:highlight w:val="none"/>
                <w:lang w:val="en-US" w:eastAsia="zh-CN"/>
              </w:rPr>
            </w:pPr>
            <w:r>
              <w:rPr>
                <w:rFonts w:hint="eastAsia" w:ascii="宋体" w:hAnsi="宋体"/>
                <w:b/>
                <w:bCs/>
                <w:color w:val="auto"/>
                <w:highlight w:val="none"/>
                <w:lang w:val="en-US" w:eastAsia="zh-CN"/>
              </w:rPr>
              <w:t>产品名称</w:t>
            </w:r>
          </w:p>
        </w:tc>
        <w:tc>
          <w:tcPr>
            <w:tcW w:w="696" w:type="pct"/>
            <w:noWrap w:val="0"/>
            <w:vAlign w:val="center"/>
          </w:tcPr>
          <w:p w14:paraId="755FF8BB">
            <w:pPr>
              <w:keepLines w:val="0"/>
              <w:pageBreakBefore w:val="0"/>
              <w:widowControl/>
              <w:kinsoku/>
              <w:overflowPunct/>
              <w:topLinePunct w:val="0"/>
              <w:autoSpaceDE/>
              <w:autoSpaceDN/>
              <w:bidi w:val="0"/>
              <w:spacing w:line="360" w:lineRule="auto"/>
              <w:jc w:val="center"/>
              <w:rPr>
                <w:rFonts w:ascii="宋体" w:hAnsi="宋体"/>
                <w:b/>
                <w:bCs/>
                <w:color w:val="auto"/>
                <w:highlight w:val="none"/>
              </w:rPr>
            </w:pPr>
            <w:r>
              <w:rPr>
                <w:rFonts w:hint="eastAsia" w:ascii="宋体" w:hAnsi="宋体"/>
                <w:b/>
                <w:bCs/>
                <w:color w:val="auto"/>
                <w:highlight w:val="none"/>
              </w:rPr>
              <w:t>数量</w:t>
            </w:r>
          </w:p>
        </w:tc>
        <w:tc>
          <w:tcPr>
            <w:tcW w:w="589" w:type="pct"/>
            <w:noWrap w:val="0"/>
            <w:vAlign w:val="center"/>
          </w:tcPr>
          <w:p w14:paraId="34A0E6F9">
            <w:pPr>
              <w:keepLines w:val="0"/>
              <w:pageBreakBefore w:val="0"/>
              <w:widowControl/>
              <w:kinsoku/>
              <w:overflowPunct/>
              <w:topLinePunct w:val="0"/>
              <w:autoSpaceDE/>
              <w:autoSpaceDN/>
              <w:bidi w:val="0"/>
              <w:spacing w:line="360" w:lineRule="auto"/>
              <w:jc w:val="center"/>
              <w:rPr>
                <w:rFonts w:ascii="宋体" w:hAnsi="宋体"/>
                <w:b/>
                <w:bCs/>
                <w:color w:val="auto"/>
                <w:highlight w:val="none"/>
              </w:rPr>
            </w:pPr>
            <w:r>
              <w:rPr>
                <w:rFonts w:hint="eastAsia" w:ascii="宋体" w:hAnsi="宋体"/>
                <w:b/>
                <w:bCs/>
                <w:color w:val="auto"/>
                <w:highlight w:val="none"/>
              </w:rPr>
              <w:t>计量单位</w:t>
            </w:r>
          </w:p>
        </w:tc>
        <w:tc>
          <w:tcPr>
            <w:tcW w:w="764" w:type="pct"/>
            <w:noWrap w:val="0"/>
            <w:vAlign w:val="center"/>
          </w:tcPr>
          <w:p w14:paraId="53CE4617">
            <w:pPr>
              <w:keepLines w:val="0"/>
              <w:pageBreakBefore w:val="0"/>
              <w:widowControl/>
              <w:kinsoku/>
              <w:overflowPunct/>
              <w:topLinePunct w:val="0"/>
              <w:autoSpaceDE/>
              <w:autoSpaceDN/>
              <w:bidi w:val="0"/>
              <w:spacing w:line="360" w:lineRule="auto"/>
              <w:jc w:val="center"/>
              <w:rPr>
                <w:rFonts w:hint="eastAsia" w:ascii="宋体" w:hAnsi="宋体" w:eastAsia="宋体" w:cs="Times New Roman"/>
                <w:b/>
                <w:bCs/>
                <w:color w:val="auto"/>
                <w:kern w:val="2"/>
                <w:sz w:val="21"/>
                <w:szCs w:val="24"/>
                <w:highlight w:val="none"/>
                <w:lang w:val="en-US" w:eastAsia="zh-CN" w:bidi="ar-SA"/>
              </w:rPr>
            </w:pPr>
            <w:r>
              <w:rPr>
                <w:rFonts w:hint="eastAsia" w:ascii="宋体" w:hAnsi="宋体" w:eastAsia="宋体" w:cs="Times New Roman"/>
                <w:b/>
                <w:bCs/>
                <w:color w:val="auto"/>
                <w:kern w:val="2"/>
                <w:sz w:val="21"/>
                <w:szCs w:val="24"/>
                <w:highlight w:val="none"/>
                <w:lang w:val="en-US" w:eastAsia="zh-CN" w:bidi="ar-SA"/>
              </w:rPr>
              <w:t>最高限制单价（万元）</w:t>
            </w:r>
          </w:p>
        </w:tc>
        <w:tc>
          <w:tcPr>
            <w:tcW w:w="683" w:type="pct"/>
            <w:shd w:val="clear" w:color="auto" w:fill="auto"/>
            <w:noWrap w:val="0"/>
            <w:vAlign w:val="center"/>
          </w:tcPr>
          <w:p w14:paraId="426E36D5">
            <w:pPr>
              <w:keepLines w:val="0"/>
              <w:pageBreakBefore w:val="0"/>
              <w:widowControl/>
              <w:kinsoku/>
              <w:overflowPunct/>
              <w:topLinePunct w:val="0"/>
              <w:autoSpaceDE/>
              <w:autoSpaceDN/>
              <w:bidi w:val="0"/>
              <w:spacing w:line="360" w:lineRule="auto"/>
              <w:jc w:val="center"/>
              <w:rPr>
                <w:rFonts w:hint="eastAsia" w:ascii="宋体" w:hAnsi="宋体" w:eastAsia="Times New Roman" w:cs="Times New Roman"/>
                <w:b/>
                <w:bCs/>
                <w:color w:val="auto"/>
                <w:kern w:val="2"/>
                <w:sz w:val="21"/>
                <w:szCs w:val="24"/>
                <w:highlight w:val="none"/>
                <w:lang w:val="en-US" w:eastAsia="zh-CN" w:bidi="ar-SA"/>
              </w:rPr>
            </w:pPr>
            <w:r>
              <w:rPr>
                <w:rFonts w:hint="eastAsia" w:ascii="宋体" w:hAnsi="宋体"/>
                <w:b/>
                <w:bCs/>
                <w:color w:val="auto"/>
                <w:highlight w:val="none"/>
              </w:rPr>
              <w:t>是否接受进口产品</w:t>
            </w:r>
          </w:p>
        </w:tc>
        <w:tc>
          <w:tcPr>
            <w:tcW w:w="631" w:type="pct"/>
            <w:shd w:val="clear" w:color="auto" w:fill="auto"/>
            <w:noWrap w:val="0"/>
            <w:vAlign w:val="center"/>
          </w:tcPr>
          <w:p w14:paraId="19F11B35">
            <w:pPr>
              <w:keepLines w:val="0"/>
              <w:pageBreakBefore w:val="0"/>
              <w:widowControl/>
              <w:kinsoku/>
              <w:overflowPunct/>
              <w:topLinePunct w:val="0"/>
              <w:autoSpaceDE/>
              <w:autoSpaceDN/>
              <w:bidi w:val="0"/>
              <w:spacing w:line="360" w:lineRule="auto"/>
              <w:jc w:val="center"/>
              <w:rPr>
                <w:rFonts w:hint="eastAsia" w:ascii="宋体" w:hAnsi="宋体" w:eastAsia="宋体" w:cs="Times New Roman"/>
                <w:b/>
                <w:bCs/>
                <w:color w:val="auto"/>
                <w:kern w:val="2"/>
                <w:sz w:val="21"/>
                <w:szCs w:val="24"/>
                <w:highlight w:val="none"/>
                <w:lang w:val="en-US" w:eastAsia="zh-CN" w:bidi="ar-SA"/>
              </w:rPr>
            </w:pPr>
            <w:r>
              <w:rPr>
                <w:rFonts w:hint="eastAsia" w:ascii="宋体" w:hAnsi="宋体" w:eastAsia="宋体"/>
                <w:b/>
                <w:bCs/>
                <w:color w:val="auto"/>
                <w:highlight w:val="none"/>
                <w:lang w:val="en-US" w:eastAsia="zh-CN"/>
              </w:rPr>
              <w:t>备注</w:t>
            </w:r>
          </w:p>
        </w:tc>
      </w:tr>
      <w:tr w14:paraId="4BA40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476" w:type="pct"/>
            <w:vMerge w:val="restart"/>
            <w:shd w:val="clear" w:color="000000" w:fill="FFFFFF"/>
            <w:noWrap w:val="0"/>
            <w:vAlign w:val="center"/>
          </w:tcPr>
          <w:p w14:paraId="01F165C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一标段</w:t>
            </w:r>
          </w:p>
        </w:tc>
        <w:tc>
          <w:tcPr>
            <w:tcW w:w="1156" w:type="pct"/>
            <w:shd w:val="clear" w:color="000000" w:fill="FFFFFF"/>
            <w:noWrap w:val="0"/>
            <w:vAlign w:val="center"/>
          </w:tcPr>
          <w:p w14:paraId="24E5C592">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全自动核酸提取分析仪</w:t>
            </w:r>
          </w:p>
        </w:tc>
        <w:tc>
          <w:tcPr>
            <w:tcW w:w="696" w:type="pct"/>
            <w:shd w:val="clear" w:color="000000" w:fill="FFFFFF"/>
            <w:noWrap w:val="0"/>
            <w:vAlign w:val="center"/>
          </w:tcPr>
          <w:p w14:paraId="5CBA4DB1">
            <w:pPr>
              <w:keepNext w:val="0"/>
              <w:keepLines w:val="0"/>
              <w:widowControl/>
              <w:suppressLineNumbers w:val="0"/>
              <w:jc w:val="center"/>
              <w:textAlignment w:val="center"/>
              <w:rPr>
                <w:rFonts w:hint="eastAsia" w:ascii="宋体" w:hAnsi="宋体" w:eastAsia="宋体" w:cs="宋体"/>
                <w:color w:val="auto"/>
                <w:highlight w:val="no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589" w:type="pct"/>
            <w:shd w:val="clear" w:color="000000" w:fill="FFFFFF"/>
            <w:noWrap w:val="0"/>
            <w:vAlign w:val="center"/>
          </w:tcPr>
          <w:p w14:paraId="58C934F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套</w:t>
            </w:r>
          </w:p>
        </w:tc>
        <w:tc>
          <w:tcPr>
            <w:tcW w:w="764" w:type="pct"/>
            <w:shd w:val="clear" w:color="000000" w:fill="FFFFFF"/>
            <w:noWrap w:val="0"/>
            <w:vAlign w:val="center"/>
          </w:tcPr>
          <w:p w14:paraId="6CCA3F7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w:t>
            </w:r>
          </w:p>
        </w:tc>
        <w:tc>
          <w:tcPr>
            <w:tcW w:w="683" w:type="pct"/>
            <w:shd w:val="clear" w:color="000000" w:fill="FFFFFF"/>
            <w:noWrap w:val="0"/>
            <w:vAlign w:val="center"/>
          </w:tcPr>
          <w:p w14:paraId="75AED8F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lang w:val="en-US" w:eastAsia="zh-CN"/>
              </w:rPr>
              <w:t>否</w:t>
            </w:r>
          </w:p>
        </w:tc>
        <w:tc>
          <w:tcPr>
            <w:tcW w:w="631" w:type="pct"/>
            <w:shd w:val="clear" w:color="000000" w:fill="FFFFFF"/>
            <w:noWrap w:val="0"/>
            <w:vAlign w:val="center"/>
          </w:tcPr>
          <w:p w14:paraId="268BE37B">
            <w:pPr>
              <w:keepLines w:val="0"/>
              <w:pageBreakBefore w:val="0"/>
              <w:widowControl/>
              <w:kinsoku/>
              <w:overflowPunct/>
              <w:topLinePunct w:val="0"/>
              <w:autoSpaceDE/>
              <w:autoSpaceDN/>
              <w:bidi w:val="0"/>
              <w:spacing w:line="360" w:lineRule="auto"/>
              <w:jc w:val="center"/>
              <w:rPr>
                <w:rFonts w:ascii="宋体" w:hAnsi="宋体" w:eastAsia="Times New Roman" w:cs="Times New Roman"/>
                <w:b/>
                <w:color w:val="auto"/>
                <w:kern w:val="2"/>
                <w:sz w:val="21"/>
                <w:szCs w:val="24"/>
                <w:highlight w:val="none"/>
                <w:lang w:val="en-US" w:eastAsia="zh-CN" w:bidi="ar-SA"/>
              </w:rPr>
            </w:pPr>
          </w:p>
        </w:tc>
      </w:tr>
      <w:tr w14:paraId="126C1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476" w:type="pct"/>
            <w:vMerge w:val="continue"/>
            <w:shd w:val="clear" w:color="000000" w:fill="FFFFFF"/>
            <w:noWrap w:val="0"/>
            <w:vAlign w:val="center"/>
          </w:tcPr>
          <w:p w14:paraId="5515F60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highlight w:val="none"/>
                <w:lang w:val="en-US" w:eastAsia="zh-CN"/>
              </w:rPr>
            </w:pPr>
          </w:p>
        </w:tc>
        <w:tc>
          <w:tcPr>
            <w:tcW w:w="1156" w:type="pct"/>
            <w:shd w:val="clear" w:color="000000" w:fill="FFFFFF"/>
            <w:noWrap w:val="0"/>
            <w:vAlign w:val="center"/>
          </w:tcPr>
          <w:p w14:paraId="147EDD70">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自动核酸杂交仪</w:t>
            </w:r>
          </w:p>
        </w:tc>
        <w:tc>
          <w:tcPr>
            <w:tcW w:w="696" w:type="pct"/>
            <w:shd w:val="clear" w:color="000000" w:fill="FFFFFF"/>
            <w:noWrap w:val="0"/>
            <w:vAlign w:val="center"/>
          </w:tcPr>
          <w:p w14:paraId="48FC5C5C">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589" w:type="pct"/>
            <w:shd w:val="clear" w:color="000000" w:fill="FFFFFF"/>
            <w:noWrap w:val="0"/>
            <w:vAlign w:val="center"/>
          </w:tcPr>
          <w:p w14:paraId="7B5A577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套</w:t>
            </w:r>
          </w:p>
        </w:tc>
        <w:tc>
          <w:tcPr>
            <w:tcW w:w="764" w:type="pct"/>
            <w:shd w:val="clear" w:color="000000" w:fill="FFFFFF"/>
            <w:noWrap w:val="0"/>
            <w:vAlign w:val="center"/>
          </w:tcPr>
          <w:p w14:paraId="21924271">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w:t>
            </w:r>
          </w:p>
        </w:tc>
        <w:tc>
          <w:tcPr>
            <w:tcW w:w="683" w:type="pct"/>
            <w:shd w:val="clear" w:color="000000" w:fill="FFFFFF"/>
            <w:noWrap w:val="0"/>
            <w:vAlign w:val="center"/>
          </w:tcPr>
          <w:p w14:paraId="2423081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lang w:val="en-US" w:eastAsia="zh-CN"/>
              </w:rPr>
              <w:t>否</w:t>
            </w:r>
          </w:p>
        </w:tc>
        <w:tc>
          <w:tcPr>
            <w:tcW w:w="631" w:type="pct"/>
            <w:shd w:val="clear" w:color="000000" w:fill="FFFFFF"/>
            <w:noWrap w:val="0"/>
            <w:vAlign w:val="center"/>
          </w:tcPr>
          <w:p w14:paraId="1312AB3A">
            <w:pPr>
              <w:keepLines w:val="0"/>
              <w:pageBreakBefore w:val="0"/>
              <w:widowControl/>
              <w:kinsoku/>
              <w:overflowPunct/>
              <w:topLinePunct w:val="0"/>
              <w:autoSpaceDE/>
              <w:autoSpaceDN/>
              <w:bidi w:val="0"/>
              <w:spacing w:line="360" w:lineRule="auto"/>
              <w:jc w:val="center"/>
              <w:rPr>
                <w:rFonts w:ascii="宋体" w:hAnsi="宋体" w:eastAsia="Times New Roman" w:cs="Times New Roman"/>
                <w:b/>
                <w:color w:val="auto"/>
                <w:kern w:val="2"/>
                <w:sz w:val="21"/>
                <w:szCs w:val="24"/>
                <w:highlight w:val="none"/>
                <w:lang w:val="en-US" w:eastAsia="zh-CN" w:bidi="ar-SA"/>
              </w:rPr>
            </w:pPr>
          </w:p>
        </w:tc>
      </w:tr>
    </w:tbl>
    <w:p w14:paraId="74A87098">
      <w:pPr>
        <w:rPr>
          <w:rFonts w:hint="eastAsia" w:asciiTheme="majorEastAsia" w:hAnsiTheme="majorEastAsia" w:eastAsiaTheme="majorEastAsia" w:cstheme="majorEastAsia"/>
          <w:b/>
          <w:bCs/>
          <w:sz w:val="21"/>
          <w:szCs w:val="21"/>
          <w:lang w:val="en-US" w:eastAsia="zh-CN"/>
        </w:rPr>
      </w:pPr>
    </w:p>
    <w:p w14:paraId="0D874DD9">
      <w:pPr>
        <w:rPr>
          <w:rFonts w:hint="eastAsia" w:asciiTheme="majorEastAsia" w:hAnsiTheme="majorEastAsia" w:eastAsiaTheme="majorEastAsia" w:cstheme="majorEastAsia"/>
          <w:b/>
          <w:bCs/>
          <w:sz w:val="32"/>
          <w:szCs w:val="32"/>
          <w:lang w:eastAsia="zh-CN"/>
        </w:rPr>
      </w:pPr>
      <w:r>
        <w:rPr>
          <w:rFonts w:hint="eastAsia" w:asciiTheme="majorEastAsia" w:hAnsiTheme="majorEastAsia" w:eastAsiaTheme="majorEastAsia" w:cstheme="majorEastAsia"/>
          <w:b/>
          <w:bCs/>
          <w:sz w:val="32"/>
          <w:szCs w:val="32"/>
          <w:lang w:eastAsia="zh-CN"/>
        </w:rPr>
        <w:br w:type="page"/>
      </w:r>
    </w:p>
    <w:p w14:paraId="31404984">
      <w:pPr>
        <w:keepNext w:val="0"/>
        <w:keepLines w:val="0"/>
        <w:pageBreakBefore w:val="0"/>
        <w:widowControl/>
        <w:kinsoku/>
        <w:wordWrap/>
        <w:overflowPunct/>
        <w:topLinePunct w:val="0"/>
        <w:autoSpaceDE/>
        <w:autoSpaceDN/>
        <w:bidi w:val="0"/>
        <w:adjustRightInd/>
        <w:snapToGrid w:val="0"/>
        <w:spacing w:after="0" w:line="580" w:lineRule="exact"/>
        <w:jc w:val="center"/>
        <w:textAlignment w:val="auto"/>
        <w:rPr>
          <w:rFonts w:hint="eastAsia" w:asciiTheme="majorEastAsia" w:hAnsiTheme="majorEastAsia" w:eastAsiaTheme="majorEastAsia" w:cstheme="majorEastAsia"/>
          <w:b/>
          <w:bCs/>
          <w:sz w:val="32"/>
          <w:szCs w:val="32"/>
          <w:lang w:eastAsia="zh-CN"/>
        </w:rPr>
      </w:pPr>
      <w:r>
        <w:rPr>
          <w:rFonts w:hint="eastAsia" w:asciiTheme="majorEastAsia" w:hAnsiTheme="majorEastAsia" w:eastAsiaTheme="majorEastAsia" w:cstheme="majorEastAsia"/>
          <w:b/>
          <w:bCs/>
          <w:sz w:val="32"/>
          <w:szCs w:val="32"/>
          <w:lang w:eastAsia="zh-CN"/>
        </w:rPr>
        <w:t>（</w:t>
      </w:r>
      <w:r>
        <w:rPr>
          <w:rFonts w:hint="eastAsia" w:asciiTheme="majorEastAsia" w:hAnsiTheme="majorEastAsia" w:eastAsiaTheme="majorEastAsia" w:cstheme="majorEastAsia"/>
          <w:b/>
          <w:bCs/>
          <w:sz w:val="32"/>
          <w:szCs w:val="32"/>
          <w:lang w:val="en-US" w:eastAsia="zh-CN"/>
        </w:rPr>
        <w:t>2</w:t>
      </w:r>
      <w:r>
        <w:rPr>
          <w:rFonts w:hint="eastAsia" w:asciiTheme="majorEastAsia" w:hAnsiTheme="majorEastAsia" w:eastAsiaTheme="majorEastAsia" w:cstheme="majorEastAsia"/>
          <w:b/>
          <w:bCs/>
          <w:sz w:val="32"/>
          <w:szCs w:val="32"/>
          <w:lang w:eastAsia="zh-CN"/>
        </w:rPr>
        <w:t>）技术参数</w:t>
      </w:r>
    </w:p>
    <w:tbl>
      <w:tblPr>
        <w:tblStyle w:val="31"/>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341"/>
        <w:gridCol w:w="6540"/>
        <w:gridCol w:w="1057"/>
      </w:tblGrid>
      <w:tr w14:paraId="2C5C5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720" w:type="dxa"/>
            <w:vAlign w:val="center"/>
          </w:tcPr>
          <w:p w14:paraId="7FDFB6DA">
            <w:pPr>
              <w:jc w:val="center"/>
              <w:rPr>
                <w:rFonts w:hint="eastAsia" w:ascii="宋体" w:hAnsi="宋体" w:eastAsia="宋体" w:cs="宋体"/>
                <w:b/>
                <w:bCs/>
                <w:vertAlign w:val="baseline"/>
                <w:lang w:val="en-US" w:eastAsia="zh-CN"/>
              </w:rPr>
            </w:pPr>
            <w:r>
              <w:rPr>
                <w:rFonts w:hint="eastAsia" w:ascii="宋体" w:hAnsi="宋体" w:eastAsia="宋体" w:cs="宋体"/>
                <w:b/>
                <w:bCs/>
                <w:vertAlign w:val="baseline"/>
                <w:lang w:val="en-US" w:eastAsia="zh-CN"/>
              </w:rPr>
              <w:t>序号</w:t>
            </w:r>
          </w:p>
        </w:tc>
        <w:tc>
          <w:tcPr>
            <w:tcW w:w="1341" w:type="dxa"/>
            <w:vAlign w:val="center"/>
          </w:tcPr>
          <w:p w14:paraId="3C5B4C65">
            <w:pPr>
              <w:jc w:val="center"/>
              <w:rPr>
                <w:rFonts w:hint="eastAsia" w:ascii="宋体" w:hAnsi="宋体" w:eastAsia="宋体" w:cs="宋体"/>
                <w:b/>
                <w:bCs/>
                <w:vertAlign w:val="baseline"/>
                <w:lang w:val="en-US" w:eastAsia="zh-CN"/>
              </w:rPr>
            </w:pPr>
            <w:r>
              <w:rPr>
                <w:rFonts w:hint="eastAsia" w:ascii="宋体" w:hAnsi="宋体" w:eastAsia="宋体" w:cs="宋体"/>
                <w:b/>
                <w:bCs/>
                <w:vertAlign w:val="baseline"/>
                <w:lang w:val="en-US" w:eastAsia="zh-CN"/>
              </w:rPr>
              <w:t>产品名称</w:t>
            </w:r>
          </w:p>
        </w:tc>
        <w:tc>
          <w:tcPr>
            <w:tcW w:w="6540" w:type="dxa"/>
            <w:vAlign w:val="center"/>
          </w:tcPr>
          <w:p w14:paraId="3BC3F3B2">
            <w:pPr>
              <w:jc w:val="center"/>
              <w:rPr>
                <w:rFonts w:hint="eastAsia" w:asciiTheme="majorEastAsia" w:hAnsiTheme="majorEastAsia" w:eastAsiaTheme="majorEastAsia" w:cstheme="majorEastAsia"/>
                <w:b/>
                <w:bCs/>
                <w:sz w:val="18"/>
                <w:szCs w:val="18"/>
                <w:vertAlign w:val="baseline"/>
                <w:lang w:val="en-US" w:eastAsia="zh-CN"/>
              </w:rPr>
            </w:pPr>
            <w:r>
              <w:rPr>
                <w:rFonts w:hint="eastAsia" w:ascii="宋体" w:hAnsi="宋体" w:eastAsia="宋体" w:cs="宋体"/>
                <w:b/>
                <w:bCs/>
                <w:vertAlign w:val="baseline"/>
                <w:lang w:val="en-US" w:eastAsia="zh-CN"/>
              </w:rPr>
              <w:t>技术参数</w:t>
            </w:r>
          </w:p>
        </w:tc>
        <w:tc>
          <w:tcPr>
            <w:tcW w:w="1057" w:type="dxa"/>
          </w:tcPr>
          <w:p w14:paraId="0F002AE4">
            <w:pPr>
              <w:jc w:val="center"/>
              <w:rPr>
                <w:rFonts w:hint="eastAsia" w:eastAsiaTheme="minorEastAsia"/>
                <w:b/>
                <w:bCs/>
                <w:vertAlign w:val="baseline"/>
                <w:lang w:val="en-US" w:eastAsia="zh-CN"/>
              </w:rPr>
            </w:pPr>
            <w:r>
              <w:rPr>
                <w:rFonts w:hint="eastAsia"/>
                <w:b/>
                <w:bCs/>
                <w:vertAlign w:val="baseline"/>
                <w:lang w:val="en-US" w:eastAsia="zh-CN"/>
              </w:rPr>
              <w:t>备注</w:t>
            </w:r>
          </w:p>
        </w:tc>
      </w:tr>
      <w:tr w14:paraId="4E733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vAlign w:val="center"/>
          </w:tcPr>
          <w:p w14:paraId="093ACC8D">
            <w:pPr>
              <w:jc w:val="center"/>
              <w:rPr>
                <w:rFonts w:hint="eastAsia" w:ascii="宋体" w:hAnsi="宋体" w:eastAsia="宋体" w:cs="宋体"/>
                <w:b w:val="0"/>
                <w:bCs w:val="0"/>
                <w:vertAlign w:val="baseline"/>
                <w:lang w:val="en-US" w:eastAsia="zh-CN"/>
              </w:rPr>
            </w:pPr>
            <w:r>
              <w:rPr>
                <w:rFonts w:hint="eastAsia" w:ascii="宋体" w:hAnsi="宋体" w:eastAsia="宋体" w:cs="宋体"/>
                <w:b w:val="0"/>
                <w:bCs w:val="0"/>
                <w:vertAlign w:val="baseline"/>
                <w:lang w:val="en-US" w:eastAsia="zh-CN"/>
              </w:rPr>
              <w:t>1</w:t>
            </w:r>
          </w:p>
        </w:tc>
        <w:tc>
          <w:tcPr>
            <w:tcW w:w="1341" w:type="dxa"/>
            <w:vAlign w:val="center"/>
          </w:tcPr>
          <w:p w14:paraId="6404C92E">
            <w:pPr>
              <w:jc w:val="center"/>
              <w:rPr>
                <w:rFonts w:hint="eastAsia" w:ascii="宋体" w:hAnsi="宋体" w:eastAsia="宋体" w:cs="宋体"/>
                <w:b w:val="0"/>
                <w:bCs w:val="0"/>
                <w:vertAlign w:val="baseline"/>
              </w:rPr>
            </w:pPr>
            <w:r>
              <w:rPr>
                <w:rFonts w:hint="eastAsia" w:ascii="宋体" w:hAnsi="宋体" w:eastAsia="宋体" w:cs="宋体"/>
                <w:b w:val="0"/>
                <w:bCs w:val="0"/>
                <w:vertAlign w:val="baseline"/>
                <w:lang w:val="en-US" w:eastAsia="zh-CN"/>
              </w:rPr>
              <w:t>全自动核酸提取分析仪</w:t>
            </w:r>
          </w:p>
        </w:tc>
        <w:tc>
          <w:tcPr>
            <w:tcW w:w="6540" w:type="dxa"/>
            <w:shd w:val="clear" w:color="auto" w:fill="auto"/>
            <w:vAlign w:val="top"/>
          </w:tcPr>
          <w:p w14:paraId="0C8D5CB9">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Theme="majorEastAsia" w:hAnsiTheme="majorEastAsia" w:eastAsiaTheme="majorEastAsia" w:cstheme="majorEastAsia"/>
                <w:sz w:val="18"/>
                <w:szCs w:val="18"/>
                <w:vertAlign w:val="baseline"/>
                <w:lang w:val="en-US" w:eastAsia="zh-CN"/>
              </w:rPr>
            </w:pPr>
            <w:r>
              <w:rPr>
                <w:rFonts w:hint="eastAsia" w:asciiTheme="majorEastAsia" w:hAnsiTheme="majorEastAsia" w:eastAsiaTheme="majorEastAsia" w:cstheme="majorEastAsia"/>
                <w:sz w:val="18"/>
                <w:szCs w:val="18"/>
                <w:vertAlign w:val="baseline"/>
                <w:lang w:val="en-US" w:eastAsia="zh-CN"/>
              </w:rPr>
              <w:t>1.功能要求：</w:t>
            </w:r>
            <w:r>
              <w:rPr>
                <w:rFonts w:hint="eastAsia" w:asciiTheme="majorEastAsia" w:hAnsiTheme="majorEastAsia" w:eastAsiaTheme="majorEastAsia" w:cstheme="majorEastAsia"/>
                <w:sz w:val="18"/>
                <w:szCs w:val="18"/>
                <w:vertAlign w:val="baseline"/>
              </w:rPr>
              <w:t>整套设备具备样本和试剂全自动</w:t>
            </w:r>
            <w:r>
              <w:rPr>
                <w:rFonts w:hint="eastAsia" w:asciiTheme="majorEastAsia" w:hAnsiTheme="majorEastAsia" w:eastAsiaTheme="majorEastAsia" w:cstheme="majorEastAsia"/>
                <w:sz w:val="18"/>
                <w:szCs w:val="18"/>
                <w:vertAlign w:val="baseline"/>
                <w:lang w:val="en-US" w:eastAsia="zh-CN"/>
              </w:rPr>
              <w:t>加样</w:t>
            </w:r>
            <w:r>
              <w:rPr>
                <w:rFonts w:hint="eastAsia" w:asciiTheme="majorEastAsia" w:hAnsiTheme="majorEastAsia" w:eastAsiaTheme="majorEastAsia" w:cstheme="majorEastAsia"/>
                <w:sz w:val="18"/>
                <w:szCs w:val="18"/>
                <w:vertAlign w:val="baseline"/>
              </w:rPr>
              <w:t>、核酸纯化及反应液混匀、反应管封盖和转移，以及PCR扩增功能，样本进样后支持全自动完成整个流程，可实现原始样本管开</w:t>
            </w:r>
            <w:r>
              <w:rPr>
                <w:rFonts w:hint="eastAsia" w:asciiTheme="majorEastAsia" w:hAnsiTheme="majorEastAsia" w:eastAsiaTheme="majorEastAsia" w:cstheme="majorEastAsia"/>
                <w:sz w:val="18"/>
                <w:szCs w:val="18"/>
                <w:vertAlign w:val="baseline"/>
                <w:lang w:val="en-US" w:eastAsia="zh-CN"/>
              </w:rPr>
              <w:t>关</w:t>
            </w:r>
            <w:r>
              <w:rPr>
                <w:rFonts w:hint="eastAsia" w:asciiTheme="majorEastAsia" w:hAnsiTheme="majorEastAsia" w:eastAsiaTheme="majorEastAsia" w:cstheme="majorEastAsia"/>
                <w:sz w:val="18"/>
                <w:szCs w:val="18"/>
                <w:vertAlign w:val="baseline"/>
              </w:rPr>
              <w:t>盖，支持样本进、结果出，无需人工干预</w:t>
            </w:r>
            <w:r>
              <w:rPr>
                <w:rFonts w:hint="eastAsia" w:asciiTheme="majorEastAsia" w:hAnsiTheme="majorEastAsia" w:eastAsiaTheme="majorEastAsia" w:cstheme="majorEastAsia"/>
                <w:sz w:val="18"/>
                <w:szCs w:val="18"/>
                <w:vertAlign w:val="baseline"/>
                <w:lang w:eastAsia="zh-CN"/>
              </w:rPr>
              <w:t>，</w:t>
            </w:r>
            <w:r>
              <w:rPr>
                <w:rFonts w:hint="eastAsia" w:asciiTheme="majorEastAsia" w:hAnsiTheme="majorEastAsia" w:eastAsiaTheme="majorEastAsia" w:cstheme="majorEastAsia"/>
                <w:sz w:val="18"/>
                <w:szCs w:val="18"/>
                <w:vertAlign w:val="baseline"/>
                <w:lang w:val="en-US" w:eastAsia="zh-CN"/>
              </w:rPr>
              <w:t>具备样本扫码及试剂扫码功能。</w:t>
            </w:r>
          </w:p>
          <w:p w14:paraId="6248ADEB">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Theme="majorEastAsia" w:hAnsiTheme="majorEastAsia" w:eastAsiaTheme="majorEastAsia" w:cstheme="majorEastAsia"/>
                <w:sz w:val="18"/>
                <w:szCs w:val="18"/>
                <w:vertAlign w:val="baseline"/>
                <w:lang w:eastAsia="zh-CN"/>
              </w:rPr>
            </w:pPr>
            <w:r>
              <w:rPr>
                <w:rFonts w:hint="eastAsia" w:ascii="宋体" w:hAnsi="宋体" w:eastAsia="宋体" w:cs="宋体"/>
                <w:sz w:val="18"/>
                <w:szCs w:val="18"/>
                <w:vertAlign w:val="baseline"/>
                <w:lang w:val="en-US" w:eastAsia="zh-CN"/>
              </w:rPr>
              <w:t>▲</w:t>
            </w:r>
            <w:r>
              <w:rPr>
                <w:rFonts w:hint="eastAsia" w:asciiTheme="majorEastAsia" w:hAnsiTheme="majorEastAsia" w:eastAsiaTheme="majorEastAsia" w:cstheme="majorEastAsia"/>
                <w:sz w:val="18"/>
                <w:szCs w:val="18"/>
                <w:vertAlign w:val="baseline"/>
                <w:lang w:val="en-US" w:eastAsia="zh-CN"/>
              </w:rPr>
              <w:t>2.分区设计：</w:t>
            </w:r>
            <w:r>
              <w:rPr>
                <w:rFonts w:hint="eastAsia" w:asciiTheme="majorEastAsia" w:hAnsiTheme="majorEastAsia" w:eastAsiaTheme="majorEastAsia" w:cstheme="majorEastAsia"/>
                <w:sz w:val="18"/>
                <w:szCs w:val="18"/>
                <w:vertAlign w:val="baseline"/>
              </w:rPr>
              <w:t>仪器内部实现PCR实验分区</w:t>
            </w:r>
            <w:r>
              <w:rPr>
                <w:rFonts w:hint="eastAsia" w:asciiTheme="majorEastAsia" w:hAnsiTheme="majorEastAsia" w:eastAsiaTheme="majorEastAsia" w:cstheme="majorEastAsia"/>
                <w:sz w:val="18"/>
                <w:szCs w:val="18"/>
                <w:vertAlign w:val="baseline"/>
                <w:lang w:eastAsia="zh-CN"/>
              </w:rPr>
              <w:t>，</w:t>
            </w:r>
            <w:r>
              <w:rPr>
                <w:rFonts w:hint="eastAsia" w:asciiTheme="majorEastAsia" w:hAnsiTheme="majorEastAsia" w:eastAsiaTheme="majorEastAsia" w:cstheme="majorEastAsia"/>
                <w:sz w:val="18"/>
                <w:szCs w:val="18"/>
                <w:vertAlign w:val="baseline"/>
              </w:rPr>
              <w:t>样本开关盖及加样区、核酸提取区、扩增区三个区域隔离分开，定向排风，具有独立空气过滤系统</w:t>
            </w:r>
            <w:r>
              <w:rPr>
                <w:rFonts w:hint="eastAsia" w:asciiTheme="majorEastAsia" w:hAnsiTheme="majorEastAsia" w:eastAsiaTheme="majorEastAsia" w:cstheme="majorEastAsia"/>
                <w:sz w:val="18"/>
                <w:szCs w:val="18"/>
                <w:vertAlign w:val="baseline"/>
                <w:lang w:eastAsia="zh-CN"/>
              </w:rPr>
              <w:t>，</w:t>
            </w:r>
            <w:r>
              <w:rPr>
                <w:rFonts w:hint="eastAsia" w:asciiTheme="majorEastAsia" w:hAnsiTheme="majorEastAsia" w:eastAsiaTheme="majorEastAsia" w:cstheme="majorEastAsia"/>
                <w:sz w:val="18"/>
                <w:szCs w:val="18"/>
                <w:vertAlign w:val="baseline"/>
              </w:rPr>
              <w:t>仪器各区之间设置传递舱，避免各区压力受到影响及气流反向流动。（提供</w:t>
            </w:r>
            <w:r>
              <w:rPr>
                <w:rFonts w:hint="eastAsia" w:asciiTheme="majorEastAsia" w:hAnsiTheme="majorEastAsia" w:eastAsiaTheme="majorEastAsia" w:cstheme="majorEastAsia"/>
                <w:sz w:val="18"/>
                <w:szCs w:val="18"/>
                <w:vertAlign w:val="baseline"/>
                <w:lang w:eastAsia="zh-CN"/>
              </w:rPr>
              <w:t>证明材料</w:t>
            </w:r>
            <w:r>
              <w:rPr>
                <w:rFonts w:hint="eastAsia" w:asciiTheme="majorEastAsia" w:hAnsiTheme="majorEastAsia" w:eastAsiaTheme="majorEastAsia" w:cstheme="majorEastAsia"/>
                <w:sz w:val="18"/>
                <w:szCs w:val="18"/>
                <w:vertAlign w:val="baseline"/>
              </w:rPr>
              <w:t>）</w:t>
            </w:r>
          </w:p>
          <w:p w14:paraId="1AE6D220">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Theme="majorEastAsia" w:hAnsiTheme="majorEastAsia" w:eastAsiaTheme="majorEastAsia" w:cstheme="majorEastAsia"/>
                <w:sz w:val="18"/>
                <w:szCs w:val="18"/>
                <w:vertAlign w:val="baseline"/>
              </w:rPr>
            </w:pPr>
            <w:r>
              <w:rPr>
                <w:rFonts w:hint="eastAsia" w:asciiTheme="majorEastAsia" w:hAnsiTheme="majorEastAsia" w:eastAsiaTheme="majorEastAsia" w:cstheme="majorEastAsia"/>
                <w:sz w:val="18"/>
                <w:szCs w:val="18"/>
                <w:vertAlign w:val="baseline"/>
                <w:lang w:val="en-US" w:eastAsia="zh-CN"/>
              </w:rPr>
              <w:t>3、安全及防污染能力：仪器</w:t>
            </w:r>
            <w:r>
              <w:rPr>
                <w:rFonts w:hint="eastAsia" w:asciiTheme="majorEastAsia" w:hAnsiTheme="majorEastAsia" w:eastAsiaTheme="majorEastAsia" w:cstheme="majorEastAsia"/>
                <w:sz w:val="18"/>
                <w:szCs w:val="18"/>
                <w:vertAlign w:val="baseline"/>
              </w:rPr>
              <w:t>配置紫外灯消毒、负压系统、液滴捕捉、密闭废液仓、废弃枪头收集器等防污染措施，具备运行舱门自锁功能。</w:t>
            </w:r>
          </w:p>
          <w:p w14:paraId="6AE3EDC1">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Theme="majorEastAsia" w:hAnsiTheme="majorEastAsia" w:eastAsiaTheme="majorEastAsia" w:cstheme="majorEastAsia"/>
                <w:sz w:val="18"/>
                <w:szCs w:val="18"/>
                <w:vertAlign w:val="baseline"/>
                <w:lang w:eastAsia="zh-CN"/>
              </w:rPr>
            </w:pPr>
            <w:r>
              <w:rPr>
                <w:rFonts w:hint="eastAsia" w:ascii="宋体" w:hAnsi="宋体" w:eastAsia="宋体" w:cs="宋体"/>
                <w:sz w:val="18"/>
                <w:szCs w:val="18"/>
                <w:vertAlign w:val="baseline"/>
                <w:lang w:val="en-US" w:eastAsia="zh-CN"/>
              </w:rPr>
              <w:t>▲</w:t>
            </w:r>
            <w:r>
              <w:rPr>
                <w:rFonts w:hint="eastAsia" w:asciiTheme="majorEastAsia" w:hAnsiTheme="majorEastAsia" w:eastAsiaTheme="majorEastAsia" w:cstheme="majorEastAsia"/>
                <w:sz w:val="18"/>
                <w:szCs w:val="18"/>
                <w:vertAlign w:val="baseline"/>
                <w:lang w:val="en-US" w:eastAsia="zh-CN"/>
              </w:rPr>
              <w:t>4.核酸提取能力：</w:t>
            </w:r>
            <w:r>
              <w:rPr>
                <w:rFonts w:hint="eastAsia" w:asciiTheme="majorEastAsia" w:hAnsiTheme="majorEastAsia" w:eastAsiaTheme="majorEastAsia" w:cstheme="majorEastAsia"/>
                <w:sz w:val="18"/>
                <w:szCs w:val="18"/>
                <w:vertAlign w:val="baseline"/>
              </w:rPr>
              <w:t>采用磁珠法分离核酸，设备</w:t>
            </w:r>
            <w:r>
              <w:rPr>
                <w:rFonts w:hint="eastAsia" w:asciiTheme="majorEastAsia" w:hAnsiTheme="majorEastAsia" w:eastAsiaTheme="majorEastAsia" w:cstheme="majorEastAsia"/>
                <w:sz w:val="18"/>
                <w:szCs w:val="18"/>
                <w:vertAlign w:val="baseline"/>
                <w:lang w:val="en-US" w:eastAsia="zh-CN"/>
              </w:rPr>
              <w:t>支持</w:t>
            </w:r>
            <w:r>
              <w:rPr>
                <w:rFonts w:hint="eastAsia" w:asciiTheme="majorEastAsia" w:hAnsiTheme="majorEastAsia" w:eastAsiaTheme="majorEastAsia" w:cstheme="majorEastAsia"/>
                <w:sz w:val="18"/>
                <w:szCs w:val="18"/>
                <w:vertAlign w:val="baseline"/>
              </w:rPr>
              <w:t>单人份快速核酸提取，满足零散样本快速处理需求</w:t>
            </w:r>
            <w:r>
              <w:rPr>
                <w:rFonts w:hint="eastAsia" w:asciiTheme="majorEastAsia" w:hAnsiTheme="majorEastAsia" w:eastAsiaTheme="majorEastAsia" w:cstheme="majorEastAsia"/>
                <w:sz w:val="18"/>
                <w:szCs w:val="18"/>
                <w:vertAlign w:val="baseline"/>
                <w:lang w:eastAsia="zh-CN"/>
              </w:rPr>
              <w:t>。</w:t>
            </w:r>
          </w:p>
          <w:p w14:paraId="30DACA22">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Theme="majorEastAsia" w:hAnsiTheme="majorEastAsia" w:eastAsiaTheme="majorEastAsia" w:cstheme="majorEastAsia"/>
                <w:sz w:val="18"/>
                <w:szCs w:val="18"/>
                <w:vertAlign w:val="baseline"/>
                <w:lang w:val="en-US" w:eastAsia="zh-CN"/>
              </w:rPr>
            </w:pPr>
            <w:r>
              <w:rPr>
                <w:rFonts w:hint="eastAsia" w:ascii="宋体" w:hAnsi="宋体" w:eastAsia="宋体" w:cs="宋体"/>
                <w:sz w:val="18"/>
                <w:szCs w:val="18"/>
                <w:vertAlign w:val="baseline"/>
                <w:lang w:val="en-US" w:eastAsia="zh-CN"/>
              </w:rPr>
              <w:t>▲</w:t>
            </w:r>
            <w:r>
              <w:rPr>
                <w:rFonts w:hint="eastAsia" w:asciiTheme="majorEastAsia" w:hAnsiTheme="majorEastAsia" w:eastAsiaTheme="majorEastAsia" w:cstheme="majorEastAsia"/>
                <w:sz w:val="18"/>
                <w:szCs w:val="18"/>
                <w:vertAlign w:val="baseline"/>
                <w:lang w:val="en-US" w:eastAsia="zh-CN"/>
              </w:rPr>
              <w:t>5.检测通量：</w:t>
            </w:r>
            <w:r>
              <w:rPr>
                <w:rFonts w:hint="eastAsia" w:asciiTheme="majorEastAsia" w:hAnsiTheme="majorEastAsia" w:eastAsiaTheme="majorEastAsia" w:cstheme="majorEastAsia"/>
                <w:sz w:val="18"/>
                <w:szCs w:val="18"/>
                <w:vertAlign w:val="baseline"/>
              </w:rPr>
              <w:t>支持最小≤8人份/批检测，最大≥90人份/批检测；</w:t>
            </w:r>
            <w:r>
              <w:rPr>
                <w:rFonts w:hint="eastAsia" w:asciiTheme="majorEastAsia" w:hAnsiTheme="majorEastAsia" w:eastAsiaTheme="majorEastAsia" w:cstheme="majorEastAsia"/>
                <w:sz w:val="18"/>
                <w:szCs w:val="18"/>
                <w:vertAlign w:val="baseline"/>
                <w:lang w:val="en-US" w:eastAsia="zh-CN"/>
              </w:rPr>
              <w:t>48人份</w:t>
            </w:r>
            <w:r>
              <w:rPr>
                <w:rFonts w:hint="eastAsia" w:asciiTheme="majorEastAsia" w:hAnsiTheme="majorEastAsia" w:eastAsiaTheme="majorEastAsia" w:cstheme="majorEastAsia"/>
                <w:sz w:val="18"/>
                <w:szCs w:val="18"/>
                <w:vertAlign w:val="baseline"/>
              </w:rPr>
              <w:t>检测</w:t>
            </w:r>
            <w:r>
              <w:rPr>
                <w:rFonts w:hint="eastAsia" w:asciiTheme="majorEastAsia" w:hAnsiTheme="majorEastAsia" w:eastAsiaTheme="majorEastAsia" w:cstheme="majorEastAsia"/>
                <w:sz w:val="18"/>
                <w:szCs w:val="18"/>
                <w:vertAlign w:val="baseline"/>
                <w:lang w:val="en-US" w:eastAsia="zh-CN"/>
              </w:rPr>
              <w:t>最快</w:t>
            </w:r>
            <w:r>
              <w:rPr>
                <w:rFonts w:hint="eastAsia" w:asciiTheme="majorEastAsia" w:hAnsiTheme="majorEastAsia" w:eastAsiaTheme="majorEastAsia" w:cstheme="majorEastAsia"/>
                <w:sz w:val="18"/>
                <w:szCs w:val="18"/>
                <w:vertAlign w:val="baseline"/>
              </w:rPr>
              <w:t>耗时≤</w:t>
            </w:r>
            <w:r>
              <w:rPr>
                <w:rFonts w:hint="eastAsia" w:asciiTheme="majorEastAsia" w:hAnsiTheme="majorEastAsia" w:eastAsiaTheme="majorEastAsia" w:cstheme="majorEastAsia"/>
                <w:sz w:val="18"/>
                <w:szCs w:val="18"/>
                <w:vertAlign w:val="baseline"/>
                <w:lang w:val="en-US" w:eastAsia="zh-CN"/>
              </w:rPr>
              <w:t>80min</w:t>
            </w:r>
            <w:r>
              <w:rPr>
                <w:rFonts w:hint="eastAsia" w:asciiTheme="majorEastAsia" w:hAnsiTheme="majorEastAsia" w:eastAsiaTheme="majorEastAsia" w:cstheme="majorEastAsia"/>
                <w:sz w:val="18"/>
                <w:szCs w:val="18"/>
                <w:vertAlign w:val="baseline"/>
              </w:rPr>
              <w:t>，8小时通量≥</w:t>
            </w:r>
            <w:r>
              <w:rPr>
                <w:rFonts w:hint="eastAsia" w:asciiTheme="majorEastAsia" w:hAnsiTheme="majorEastAsia" w:eastAsiaTheme="majorEastAsia" w:cstheme="majorEastAsia"/>
                <w:sz w:val="18"/>
                <w:szCs w:val="18"/>
                <w:vertAlign w:val="baseline"/>
                <w:lang w:val="en-US" w:eastAsia="zh-CN"/>
              </w:rPr>
              <w:t>300</w:t>
            </w:r>
            <w:r>
              <w:rPr>
                <w:rFonts w:hint="eastAsia" w:asciiTheme="majorEastAsia" w:hAnsiTheme="majorEastAsia" w:eastAsiaTheme="majorEastAsia" w:cstheme="majorEastAsia"/>
                <w:sz w:val="18"/>
                <w:szCs w:val="18"/>
                <w:vertAlign w:val="baseline"/>
              </w:rPr>
              <w:t>测试</w:t>
            </w:r>
            <w:r>
              <w:rPr>
                <w:rFonts w:hint="eastAsia" w:asciiTheme="majorEastAsia" w:hAnsiTheme="majorEastAsia" w:eastAsiaTheme="majorEastAsia" w:cstheme="majorEastAsia"/>
                <w:sz w:val="18"/>
                <w:szCs w:val="18"/>
                <w:vertAlign w:val="baseline"/>
                <w:lang w:eastAsia="zh-CN"/>
              </w:rPr>
              <w:t>；</w:t>
            </w:r>
            <w:r>
              <w:rPr>
                <w:rFonts w:hint="eastAsia" w:asciiTheme="majorEastAsia" w:hAnsiTheme="majorEastAsia" w:eastAsiaTheme="majorEastAsia" w:cstheme="majorEastAsia"/>
                <w:sz w:val="18"/>
                <w:szCs w:val="18"/>
                <w:vertAlign w:val="baseline"/>
                <w:lang w:val="en-US" w:eastAsia="zh-CN"/>
              </w:rPr>
              <w:t>≥2个扩增检测独立样本仓，支持≥2个不同检测程序。</w:t>
            </w:r>
          </w:p>
          <w:p w14:paraId="4A454F0A">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Theme="majorEastAsia" w:hAnsiTheme="majorEastAsia" w:eastAsiaTheme="majorEastAsia" w:cstheme="majorEastAsia"/>
                <w:sz w:val="18"/>
                <w:szCs w:val="18"/>
                <w:vertAlign w:val="baseline"/>
              </w:rPr>
            </w:pPr>
            <w:r>
              <w:rPr>
                <w:rFonts w:hint="eastAsia" w:ascii="宋体" w:hAnsi="宋体" w:eastAsia="宋体" w:cs="宋体"/>
                <w:sz w:val="18"/>
                <w:szCs w:val="18"/>
                <w:vertAlign w:val="baseline"/>
                <w:lang w:val="en-US" w:eastAsia="zh-CN"/>
              </w:rPr>
              <w:t>▲</w:t>
            </w:r>
            <w:r>
              <w:rPr>
                <w:rFonts w:hint="eastAsia" w:asciiTheme="majorEastAsia" w:hAnsiTheme="majorEastAsia" w:eastAsiaTheme="majorEastAsia" w:cstheme="majorEastAsia"/>
                <w:sz w:val="18"/>
                <w:szCs w:val="18"/>
                <w:vertAlign w:val="baseline"/>
                <w:lang w:val="en-US" w:eastAsia="zh-CN"/>
              </w:rPr>
              <w:t>6.移液功能：</w:t>
            </w:r>
            <w:r>
              <w:rPr>
                <w:rFonts w:hint="eastAsia" w:asciiTheme="majorEastAsia" w:hAnsiTheme="majorEastAsia" w:eastAsiaTheme="majorEastAsia" w:cstheme="majorEastAsia"/>
                <w:sz w:val="18"/>
                <w:szCs w:val="18"/>
                <w:vertAlign w:val="baseline"/>
              </w:rPr>
              <w:t>仪器包含≥</w:t>
            </w:r>
            <w:r>
              <w:rPr>
                <w:rFonts w:hint="eastAsia" w:asciiTheme="majorEastAsia" w:hAnsiTheme="majorEastAsia" w:eastAsiaTheme="majorEastAsia" w:cstheme="majorEastAsia"/>
                <w:sz w:val="18"/>
                <w:szCs w:val="18"/>
                <w:vertAlign w:val="baseline"/>
                <w:lang w:val="en-US" w:eastAsia="zh-CN"/>
              </w:rPr>
              <w:t>4个机械臂</w:t>
            </w:r>
            <w:r>
              <w:rPr>
                <w:rFonts w:hint="eastAsia" w:asciiTheme="majorEastAsia" w:hAnsiTheme="majorEastAsia" w:eastAsiaTheme="majorEastAsia" w:cstheme="majorEastAsia"/>
                <w:sz w:val="18"/>
                <w:szCs w:val="18"/>
                <w:vertAlign w:val="baseline"/>
              </w:rPr>
              <w:t>，≥</w:t>
            </w:r>
            <w:r>
              <w:rPr>
                <w:rFonts w:hint="eastAsia" w:asciiTheme="majorEastAsia" w:hAnsiTheme="majorEastAsia" w:eastAsiaTheme="majorEastAsia" w:cstheme="majorEastAsia"/>
                <w:sz w:val="18"/>
                <w:szCs w:val="18"/>
                <w:vertAlign w:val="baseline"/>
                <w:lang w:val="en-US" w:eastAsia="zh-CN"/>
              </w:rPr>
              <w:t>8个移液通道</w:t>
            </w:r>
            <w:r>
              <w:rPr>
                <w:rFonts w:hint="eastAsia" w:asciiTheme="majorEastAsia" w:hAnsiTheme="majorEastAsia" w:eastAsiaTheme="majorEastAsia" w:cstheme="majorEastAsia"/>
                <w:sz w:val="18"/>
                <w:szCs w:val="18"/>
                <w:vertAlign w:val="baseline"/>
              </w:rPr>
              <w:t>，具备独立动态定位系统；样本加样及试剂配制工作分别用不同的移液通道，不交叉使用；移液范围：5-1000μL，移液精度：Cv≤5%。</w:t>
            </w:r>
            <w:r>
              <w:rPr>
                <w:rFonts w:hint="eastAsia" w:asciiTheme="majorEastAsia" w:hAnsiTheme="majorEastAsia" w:eastAsiaTheme="majorEastAsia" w:cstheme="majorEastAsia"/>
                <w:sz w:val="18"/>
                <w:szCs w:val="18"/>
                <w:vertAlign w:val="baseline"/>
                <w:lang w:val="en-US" w:eastAsia="zh-CN"/>
              </w:rPr>
              <w:t>且</w:t>
            </w:r>
            <w:r>
              <w:rPr>
                <w:rFonts w:hint="eastAsia" w:asciiTheme="majorEastAsia" w:hAnsiTheme="majorEastAsia" w:eastAsiaTheme="majorEastAsia" w:cstheme="majorEastAsia"/>
                <w:sz w:val="18"/>
                <w:szCs w:val="18"/>
                <w:vertAlign w:val="baseline"/>
              </w:rPr>
              <w:t>系统需具备吸液和放液过程监控功能，具备液面探测功能。（提供</w:t>
            </w:r>
            <w:r>
              <w:rPr>
                <w:rFonts w:hint="eastAsia" w:asciiTheme="majorEastAsia" w:hAnsiTheme="majorEastAsia" w:eastAsiaTheme="majorEastAsia" w:cstheme="majorEastAsia"/>
                <w:sz w:val="18"/>
                <w:szCs w:val="18"/>
                <w:vertAlign w:val="baseline"/>
                <w:lang w:eastAsia="zh-CN"/>
              </w:rPr>
              <w:t>证明材料</w:t>
            </w:r>
            <w:r>
              <w:rPr>
                <w:rFonts w:hint="eastAsia" w:asciiTheme="majorEastAsia" w:hAnsiTheme="majorEastAsia" w:eastAsiaTheme="majorEastAsia" w:cstheme="majorEastAsia"/>
                <w:sz w:val="18"/>
                <w:szCs w:val="18"/>
                <w:vertAlign w:val="baseline"/>
              </w:rPr>
              <w:t>）</w:t>
            </w:r>
          </w:p>
          <w:p w14:paraId="39C066C9">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Theme="majorEastAsia" w:hAnsiTheme="majorEastAsia" w:eastAsiaTheme="majorEastAsia" w:cstheme="majorEastAsia"/>
                <w:sz w:val="18"/>
                <w:szCs w:val="18"/>
                <w:vertAlign w:val="baseline"/>
              </w:rPr>
            </w:pPr>
            <w:r>
              <w:rPr>
                <w:rFonts w:hint="eastAsia" w:asciiTheme="majorEastAsia" w:hAnsiTheme="majorEastAsia" w:eastAsiaTheme="majorEastAsia" w:cstheme="majorEastAsia"/>
                <w:sz w:val="18"/>
                <w:szCs w:val="18"/>
                <w:vertAlign w:val="baseline"/>
              </w:rPr>
              <w:t>7、试剂</w:t>
            </w:r>
            <w:r>
              <w:rPr>
                <w:rFonts w:hint="eastAsia" w:asciiTheme="majorEastAsia" w:hAnsiTheme="majorEastAsia" w:eastAsiaTheme="majorEastAsia" w:cstheme="majorEastAsia"/>
                <w:sz w:val="18"/>
                <w:szCs w:val="18"/>
                <w:vertAlign w:val="baseline"/>
                <w:lang w:val="en-US" w:eastAsia="zh-CN"/>
              </w:rPr>
              <w:t>保存：试剂</w:t>
            </w:r>
            <w:r>
              <w:rPr>
                <w:rFonts w:hint="eastAsia" w:asciiTheme="majorEastAsia" w:hAnsiTheme="majorEastAsia" w:eastAsiaTheme="majorEastAsia" w:cstheme="majorEastAsia"/>
                <w:sz w:val="18"/>
                <w:szCs w:val="18"/>
                <w:vertAlign w:val="baseline"/>
              </w:rPr>
              <w:t>存放区避光设计，配置4-8度低温模块，确保反应试剂可以24小时放置仪器上，保证酶活性稳定不下降。</w:t>
            </w:r>
          </w:p>
          <w:p w14:paraId="42812797">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Theme="majorEastAsia" w:hAnsiTheme="majorEastAsia" w:eastAsiaTheme="majorEastAsia" w:cstheme="majorEastAsia"/>
                <w:sz w:val="18"/>
                <w:szCs w:val="18"/>
                <w:vertAlign w:val="baseline"/>
              </w:rPr>
            </w:pPr>
            <w:r>
              <w:rPr>
                <w:rFonts w:hint="eastAsia" w:ascii="宋体" w:hAnsi="宋体" w:eastAsia="宋体" w:cs="宋体"/>
                <w:sz w:val="18"/>
                <w:szCs w:val="18"/>
                <w:vertAlign w:val="baseline"/>
                <w:lang w:val="en-US" w:eastAsia="zh-CN"/>
              </w:rPr>
              <w:t>▲</w:t>
            </w:r>
            <w:r>
              <w:rPr>
                <w:rFonts w:hint="eastAsia" w:asciiTheme="majorEastAsia" w:hAnsiTheme="majorEastAsia" w:eastAsiaTheme="majorEastAsia" w:cstheme="majorEastAsia"/>
                <w:sz w:val="18"/>
                <w:szCs w:val="18"/>
                <w:vertAlign w:val="baseline"/>
              </w:rPr>
              <w:t>8</w:t>
            </w:r>
            <w:r>
              <w:rPr>
                <w:rFonts w:hint="eastAsia" w:asciiTheme="majorEastAsia" w:hAnsiTheme="majorEastAsia" w:eastAsiaTheme="majorEastAsia" w:cstheme="majorEastAsia"/>
                <w:sz w:val="18"/>
                <w:szCs w:val="18"/>
                <w:vertAlign w:val="baseline"/>
                <w:lang w:val="en-US" w:eastAsia="zh-CN"/>
              </w:rPr>
              <w:t>.反应管离心功能：</w:t>
            </w:r>
            <w:r>
              <w:rPr>
                <w:rFonts w:hint="eastAsia" w:asciiTheme="majorEastAsia" w:hAnsiTheme="majorEastAsia" w:eastAsiaTheme="majorEastAsia" w:cstheme="majorEastAsia"/>
                <w:sz w:val="18"/>
                <w:szCs w:val="18"/>
                <w:vertAlign w:val="baseline"/>
              </w:rPr>
              <w:t>系统包含有八连管开关盖模块，且</w:t>
            </w:r>
            <w:r>
              <w:rPr>
                <w:rFonts w:hint="eastAsia" w:asciiTheme="majorEastAsia" w:hAnsiTheme="majorEastAsia" w:eastAsiaTheme="majorEastAsia" w:cstheme="majorEastAsia"/>
                <w:sz w:val="18"/>
                <w:szCs w:val="18"/>
                <w:vertAlign w:val="baseline"/>
                <w:lang w:val="en-US" w:eastAsia="zh-CN"/>
              </w:rPr>
              <w:t>需</w:t>
            </w:r>
            <w:r>
              <w:rPr>
                <w:rFonts w:hint="eastAsia" w:asciiTheme="majorEastAsia" w:hAnsiTheme="majorEastAsia" w:eastAsiaTheme="majorEastAsia" w:cstheme="majorEastAsia"/>
                <w:sz w:val="18"/>
                <w:szCs w:val="18"/>
                <w:vertAlign w:val="baseline"/>
              </w:rPr>
              <w:t>含有八连管瞬时离心模块，对反应体系进行自动离心，保障反应体系的充分混匀，提高检测效率（提供</w:t>
            </w:r>
            <w:r>
              <w:rPr>
                <w:rFonts w:hint="eastAsia" w:asciiTheme="majorEastAsia" w:hAnsiTheme="majorEastAsia" w:eastAsiaTheme="majorEastAsia" w:cstheme="majorEastAsia"/>
                <w:sz w:val="18"/>
                <w:szCs w:val="18"/>
                <w:vertAlign w:val="baseline"/>
                <w:lang w:eastAsia="zh-CN"/>
              </w:rPr>
              <w:t>证明材料</w:t>
            </w:r>
            <w:r>
              <w:rPr>
                <w:rFonts w:hint="eastAsia" w:asciiTheme="majorEastAsia" w:hAnsiTheme="majorEastAsia" w:eastAsiaTheme="majorEastAsia" w:cstheme="majorEastAsia"/>
                <w:sz w:val="18"/>
                <w:szCs w:val="18"/>
                <w:vertAlign w:val="baseline"/>
              </w:rPr>
              <w:t>）。</w:t>
            </w:r>
          </w:p>
          <w:p w14:paraId="76D4CCD1">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Theme="majorEastAsia" w:hAnsiTheme="majorEastAsia" w:eastAsiaTheme="majorEastAsia" w:cstheme="majorEastAsia"/>
                <w:sz w:val="18"/>
                <w:szCs w:val="18"/>
                <w:vertAlign w:val="baseline"/>
                <w:lang w:val="en-US" w:eastAsia="zh-CN"/>
              </w:rPr>
            </w:pPr>
            <w:r>
              <w:rPr>
                <w:rFonts w:hint="eastAsia" w:ascii="宋体" w:hAnsi="宋体" w:eastAsia="宋体" w:cs="宋体"/>
                <w:sz w:val="18"/>
                <w:szCs w:val="18"/>
                <w:vertAlign w:val="baseline"/>
                <w:lang w:val="en-US" w:eastAsia="zh-CN"/>
              </w:rPr>
              <w:t>▲</w:t>
            </w:r>
            <w:r>
              <w:rPr>
                <w:rFonts w:hint="eastAsia" w:asciiTheme="majorEastAsia" w:hAnsiTheme="majorEastAsia" w:eastAsiaTheme="majorEastAsia" w:cstheme="majorEastAsia"/>
                <w:sz w:val="18"/>
                <w:szCs w:val="18"/>
                <w:vertAlign w:val="baseline"/>
                <w:lang w:val="en-US" w:eastAsia="zh-CN"/>
              </w:rPr>
              <w:t>9.PCR扩增模块能力：采用高亮免维护LED光源，≥4个荧光通道，逐孔扫描方式，支持升降温速率≥5.0℃/s ，温度准确度≤±0.1℃。</w:t>
            </w:r>
          </w:p>
          <w:p w14:paraId="58808AA8">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Theme="majorEastAsia" w:hAnsiTheme="majorEastAsia" w:eastAsiaTheme="majorEastAsia" w:cstheme="majorEastAsia"/>
                <w:sz w:val="18"/>
                <w:szCs w:val="18"/>
                <w:vertAlign w:val="baseline"/>
              </w:rPr>
            </w:pPr>
            <w:r>
              <w:rPr>
                <w:rFonts w:hint="eastAsia" w:asciiTheme="majorEastAsia" w:hAnsiTheme="majorEastAsia" w:eastAsiaTheme="majorEastAsia" w:cstheme="majorEastAsia"/>
                <w:sz w:val="18"/>
                <w:szCs w:val="18"/>
                <w:vertAlign w:val="baseline"/>
                <w:lang w:val="en-US" w:eastAsia="zh-CN"/>
              </w:rPr>
              <w:t>10.仪器操作方式：</w:t>
            </w:r>
            <w:r>
              <w:rPr>
                <w:rFonts w:hint="eastAsia" w:asciiTheme="majorEastAsia" w:hAnsiTheme="majorEastAsia" w:eastAsiaTheme="majorEastAsia" w:cstheme="majorEastAsia"/>
                <w:sz w:val="18"/>
                <w:szCs w:val="18"/>
                <w:vertAlign w:val="baseline"/>
              </w:rPr>
              <w:t>仪器内嵌触摸屏，不用额外配备</w:t>
            </w:r>
            <w:r>
              <w:rPr>
                <w:rFonts w:hint="eastAsia" w:asciiTheme="majorEastAsia" w:hAnsiTheme="majorEastAsia" w:eastAsiaTheme="majorEastAsia" w:cstheme="majorEastAsia"/>
                <w:sz w:val="18"/>
                <w:szCs w:val="18"/>
                <w:vertAlign w:val="baseline"/>
                <w:lang w:eastAsia="zh-CN"/>
              </w:rPr>
              <w:t>工作站，</w:t>
            </w:r>
            <w:r>
              <w:rPr>
                <w:rFonts w:hint="eastAsia" w:asciiTheme="majorEastAsia" w:hAnsiTheme="majorEastAsia" w:eastAsiaTheme="majorEastAsia" w:cstheme="majorEastAsia"/>
                <w:sz w:val="18"/>
                <w:szCs w:val="18"/>
                <w:vertAlign w:val="baseline"/>
              </w:rPr>
              <w:t>系统软件可记录任意时间的试验操作过程及内容，全程可溯源。</w:t>
            </w:r>
          </w:p>
          <w:p w14:paraId="05993016">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Theme="majorEastAsia" w:hAnsiTheme="majorEastAsia" w:eastAsiaTheme="majorEastAsia" w:cstheme="majorEastAsia"/>
                <w:kern w:val="2"/>
                <w:sz w:val="18"/>
                <w:szCs w:val="18"/>
                <w:vertAlign w:val="baseline"/>
                <w:lang w:val="en-US" w:eastAsia="zh-CN" w:bidi="ar-SA"/>
              </w:rPr>
            </w:pPr>
            <w:r>
              <w:rPr>
                <w:rFonts w:hint="eastAsia" w:ascii="宋体" w:hAnsi="宋体" w:eastAsia="宋体" w:cs="宋体"/>
                <w:sz w:val="18"/>
                <w:szCs w:val="18"/>
                <w:vertAlign w:val="baseline"/>
                <w:lang w:val="en-US" w:eastAsia="zh-CN"/>
              </w:rPr>
              <w:t>▲</w:t>
            </w:r>
            <w:r>
              <w:rPr>
                <w:rFonts w:hint="eastAsia" w:asciiTheme="majorEastAsia" w:hAnsiTheme="majorEastAsia" w:eastAsiaTheme="majorEastAsia" w:cstheme="majorEastAsia"/>
                <w:sz w:val="18"/>
                <w:szCs w:val="18"/>
                <w:vertAlign w:val="baseline"/>
              </w:rPr>
              <w:t>1</w:t>
            </w:r>
            <w:r>
              <w:rPr>
                <w:rFonts w:hint="eastAsia" w:asciiTheme="majorEastAsia" w:hAnsiTheme="majorEastAsia" w:eastAsiaTheme="majorEastAsia" w:cstheme="majorEastAsia"/>
                <w:sz w:val="18"/>
                <w:szCs w:val="18"/>
                <w:vertAlign w:val="baseline"/>
                <w:lang w:val="en-US" w:eastAsia="zh-CN"/>
              </w:rPr>
              <w:t>1.检测</w:t>
            </w:r>
            <w:r>
              <w:rPr>
                <w:rFonts w:hint="eastAsia" w:asciiTheme="majorEastAsia" w:hAnsiTheme="majorEastAsia" w:eastAsiaTheme="majorEastAsia" w:cstheme="majorEastAsia"/>
                <w:sz w:val="18"/>
                <w:szCs w:val="18"/>
                <w:vertAlign w:val="baseline"/>
              </w:rPr>
              <w:t>项目：</w:t>
            </w:r>
            <w:r>
              <w:rPr>
                <w:rFonts w:hint="eastAsia" w:asciiTheme="majorEastAsia" w:hAnsiTheme="majorEastAsia" w:eastAsiaTheme="majorEastAsia" w:cstheme="majorEastAsia"/>
                <w:sz w:val="18"/>
                <w:szCs w:val="18"/>
                <w:vertAlign w:val="baseline"/>
                <w:lang w:val="en-US" w:eastAsia="zh-CN"/>
              </w:rPr>
              <w:t>支持包含但不限于以下项目开展：HBV DNA检测、HCV RNA检测、HIV-1 RNA检测等，试剂采用内标法定量，无需制作定标曲线，单次试验≤3个质控对照及校准品。其中HBV DNA线性定量下限≤10IU/ml和HCV RNA线性定量下限≤30IU/ml，HIV-1 RNA线性定量下限≤40IU/ml。</w:t>
            </w:r>
          </w:p>
        </w:tc>
        <w:tc>
          <w:tcPr>
            <w:tcW w:w="1057" w:type="dxa"/>
          </w:tcPr>
          <w:p w14:paraId="085C698A">
            <w:pPr>
              <w:rPr>
                <w:vertAlign w:val="baseline"/>
              </w:rPr>
            </w:pPr>
          </w:p>
        </w:tc>
      </w:tr>
      <w:tr w14:paraId="0CF1E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vAlign w:val="center"/>
          </w:tcPr>
          <w:p w14:paraId="4D03AD66">
            <w:pPr>
              <w:jc w:val="center"/>
              <w:rPr>
                <w:rFonts w:hint="eastAsia" w:ascii="宋体" w:hAnsi="宋体" w:eastAsia="宋体" w:cs="宋体"/>
                <w:b w:val="0"/>
                <w:bCs w:val="0"/>
                <w:vertAlign w:val="baseline"/>
                <w:lang w:val="en-US" w:eastAsia="zh-CN"/>
              </w:rPr>
            </w:pPr>
            <w:r>
              <w:rPr>
                <w:rFonts w:hint="eastAsia" w:ascii="宋体" w:hAnsi="宋体" w:eastAsia="宋体" w:cs="宋体"/>
                <w:b w:val="0"/>
                <w:bCs w:val="0"/>
                <w:vertAlign w:val="baseline"/>
                <w:lang w:val="en-US" w:eastAsia="zh-CN"/>
              </w:rPr>
              <w:t>2</w:t>
            </w:r>
          </w:p>
        </w:tc>
        <w:tc>
          <w:tcPr>
            <w:tcW w:w="1341" w:type="dxa"/>
            <w:vAlign w:val="center"/>
          </w:tcPr>
          <w:p w14:paraId="670AF18E">
            <w:pPr>
              <w:jc w:val="center"/>
              <w:rPr>
                <w:rFonts w:hint="eastAsia" w:asciiTheme="majorEastAsia" w:hAnsiTheme="majorEastAsia" w:eastAsiaTheme="majorEastAsia" w:cstheme="majorEastAsia"/>
                <w:sz w:val="18"/>
                <w:szCs w:val="18"/>
                <w:vertAlign w:val="baseline"/>
                <w:lang w:val="en-US" w:eastAsia="zh-CN"/>
              </w:rPr>
            </w:pPr>
            <w:r>
              <w:rPr>
                <w:rFonts w:hint="eastAsia" w:asciiTheme="majorEastAsia" w:hAnsiTheme="majorEastAsia" w:eastAsiaTheme="majorEastAsia" w:cstheme="majorEastAsia"/>
                <w:sz w:val="21"/>
                <w:szCs w:val="21"/>
                <w:vertAlign w:val="baseline"/>
                <w:lang w:val="en-US" w:eastAsia="zh-CN"/>
              </w:rPr>
              <w:t>自动核酸杂交仪</w:t>
            </w:r>
          </w:p>
        </w:tc>
        <w:tc>
          <w:tcPr>
            <w:tcW w:w="6540" w:type="dxa"/>
          </w:tcPr>
          <w:p w14:paraId="654E750D">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default" w:asciiTheme="majorEastAsia" w:hAnsiTheme="majorEastAsia" w:eastAsiaTheme="majorEastAsia" w:cstheme="majorEastAsia"/>
                <w:sz w:val="18"/>
                <w:szCs w:val="18"/>
                <w:vertAlign w:val="baseline"/>
                <w:lang w:val="en-US" w:eastAsia="zh-CN"/>
              </w:rPr>
            </w:pPr>
            <w:r>
              <w:rPr>
                <w:rFonts w:hint="default" w:asciiTheme="majorEastAsia" w:hAnsiTheme="majorEastAsia" w:eastAsiaTheme="majorEastAsia" w:cstheme="majorEastAsia"/>
                <w:sz w:val="18"/>
                <w:szCs w:val="18"/>
                <w:vertAlign w:val="baseline"/>
                <w:lang w:val="en-US" w:eastAsia="zh-CN"/>
              </w:rPr>
              <w:t>★1.适用于α、β-地中海贫血基因检测；</w:t>
            </w:r>
            <w:r>
              <w:rPr>
                <w:rFonts w:hint="default" w:asciiTheme="majorEastAsia" w:hAnsiTheme="majorEastAsia" w:eastAsiaTheme="majorEastAsia" w:cstheme="majorEastAsia"/>
                <w:sz w:val="18"/>
                <w:szCs w:val="18"/>
                <w:vertAlign w:val="baseline"/>
                <w:lang w:val="en-US" w:eastAsia="zh-CN"/>
              </w:rPr>
              <w:br w:type="textWrapping"/>
            </w:r>
            <w:r>
              <w:rPr>
                <w:rFonts w:hint="default" w:asciiTheme="majorEastAsia" w:hAnsiTheme="majorEastAsia" w:eastAsiaTheme="majorEastAsia" w:cstheme="majorEastAsia"/>
                <w:sz w:val="18"/>
                <w:szCs w:val="18"/>
                <w:vertAlign w:val="baseline"/>
                <w:lang w:val="en-US" w:eastAsia="zh-CN"/>
              </w:rPr>
              <w:t>★2.可适用于G6PD基因检测；</w:t>
            </w:r>
            <w:r>
              <w:rPr>
                <w:rFonts w:hint="default" w:asciiTheme="majorEastAsia" w:hAnsiTheme="majorEastAsia" w:eastAsiaTheme="majorEastAsia" w:cstheme="majorEastAsia"/>
                <w:sz w:val="18"/>
                <w:szCs w:val="18"/>
                <w:vertAlign w:val="baseline"/>
                <w:lang w:val="en-US" w:eastAsia="zh-CN"/>
              </w:rPr>
              <w:br w:type="textWrapping"/>
            </w:r>
            <w:r>
              <w:rPr>
                <w:rFonts w:hint="default" w:asciiTheme="majorEastAsia" w:hAnsiTheme="majorEastAsia" w:eastAsiaTheme="majorEastAsia" w:cstheme="majorEastAsia"/>
                <w:sz w:val="18"/>
                <w:szCs w:val="18"/>
                <w:vertAlign w:val="baseline"/>
                <w:lang w:val="en-US" w:eastAsia="zh-CN"/>
              </w:rPr>
              <w:t>3.可适用于耳聋基因基因检测；</w:t>
            </w:r>
            <w:r>
              <w:rPr>
                <w:rFonts w:hint="default" w:asciiTheme="majorEastAsia" w:hAnsiTheme="majorEastAsia" w:eastAsiaTheme="majorEastAsia" w:cstheme="majorEastAsia"/>
                <w:sz w:val="18"/>
                <w:szCs w:val="18"/>
                <w:vertAlign w:val="baseline"/>
                <w:lang w:val="en-US" w:eastAsia="zh-CN"/>
              </w:rPr>
              <w:br w:type="textWrapping"/>
            </w:r>
            <w:r>
              <w:rPr>
                <w:rFonts w:hint="default" w:asciiTheme="majorEastAsia" w:hAnsiTheme="majorEastAsia" w:eastAsiaTheme="majorEastAsia" w:cstheme="majorEastAsia"/>
                <w:sz w:val="18"/>
                <w:szCs w:val="18"/>
                <w:vertAlign w:val="baseline"/>
                <w:lang w:val="en-US" w:eastAsia="zh-CN"/>
              </w:rPr>
              <w:t>4.可适用于HPV基因分型；</w:t>
            </w:r>
            <w:r>
              <w:rPr>
                <w:rFonts w:hint="default" w:asciiTheme="majorEastAsia" w:hAnsiTheme="majorEastAsia" w:eastAsiaTheme="majorEastAsia" w:cstheme="majorEastAsia"/>
                <w:sz w:val="18"/>
                <w:szCs w:val="18"/>
                <w:vertAlign w:val="baseline"/>
                <w:lang w:val="en-US" w:eastAsia="zh-CN"/>
              </w:rPr>
              <w:br w:type="textWrapping"/>
            </w:r>
            <w:r>
              <w:rPr>
                <w:rFonts w:hint="default" w:asciiTheme="majorEastAsia" w:hAnsiTheme="majorEastAsia" w:eastAsiaTheme="majorEastAsia" w:cstheme="majorEastAsia"/>
                <w:sz w:val="18"/>
                <w:szCs w:val="18"/>
                <w:vertAlign w:val="baseline"/>
                <w:lang w:val="en-US" w:eastAsia="zh-CN"/>
              </w:rPr>
              <w:t>5.温控精度：±0.5℃</w:t>
            </w:r>
            <w:r>
              <w:rPr>
                <w:rFonts w:hint="eastAsia" w:asciiTheme="majorEastAsia" w:hAnsiTheme="majorEastAsia" w:eastAsiaTheme="majorEastAsia" w:cstheme="majorEastAsia"/>
                <w:sz w:val="18"/>
                <w:szCs w:val="18"/>
                <w:vertAlign w:val="baseline"/>
                <w:lang w:val="en-US" w:eastAsia="zh-CN"/>
              </w:rPr>
              <w:t>；</w:t>
            </w:r>
            <w:r>
              <w:rPr>
                <w:rFonts w:hint="default" w:asciiTheme="majorEastAsia" w:hAnsiTheme="majorEastAsia" w:eastAsiaTheme="majorEastAsia" w:cstheme="majorEastAsia"/>
                <w:sz w:val="18"/>
                <w:szCs w:val="18"/>
                <w:vertAlign w:val="baseline"/>
                <w:lang w:val="en-US" w:eastAsia="zh-CN"/>
              </w:rPr>
              <w:br w:type="textWrapping"/>
            </w:r>
            <w:r>
              <w:rPr>
                <w:rFonts w:hint="default" w:asciiTheme="majorEastAsia" w:hAnsiTheme="majorEastAsia" w:eastAsiaTheme="majorEastAsia" w:cstheme="majorEastAsia"/>
                <w:sz w:val="18"/>
                <w:szCs w:val="18"/>
                <w:vertAlign w:val="baseline"/>
                <w:lang w:val="en-US" w:eastAsia="zh-CN"/>
              </w:rPr>
              <w:t>6.液量准确度：±10%；</w:t>
            </w:r>
            <w:r>
              <w:rPr>
                <w:rFonts w:hint="default" w:asciiTheme="majorEastAsia" w:hAnsiTheme="majorEastAsia" w:eastAsiaTheme="majorEastAsia" w:cstheme="majorEastAsia"/>
                <w:sz w:val="18"/>
                <w:szCs w:val="18"/>
                <w:vertAlign w:val="baseline"/>
                <w:lang w:val="en-US" w:eastAsia="zh-CN"/>
              </w:rPr>
              <w:br w:type="textWrapping"/>
            </w:r>
            <w:r>
              <w:rPr>
                <w:rFonts w:hint="default" w:asciiTheme="majorEastAsia" w:hAnsiTheme="majorEastAsia" w:eastAsiaTheme="majorEastAsia" w:cstheme="majorEastAsia"/>
                <w:sz w:val="18"/>
                <w:szCs w:val="18"/>
                <w:vertAlign w:val="baseline"/>
                <w:lang w:val="en-US" w:eastAsia="zh-CN"/>
              </w:rPr>
              <w:t>7.机械手定位精准度高；</w:t>
            </w:r>
            <w:r>
              <w:rPr>
                <w:rFonts w:hint="default" w:asciiTheme="majorEastAsia" w:hAnsiTheme="majorEastAsia" w:eastAsiaTheme="majorEastAsia" w:cstheme="majorEastAsia"/>
                <w:sz w:val="18"/>
                <w:szCs w:val="18"/>
                <w:vertAlign w:val="baseline"/>
                <w:lang w:val="en-US" w:eastAsia="zh-CN"/>
              </w:rPr>
              <w:br w:type="textWrapping"/>
            </w:r>
            <w:r>
              <w:rPr>
                <w:rFonts w:hint="default" w:asciiTheme="majorEastAsia" w:hAnsiTheme="majorEastAsia" w:eastAsiaTheme="majorEastAsia" w:cstheme="majorEastAsia"/>
                <w:sz w:val="18"/>
                <w:szCs w:val="18"/>
                <w:vertAlign w:val="baseline"/>
                <w:lang w:val="en-US" w:eastAsia="zh-CN"/>
              </w:rPr>
              <w:t>8.通量：最大检测量≥15人份/次，同时同批检测数可灵活调整；</w:t>
            </w:r>
            <w:r>
              <w:rPr>
                <w:rFonts w:hint="default" w:asciiTheme="majorEastAsia" w:hAnsiTheme="majorEastAsia" w:eastAsiaTheme="majorEastAsia" w:cstheme="majorEastAsia"/>
                <w:sz w:val="18"/>
                <w:szCs w:val="18"/>
                <w:vertAlign w:val="baseline"/>
                <w:lang w:val="en-US" w:eastAsia="zh-CN"/>
              </w:rPr>
              <w:br w:type="textWrapping"/>
            </w:r>
            <w:r>
              <w:rPr>
                <w:rFonts w:hint="default" w:asciiTheme="majorEastAsia" w:hAnsiTheme="majorEastAsia" w:eastAsiaTheme="majorEastAsia" w:cstheme="majorEastAsia"/>
                <w:sz w:val="18"/>
                <w:szCs w:val="18"/>
                <w:vertAlign w:val="baseline"/>
                <w:lang w:val="en-US" w:eastAsia="zh-CN"/>
              </w:rPr>
              <w:t>9.每份样本独立反应，防止交叉污染；</w:t>
            </w:r>
            <w:r>
              <w:rPr>
                <w:rFonts w:hint="default" w:asciiTheme="majorEastAsia" w:hAnsiTheme="majorEastAsia" w:eastAsiaTheme="majorEastAsia" w:cstheme="majorEastAsia"/>
                <w:sz w:val="18"/>
                <w:szCs w:val="18"/>
                <w:vertAlign w:val="baseline"/>
                <w:lang w:val="en-US" w:eastAsia="zh-CN"/>
              </w:rPr>
              <w:br w:type="textWrapping"/>
            </w:r>
            <w:r>
              <w:rPr>
                <w:rFonts w:hint="default" w:asciiTheme="majorEastAsia" w:hAnsiTheme="majorEastAsia" w:eastAsiaTheme="majorEastAsia" w:cstheme="majorEastAsia"/>
                <w:sz w:val="18"/>
                <w:szCs w:val="18"/>
                <w:vertAlign w:val="baseline"/>
                <w:lang w:val="en-US" w:eastAsia="zh-CN"/>
              </w:rPr>
              <w:t>10.杂交过程自动化，无需人员值守；</w:t>
            </w:r>
            <w:r>
              <w:rPr>
                <w:rFonts w:hint="default" w:asciiTheme="majorEastAsia" w:hAnsiTheme="majorEastAsia" w:eastAsiaTheme="majorEastAsia" w:cstheme="majorEastAsia"/>
                <w:sz w:val="18"/>
                <w:szCs w:val="18"/>
                <w:vertAlign w:val="baseline"/>
                <w:lang w:val="en-US" w:eastAsia="zh-CN"/>
              </w:rPr>
              <w:br w:type="textWrapping"/>
            </w:r>
            <w:r>
              <w:rPr>
                <w:rFonts w:hint="default" w:asciiTheme="majorEastAsia" w:hAnsiTheme="majorEastAsia" w:eastAsiaTheme="majorEastAsia" w:cstheme="majorEastAsia"/>
                <w:sz w:val="18"/>
                <w:szCs w:val="18"/>
                <w:vertAlign w:val="baseline"/>
                <w:lang w:val="en-US" w:eastAsia="zh-CN"/>
              </w:rPr>
              <w:t>11.显示屏监控，实时显示实验进度及杂交条件；</w:t>
            </w:r>
            <w:r>
              <w:rPr>
                <w:rFonts w:hint="default" w:asciiTheme="majorEastAsia" w:hAnsiTheme="majorEastAsia" w:eastAsiaTheme="majorEastAsia" w:cstheme="majorEastAsia"/>
                <w:sz w:val="18"/>
                <w:szCs w:val="18"/>
                <w:vertAlign w:val="baseline"/>
                <w:lang w:val="en-US" w:eastAsia="zh-CN"/>
              </w:rPr>
              <w:br w:type="textWrapping"/>
            </w:r>
            <w:r>
              <w:rPr>
                <w:rFonts w:hint="default" w:asciiTheme="majorEastAsia" w:hAnsiTheme="majorEastAsia" w:eastAsiaTheme="majorEastAsia" w:cstheme="majorEastAsia"/>
                <w:sz w:val="18"/>
                <w:szCs w:val="18"/>
                <w:vertAlign w:val="baseline"/>
                <w:lang w:val="en-US" w:eastAsia="zh-CN"/>
              </w:rPr>
              <w:t>12.仪器内配制紫外灯；</w:t>
            </w:r>
            <w:r>
              <w:rPr>
                <w:rFonts w:hint="default" w:asciiTheme="majorEastAsia" w:hAnsiTheme="majorEastAsia" w:eastAsiaTheme="majorEastAsia" w:cstheme="majorEastAsia"/>
                <w:sz w:val="18"/>
                <w:szCs w:val="18"/>
                <w:vertAlign w:val="baseline"/>
                <w:lang w:val="en-US" w:eastAsia="zh-CN"/>
              </w:rPr>
              <w:br w:type="textWrapping"/>
            </w:r>
            <w:r>
              <w:rPr>
                <w:rFonts w:hint="default" w:asciiTheme="majorEastAsia" w:hAnsiTheme="majorEastAsia" w:eastAsiaTheme="majorEastAsia" w:cstheme="majorEastAsia"/>
                <w:sz w:val="18"/>
                <w:szCs w:val="18"/>
                <w:vertAlign w:val="baseline"/>
                <w:lang w:val="en-US" w:eastAsia="zh-CN"/>
              </w:rPr>
              <w:t>13.自动断电保护。</w:t>
            </w:r>
          </w:p>
          <w:p w14:paraId="0FE16EAD">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default" w:asciiTheme="majorEastAsia" w:hAnsiTheme="majorEastAsia" w:eastAsiaTheme="majorEastAsia" w:cstheme="majorEastAsia"/>
                <w:sz w:val="18"/>
                <w:szCs w:val="18"/>
                <w:vertAlign w:val="baseline"/>
                <w:lang w:val="en-US" w:eastAsia="zh-CN"/>
              </w:rPr>
            </w:pPr>
          </w:p>
        </w:tc>
        <w:tc>
          <w:tcPr>
            <w:tcW w:w="1057" w:type="dxa"/>
          </w:tcPr>
          <w:p w14:paraId="65660868">
            <w:pPr>
              <w:rPr>
                <w:vertAlign w:val="baseline"/>
              </w:rPr>
            </w:pPr>
          </w:p>
        </w:tc>
      </w:tr>
    </w:tbl>
    <w:p w14:paraId="395E9991">
      <w:pPr>
        <w:pStyle w:val="2"/>
        <w:numPr>
          <w:ilvl w:val="0"/>
          <w:numId w:val="0"/>
        </w:numPr>
        <w:jc w:val="center"/>
        <w:rPr>
          <w:rFonts w:hint="eastAsia" w:asciiTheme="majorEastAsia" w:hAnsiTheme="majorEastAsia" w:eastAsiaTheme="majorEastAsia" w:cstheme="majorEastAsia"/>
          <w:bCs/>
          <w:color w:val="auto"/>
          <w:sz w:val="36"/>
          <w:highlight w:val="none"/>
        </w:rPr>
      </w:pPr>
      <w:bookmarkStart w:id="346" w:name="_Toc18297"/>
      <w:r>
        <w:rPr>
          <w:rFonts w:hint="eastAsia" w:asciiTheme="majorEastAsia" w:hAnsiTheme="majorEastAsia" w:eastAsiaTheme="majorEastAsia" w:cstheme="majorEastAsia"/>
          <w:b w:val="0"/>
          <w:color w:val="auto"/>
          <w:kern w:val="2"/>
          <w:sz w:val="24"/>
          <w:szCs w:val="24"/>
          <w:highlight w:val="none"/>
        </w:rPr>
        <w:br w:type="page"/>
      </w:r>
      <w:bookmarkStart w:id="347" w:name="_Toc10578"/>
      <w:r>
        <w:rPr>
          <w:rFonts w:hint="eastAsia" w:asciiTheme="majorEastAsia" w:hAnsiTheme="majorEastAsia" w:eastAsiaTheme="majorEastAsia" w:cstheme="majorEastAsia"/>
          <w:bCs/>
          <w:color w:val="auto"/>
          <w:sz w:val="36"/>
          <w:highlight w:val="none"/>
        </w:rPr>
        <w:t>第六章 资格审查</w:t>
      </w:r>
      <w:bookmarkEnd w:id="346"/>
      <w:bookmarkEnd w:id="347"/>
    </w:p>
    <w:p w14:paraId="075B79EC">
      <w:pPr>
        <w:spacing w:before="120" w:beforeLines="50"/>
        <w:jc w:val="center"/>
        <w:rPr>
          <w:rFonts w:hint="eastAsia" w:asciiTheme="majorEastAsia" w:hAnsiTheme="majorEastAsia" w:eastAsiaTheme="majorEastAsia" w:cstheme="majorEastAsia"/>
          <w:b/>
          <w:color w:val="auto"/>
          <w:sz w:val="32"/>
          <w:highlight w:val="none"/>
        </w:rPr>
      </w:pPr>
      <w:r>
        <w:rPr>
          <w:rFonts w:hint="eastAsia" w:asciiTheme="majorEastAsia" w:hAnsiTheme="majorEastAsia" w:eastAsiaTheme="majorEastAsia" w:cstheme="majorEastAsia"/>
          <w:b/>
          <w:color w:val="auto"/>
          <w:sz w:val="32"/>
          <w:highlight w:val="none"/>
        </w:rPr>
        <w:t>资格审查前附表</w:t>
      </w:r>
    </w:p>
    <w:tbl>
      <w:tblPr>
        <w:tblStyle w:val="30"/>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2"/>
        <w:gridCol w:w="824"/>
        <w:gridCol w:w="7843"/>
      </w:tblGrid>
      <w:tr w14:paraId="704B6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blHeader/>
          <w:jc w:val="center"/>
        </w:trPr>
        <w:tc>
          <w:tcPr>
            <w:tcW w:w="1172" w:type="dxa"/>
            <w:noWrap w:val="0"/>
            <w:vAlign w:val="center"/>
          </w:tcPr>
          <w:p w14:paraId="5AF9976C">
            <w:pPr>
              <w:spacing w:line="360" w:lineRule="auto"/>
              <w:jc w:val="center"/>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条款号</w:t>
            </w:r>
          </w:p>
        </w:tc>
        <w:tc>
          <w:tcPr>
            <w:tcW w:w="824" w:type="dxa"/>
            <w:noWrap w:val="0"/>
            <w:vAlign w:val="center"/>
          </w:tcPr>
          <w:p w14:paraId="7ED0D449">
            <w:pPr>
              <w:spacing w:line="360" w:lineRule="auto"/>
              <w:jc w:val="center"/>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序号</w:t>
            </w:r>
          </w:p>
        </w:tc>
        <w:tc>
          <w:tcPr>
            <w:tcW w:w="7843" w:type="dxa"/>
            <w:noWrap w:val="0"/>
            <w:vAlign w:val="center"/>
          </w:tcPr>
          <w:p w14:paraId="7279AC44">
            <w:pPr>
              <w:spacing w:line="360" w:lineRule="auto"/>
              <w:jc w:val="center"/>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评 审 标 准</w:t>
            </w:r>
          </w:p>
        </w:tc>
      </w:tr>
      <w:tr w14:paraId="26CF2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172" w:type="dxa"/>
            <w:vMerge w:val="restart"/>
            <w:noWrap w:val="0"/>
            <w:vAlign w:val="center"/>
          </w:tcPr>
          <w:p w14:paraId="3A79A7C1">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资格评审标准</w:t>
            </w:r>
          </w:p>
        </w:tc>
        <w:tc>
          <w:tcPr>
            <w:tcW w:w="824" w:type="dxa"/>
            <w:noWrap w:val="0"/>
            <w:vAlign w:val="center"/>
          </w:tcPr>
          <w:p w14:paraId="17874E7B">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w:t>
            </w:r>
          </w:p>
        </w:tc>
        <w:tc>
          <w:tcPr>
            <w:tcW w:w="7843" w:type="dxa"/>
            <w:noWrap w:val="0"/>
            <w:vAlign w:val="center"/>
          </w:tcPr>
          <w:p w14:paraId="4A3E0516">
            <w:pPr>
              <w:keepNext w:val="0"/>
              <w:keepLines w:val="0"/>
              <w:pageBreakBefore w:val="0"/>
              <w:widowControl w:val="0"/>
              <w:kinsoku/>
              <w:wordWrap/>
              <w:overflowPunct/>
              <w:topLinePunct w:val="0"/>
              <w:autoSpaceDE/>
              <w:autoSpaceDN/>
              <w:bidi w:val="0"/>
              <w:adjustRightInd w:val="0"/>
              <w:snapToGrid w:val="0"/>
              <w:spacing w:line="324" w:lineRule="auto"/>
              <w:jc w:val="left"/>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b w:val="0"/>
                <w:bCs/>
                <w:color w:val="auto"/>
                <w:szCs w:val="21"/>
                <w:highlight w:val="none"/>
                <w:lang w:val="en-US" w:eastAsia="zh-CN"/>
              </w:rPr>
              <w:t>具有独立承担民事责任的能力，提供法人或者其他组织的营业执照等证明材料</w:t>
            </w:r>
            <w:r>
              <w:rPr>
                <w:rFonts w:hint="eastAsia" w:asciiTheme="majorEastAsia" w:hAnsiTheme="majorEastAsia" w:eastAsiaTheme="majorEastAsia" w:cstheme="majorEastAsia"/>
                <w:b/>
                <w:color w:val="auto"/>
                <w:szCs w:val="21"/>
                <w:highlight w:val="none"/>
              </w:rPr>
              <w:t>（扫描件加盖电子公章）</w:t>
            </w:r>
            <w:r>
              <w:rPr>
                <w:rFonts w:hint="eastAsia" w:asciiTheme="majorEastAsia" w:hAnsiTheme="majorEastAsia" w:eastAsiaTheme="majorEastAsia" w:cstheme="majorEastAsia"/>
                <w:color w:val="auto"/>
                <w:szCs w:val="21"/>
                <w:highlight w:val="none"/>
              </w:rPr>
              <w:t>。</w:t>
            </w:r>
          </w:p>
        </w:tc>
      </w:tr>
      <w:tr w14:paraId="66ADF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1172" w:type="dxa"/>
            <w:vMerge w:val="continue"/>
            <w:noWrap w:val="0"/>
            <w:vAlign w:val="center"/>
          </w:tcPr>
          <w:p w14:paraId="282555B1">
            <w:pPr>
              <w:spacing w:line="360" w:lineRule="auto"/>
              <w:jc w:val="center"/>
              <w:rPr>
                <w:rFonts w:hint="eastAsia" w:asciiTheme="majorEastAsia" w:hAnsiTheme="majorEastAsia" w:eastAsiaTheme="majorEastAsia" w:cstheme="majorEastAsia"/>
                <w:color w:val="auto"/>
                <w:szCs w:val="21"/>
                <w:highlight w:val="none"/>
              </w:rPr>
            </w:pPr>
          </w:p>
        </w:tc>
        <w:tc>
          <w:tcPr>
            <w:tcW w:w="824" w:type="dxa"/>
            <w:noWrap w:val="0"/>
            <w:vAlign w:val="center"/>
          </w:tcPr>
          <w:p w14:paraId="0FFA4156">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2</w:t>
            </w:r>
          </w:p>
        </w:tc>
        <w:tc>
          <w:tcPr>
            <w:tcW w:w="7843" w:type="dxa"/>
            <w:noWrap w:val="0"/>
            <w:vAlign w:val="center"/>
          </w:tcPr>
          <w:p w14:paraId="0C5AA5EF">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lang w:val="en-US" w:eastAsia="zh-CN"/>
              </w:rPr>
              <w:t>具有良好的商业信誉和健全的财务会计制度，提供2024年或2025年审计机构出具的审计报告及会计报表（含资产负债表、现金流量表、利润表）（新注册不满一年的企业可提供成立至今的会计报表或银行开具的资信证明文件或书面说明，此项要求可不列入废标条款）</w:t>
            </w:r>
            <w:r>
              <w:rPr>
                <w:rFonts w:hint="eastAsia" w:asciiTheme="majorEastAsia" w:hAnsiTheme="majorEastAsia" w:eastAsiaTheme="majorEastAsia" w:cstheme="majorEastAsia"/>
                <w:color w:val="auto"/>
                <w:szCs w:val="21"/>
                <w:highlight w:val="none"/>
              </w:rPr>
              <w:t>（</w:t>
            </w:r>
            <w:r>
              <w:rPr>
                <w:rFonts w:hint="eastAsia" w:asciiTheme="majorEastAsia" w:hAnsiTheme="majorEastAsia" w:eastAsiaTheme="majorEastAsia" w:cstheme="majorEastAsia"/>
                <w:b/>
                <w:color w:val="auto"/>
                <w:szCs w:val="21"/>
                <w:highlight w:val="none"/>
              </w:rPr>
              <w:t>扫描件加盖电子公章</w:t>
            </w:r>
            <w:r>
              <w:rPr>
                <w:rFonts w:hint="eastAsia" w:asciiTheme="majorEastAsia" w:hAnsiTheme="majorEastAsia" w:eastAsiaTheme="majorEastAsia" w:cstheme="majorEastAsia"/>
                <w:color w:val="auto"/>
                <w:szCs w:val="21"/>
                <w:highlight w:val="none"/>
              </w:rPr>
              <w:t>）。</w:t>
            </w:r>
          </w:p>
        </w:tc>
      </w:tr>
      <w:tr w14:paraId="3E757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172" w:type="dxa"/>
            <w:vMerge w:val="continue"/>
            <w:noWrap w:val="0"/>
            <w:vAlign w:val="center"/>
          </w:tcPr>
          <w:p w14:paraId="71F8A358">
            <w:pPr>
              <w:spacing w:line="360" w:lineRule="auto"/>
              <w:jc w:val="center"/>
              <w:rPr>
                <w:rFonts w:hint="eastAsia" w:asciiTheme="majorEastAsia" w:hAnsiTheme="majorEastAsia" w:eastAsiaTheme="majorEastAsia" w:cstheme="majorEastAsia"/>
                <w:color w:val="auto"/>
                <w:szCs w:val="21"/>
                <w:highlight w:val="none"/>
              </w:rPr>
            </w:pPr>
          </w:p>
        </w:tc>
        <w:tc>
          <w:tcPr>
            <w:tcW w:w="824" w:type="dxa"/>
            <w:noWrap w:val="0"/>
            <w:vAlign w:val="center"/>
          </w:tcPr>
          <w:p w14:paraId="349F6F78">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3</w:t>
            </w:r>
          </w:p>
        </w:tc>
        <w:tc>
          <w:tcPr>
            <w:tcW w:w="7843" w:type="dxa"/>
            <w:noWrap w:val="0"/>
            <w:vAlign w:val="center"/>
          </w:tcPr>
          <w:p w14:paraId="1375F7B9">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b w:val="0"/>
                <w:bCs/>
                <w:color w:val="auto"/>
                <w:szCs w:val="21"/>
                <w:highlight w:val="none"/>
                <w:lang w:val="en-US" w:eastAsia="zh-CN"/>
              </w:rPr>
              <w:t>具有履行合同所必需的设备和专业技术能力，提供相关证明材料或书面声明（扫描件加盖电子公章）</w:t>
            </w:r>
            <w:r>
              <w:rPr>
                <w:rFonts w:hint="eastAsia" w:asciiTheme="majorEastAsia" w:hAnsiTheme="majorEastAsia" w:eastAsiaTheme="majorEastAsia" w:cstheme="majorEastAsia"/>
                <w:color w:val="auto"/>
                <w:szCs w:val="21"/>
                <w:highlight w:val="none"/>
              </w:rPr>
              <w:t>。</w:t>
            </w:r>
          </w:p>
        </w:tc>
      </w:tr>
      <w:tr w14:paraId="63240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2" w:hRule="atLeast"/>
          <w:jc w:val="center"/>
        </w:trPr>
        <w:tc>
          <w:tcPr>
            <w:tcW w:w="1172" w:type="dxa"/>
            <w:vMerge w:val="continue"/>
            <w:noWrap w:val="0"/>
            <w:vAlign w:val="center"/>
          </w:tcPr>
          <w:p w14:paraId="7B6F242A">
            <w:pPr>
              <w:spacing w:line="360" w:lineRule="auto"/>
              <w:jc w:val="center"/>
              <w:rPr>
                <w:rFonts w:hint="eastAsia" w:asciiTheme="majorEastAsia" w:hAnsiTheme="majorEastAsia" w:eastAsiaTheme="majorEastAsia" w:cstheme="majorEastAsia"/>
                <w:color w:val="auto"/>
                <w:szCs w:val="21"/>
                <w:highlight w:val="none"/>
              </w:rPr>
            </w:pPr>
          </w:p>
        </w:tc>
        <w:tc>
          <w:tcPr>
            <w:tcW w:w="824" w:type="dxa"/>
            <w:noWrap w:val="0"/>
            <w:vAlign w:val="center"/>
          </w:tcPr>
          <w:p w14:paraId="014AC1FE">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4</w:t>
            </w:r>
          </w:p>
        </w:tc>
        <w:tc>
          <w:tcPr>
            <w:tcW w:w="7843" w:type="dxa"/>
            <w:noWrap w:val="0"/>
            <w:vAlign w:val="center"/>
          </w:tcPr>
          <w:p w14:paraId="73A8ADD1">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lang w:val="en-US" w:eastAsia="zh-CN"/>
              </w:rPr>
              <w:t>有依法缴纳税收和社会保障资金的良好记录，提供2025年06月至今任意3个月依法缴纳税收和社会保障资金的证明材料，依法免缴的，应提供依法免缴的相关证明材料；若为新成立的公司提供成立以来税收和社会保障资金缴纳凭证或相关情况说明，依法不需要缴纳税收和社保的应提供相应的证明材料或情况说明</w:t>
            </w:r>
            <w:r>
              <w:rPr>
                <w:rFonts w:hint="eastAsia" w:asciiTheme="majorEastAsia" w:hAnsiTheme="majorEastAsia" w:eastAsiaTheme="majorEastAsia" w:cstheme="majorEastAsia"/>
                <w:b/>
                <w:color w:val="auto"/>
                <w:szCs w:val="21"/>
                <w:highlight w:val="none"/>
              </w:rPr>
              <w:t>（扫描件加盖电子公章）</w:t>
            </w:r>
            <w:r>
              <w:rPr>
                <w:rFonts w:hint="eastAsia" w:asciiTheme="majorEastAsia" w:hAnsiTheme="majorEastAsia" w:eastAsiaTheme="majorEastAsia" w:cstheme="majorEastAsia"/>
                <w:color w:val="auto"/>
                <w:szCs w:val="21"/>
                <w:highlight w:val="none"/>
              </w:rPr>
              <w:t>。</w:t>
            </w:r>
          </w:p>
        </w:tc>
      </w:tr>
      <w:tr w14:paraId="08090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172" w:type="dxa"/>
            <w:vMerge w:val="continue"/>
            <w:noWrap w:val="0"/>
            <w:vAlign w:val="center"/>
          </w:tcPr>
          <w:p w14:paraId="00223B31">
            <w:pPr>
              <w:spacing w:line="360" w:lineRule="auto"/>
              <w:jc w:val="center"/>
              <w:rPr>
                <w:rFonts w:hint="eastAsia" w:asciiTheme="majorEastAsia" w:hAnsiTheme="majorEastAsia" w:eastAsiaTheme="majorEastAsia" w:cstheme="majorEastAsia"/>
                <w:color w:val="auto"/>
                <w:szCs w:val="21"/>
                <w:highlight w:val="none"/>
              </w:rPr>
            </w:pPr>
          </w:p>
        </w:tc>
        <w:tc>
          <w:tcPr>
            <w:tcW w:w="824" w:type="dxa"/>
            <w:noWrap w:val="0"/>
            <w:vAlign w:val="center"/>
          </w:tcPr>
          <w:p w14:paraId="5ADC9521">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5</w:t>
            </w:r>
          </w:p>
        </w:tc>
        <w:tc>
          <w:tcPr>
            <w:tcW w:w="7843" w:type="dxa"/>
            <w:noWrap w:val="0"/>
            <w:vAlign w:val="center"/>
          </w:tcPr>
          <w:p w14:paraId="69860E02">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b w:val="0"/>
                <w:bCs/>
                <w:color w:val="auto"/>
                <w:szCs w:val="21"/>
                <w:highlight w:val="none"/>
                <w:u w:val="none"/>
                <w:lang w:val="en-US" w:eastAsia="zh-CN"/>
              </w:rPr>
              <w:t>参加政府采购活动前三年内，在经营活动中没有重大违法记录（重大违法记录是指投标人因违法经营受到刑事处罚或者责令停产停业、吊销许可证或者执照、较大数额罚款等行政处罚）提供书面声明</w:t>
            </w:r>
            <w:r>
              <w:rPr>
                <w:rFonts w:hint="eastAsia" w:asciiTheme="majorEastAsia" w:hAnsiTheme="majorEastAsia" w:eastAsiaTheme="majorEastAsia" w:cstheme="majorEastAsia"/>
                <w:b/>
                <w:color w:val="auto"/>
                <w:szCs w:val="21"/>
                <w:highlight w:val="none"/>
              </w:rPr>
              <w:t>（加盖电子公章）。</w:t>
            </w:r>
          </w:p>
        </w:tc>
      </w:tr>
      <w:tr w14:paraId="29682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6" w:hRule="atLeast"/>
          <w:jc w:val="center"/>
        </w:trPr>
        <w:tc>
          <w:tcPr>
            <w:tcW w:w="1172" w:type="dxa"/>
            <w:vMerge w:val="continue"/>
            <w:noWrap w:val="0"/>
            <w:vAlign w:val="center"/>
          </w:tcPr>
          <w:p w14:paraId="5C128183">
            <w:pPr>
              <w:spacing w:line="360" w:lineRule="auto"/>
              <w:jc w:val="center"/>
              <w:rPr>
                <w:rFonts w:hint="eastAsia" w:asciiTheme="majorEastAsia" w:hAnsiTheme="majorEastAsia" w:eastAsiaTheme="majorEastAsia" w:cstheme="majorEastAsia"/>
                <w:color w:val="auto"/>
                <w:szCs w:val="21"/>
                <w:highlight w:val="none"/>
              </w:rPr>
            </w:pPr>
          </w:p>
        </w:tc>
        <w:tc>
          <w:tcPr>
            <w:tcW w:w="824" w:type="dxa"/>
            <w:noWrap w:val="0"/>
            <w:vAlign w:val="center"/>
          </w:tcPr>
          <w:p w14:paraId="31EB57E2">
            <w:pPr>
              <w:spacing w:line="360" w:lineRule="auto"/>
              <w:jc w:val="center"/>
              <w:rPr>
                <w:rFonts w:hint="eastAsia" w:asciiTheme="majorEastAsia" w:hAnsiTheme="majorEastAsia" w:eastAsiaTheme="majorEastAsia" w:cstheme="majorEastAsia"/>
                <w:color w:val="auto"/>
                <w:szCs w:val="21"/>
                <w:highlight w:val="none"/>
                <w:lang w:val="en-US" w:eastAsia="zh-CN"/>
              </w:rPr>
            </w:pPr>
            <w:r>
              <w:rPr>
                <w:rFonts w:hint="eastAsia" w:asciiTheme="majorEastAsia" w:hAnsiTheme="majorEastAsia" w:eastAsiaTheme="majorEastAsia" w:cstheme="majorEastAsia"/>
                <w:color w:val="auto"/>
                <w:szCs w:val="21"/>
                <w:highlight w:val="none"/>
                <w:lang w:val="en-US" w:eastAsia="zh-CN"/>
              </w:rPr>
              <w:t>6</w:t>
            </w:r>
          </w:p>
        </w:tc>
        <w:tc>
          <w:tcPr>
            <w:tcW w:w="7843" w:type="dxa"/>
            <w:noWrap w:val="0"/>
            <w:vAlign w:val="center"/>
          </w:tcPr>
          <w:p w14:paraId="3F39C123">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hint="eastAsia" w:asciiTheme="majorEastAsia" w:hAnsiTheme="majorEastAsia" w:eastAsiaTheme="majorEastAsia" w:cstheme="majorEastAsia"/>
                <w:color w:val="auto"/>
                <w:szCs w:val="21"/>
                <w:highlight w:val="none"/>
                <w:lang w:val="en-US" w:eastAsia="zh-CN"/>
              </w:rPr>
            </w:pPr>
            <w:r>
              <w:rPr>
                <w:rFonts w:hint="eastAsia" w:asciiTheme="majorEastAsia" w:hAnsiTheme="majorEastAsia" w:eastAsiaTheme="majorEastAsia" w:cstheme="majorEastAsia"/>
                <w:color w:val="auto"/>
                <w:szCs w:val="21"/>
                <w:highlight w:val="none"/>
                <w:lang w:val="en-US" w:eastAsia="zh-CN"/>
              </w:rPr>
              <w:t>投标人不得为“信用中国”网站（www.creditchina.gov.cn）中列入失信被执行人和重大税收违法失信主体；投标人不得为中国政府采购网（www.ccgp.gov.cn）政府采购严重违法失信行为记录名单中被财政部门禁止参加政府采购活动并且处罚期限未满的（由采购人或采购代理机构在开标当天进行查询）；</w:t>
            </w:r>
          </w:p>
          <w:p w14:paraId="3DE3C665">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lang w:val="en-US" w:eastAsia="zh-CN"/>
              </w:rPr>
              <w:t>投标人在国家企业信用信息公示系统（www.gsxt.gov.cn）中未出现行政处罚、列入经营异常名录、列入严重违法失信企业名单（黑名单）查询结果（由采购人或采购代理机构在开标当天进行查询）</w:t>
            </w:r>
            <w:r>
              <w:rPr>
                <w:rFonts w:hint="eastAsia" w:asciiTheme="majorEastAsia" w:hAnsiTheme="majorEastAsia" w:eastAsiaTheme="majorEastAsia" w:cstheme="majorEastAsia"/>
                <w:color w:val="auto"/>
                <w:szCs w:val="21"/>
                <w:highlight w:val="none"/>
              </w:rPr>
              <w:t>。</w:t>
            </w:r>
          </w:p>
        </w:tc>
      </w:tr>
      <w:tr w14:paraId="570C4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1172" w:type="dxa"/>
            <w:vMerge w:val="continue"/>
            <w:noWrap w:val="0"/>
            <w:vAlign w:val="center"/>
          </w:tcPr>
          <w:p w14:paraId="1EB83C28">
            <w:pPr>
              <w:spacing w:line="360" w:lineRule="auto"/>
              <w:jc w:val="center"/>
              <w:rPr>
                <w:rFonts w:hint="eastAsia" w:asciiTheme="majorEastAsia" w:hAnsiTheme="majorEastAsia" w:eastAsiaTheme="majorEastAsia" w:cstheme="majorEastAsia"/>
                <w:color w:val="auto"/>
                <w:szCs w:val="21"/>
                <w:highlight w:val="none"/>
              </w:rPr>
            </w:pPr>
          </w:p>
        </w:tc>
        <w:tc>
          <w:tcPr>
            <w:tcW w:w="824" w:type="dxa"/>
            <w:noWrap w:val="0"/>
            <w:vAlign w:val="center"/>
          </w:tcPr>
          <w:p w14:paraId="0D76254B">
            <w:pPr>
              <w:spacing w:line="360" w:lineRule="auto"/>
              <w:jc w:val="center"/>
              <w:rPr>
                <w:rFonts w:hint="eastAsia" w:asciiTheme="majorEastAsia" w:hAnsiTheme="majorEastAsia" w:eastAsiaTheme="majorEastAsia" w:cstheme="majorEastAsia"/>
                <w:color w:val="auto"/>
                <w:szCs w:val="21"/>
                <w:highlight w:val="none"/>
                <w:lang w:val="en-US" w:eastAsia="zh-CN"/>
              </w:rPr>
            </w:pPr>
            <w:r>
              <w:rPr>
                <w:rFonts w:hint="eastAsia" w:asciiTheme="majorEastAsia" w:hAnsiTheme="majorEastAsia" w:eastAsiaTheme="majorEastAsia" w:cstheme="majorEastAsia"/>
                <w:color w:val="auto"/>
                <w:szCs w:val="21"/>
                <w:highlight w:val="none"/>
                <w:lang w:val="en-US" w:eastAsia="zh-CN"/>
              </w:rPr>
              <w:t>7</w:t>
            </w:r>
          </w:p>
        </w:tc>
        <w:tc>
          <w:tcPr>
            <w:tcW w:w="7843" w:type="dxa"/>
            <w:noWrap w:val="0"/>
            <w:vAlign w:val="center"/>
          </w:tcPr>
          <w:p w14:paraId="77FFDF5D">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按招标文件要求提交投标保证金，</w:t>
            </w:r>
            <w:r>
              <w:rPr>
                <w:rFonts w:hint="eastAsia" w:asciiTheme="majorEastAsia" w:hAnsiTheme="majorEastAsia" w:eastAsiaTheme="majorEastAsia" w:cstheme="majorEastAsia"/>
                <w:b/>
                <w:color w:val="auto"/>
                <w:szCs w:val="21"/>
                <w:highlight w:val="none"/>
              </w:rPr>
              <w:t>提供缴纳凭证（扫描件加盖电子公章）</w:t>
            </w:r>
            <w:r>
              <w:rPr>
                <w:rFonts w:hint="eastAsia" w:asciiTheme="majorEastAsia" w:hAnsiTheme="majorEastAsia" w:eastAsiaTheme="majorEastAsia" w:cstheme="majorEastAsia"/>
                <w:color w:val="auto"/>
                <w:szCs w:val="21"/>
                <w:highlight w:val="none"/>
              </w:rPr>
              <w:t>。</w:t>
            </w:r>
          </w:p>
        </w:tc>
      </w:tr>
      <w:tr w14:paraId="19370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1172" w:type="dxa"/>
            <w:vMerge w:val="continue"/>
            <w:noWrap w:val="0"/>
            <w:vAlign w:val="center"/>
          </w:tcPr>
          <w:p w14:paraId="2ED58097">
            <w:pPr>
              <w:spacing w:line="360" w:lineRule="auto"/>
              <w:jc w:val="center"/>
              <w:rPr>
                <w:rFonts w:hint="eastAsia" w:asciiTheme="majorEastAsia" w:hAnsiTheme="majorEastAsia" w:eastAsiaTheme="majorEastAsia" w:cstheme="majorEastAsia"/>
                <w:color w:val="auto"/>
                <w:szCs w:val="21"/>
                <w:highlight w:val="none"/>
              </w:rPr>
            </w:pPr>
          </w:p>
        </w:tc>
        <w:tc>
          <w:tcPr>
            <w:tcW w:w="824" w:type="dxa"/>
            <w:noWrap w:val="0"/>
            <w:vAlign w:val="center"/>
          </w:tcPr>
          <w:p w14:paraId="2CF8A4C6">
            <w:pPr>
              <w:spacing w:line="360" w:lineRule="auto"/>
              <w:jc w:val="center"/>
              <w:rPr>
                <w:rFonts w:hint="default" w:asciiTheme="majorEastAsia" w:hAnsiTheme="majorEastAsia" w:eastAsiaTheme="majorEastAsia" w:cstheme="majorEastAsia"/>
                <w:color w:val="auto"/>
                <w:szCs w:val="21"/>
                <w:highlight w:val="none"/>
                <w:lang w:val="en-US" w:eastAsia="zh-CN"/>
              </w:rPr>
            </w:pPr>
            <w:r>
              <w:rPr>
                <w:rFonts w:hint="eastAsia" w:asciiTheme="majorEastAsia" w:hAnsiTheme="majorEastAsia" w:eastAsiaTheme="majorEastAsia" w:cstheme="majorEastAsia"/>
                <w:color w:val="auto"/>
                <w:szCs w:val="21"/>
                <w:highlight w:val="none"/>
                <w:lang w:val="en-US" w:eastAsia="zh-CN"/>
              </w:rPr>
              <w:t>8</w:t>
            </w:r>
          </w:p>
        </w:tc>
        <w:tc>
          <w:tcPr>
            <w:tcW w:w="7843" w:type="dxa"/>
            <w:noWrap w:val="0"/>
            <w:vAlign w:val="center"/>
          </w:tcPr>
          <w:p w14:paraId="0F9230A7">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hint="eastAsia" w:asciiTheme="majorEastAsia" w:hAnsiTheme="majorEastAsia" w:eastAsiaTheme="majorEastAsia" w:cstheme="majorEastAsia"/>
                <w:color w:val="auto"/>
                <w:szCs w:val="21"/>
                <w:highlight w:val="none"/>
                <w:lang w:val="en-US" w:eastAsia="zh-CN"/>
              </w:rPr>
            </w:pPr>
            <w:r>
              <w:rPr>
                <w:rFonts w:hint="eastAsia" w:asciiTheme="majorEastAsia" w:hAnsiTheme="majorEastAsia" w:eastAsiaTheme="majorEastAsia" w:cstheme="majorEastAsia"/>
                <w:color w:val="auto"/>
                <w:szCs w:val="21"/>
                <w:highlight w:val="none"/>
                <w:lang w:val="en-US" w:eastAsia="zh-CN"/>
              </w:rPr>
              <w:t>特定资格要求：投标人如果是代理商或经销商，须提供医疗器械经营许可/备案证、所投产品制造商医疗器械生产许可/备案证（制造商工商注册地在中华人民共和国境外的，不做此要求）、所投产品的医疗器械注册证；投标人如果是制造商，须提供医疗器械生产许可/备案证（制造商工商注册地在中华人民共和国境外的，不做此要求）、所投产品的医疗器械注册证。医疗器械生产或经营许可/备案证生产或经营范围须覆盖所投第二、三类医疗器械（扫描件加盖电子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tc>
      </w:tr>
    </w:tbl>
    <w:p w14:paraId="4B778F2B">
      <w:pPr>
        <w:spacing w:before="240" w:line="360" w:lineRule="auto"/>
        <w:ind w:left="424" w:leftChars="202" w:firstLine="420" w:firstLineChars="20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bCs/>
          <w:color w:val="auto"/>
          <w:szCs w:val="21"/>
          <w:highlight w:val="none"/>
        </w:rPr>
        <w:t>1.资格审查程序：</w:t>
      </w:r>
      <w:r>
        <w:rPr>
          <w:rFonts w:hint="eastAsia" w:asciiTheme="majorEastAsia" w:hAnsiTheme="majorEastAsia" w:eastAsiaTheme="majorEastAsia" w:cstheme="majorEastAsia"/>
          <w:color w:val="auto"/>
          <w:kern w:val="0"/>
          <w:szCs w:val="21"/>
          <w:highlight w:val="none"/>
        </w:rPr>
        <w:t>开标结束后由采购人或者采购代理机构按资格审查前附表</w:t>
      </w:r>
      <w:r>
        <w:rPr>
          <w:rFonts w:hint="eastAsia" w:asciiTheme="majorEastAsia" w:hAnsiTheme="majorEastAsia" w:eastAsiaTheme="majorEastAsia" w:cstheme="majorEastAsia"/>
          <w:color w:val="auto"/>
          <w:szCs w:val="21"/>
          <w:highlight w:val="none"/>
        </w:rPr>
        <w:t>规定的评审标准对投标人进行资格审查，投标人有任何一项不符合资格审查前附表规定的，资格审查不合格，其投标无效。通过资格审查的投标人不足3</w:t>
      </w:r>
      <w:r>
        <w:rPr>
          <w:rFonts w:hint="eastAsia" w:asciiTheme="majorEastAsia" w:hAnsiTheme="majorEastAsia" w:eastAsiaTheme="majorEastAsia" w:cstheme="majorEastAsia"/>
          <w:color w:val="auto"/>
          <w:szCs w:val="21"/>
          <w:highlight w:val="none"/>
          <w:lang w:val="en-US" w:eastAsia="zh-CN"/>
        </w:rPr>
        <w:t>家</w:t>
      </w:r>
      <w:r>
        <w:rPr>
          <w:rFonts w:hint="eastAsia" w:asciiTheme="majorEastAsia" w:hAnsiTheme="majorEastAsia" w:eastAsiaTheme="majorEastAsia" w:cstheme="majorEastAsia"/>
          <w:color w:val="auto"/>
          <w:szCs w:val="21"/>
          <w:highlight w:val="none"/>
        </w:rPr>
        <w:t>的，不予评标。</w:t>
      </w:r>
    </w:p>
    <w:p w14:paraId="31D94AC2">
      <w:pPr>
        <w:spacing w:before="240"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br w:type="page"/>
      </w:r>
    </w:p>
    <w:p w14:paraId="73C5AE2B">
      <w:pPr>
        <w:spacing w:before="240" w:line="360" w:lineRule="auto"/>
        <w:jc w:val="center"/>
        <w:outlineLvl w:val="0"/>
        <w:rPr>
          <w:rFonts w:hint="eastAsia" w:asciiTheme="majorEastAsia" w:hAnsiTheme="majorEastAsia" w:eastAsiaTheme="majorEastAsia" w:cstheme="majorEastAsia"/>
          <w:color w:val="auto"/>
          <w:highlight w:val="none"/>
        </w:rPr>
      </w:pPr>
      <w:bookmarkStart w:id="348" w:name="_Toc3485"/>
      <w:r>
        <w:rPr>
          <w:rFonts w:hint="eastAsia" w:asciiTheme="majorEastAsia" w:hAnsiTheme="majorEastAsia" w:eastAsiaTheme="majorEastAsia" w:cstheme="majorEastAsia"/>
          <w:b/>
          <w:bCs/>
          <w:color w:val="auto"/>
          <w:kern w:val="44"/>
          <w:sz w:val="36"/>
          <w:szCs w:val="20"/>
          <w:highlight w:val="none"/>
          <w:lang w:val="en-US" w:eastAsia="zh-CN" w:bidi="ar-SA"/>
        </w:rPr>
        <w:t>第七章 评标方法（综合评分法）</w:t>
      </w:r>
      <w:bookmarkEnd w:id="348"/>
    </w:p>
    <w:p w14:paraId="51E2862B">
      <w:pPr>
        <w:spacing w:before="240" w:line="360" w:lineRule="auto"/>
        <w:jc w:val="center"/>
        <w:rPr>
          <w:rFonts w:hint="eastAsia" w:asciiTheme="majorEastAsia" w:hAnsiTheme="majorEastAsia" w:eastAsiaTheme="majorEastAsia" w:cstheme="majorEastAsia"/>
          <w:b/>
          <w:color w:val="auto"/>
          <w:sz w:val="32"/>
          <w:highlight w:val="none"/>
        </w:rPr>
      </w:pPr>
      <w:r>
        <w:rPr>
          <w:rFonts w:hint="eastAsia" w:asciiTheme="majorEastAsia" w:hAnsiTheme="majorEastAsia" w:eastAsiaTheme="majorEastAsia" w:cstheme="majorEastAsia"/>
          <w:b/>
          <w:color w:val="auto"/>
          <w:sz w:val="32"/>
          <w:highlight w:val="none"/>
        </w:rPr>
        <w:t>评标办法前附表</w:t>
      </w:r>
    </w:p>
    <w:tbl>
      <w:tblPr>
        <w:tblStyle w:val="30"/>
        <w:tblW w:w="10018"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897"/>
        <w:gridCol w:w="928"/>
        <w:gridCol w:w="2164"/>
        <w:gridCol w:w="6029"/>
      </w:tblGrid>
      <w:tr w14:paraId="5FA518F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27" w:hRule="atLeast"/>
          <w:tblHeader/>
          <w:jc w:val="center"/>
        </w:trPr>
        <w:tc>
          <w:tcPr>
            <w:tcW w:w="1825" w:type="dxa"/>
            <w:gridSpan w:val="2"/>
            <w:noWrap w:val="0"/>
            <w:vAlign w:val="center"/>
          </w:tcPr>
          <w:p w14:paraId="7B48F8E1">
            <w:pPr>
              <w:spacing w:line="360" w:lineRule="auto"/>
              <w:jc w:val="center"/>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条款号</w:t>
            </w:r>
          </w:p>
        </w:tc>
        <w:tc>
          <w:tcPr>
            <w:tcW w:w="2164" w:type="dxa"/>
            <w:noWrap w:val="0"/>
            <w:vAlign w:val="center"/>
          </w:tcPr>
          <w:p w14:paraId="6FF9D139">
            <w:pPr>
              <w:spacing w:line="360" w:lineRule="auto"/>
              <w:jc w:val="center"/>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评 审 内 容</w:t>
            </w:r>
          </w:p>
        </w:tc>
        <w:tc>
          <w:tcPr>
            <w:tcW w:w="6029" w:type="dxa"/>
            <w:noWrap w:val="0"/>
            <w:vAlign w:val="center"/>
          </w:tcPr>
          <w:p w14:paraId="35848ED8">
            <w:pPr>
              <w:spacing w:line="360" w:lineRule="auto"/>
              <w:jc w:val="center"/>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评 审 标 准</w:t>
            </w:r>
          </w:p>
        </w:tc>
      </w:tr>
      <w:tr w14:paraId="34E5425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140" w:hRule="atLeast"/>
          <w:jc w:val="center"/>
        </w:trPr>
        <w:tc>
          <w:tcPr>
            <w:tcW w:w="897" w:type="dxa"/>
            <w:vMerge w:val="restart"/>
            <w:noWrap w:val="0"/>
            <w:vAlign w:val="center"/>
          </w:tcPr>
          <w:p w14:paraId="4141ECDC">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7.1.4</w:t>
            </w:r>
          </w:p>
        </w:tc>
        <w:tc>
          <w:tcPr>
            <w:tcW w:w="928" w:type="dxa"/>
            <w:vMerge w:val="restart"/>
            <w:noWrap w:val="0"/>
            <w:vAlign w:val="center"/>
          </w:tcPr>
          <w:p w14:paraId="1BA0FA2A">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符合性评审标准</w:t>
            </w:r>
          </w:p>
        </w:tc>
        <w:tc>
          <w:tcPr>
            <w:tcW w:w="2164" w:type="dxa"/>
            <w:noWrap w:val="0"/>
            <w:vAlign w:val="center"/>
          </w:tcPr>
          <w:p w14:paraId="565014D4">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投标报价</w:t>
            </w:r>
          </w:p>
        </w:tc>
        <w:tc>
          <w:tcPr>
            <w:tcW w:w="6029" w:type="dxa"/>
            <w:noWrap w:val="0"/>
            <w:vAlign w:val="center"/>
          </w:tcPr>
          <w:p w14:paraId="57AE32FA">
            <w:pPr>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（1）报价</w:t>
            </w:r>
            <w:r>
              <w:rPr>
                <w:rFonts w:hint="eastAsia" w:asciiTheme="majorEastAsia" w:hAnsiTheme="majorEastAsia" w:eastAsiaTheme="majorEastAsia" w:cstheme="majorEastAsia"/>
                <w:color w:val="auto"/>
                <w:szCs w:val="21"/>
                <w:highlight w:val="none"/>
                <w:lang w:val="en-US" w:eastAsia="zh-CN"/>
              </w:rPr>
              <w:t>不得</w:t>
            </w:r>
            <w:r>
              <w:rPr>
                <w:rFonts w:hint="eastAsia" w:asciiTheme="majorEastAsia" w:hAnsiTheme="majorEastAsia" w:eastAsiaTheme="majorEastAsia" w:cstheme="majorEastAsia"/>
                <w:color w:val="auto"/>
                <w:szCs w:val="21"/>
                <w:highlight w:val="none"/>
              </w:rPr>
              <w:t>超过招标文件中规定的预算金额或者最高限价；</w:t>
            </w:r>
          </w:p>
          <w:p w14:paraId="76392E8C">
            <w:pPr>
              <w:spacing w:line="360" w:lineRule="auto"/>
              <w:ind w:left="1258" w:hanging="1258"/>
              <w:rPr>
                <w:rFonts w:hint="eastAsia" w:asciiTheme="majorEastAsia" w:hAnsiTheme="majorEastAsia" w:eastAsiaTheme="majorEastAsia" w:cstheme="majorEastAsia"/>
                <w:color w:val="auto"/>
                <w:szCs w:val="21"/>
                <w:highlight w:val="none"/>
                <w:lang w:eastAsia="zh-CN"/>
              </w:rPr>
            </w:pPr>
            <w:r>
              <w:rPr>
                <w:rFonts w:hint="eastAsia" w:asciiTheme="majorEastAsia" w:hAnsiTheme="majorEastAsia" w:eastAsiaTheme="majorEastAsia" w:cstheme="majorEastAsia"/>
                <w:color w:val="auto"/>
                <w:szCs w:val="21"/>
                <w:highlight w:val="none"/>
              </w:rPr>
              <w:t>（2）在投标文件中，投标人</w:t>
            </w:r>
            <w:r>
              <w:rPr>
                <w:rFonts w:hint="eastAsia" w:asciiTheme="majorEastAsia" w:hAnsiTheme="majorEastAsia" w:eastAsiaTheme="majorEastAsia" w:cstheme="majorEastAsia"/>
                <w:color w:val="auto"/>
                <w:szCs w:val="21"/>
                <w:highlight w:val="none"/>
                <w:lang w:val="en-US" w:eastAsia="zh-CN"/>
              </w:rPr>
              <w:t>不得</w:t>
            </w:r>
            <w:r>
              <w:rPr>
                <w:rFonts w:hint="eastAsia" w:asciiTheme="majorEastAsia" w:hAnsiTheme="majorEastAsia" w:eastAsiaTheme="majorEastAsia" w:cstheme="majorEastAsia"/>
                <w:color w:val="auto"/>
                <w:szCs w:val="21"/>
                <w:highlight w:val="none"/>
              </w:rPr>
              <w:t>投报两个或多个报价</w:t>
            </w:r>
            <w:r>
              <w:rPr>
                <w:rFonts w:hint="eastAsia" w:asciiTheme="majorEastAsia" w:hAnsiTheme="majorEastAsia" w:eastAsiaTheme="majorEastAsia" w:cstheme="majorEastAsia"/>
                <w:color w:val="auto"/>
                <w:szCs w:val="21"/>
                <w:highlight w:val="none"/>
                <w:lang w:eastAsia="zh-CN"/>
              </w:rPr>
              <w:t>。</w:t>
            </w:r>
          </w:p>
        </w:tc>
      </w:tr>
      <w:tr w14:paraId="2179A57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27" w:hRule="atLeast"/>
          <w:jc w:val="center"/>
        </w:trPr>
        <w:tc>
          <w:tcPr>
            <w:tcW w:w="897" w:type="dxa"/>
            <w:vMerge w:val="continue"/>
            <w:noWrap w:val="0"/>
            <w:vAlign w:val="center"/>
          </w:tcPr>
          <w:p w14:paraId="60AB2AB0">
            <w:pPr>
              <w:spacing w:line="360" w:lineRule="auto"/>
              <w:jc w:val="center"/>
              <w:rPr>
                <w:rFonts w:hint="eastAsia" w:asciiTheme="majorEastAsia" w:hAnsiTheme="majorEastAsia" w:eastAsiaTheme="majorEastAsia" w:cstheme="majorEastAsia"/>
                <w:color w:val="auto"/>
                <w:szCs w:val="21"/>
                <w:highlight w:val="none"/>
              </w:rPr>
            </w:pPr>
          </w:p>
        </w:tc>
        <w:tc>
          <w:tcPr>
            <w:tcW w:w="928" w:type="dxa"/>
            <w:vMerge w:val="continue"/>
            <w:noWrap w:val="0"/>
            <w:vAlign w:val="center"/>
          </w:tcPr>
          <w:p w14:paraId="334AAD36">
            <w:pPr>
              <w:spacing w:line="360" w:lineRule="auto"/>
              <w:jc w:val="center"/>
              <w:rPr>
                <w:rFonts w:hint="eastAsia" w:asciiTheme="majorEastAsia" w:hAnsiTheme="majorEastAsia" w:eastAsiaTheme="majorEastAsia" w:cstheme="majorEastAsia"/>
                <w:color w:val="auto"/>
                <w:szCs w:val="21"/>
                <w:highlight w:val="none"/>
              </w:rPr>
            </w:pPr>
          </w:p>
        </w:tc>
        <w:tc>
          <w:tcPr>
            <w:tcW w:w="2164" w:type="dxa"/>
            <w:noWrap w:val="0"/>
            <w:vAlign w:val="center"/>
          </w:tcPr>
          <w:p w14:paraId="360D49A3">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投标文件签署</w:t>
            </w:r>
          </w:p>
        </w:tc>
        <w:tc>
          <w:tcPr>
            <w:tcW w:w="6029" w:type="dxa"/>
            <w:noWrap w:val="0"/>
            <w:vAlign w:val="center"/>
          </w:tcPr>
          <w:p w14:paraId="65F91C1C">
            <w:pPr>
              <w:spacing w:line="360" w:lineRule="auto"/>
              <w:ind w:left="1258" w:hanging="1258"/>
              <w:rPr>
                <w:rFonts w:hint="eastAsia" w:asciiTheme="majorEastAsia" w:hAnsiTheme="majorEastAsia" w:eastAsiaTheme="majorEastAsia" w:cstheme="majorEastAsia"/>
                <w:color w:val="auto"/>
                <w:szCs w:val="21"/>
                <w:highlight w:val="none"/>
                <w:lang w:eastAsia="zh-CN"/>
              </w:rPr>
            </w:pPr>
            <w:r>
              <w:rPr>
                <w:rFonts w:hint="eastAsia" w:asciiTheme="majorEastAsia" w:hAnsiTheme="majorEastAsia" w:eastAsiaTheme="majorEastAsia" w:cstheme="majorEastAsia"/>
                <w:color w:val="auto"/>
                <w:szCs w:val="21"/>
                <w:highlight w:val="none"/>
              </w:rPr>
              <w:t>投标文件</w:t>
            </w:r>
            <w:r>
              <w:rPr>
                <w:rFonts w:hint="eastAsia" w:asciiTheme="majorEastAsia" w:hAnsiTheme="majorEastAsia" w:eastAsiaTheme="majorEastAsia" w:cstheme="majorEastAsia"/>
                <w:color w:val="auto"/>
                <w:szCs w:val="21"/>
                <w:highlight w:val="none"/>
                <w:lang w:val="en-US" w:eastAsia="zh-CN"/>
              </w:rPr>
              <w:t>须按照</w:t>
            </w:r>
            <w:r>
              <w:rPr>
                <w:rFonts w:hint="eastAsia" w:asciiTheme="majorEastAsia" w:hAnsiTheme="majorEastAsia" w:eastAsiaTheme="majorEastAsia" w:cstheme="majorEastAsia"/>
                <w:color w:val="auto"/>
                <w:szCs w:val="21"/>
                <w:highlight w:val="none"/>
              </w:rPr>
              <w:t>招标文件要求进行签署、盖章</w:t>
            </w:r>
            <w:r>
              <w:rPr>
                <w:rFonts w:hint="eastAsia" w:asciiTheme="majorEastAsia" w:hAnsiTheme="majorEastAsia" w:eastAsiaTheme="majorEastAsia" w:cstheme="majorEastAsia"/>
                <w:color w:val="auto"/>
                <w:szCs w:val="21"/>
                <w:highlight w:val="none"/>
                <w:lang w:eastAsia="zh-CN"/>
              </w:rPr>
              <w:t>。</w:t>
            </w:r>
          </w:p>
        </w:tc>
      </w:tr>
      <w:tr w14:paraId="3D62DA4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273" w:hRule="atLeast"/>
          <w:jc w:val="center"/>
        </w:trPr>
        <w:tc>
          <w:tcPr>
            <w:tcW w:w="897" w:type="dxa"/>
            <w:vMerge w:val="continue"/>
            <w:noWrap w:val="0"/>
            <w:vAlign w:val="center"/>
          </w:tcPr>
          <w:p w14:paraId="45B1313E">
            <w:pPr>
              <w:spacing w:line="360" w:lineRule="auto"/>
              <w:jc w:val="center"/>
              <w:rPr>
                <w:rFonts w:hint="eastAsia" w:asciiTheme="majorEastAsia" w:hAnsiTheme="majorEastAsia" w:eastAsiaTheme="majorEastAsia" w:cstheme="majorEastAsia"/>
                <w:color w:val="auto"/>
                <w:szCs w:val="21"/>
                <w:highlight w:val="none"/>
              </w:rPr>
            </w:pPr>
          </w:p>
        </w:tc>
        <w:tc>
          <w:tcPr>
            <w:tcW w:w="928" w:type="dxa"/>
            <w:vMerge w:val="continue"/>
            <w:noWrap w:val="0"/>
            <w:vAlign w:val="center"/>
          </w:tcPr>
          <w:p w14:paraId="0930FC70">
            <w:pPr>
              <w:spacing w:line="360" w:lineRule="auto"/>
              <w:jc w:val="center"/>
              <w:rPr>
                <w:rFonts w:hint="eastAsia" w:asciiTheme="majorEastAsia" w:hAnsiTheme="majorEastAsia" w:eastAsiaTheme="majorEastAsia" w:cstheme="majorEastAsia"/>
                <w:color w:val="auto"/>
                <w:szCs w:val="21"/>
                <w:highlight w:val="none"/>
              </w:rPr>
            </w:pPr>
          </w:p>
        </w:tc>
        <w:tc>
          <w:tcPr>
            <w:tcW w:w="2164" w:type="dxa"/>
            <w:noWrap w:val="0"/>
            <w:vAlign w:val="center"/>
          </w:tcPr>
          <w:p w14:paraId="27C9450A">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投标文件格式</w:t>
            </w:r>
          </w:p>
        </w:tc>
        <w:tc>
          <w:tcPr>
            <w:tcW w:w="6029" w:type="dxa"/>
            <w:noWrap w:val="0"/>
            <w:vAlign w:val="center"/>
          </w:tcPr>
          <w:p w14:paraId="729B43D9">
            <w:pPr>
              <w:spacing w:line="360" w:lineRule="auto"/>
              <w:ind w:left="-24"/>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（1）投标文件</w:t>
            </w:r>
            <w:r>
              <w:rPr>
                <w:rFonts w:hint="eastAsia" w:asciiTheme="majorEastAsia" w:hAnsiTheme="majorEastAsia" w:eastAsiaTheme="majorEastAsia" w:cstheme="majorEastAsia"/>
                <w:color w:val="auto"/>
                <w:szCs w:val="21"/>
                <w:highlight w:val="none"/>
                <w:lang w:val="en-US" w:eastAsia="zh-CN"/>
              </w:rPr>
              <w:t>须按照</w:t>
            </w:r>
            <w:r>
              <w:rPr>
                <w:rFonts w:hint="eastAsia" w:asciiTheme="majorEastAsia" w:hAnsiTheme="majorEastAsia" w:eastAsiaTheme="majorEastAsia" w:cstheme="majorEastAsia"/>
                <w:color w:val="auto"/>
                <w:szCs w:val="21"/>
                <w:highlight w:val="none"/>
              </w:rPr>
              <w:t>招标文件规定的格式、内容和要求填写；</w:t>
            </w:r>
          </w:p>
          <w:p w14:paraId="2C295AE0">
            <w:pPr>
              <w:spacing w:line="360" w:lineRule="auto"/>
              <w:ind w:left="1258" w:hanging="1258"/>
              <w:rPr>
                <w:rFonts w:hint="eastAsia" w:asciiTheme="majorEastAsia" w:hAnsiTheme="majorEastAsia" w:eastAsiaTheme="majorEastAsia" w:cstheme="majorEastAsia"/>
                <w:color w:val="auto"/>
                <w:szCs w:val="21"/>
                <w:highlight w:val="none"/>
                <w:lang w:eastAsia="zh-CN"/>
              </w:rPr>
            </w:pPr>
            <w:r>
              <w:rPr>
                <w:rFonts w:hint="eastAsia" w:asciiTheme="majorEastAsia" w:hAnsiTheme="majorEastAsia" w:eastAsiaTheme="majorEastAsia" w:cstheme="majorEastAsia"/>
                <w:color w:val="auto"/>
                <w:szCs w:val="21"/>
                <w:highlight w:val="none"/>
              </w:rPr>
              <w:t>（2）投标文件</w:t>
            </w:r>
            <w:r>
              <w:rPr>
                <w:rFonts w:hint="eastAsia" w:asciiTheme="majorEastAsia" w:hAnsiTheme="majorEastAsia" w:eastAsiaTheme="majorEastAsia" w:cstheme="majorEastAsia"/>
                <w:color w:val="auto"/>
                <w:szCs w:val="21"/>
                <w:highlight w:val="none"/>
                <w:lang w:val="en-US" w:eastAsia="zh-CN"/>
              </w:rPr>
              <w:t>不得</w:t>
            </w:r>
            <w:r>
              <w:rPr>
                <w:rFonts w:hint="eastAsia" w:asciiTheme="majorEastAsia" w:hAnsiTheme="majorEastAsia" w:eastAsiaTheme="majorEastAsia" w:cstheme="majorEastAsia"/>
                <w:color w:val="auto"/>
                <w:szCs w:val="21"/>
                <w:highlight w:val="none"/>
              </w:rPr>
              <w:t>书写潦草、字迹模糊不清难以辨认</w:t>
            </w:r>
            <w:r>
              <w:rPr>
                <w:rFonts w:hint="eastAsia" w:asciiTheme="majorEastAsia" w:hAnsiTheme="majorEastAsia" w:eastAsiaTheme="majorEastAsia" w:cstheme="majorEastAsia"/>
                <w:color w:val="auto"/>
                <w:szCs w:val="21"/>
                <w:highlight w:val="none"/>
                <w:lang w:eastAsia="zh-CN"/>
              </w:rPr>
              <w:t>。</w:t>
            </w:r>
          </w:p>
        </w:tc>
      </w:tr>
      <w:tr w14:paraId="6379A3F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27" w:hRule="atLeast"/>
          <w:jc w:val="center"/>
        </w:trPr>
        <w:tc>
          <w:tcPr>
            <w:tcW w:w="897" w:type="dxa"/>
            <w:vMerge w:val="continue"/>
            <w:noWrap w:val="0"/>
            <w:vAlign w:val="center"/>
          </w:tcPr>
          <w:p w14:paraId="07224944">
            <w:pPr>
              <w:spacing w:line="360" w:lineRule="auto"/>
              <w:rPr>
                <w:rFonts w:hint="eastAsia" w:asciiTheme="majorEastAsia" w:hAnsiTheme="majorEastAsia" w:eastAsiaTheme="majorEastAsia" w:cstheme="majorEastAsia"/>
                <w:color w:val="auto"/>
                <w:szCs w:val="21"/>
                <w:highlight w:val="none"/>
              </w:rPr>
            </w:pPr>
          </w:p>
        </w:tc>
        <w:tc>
          <w:tcPr>
            <w:tcW w:w="928" w:type="dxa"/>
            <w:vMerge w:val="continue"/>
            <w:noWrap w:val="0"/>
            <w:vAlign w:val="center"/>
          </w:tcPr>
          <w:p w14:paraId="68FE5A78">
            <w:pPr>
              <w:spacing w:line="360" w:lineRule="auto"/>
              <w:rPr>
                <w:rFonts w:hint="eastAsia" w:asciiTheme="majorEastAsia" w:hAnsiTheme="majorEastAsia" w:eastAsiaTheme="majorEastAsia" w:cstheme="majorEastAsia"/>
                <w:color w:val="auto"/>
                <w:szCs w:val="21"/>
                <w:highlight w:val="none"/>
              </w:rPr>
            </w:pPr>
          </w:p>
        </w:tc>
        <w:tc>
          <w:tcPr>
            <w:tcW w:w="2164" w:type="dxa"/>
            <w:noWrap w:val="0"/>
            <w:vAlign w:val="center"/>
          </w:tcPr>
          <w:p w14:paraId="6D94DA96">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采购内容</w:t>
            </w:r>
          </w:p>
        </w:tc>
        <w:tc>
          <w:tcPr>
            <w:tcW w:w="6029" w:type="dxa"/>
            <w:noWrap w:val="0"/>
            <w:vAlign w:val="center"/>
          </w:tcPr>
          <w:p w14:paraId="1C1357C9">
            <w:pPr>
              <w:spacing w:line="360" w:lineRule="auto"/>
              <w:ind w:left="1258" w:hanging="1258"/>
              <w:rPr>
                <w:rFonts w:hint="eastAsia" w:asciiTheme="majorEastAsia" w:hAnsiTheme="majorEastAsia" w:eastAsiaTheme="majorEastAsia" w:cstheme="majorEastAsia"/>
                <w:color w:val="auto"/>
                <w:szCs w:val="21"/>
                <w:highlight w:val="none"/>
                <w:lang w:eastAsia="zh-CN"/>
              </w:rPr>
            </w:pPr>
            <w:r>
              <w:rPr>
                <w:rFonts w:hint="eastAsia" w:asciiTheme="majorEastAsia" w:hAnsiTheme="majorEastAsia" w:eastAsiaTheme="majorEastAsia" w:cstheme="majorEastAsia"/>
                <w:color w:val="auto"/>
                <w:szCs w:val="21"/>
                <w:highlight w:val="none"/>
              </w:rPr>
              <w:t>满足招标文件招标范围的要求</w:t>
            </w:r>
            <w:r>
              <w:rPr>
                <w:rFonts w:hint="eastAsia" w:asciiTheme="majorEastAsia" w:hAnsiTheme="majorEastAsia" w:eastAsiaTheme="majorEastAsia" w:cstheme="majorEastAsia"/>
                <w:color w:val="auto"/>
                <w:szCs w:val="21"/>
                <w:highlight w:val="none"/>
                <w:lang w:eastAsia="zh-CN"/>
              </w:rPr>
              <w:t>。</w:t>
            </w:r>
          </w:p>
        </w:tc>
      </w:tr>
      <w:tr w14:paraId="000AB21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27" w:hRule="atLeast"/>
          <w:jc w:val="center"/>
        </w:trPr>
        <w:tc>
          <w:tcPr>
            <w:tcW w:w="897" w:type="dxa"/>
            <w:vMerge w:val="continue"/>
            <w:noWrap w:val="0"/>
            <w:vAlign w:val="center"/>
          </w:tcPr>
          <w:p w14:paraId="7FD851D0">
            <w:pPr>
              <w:spacing w:line="360" w:lineRule="auto"/>
              <w:rPr>
                <w:rFonts w:hint="eastAsia" w:asciiTheme="majorEastAsia" w:hAnsiTheme="majorEastAsia" w:eastAsiaTheme="majorEastAsia" w:cstheme="majorEastAsia"/>
                <w:color w:val="auto"/>
                <w:szCs w:val="21"/>
                <w:highlight w:val="none"/>
              </w:rPr>
            </w:pPr>
          </w:p>
        </w:tc>
        <w:tc>
          <w:tcPr>
            <w:tcW w:w="928" w:type="dxa"/>
            <w:vMerge w:val="continue"/>
            <w:noWrap w:val="0"/>
            <w:vAlign w:val="center"/>
          </w:tcPr>
          <w:p w14:paraId="716F8A28">
            <w:pPr>
              <w:spacing w:line="360" w:lineRule="auto"/>
              <w:rPr>
                <w:rFonts w:hint="eastAsia" w:asciiTheme="majorEastAsia" w:hAnsiTheme="majorEastAsia" w:eastAsiaTheme="majorEastAsia" w:cstheme="majorEastAsia"/>
                <w:color w:val="auto"/>
                <w:szCs w:val="21"/>
                <w:highlight w:val="none"/>
              </w:rPr>
            </w:pPr>
          </w:p>
        </w:tc>
        <w:tc>
          <w:tcPr>
            <w:tcW w:w="2164" w:type="dxa"/>
            <w:noWrap w:val="0"/>
            <w:vAlign w:val="center"/>
          </w:tcPr>
          <w:p w14:paraId="7D209E72">
            <w:pPr>
              <w:spacing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合同履行期限</w:t>
            </w:r>
          </w:p>
        </w:tc>
        <w:tc>
          <w:tcPr>
            <w:tcW w:w="6029" w:type="dxa"/>
            <w:noWrap w:val="0"/>
            <w:vAlign w:val="center"/>
          </w:tcPr>
          <w:p w14:paraId="6E34E4D3">
            <w:pPr>
              <w:spacing w:line="360" w:lineRule="auto"/>
              <w:rPr>
                <w:rFonts w:hint="eastAsia" w:asciiTheme="majorEastAsia" w:hAnsiTheme="majorEastAsia" w:eastAsiaTheme="majorEastAsia" w:cstheme="majorEastAsia"/>
                <w:color w:val="auto"/>
                <w:szCs w:val="21"/>
                <w:highlight w:val="none"/>
                <w:lang w:eastAsia="zh-CN"/>
              </w:rPr>
            </w:pPr>
            <w:r>
              <w:rPr>
                <w:rFonts w:hint="eastAsia" w:asciiTheme="majorEastAsia" w:hAnsiTheme="majorEastAsia" w:eastAsiaTheme="majorEastAsia" w:cstheme="majorEastAsia"/>
                <w:color w:val="auto"/>
                <w:szCs w:val="21"/>
                <w:highlight w:val="none"/>
              </w:rPr>
              <w:t>满足招标文件合同履行期限的要求</w:t>
            </w:r>
            <w:r>
              <w:rPr>
                <w:rFonts w:hint="eastAsia" w:asciiTheme="majorEastAsia" w:hAnsiTheme="majorEastAsia" w:eastAsiaTheme="majorEastAsia" w:cstheme="majorEastAsia"/>
                <w:color w:val="auto"/>
                <w:szCs w:val="21"/>
                <w:highlight w:val="none"/>
                <w:lang w:eastAsia="zh-CN"/>
              </w:rPr>
              <w:t>。</w:t>
            </w:r>
          </w:p>
        </w:tc>
      </w:tr>
      <w:tr w14:paraId="358D10F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27" w:hRule="atLeast"/>
          <w:jc w:val="center"/>
        </w:trPr>
        <w:tc>
          <w:tcPr>
            <w:tcW w:w="897" w:type="dxa"/>
            <w:vMerge w:val="continue"/>
            <w:noWrap w:val="0"/>
            <w:vAlign w:val="center"/>
          </w:tcPr>
          <w:p w14:paraId="3CFDB2FC">
            <w:pPr>
              <w:spacing w:line="360" w:lineRule="auto"/>
              <w:rPr>
                <w:rFonts w:hint="eastAsia" w:asciiTheme="majorEastAsia" w:hAnsiTheme="majorEastAsia" w:eastAsiaTheme="majorEastAsia" w:cstheme="majorEastAsia"/>
                <w:color w:val="auto"/>
                <w:szCs w:val="21"/>
                <w:highlight w:val="none"/>
              </w:rPr>
            </w:pPr>
          </w:p>
        </w:tc>
        <w:tc>
          <w:tcPr>
            <w:tcW w:w="928" w:type="dxa"/>
            <w:vMerge w:val="continue"/>
            <w:noWrap w:val="0"/>
            <w:vAlign w:val="center"/>
          </w:tcPr>
          <w:p w14:paraId="288FEB5E">
            <w:pPr>
              <w:spacing w:line="360" w:lineRule="auto"/>
              <w:rPr>
                <w:rFonts w:hint="eastAsia" w:asciiTheme="majorEastAsia" w:hAnsiTheme="majorEastAsia" w:eastAsiaTheme="majorEastAsia" w:cstheme="majorEastAsia"/>
                <w:color w:val="auto"/>
                <w:szCs w:val="21"/>
                <w:highlight w:val="none"/>
              </w:rPr>
            </w:pPr>
          </w:p>
        </w:tc>
        <w:tc>
          <w:tcPr>
            <w:tcW w:w="2164" w:type="dxa"/>
            <w:noWrap w:val="0"/>
            <w:vAlign w:val="center"/>
          </w:tcPr>
          <w:p w14:paraId="5A8B77B0">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实质性条款</w:t>
            </w:r>
          </w:p>
        </w:tc>
        <w:tc>
          <w:tcPr>
            <w:tcW w:w="6029" w:type="dxa"/>
            <w:noWrap w:val="0"/>
            <w:vAlign w:val="center"/>
          </w:tcPr>
          <w:p w14:paraId="669C91E0">
            <w:pPr>
              <w:spacing w:line="360" w:lineRule="auto"/>
              <w:ind w:left="1258" w:hanging="1258"/>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实质性响应招标文件中标注</w:t>
            </w:r>
            <w:r>
              <w:rPr>
                <w:rFonts w:hint="eastAsia" w:ascii="宋体" w:hAnsi="宋体" w:eastAsia="宋体" w:cs="宋体"/>
                <w:color w:val="auto"/>
                <w:sz w:val="21"/>
                <w:szCs w:val="21"/>
                <w:highlight w:val="none"/>
                <w:lang w:val="en-US" w:eastAsia="zh-CN"/>
              </w:rPr>
              <w:t>★</w:t>
            </w:r>
            <w:r>
              <w:rPr>
                <w:rFonts w:hint="eastAsia" w:asciiTheme="majorEastAsia" w:hAnsiTheme="majorEastAsia" w:eastAsiaTheme="majorEastAsia" w:cstheme="majorEastAsia"/>
                <w:color w:val="auto"/>
                <w:szCs w:val="21"/>
                <w:highlight w:val="none"/>
              </w:rPr>
              <w:t>号条款内容。</w:t>
            </w:r>
          </w:p>
        </w:tc>
      </w:tr>
      <w:tr w14:paraId="5EF5172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273" w:hRule="atLeast"/>
          <w:jc w:val="center"/>
        </w:trPr>
        <w:tc>
          <w:tcPr>
            <w:tcW w:w="897" w:type="dxa"/>
            <w:vMerge w:val="continue"/>
            <w:noWrap w:val="0"/>
            <w:vAlign w:val="center"/>
          </w:tcPr>
          <w:p w14:paraId="748728A2">
            <w:pPr>
              <w:spacing w:line="360" w:lineRule="auto"/>
              <w:rPr>
                <w:rFonts w:hint="eastAsia" w:asciiTheme="majorEastAsia" w:hAnsiTheme="majorEastAsia" w:eastAsiaTheme="majorEastAsia" w:cstheme="majorEastAsia"/>
                <w:color w:val="auto"/>
                <w:szCs w:val="21"/>
                <w:highlight w:val="none"/>
              </w:rPr>
            </w:pPr>
          </w:p>
        </w:tc>
        <w:tc>
          <w:tcPr>
            <w:tcW w:w="928" w:type="dxa"/>
            <w:vMerge w:val="continue"/>
            <w:noWrap w:val="0"/>
            <w:vAlign w:val="center"/>
          </w:tcPr>
          <w:p w14:paraId="66FB31EB">
            <w:pPr>
              <w:spacing w:line="360" w:lineRule="auto"/>
              <w:rPr>
                <w:rFonts w:hint="eastAsia" w:asciiTheme="majorEastAsia" w:hAnsiTheme="majorEastAsia" w:eastAsiaTheme="majorEastAsia" w:cstheme="majorEastAsia"/>
                <w:color w:val="auto"/>
                <w:szCs w:val="21"/>
                <w:highlight w:val="none"/>
              </w:rPr>
            </w:pPr>
          </w:p>
        </w:tc>
        <w:tc>
          <w:tcPr>
            <w:tcW w:w="2164" w:type="dxa"/>
            <w:noWrap w:val="0"/>
            <w:vAlign w:val="center"/>
          </w:tcPr>
          <w:p w14:paraId="44443082">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其他</w:t>
            </w:r>
          </w:p>
        </w:tc>
        <w:tc>
          <w:tcPr>
            <w:tcW w:w="6029" w:type="dxa"/>
            <w:noWrap w:val="0"/>
            <w:vAlign w:val="center"/>
          </w:tcPr>
          <w:p w14:paraId="362D703D">
            <w:pPr>
              <w:spacing w:line="360" w:lineRule="auto"/>
              <w:ind w:left="1258" w:hanging="1258"/>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（1）投标文件</w:t>
            </w:r>
            <w:r>
              <w:rPr>
                <w:rFonts w:hint="eastAsia" w:asciiTheme="majorEastAsia" w:hAnsiTheme="majorEastAsia" w:eastAsiaTheme="majorEastAsia" w:cstheme="majorEastAsia"/>
                <w:color w:val="auto"/>
                <w:szCs w:val="21"/>
                <w:highlight w:val="none"/>
                <w:lang w:val="en-US" w:eastAsia="zh-CN"/>
              </w:rPr>
              <w:t>中不得</w:t>
            </w:r>
            <w:r>
              <w:rPr>
                <w:rFonts w:hint="eastAsia" w:asciiTheme="majorEastAsia" w:hAnsiTheme="majorEastAsia" w:eastAsiaTheme="majorEastAsia" w:cstheme="majorEastAsia"/>
                <w:color w:val="auto"/>
                <w:szCs w:val="21"/>
                <w:highlight w:val="none"/>
              </w:rPr>
              <w:t>含有采购人不能接受的附加条件；</w:t>
            </w:r>
          </w:p>
          <w:p w14:paraId="0D063956">
            <w:pPr>
              <w:spacing w:line="360" w:lineRule="auto"/>
              <w:ind w:left="-24" w:firstLine="24"/>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（2）</w:t>
            </w:r>
            <w:r>
              <w:rPr>
                <w:rFonts w:hint="eastAsia" w:asciiTheme="majorEastAsia" w:hAnsiTheme="majorEastAsia" w:eastAsiaTheme="majorEastAsia" w:cstheme="majorEastAsia"/>
                <w:color w:val="auto"/>
                <w:szCs w:val="21"/>
                <w:highlight w:val="none"/>
                <w:lang w:val="en-US" w:eastAsia="zh-CN"/>
              </w:rPr>
              <w:t>不得有</w:t>
            </w:r>
            <w:r>
              <w:rPr>
                <w:rFonts w:hint="eastAsia" w:asciiTheme="majorEastAsia" w:hAnsiTheme="majorEastAsia" w:eastAsiaTheme="majorEastAsia" w:cstheme="majorEastAsia"/>
                <w:color w:val="auto"/>
                <w:szCs w:val="21"/>
                <w:highlight w:val="none"/>
              </w:rPr>
              <w:t>其他不符合招标文件实质性要求及</w:t>
            </w:r>
            <w:r>
              <w:rPr>
                <w:rFonts w:hint="eastAsia" w:asciiTheme="majorEastAsia" w:hAnsiTheme="majorEastAsia" w:eastAsiaTheme="majorEastAsia" w:cstheme="majorEastAsia"/>
                <w:color w:val="auto"/>
                <w:szCs w:val="21"/>
                <w:highlight w:val="none"/>
                <w:lang w:eastAsia="zh-CN"/>
              </w:rPr>
              <w:t>法律法规</w:t>
            </w:r>
            <w:r>
              <w:rPr>
                <w:rFonts w:hint="eastAsia" w:asciiTheme="majorEastAsia" w:hAnsiTheme="majorEastAsia" w:eastAsiaTheme="majorEastAsia" w:cstheme="majorEastAsia"/>
                <w:color w:val="auto"/>
                <w:szCs w:val="21"/>
                <w:highlight w:val="none"/>
              </w:rPr>
              <w:t>规定的其他情形。</w:t>
            </w:r>
          </w:p>
        </w:tc>
      </w:tr>
      <w:tr w14:paraId="385F9DF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273" w:hRule="atLeast"/>
          <w:jc w:val="center"/>
        </w:trPr>
        <w:tc>
          <w:tcPr>
            <w:tcW w:w="897" w:type="dxa"/>
            <w:vMerge w:val="restart"/>
            <w:noWrap w:val="0"/>
            <w:vAlign w:val="center"/>
          </w:tcPr>
          <w:p w14:paraId="2C36C4C3">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7.2</w:t>
            </w:r>
          </w:p>
        </w:tc>
        <w:tc>
          <w:tcPr>
            <w:tcW w:w="928" w:type="dxa"/>
            <w:vMerge w:val="restart"/>
            <w:noWrap w:val="0"/>
            <w:vAlign w:val="center"/>
          </w:tcPr>
          <w:p w14:paraId="784BF7A6">
            <w:pPr>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综合评审标准</w:t>
            </w:r>
          </w:p>
        </w:tc>
        <w:tc>
          <w:tcPr>
            <w:tcW w:w="2164" w:type="dxa"/>
            <w:noWrap w:val="0"/>
            <w:vAlign w:val="center"/>
          </w:tcPr>
          <w:p w14:paraId="2744FFF5">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1）评标总得分计算公式</w:t>
            </w:r>
          </w:p>
        </w:tc>
        <w:tc>
          <w:tcPr>
            <w:tcW w:w="6029" w:type="dxa"/>
            <w:noWrap w:val="0"/>
            <w:vAlign w:val="center"/>
          </w:tcPr>
          <w:p w14:paraId="2316296D">
            <w:pPr>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投标人的评标总得分＝F1＋F2其中：</w:t>
            </w:r>
          </w:p>
          <w:p w14:paraId="24DDE8C4">
            <w:pPr>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F1、F2分别为投标报价、技术部分</w:t>
            </w:r>
            <w:r>
              <w:rPr>
                <w:rFonts w:hint="eastAsia" w:asciiTheme="majorEastAsia" w:hAnsiTheme="majorEastAsia" w:eastAsiaTheme="majorEastAsia" w:cstheme="majorEastAsia"/>
                <w:color w:val="auto"/>
                <w:szCs w:val="21"/>
                <w:highlight w:val="none"/>
                <w:lang w:val="en-US" w:eastAsia="zh-CN"/>
              </w:rPr>
              <w:t>2</w:t>
            </w:r>
            <w:r>
              <w:rPr>
                <w:rFonts w:hint="eastAsia" w:asciiTheme="majorEastAsia" w:hAnsiTheme="majorEastAsia" w:eastAsiaTheme="majorEastAsia" w:cstheme="majorEastAsia"/>
                <w:color w:val="auto"/>
                <w:szCs w:val="21"/>
                <w:highlight w:val="none"/>
              </w:rPr>
              <w:t>项评分因素的汇总得分；</w:t>
            </w:r>
          </w:p>
        </w:tc>
      </w:tr>
      <w:tr w14:paraId="4EA1A77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50" w:hRule="atLeast"/>
          <w:jc w:val="center"/>
        </w:trPr>
        <w:tc>
          <w:tcPr>
            <w:tcW w:w="897" w:type="dxa"/>
            <w:vMerge w:val="continue"/>
            <w:noWrap w:val="0"/>
            <w:vAlign w:val="center"/>
          </w:tcPr>
          <w:p w14:paraId="28AB82DD">
            <w:pPr>
              <w:spacing w:line="360" w:lineRule="auto"/>
              <w:rPr>
                <w:rFonts w:hint="eastAsia" w:asciiTheme="majorEastAsia" w:hAnsiTheme="majorEastAsia" w:eastAsiaTheme="majorEastAsia" w:cstheme="majorEastAsia"/>
                <w:color w:val="auto"/>
                <w:szCs w:val="21"/>
                <w:highlight w:val="none"/>
              </w:rPr>
            </w:pPr>
          </w:p>
        </w:tc>
        <w:tc>
          <w:tcPr>
            <w:tcW w:w="928" w:type="dxa"/>
            <w:vMerge w:val="continue"/>
            <w:noWrap w:val="0"/>
            <w:vAlign w:val="center"/>
          </w:tcPr>
          <w:p w14:paraId="0961ECCE">
            <w:pPr>
              <w:spacing w:line="360" w:lineRule="auto"/>
              <w:rPr>
                <w:rFonts w:hint="eastAsia" w:asciiTheme="majorEastAsia" w:hAnsiTheme="majorEastAsia" w:eastAsiaTheme="majorEastAsia" w:cstheme="majorEastAsia"/>
                <w:color w:val="auto"/>
                <w:szCs w:val="21"/>
                <w:highlight w:val="none"/>
              </w:rPr>
            </w:pPr>
          </w:p>
        </w:tc>
        <w:tc>
          <w:tcPr>
            <w:tcW w:w="2164" w:type="dxa"/>
            <w:noWrap w:val="0"/>
            <w:vAlign w:val="center"/>
          </w:tcPr>
          <w:p w14:paraId="1AD44D0A">
            <w:pPr>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2）评分因素权重</w:t>
            </w:r>
          </w:p>
        </w:tc>
        <w:tc>
          <w:tcPr>
            <w:tcW w:w="6029" w:type="dxa"/>
            <w:noWrap w:val="0"/>
            <w:vAlign w:val="center"/>
          </w:tcPr>
          <w:p w14:paraId="0BF7EB0E">
            <w:pPr>
              <w:spacing w:line="360" w:lineRule="auto"/>
              <w:ind w:left="1258" w:hanging="1258"/>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投标报价F1：</w:t>
            </w:r>
            <w:r>
              <w:rPr>
                <w:rFonts w:hint="eastAsia" w:asciiTheme="majorEastAsia" w:hAnsiTheme="majorEastAsia" w:eastAsiaTheme="majorEastAsia" w:cstheme="majorEastAsia"/>
                <w:color w:val="auto"/>
                <w:szCs w:val="21"/>
                <w:highlight w:val="none"/>
                <w:lang w:val="en-US" w:eastAsia="zh-CN"/>
              </w:rPr>
              <w:t>3</w:t>
            </w:r>
            <w:r>
              <w:rPr>
                <w:rFonts w:hint="eastAsia" w:asciiTheme="majorEastAsia" w:hAnsiTheme="majorEastAsia" w:eastAsiaTheme="majorEastAsia" w:cstheme="majorEastAsia"/>
                <w:color w:val="auto"/>
                <w:szCs w:val="21"/>
                <w:highlight w:val="none"/>
              </w:rPr>
              <w:t>0分。</w:t>
            </w:r>
          </w:p>
          <w:p w14:paraId="0716418C">
            <w:pPr>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技术部分F2：</w:t>
            </w:r>
            <w:r>
              <w:rPr>
                <w:rFonts w:hint="eastAsia" w:asciiTheme="majorEastAsia" w:hAnsiTheme="majorEastAsia" w:eastAsiaTheme="majorEastAsia" w:cstheme="majorEastAsia"/>
                <w:color w:val="auto"/>
                <w:szCs w:val="21"/>
                <w:highlight w:val="none"/>
                <w:lang w:val="en-US" w:eastAsia="zh-CN"/>
              </w:rPr>
              <w:t>7</w:t>
            </w:r>
            <w:r>
              <w:rPr>
                <w:rFonts w:hint="eastAsia" w:asciiTheme="majorEastAsia" w:hAnsiTheme="majorEastAsia" w:eastAsiaTheme="majorEastAsia" w:cstheme="majorEastAsia"/>
                <w:color w:val="auto"/>
                <w:szCs w:val="21"/>
                <w:highlight w:val="none"/>
              </w:rPr>
              <w:t>0分。</w:t>
            </w:r>
          </w:p>
        </w:tc>
      </w:tr>
      <w:tr w14:paraId="4F9A07C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91" w:hRule="atLeast"/>
          <w:jc w:val="center"/>
        </w:trPr>
        <w:tc>
          <w:tcPr>
            <w:tcW w:w="897" w:type="dxa"/>
            <w:vMerge w:val="continue"/>
            <w:noWrap w:val="0"/>
            <w:vAlign w:val="center"/>
          </w:tcPr>
          <w:p w14:paraId="280C18D5">
            <w:pPr>
              <w:spacing w:line="360" w:lineRule="auto"/>
              <w:rPr>
                <w:rFonts w:hint="eastAsia" w:asciiTheme="majorEastAsia" w:hAnsiTheme="majorEastAsia" w:eastAsiaTheme="majorEastAsia" w:cstheme="majorEastAsia"/>
                <w:color w:val="auto"/>
                <w:szCs w:val="21"/>
                <w:highlight w:val="none"/>
              </w:rPr>
            </w:pPr>
          </w:p>
        </w:tc>
        <w:tc>
          <w:tcPr>
            <w:tcW w:w="928" w:type="dxa"/>
            <w:vMerge w:val="continue"/>
            <w:noWrap w:val="0"/>
            <w:vAlign w:val="center"/>
          </w:tcPr>
          <w:p w14:paraId="34D6137B">
            <w:pPr>
              <w:spacing w:line="360" w:lineRule="auto"/>
              <w:rPr>
                <w:rFonts w:hint="eastAsia" w:asciiTheme="majorEastAsia" w:hAnsiTheme="majorEastAsia" w:eastAsiaTheme="majorEastAsia" w:cstheme="majorEastAsia"/>
                <w:color w:val="auto"/>
                <w:szCs w:val="21"/>
                <w:highlight w:val="none"/>
              </w:rPr>
            </w:pPr>
          </w:p>
        </w:tc>
        <w:tc>
          <w:tcPr>
            <w:tcW w:w="2164" w:type="dxa"/>
            <w:noWrap w:val="0"/>
            <w:vAlign w:val="center"/>
          </w:tcPr>
          <w:p w14:paraId="73E1CBA5">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3）投标报价得分F1</w:t>
            </w:r>
          </w:p>
          <w:p w14:paraId="7D65C077">
            <w:pPr>
              <w:spacing w:line="360" w:lineRule="auto"/>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  （满分</w:t>
            </w:r>
            <w:r>
              <w:rPr>
                <w:rFonts w:hint="eastAsia" w:asciiTheme="majorEastAsia" w:hAnsiTheme="majorEastAsia" w:eastAsiaTheme="majorEastAsia" w:cstheme="majorEastAsia"/>
                <w:color w:val="auto"/>
                <w:szCs w:val="21"/>
                <w:highlight w:val="none"/>
                <w:lang w:val="en-US" w:eastAsia="zh-CN"/>
              </w:rPr>
              <w:t>3</w:t>
            </w:r>
            <w:r>
              <w:rPr>
                <w:rFonts w:hint="eastAsia" w:asciiTheme="majorEastAsia" w:hAnsiTheme="majorEastAsia" w:eastAsiaTheme="majorEastAsia" w:cstheme="majorEastAsia"/>
                <w:color w:val="auto"/>
                <w:szCs w:val="21"/>
                <w:highlight w:val="none"/>
              </w:rPr>
              <w:t>0分）</w:t>
            </w:r>
          </w:p>
        </w:tc>
        <w:tc>
          <w:tcPr>
            <w:tcW w:w="6029" w:type="dxa"/>
            <w:noWrap w:val="0"/>
            <w:vAlign w:val="center"/>
          </w:tcPr>
          <w:p w14:paraId="4D94D51C">
            <w:pPr>
              <w:pStyle w:val="17"/>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ajorEastAsia" w:hAnsiTheme="majorEastAsia" w:eastAsiaTheme="majorEastAsia" w:cstheme="majorEastAsia"/>
                <w:bCs/>
                <w:color w:val="auto"/>
                <w:szCs w:val="21"/>
                <w:highlight w:val="none"/>
              </w:rPr>
            </w:pPr>
            <w:r>
              <w:rPr>
                <w:rFonts w:hint="eastAsia" w:asciiTheme="majorEastAsia" w:hAnsiTheme="majorEastAsia" w:eastAsiaTheme="majorEastAsia" w:cstheme="majorEastAsia"/>
                <w:bCs/>
                <w:color w:val="auto"/>
                <w:szCs w:val="21"/>
                <w:highlight w:val="none"/>
              </w:rPr>
              <w:t>a.投标报价中不得包含招标文件要求以外的内容，否则，在评标时不予核减。</w:t>
            </w:r>
            <w:r>
              <w:rPr>
                <w:rFonts w:hint="eastAsia" w:asciiTheme="majorEastAsia" w:hAnsiTheme="majorEastAsia" w:eastAsiaTheme="majorEastAsia" w:cstheme="majorEastAsia"/>
                <w:b/>
                <w:color w:val="auto"/>
                <w:szCs w:val="21"/>
                <w:highlight w:val="none"/>
              </w:rPr>
              <w:t>投标人不得将整个项目中的内容拆开投标（只投其中一种或几种产品），否则将被视为非实质性响应招标文件。</w:t>
            </w:r>
          </w:p>
          <w:p w14:paraId="0F91E689">
            <w:pPr>
              <w:pStyle w:val="17"/>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ajorEastAsia" w:hAnsiTheme="majorEastAsia" w:eastAsiaTheme="majorEastAsia" w:cstheme="majorEastAsia"/>
                <w:bCs/>
                <w:color w:val="auto"/>
                <w:szCs w:val="21"/>
                <w:highlight w:val="none"/>
              </w:rPr>
            </w:pPr>
            <w:r>
              <w:rPr>
                <w:rFonts w:hint="eastAsia" w:asciiTheme="majorEastAsia" w:hAnsiTheme="majorEastAsia" w:eastAsiaTheme="majorEastAsia" w:cstheme="majorEastAsia"/>
                <w:bCs/>
                <w:color w:val="auto"/>
                <w:szCs w:val="21"/>
                <w:highlight w:val="none"/>
              </w:rPr>
              <w:t>b.价格分统一采用低价优先法计算，即满足招标文件要求且投标价格最低的投标报价为评标基准价，其价格分为满分。其他投标人的价格分统一按照下列公式计算：</w:t>
            </w:r>
          </w:p>
          <w:p w14:paraId="5E67F2DE">
            <w:pPr>
              <w:pStyle w:val="17"/>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ajorEastAsia" w:hAnsiTheme="majorEastAsia" w:eastAsiaTheme="majorEastAsia" w:cstheme="majorEastAsia"/>
                <w:bCs/>
                <w:color w:val="auto"/>
                <w:szCs w:val="21"/>
                <w:highlight w:val="none"/>
              </w:rPr>
            </w:pPr>
            <w:r>
              <w:rPr>
                <w:rFonts w:hint="eastAsia" w:asciiTheme="majorEastAsia" w:hAnsiTheme="majorEastAsia" w:eastAsiaTheme="majorEastAsia" w:cstheme="majorEastAsia"/>
                <w:bCs/>
                <w:color w:val="auto"/>
                <w:szCs w:val="21"/>
                <w:highlight w:val="none"/>
              </w:rPr>
              <w:t>投标人报价得分=（评标基准价/投标报价）×</w:t>
            </w:r>
            <w:r>
              <w:rPr>
                <w:rFonts w:hint="eastAsia" w:asciiTheme="majorEastAsia" w:hAnsiTheme="majorEastAsia" w:eastAsiaTheme="majorEastAsia" w:cstheme="majorEastAsia"/>
                <w:bCs/>
                <w:color w:val="auto"/>
                <w:szCs w:val="21"/>
                <w:highlight w:val="none"/>
                <w:lang w:val="en-US" w:eastAsia="zh-CN"/>
              </w:rPr>
              <w:t>3</w:t>
            </w:r>
            <w:r>
              <w:rPr>
                <w:rFonts w:hint="eastAsia" w:asciiTheme="majorEastAsia" w:hAnsiTheme="majorEastAsia" w:eastAsiaTheme="majorEastAsia" w:cstheme="majorEastAsia"/>
                <w:bCs/>
                <w:color w:val="auto"/>
                <w:szCs w:val="21"/>
                <w:highlight w:val="none"/>
              </w:rPr>
              <w:t>0</w:t>
            </w:r>
          </w:p>
          <w:p w14:paraId="44DB741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b/>
                <w:color w:val="auto"/>
                <w:szCs w:val="21"/>
                <w:highlight w:val="none"/>
              </w:rPr>
              <w:t>注：</w:t>
            </w:r>
            <w:r>
              <w:rPr>
                <w:rFonts w:hint="eastAsia" w:asciiTheme="majorEastAsia" w:hAnsiTheme="majorEastAsia" w:eastAsiaTheme="majorEastAsia" w:cstheme="majorEastAsia"/>
                <w:b w:val="0"/>
                <w:bCs/>
                <w:color w:val="auto"/>
                <w:szCs w:val="21"/>
                <w:highlight w:val="none"/>
                <w:lang w:val="en-US" w:eastAsia="zh-CN"/>
              </w:rPr>
              <w:t>①</w:t>
            </w:r>
            <w:r>
              <w:rPr>
                <w:rFonts w:hint="eastAsia" w:asciiTheme="majorEastAsia" w:hAnsiTheme="majorEastAsia" w:eastAsiaTheme="majorEastAsia" w:cstheme="majorEastAsia"/>
                <w:color w:val="auto"/>
                <w:szCs w:val="21"/>
                <w:highlight w:val="none"/>
              </w:rPr>
              <w:t>小微企业、监狱企业、残疾人福利性单位扣减投标报价的10%，用扣除后的最终价格参与评审。单位同属于小型、微型企业、监狱企业、残疾人福利性单位，不重复享受政策，只能扣减一次。</w:t>
            </w:r>
          </w:p>
          <w:p w14:paraId="36FF257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ajorEastAsia" w:hAnsiTheme="majorEastAsia" w:eastAsiaTheme="majorEastAsia" w:cstheme="majorEastAsia"/>
                <w:color w:val="auto"/>
                <w:szCs w:val="21"/>
                <w:highlight w:val="none"/>
                <w:lang w:val="en-US" w:eastAsia="zh-CN"/>
              </w:rPr>
            </w:pPr>
            <w:r>
              <w:rPr>
                <w:rFonts w:hint="eastAsia" w:asciiTheme="majorEastAsia" w:hAnsiTheme="majorEastAsia" w:eastAsiaTheme="majorEastAsia" w:cstheme="majorEastAsia"/>
                <w:color w:val="auto"/>
                <w:szCs w:val="21"/>
                <w:highlight w:val="none"/>
                <w:lang w:val="en-US" w:eastAsia="zh-CN"/>
              </w:rPr>
              <w:t>②对本国产品给予价格评审优惠，对本国产品的报价给予20%的价格扣除，用扣除后的价格参与评审。</w:t>
            </w:r>
          </w:p>
          <w:p w14:paraId="4724F26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ajorEastAsia" w:hAnsiTheme="majorEastAsia" w:eastAsiaTheme="majorEastAsia" w:cstheme="majorEastAsia"/>
                <w:color w:val="auto"/>
                <w:szCs w:val="21"/>
                <w:highlight w:val="none"/>
                <w:lang w:val="en-US" w:eastAsia="zh-CN"/>
              </w:rPr>
            </w:pPr>
            <w:r>
              <w:rPr>
                <w:rFonts w:hint="eastAsia" w:asciiTheme="majorEastAsia" w:hAnsiTheme="majorEastAsia" w:eastAsiaTheme="majorEastAsia" w:cstheme="majorEastAsia"/>
                <w:color w:val="auto"/>
                <w:szCs w:val="21"/>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r>
      <w:tr w14:paraId="4F0EE7A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19" w:hRule="atLeast"/>
          <w:jc w:val="center"/>
        </w:trPr>
        <w:tc>
          <w:tcPr>
            <w:tcW w:w="897" w:type="dxa"/>
            <w:vMerge w:val="continue"/>
            <w:noWrap w:val="0"/>
            <w:vAlign w:val="center"/>
          </w:tcPr>
          <w:p w14:paraId="56D448B9">
            <w:pPr>
              <w:spacing w:line="360" w:lineRule="auto"/>
              <w:rPr>
                <w:rFonts w:hint="eastAsia" w:asciiTheme="majorEastAsia" w:hAnsiTheme="majorEastAsia" w:eastAsiaTheme="majorEastAsia" w:cstheme="majorEastAsia"/>
                <w:color w:val="auto"/>
                <w:szCs w:val="21"/>
                <w:highlight w:val="none"/>
              </w:rPr>
            </w:pPr>
          </w:p>
        </w:tc>
        <w:tc>
          <w:tcPr>
            <w:tcW w:w="928" w:type="dxa"/>
            <w:vMerge w:val="continue"/>
            <w:noWrap w:val="0"/>
            <w:vAlign w:val="center"/>
          </w:tcPr>
          <w:p w14:paraId="193542FD">
            <w:pPr>
              <w:spacing w:line="360" w:lineRule="auto"/>
              <w:rPr>
                <w:rFonts w:hint="eastAsia" w:asciiTheme="majorEastAsia" w:hAnsiTheme="majorEastAsia" w:eastAsiaTheme="majorEastAsia" w:cstheme="majorEastAsia"/>
                <w:color w:val="auto"/>
                <w:szCs w:val="21"/>
                <w:highlight w:val="none"/>
              </w:rPr>
            </w:pPr>
          </w:p>
        </w:tc>
        <w:tc>
          <w:tcPr>
            <w:tcW w:w="2164" w:type="dxa"/>
            <w:noWrap w:val="0"/>
            <w:vAlign w:val="center"/>
          </w:tcPr>
          <w:p w14:paraId="3686EDBD">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1"/>
                <w:szCs w:val="21"/>
                <w:highlight w:val="none"/>
              </w:rPr>
              <w:t>产品技术参数性能（满分</w:t>
            </w:r>
            <w:r>
              <w:rPr>
                <w:rFonts w:hint="eastAsia" w:ascii="宋体" w:hAnsi="宋体" w:eastAsia="宋体" w:cs="宋体"/>
                <w:color w:val="auto"/>
                <w:sz w:val="21"/>
                <w:szCs w:val="21"/>
                <w:highlight w:val="none"/>
                <w:lang w:val="en-US" w:eastAsia="zh-CN"/>
              </w:rPr>
              <w:t>35</w:t>
            </w:r>
            <w:r>
              <w:rPr>
                <w:rFonts w:hint="eastAsia" w:ascii="宋体" w:hAnsi="宋体" w:eastAsia="宋体" w:cs="宋体"/>
                <w:color w:val="auto"/>
                <w:sz w:val="21"/>
                <w:szCs w:val="21"/>
                <w:highlight w:val="none"/>
              </w:rPr>
              <w:t>分）</w:t>
            </w:r>
          </w:p>
        </w:tc>
        <w:tc>
          <w:tcPr>
            <w:tcW w:w="6029" w:type="dxa"/>
            <w:noWrap w:val="0"/>
            <w:vAlign w:val="center"/>
          </w:tcPr>
          <w:p w14:paraId="6FA5088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ajorEastAsia" w:hAnsiTheme="majorEastAsia" w:eastAsiaTheme="majorEastAsia" w:cstheme="majorEastAsia"/>
                <w:color w:val="auto"/>
                <w:highlight w:val="none"/>
                <w:lang w:eastAsia="zh-CN"/>
              </w:rPr>
            </w:pPr>
            <w:r>
              <w:rPr>
                <w:rFonts w:hint="eastAsia" w:ascii="宋体" w:hAnsi="宋体" w:eastAsia="宋体" w:cs="宋体"/>
                <w:color w:val="auto"/>
                <w:sz w:val="21"/>
                <w:szCs w:val="21"/>
                <w:highlight w:val="none"/>
                <w:lang w:val="en-US" w:eastAsia="zh-CN"/>
              </w:rPr>
              <w:t>根据招标文件第四章投标文件格式中的</w:t>
            </w:r>
            <w:r>
              <w:rPr>
                <w:rFonts w:hint="eastAsia" w:asciiTheme="majorEastAsia" w:hAnsiTheme="majorEastAsia" w:eastAsiaTheme="majorEastAsia" w:cstheme="majorEastAsia"/>
                <w:color w:val="auto"/>
                <w:highlight w:val="none"/>
              </w:rPr>
              <w:t>技术规格偏离表参数响应情况进行评审</w:t>
            </w:r>
            <w:r>
              <w:rPr>
                <w:rFonts w:hint="eastAsia" w:asciiTheme="majorEastAsia" w:hAnsiTheme="majorEastAsia" w:eastAsiaTheme="majorEastAsia" w:cstheme="majorEastAsia"/>
                <w:color w:val="auto"/>
                <w:highlight w:val="none"/>
                <w:lang w:eastAsia="zh-CN"/>
              </w:rPr>
              <w:t>：</w:t>
            </w:r>
          </w:p>
          <w:p w14:paraId="5C7A8AE2">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（1）标注“★”参数为实质性参数，不允许负偏离。</w:t>
            </w:r>
          </w:p>
          <w:p w14:paraId="418A4FE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（2）完全满足招标文件中技术参数的，得35分。</w:t>
            </w:r>
          </w:p>
          <w:p w14:paraId="256F160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（3）重要参数(带▲参数)</w:t>
            </w:r>
          </w:p>
          <w:p w14:paraId="365FF0ED">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投标产品技术参数中带▲参数为重要参数，投标人每出现1条重要参数未响应或不满足要求的扣</w:t>
            </w:r>
            <w:r>
              <w:rPr>
                <w:rFonts w:hint="eastAsia" w:ascii="宋体" w:hAnsi="宋体" w:eastAsia="宋体" w:cs="宋体"/>
                <w:b/>
                <w:bCs/>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分，扣完为止。</w:t>
            </w:r>
          </w:p>
          <w:p w14:paraId="395A4A0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（4）一般参数(非带★、▲参数)</w:t>
            </w:r>
          </w:p>
          <w:p w14:paraId="3264EFF2">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投标产品技术参数中未带★、▲参数为一般参数，投标人每出现1条一般参数未响应或不满足要求的扣</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分，扣完为止。</w:t>
            </w:r>
          </w:p>
          <w:p w14:paraId="6402E2A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注:①复制招标文件技术参数作为实际响应参数或投标响应参数无对应支持材料的，其技术响应将按负偏离处理。</w:t>
            </w:r>
          </w:p>
          <w:p w14:paraId="75016330">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w:t>
            </w:r>
            <w:r>
              <w:rPr>
                <w:rFonts w:hint="eastAsia" w:ascii="宋体" w:hAnsi="宋体" w:eastAsia="宋体" w:cs="宋体"/>
                <w:color w:val="auto"/>
                <w:sz w:val="21"/>
                <w:szCs w:val="21"/>
                <w:highlight w:val="none"/>
                <w:lang w:eastAsia="zh-CN"/>
              </w:rPr>
              <w:t>投标文件中须提供技术支持资料证明技术参数偏离表应答（</w:t>
            </w:r>
            <w:r>
              <w:rPr>
                <w:rFonts w:hint="eastAsia" w:ascii="宋体" w:hAnsi="宋体" w:eastAsia="宋体" w:cs="宋体"/>
                <w:color w:val="auto"/>
                <w:sz w:val="21"/>
                <w:szCs w:val="21"/>
                <w:highlight w:val="none"/>
                <w:lang w:val="en-US" w:eastAsia="zh-CN"/>
              </w:rPr>
              <w:t>如</w:t>
            </w:r>
            <w:r>
              <w:rPr>
                <w:rFonts w:hint="eastAsia" w:ascii="宋体" w:hAnsi="宋体" w:eastAsia="宋体" w:cs="宋体"/>
                <w:color w:val="auto"/>
                <w:sz w:val="21"/>
                <w:szCs w:val="21"/>
                <w:highlight w:val="none"/>
                <w:lang w:eastAsia="zh-CN"/>
              </w:rPr>
              <w:t>印刷宣传彩页或性能参数说明或设备软件功能截图</w:t>
            </w:r>
            <w:r>
              <w:rPr>
                <w:rFonts w:hint="eastAsia" w:ascii="宋体" w:hAnsi="宋体" w:eastAsia="宋体" w:cs="宋体"/>
                <w:color w:val="auto"/>
                <w:sz w:val="21"/>
                <w:szCs w:val="21"/>
                <w:highlight w:val="none"/>
                <w:lang w:val="en-US" w:eastAsia="zh-CN"/>
              </w:rPr>
              <w:t>等</w:t>
            </w:r>
            <w:r>
              <w:rPr>
                <w:rFonts w:hint="eastAsia" w:ascii="宋体" w:hAnsi="宋体" w:eastAsia="宋体" w:cs="宋体"/>
                <w:color w:val="auto"/>
                <w:sz w:val="21"/>
                <w:szCs w:val="21"/>
                <w:highlight w:val="none"/>
                <w:lang w:eastAsia="zh-CN"/>
              </w:rPr>
              <w:t>证明材料复印件或扫描件）</w:t>
            </w:r>
            <w:r>
              <w:rPr>
                <w:rFonts w:hint="eastAsia" w:ascii="宋体" w:hAnsi="宋体" w:eastAsia="宋体" w:cs="宋体"/>
                <w:color w:val="auto"/>
                <w:sz w:val="21"/>
                <w:szCs w:val="21"/>
                <w:highlight w:val="none"/>
              </w:rPr>
              <w:t>。</w:t>
            </w:r>
          </w:p>
        </w:tc>
      </w:tr>
      <w:tr w14:paraId="059E2E2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44" w:hRule="atLeast"/>
          <w:jc w:val="center"/>
        </w:trPr>
        <w:tc>
          <w:tcPr>
            <w:tcW w:w="897" w:type="dxa"/>
            <w:vMerge w:val="continue"/>
            <w:noWrap w:val="0"/>
            <w:vAlign w:val="center"/>
          </w:tcPr>
          <w:p w14:paraId="2772726A">
            <w:pPr>
              <w:spacing w:line="360" w:lineRule="auto"/>
              <w:rPr>
                <w:rFonts w:hint="eastAsia" w:asciiTheme="majorEastAsia" w:hAnsiTheme="majorEastAsia" w:eastAsiaTheme="majorEastAsia" w:cstheme="majorEastAsia"/>
                <w:color w:val="auto"/>
                <w:szCs w:val="21"/>
                <w:highlight w:val="none"/>
              </w:rPr>
            </w:pPr>
          </w:p>
        </w:tc>
        <w:tc>
          <w:tcPr>
            <w:tcW w:w="928" w:type="dxa"/>
            <w:vMerge w:val="continue"/>
            <w:noWrap w:val="0"/>
            <w:vAlign w:val="center"/>
          </w:tcPr>
          <w:p w14:paraId="2DE34E1B">
            <w:pPr>
              <w:spacing w:line="360" w:lineRule="auto"/>
              <w:rPr>
                <w:rFonts w:hint="eastAsia" w:asciiTheme="majorEastAsia" w:hAnsiTheme="majorEastAsia" w:eastAsiaTheme="majorEastAsia" w:cstheme="majorEastAsia"/>
                <w:color w:val="auto"/>
                <w:szCs w:val="21"/>
                <w:highlight w:val="none"/>
              </w:rPr>
            </w:pPr>
          </w:p>
        </w:tc>
        <w:tc>
          <w:tcPr>
            <w:tcW w:w="2164" w:type="dxa"/>
            <w:noWrap w:val="0"/>
            <w:vAlign w:val="center"/>
          </w:tcPr>
          <w:p w14:paraId="324F91CC">
            <w:pPr>
              <w:spacing w:line="300" w:lineRule="exact"/>
              <w:jc w:val="center"/>
              <w:rPr>
                <w:rFonts w:hint="eastAsia" w:ascii="宋体" w:hAnsi="宋体" w:eastAsia="宋体" w:cs="宋体"/>
                <w:color w:val="FF0000"/>
                <w:kern w:val="2"/>
                <w:sz w:val="21"/>
                <w:szCs w:val="21"/>
                <w:highlight w:val="none"/>
                <w:lang w:val="zh-CN" w:eastAsia="zh-CN" w:bidi="ar-SA"/>
              </w:rPr>
            </w:pPr>
            <w:r>
              <w:rPr>
                <w:rFonts w:hint="eastAsia" w:ascii="宋体" w:hAnsi="宋体" w:eastAsia="宋体" w:cs="宋体"/>
                <w:color w:val="auto"/>
                <w:sz w:val="21"/>
                <w:szCs w:val="21"/>
                <w:highlight w:val="none"/>
              </w:rPr>
              <w:t>实施方案（</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c>
          <w:tcPr>
            <w:tcW w:w="6029" w:type="dxa"/>
            <w:noWrap w:val="0"/>
            <w:vAlign w:val="top"/>
          </w:tcPr>
          <w:p w14:paraId="26E3E91E">
            <w:pPr>
              <w:snapToGrid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根据投标人提供的实施方案进行评审及评分，方案应包括：</w:t>
            </w:r>
          </w:p>
          <w:p w14:paraId="01F86DB2">
            <w:pPr>
              <w:snapToGrid w:val="0"/>
              <w:spacing w:line="400" w:lineRule="exact"/>
              <w:rPr>
                <w:rFonts w:hint="eastAsia" w:ascii="宋体" w:hAnsi="宋体" w:eastAsia="宋体" w:cs="宋体"/>
                <w:color w:val="auto"/>
                <w:sz w:val="21"/>
                <w:szCs w:val="21"/>
                <w:highlight w:val="none"/>
                <w:lang w:val="en-US" w:eastAsia="zh-CN"/>
              </w:rPr>
            </w:pPr>
            <w:bookmarkStart w:id="349" w:name="_GoBack"/>
            <w:bookmarkEnd w:id="349"/>
            <w:r>
              <w:rPr>
                <w:rFonts w:hint="eastAsia" w:ascii="宋体" w:hAnsi="宋体" w:eastAsia="宋体" w:cs="宋体"/>
                <w:color w:val="auto"/>
                <w:sz w:val="21"/>
                <w:szCs w:val="21"/>
                <w:highlight w:val="none"/>
                <w:lang w:val="en-US" w:eastAsia="zh-CN"/>
              </w:rPr>
              <w:t>①供货计划安排；②设备安装。</w:t>
            </w:r>
          </w:p>
          <w:p w14:paraId="54201F8A">
            <w:pPr>
              <w:snapToGrid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每缺1项扣5分；</w:t>
            </w:r>
          </w:p>
          <w:p w14:paraId="5AE4517B">
            <w:pPr>
              <w:snapToGrid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每有1处</w:t>
            </w:r>
            <w:r>
              <w:rPr>
                <w:rFonts w:hint="eastAsia" w:ascii="宋体" w:hAnsi="宋体" w:eastAsia="宋体" w:cs="宋体"/>
                <w:color w:val="auto"/>
                <w:sz w:val="21"/>
                <w:szCs w:val="21"/>
                <w:highlight w:val="none"/>
              </w:rPr>
              <w:t>缺乏针对性、完整性、合理性</w:t>
            </w:r>
            <w:r>
              <w:rPr>
                <w:rFonts w:hint="eastAsia" w:ascii="宋体" w:hAnsi="宋体" w:eastAsia="宋体" w:cs="宋体"/>
                <w:color w:val="auto"/>
                <w:sz w:val="21"/>
                <w:szCs w:val="21"/>
                <w:highlight w:val="none"/>
                <w:lang w:val="en-US" w:eastAsia="zh-CN"/>
              </w:rPr>
              <w:t>的扣1分。</w:t>
            </w:r>
          </w:p>
          <w:p w14:paraId="2C92A0C7">
            <w:pPr>
              <w:snapToGrid w:val="0"/>
              <w:spacing w:line="400" w:lineRule="exact"/>
              <w:rPr>
                <w:rFonts w:hint="eastAsia" w:ascii="宋体" w:hAnsi="宋体" w:eastAsia="宋体" w:cs="宋体"/>
                <w:color w:val="auto"/>
                <w:sz w:val="21"/>
                <w:szCs w:val="21"/>
                <w:highlight w:val="none"/>
                <w:lang w:val="zh-CN" w:eastAsia="zh-CN"/>
              </w:rPr>
            </w:pPr>
            <w:r>
              <w:rPr>
                <w:rFonts w:hint="eastAsia" w:ascii="宋体" w:hAnsi="宋体" w:eastAsia="宋体" w:cs="宋体"/>
                <w:b/>
                <w:bCs/>
                <w:color w:val="auto"/>
                <w:sz w:val="21"/>
                <w:szCs w:val="21"/>
                <w:highlight w:val="none"/>
              </w:rPr>
              <w:t>注：</w:t>
            </w:r>
            <w:r>
              <w:rPr>
                <w:rFonts w:hint="eastAsia" w:ascii="宋体" w:hAnsi="宋体" w:eastAsia="宋体" w:cs="宋体"/>
                <w:color w:val="auto"/>
                <w:sz w:val="21"/>
                <w:szCs w:val="21"/>
                <w:highlight w:val="none"/>
              </w:rPr>
              <w:t>缺乏针对性、完整性、合理性是指：相关方案及措施内容生搬硬套，阐述存在逻辑错误，前后矛盾、关键节点缺失；涉及内容无重点，未能体现出本项目的特点或与实际需求不完全相符；语言错误或存在歧义，政策、规范标准与本项目要求不一致；对相关内容没有详细说明，内容有缺漏；内容过于简略或与本项目无关联等任意一项类似情形。</w:t>
            </w:r>
          </w:p>
        </w:tc>
      </w:tr>
      <w:tr w14:paraId="18E3BF8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444" w:hRule="atLeast"/>
          <w:jc w:val="center"/>
        </w:trPr>
        <w:tc>
          <w:tcPr>
            <w:tcW w:w="897" w:type="dxa"/>
            <w:vMerge w:val="continue"/>
            <w:noWrap w:val="0"/>
            <w:vAlign w:val="center"/>
          </w:tcPr>
          <w:p w14:paraId="1715DE28">
            <w:pPr>
              <w:spacing w:line="360" w:lineRule="auto"/>
              <w:rPr>
                <w:rFonts w:hint="eastAsia" w:asciiTheme="majorEastAsia" w:hAnsiTheme="majorEastAsia" w:eastAsiaTheme="majorEastAsia" w:cstheme="majorEastAsia"/>
                <w:color w:val="auto"/>
                <w:szCs w:val="21"/>
                <w:highlight w:val="none"/>
              </w:rPr>
            </w:pPr>
          </w:p>
        </w:tc>
        <w:tc>
          <w:tcPr>
            <w:tcW w:w="928" w:type="dxa"/>
            <w:vMerge w:val="continue"/>
            <w:noWrap w:val="0"/>
            <w:vAlign w:val="center"/>
          </w:tcPr>
          <w:p w14:paraId="62398328">
            <w:pPr>
              <w:spacing w:line="360" w:lineRule="auto"/>
              <w:rPr>
                <w:rFonts w:hint="eastAsia" w:asciiTheme="majorEastAsia" w:hAnsiTheme="majorEastAsia" w:eastAsiaTheme="majorEastAsia" w:cstheme="majorEastAsia"/>
                <w:color w:val="auto"/>
                <w:szCs w:val="21"/>
                <w:highlight w:val="none"/>
              </w:rPr>
            </w:pPr>
          </w:p>
        </w:tc>
        <w:tc>
          <w:tcPr>
            <w:tcW w:w="2164" w:type="dxa"/>
            <w:noWrap w:val="0"/>
            <w:vAlign w:val="center"/>
          </w:tcPr>
          <w:p w14:paraId="30540E9A">
            <w:pPr>
              <w:spacing w:line="300" w:lineRule="exact"/>
              <w:jc w:val="center"/>
              <w:rPr>
                <w:rFonts w:hint="eastAsia" w:ascii="宋体" w:hAnsi="宋体" w:eastAsia="宋体" w:cs="宋体"/>
                <w:color w:val="FF0000"/>
                <w:sz w:val="21"/>
                <w:szCs w:val="21"/>
                <w:highlight w:val="none"/>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售后服务方案</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6029" w:type="dxa"/>
            <w:noWrap w:val="0"/>
            <w:vAlign w:val="top"/>
          </w:tcPr>
          <w:p w14:paraId="59684018">
            <w:pPr>
              <w:snapToGrid w:val="0"/>
              <w:spacing w:line="400" w:lineRule="exact"/>
              <w:rPr>
                <w:rFonts w:hint="eastAsia" w:ascii="宋体" w:hAnsi="宋体" w:eastAsia="宋体" w:cs="宋体"/>
                <w:color w:val="auto"/>
                <w:kern w:val="1"/>
                <w:sz w:val="21"/>
                <w:szCs w:val="21"/>
                <w:highlight w:val="none"/>
                <w:lang w:val="en-US" w:eastAsia="zh-CN" w:bidi="ar-SA"/>
              </w:rPr>
            </w:pPr>
            <w:r>
              <w:rPr>
                <w:rFonts w:hint="eastAsia" w:ascii="宋体" w:hAnsi="宋体" w:eastAsia="宋体" w:cs="宋体"/>
                <w:color w:val="auto"/>
                <w:kern w:val="1"/>
                <w:sz w:val="21"/>
                <w:szCs w:val="21"/>
                <w:highlight w:val="none"/>
                <w:lang w:val="en-US" w:eastAsia="zh-CN" w:bidi="ar-SA"/>
              </w:rPr>
              <w:t>根据投标人提供的售后服务方案进行评审及评分，方案应包括：</w:t>
            </w:r>
          </w:p>
          <w:p w14:paraId="32FA6192">
            <w:pPr>
              <w:snapToGrid w:val="0"/>
              <w:spacing w:line="400" w:lineRule="exact"/>
              <w:rPr>
                <w:rFonts w:hint="eastAsia" w:ascii="宋体" w:hAnsi="宋体" w:eastAsia="宋体" w:cs="宋体"/>
                <w:color w:val="auto"/>
                <w:kern w:val="1"/>
                <w:sz w:val="21"/>
                <w:szCs w:val="21"/>
                <w:highlight w:val="none"/>
                <w:lang w:val="en-US" w:eastAsia="zh-CN" w:bidi="ar-SA"/>
              </w:rPr>
            </w:pPr>
            <w:r>
              <w:rPr>
                <w:rFonts w:hint="eastAsia" w:ascii="宋体" w:hAnsi="宋体" w:eastAsia="宋体" w:cs="宋体"/>
                <w:color w:val="auto"/>
                <w:kern w:val="1"/>
                <w:sz w:val="21"/>
                <w:szCs w:val="21"/>
                <w:highlight w:val="none"/>
                <w:lang w:val="en-US" w:eastAsia="zh-CN" w:bidi="ar-SA"/>
              </w:rPr>
              <w:t>①售后服务能力及服务保障措施；②培训计划及课程安排；③应急预案及响应时间；④应急保障能力及措施。</w:t>
            </w:r>
          </w:p>
          <w:p w14:paraId="344F04AB">
            <w:pPr>
              <w:snapToGrid w:val="0"/>
              <w:spacing w:line="400" w:lineRule="exact"/>
              <w:rPr>
                <w:rFonts w:hint="eastAsia" w:ascii="宋体" w:hAnsi="宋体" w:eastAsia="宋体" w:cs="宋体"/>
                <w:color w:val="auto"/>
                <w:kern w:val="1"/>
                <w:sz w:val="21"/>
                <w:szCs w:val="21"/>
                <w:highlight w:val="none"/>
                <w:lang w:val="en-US" w:eastAsia="zh-CN" w:bidi="ar-SA"/>
              </w:rPr>
            </w:pPr>
            <w:r>
              <w:rPr>
                <w:rFonts w:hint="eastAsia" w:ascii="宋体" w:hAnsi="宋体" w:eastAsia="宋体" w:cs="宋体"/>
                <w:color w:val="auto"/>
                <w:kern w:val="1"/>
                <w:sz w:val="21"/>
                <w:szCs w:val="21"/>
                <w:highlight w:val="none"/>
                <w:lang w:val="en-US" w:eastAsia="zh-CN" w:bidi="ar-SA"/>
              </w:rPr>
              <w:t>每缺1项扣2分；</w:t>
            </w:r>
          </w:p>
          <w:p w14:paraId="2F47825B">
            <w:pPr>
              <w:snapToGrid w:val="0"/>
              <w:spacing w:line="400" w:lineRule="exact"/>
              <w:rPr>
                <w:rFonts w:hint="eastAsia" w:ascii="宋体" w:hAnsi="宋体" w:eastAsia="宋体" w:cs="宋体"/>
                <w:color w:val="auto"/>
                <w:kern w:val="1"/>
                <w:sz w:val="21"/>
                <w:szCs w:val="21"/>
                <w:highlight w:val="none"/>
                <w:lang w:val="en-US" w:eastAsia="zh-CN" w:bidi="ar-SA"/>
              </w:rPr>
            </w:pPr>
            <w:r>
              <w:rPr>
                <w:rFonts w:hint="eastAsia" w:ascii="宋体" w:hAnsi="宋体" w:eastAsia="宋体" w:cs="宋体"/>
                <w:color w:val="auto"/>
                <w:sz w:val="21"/>
                <w:szCs w:val="21"/>
                <w:highlight w:val="none"/>
                <w:lang w:val="en-US" w:eastAsia="zh-CN"/>
              </w:rPr>
              <w:t>每有1处</w:t>
            </w:r>
            <w:r>
              <w:rPr>
                <w:rFonts w:hint="eastAsia" w:ascii="宋体" w:hAnsi="宋体" w:eastAsia="宋体" w:cs="宋体"/>
                <w:color w:val="auto"/>
                <w:sz w:val="21"/>
                <w:szCs w:val="21"/>
                <w:highlight w:val="none"/>
              </w:rPr>
              <w:t>缺乏针对性、完整性、合理性</w:t>
            </w:r>
            <w:r>
              <w:rPr>
                <w:rFonts w:hint="eastAsia" w:ascii="宋体" w:hAnsi="宋体" w:eastAsia="宋体" w:cs="宋体"/>
                <w:color w:val="auto"/>
                <w:kern w:val="1"/>
                <w:sz w:val="21"/>
                <w:szCs w:val="21"/>
                <w:highlight w:val="none"/>
                <w:lang w:val="en-US" w:eastAsia="zh-CN" w:bidi="ar-SA"/>
              </w:rPr>
              <w:t>的扣0.5分。</w:t>
            </w:r>
          </w:p>
          <w:p w14:paraId="42F2A639">
            <w:pPr>
              <w:snapToGrid w:val="0"/>
              <w:spacing w:line="400" w:lineRule="exact"/>
              <w:rPr>
                <w:rFonts w:hint="eastAsia" w:ascii="宋体" w:hAnsi="宋体" w:eastAsia="宋体" w:cs="宋体"/>
                <w:color w:val="auto"/>
                <w:kern w:val="1"/>
                <w:sz w:val="21"/>
                <w:szCs w:val="21"/>
                <w:highlight w:val="none"/>
                <w:lang w:val="en-US" w:eastAsia="zh-CN" w:bidi="ar-SA"/>
              </w:rPr>
            </w:pPr>
            <w:r>
              <w:rPr>
                <w:rFonts w:hint="eastAsia" w:ascii="宋体" w:hAnsi="宋体" w:eastAsia="宋体" w:cs="宋体"/>
                <w:b/>
                <w:bCs/>
                <w:color w:val="auto"/>
                <w:sz w:val="21"/>
                <w:szCs w:val="21"/>
                <w:highlight w:val="none"/>
              </w:rPr>
              <w:t>注：</w:t>
            </w:r>
            <w:r>
              <w:rPr>
                <w:rFonts w:hint="eastAsia" w:ascii="宋体" w:hAnsi="宋体" w:eastAsia="宋体" w:cs="宋体"/>
                <w:color w:val="auto"/>
                <w:sz w:val="21"/>
                <w:szCs w:val="21"/>
                <w:highlight w:val="none"/>
              </w:rPr>
              <w:t>缺乏针对性、完整性、合理性是指：相关方案及措施内容生搬硬套，阐述存在逻辑错误，前后矛盾、关键节点缺失；涉及内容无重点，未能体现出本项目的特点或与实际需求不完全相符；语言错误或存在歧义，政策、规范标准与本项目要求不一致；对相关内容没有详细说明，内容有缺漏；内容过于简略或与本项目无关联等任意一项类似情形。</w:t>
            </w:r>
          </w:p>
        </w:tc>
      </w:tr>
      <w:tr w14:paraId="7D7BC8A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24" w:hRule="atLeast"/>
          <w:jc w:val="center"/>
        </w:trPr>
        <w:tc>
          <w:tcPr>
            <w:tcW w:w="897" w:type="dxa"/>
            <w:vMerge w:val="continue"/>
            <w:noWrap w:val="0"/>
            <w:vAlign w:val="center"/>
          </w:tcPr>
          <w:p w14:paraId="47982030">
            <w:pPr>
              <w:spacing w:line="360" w:lineRule="auto"/>
              <w:rPr>
                <w:rFonts w:hint="eastAsia" w:asciiTheme="majorEastAsia" w:hAnsiTheme="majorEastAsia" w:eastAsiaTheme="majorEastAsia" w:cstheme="majorEastAsia"/>
                <w:color w:val="auto"/>
                <w:szCs w:val="21"/>
                <w:highlight w:val="none"/>
              </w:rPr>
            </w:pPr>
          </w:p>
        </w:tc>
        <w:tc>
          <w:tcPr>
            <w:tcW w:w="928" w:type="dxa"/>
            <w:vMerge w:val="continue"/>
            <w:noWrap w:val="0"/>
            <w:vAlign w:val="center"/>
          </w:tcPr>
          <w:p w14:paraId="0F7BFB8F">
            <w:pPr>
              <w:spacing w:line="360" w:lineRule="auto"/>
              <w:rPr>
                <w:rFonts w:hint="eastAsia" w:asciiTheme="majorEastAsia" w:hAnsiTheme="majorEastAsia" w:eastAsiaTheme="majorEastAsia" w:cstheme="majorEastAsia"/>
                <w:color w:val="auto"/>
                <w:szCs w:val="21"/>
                <w:highlight w:val="none"/>
              </w:rPr>
            </w:pPr>
          </w:p>
        </w:tc>
        <w:tc>
          <w:tcPr>
            <w:tcW w:w="2164" w:type="dxa"/>
            <w:noWrap w:val="0"/>
            <w:vAlign w:val="center"/>
          </w:tcPr>
          <w:p w14:paraId="7E88C840">
            <w:pPr>
              <w:spacing w:line="300" w:lineRule="exact"/>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质量承诺及保证措施（</w:t>
            </w: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6029" w:type="dxa"/>
            <w:noWrap w:val="0"/>
            <w:vAlign w:val="top"/>
          </w:tcPr>
          <w:p w14:paraId="213F1813">
            <w:pPr>
              <w:spacing w:line="360" w:lineRule="exact"/>
              <w:rPr>
                <w:rFonts w:hint="eastAsia" w:ascii="宋体" w:hAnsi="宋体" w:eastAsia="宋体" w:cs="宋体"/>
                <w:color w:val="auto"/>
                <w:kern w:val="1"/>
                <w:sz w:val="21"/>
                <w:szCs w:val="21"/>
                <w:highlight w:val="none"/>
                <w:lang w:val="en-US" w:eastAsia="zh-CN"/>
              </w:rPr>
            </w:pPr>
            <w:r>
              <w:rPr>
                <w:rFonts w:hint="eastAsia" w:ascii="宋体" w:hAnsi="宋体" w:eastAsia="宋体" w:cs="宋体"/>
                <w:color w:val="auto"/>
                <w:kern w:val="1"/>
                <w:sz w:val="21"/>
                <w:szCs w:val="21"/>
                <w:highlight w:val="none"/>
                <w:lang w:val="en-US" w:eastAsia="zh-CN"/>
              </w:rPr>
              <w:t>根据投标人提供的质量承诺及保证措施进行评审及评分，应包括：</w:t>
            </w:r>
          </w:p>
          <w:p w14:paraId="0006B3A9">
            <w:pPr>
              <w:spacing w:line="360" w:lineRule="exact"/>
              <w:rPr>
                <w:rFonts w:hint="eastAsia" w:ascii="宋体" w:hAnsi="宋体" w:eastAsia="宋体" w:cs="宋体"/>
                <w:color w:val="auto"/>
                <w:kern w:val="1"/>
                <w:sz w:val="21"/>
                <w:szCs w:val="21"/>
                <w:highlight w:val="none"/>
              </w:rPr>
            </w:pPr>
            <w:r>
              <w:rPr>
                <w:rFonts w:hint="eastAsia" w:ascii="宋体" w:hAnsi="宋体" w:eastAsia="宋体" w:cs="宋体"/>
                <w:color w:val="auto"/>
                <w:kern w:val="1"/>
                <w:sz w:val="21"/>
                <w:szCs w:val="21"/>
                <w:highlight w:val="none"/>
                <w:lang w:val="en-US" w:eastAsia="zh-CN"/>
              </w:rPr>
              <w:t>①质量保证措施；②质量保证方案；③奖惩措施；④应急措施。</w:t>
            </w:r>
          </w:p>
          <w:p w14:paraId="4C64B19A">
            <w:pPr>
              <w:spacing w:line="360" w:lineRule="exact"/>
              <w:rPr>
                <w:rFonts w:hint="eastAsia" w:ascii="宋体" w:hAnsi="宋体" w:eastAsia="宋体" w:cs="宋体"/>
                <w:color w:val="auto"/>
                <w:kern w:val="1"/>
                <w:sz w:val="21"/>
                <w:szCs w:val="21"/>
                <w:highlight w:val="none"/>
                <w:lang w:val="en-US" w:eastAsia="zh-CN"/>
              </w:rPr>
            </w:pPr>
            <w:r>
              <w:rPr>
                <w:rFonts w:hint="eastAsia" w:ascii="宋体" w:hAnsi="宋体" w:eastAsia="宋体" w:cs="宋体"/>
                <w:color w:val="auto"/>
                <w:kern w:val="1"/>
                <w:sz w:val="21"/>
                <w:szCs w:val="21"/>
                <w:highlight w:val="none"/>
                <w:lang w:val="en-US" w:eastAsia="zh-CN"/>
              </w:rPr>
              <w:t>每缺1项扣2分；</w:t>
            </w:r>
          </w:p>
          <w:p w14:paraId="3BECA040">
            <w:pPr>
              <w:spacing w:line="360" w:lineRule="exact"/>
              <w:rPr>
                <w:rFonts w:hint="eastAsia" w:ascii="宋体" w:hAnsi="宋体" w:eastAsia="宋体" w:cs="宋体"/>
                <w:color w:val="auto"/>
                <w:kern w:val="1"/>
                <w:sz w:val="21"/>
                <w:szCs w:val="21"/>
                <w:highlight w:val="none"/>
              </w:rPr>
            </w:pPr>
            <w:r>
              <w:rPr>
                <w:rFonts w:hint="eastAsia" w:ascii="宋体" w:hAnsi="宋体" w:eastAsia="宋体" w:cs="宋体"/>
                <w:color w:val="auto"/>
                <w:sz w:val="21"/>
                <w:szCs w:val="21"/>
                <w:highlight w:val="none"/>
                <w:lang w:val="en-US" w:eastAsia="zh-CN"/>
              </w:rPr>
              <w:t>每有1处</w:t>
            </w:r>
            <w:r>
              <w:rPr>
                <w:rFonts w:hint="eastAsia" w:ascii="宋体" w:hAnsi="宋体" w:eastAsia="宋体" w:cs="宋体"/>
                <w:color w:val="auto"/>
                <w:sz w:val="21"/>
                <w:szCs w:val="21"/>
                <w:highlight w:val="none"/>
              </w:rPr>
              <w:t>缺乏针对性、完整性、合理性</w:t>
            </w:r>
            <w:r>
              <w:rPr>
                <w:rFonts w:hint="eastAsia" w:ascii="宋体" w:hAnsi="宋体" w:eastAsia="宋体" w:cs="宋体"/>
                <w:color w:val="auto"/>
                <w:kern w:val="1"/>
                <w:sz w:val="21"/>
                <w:szCs w:val="21"/>
                <w:highlight w:val="none"/>
                <w:lang w:val="en-US" w:eastAsia="zh-CN"/>
              </w:rPr>
              <w:t>的扣0.5分。</w:t>
            </w:r>
          </w:p>
          <w:p w14:paraId="34F3BFBB">
            <w:pPr>
              <w:spacing w:line="360" w:lineRule="exact"/>
              <w:rPr>
                <w:rFonts w:hint="eastAsia" w:ascii="宋体" w:hAnsi="宋体" w:eastAsia="宋体" w:cs="宋体"/>
                <w:color w:val="auto"/>
                <w:kern w:val="1"/>
                <w:sz w:val="21"/>
                <w:szCs w:val="21"/>
                <w:highlight w:val="none"/>
                <w:lang w:val="en-US" w:eastAsia="zh-CN"/>
              </w:rPr>
            </w:pPr>
            <w:r>
              <w:rPr>
                <w:rFonts w:hint="eastAsia" w:ascii="宋体" w:hAnsi="宋体" w:eastAsia="宋体" w:cs="宋体"/>
                <w:b/>
                <w:bCs/>
                <w:color w:val="auto"/>
                <w:sz w:val="21"/>
                <w:szCs w:val="21"/>
                <w:highlight w:val="none"/>
              </w:rPr>
              <w:t>注：</w:t>
            </w:r>
            <w:r>
              <w:rPr>
                <w:rFonts w:hint="eastAsia" w:ascii="宋体" w:hAnsi="宋体" w:eastAsia="宋体" w:cs="宋体"/>
                <w:color w:val="auto"/>
                <w:sz w:val="21"/>
                <w:szCs w:val="21"/>
                <w:highlight w:val="none"/>
              </w:rPr>
              <w:t>缺乏针对性、完整性、合理性是指：相关方案及措施内容生搬硬套，阐述存在逻辑错误，前后矛盾、关键节点缺失；涉及内容无重点，未能体现出本项目的特点或与实际需求不完全相符；语言错误或存在歧义，政策、规范标准与本项目要求不一致；对相关内容没有详细说明，内容有缺漏；内容过于简略或与本项目无关联等任意一项类似情形。</w:t>
            </w:r>
          </w:p>
        </w:tc>
      </w:tr>
      <w:tr w14:paraId="085AD62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88" w:hRule="atLeast"/>
          <w:jc w:val="center"/>
        </w:trPr>
        <w:tc>
          <w:tcPr>
            <w:tcW w:w="897" w:type="dxa"/>
            <w:vMerge w:val="continue"/>
            <w:noWrap w:val="0"/>
            <w:vAlign w:val="center"/>
          </w:tcPr>
          <w:p w14:paraId="4DFC516C">
            <w:pPr>
              <w:spacing w:line="360" w:lineRule="auto"/>
              <w:rPr>
                <w:rFonts w:hint="eastAsia" w:asciiTheme="majorEastAsia" w:hAnsiTheme="majorEastAsia" w:eastAsiaTheme="majorEastAsia" w:cstheme="majorEastAsia"/>
                <w:color w:val="auto"/>
                <w:szCs w:val="21"/>
                <w:highlight w:val="none"/>
              </w:rPr>
            </w:pPr>
          </w:p>
        </w:tc>
        <w:tc>
          <w:tcPr>
            <w:tcW w:w="928" w:type="dxa"/>
            <w:vMerge w:val="continue"/>
            <w:noWrap w:val="0"/>
            <w:vAlign w:val="center"/>
          </w:tcPr>
          <w:p w14:paraId="546673BF">
            <w:pPr>
              <w:spacing w:line="360" w:lineRule="auto"/>
              <w:rPr>
                <w:rFonts w:hint="eastAsia" w:asciiTheme="majorEastAsia" w:hAnsiTheme="majorEastAsia" w:eastAsiaTheme="majorEastAsia" w:cstheme="majorEastAsia"/>
                <w:color w:val="auto"/>
                <w:szCs w:val="21"/>
                <w:highlight w:val="none"/>
              </w:rPr>
            </w:pPr>
          </w:p>
        </w:tc>
        <w:tc>
          <w:tcPr>
            <w:tcW w:w="2164" w:type="dxa"/>
            <w:noWrap w:val="0"/>
            <w:vAlign w:val="center"/>
          </w:tcPr>
          <w:p w14:paraId="1526464C">
            <w:pPr>
              <w:spacing w:line="300" w:lineRule="exact"/>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质保期</w:t>
            </w:r>
            <w:r>
              <w:rPr>
                <w:rFonts w:hint="eastAsia" w:ascii="宋体" w:hAnsi="宋体" w:eastAsia="宋体" w:cs="宋体"/>
                <w:color w:val="000000" w:themeColor="text1"/>
                <w:sz w:val="21"/>
                <w:szCs w:val="21"/>
                <w:highlight w:val="none"/>
                <w:lang w:val="en-US" w:eastAsia="zh-CN"/>
                <w14:textFill>
                  <w14:solidFill>
                    <w14:schemeClr w14:val="tx1"/>
                  </w14:solidFill>
                </w14:textFill>
              </w:rPr>
              <w:t>承诺</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6029" w:type="dxa"/>
            <w:noWrap w:val="0"/>
            <w:vAlign w:val="center"/>
          </w:tcPr>
          <w:p w14:paraId="1D63FBD7">
            <w:pPr>
              <w:spacing w:line="30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承诺所有设备原厂质保期为满足招标文件要求的最低年限的得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 承诺所有设备原厂质保期在最低年限要求基础上每增加一年的加</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分，加到满分为止。</w:t>
            </w:r>
          </w:p>
        </w:tc>
      </w:tr>
      <w:tr w14:paraId="19D389C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96" w:hRule="atLeast"/>
          <w:jc w:val="center"/>
        </w:trPr>
        <w:tc>
          <w:tcPr>
            <w:tcW w:w="897" w:type="dxa"/>
            <w:vMerge w:val="continue"/>
            <w:noWrap w:val="0"/>
            <w:vAlign w:val="center"/>
          </w:tcPr>
          <w:p w14:paraId="652B5B30">
            <w:pPr>
              <w:spacing w:line="360" w:lineRule="auto"/>
              <w:rPr>
                <w:rFonts w:hint="eastAsia" w:asciiTheme="majorEastAsia" w:hAnsiTheme="majorEastAsia" w:eastAsiaTheme="majorEastAsia" w:cstheme="majorEastAsia"/>
                <w:color w:val="auto"/>
                <w:szCs w:val="21"/>
                <w:highlight w:val="none"/>
              </w:rPr>
            </w:pPr>
          </w:p>
        </w:tc>
        <w:tc>
          <w:tcPr>
            <w:tcW w:w="928" w:type="dxa"/>
            <w:vMerge w:val="continue"/>
            <w:noWrap w:val="0"/>
            <w:vAlign w:val="center"/>
          </w:tcPr>
          <w:p w14:paraId="3ACEFBC5">
            <w:pPr>
              <w:spacing w:line="360" w:lineRule="auto"/>
              <w:rPr>
                <w:rFonts w:hint="eastAsia" w:asciiTheme="majorEastAsia" w:hAnsiTheme="majorEastAsia" w:eastAsiaTheme="majorEastAsia" w:cstheme="majorEastAsia"/>
                <w:color w:val="auto"/>
                <w:szCs w:val="21"/>
                <w:highlight w:val="none"/>
              </w:rPr>
            </w:pPr>
          </w:p>
        </w:tc>
        <w:tc>
          <w:tcPr>
            <w:tcW w:w="2164" w:type="dxa"/>
            <w:noWrap w:val="0"/>
            <w:vAlign w:val="center"/>
          </w:tcPr>
          <w:p w14:paraId="6398B9E5">
            <w:pPr>
              <w:spacing w:after="0" w:line="300" w:lineRule="exact"/>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类似业绩</w:t>
            </w:r>
          </w:p>
          <w:p w14:paraId="17C84836">
            <w:pPr>
              <w:spacing w:after="0"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（4分）</w:t>
            </w:r>
          </w:p>
        </w:tc>
        <w:tc>
          <w:tcPr>
            <w:tcW w:w="6029" w:type="dxa"/>
            <w:noWrap w:val="0"/>
            <w:vAlign w:val="center"/>
          </w:tcPr>
          <w:p w14:paraId="0123B859">
            <w:pPr>
              <w:spacing w:after="0"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投标人近三年（202</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年1月1日至今）每承担过1项类似项目业绩的得1分，满分</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p w14:paraId="58A0EABC">
            <w:pPr>
              <w:spacing w:after="0" w:line="320" w:lineRule="exact"/>
              <w:rPr>
                <w:rFonts w:hint="eastAsia" w:ascii="宋体" w:hAnsi="宋体" w:eastAsia="宋体" w:cs="宋体"/>
                <w:color w:val="auto"/>
                <w:kern w:val="1"/>
                <w:sz w:val="21"/>
                <w:szCs w:val="21"/>
                <w:highlight w:val="none"/>
              </w:rPr>
            </w:pPr>
            <w:r>
              <w:rPr>
                <w:rFonts w:hint="eastAsia" w:ascii="宋体" w:hAnsi="宋体" w:eastAsia="宋体" w:cs="宋体"/>
                <w:sz w:val="21"/>
                <w:szCs w:val="21"/>
                <w:highlight w:val="none"/>
              </w:rPr>
              <w:t>注：业绩证明材料的落款时间须为202</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年1月1日之后，业绩证明材料应为有效合同或中标（成交）通知书扫描件。</w:t>
            </w:r>
          </w:p>
        </w:tc>
      </w:tr>
    </w:tbl>
    <w:p w14:paraId="1E724EA7">
      <w:pPr>
        <w:jc w:val="center"/>
        <w:rPr>
          <w:rFonts w:hint="eastAsia" w:asciiTheme="majorEastAsia" w:hAnsiTheme="majorEastAsia" w:eastAsiaTheme="majorEastAsia" w:cstheme="majorEastAsia"/>
          <w:b/>
          <w:bCs/>
          <w:color w:val="auto"/>
          <w:sz w:val="40"/>
          <w:szCs w:val="44"/>
          <w:highlight w:val="none"/>
        </w:rPr>
      </w:pPr>
    </w:p>
    <w:p w14:paraId="4E9B7213">
      <w:pPr>
        <w:jc w:val="center"/>
        <w:rPr>
          <w:rFonts w:hint="eastAsia" w:asciiTheme="majorEastAsia" w:hAnsiTheme="majorEastAsia" w:eastAsiaTheme="majorEastAsia" w:cstheme="majorEastAsia"/>
          <w:b/>
          <w:bCs/>
          <w:color w:val="auto"/>
          <w:sz w:val="40"/>
          <w:szCs w:val="44"/>
          <w:highlight w:val="none"/>
        </w:rPr>
      </w:pPr>
    </w:p>
    <w:p w14:paraId="3402D541">
      <w:pPr>
        <w:rPr>
          <w:rFonts w:hint="eastAsia" w:asciiTheme="majorEastAsia" w:hAnsiTheme="majorEastAsia" w:eastAsiaTheme="majorEastAsia" w:cstheme="majorEastAsia"/>
          <w:b/>
          <w:bCs/>
          <w:color w:val="auto"/>
          <w:sz w:val="40"/>
          <w:szCs w:val="44"/>
          <w:highlight w:val="none"/>
        </w:rPr>
      </w:pPr>
      <w:r>
        <w:rPr>
          <w:rFonts w:hint="eastAsia" w:asciiTheme="majorEastAsia" w:hAnsiTheme="majorEastAsia" w:eastAsiaTheme="majorEastAsia" w:cstheme="majorEastAsia"/>
          <w:b/>
          <w:bCs/>
          <w:color w:val="auto"/>
          <w:sz w:val="40"/>
          <w:szCs w:val="44"/>
          <w:highlight w:val="none"/>
        </w:rPr>
        <w:br w:type="page"/>
      </w:r>
    </w:p>
    <w:p w14:paraId="2BE75645">
      <w:pPr>
        <w:jc w:val="center"/>
        <w:rPr>
          <w:rFonts w:hint="eastAsia" w:asciiTheme="majorEastAsia" w:hAnsiTheme="majorEastAsia" w:eastAsiaTheme="majorEastAsia" w:cstheme="majorEastAsia"/>
          <w:b/>
          <w:color w:val="auto"/>
          <w:sz w:val="44"/>
          <w:szCs w:val="44"/>
          <w:highlight w:val="none"/>
        </w:rPr>
      </w:pPr>
      <w:r>
        <w:rPr>
          <w:rFonts w:hint="eastAsia" w:asciiTheme="majorEastAsia" w:hAnsiTheme="majorEastAsia" w:eastAsiaTheme="majorEastAsia" w:cstheme="majorEastAsia"/>
          <w:b/>
          <w:bCs/>
          <w:color w:val="auto"/>
          <w:sz w:val="40"/>
          <w:szCs w:val="44"/>
          <w:highlight w:val="none"/>
        </w:rPr>
        <w:t>评标程序及评标办法</w:t>
      </w:r>
    </w:p>
    <w:p w14:paraId="2DA3B024">
      <w:pPr>
        <w:spacing w:line="360" w:lineRule="auto"/>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1.总则</w:t>
      </w:r>
    </w:p>
    <w:p w14:paraId="3F183137">
      <w:pPr>
        <w:pStyle w:val="13"/>
        <w:spacing w:line="360" w:lineRule="auto"/>
        <w:ind w:firstLine="424" w:firstLineChars="202"/>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根据《中华人民共和国政府采购法》《中华人民共和国政府采购法实施条例》《政府采购货物和服务招投标管理办法》（财政部令第87号）等有关</w:t>
      </w:r>
      <w:r>
        <w:rPr>
          <w:rFonts w:hint="eastAsia" w:asciiTheme="majorEastAsia" w:hAnsiTheme="majorEastAsia" w:eastAsiaTheme="majorEastAsia" w:cstheme="majorEastAsia"/>
          <w:color w:val="auto"/>
          <w:sz w:val="21"/>
          <w:szCs w:val="21"/>
          <w:highlight w:val="none"/>
          <w:lang w:eastAsia="zh-CN"/>
        </w:rPr>
        <w:t>法律法规</w:t>
      </w:r>
      <w:r>
        <w:rPr>
          <w:rFonts w:hint="eastAsia" w:asciiTheme="majorEastAsia" w:hAnsiTheme="majorEastAsia" w:eastAsiaTheme="majorEastAsia" w:cstheme="majorEastAsia"/>
          <w:color w:val="auto"/>
          <w:sz w:val="21"/>
          <w:szCs w:val="21"/>
          <w:highlight w:val="none"/>
        </w:rPr>
        <w:t>和规章的规定，制定本办法。</w:t>
      </w:r>
    </w:p>
    <w:p w14:paraId="5F5A583B">
      <w:pPr>
        <w:spacing w:line="360" w:lineRule="auto"/>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2.评审机构</w:t>
      </w:r>
    </w:p>
    <w:p w14:paraId="6CE48CD4">
      <w:pPr>
        <w:pStyle w:val="13"/>
        <w:spacing w:line="360" w:lineRule="auto"/>
        <w:ind w:firstLine="424" w:firstLineChars="202"/>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2.1评标由采购人根据招标货物特点依法组建的评标委员会负责，对具备实质性响应的投标文件进行评估和比较。评标委员会由采购人代表和有关技术、经济等方面的专家组成，成员人数应当为五人以上单数，在云南省政府采购评审专家库中随机抽取产生，并由相关部门监督。其中，技术、经济等方面的专家不得少于成员总数的三分之二，评标委员会应当推选组长，但采购人代表不得担任组长。</w:t>
      </w:r>
    </w:p>
    <w:p w14:paraId="61664B6B">
      <w:pPr>
        <w:pStyle w:val="13"/>
        <w:spacing w:line="360" w:lineRule="auto"/>
        <w:ind w:firstLine="424" w:firstLineChars="202"/>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2.2采购人委派代表参加评标委员会的，要向采购代理机构出具授权函。除授权代表外，采购人可以委派纪检监察等相关人员进入评审现场，对评审工作实施监督。</w:t>
      </w:r>
    </w:p>
    <w:p w14:paraId="069C8DB6">
      <w:pPr>
        <w:spacing w:line="360" w:lineRule="auto"/>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3.评标原则</w:t>
      </w:r>
    </w:p>
    <w:p w14:paraId="1EDE0974">
      <w:pPr>
        <w:pStyle w:val="13"/>
        <w:spacing w:line="360" w:lineRule="auto"/>
        <w:ind w:firstLine="424" w:firstLineChars="202"/>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3.1坚持公平、公正、科学、择优的原则，本着实事求是的精神，不带有任何主观意愿和偏见，认真负责地做好评审工作，公平、公正地对待每一个投标人。</w:t>
      </w:r>
    </w:p>
    <w:p w14:paraId="7F0CA158">
      <w:pPr>
        <w:pStyle w:val="13"/>
        <w:spacing w:line="360" w:lineRule="auto"/>
        <w:ind w:firstLine="424" w:firstLineChars="202"/>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3.2全面分析，综合评审。</w:t>
      </w:r>
    </w:p>
    <w:p w14:paraId="1776E289">
      <w:pPr>
        <w:pStyle w:val="13"/>
        <w:spacing w:line="360" w:lineRule="auto"/>
        <w:ind w:firstLine="424" w:firstLineChars="202"/>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3.3评标只对投标人的投标文件进行评审，投标文件以外的资料、信息不应作为评标的依据。</w:t>
      </w:r>
    </w:p>
    <w:p w14:paraId="70DBF59C">
      <w:pPr>
        <w:spacing w:line="360" w:lineRule="auto"/>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4.评标纪律</w:t>
      </w:r>
    </w:p>
    <w:p w14:paraId="3B2DD8BA">
      <w:pPr>
        <w:pStyle w:val="13"/>
        <w:spacing w:line="360" w:lineRule="auto"/>
        <w:ind w:firstLine="424" w:firstLineChars="202"/>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4.1评标专家应当遵守评标工作纪律，不得泄露评审情况和评标中获悉的商业秘密。</w:t>
      </w:r>
    </w:p>
    <w:p w14:paraId="19E19F89">
      <w:pPr>
        <w:pStyle w:val="13"/>
        <w:spacing w:line="360" w:lineRule="auto"/>
        <w:ind w:firstLine="424" w:firstLineChars="202"/>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4.2评标委员会在评审过程中发现投标人有行贿、提供虚假材料或者串通等违法行为的，应当及时向财政部门报告。</w:t>
      </w:r>
    </w:p>
    <w:p w14:paraId="118E3744">
      <w:pPr>
        <w:pStyle w:val="13"/>
        <w:spacing w:line="360" w:lineRule="auto"/>
        <w:ind w:firstLine="424" w:firstLineChars="202"/>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4.3评标内容和评标过程要严格保密，不得向投标人或与该过程无关</w:t>
      </w:r>
      <w:r>
        <w:rPr>
          <w:rFonts w:hint="eastAsia" w:asciiTheme="majorEastAsia" w:hAnsiTheme="majorEastAsia" w:eastAsiaTheme="majorEastAsia" w:cstheme="majorEastAsia"/>
          <w:color w:val="auto"/>
          <w:sz w:val="21"/>
          <w:szCs w:val="21"/>
          <w:highlight w:val="none"/>
          <w:lang w:eastAsia="zh-CN"/>
        </w:rPr>
        <w:t>的其他</w:t>
      </w:r>
      <w:r>
        <w:rPr>
          <w:rFonts w:hint="eastAsia" w:asciiTheme="majorEastAsia" w:hAnsiTheme="majorEastAsia" w:eastAsiaTheme="majorEastAsia" w:cstheme="majorEastAsia"/>
          <w:color w:val="auto"/>
          <w:sz w:val="21"/>
          <w:szCs w:val="21"/>
          <w:highlight w:val="none"/>
        </w:rPr>
        <w:t>人员泄露；</w:t>
      </w:r>
    </w:p>
    <w:p w14:paraId="29E91423">
      <w:pPr>
        <w:pStyle w:val="13"/>
        <w:spacing w:line="360" w:lineRule="auto"/>
        <w:ind w:firstLine="424" w:firstLineChars="202"/>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4.4评标期间的一切资料，包括评标意见、评标记录和评标结论，一律不得向外传和泄露；</w:t>
      </w:r>
    </w:p>
    <w:p w14:paraId="3D982339">
      <w:pPr>
        <w:pStyle w:val="13"/>
        <w:spacing w:line="360" w:lineRule="auto"/>
        <w:ind w:firstLine="424" w:firstLineChars="202"/>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4.5任何属于投标文件审查、澄清、评价和比较的资料，不得向投标人或与该过程无关</w:t>
      </w:r>
      <w:r>
        <w:rPr>
          <w:rFonts w:hint="eastAsia" w:asciiTheme="majorEastAsia" w:hAnsiTheme="majorEastAsia" w:eastAsiaTheme="majorEastAsia" w:cstheme="majorEastAsia"/>
          <w:color w:val="auto"/>
          <w:sz w:val="21"/>
          <w:szCs w:val="21"/>
          <w:highlight w:val="none"/>
          <w:lang w:eastAsia="zh-CN"/>
        </w:rPr>
        <w:t>的其他</w:t>
      </w:r>
      <w:r>
        <w:rPr>
          <w:rFonts w:hint="eastAsia" w:asciiTheme="majorEastAsia" w:hAnsiTheme="majorEastAsia" w:eastAsiaTheme="majorEastAsia" w:cstheme="majorEastAsia"/>
          <w:color w:val="auto"/>
          <w:sz w:val="21"/>
          <w:szCs w:val="21"/>
          <w:highlight w:val="none"/>
        </w:rPr>
        <w:t>人员泄露；</w:t>
      </w:r>
    </w:p>
    <w:p w14:paraId="0AF606D0">
      <w:pPr>
        <w:pStyle w:val="13"/>
        <w:spacing w:line="360" w:lineRule="auto"/>
        <w:ind w:firstLine="424" w:firstLineChars="202"/>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4.6所有资料（包括招标文件、投标文件、评标表格及各种文字记录）在评标结束后均应分别整理、存档备查，任何人不得私自复制和保留；</w:t>
      </w:r>
    </w:p>
    <w:p w14:paraId="5A0A80D5">
      <w:pPr>
        <w:pStyle w:val="13"/>
        <w:spacing w:line="360" w:lineRule="auto"/>
        <w:ind w:firstLine="424" w:firstLineChars="202"/>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4.7评标期间，评标人员不得随意外出；</w:t>
      </w:r>
    </w:p>
    <w:p w14:paraId="1A4C0242">
      <w:pPr>
        <w:pStyle w:val="13"/>
        <w:spacing w:line="360" w:lineRule="auto"/>
        <w:ind w:firstLine="424" w:firstLineChars="202"/>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4.8评标期间，所有与会人员均不得私自以任何方式和投标人进行联系，需询问、澄清的问题由评标委员会统一组织；</w:t>
      </w:r>
    </w:p>
    <w:p w14:paraId="678651FC">
      <w:pPr>
        <w:pStyle w:val="13"/>
        <w:spacing w:line="360" w:lineRule="auto"/>
        <w:ind w:firstLine="424" w:firstLineChars="202"/>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4.9评标期间，未经允许，除所有与会人员以外的任何单位或部门不得参加评标和采访评标工作；</w:t>
      </w:r>
    </w:p>
    <w:p w14:paraId="28517F37">
      <w:pPr>
        <w:pStyle w:val="13"/>
        <w:spacing w:line="360" w:lineRule="auto"/>
        <w:ind w:firstLine="424" w:firstLineChars="202"/>
        <w:jc w:val="left"/>
        <w:rPr>
          <w:rFonts w:hint="eastAsia" w:asciiTheme="majorEastAsia" w:hAnsiTheme="majorEastAsia" w:eastAsiaTheme="majorEastAsia" w:cstheme="majorEastAsia"/>
          <w:b/>
          <w:color w:val="auto"/>
          <w:spacing w:val="20"/>
          <w:sz w:val="21"/>
          <w:szCs w:val="21"/>
          <w:highlight w:val="none"/>
        </w:rPr>
      </w:pPr>
      <w:r>
        <w:rPr>
          <w:rFonts w:hint="eastAsia" w:asciiTheme="majorEastAsia" w:hAnsiTheme="majorEastAsia" w:eastAsiaTheme="majorEastAsia" w:cstheme="majorEastAsia"/>
          <w:color w:val="auto"/>
          <w:sz w:val="21"/>
          <w:szCs w:val="21"/>
          <w:highlight w:val="none"/>
        </w:rPr>
        <w:t>4.10评标结束后，与会人员不得向外界透露评标人员的评审意见，如因此造成的后果由责任者承担。</w:t>
      </w:r>
    </w:p>
    <w:p w14:paraId="4EFA6BF1">
      <w:pPr>
        <w:spacing w:line="360" w:lineRule="auto"/>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5.评标目的</w:t>
      </w:r>
    </w:p>
    <w:p w14:paraId="1F969CEE">
      <w:pPr>
        <w:pStyle w:val="13"/>
        <w:spacing w:line="360" w:lineRule="auto"/>
        <w:ind w:firstLine="424" w:firstLineChars="202"/>
        <w:jc w:val="left"/>
        <w:rPr>
          <w:rFonts w:hint="eastAsia" w:asciiTheme="majorEastAsia" w:hAnsiTheme="majorEastAsia" w:eastAsiaTheme="majorEastAsia" w:cstheme="majorEastAsia"/>
          <w:b/>
          <w:color w:val="auto"/>
          <w:spacing w:val="20"/>
          <w:sz w:val="21"/>
          <w:szCs w:val="21"/>
          <w:highlight w:val="none"/>
        </w:rPr>
      </w:pPr>
      <w:r>
        <w:rPr>
          <w:rFonts w:hint="eastAsia" w:asciiTheme="majorEastAsia" w:hAnsiTheme="majorEastAsia" w:eastAsiaTheme="majorEastAsia" w:cstheme="majorEastAsia"/>
          <w:color w:val="auto"/>
          <w:sz w:val="21"/>
          <w:szCs w:val="21"/>
          <w:highlight w:val="none"/>
        </w:rPr>
        <w:t>评标工作的目的：审查投标人的投标文件与招标文件的所有条款、条件是否相符；是否已提供了必备的资料，做出实质性响应，按评标程序和评标办法推荐出合格的中标候选人。</w:t>
      </w:r>
    </w:p>
    <w:p w14:paraId="71532DE9">
      <w:pPr>
        <w:spacing w:line="360" w:lineRule="auto"/>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6.评标程序</w:t>
      </w:r>
    </w:p>
    <w:p w14:paraId="3C0D8443">
      <w:pPr>
        <w:spacing w:line="360" w:lineRule="auto"/>
        <w:ind w:firstLine="424" w:firstLineChars="202"/>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评标只对有效投标文件进行评审。评标按：资格评审——符合性评审——综合评分——评标报告的程序进行。</w:t>
      </w:r>
    </w:p>
    <w:p w14:paraId="3DAB952C">
      <w:pPr>
        <w:spacing w:line="360" w:lineRule="auto"/>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7.评标办法</w:t>
      </w:r>
    </w:p>
    <w:p w14:paraId="7C8A8E14">
      <w:pPr>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本次招标采用综合评分法。评标委员会应当根据综合评分情况，按照评审得分由高到低顺序推荐不少于3名中标候选人，并编写评标报告。</w:t>
      </w:r>
    </w:p>
    <w:p w14:paraId="629C2394">
      <w:pPr>
        <w:spacing w:line="360" w:lineRule="auto"/>
        <w:ind w:firstLine="354" w:firstLineChars="169"/>
        <w:jc w:val="left"/>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7.1评审要求</w:t>
      </w:r>
    </w:p>
    <w:p w14:paraId="4D102B21">
      <w:pPr>
        <w:pStyle w:val="13"/>
        <w:spacing w:line="360" w:lineRule="auto"/>
        <w:ind w:firstLine="354" w:firstLineChars="169"/>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7.1.1在综合评分之前，先审查每份投标文件是否实质上响应了招标文件的要求。投标人不得通过修正或撤销不合要求的偏离或保留从而使其投标成为实质上响应的投标。</w:t>
      </w:r>
    </w:p>
    <w:p w14:paraId="3557C9EB">
      <w:pPr>
        <w:pStyle w:val="13"/>
        <w:spacing w:line="360" w:lineRule="auto"/>
        <w:ind w:firstLine="354" w:firstLineChars="169"/>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7.1.2在需要时可要求投标人对投标文件中含义不明确的内容</w:t>
      </w:r>
      <w:r>
        <w:rPr>
          <w:rFonts w:hint="eastAsia" w:asciiTheme="majorEastAsia" w:hAnsiTheme="majorEastAsia" w:eastAsiaTheme="majorEastAsia" w:cstheme="majorEastAsia"/>
          <w:color w:val="auto"/>
          <w:sz w:val="21"/>
          <w:szCs w:val="21"/>
          <w:highlight w:val="none"/>
          <w:lang w:eastAsia="zh-CN"/>
        </w:rPr>
        <w:t>做</w:t>
      </w:r>
      <w:r>
        <w:rPr>
          <w:rFonts w:hint="eastAsia" w:asciiTheme="majorEastAsia" w:hAnsiTheme="majorEastAsia" w:eastAsiaTheme="majorEastAsia" w:cstheme="majorEastAsia"/>
          <w:color w:val="auto"/>
          <w:sz w:val="21"/>
          <w:szCs w:val="21"/>
          <w:highlight w:val="none"/>
        </w:rPr>
        <w:t>必要的澄清或说明，澄清或说明应采用书面形式。澄清或说明不得超出投标文件的范围或者改变投标文件的实质性内容。</w:t>
      </w:r>
    </w:p>
    <w:p w14:paraId="3755B0AD">
      <w:pPr>
        <w:pStyle w:val="13"/>
        <w:spacing w:line="360" w:lineRule="auto"/>
        <w:ind w:firstLine="354" w:firstLineChars="169"/>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7.1.3资格评审：依据法律法规和招标文件资格审查前附表的规定，由采购人或者采购代理机构对投标文件中的资格证明文件进行审查，以确定</w:t>
      </w:r>
      <w:r>
        <w:rPr>
          <w:rFonts w:hint="eastAsia" w:asciiTheme="majorEastAsia" w:hAnsiTheme="majorEastAsia" w:eastAsiaTheme="majorEastAsia" w:cstheme="majorEastAsia"/>
          <w:color w:val="auto"/>
          <w:sz w:val="21"/>
          <w:szCs w:val="21"/>
          <w:highlight w:val="none"/>
          <w:lang w:eastAsia="zh-CN"/>
        </w:rPr>
        <w:t>投标</w:t>
      </w:r>
      <w:r>
        <w:rPr>
          <w:rFonts w:hint="eastAsia" w:asciiTheme="majorEastAsia" w:hAnsiTheme="majorEastAsia" w:eastAsiaTheme="majorEastAsia" w:cstheme="majorEastAsia"/>
          <w:color w:val="auto"/>
          <w:sz w:val="21"/>
          <w:szCs w:val="21"/>
          <w:highlight w:val="none"/>
        </w:rPr>
        <w:t>人是否具备投标资格。未通过资格评审的投标人将不进入符合性评审。</w:t>
      </w:r>
    </w:p>
    <w:p w14:paraId="1DEEB0F6">
      <w:pPr>
        <w:pStyle w:val="13"/>
        <w:spacing w:line="360" w:lineRule="auto"/>
        <w:ind w:firstLine="354" w:firstLineChars="169"/>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7.1.4符合性评审，按评标办法前附表的规定进行评审，以确定投标人是否符合要求。未通过符合性评审的投标人将不进入综合评分。</w:t>
      </w:r>
    </w:p>
    <w:p w14:paraId="6B5ED3A1">
      <w:pPr>
        <w:spacing w:line="360" w:lineRule="auto"/>
        <w:ind w:firstLine="354" w:firstLineChars="169"/>
        <w:jc w:val="left"/>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7.2综合评分</w:t>
      </w:r>
    </w:p>
    <w:p w14:paraId="651CA699">
      <w:pPr>
        <w:tabs>
          <w:tab w:val="left" w:pos="3074"/>
          <w:tab w:val="left" w:pos="12972"/>
          <w:tab w:val="left" w:pos="13483"/>
          <w:tab w:val="left" w:pos="14040"/>
        </w:tabs>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对资格评审、符合性评审合格的投标文件按以下方法进行综合评分。</w:t>
      </w:r>
    </w:p>
    <w:p w14:paraId="066941E1">
      <w:pPr>
        <w:tabs>
          <w:tab w:val="left" w:pos="3074"/>
          <w:tab w:val="left" w:pos="12972"/>
          <w:tab w:val="left" w:pos="13483"/>
          <w:tab w:val="left" w:pos="14040"/>
        </w:tabs>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评标委员会按以下公式计算出各投标人的总得分，推荐中标候选人按评标总得分由高到低顺序排列；评标总得分相同的，按投标报价由低到高顺序排列；评标总得分且投标报价相同的，按技术部分得分高低排列，</w:t>
      </w:r>
      <w:r>
        <w:rPr>
          <w:rFonts w:hint="eastAsia" w:asciiTheme="majorEastAsia" w:hAnsiTheme="majorEastAsia" w:eastAsiaTheme="majorEastAsia" w:cstheme="majorEastAsia"/>
          <w:color w:val="auto"/>
          <w:szCs w:val="21"/>
          <w:highlight w:val="none"/>
          <w:lang w:eastAsia="zh-CN"/>
        </w:rPr>
        <w:t>依此类推</w:t>
      </w:r>
      <w:r>
        <w:rPr>
          <w:rFonts w:hint="eastAsia" w:asciiTheme="majorEastAsia" w:hAnsiTheme="majorEastAsia" w:eastAsiaTheme="majorEastAsia" w:cstheme="majorEastAsia"/>
          <w:color w:val="auto"/>
          <w:szCs w:val="21"/>
          <w:highlight w:val="none"/>
        </w:rPr>
        <w:t>。</w:t>
      </w:r>
      <w:r>
        <w:rPr>
          <w:rFonts w:hint="eastAsia" w:asciiTheme="majorEastAsia" w:hAnsiTheme="majorEastAsia" w:eastAsiaTheme="majorEastAsia" w:cstheme="majorEastAsia"/>
          <w:b/>
          <w:color w:val="auto"/>
          <w:szCs w:val="21"/>
          <w:highlight w:val="none"/>
        </w:rPr>
        <w:t>提供相同品牌产品且通过资格审查、符合性审查的不同投标人参加同一招标项目（包）投标的，按一家投标人计算，评审后得分最高的同品牌投标人获得中标人推荐资格；评审得分相同的，评标委员会将依次按技术部分得分高优先、价格部分得分高优先、商务部分得分高优先的顺序确定；所有得分均相等的，主要技术指标高优先、质保期长优先、合同履行期限短优先、故障到达时间短优先的顺序确定一个投标人获得中标人推荐资格，其他同品牌投标人不作为中标候选人。若单个项目（包）为非单一产品采购项目，对于招标文件第六章规定核心产品，多家投标人提供的核心产品品牌有一项品牌相同的，按相同品牌处理</w:t>
      </w:r>
      <w:r>
        <w:rPr>
          <w:rFonts w:hint="eastAsia" w:asciiTheme="majorEastAsia" w:hAnsiTheme="majorEastAsia" w:eastAsiaTheme="majorEastAsia" w:cstheme="majorEastAsia"/>
          <w:color w:val="auto"/>
          <w:szCs w:val="21"/>
          <w:highlight w:val="none"/>
        </w:rPr>
        <w:t>。分值保留小数点后两位，中间插入法确定分数，具体分值如下：</w:t>
      </w:r>
    </w:p>
    <w:p w14:paraId="1B37CD15">
      <w:pPr>
        <w:tabs>
          <w:tab w:val="left" w:pos="3074"/>
          <w:tab w:val="left" w:pos="12972"/>
          <w:tab w:val="left" w:pos="13483"/>
          <w:tab w:val="left" w:pos="14040"/>
        </w:tabs>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评标总得分F1＋F2＋……＋Fn</w:t>
      </w:r>
    </w:p>
    <w:p w14:paraId="45221FBC">
      <w:pPr>
        <w:tabs>
          <w:tab w:val="left" w:pos="3074"/>
          <w:tab w:val="left" w:pos="12972"/>
          <w:tab w:val="left" w:pos="13483"/>
          <w:tab w:val="left" w:pos="14040"/>
        </w:tabs>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F1、F2……Fn分别为各项评分因素的汇总得分；</w:t>
      </w:r>
    </w:p>
    <w:p w14:paraId="055B2137">
      <w:pPr>
        <w:tabs>
          <w:tab w:val="left" w:pos="3074"/>
          <w:tab w:val="left" w:pos="12972"/>
          <w:tab w:val="left" w:pos="13483"/>
          <w:tab w:val="left" w:pos="14040"/>
        </w:tabs>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其中F值为评标委员会所有成员汇总得分的算术平均值。</w:t>
      </w:r>
    </w:p>
    <w:p w14:paraId="1DC8E462">
      <w:pPr>
        <w:spacing w:line="360" w:lineRule="auto"/>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8.统分原则</w:t>
      </w:r>
    </w:p>
    <w:p w14:paraId="53797898">
      <w:pPr>
        <w:adjustRightInd w:val="0"/>
        <w:snapToGrid w:val="0"/>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8.1评委应首先对各投标人投标文件进行评审，写出书面意见并按招标文件规定分值评分。</w:t>
      </w:r>
    </w:p>
    <w:p w14:paraId="2D3485EB">
      <w:pPr>
        <w:adjustRightInd w:val="0"/>
        <w:snapToGrid w:val="0"/>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8.2除投标报价得分（F1）外，其余部分由各评委自主评分并签字确认。</w:t>
      </w:r>
    </w:p>
    <w:p w14:paraId="75A376D9">
      <w:pPr>
        <w:pStyle w:val="13"/>
        <w:tabs>
          <w:tab w:val="left" w:pos="840"/>
        </w:tabs>
        <w:spacing w:line="360" w:lineRule="auto"/>
        <w:ind w:left="0" w:leftChars="0" w:firstLine="420" w:firstLineChars="200"/>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8.3统分原则：计算算术平均值为投标人的该项评分因素的得分（保留小数点后两位）。</w:t>
      </w:r>
    </w:p>
    <w:p w14:paraId="610D8D42">
      <w:pPr>
        <w:adjustRightInd w:val="0"/>
        <w:snapToGrid w:val="0"/>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8.4统分办法：各项评分因素得分的总和即为投标人最后得分。</w:t>
      </w:r>
    </w:p>
    <w:p w14:paraId="1FEC23E7">
      <w:pPr>
        <w:spacing w:line="360" w:lineRule="auto"/>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9.评标结果</w:t>
      </w:r>
    </w:p>
    <w:p w14:paraId="0DB8E094">
      <w:pPr>
        <w:adjustRightInd w:val="0"/>
        <w:snapToGrid w:val="0"/>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9.1评标委员会按最终得分由高到低顺序推荐中标候选人，并提出书面评标报告。</w:t>
      </w:r>
    </w:p>
    <w:p w14:paraId="1545D697">
      <w:pPr>
        <w:adjustRightInd w:val="0"/>
        <w:snapToGrid w:val="0"/>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9.2采购人根据评标委员会提出的书面评标报告和推荐的中标候选人名单，确定中标单位。</w:t>
      </w:r>
    </w:p>
    <w:p w14:paraId="66F67195">
      <w:pPr>
        <w:adjustRightInd w:val="0"/>
        <w:snapToGrid w:val="0"/>
        <w:spacing w:line="360" w:lineRule="auto"/>
        <w:ind w:firstLine="354" w:firstLineChars="169"/>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Cs w:val="21"/>
          <w:highlight w:val="none"/>
        </w:rPr>
        <w:t>9.3</w:t>
      </w:r>
      <w:r>
        <w:rPr>
          <w:rFonts w:hint="eastAsia" w:asciiTheme="majorEastAsia" w:hAnsiTheme="majorEastAsia" w:eastAsiaTheme="majorEastAsia" w:cstheme="majorEastAsia"/>
          <w:color w:val="auto"/>
          <w:highlight w:val="none"/>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46C22805">
      <w:pPr>
        <w:spacing w:line="360" w:lineRule="auto"/>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color w:val="auto"/>
          <w:highlight w:val="none"/>
          <w:lang w:eastAsia="zh-CN"/>
        </w:rPr>
        <w:t>★</w:t>
      </w:r>
      <w:r>
        <w:rPr>
          <w:rFonts w:hint="eastAsia" w:asciiTheme="majorEastAsia" w:hAnsiTheme="majorEastAsia" w:eastAsiaTheme="majorEastAsia" w:cstheme="majorEastAsia"/>
          <w:b/>
          <w:color w:val="auto"/>
          <w:highlight w:val="none"/>
        </w:rPr>
        <w:t>10.有下列情形之一的，视为投标人串通投标，其投标无效：</w:t>
      </w:r>
    </w:p>
    <w:p w14:paraId="342DE237">
      <w:pPr>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（一）不同投标人的投标文件由同一单位或者个人编制；</w:t>
      </w:r>
    </w:p>
    <w:p w14:paraId="50B07DFC">
      <w:pPr>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（二）不同投标人委托同一单位或者个人办理投标事宜；</w:t>
      </w:r>
    </w:p>
    <w:p w14:paraId="4AE05691">
      <w:pPr>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（三）不同投标人的投标文件载明的项目管理成员或者联系人员为同一人；</w:t>
      </w:r>
    </w:p>
    <w:p w14:paraId="2A942C99">
      <w:pPr>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（四）不同投标人的投标文件异常一致或者投标报价呈规律性差异；</w:t>
      </w:r>
    </w:p>
    <w:p w14:paraId="75E01DD9">
      <w:pPr>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（五）不同投标人的投标文件相互混装；</w:t>
      </w:r>
    </w:p>
    <w:p w14:paraId="790C44EC">
      <w:pPr>
        <w:adjustRightInd w:val="0"/>
        <w:snapToGrid w:val="0"/>
        <w:spacing w:line="360" w:lineRule="auto"/>
        <w:ind w:firstLine="315" w:firstLineChars="150"/>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（六）不同投标人的投标保证金从同一单位或者个人的账户转出。</w:t>
      </w:r>
    </w:p>
    <w:p w14:paraId="3CA1DEF0">
      <w:pPr>
        <w:spacing w:line="360" w:lineRule="auto"/>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11.关于中小企业</w:t>
      </w:r>
    </w:p>
    <w:p w14:paraId="5AFD00C1">
      <w:pPr>
        <w:adjustRightInd w:val="0"/>
        <w:snapToGrid w:val="0"/>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11.1.1根据《关于印发</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政府采购促进中小企业发展管理办法</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的通知》（财库〔2020〕46 号） 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A23CD41">
      <w:pPr>
        <w:adjustRightInd w:val="0"/>
        <w:snapToGrid w:val="0"/>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11.1.2在政府采购活动中，供应商提供的货物、工程或者服务符合下列情形的，享受中小企业扶持政策：</w:t>
      </w:r>
    </w:p>
    <w:p w14:paraId="6CFC9EE0">
      <w:pPr>
        <w:adjustRightInd w:val="0"/>
        <w:snapToGrid w:val="0"/>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（一）在货物采购项目中，货物由中小企业制造，即货物由中小企业生产且使用该中小企业商号或者注册商标；</w:t>
      </w:r>
    </w:p>
    <w:p w14:paraId="379A7B2D">
      <w:pPr>
        <w:adjustRightInd w:val="0"/>
        <w:snapToGrid w:val="0"/>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（二）在工程采购项目中，工程由中小企业承建，即工程施工单位为中小企业；</w:t>
      </w:r>
    </w:p>
    <w:p w14:paraId="689B01B2">
      <w:pPr>
        <w:adjustRightInd w:val="0"/>
        <w:snapToGrid w:val="0"/>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（三）在服务采购项目中，服务由中小企业承接，即提供服务的人员为中小企业依照《中华人民共和国劳动合同法》订立劳动合同的从业人员。</w:t>
      </w:r>
    </w:p>
    <w:p w14:paraId="1E629EDA">
      <w:pPr>
        <w:adjustRightInd w:val="0"/>
        <w:snapToGrid w:val="0"/>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在货物采购项目中，供应商提供的货物既有中小企业制造货物，也有大型企业制造货物的，不享受本办法规定的中小企业扶持政策。</w:t>
      </w:r>
    </w:p>
    <w:p w14:paraId="5D401E76">
      <w:pPr>
        <w:adjustRightInd w:val="0"/>
        <w:snapToGrid w:val="0"/>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以联合体形式参加政府采购活动，联合体各方均为中小企业的，联合体视同中小企业。其中，联合体各方均为小微企业的，联合体视同小微企业。</w:t>
      </w:r>
    </w:p>
    <w:p w14:paraId="34579299">
      <w:pPr>
        <w:adjustRightInd w:val="0"/>
        <w:snapToGrid w:val="0"/>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11.1.3依据《政府采购促进中小企业发展管理办法》（财库〔2020〕46号）规定享受扶持政策获得政府采购合同的，小微企业不得将合同分包给大中型企业，中型企业不得将合同分包给大型企业。</w:t>
      </w:r>
    </w:p>
    <w:p w14:paraId="24070123">
      <w:pPr>
        <w:adjustRightInd w:val="0"/>
        <w:snapToGrid w:val="0"/>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11.1.4中小企业参加政府采购活动，应当出具本办法规定的《中小企业声明函》（后附），否则不得享受相关中小企业扶持政策。</w:t>
      </w:r>
    </w:p>
    <w:p w14:paraId="4DCA0A74">
      <w:pPr>
        <w:adjustRightInd w:val="0"/>
        <w:snapToGrid w:val="0"/>
        <w:spacing w:line="360" w:lineRule="auto"/>
        <w:ind w:firstLine="354" w:firstLineChars="169"/>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11.1.5本项目针对小微企业报价给予10%的扣除，用扣除后的价格参与评审。残疾人福利性单位属于小型、微型企业、监狱企业的，不重复享受政策。</w:t>
      </w:r>
    </w:p>
    <w:p w14:paraId="4EE1C84F">
      <w:pPr>
        <w:spacing w:line="360" w:lineRule="auto"/>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12.关于残疾人福利性单位</w:t>
      </w:r>
    </w:p>
    <w:p w14:paraId="6DEEFED1">
      <w:pPr>
        <w:spacing w:line="360" w:lineRule="auto"/>
        <w:ind w:firstLine="420" w:firstLineChars="2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13.1根据《关于促进残疾人就业政府采购政策的通知》（财库〔2017〕141号）的规定，享受政府采购支持政策的残疾人福利性单位应当同时满足以下条件：</w:t>
      </w:r>
    </w:p>
    <w:p w14:paraId="3D54E94F">
      <w:pPr>
        <w:spacing w:line="360" w:lineRule="auto"/>
        <w:ind w:firstLine="420" w:firstLineChars="2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（一）安置的残疾人占本单位在职职工人数的比例不低于25%（含25%），并且安置的残疾人人数不少于10人（含10人）；</w:t>
      </w:r>
    </w:p>
    <w:p w14:paraId="0F0BC231">
      <w:pPr>
        <w:spacing w:line="360" w:lineRule="auto"/>
        <w:ind w:firstLine="420" w:firstLineChars="2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（二）依法与安置的每位残疾人签订了一年以上（含一年）的劳动合同或服务协议；</w:t>
      </w:r>
    </w:p>
    <w:p w14:paraId="056EE132">
      <w:pPr>
        <w:spacing w:line="360" w:lineRule="auto"/>
        <w:ind w:firstLine="420" w:firstLineChars="2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（三）为安置的每位残疾人按月足额缴纳了基本养老保险、基本医疗保险、失业保险、工伤保险和生育保险等社会保险费；</w:t>
      </w:r>
    </w:p>
    <w:p w14:paraId="5CE6BF52">
      <w:pPr>
        <w:spacing w:line="360" w:lineRule="auto"/>
        <w:ind w:firstLine="420" w:firstLineChars="2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（四）通过银行等金融机构向安置的每位残疾人，按月支付了不低于单位所在区县适用的经省级人民政府批准的月最低工资标准的工资；</w:t>
      </w:r>
    </w:p>
    <w:p w14:paraId="7518DA07">
      <w:pPr>
        <w:spacing w:line="360" w:lineRule="auto"/>
        <w:ind w:firstLine="420" w:firstLineChars="2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（五）提供本单位制造的货物、承担的工程或者服务（以下简称产品），或者提供其他残疾人福利性单位制造的货物（不包括使用非残疾人福利性单位注册商标的货物）。</w:t>
      </w:r>
    </w:p>
    <w:p w14:paraId="08040FA7">
      <w:pPr>
        <w:spacing w:line="360" w:lineRule="auto"/>
        <w:ind w:firstLine="420" w:firstLineChars="2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66F0CE1">
      <w:pPr>
        <w:spacing w:line="360" w:lineRule="auto"/>
        <w:ind w:firstLine="420" w:firstLineChars="2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13.2符合条件的残疾人福利性单位在参加政府采购活动时，应当按《三部门联合发布关于促进残疾人就业政府采购政策的通知》（财库〔2017〕141号）提供规定的《残疾人福利性单位声明函》，并对声明的真实性负责。</w:t>
      </w:r>
    </w:p>
    <w:p w14:paraId="037853B6">
      <w:pPr>
        <w:spacing w:line="360" w:lineRule="auto"/>
        <w:ind w:firstLine="420" w:firstLineChars="2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13.3本项目针对残疾人福利性单位产品的价格给予10%的扣除，用扣除后的价格参与评审。残疾人福利性单位属于小型、微型企业、监狱企业的，不重复享受政策。</w:t>
      </w:r>
    </w:p>
    <w:p w14:paraId="7EF6CD26">
      <w:pPr>
        <w:spacing w:line="360" w:lineRule="auto"/>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1</w:t>
      </w:r>
      <w:r>
        <w:rPr>
          <w:rFonts w:hint="eastAsia" w:asciiTheme="majorEastAsia" w:hAnsiTheme="majorEastAsia" w:eastAsiaTheme="majorEastAsia" w:cstheme="majorEastAsia"/>
          <w:b/>
          <w:color w:val="auto"/>
          <w:highlight w:val="none"/>
          <w:lang w:val="en-US" w:eastAsia="zh-CN"/>
        </w:rPr>
        <w:t>3</w:t>
      </w:r>
      <w:r>
        <w:rPr>
          <w:rFonts w:hint="eastAsia" w:asciiTheme="majorEastAsia" w:hAnsiTheme="majorEastAsia" w:eastAsiaTheme="majorEastAsia" w:cstheme="majorEastAsia"/>
          <w:b/>
          <w:color w:val="auto"/>
          <w:highlight w:val="none"/>
        </w:rPr>
        <w:t>.关于监狱企业</w:t>
      </w:r>
    </w:p>
    <w:p w14:paraId="37046CE8">
      <w:pPr>
        <w:spacing w:line="360" w:lineRule="auto"/>
        <w:ind w:firstLine="420" w:firstLineChars="2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14.1 依照</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财政部、司法部关于政府采购支持监狱企业发展有关问题的通知</w:t>
      </w:r>
      <w:r>
        <w:rPr>
          <w:rFonts w:hint="eastAsia" w:asciiTheme="majorEastAsia" w:hAnsiTheme="majorEastAsia" w:eastAsiaTheme="majorEastAsia" w:cstheme="majorEastAsia"/>
          <w:color w:val="auto"/>
          <w:szCs w:val="21"/>
          <w:highlight w:val="none"/>
          <w:lang w:eastAsia="zh-CN"/>
        </w:rPr>
        <w:t>〉</w:t>
      </w:r>
      <w:r>
        <w:rPr>
          <w:rFonts w:hint="eastAsia" w:asciiTheme="majorEastAsia" w:hAnsiTheme="majorEastAsia" w:eastAsiaTheme="majorEastAsia" w:cstheme="majorEastAsia"/>
          <w:color w:val="auto"/>
          <w:szCs w:val="21"/>
          <w:highlight w:val="none"/>
        </w:rPr>
        <w:t>（财库〔2014〕68号）之规定，监狱企业应当符合以下条件：</w:t>
      </w:r>
    </w:p>
    <w:p w14:paraId="72F114D6">
      <w:pPr>
        <w:spacing w:line="360" w:lineRule="auto"/>
        <w:ind w:firstLine="420" w:firstLineChars="2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14.2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7E11DDF">
      <w:pPr>
        <w:spacing w:line="360" w:lineRule="auto"/>
        <w:ind w:firstLine="420" w:firstLineChars="2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14.3 监狱企业参加政府采购活动时，视同小型、微型企业，应当提供由省级以上监狱管理局、戒毒管理局（含新疆生产建设兵团）出具的属于监狱企业的证明文件。</w:t>
      </w:r>
    </w:p>
    <w:p w14:paraId="42FC581C">
      <w:pPr>
        <w:spacing w:line="360" w:lineRule="auto"/>
        <w:ind w:firstLine="420" w:firstLineChars="2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14.4 具体投标报价扣除比例说明：投标人为非联合体投标的，对小型企业给予10%的扣除，以扣除后的报价参与评审。</w:t>
      </w:r>
    </w:p>
    <w:p w14:paraId="1EFA63B0">
      <w:pPr>
        <w:spacing w:line="360" w:lineRule="auto"/>
        <w:ind w:firstLine="480" w:firstLineChars="200"/>
        <w:jc w:val="lef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w:t>
      </w:r>
    </w:p>
    <w:p w14:paraId="2D13A162">
      <w:pPr>
        <w:rPr>
          <w:rFonts w:hint="eastAsia" w:asciiTheme="majorEastAsia" w:hAnsiTheme="majorEastAsia" w:eastAsiaTheme="majorEastAsia" w:cstheme="majorEastAsia"/>
          <w:color w:val="auto"/>
          <w:highlight w:val="none"/>
        </w:rPr>
      </w:pPr>
    </w:p>
    <w:sectPr>
      <w:pgSz w:w="11906" w:h="16838"/>
      <w:pgMar w:top="1440" w:right="1083" w:bottom="1440" w:left="1083" w:header="1020" w:footer="1077" w:gutter="0"/>
      <w:pgNumType w:fmt="decimal"/>
      <w:cols w:space="720" w:num="1"/>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Menlo">
    <w:altName w:val="微软雅黑"/>
    <w:panose1 w:val="00000000000000000000"/>
    <w:charset w:val="00"/>
    <w:family w:val="auto"/>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embedRegular r:id="rId1" w:fontKey="{97A7D55A-667C-4885-A6C5-EF302403823F}"/>
  </w:font>
  <w:font w:name="Arial Unicode MS">
    <w:altName w:val="宋体"/>
    <w:panose1 w:val="020B0604020202020204"/>
    <w:charset w:val="86"/>
    <w:family w:val="swiss"/>
    <w:pitch w:val="default"/>
    <w:sig w:usb0="00000000" w:usb1="00000000" w:usb2="0000007F" w:usb3="00000000" w:csb0="203F01FF" w:csb1="DFFF0000"/>
  </w:font>
  <w:font w:name="仿宋">
    <w:panose1 w:val="02010609060101010101"/>
    <w:charset w:val="86"/>
    <w:family w:val="modern"/>
    <w:pitch w:val="default"/>
    <w:sig w:usb0="800002BF" w:usb1="38CF7CFA" w:usb2="00000016" w:usb3="00000000" w:csb0="00040001" w:csb1="00000000"/>
    <w:embedRegular r:id="rId2" w:fontKey="{8759B6AC-FED2-4504-A079-7BF03C258F86}"/>
  </w:font>
  <w:font w:name="ˎ̥">
    <w:altName w:val="Times New Roman"/>
    <w:panose1 w:val="00000000000000000000"/>
    <w:charset w:val="00"/>
    <w:family w:val="roman"/>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华文细黑">
    <w:panose1 w:val="02010600040101010101"/>
    <w:charset w:val="86"/>
    <w:family w:val="auto"/>
    <w:pitch w:val="default"/>
    <w:sig w:usb0="00000287" w:usb1="080F0000" w:usb2="00000000" w:usb3="00000000" w:csb0="0004009F" w:csb1="DFD70000"/>
    <w:embedRegular r:id="rId3" w:fontKey="{CAB49D55-423F-447A-948E-E9C3CFB13105}"/>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21647">
    <w:pPr>
      <w:pStyle w:val="21"/>
      <w:ind w:right="-22"/>
      <w:rPr>
        <w:rFonts w:ascii="仿宋" w:hAnsi="仿宋" w:eastAsia="仿宋" w:cs="仿宋"/>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7290A">
    <w:pPr>
      <w:pStyle w:val="21"/>
      <w:ind w:right="-22"/>
      <w:rPr>
        <w:rFonts w:hint="default" w:eastAsia="仿宋"/>
        <w:lang w:val="en-US"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B3A020">
    <w:pPr>
      <w:pStyle w:val="21"/>
      <w:ind w:right="-22"/>
      <w:rPr>
        <w:rFonts w:ascii="仿宋" w:hAnsi="仿宋" w:eastAsia="仿宋" w:cs="仿宋"/>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437CCA">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7437CCA">
                    <w:pPr>
                      <w:pStyle w:val="21"/>
                    </w:pPr>
                    <w:r>
                      <w:fldChar w:fldCharType="begin"/>
                    </w:r>
                    <w:r>
                      <w:instrText xml:space="preserve"> PAGE  \* MERGEFORMAT </w:instrText>
                    </w:r>
                    <w:r>
                      <w:fldChar w:fldCharType="separate"/>
                    </w:r>
                    <w:r>
                      <w:t>2</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70051FE">
                          <w:pPr>
                            <w:pStyle w:val="21"/>
                            <w:rPr>
                              <w:rFonts w:eastAsia="宋体"/>
                            </w:rPr>
                          </w:pP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LmAuKyQEAAJkDAAAOAAAAAAAAAAEAIAAAAB4BAABkcnMvZTJvRG9j&#10;LnhtbFBLBQYAAAAABgAGAFkBAABZBQAAAAA=&#10;">
              <v:fill on="f" focussize="0,0"/>
              <v:stroke on="f"/>
              <v:imagedata o:title=""/>
              <o:lock v:ext="edit" aspectratio="f"/>
              <v:textbox inset="0mm,0mm,0mm,0mm" style="mso-fit-shape-to-text:t;">
                <w:txbxContent>
                  <w:p w14:paraId="270051FE">
                    <w:pPr>
                      <w:pStyle w:val="21"/>
                      <w:rPr>
                        <w:rFonts w:eastAsia="宋体"/>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009BA">
    <w:pPr>
      <w:pStyle w:val="21"/>
      <w:ind w:right="-22"/>
      <w:rPr>
        <w:rFonts w:eastAsia="仿宋"/>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C0059E">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1C0059E">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AC612">
    <w:pPr>
      <w:pStyle w:val="2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84749A">
                          <w:pPr>
                            <w:pStyle w:val="21"/>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484749A">
                    <w:pPr>
                      <w:pStyle w:val="21"/>
                    </w:pPr>
                    <w:r>
                      <w:fldChar w:fldCharType="begin"/>
                    </w:r>
                    <w:r>
                      <w:instrText xml:space="preserve"> PAGE  \* MERGEFORMAT </w:instrText>
                    </w:r>
                    <w:r>
                      <w:fldChar w:fldCharType="separate"/>
                    </w:r>
                    <w:r>
                      <w:t>21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DD994">
    <w:pPr>
      <w:pStyle w:val="22"/>
      <w:pBdr>
        <w:bottom w:val="thinThickMediumGap" w:color="auto" w:sz="18" w:space="1"/>
      </w:pBdr>
      <w:jc w:val="both"/>
    </w:pPr>
    <w:r>
      <w:rPr>
        <w:rFonts w:hint="eastAsia" w:ascii="仿宋" w:hAnsi="仿宋" w:eastAsia="仿宋" w:cs="仿宋"/>
        <w:bCs/>
        <w:lang w:eastAsia="zh-CN"/>
      </w:rPr>
      <w:t>云南省滇南中心医院（红河哈尼族彝族自治州第一人民医院）流式细胞仪等医疗设备采购项目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4587F">
    <w:pPr>
      <w:pStyle w:val="22"/>
      <w:pBdr>
        <w:bottom w:val="thinThickMediumGap" w:color="auto" w:sz="18" w:space="1"/>
      </w:pBdr>
      <w:jc w:val="left"/>
    </w:pPr>
    <w:r>
      <w:rPr>
        <w:rFonts w:hint="eastAsia" w:ascii="仿宋" w:hAnsi="仿宋" w:eastAsia="仿宋" w:cs="仿宋"/>
        <w:bCs/>
        <w:lang w:eastAsia="zh-CN"/>
      </w:rPr>
      <w:t>云南省滇南中心医院（红河哈尼族彝族自治州第一人民医院）流式细胞仪等医疗设备采购项目</w:t>
    </w:r>
    <w:r>
      <w:rPr>
        <w:rFonts w:hint="eastAsia" w:ascii="仿宋" w:hAnsi="仿宋" w:eastAsia="仿宋" w:cs="仿宋"/>
        <w:bCs/>
      </w:rPr>
      <w:t xml:space="preserve">    </w:t>
    </w:r>
    <w:r>
      <w:rPr>
        <w:rFonts w:hint="eastAsia" w:ascii="仿宋" w:hAnsi="仿宋" w:eastAsia="仿宋" w:cs="仿宋"/>
        <w:bCs/>
        <w:lang w:val="en-US" w:eastAsia="zh-CN"/>
      </w:rPr>
      <w:t xml:space="preserve">         </w:t>
    </w:r>
    <w:r>
      <w:rPr>
        <w:rFonts w:hint="eastAsia" w:ascii="仿宋" w:hAnsi="仿宋" w:eastAsia="仿宋" w:cs="仿宋"/>
        <w:bCs/>
      </w:rPr>
      <w:t xml:space="preserve">  </w:t>
    </w:r>
    <w:r>
      <w:rPr>
        <w:rFonts w:hint="eastAsia" w:ascii="仿宋" w:hAnsi="仿宋" w:eastAsia="仿宋" w:cs="仿宋"/>
        <w:bCs/>
        <w:lang w:val="en-US" w:eastAsia="zh-CN"/>
      </w:rPr>
      <w:t xml:space="preserve">   </w:t>
    </w:r>
    <w:r>
      <w:rPr>
        <w:rFonts w:hint="eastAsia" w:ascii="仿宋" w:hAnsi="仿宋" w:eastAsia="仿宋" w:cs="仿宋"/>
        <w:bCs/>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1E577">
    <w:pPr>
      <w:pStyle w:val="2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67FAC8"/>
    <w:multiLevelType w:val="singleLevel"/>
    <w:tmpl w:val="BC67FAC8"/>
    <w:lvl w:ilvl="0" w:tentative="0">
      <w:start w:val="7"/>
      <w:numFmt w:val="decimal"/>
      <w:lvlText w:val="%1."/>
      <w:lvlJc w:val="left"/>
      <w:pPr>
        <w:tabs>
          <w:tab w:val="left" w:pos="312"/>
        </w:tabs>
      </w:pPr>
    </w:lvl>
  </w:abstractNum>
  <w:abstractNum w:abstractNumId="1">
    <w:nsid w:val="FFCB2F5C"/>
    <w:multiLevelType w:val="singleLevel"/>
    <w:tmpl w:val="FFCB2F5C"/>
    <w:lvl w:ilvl="0" w:tentative="0">
      <w:start w:val="1"/>
      <w:numFmt w:val="decimal"/>
      <w:suff w:val="nothing"/>
      <w:lvlText w:val="%1、"/>
      <w:lvlJc w:val="left"/>
    </w:lvl>
  </w:abstractNum>
  <w:abstractNum w:abstractNumId="2">
    <w:nsid w:val="0000000C"/>
    <w:multiLevelType w:val="multilevel"/>
    <w:tmpl w:val="0000000C"/>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2723"/>
        </w:tabs>
        <w:ind w:left="2723"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00000019"/>
    <w:multiLevelType w:val="multilevel"/>
    <w:tmpl w:val="00000019"/>
    <w:lvl w:ilvl="0" w:tentative="0">
      <w:start w:val="1"/>
      <w:numFmt w:val="decimal"/>
      <w:lvlText w:val="%1."/>
      <w:legacy w:legacy="1" w:legacySpace="0" w:legacyIndent="425"/>
      <w:lvlJc w:val="left"/>
      <w:pPr>
        <w:ind w:left="425" w:hanging="425"/>
      </w:pPr>
    </w:lvl>
    <w:lvl w:ilvl="1" w:tentative="0">
      <w:start w:val="1"/>
      <w:numFmt w:val="decimal"/>
      <w:lvlText w:val="%1.%2."/>
      <w:legacy w:legacy="1" w:legacySpace="0" w:legacyIndent="425"/>
      <w:lvlJc w:val="left"/>
      <w:pPr>
        <w:ind w:left="850" w:hanging="425"/>
      </w:pPr>
    </w:lvl>
    <w:lvl w:ilvl="2" w:tentative="0">
      <w:start w:val="1"/>
      <w:numFmt w:val="decimal"/>
      <w:lvlText w:val="%1.%2.%3."/>
      <w:legacy w:legacy="1" w:legacySpace="0" w:legacyIndent="425"/>
      <w:lvlJc w:val="left"/>
      <w:pPr>
        <w:ind w:left="1275" w:hanging="425"/>
      </w:pPr>
    </w:lvl>
    <w:lvl w:ilvl="3" w:tentative="0">
      <w:start w:val="1"/>
      <w:numFmt w:val="decimal"/>
      <w:lvlText w:val="%1.%2.%3.%4."/>
      <w:legacy w:legacy="1" w:legacySpace="0" w:legacyIndent="425"/>
      <w:lvlJc w:val="left"/>
      <w:pPr>
        <w:ind w:left="1700" w:hanging="425"/>
      </w:pPr>
    </w:lvl>
    <w:lvl w:ilvl="4" w:tentative="0">
      <w:start w:val="1"/>
      <w:numFmt w:val="decimal"/>
      <w:pStyle w:val="6"/>
      <w:lvlText w:val="%1.%2.%3.%4.%5."/>
      <w:legacy w:legacy="1" w:legacySpace="0" w:legacyIndent="425"/>
      <w:lvlJc w:val="left"/>
      <w:pPr>
        <w:ind w:left="2125" w:hanging="425"/>
      </w:pPr>
    </w:lvl>
    <w:lvl w:ilvl="5" w:tentative="0">
      <w:start w:val="1"/>
      <w:numFmt w:val="decimal"/>
      <w:lvlText w:val="%1.%2.%3.%4.%5.%6."/>
      <w:legacy w:legacy="1" w:legacySpace="0" w:legacyIndent="425"/>
      <w:lvlJc w:val="left"/>
      <w:pPr>
        <w:ind w:left="2550" w:hanging="425"/>
      </w:pPr>
    </w:lvl>
    <w:lvl w:ilvl="6" w:tentative="0">
      <w:start w:val="1"/>
      <w:numFmt w:val="decimal"/>
      <w:lvlText w:val="%1.%2.%3.%4.%5.%6.%7."/>
      <w:legacy w:legacy="1" w:legacySpace="0" w:legacyIndent="425"/>
      <w:lvlJc w:val="left"/>
      <w:pPr>
        <w:ind w:left="2975" w:hanging="425"/>
      </w:pPr>
    </w:lvl>
    <w:lvl w:ilvl="7" w:tentative="0">
      <w:start w:val="1"/>
      <w:numFmt w:val="decimal"/>
      <w:lvlText w:val="%1.%2.%3.%4.%5.%6.%7.%8."/>
      <w:legacy w:legacy="1" w:legacySpace="0" w:legacyIndent="425"/>
      <w:lvlJc w:val="left"/>
      <w:pPr>
        <w:ind w:left="3400" w:hanging="425"/>
      </w:pPr>
    </w:lvl>
    <w:lvl w:ilvl="8" w:tentative="0">
      <w:start w:val="1"/>
      <w:numFmt w:val="decimal"/>
      <w:lvlText w:val="%1.%2.%3.%4.%5.%6.%7.%8.%9."/>
      <w:legacy w:legacy="1" w:legacySpace="0" w:legacyIndent="425"/>
      <w:lvlJc w:val="left"/>
      <w:pPr>
        <w:ind w:left="3825" w:hanging="425"/>
      </w:pPr>
    </w:lvl>
  </w:abstractNum>
  <w:abstractNum w:abstractNumId="4">
    <w:nsid w:val="0016F8B9"/>
    <w:multiLevelType w:val="singleLevel"/>
    <w:tmpl w:val="0016F8B9"/>
    <w:lvl w:ilvl="0" w:tentative="0">
      <w:start w:val="2"/>
      <w:numFmt w:val="decimal"/>
      <w:suff w:val="nothing"/>
      <w:lvlText w:val="%1、"/>
      <w:lvlJc w:val="left"/>
    </w:lvl>
  </w:abstractNum>
  <w:abstractNum w:abstractNumId="5">
    <w:nsid w:val="0ED001D2"/>
    <w:multiLevelType w:val="singleLevel"/>
    <w:tmpl w:val="0ED001D2"/>
    <w:lvl w:ilvl="0" w:tentative="0">
      <w:start w:val="5"/>
      <w:numFmt w:val="chineseCounting"/>
      <w:suff w:val="space"/>
      <w:lvlText w:val="第%1章"/>
      <w:lvlJc w:val="left"/>
      <w:rPr>
        <w:rFonts w:hint="eastAsia"/>
      </w:rPr>
    </w:lvl>
  </w:abstractNum>
  <w:abstractNum w:abstractNumId="6">
    <w:nsid w:val="117C68BB"/>
    <w:multiLevelType w:val="multilevel"/>
    <w:tmpl w:val="117C68BB"/>
    <w:lvl w:ilvl="0" w:tentative="0">
      <w:start w:val="1"/>
      <w:numFmt w:val="decimal"/>
      <w:lvlText w:val="%1、"/>
      <w:lvlJc w:val="left"/>
      <w:pPr>
        <w:tabs>
          <w:tab w:val="left" w:pos="644"/>
        </w:tabs>
        <w:ind w:left="644" w:hanging="36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7">
    <w:nsid w:val="27215942"/>
    <w:multiLevelType w:val="multilevel"/>
    <w:tmpl w:val="27215942"/>
    <w:lvl w:ilvl="0" w:tentative="0">
      <w:start w:val="1"/>
      <w:numFmt w:val="decimal"/>
      <w:pStyle w:val="124"/>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8">
    <w:nsid w:val="32C32C02"/>
    <w:multiLevelType w:val="multilevel"/>
    <w:tmpl w:val="32C32C02"/>
    <w:lvl w:ilvl="0" w:tentative="0">
      <w:start w:val="1"/>
      <w:numFmt w:val="japaneseCounting"/>
      <w:lvlText w:val="（%1）"/>
      <w:lvlJc w:val="left"/>
      <w:pPr>
        <w:tabs>
          <w:tab w:val="left" w:pos="862"/>
        </w:tabs>
        <w:ind w:left="862" w:hanging="72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9">
    <w:nsid w:val="42ED5321"/>
    <w:multiLevelType w:val="multilevel"/>
    <w:tmpl w:val="42ED5321"/>
    <w:lvl w:ilvl="0" w:tentative="0">
      <w:start w:val="1"/>
      <w:numFmt w:val="japaneseCounting"/>
      <w:lvlText w:val="%1、"/>
      <w:lvlJc w:val="left"/>
      <w:pPr>
        <w:tabs>
          <w:tab w:val="left" w:pos="840"/>
        </w:tabs>
        <w:ind w:left="840" w:hanging="42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0">
    <w:nsid w:val="5216F697"/>
    <w:multiLevelType w:val="singleLevel"/>
    <w:tmpl w:val="5216F697"/>
    <w:lvl w:ilvl="0" w:tentative="0">
      <w:start w:val="1"/>
      <w:numFmt w:val="decimal"/>
      <w:suff w:val="nothing"/>
      <w:lvlText w:val="（%1）"/>
      <w:lvlJc w:val="left"/>
    </w:lvl>
  </w:abstractNum>
  <w:abstractNum w:abstractNumId="11">
    <w:nsid w:val="657D3FBC"/>
    <w:multiLevelType w:val="multilevel"/>
    <w:tmpl w:val="657D3FBC"/>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27"/>
      <w:suff w:val="nothing"/>
      <w:lvlText w:val="%1.%2.%3　"/>
      <w:lvlJc w:val="left"/>
      <w:pPr>
        <w:ind w:left="18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2">
    <w:nsid w:val="6A091B9A"/>
    <w:multiLevelType w:val="multilevel"/>
    <w:tmpl w:val="6A091B9A"/>
    <w:lvl w:ilvl="0" w:tentative="0">
      <w:start w:val="1"/>
      <w:numFmt w:val="decimal"/>
      <w:lvlText w:val="%1、"/>
      <w:lvlJc w:val="left"/>
      <w:pPr>
        <w:tabs>
          <w:tab w:val="left" w:pos="780"/>
        </w:tabs>
        <w:ind w:left="780" w:hanging="360"/>
      </w:pPr>
      <w:rPr>
        <w:rFonts w:hint="default"/>
        <w:color w:val="auto"/>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2"/>
  </w:num>
  <w:num w:numId="2">
    <w:abstractNumId w:val="3"/>
  </w:num>
  <w:num w:numId="3">
    <w:abstractNumId w:val="7"/>
  </w:num>
  <w:num w:numId="4">
    <w:abstractNumId w:val="11"/>
  </w:num>
  <w:num w:numId="5">
    <w:abstractNumId w:val="0"/>
  </w:num>
  <w:num w:numId="6">
    <w:abstractNumId w:val="9"/>
  </w:num>
  <w:num w:numId="7">
    <w:abstractNumId w:val="8"/>
  </w:num>
  <w:num w:numId="8">
    <w:abstractNumId w:val="12"/>
  </w:num>
  <w:num w:numId="9">
    <w:abstractNumId w:val="6"/>
  </w:num>
  <w:num w:numId="10">
    <w:abstractNumId w:val="4"/>
  </w:num>
  <w:num w:numId="11">
    <w:abstractNumId w:val="1"/>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0"/>
  <w:drawingGridHorizontalSpacing w:val="105"/>
  <w:drawingGridVerticalSpacing w:val="331"/>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IxZWMzOGY4OGRlODM5M2FkODA0ZDRmNmFkNTMwNDEifQ=="/>
    <w:docVar w:name="DocumentID" w:val="{07F81819-A793-416B-BC63-07AE3F17E7C3}"/>
    <w:docVar w:name="DocumentName" w:val="红财农发〔2022〕61号红河州财政局关于下达2022年中央农业资源及生态保护补助资金（第二批）的通知6.1"/>
  </w:docVars>
  <w:rsids>
    <w:rsidRoot w:val="00172A27"/>
    <w:rsid w:val="00014A01"/>
    <w:rsid w:val="00025BD3"/>
    <w:rsid w:val="00025FA0"/>
    <w:rsid w:val="00033064"/>
    <w:rsid w:val="000331D9"/>
    <w:rsid w:val="000332A0"/>
    <w:rsid w:val="00034F14"/>
    <w:rsid w:val="00055D48"/>
    <w:rsid w:val="00061521"/>
    <w:rsid w:val="00062D02"/>
    <w:rsid w:val="0006316A"/>
    <w:rsid w:val="00064137"/>
    <w:rsid w:val="00073C80"/>
    <w:rsid w:val="00077BEB"/>
    <w:rsid w:val="00086061"/>
    <w:rsid w:val="000C0D5C"/>
    <w:rsid w:val="000D479A"/>
    <w:rsid w:val="000D73C9"/>
    <w:rsid w:val="000E2E88"/>
    <w:rsid w:val="001002C8"/>
    <w:rsid w:val="00102374"/>
    <w:rsid w:val="00111C9D"/>
    <w:rsid w:val="00123AF5"/>
    <w:rsid w:val="00124676"/>
    <w:rsid w:val="001257D5"/>
    <w:rsid w:val="00132C82"/>
    <w:rsid w:val="00133545"/>
    <w:rsid w:val="00135BF9"/>
    <w:rsid w:val="00172366"/>
    <w:rsid w:val="00172A27"/>
    <w:rsid w:val="00180915"/>
    <w:rsid w:val="001B394C"/>
    <w:rsid w:val="001C08D1"/>
    <w:rsid w:val="001D514A"/>
    <w:rsid w:val="001E7852"/>
    <w:rsid w:val="001F090A"/>
    <w:rsid w:val="002047CA"/>
    <w:rsid w:val="00220CF4"/>
    <w:rsid w:val="00223A2C"/>
    <w:rsid w:val="00224CAB"/>
    <w:rsid w:val="00225497"/>
    <w:rsid w:val="002436DA"/>
    <w:rsid w:val="00250405"/>
    <w:rsid w:val="00255ED9"/>
    <w:rsid w:val="0026264A"/>
    <w:rsid w:val="00262AAE"/>
    <w:rsid w:val="00267F4E"/>
    <w:rsid w:val="0028327E"/>
    <w:rsid w:val="002A67C6"/>
    <w:rsid w:val="002B3EB5"/>
    <w:rsid w:val="002B7399"/>
    <w:rsid w:val="002F7B45"/>
    <w:rsid w:val="0031672C"/>
    <w:rsid w:val="00325417"/>
    <w:rsid w:val="00327763"/>
    <w:rsid w:val="0036427B"/>
    <w:rsid w:val="00383175"/>
    <w:rsid w:val="003A356B"/>
    <w:rsid w:val="003B1CD8"/>
    <w:rsid w:val="003B3009"/>
    <w:rsid w:val="003C6B1A"/>
    <w:rsid w:val="003E2E4F"/>
    <w:rsid w:val="003F72C8"/>
    <w:rsid w:val="004007C5"/>
    <w:rsid w:val="004060E5"/>
    <w:rsid w:val="00410F46"/>
    <w:rsid w:val="00435AB3"/>
    <w:rsid w:val="0046221B"/>
    <w:rsid w:val="00462DBA"/>
    <w:rsid w:val="004675D9"/>
    <w:rsid w:val="004C3598"/>
    <w:rsid w:val="004C5ECB"/>
    <w:rsid w:val="004D2988"/>
    <w:rsid w:val="0050345F"/>
    <w:rsid w:val="00511CB7"/>
    <w:rsid w:val="005137EE"/>
    <w:rsid w:val="00536A43"/>
    <w:rsid w:val="00546DA5"/>
    <w:rsid w:val="0055006D"/>
    <w:rsid w:val="00582CA2"/>
    <w:rsid w:val="00585C36"/>
    <w:rsid w:val="005B4CDD"/>
    <w:rsid w:val="005C3EB0"/>
    <w:rsid w:val="005F43C0"/>
    <w:rsid w:val="005F4E90"/>
    <w:rsid w:val="005F59ED"/>
    <w:rsid w:val="00613C8B"/>
    <w:rsid w:val="00635170"/>
    <w:rsid w:val="00650A5F"/>
    <w:rsid w:val="00656C5C"/>
    <w:rsid w:val="00663B11"/>
    <w:rsid w:val="006807EB"/>
    <w:rsid w:val="00692332"/>
    <w:rsid w:val="006A4C66"/>
    <w:rsid w:val="006B0267"/>
    <w:rsid w:val="006B0A0C"/>
    <w:rsid w:val="006C0203"/>
    <w:rsid w:val="006C0AFE"/>
    <w:rsid w:val="006C6496"/>
    <w:rsid w:val="006D4FE3"/>
    <w:rsid w:val="006E1314"/>
    <w:rsid w:val="006E6D49"/>
    <w:rsid w:val="006F619D"/>
    <w:rsid w:val="00701197"/>
    <w:rsid w:val="00710EC0"/>
    <w:rsid w:val="00717223"/>
    <w:rsid w:val="00750053"/>
    <w:rsid w:val="007627FE"/>
    <w:rsid w:val="00764622"/>
    <w:rsid w:val="00773BDE"/>
    <w:rsid w:val="00780148"/>
    <w:rsid w:val="007818A0"/>
    <w:rsid w:val="007A3C95"/>
    <w:rsid w:val="007B4284"/>
    <w:rsid w:val="007B4D9B"/>
    <w:rsid w:val="007B7474"/>
    <w:rsid w:val="007E1AA6"/>
    <w:rsid w:val="007E1CE1"/>
    <w:rsid w:val="007F0DE6"/>
    <w:rsid w:val="007F344C"/>
    <w:rsid w:val="00805A44"/>
    <w:rsid w:val="0081309C"/>
    <w:rsid w:val="00813347"/>
    <w:rsid w:val="00814F99"/>
    <w:rsid w:val="008157D7"/>
    <w:rsid w:val="00832BFA"/>
    <w:rsid w:val="00837CDB"/>
    <w:rsid w:val="00844D88"/>
    <w:rsid w:val="00853A85"/>
    <w:rsid w:val="00861D98"/>
    <w:rsid w:val="00863768"/>
    <w:rsid w:val="008835A8"/>
    <w:rsid w:val="008B6F2F"/>
    <w:rsid w:val="008D60E8"/>
    <w:rsid w:val="008F4470"/>
    <w:rsid w:val="008F55F2"/>
    <w:rsid w:val="008F6A7D"/>
    <w:rsid w:val="009012A0"/>
    <w:rsid w:val="00903AAF"/>
    <w:rsid w:val="0092061D"/>
    <w:rsid w:val="00923EFA"/>
    <w:rsid w:val="00925D80"/>
    <w:rsid w:val="00954AC5"/>
    <w:rsid w:val="009758A4"/>
    <w:rsid w:val="00996AA2"/>
    <w:rsid w:val="009A2F6F"/>
    <w:rsid w:val="009B18C5"/>
    <w:rsid w:val="009B28B0"/>
    <w:rsid w:val="009B57BA"/>
    <w:rsid w:val="009B75DF"/>
    <w:rsid w:val="009C510D"/>
    <w:rsid w:val="009E7F3B"/>
    <w:rsid w:val="00A056EB"/>
    <w:rsid w:val="00A07426"/>
    <w:rsid w:val="00A10F58"/>
    <w:rsid w:val="00A20B4C"/>
    <w:rsid w:val="00A26679"/>
    <w:rsid w:val="00A4461A"/>
    <w:rsid w:val="00A4796A"/>
    <w:rsid w:val="00A54ACC"/>
    <w:rsid w:val="00A54F87"/>
    <w:rsid w:val="00A73BD0"/>
    <w:rsid w:val="00A858DB"/>
    <w:rsid w:val="00AA1974"/>
    <w:rsid w:val="00AB669A"/>
    <w:rsid w:val="00AD5E29"/>
    <w:rsid w:val="00AE1059"/>
    <w:rsid w:val="00B01EC5"/>
    <w:rsid w:val="00B04647"/>
    <w:rsid w:val="00B0488D"/>
    <w:rsid w:val="00B23A31"/>
    <w:rsid w:val="00B2527A"/>
    <w:rsid w:val="00B25A05"/>
    <w:rsid w:val="00B346EC"/>
    <w:rsid w:val="00B462A2"/>
    <w:rsid w:val="00B72435"/>
    <w:rsid w:val="00B727A1"/>
    <w:rsid w:val="00B84ED3"/>
    <w:rsid w:val="00BB32BE"/>
    <w:rsid w:val="00BD3A3B"/>
    <w:rsid w:val="00BF1E6F"/>
    <w:rsid w:val="00BF6999"/>
    <w:rsid w:val="00C10574"/>
    <w:rsid w:val="00C15B4D"/>
    <w:rsid w:val="00C20119"/>
    <w:rsid w:val="00C30691"/>
    <w:rsid w:val="00C30D62"/>
    <w:rsid w:val="00C572B8"/>
    <w:rsid w:val="00C60EDB"/>
    <w:rsid w:val="00C63956"/>
    <w:rsid w:val="00C710FD"/>
    <w:rsid w:val="00C73747"/>
    <w:rsid w:val="00C840FA"/>
    <w:rsid w:val="00CA7085"/>
    <w:rsid w:val="00CB42C1"/>
    <w:rsid w:val="00CC3447"/>
    <w:rsid w:val="00CC4BD6"/>
    <w:rsid w:val="00CD25DC"/>
    <w:rsid w:val="00CD330E"/>
    <w:rsid w:val="00CE539A"/>
    <w:rsid w:val="00CF3AD5"/>
    <w:rsid w:val="00D06E06"/>
    <w:rsid w:val="00D119BD"/>
    <w:rsid w:val="00D14E9B"/>
    <w:rsid w:val="00D264D6"/>
    <w:rsid w:val="00D30621"/>
    <w:rsid w:val="00D33837"/>
    <w:rsid w:val="00D41445"/>
    <w:rsid w:val="00D42193"/>
    <w:rsid w:val="00D525EB"/>
    <w:rsid w:val="00D56BE1"/>
    <w:rsid w:val="00D62FB2"/>
    <w:rsid w:val="00D667C9"/>
    <w:rsid w:val="00DA5F61"/>
    <w:rsid w:val="00DD2F1C"/>
    <w:rsid w:val="00DE1499"/>
    <w:rsid w:val="00DE5325"/>
    <w:rsid w:val="00DF1A20"/>
    <w:rsid w:val="00DF7614"/>
    <w:rsid w:val="00E05B67"/>
    <w:rsid w:val="00E062D0"/>
    <w:rsid w:val="00E202E8"/>
    <w:rsid w:val="00E6622D"/>
    <w:rsid w:val="00E82C7F"/>
    <w:rsid w:val="00E84FB0"/>
    <w:rsid w:val="00E92C78"/>
    <w:rsid w:val="00E93172"/>
    <w:rsid w:val="00E939E8"/>
    <w:rsid w:val="00E94FE8"/>
    <w:rsid w:val="00EE03F3"/>
    <w:rsid w:val="00EF6A4D"/>
    <w:rsid w:val="00F0377E"/>
    <w:rsid w:val="00F1478E"/>
    <w:rsid w:val="00F32EDF"/>
    <w:rsid w:val="00F41A7E"/>
    <w:rsid w:val="00F74E1C"/>
    <w:rsid w:val="00F75C1D"/>
    <w:rsid w:val="00F85AAA"/>
    <w:rsid w:val="00F86130"/>
    <w:rsid w:val="00F91F9A"/>
    <w:rsid w:val="00F931D7"/>
    <w:rsid w:val="00FB1689"/>
    <w:rsid w:val="00FB6AC6"/>
    <w:rsid w:val="00FC6AA6"/>
    <w:rsid w:val="00FC7F8C"/>
    <w:rsid w:val="00FD2086"/>
    <w:rsid w:val="00FE25DA"/>
    <w:rsid w:val="00FF21DC"/>
    <w:rsid w:val="00FF24FB"/>
    <w:rsid w:val="00FF71C8"/>
    <w:rsid w:val="01094349"/>
    <w:rsid w:val="012769B7"/>
    <w:rsid w:val="012E59E9"/>
    <w:rsid w:val="01394024"/>
    <w:rsid w:val="013A267D"/>
    <w:rsid w:val="0162270D"/>
    <w:rsid w:val="01CD7566"/>
    <w:rsid w:val="01D66F4B"/>
    <w:rsid w:val="01D9580A"/>
    <w:rsid w:val="01E227AE"/>
    <w:rsid w:val="01F571E8"/>
    <w:rsid w:val="021308D3"/>
    <w:rsid w:val="023E7910"/>
    <w:rsid w:val="024579BE"/>
    <w:rsid w:val="024D2E3C"/>
    <w:rsid w:val="02586BD3"/>
    <w:rsid w:val="025C780E"/>
    <w:rsid w:val="0273635F"/>
    <w:rsid w:val="028B18FB"/>
    <w:rsid w:val="02A8753A"/>
    <w:rsid w:val="02DD40CD"/>
    <w:rsid w:val="02E511F1"/>
    <w:rsid w:val="02EE69C3"/>
    <w:rsid w:val="02F2197A"/>
    <w:rsid w:val="02F76DC4"/>
    <w:rsid w:val="030930CD"/>
    <w:rsid w:val="030C728A"/>
    <w:rsid w:val="033A6639"/>
    <w:rsid w:val="0360114C"/>
    <w:rsid w:val="039564EB"/>
    <w:rsid w:val="03B747F3"/>
    <w:rsid w:val="03D87C92"/>
    <w:rsid w:val="03E64A15"/>
    <w:rsid w:val="03E93D88"/>
    <w:rsid w:val="044B08D3"/>
    <w:rsid w:val="04566839"/>
    <w:rsid w:val="045B1BB3"/>
    <w:rsid w:val="046723E1"/>
    <w:rsid w:val="04763F80"/>
    <w:rsid w:val="048D484C"/>
    <w:rsid w:val="04A96AA8"/>
    <w:rsid w:val="04B110EF"/>
    <w:rsid w:val="04C6487F"/>
    <w:rsid w:val="04C65575"/>
    <w:rsid w:val="04D733A4"/>
    <w:rsid w:val="04E477ED"/>
    <w:rsid w:val="04E54EEC"/>
    <w:rsid w:val="0508691C"/>
    <w:rsid w:val="050E79AB"/>
    <w:rsid w:val="052B6B09"/>
    <w:rsid w:val="05393113"/>
    <w:rsid w:val="0543758C"/>
    <w:rsid w:val="05541D07"/>
    <w:rsid w:val="055E32F7"/>
    <w:rsid w:val="05600E1D"/>
    <w:rsid w:val="057B6D15"/>
    <w:rsid w:val="05811210"/>
    <w:rsid w:val="05893F99"/>
    <w:rsid w:val="05A05163"/>
    <w:rsid w:val="05A37431"/>
    <w:rsid w:val="05BF1939"/>
    <w:rsid w:val="05C85B0E"/>
    <w:rsid w:val="05D37AA0"/>
    <w:rsid w:val="05FD728F"/>
    <w:rsid w:val="061E43BA"/>
    <w:rsid w:val="061F2079"/>
    <w:rsid w:val="062009F3"/>
    <w:rsid w:val="06341F06"/>
    <w:rsid w:val="063D5175"/>
    <w:rsid w:val="06727D71"/>
    <w:rsid w:val="06762343"/>
    <w:rsid w:val="06900EB3"/>
    <w:rsid w:val="06BC3AFC"/>
    <w:rsid w:val="06BE2A76"/>
    <w:rsid w:val="06BF2636"/>
    <w:rsid w:val="06E536F8"/>
    <w:rsid w:val="06FC6923"/>
    <w:rsid w:val="07085C93"/>
    <w:rsid w:val="070F3A3D"/>
    <w:rsid w:val="071D3100"/>
    <w:rsid w:val="072077BF"/>
    <w:rsid w:val="07322345"/>
    <w:rsid w:val="074F3E74"/>
    <w:rsid w:val="07500846"/>
    <w:rsid w:val="07634C8C"/>
    <w:rsid w:val="076369A2"/>
    <w:rsid w:val="07885133"/>
    <w:rsid w:val="07930C47"/>
    <w:rsid w:val="079866C4"/>
    <w:rsid w:val="079F3BC2"/>
    <w:rsid w:val="07A904E0"/>
    <w:rsid w:val="07C23A03"/>
    <w:rsid w:val="07C618F2"/>
    <w:rsid w:val="07D95ACD"/>
    <w:rsid w:val="07F5170F"/>
    <w:rsid w:val="07F51E99"/>
    <w:rsid w:val="08011A04"/>
    <w:rsid w:val="08182CD5"/>
    <w:rsid w:val="081A705F"/>
    <w:rsid w:val="08217356"/>
    <w:rsid w:val="08271067"/>
    <w:rsid w:val="08471DC4"/>
    <w:rsid w:val="084A6EFB"/>
    <w:rsid w:val="086D1880"/>
    <w:rsid w:val="086D7CFD"/>
    <w:rsid w:val="08863F6D"/>
    <w:rsid w:val="08A17BC4"/>
    <w:rsid w:val="08C0173D"/>
    <w:rsid w:val="08C6368D"/>
    <w:rsid w:val="08CD1EA2"/>
    <w:rsid w:val="08D02215"/>
    <w:rsid w:val="08D4715E"/>
    <w:rsid w:val="08E7318A"/>
    <w:rsid w:val="08EC5367"/>
    <w:rsid w:val="08EC5E70"/>
    <w:rsid w:val="08EE7A0B"/>
    <w:rsid w:val="09120D2B"/>
    <w:rsid w:val="09222C6A"/>
    <w:rsid w:val="095F65FB"/>
    <w:rsid w:val="09750D3D"/>
    <w:rsid w:val="097D5430"/>
    <w:rsid w:val="09CE1022"/>
    <w:rsid w:val="09D23ED5"/>
    <w:rsid w:val="09D57A6D"/>
    <w:rsid w:val="0A4E7850"/>
    <w:rsid w:val="0A5126D6"/>
    <w:rsid w:val="0A6220C9"/>
    <w:rsid w:val="0A6D510A"/>
    <w:rsid w:val="0A7D62E8"/>
    <w:rsid w:val="0AB94161"/>
    <w:rsid w:val="0AC566BE"/>
    <w:rsid w:val="0AF21870"/>
    <w:rsid w:val="0AF97E78"/>
    <w:rsid w:val="0AFA3B06"/>
    <w:rsid w:val="0AFC1741"/>
    <w:rsid w:val="0B1C5A8D"/>
    <w:rsid w:val="0B2121A1"/>
    <w:rsid w:val="0B330637"/>
    <w:rsid w:val="0B4935A0"/>
    <w:rsid w:val="0B4C00F3"/>
    <w:rsid w:val="0B5E0F27"/>
    <w:rsid w:val="0B5E520A"/>
    <w:rsid w:val="0B6447D2"/>
    <w:rsid w:val="0B74292D"/>
    <w:rsid w:val="0B81389B"/>
    <w:rsid w:val="0B8A6127"/>
    <w:rsid w:val="0B902400"/>
    <w:rsid w:val="0B9B1563"/>
    <w:rsid w:val="0B9D61FB"/>
    <w:rsid w:val="0BA464B7"/>
    <w:rsid w:val="0BF860D7"/>
    <w:rsid w:val="0C083FBC"/>
    <w:rsid w:val="0C5F1B4A"/>
    <w:rsid w:val="0C7E075C"/>
    <w:rsid w:val="0C7F6C48"/>
    <w:rsid w:val="0C861482"/>
    <w:rsid w:val="0CA26ED5"/>
    <w:rsid w:val="0CE1624F"/>
    <w:rsid w:val="0CFB142B"/>
    <w:rsid w:val="0D051726"/>
    <w:rsid w:val="0D0A2FBD"/>
    <w:rsid w:val="0D0C3C71"/>
    <w:rsid w:val="0D6F1378"/>
    <w:rsid w:val="0D815259"/>
    <w:rsid w:val="0DB910B4"/>
    <w:rsid w:val="0DBD2A22"/>
    <w:rsid w:val="0DBF16D0"/>
    <w:rsid w:val="0DC85A4B"/>
    <w:rsid w:val="0DD417B7"/>
    <w:rsid w:val="0DDC104A"/>
    <w:rsid w:val="0DF0337A"/>
    <w:rsid w:val="0DF67E3C"/>
    <w:rsid w:val="0DFC1FF9"/>
    <w:rsid w:val="0DFC36AD"/>
    <w:rsid w:val="0E0914D0"/>
    <w:rsid w:val="0E17512A"/>
    <w:rsid w:val="0E271689"/>
    <w:rsid w:val="0E464C5D"/>
    <w:rsid w:val="0E4D1775"/>
    <w:rsid w:val="0E7B4F16"/>
    <w:rsid w:val="0EAE2249"/>
    <w:rsid w:val="0EAE5350"/>
    <w:rsid w:val="0EB16245"/>
    <w:rsid w:val="0EB46EB8"/>
    <w:rsid w:val="0EBC4E67"/>
    <w:rsid w:val="0ECF0EB9"/>
    <w:rsid w:val="0ED00799"/>
    <w:rsid w:val="0EE32363"/>
    <w:rsid w:val="0EFD216F"/>
    <w:rsid w:val="0F166D32"/>
    <w:rsid w:val="0F1E32C1"/>
    <w:rsid w:val="0F2E7483"/>
    <w:rsid w:val="0F382189"/>
    <w:rsid w:val="0F440294"/>
    <w:rsid w:val="0F5E2811"/>
    <w:rsid w:val="0F5F6D6A"/>
    <w:rsid w:val="0F626540"/>
    <w:rsid w:val="0F6866F1"/>
    <w:rsid w:val="0F6A385B"/>
    <w:rsid w:val="0F714C15"/>
    <w:rsid w:val="0F941A13"/>
    <w:rsid w:val="0F9A1330"/>
    <w:rsid w:val="0FA062BA"/>
    <w:rsid w:val="0FA12696"/>
    <w:rsid w:val="0FA577F8"/>
    <w:rsid w:val="0FA7086E"/>
    <w:rsid w:val="0FB64E29"/>
    <w:rsid w:val="0FC839FF"/>
    <w:rsid w:val="0FCA0646"/>
    <w:rsid w:val="0FCF78C8"/>
    <w:rsid w:val="0FD619A9"/>
    <w:rsid w:val="0FF14827"/>
    <w:rsid w:val="10043BC1"/>
    <w:rsid w:val="10414DF0"/>
    <w:rsid w:val="105E0C40"/>
    <w:rsid w:val="1086310C"/>
    <w:rsid w:val="10DC4CED"/>
    <w:rsid w:val="10E96CE7"/>
    <w:rsid w:val="10EC1CF1"/>
    <w:rsid w:val="10F03EEC"/>
    <w:rsid w:val="10F152F8"/>
    <w:rsid w:val="10F2322D"/>
    <w:rsid w:val="11096549"/>
    <w:rsid w:val="1117535E"/>
    <w:rsid w:val="112F6F99"/>
    <w:rsid w:val="1146085A"/>
    <w:rsid w:val="114D18C8"/>
    <w:rsid w:val="116F1047"/>
    <w:rsid w:val="11724263"/>
    <w:rsid w:val="118502AF"/>
    <w:rsid w:val="1188198B"/>
    <w:rsid w:val="118C2D4D"/>
    <w:rsid w:val="11A52EA1"/>
    <w:rsid w:val="11B816BD"/>
    <w:rsid w:val="11CE35B2"/>
    <w:rsid w:val="11D215C6"/>
    <w:rsid w:val="11D35214"/>
    <w:rsid w:val="11D4075F"/>
    <w:rsid w:val="11D40B2D"/>
    <w:rsid w:val="11D70FD9"/>
    <w:rsid w:val="11E01B9D"/>
    <w:rsid w:val="11E23BC9"/>
    <w:rsid w:val="11EB2E46"/>
    <w:rsid w:val="11F16FA1"/>
    <w:rsid w:val="12262264"/>
    <w:rsid w:val="123F557F"/>
    <w:rsid w:val="124963F5"/>
    <w:rsid w:val="124E68E3"/>
    <w:rsid w:val="12582E7C"/>
    <w:rsid w:val="126C3B5A"/>
    <w:rsid w:val="127F2BB6"/>
    <w:rsid w:val="128B3371"/>
    <w:rsid w:val="129427CF"/>
    <w:rsid w:val="12960E0E"/>
    <w:rsid w:val="12A7609D"/>
    <w:rsid w:val="12B32B77"/>
    <w:rsid w:val="12C222BA"/>
    <w:rsid w:val="12EB79B4"/>
    <w:rsid w:val="12F26E2C"/>
    <w:rsid w:val="12F67A73"/>
    <w:rsid w:val="12FF4023"/>
    <w:rsid w:val="13040CCE"/>
    <w:rsid w:val="131E3E3E"/>
    <w:rsid w:val="132945D8"/>
    <w:rsid w:val="132C01D7"/>
    <w:rsid w:val="133231BD"/>
    <w:rsid w:val="13403811"/>
    <w:rsid w:val="13486F3C"/>
    <w:rsid w:val="135C6BD2"/>
    <w:rsid w:val="138C0E88"/>
    <w:rsid w:val="139116FB"/>
    <w:rsid w:val="139B0C82"/>
    <w:rsid w:val="13A2205C"/>
    <w:rsid w:val="13A879AD"/>
    <w:rsid w:val="13C1679F"/>
    <w:rsid w:val="13C50F61"/>
    <w:rsid w:val="13CA5CBB"/>
    <w:rsid w:val="13CB54FB"/>
    <w:rsid w:val="13DD3867"/>
    <w:rsid w:val="140E69AF"/>
    <w:rsid w:val="143667BA"/>
    <w:rsid w:val="14425B91"/>
    <w:rsid w:val="145C78B6"/>
    <w:rsid w:val="14895314"/>
    <w:rsid w:val="14AC4783"/>
    <w:rsid w:val="14BB3D9D"/>
    <w:rsid w:val="14C01620"/>
    <w:rsid w:val="14CE4C4A"/>
    <w:rsid w:val="14D14DF3"/>
    <w:rsid w:val="14E33F8F"/>
    <w:rsid w:val="14ED3439"/>
    <w:rsid w:val="150F1F18"/>
    <w:rsid w:val="151237B6"/>
    <w:rsid w:val="151B0A88"/>
    <w:rsid w:val="152A6D51"/>
    <w:rsid w:val="15434B1A"/>
    <w:rsid w:val="154775DB"/>
    <w:rsid w:val="1557476D"/>
    <w:rsid w:val="15602926"/>
    <w:rsid w:val="15634F3F"/>
    <w:rsid w:val="15A946BD"/>
    <w:rsid w:val="15B93A9D"/>
    <w:rsid w:val="15D2616C"/>
    <w:rsid w:val="15F64E85"/>
    <w:rsid w:val="16035B27"/>
    <w:rsid w:val="160C28FB"/>
    <w:rsid w:val="161909AB"/>
    <w:rsid w:val="16315040"/>
    <w:rsid w:val="16341CFD"/>
    <w:rsid w:val="164A5A91"/>
    <w:rsid w:val="16754394"/>
    <w:rsid w:val="167F051A"/>
    <w:rsid w:val="168A12C9"/>
    <w:rsid w:val="16CC23A5"/>
    <w:rsid w:val="16CE23DB"/>
    <w:rsid w:val="16D36DD8"/>
    <w:rsid w:val="16DB096A"/>
    <w:rsid w:val="16F47535"/>
    <w:rsid w:val="17017919"/>
    <w:rsid w:val="1707745D"/>
    <w:rsid w:val="17134DE9"/>
    <w:rsid w:val="17355EF2"/>
    <w:rsid w:val="174F010B"/>
    <w:rsid w:val="17575DF8"/>
    <w:rsid w:val="179260EA"/>
    <w:rsid w:val="17A56968"/>
    <w:rsid w:val="17A6764C"/>
    <w:rsid w:val="17C84A26"/>
    <w:rsid w:val="17F06222"/>
    <w:rsid w:val="17F15819"/>
    <w:rsid w:val="1808406F"/>
    <w:rsid w:val="180A6323"/>
    <w:rsid w:val="18223E33"/>
    <w:rsid w:val="18347DA9"/>
    <w:rsid w:val="18354BE4"/>
    <w:rsid w:val="18386D85"/>
    <w:rsid w:val="18667C2D"/>
    <w:rsid w:val="18676D31"/>
    <w:rsid w:val="186D1F1D"/>
    <w:rsid w:val="187E0D9F"/>
    <w:rsid w:val="18B96040"/>
    <w:rsid w:val="18E62C00"/>
    <w:rsid w:val="18EA509D"/>
    <w:rsid w:val="19016619"/>
    <w:rsid w:val="193A6C9E"/>
    <w:rsid w:val="194D26EB"/>
    <w:rsid w:val="195F5F7A"/>
    <w:rsid w:val="19675946"/>
    <w:rsid w:val="196E5343"/>
    <w:rsid w:val="199F572B"/>
    <w:rsid w:val="19A15D30"/>
    <w:rsid w:val="19AA1F71"/>
    <w:rsid w:val="19CE4314"/>
    <w:rsid w:val="19DE1DB2"/>
    <w:rsid w:val="19E8706F"/>
    <w:rsid w:val="19F17E3E"/>
    <w:rsid w:val="1A03653A"/>
    <w:rsid w:val="1A420699"/>
    <w:rsid w:val="1A5C0163"/>
    <w:rsid w:val="1A5C0265"/>
    <w:rsid w:val="1A5C5437"/>
    <w:rsid w:val="1A710350"/>
    <w:rsid w:val="1A7E3300"/>
    <w:rsid w:val="1A8707A2"/>
    <w:rsid w:val="1A900755"/>
    <w:rsid w:val="1AA068E2"/>
    <w:rsid w:val="1ACB621C"/>
    <w:rsid w:val="1B071D1A"/>
    <w:rsid w:val="1B0B68D7"/>
    <w:rsid w:val="1B1D2DC1"/>
    <w:rsid w:val="1B4F1A1B"/>
    <w:rsid w:val="1B5D1510"/>
    <w:rsid w:val="1B6D3BE2"/>
    <w:rsid w:val="1B913B5E"/>
    <w:rsid w:val="1B921CAA"/>
    <w:rsid w:val="1BE7045D"/>
    <w:rsid w:val="1C0D5BEE"/>
    <w:rsid w:val="1C12473F"/>
    <w:rsid w:val="1C1A6466"/>
    <w:rsid w:val="1C2348DF"/>
    <w:rsid w:val="1C2432A7"/>
    <w:rsid w:val="1C24725A"/>
    <w:rsid w:val="1C257D54"/>
    <w:rsid w:val="1C2A0B95"/>
    <w:rsid w:val="1C67224D"/>
    <w:rsid w:val="1C6942AA"/>
    <w:rsid w:val="1C6C0593"/>
    <w:rsid w:val="1C73539F"/>
    <w:rsid w:val="1C740E55"/>
    <w:rsid w:val="1C813597"/>
    <w:rsid w:val="1CA24DC3"/>
    <w:rsid w:val="1CAD6963"/>
    <w:rsid w:val="1CB12095"/>
    <w:rsid w:val="1CC3009D"/>
    <w:rsid w:val="1CCE7F92"/>
    <w:rsid w:val="1CD41D86"/>
    <w:rsid w:val="1CDA2E0B"/>
    <w:rsid w:val="1CE45065"/>
    <w:rsid w:val="1D1333A9"/>
    <w:rsid w:val="1D3A5772"/>
    <w:rsid w:val="1D453F44"/>
    <w:rsid w:val="1D502B54"/>
    <w:rsid w:val="1D815DBA"/>
    <w:rsid w:val="1D8525E2"/>
    <w:rsid w:val="1DA15D00"/>
    <w:rsid w:val="1DB000FE"/>
    <w:rsid w:val="1DC74262"/>
    <w:rsid w:val="1DCB4E4A"/>
    <w:rsid w:val="1DCD4793"/>
    <w:rsid w:val="1DDC7CB5"/>
    <w:rsid w:val="1DF12FAB"/>
    <w:rsid w:val="1E185BC7"/>
    <w:rsid w:val="1E3E4F5E"/>
    <w:rsid w:val="1E726E7E"/>
    <w:rsid w:val="1E8219AC"/>
    <w:rsid w:val="1E87405B"/>
    <w:rsid w:val="1E8F227E"/>
    <w:rsid w:val="1EA7692A"/>
    <w:rsid w:val="1EA81AFF"/>
    <w:rsid w:val="1EC40498"/>
    <w:rsid w:val="1EDB2DD9"/>
    <w:rsid w:val="1EDC6F26"/>
    <w:rsid w:val="1EEA0C98"/>
    <w:rsid w:val="1EEE0DF0"/>
    <w:rsid w:val="1EFD6B8A"/>
    <w:rsid w:val="1EFE30F7"/>
    <w:rsid w:val="1F0F19A6"/>
    <w:rsid w:val="1F1761A6"/>
    <w:rsid w:val="1F291196"/>
    <w:rsid w:val="1F330319"/>
    <w:rsid w:val="1F592E8C"/>
    <w:rsid w:val="1F6A3FC4"/>
    <w:rsid w:val="1FDC42E3"/>
    <w:rsid w:val="1FEE2AF1"/>
    <w:rsid w:val="1FF06385"/>
    <w:rsid w:val="20020FF7"/>
    <w:rsid w:val="20064CAF"/>
    <w:rsid w:val="201C2B30"/>
    <w:rsid w:val="204433C0"/>
    <w:rsid w:val="205366BE"/>
    <w:rsid w:val="207D1ED0"/>
    <w:rsid w:val="20844BAB"/>
    <w:rsid w:val="208F53B0"/>
    <w:rsid w:val="20951883"/>
    <w:rsid w:val="20995163"/>
    <w:rsid w:val="20A26E11"/>
    <w:rsid w:val="20CF69FF"/>
    <w:rsid w:val="210439C2"/>
    <w:rsid w:val="210F2BF2"/>
    <w:rsid w:val="213627FE"/>
    <w:rsid w:val="21556F04"/>
    <w:rsid w:val="21703D3E"/>
    <w:rsid w:val="21883606"/>
    <w:rsid w:val="219C03B2"/>
    <w:rsid w:val="21A167E8"/>
    <w:rsid w:val="21C578A7"/>
    <w:rsid w:val="21D20B48"/>
    <w:rsid w:val="21D31905"/>
    <w:rsid w:val="21FE5C81"/>
    <w:rsid w:val="22277688"/>
    <w:rsid w:val="222B70AE"/>
    <w:rsid w:val="223E528E"/>
    <w:rsid w:val="224124AF"/>
    <w:rsid w:val="2256290C"/>
    <w:rsid w:val="225E003A"/>
    <w:rsid w:val="22737F8A"/>
    <w:rsid w:val="228E642E"/>
    <w:rsid w:val="228F517E"/>
    <w:rsid w:val="22A62AE4"/>
    <w:rsid w:val="22A6393F"/>
    <w:rsid w:val="22B3035B"/>
    <w:rsid w:val="22C37370"/>
    <w:rsid w:val="22C47B7B"/>
    <w:rsid w:val="22C51643"/>
    <w:rsid w:val="22D80FAB"/>
    <w:rsid w:val="22E74393"/>
    <w:rsid w:val="22EA6896"/>
    <w:rsid w:val="230836AD"/>
    <w:rsid w:val="23287F08"/>
    <w:rsid w:val="23394901"/>
    <w:rsid w:val="236318A1"/>
    <w:rsid w:val="236D2C2B"/>
    <w:rsid w:val="23793B12"/>
    <w:rsid w:val="237D63CD"/>
    <w:rsid w:val="237E0043"/>
    <w:rsid w:val="239F02E2"/>
    <w:rsid w:val="23B01D80"/>
    <w:rsid w:val="23B958B7"/>
    <w:rsid w:val="23C0683C"/>
    <w:rsid w:val="23C94C24"/>
    <w:rsid w:val="23DE5B95"/>
    <w:rsid w:val="23E01FCF"/>
    <w:rsid w:val="240A2BF7"/>
    <w:rsid w:val="24246437"/>
    <w:rsid w:val="24265031"/>
    <w:rsid w:val="242A0E99"/>
    <w:rsid w:val="245A2312"/>
    <w:rsid w:val="245C3810"/>
    <w:rsid w:val="24650F71"/>
    <w:rsid w:val="247972F7"/>
    <w:rsid w:val="247F5623"/>
    <w:rsid w:val="249D0D87"/>
    <w:rsid w:val="24D56F8F"/>
    <w:rsid w:val="24D8552F"/>
    <w:rsid w:val="24DE76D6"/>
    <w:rsid w:val="24E97F3C"/>
    <w:rsid w:val="24F904EE"/>
    <w:rsid w:val="25036FD1"/>
    <w:rsid w:val="251E7FA0"/>
    <w:rsid w:val="25233712"/>
    <w:rsid w:val="252B6F44"/>
    <w:rsid w:val="253334D6"/>
    <w:rsid w:val="256C23A2"/>
    <w:rsid w:val="258709ED"/>
    <w:rsid w:val="25A937A6"/>
    <w:rsid w:val="25BF2F2A"/>
    <w:rsid w:val="25C55235"/>
    <w:rsid w:val="25CB213C"/>
    <w:rsid w:val="25CC175F"/>
    <w:rsid w:val="25DC23FC"/>
    <w:rsid w:val="25FB2A28"/>
    <w:rsid w:val="262E360D"/>
    <w:rsid w:val="26373626"/>
    <w:rsid w:val="26377EE1"/>
    <w:rsid w:val="2638473F"/>
    <w:rsid w:val="264C76F9"/>
    <w:rsid w:val="267F16B0"/>
    <w:rsid w:val="2681080B"/>
    <w:rsid w:val="26852CD6"/>
    <w:rsid w:val="26B5742A"/>
    <w:rsid w:val="26BA2907"/>
    <w:rsid w:val="26C95666"/>
    <w:rsid w:val="26D4732F"/>
    <w:rsid w:val="26D600CD"/>
    <w:rsid w:val="26E40F07"/>
    <w:rsid w:val="26F16824"/>
    <w:rsid w:val="272374AA"/>
    <w:rsid w:val="272D1D7E"/>
    <w:rsid w:val="273A3790"/>
    <w:rsid w:val="273B3040"/>
    <w:rsid w:val="273E4F7B"/>
    <w:rsid w:val="276F7B76"/>
    <w:rsid w:val="27833D32"/>
    <w:rsid w:val="279267F4"/>
    <w:rsid w:val="27A00C63"/>
    <w:rsid w:val="27A87495"/>
    <w:rsid w:val="27AC7E9A"/>
    <w:rsid w:val="27B4508B"/>
    <w:rsid w:val="27E0534D"/>
    <w:rsid w:val="27E35BF0"/>
    <w:rsid w:val="27EB56AD"/>
    <w:rsid w:val="28001D1E"/>
    <w:rsid w:val="28096C9A"/>
    <w:rsid w:val="28121FDE"/>
    <w:rsid w:val="28207FAC"/>
    <w:rsid w:val="2823410B"/>
    <w:rsid w:val="28385B98"/>
    <w:rsid w:val="28460C05"/>
    <w:rsid w:val="284A4BE2"/>
    <w:rsid w:val="285F5FEC"/>
    <w:rsid w:val="286168EB"/>
    <w:rsid w:val="28660F98"/>
    <w:rsid w:val="286E4D0F"/>
    <w:rsid w:val="28736FAC"/>
    <w:rsid w:val="288B0E9B"/>
    <w:rsid w:val="288C7238"/>
    <w:rsid w:val="289C7F0A"/>
    <w:rsid w:val="28B5152F"/>
    <w:rsid w:val="28BD78A7"/>
    <w:rsid w:val="28BD7B22"/>
    <w:rsid w:val="28D27604"/>
    <w:rsid w:val="28EA087A"/>
    <w:rsid w:val="2900017B"/>
    <w:rsid w:val="29084E5B"/>
    <w:rsid w:val="290D1CE2"/>
    <w:rsid w:val="29100934"/>
    <w:rsid w:val="29793246"/>
    <w:rsid w:val="299762DC"/>
    <w:rsid w:val="29BE76B1"/>
    <w:rsid w:val="29BF3444"/>
    <w:rsid w:val="29DE3F6A"/>
    <w:rsid w:val="29FA2125"/>
    <w:rsid w:val="29FF7EDD"/>
    <w:rsid w:val="2A267420"/>
    <w:rsid w:val="2A3834BF"/>
    <w:rsid w:val="2A792319"/>
    <w:rsid w:val="2AB871EA"/>
    <w:rsid w:val="2ACE37B3"/>
    <w:rsid w:val="2AD15A92"/>
    <w:rsid w:val="2AD57550"/>
    <w:rsid w:val="2ADF19DC"/>
    <w:rsid w:val="2B1E480B"/>
    <w:rsid w:val="2B2D08DD"/>
    <w:rsid w:val="2B6C01FE"/>
    <w:rsid w:val="2B6F2DD8"/>
    <w:rsid w:val="2B77737F"/>
    <w:rsid w:val="2B81593B"/>
    <w:rsid w:val="2B901E4B"/>
    <w:rsid w:val="2BA71150"/>
    <w:rsid w:val="2BB3052B"/>
    <w:rsid w:val="2BD326CE"/>
    <w:rsid w:val="2BDE25AC"/>
    <w:rsid w:val="2BEB5FF3"/>
    <w:rsid w:val="2BEC00A0"/>
    <w:rsid w:val="2BF63C78"/>
    <w:rsid w:val="2C1515A3"/>
    <w:rsid w:val="2C315078"/>
    <w:rsid w:val="2C482E2F"/>
    <w:rsid w:val="2C5C53FD"/>
    <w:rsid w:val="2C6F64DF"/>
    <w:rsid w:val="2C704C4D"/>
    <w:rsid w:val="2C896CE5"/>
    <w:rsid w:val="2C9A2E6C"/>
    <w:rsid w:val="2CA80CEA"/>
    <w:rsid w:val="2CB52C30"/>
    <w:rsid w:val="2CBC42DB"/>
    <w:rsid w:val="2CCC5E24"/>
    <w:rsid w:val="2D1104B4"/>
    <w:rsid w:val="2D145C59"/>
    <w:rsid w:val="2D2337CE"/>
    <w:rsid w:val="2D323FBF"/>
    <w:rsid w:val="2D343BD1"/>
    <w:rsid w:val="2D3868D5"/>
    <w:rsid w:val="2D3C26ED"/>
    <w:rsid w:val="2D43253B"/>
    <w:rsid w:val="2D5A233D"/>
    <w:rsid w:val="2D5B0FD0"/>
    <w:rsid w:val="2D5E655B"/>
    <w:rsid w:val="2D5F6A75"/>
    <w:rsid w:val="2D6E23BB"/>
    <w:rsid w:val="2D7B713B"/>
    <w:rsid w:val="2D9B2B4D"/>
    <w:rsid w:val="2D9F45E7"/>
    <w:rsid w:val="2DA42C1C"/>
    <w:rsid w:val="2DA51D6F"/>
    <w:rsid w:val="2DC17B57"/>
    <w:rsid w:val="2DD73AF1"/>
    <w:rsid w:val="2DF30D03"/>
    <w:rsid w:val="2E051FE8"/>
    <w:rsid w:val="2E176603"/>
    <w:rsid w:val="2E2A07F3"/>
    <w:rsid w:val="2E411FBE"/>
    <w:rsid w:val="2E487A16"/>
    <w:rsid w:val="2E4E3D97"/>
    <w:rsid w:val="2E630014"/>
    <w:rsid w:val="2E651ADF"/>
    <w:rsid w:val="2E670BC2"/>
    <w:rsid w:val="2E67330C"/>
    <w:rsid w:val="2E750A6C"/>
    <w:rsid w:val="2E7769B1"/>
    <w:rsid w:val="2E9E4A7A"/>
    <w:rsid w:val="2EA87796"/>
    <w:rsid w:val="2EAB649D"/>
    <w:rsid w:val="2EAC48D0"/>
    <w:rsid w:val="2EB26EB1"/>
    <w:rsid w:val="2EB47AD9"/>
    <w:rsid w:val="2EBE75D8"/>
    <w:rsid w:val="2EC14298"/>
    <w:rsid w:val="2ED34326"/>
    <w:rsid w:val="2ED76369"/>
    <w:rsid w:val="2EF7784D"/>
    <w:rsid w:val="2EFF6281"/>
    <w:rsid w:val="2F0869F1"/>
    <w:rsid w:val="2F1177A1"/>
    <w:rsid w:val="2F2F701F"/>
    <w:rsid w:val="2F390352"/>
    <w:rsid w:val="2F503ECF"/>
    <w:rsid w:val="2F551698"/>
    <w:rsid w:val="2F5C0A23"/>
    <w:rsid w:val="2F646F67"/>
    <w:rsid w:val="2F77098D"/>
    <w:rsid w:val="2F9A40DB"/>
    <w:rsid w:val="2F9A6459"/>
    <w:rsid w:val="2FAA48BF"/>
    <w:rsid w:val="2FAA5557"/>
    <w:rsid w:val="2FBD340B"/>
    <w:rsid w:val="2FCB7054"/>
    <w:rsid w:val="2FDC5136"/>
    <w:rsid w:val="2FF12D31"/>
    <w:rsid w:val="30125F90"/>
    <w:rsid w:val="30201025"/>
    <w:rsid w:val="30344C33"/>
    <w:rsid w:val="303C4F99"/>
    <w:rsid w:val="304E1DA5"/>
    <w:rsid w:val="304E23DC"/>
    <w:rsid w:val="304F2CC8"/>
    <w:rsid w:val="3054451A"/>
    <w:rsid w:val="3059183E"/>
    <w:rsid w:val="305C3D14"/>
    <w:rsid w:val="306642F7"/>
    <w:rsid w:val="3074193D"/>
    <w:rsid w:val="30763F62"/>
    <w:rsid w:val="307849BD"/>
    <w:rsid w:val="309521DA"/>
    <w:rsid w:val="309A5711"/>
    <w:rsid w:val="30B4423A"/>
    <w:rsid w:val="30D51A3F"/>
    <w:rsid w:val="30D53E43"/>
    <w:rsid w:val="30EE6C4B"/>
    <w:rsid w:val="311643F2"/>
    <w:rsid w:val="31271F3F"/>
    <w:rsid w:val="314B77D5"/>
    <w:rsid w:val="314F7812"/>
    <w:rsid w:val="3153699C"/>
    <w:rsid w:val="31584DC5"/>
    <w:rsid w:val="317D57D9"/>
    <w:rsid w:val="318B600D"/>
    <w:rsid w:val="31B50C78"/>
    <w:rsid w:val="31B904DF"/>
    <w:rsid w:val="31BD2BC2"/>
    <w:rsid w:val="31E9143D"/>
    <w:rsid w:val="31F6203D"/>
    <w:rsid w:val="31FB58A6"/>
    <w:rsid w:val="322132E5"/>
    <w:rsid w:val="32294DDE"/>
    <w:rsid w:val="322C3CB1"/>
    <w:rsid w:val="32467FEC"/>
    <w:rsid w:val="326D3E49"/>
    <w:rsid w:val="327B3892"/>
    <w:rsid w:val="32B56430"/>
    <w:rsid w:val="32CE2596"/>
    <w:rsid w:val="32D1294D"/>
    <w:rsid w:val="32E10FA6"/>
    <w:rsid w:val="32E477ED"/>
    <w:rsid w:val="32EC3132"/>
    <w:rsid w:val="32FA44B5"/>
    <w:rsid w:val="330C79FD"/>
    <w:rsid w:val="332B160A"/>
    <w:rsid w:val="3335622A"/>
    <w:rsid w:val="333C34CF"/>
    <w:rsid w:val="333D0076"/>
    <w:rsid w:val="334119DE"/>
    <w:rsid w:val="3352147F"/>
    <w:rsid w:val="335D0512"/>
    <w:rsid w:val="338E2A54"/>
    <w:rsid w:val="3399735C"/>
    <w:rsid w:val="339C1B80"/>
    <w:rsid w:val="33AD7813"/>
    <w:rsid w:val="33B83428"/>
    <w:rsid w:val="33C341A1"/>
    <w:rsid w:val="33D02ED4"/>
    <w:rsid w:val="33D5588C"/>
    <w:rsid w:val="33DA14EB"/>
    <w:rsid w:val="33E22272"/>
    <w:rsid w:val="33E56D0B"/>
    <w:rsid w:val="33E8507F"/>
    <w:rsid w:val="34063732"/>
    <w:rsid w:val="342B689B"/>
    <w:rsid w:val="34435C0B"/>
    <w:rsid w:val="344A5ECA"/>
    <w:rsid w:val="346373FA"/>
    <w:rsid w:val="34682EB0"/>
    <w:rsid w:val="34776494"/>
    <w:rsid w:val="3491140F"/>
    <w:rsid w:val="349D6AA0"/>
    <w:rsid w:val="34A80A9B"/>
    <w:rsid w:val="34B44E2B"/>
    <w:rsid w:val="34E333A4"/>
    <w:rsid w:val="354A2A46"/>
    <w:rsid w:val="355F5A82"/>
    <w:rsid w:val="356740AB"/>
    <w:rsid w:val="357D0820"/>
    <w:rsid w:val="3583008C"/>
    <w:rsid w:val="35923A2D"/>
    <w:rsid w:val="3596408B"/>
    <w:rsid w:val="35AA77CE"/>
    <w:rsid w:val="35B6457D"/>
    <w:rsid w:val="35BA36FA"/>
    <w:rsid w:val="35C0412E"/>
    <w:rsid w:val="35D174C7"/>
    <w:rsid w:val="35D60BBB"/>
    <w:rsid w:val="36355520"/>
    <w:rsid w:val="366845B8"/>
    <w:rsid w:val="366B5B9C"/>
    <w:rsid w:val="367916EA"/>
    <w:rsid w:val="367C1361"/>
    <w:rsid w:val="36FD29DF"/>
    <w:rsid w:val="371327D5"/>
    <w:rsid w:val="371425C3"/>
    <w:rsid w:val="372B4D6D"/>
    <w:rsid w:val="37366904"/>
    <w:rsid w:val="37456319"/>
    <w:rsid w:val="37462C64"/>
    <w:rsid w:val="374C0952"/>
    <w:rsid w:val="37512FC7"/>
    <w:rsid w:val="375872F6"/>
    <w:rsid w:val="375D78C8"/>
    <w:rsid w:val="37647B6C"/>
    <w:rsid w:val="3777444B"/>
    <w:rsid w:val="37F63C83"/>
    <w:rsid w:val="37FA54B0"/>
    <w:rsid w:val="381D3A6E"/>
    <w:rsid w:val="382149D6"/>
    <w:rsid w:val="383C606E"/>
    <w:rsid w:val="38465B5C"/>
    <w:rsid w:val="38477145"/>
    <w:rsid w:val="38526AFA"/>
    <w:rsid w:val="3876057F"/>
    <w:rsid w:val="38773AB6"/>
    <w:rsid w:val="38BB5302"/>
    <w:rsid w:val="38CA5468"/>
    <w:rsid w:val="38D1464D"/>
    <w:rsid w:val="38E027F8"/>
    <w:rsid w:val="38E92DEA"/>
    <w:rsid w:val="38FD7B83"/>
    <w:rsid w:val="38FE6D06"/>
    <w:rsid w:val="3906549D"/>
    <w:rsid w:val="39110267"/>
    <w:rsid w:val="391C048E"/>
    <w:rsid w:val="392E4D53"/>
    <w:rsid w:val="393F5DB2"/>
    <w:rsid w:val="395F54AA"/>
    <w:rsid w:val="39634438"/>
    <w:rsid w:val="396D4860"/>
    <w:rsid w:val="397D2932"/>
    <w:rsid w:val="39A02584"/>
    <w:rsid w:val="39A61471"/>
    <w:rsid w:val="3A0225CF"/>
    <w:rsid w:val="3A203635"/>
    <w:rsid w:val="3A352409"/>
    <w:rsid w:val="3A3B7187"/>
    <w:rsid w:val="3A3D2174"/>
    <w:rsid w:val="3A7461F5"/>
    <w:rsid w:val="3A7B57D6"/>
    <w:rsid w:val="3A7C4872"/>
    <w:rsid w:val="3A920D71"/>
    <w:rsid w:val="3A933594"/>
    <w:rsid w:val="3A9A5A6E"/>
    <w:rsid w:val="3AA376C3"/>
    <w:rsid w:val="3AF25087"/>
    <w:rsid w:val="3AFD5E79"/>
    <w:rsid w:val="3B117972"/>
    <w:rsid w:val="3B1672AC"/>
    <w:rsid w:val="3B1E30DE"/>
    <w:rsid w:val="3B1F0297"/>
    <w:rsid w:val="3B3A29B6"/>
    <w:rsid w:val="3B3F4A55"/>
    <w:rsid w:val="3B3F5C4E"/>
    <w:rsid w:val="3B566E32"/>
    <w:rsid w:val="3B6077FF"/>
    <w:rsid w:val="3BA62235"/>
    <w:rsid w:val="3BA765DB"/>
    <w:rsid w:val="3BA81730"/>
    <w:rsid w:val="3BAD24D4"/>
    <w:rsid w:val="3BAD3B3F"/>
    <w:rsid w:val="3BB14746"/>
    <w:rsid w:val="3BB50430"/>
    <w:rsid w:val="3BCC5E50"/>
    <w:rsid w:val="3BDC28F5"/>
    <w:rsid w:val="3BDC73D4"/>
    <w:rsid w:val="3BE23632"/>
    <w:rsid w:val="3BF52BD1"/>
    <w:rsid w:val="3C2A5EFE"/>
    <w:rsid w:val="3C326362"/>
    <w:rsid w:val="3C367083"/>
    <w:rsid w:val="3C5013E5"/>
    <w:rsid w:val="3C692E24"/>
    <w:rsid w:val="3C6E1CA3"/>
    <w:rsid w:val="3C7E6A02"/>
    <w:rsid w:val="3C8025E4"/>
    <w:rsid w:val="3C8540FC"/>
    <w:rsid w:val="3C864953"/>
    <w:rsid w:val="3C97209F"/>
    <w:rsid w:val="3C97266F"/>
    <w:rsid w:val="3C9A5CBB"/>
    <w:rsid w:val="3C9D6585"/>
    <w:rsid w:val="3CC868F1"/>
    <w:rsid w:val="3CCB0C8F"/>
    <w:rsid w:val="3CCE0950"/>
    <w:rsid w:val="3CE038FF"/>
    <w:rsid w:val="3CE90338"/>
    <w:rsid w:val="3CEC4769"/>
    <w:rsid w:val="3D051FFE"/>
    <w:rsid w:val="3D1C78EF"/>
    <w:rsid w:val="3D1D29DF"/>
    <w:rsid w:val="3D1F4C3E"/>
    <w:rsid w:val="3D2739F3"/>
    <w:rsid w:val="3D381D12"/>
    <w:rsid w:val="3D6455BE"/>
    <w:rsid w:val="3D8E7390"/>
    <w:rsid w:val="3DD33697"/>
    <w:rsid w:val="3DDF28B2"/>
    <w:rsid w:val="3DEE71D3"/>
    <w:rsid w:val="3DF13FDE"/>
    <w:rsid w:val="3DF305BD"/>
    <w:rsid w:val="3DF97FBB"/>
    <w:rsid w:val="3DFB29EC"/>
    <w:rsid w:val="3E244191"/>
    <w:rsid w:val="3E5E505B"/>
    <w:rsid w:val="3E6434DA"/>
    <w:rsid w:val="3E805BD1"/>
    <w:rsid w:val="3E8B0556"/>
    <w:rsid w:val="3E953927"/>
    <w:rsid w:val="3E9C2F2C"/>
    <w:rsid w:val="3EC76D96"/>
    <w:rsid w:val="3EDE02E4"/>
    <w:rsid w:val="3EE32860"/>
    <w:rsid w:val="3EED7C12"/>
    <w:rsid w:val="3F070AB4"/>
    <w:rsid w:val="3F0F0536"/>
    <w:rsid w:val="3F1B1335"/>
    <w:rsid w:val="3F4A5C42"/>
    <w:rsid w:val="3F4E3500"/>
    <w:rsid w:val="3F582226"/>
    <w:rsid w:val="3F6164DB"/>
    <w:rsid w:val="3F711812"/>
    <w:rsid w:val="3F827A56"/>
    <w:rsid w:val="3F873D9C"/>
    <w:rsid w:val="3F9D1D4A"/>
    <w:rsid w:val="3F9F48BC"/>
    <w:rsid w:val="3FAD2A80"/>
    <w:rsid w:val="3FB118DF"/>
    <w:rsid w:val="3FB35DE1"/>
    <w:rsid w:val="3FB97CE4"/>
    <w:rsid w:val="3FCA68B7"/>
    <w:rsid w:val="3FD80B52"/>
    <w:rsid w:val="3FDC7348"/>
    <w:rsid w:val="3FE706A7"/>
    <w:rsid w:val="403424A4"/>
    <w:rsid w:val="403A1C5B"/>
    <w:rsid w:val="40471D7A"/>
    <w:rsid w:val="404865CC"/>
    <w:rsid w:val="405265B7"/>
    <w:rsid w:val="4060571A"/>
    <w:rsid w:val="406C034E"/>
    <w:rsid w:val="40770609"/>
    <w:rsid w:val="4080151B"/>
    <w:rsid w:val="40856FC5"/>
    <w:rsid w:val="40887078"/>
    <w:rsid w:val="40894FE8"/>
    <w:rsid w:val="408B358F"/>
    <w:rsid w:val="40F973A7"/>
    <w:rsid w:val="411A24BC"/>
    <w:rsid w:val="413A3A45"/>
    <w:rsid w:val="41493551"/>
    <w:rsid w:val="415475D4"/>
    <w:rsid w:val="41597F08"/>
    <w:rsid w:val="41610E84"/>
    <w:rsid w:val="41C52EE3"/>
    <w:rsid w:val="41C7060A"/>
    <w:rsid w:val="41CA7F10"/>
    <w:rsid w:val="41FF1317"/>
    <w:rsid w:val="42176A6B"/>
    <w:rsid w:val="422E7D02"/>
    <w:rsid w:val="423172B7"/>
    <w:rsid w:val="42430BDB"/>
    <w:rsid w:val="42647268"/>
    <w:rsid w:val="426A5EF7"/>
    <w:rsid w:val="427E1599"/>
    <w:rsid w:val="42BC049B"/>
    <w:rsid w:val="42E50670"/>
    <w:rsid w:val="43160791"/>
    <w:rsid w:val="432D4C04"/>
    <w:rsid w:val="4339421C"/>
    <w:rsid w:val="43543068"/>
    <w:rsid w:val="435E0B66"/>
    <w:rsid w:val="4365707B"/>
    <w:rsid w:val="436762E4"/>
    <w:rsid w:val="436F32B9"/>
    <w:rsid w:val="437E5428"/>
    <w:rsid w:val="43952787"/>
    <w:rsid w:val="439B202C"/>
    <w:rsid w:val="439D4A0F"/>
    <w:rsid w:val="43BE514A"/>
    <w:rsid w:val="43CA1309"/>
    <w:rsid w:val="43D106BA"/>
    <w:rsid w:val="43D64ACA"/>
    <w:rsid w:val="440B0051"/>
    <w:rsid w:val="442076DB"/>
    <w:rsid w:val="443D0D5A"/>
    <w:rsid w:val="445F5EB9"/>
    <w:rsid w:val="446E071F"/>
    <w:rsid w:val="44754A37"/>
    <w:rsid w:val="44762593"/>
    <w:rsid w:val="44796B4D"/>
    <w:rsid w:val="448A2599"/>
    <w:rsid w:val="448A32F7"/>
    <w:rsid w:val="448B0D0B"/>
    <w:rsid w:val="449438F8"/>
    <w:rsid w:val="449B4FED"/>
    <w:rsid w:val="44BB1EB7"/>
    <w:rsid w:val="44BB2F5A"/>
    <w:rsid w:val="44C152BA"/>
    <w:rsid w:val="45051ADA"/>
    <w:rsid w:val="450D34CE"/>
    <w:rsid w:val="450F36EA"/>
    <w:rsid w:val="4519505E"/>
    <w:rsid w:val="45440511"/>
    <w:rsid w:val="45543BA9"/>
    <w:rsid w:val="45613090"/>
    <w:rsid w:val="459607F8"/>
    <w:rsid w:val="45A35BE1"/>
    <w:rsid w:val="45A41594"/>
    <w:rsid w:val="45AE0D21"/>
    <w:rsid w:val="45B4636B"/>
    <w:rsid w:val="45DE7076"/>
    <w:rsid w:val="45EE476F"/>
    <w:rsid w:val="460C7C2A"/>
    <w:rsid w:val="462A7D30"/>
    <w:rsid w:val="462C080C"/>
    <w:rsid w:val="46317527"/>
    <w:rsid w:val="46342CDD"/>
    <w:rsid w:val="464D4810"/>
    <w:rsid w:val="4652656B"/>
    <w:rsid w:val="465F0941"/>
    <w:rsid w:val="46753C05"/>
    <w:rsid w:val="46797125"/>
    <w:rsid w:val="46B515A3"/>
    <w:rsid w:val="46C86A60"/>
    <w:rsid w:val="46D624D6"/>
    <w:rsid w:val="470B1C8F"/>
    <w:rsid w:val="47451AA7"/>
    <w:rsid w:val="475B66FC"/>
    <w:rsid w:val="475C0BF7"/>
    <w:rsid w:val="47683F22"/>
    <w:rsid w:val="476F66C2"/>
    <w:rsid w:val="4772257E"/>
    <w:rsid w:val="47900C19"/>
    <w:rsid w:val="479355B7"/>
    <w:rsid w:val="4798020B"/>
    <w:rsid w:val="479E6FA7"/>
    <w:rsid w:val="47A86CC6"/>
    <w:rsid w:val="47AA63DC"/>
    <w:rsid w:val="47C92CDB"/>
    <w:rsid w:val="47D10562"/>
    <w:rsid w:val="47D269DF"/>
    <w:rsid w:val="47DE597F"/>
    <w:rsid w:val="47E44839"/>
    <w:rsid w:val="47EB323C"/>
    <w:rsid w:val="47ED1BCB"/>
    <w:rsid w:val="47F80C63"/>
    <w:rsid w:val="483416BA"/>
    <w:rsid w:val="48341880"/>
    <w:rsid w:val="48345E3A"/>
    <w:rsid w:val="48376AB4"/>
    <w:rsid w:val="4845386C"/>
    <w:rsid w:val="4847238F"/>
    <w:rsid w:val="484B3E5C"/>
    <w:rsid w:val="485110BB"/>
    <w:rsid w:val="485374F0"/>
    <w:rsid w:val="48927B4A"/>
    <w:rsid w:val="48AC2FFE"/>
    <w:rsid w:val="48AD12DB"/>
    <w:rsid w:val="48BD345D"/>
    <w:rsid w:val="48C4189C"/>
    <w:rsid w:val="49122DB9"/>
    <w:rsid w:val="4913307D"/>
    <w:rsid w:val="49241651"/>
    <w:rsid w:val="493D273B"/>
    <w:rsid w:val="494B391F"/>
    <w:rsid w:val="496155A8"/>
    <w:rsid w:val="4964418B"/>
    <w:rsid w:val="497D499A"/>
    <w:rsid w:val="497E064C"/>
    <w:rsid w:val="49843F41"/>
    <w:rsid w:val="4984724D"/>
    <w:rsid w:val="498E4FD9"/>
    <w:rsid w:val="499C2C87"/>
    <w:rsid w:val="49A92990"/>
    <w:rsid w:val="49B66E28"/>
    <w:rsid w:val="49DC1821"/>
    <w:rsid w:val="49DE3CAA"/>
    <w:rsid w:val="49F92273"/>
    <w:rsid w:val="49FC5B99"/>
    <w:rsid w:val="4A04290B"/>
    <w:rsid w:val="4A073352"/>
    <w:rsid w:val="4A0B666F"/>
    <w:rsid w:val="4A2C64C1"/>
    <w:rsid w:val="4A7919FF"/>
    <w:rsid w:val="4A8352F9"/>
    <w:rsid w:val="4A9A7202"/>
    <w:rsid w:val="4A9F366C"/>
    <w:rsid w:val="4AB85A30"/>
    <w:rsid w:val="4ABE3A96"/>
    <w:rsid w:val="4AD170AF"/>
    <w:rsid w:val="4AD26C5F"/>
    <w:rsid w:val="4AD350FD"/>
    <w:rsid w:val="4ADE007E"/>
    <w:rsid w:val="4AE11158"/>
    <w:rsid w:val="4AF406BA"/>
    <w:rsid w:val="4B00435A"/>
    <w:rsid w:val="4B006CEB"/>
    <w:rsid w:val="4B0B7502"/>
    <w:rsid w:val="4B257349"/>
    <w:rsid w:val="4B2E419E"/>
    <w:rsid w:val="4B395E18"/>
    <w:rsid w:val="4B616322"/>
    <w:rsid w:val="4B81783B"/>
    <w:rsid w:val="4BA33F87"/>
    <w:rsid w:val="4BA6181D"/>
    <w:rsid w:val="4BB54AA6"/>
    <w:rsid w:val="4BC174A3"/>
    <w:rsid w:val="4BC971D1"/>
    <w:rsid w:val="4BCC5367"/>
    <w:rsid w:val="4C1E32EA"/>
    <w:rsid w:val="4C297488"/>
    <w:rsid w:val="4C3424E6"/>
    <w:rsid w:val="4C5E0DD5"/>
    <w:rsid w:val="4C606B87"/>
    <w:rsid w:val="4C7657AB"/>
    <w:rsid w:val="4C8534BC"/>
    <w:rsid w:val="4C874AF8"/>
    <w:rsid w:val="4C972C8F"/>
    <w:rsid w:val="4CA2708B"/>
    <w:rsid w:val="4CA8480C"/>
    <w:rsid w:val="4CB77E4B"/>
    <w:rsid w:val="4CBC6D57"/>
    <w:rsid w:val="4CE54D31"/>
    <w:rsid w:val="4CF10AD7"/>
    <w:rsid w:val="4CF91A7D"/>
    <w:rsid w:val="4D0455A0"/>
    <w:rsid w:val="4D221AE1"/>
    <w:rsid w:val="4D244463"/>
    <w:rsid w:val="4D2D18DD"/>
    <w:rsid w:val="4D4550E6"/>
    <w:rsid w:val="4D614B72"/>
    <w:rsid w:val="4D7155B1"/>
    <w:rsid w:val="4DD26036"/>
    <w:rsid w:val="4DED30CE"/>
    <w:rsid w:val="4DEE2B63"/>
    <w:rsid w:val="4DF645AE"/>
    <w:rsid w:val="4DFE0484"/>
    <w:rsid w:val="4E035728"/>
    <w:rsid w:val="4E162A71"/>
    <w:rsid w:val="4E170762"/>
    <w:rsid w:val="4E232259"/>
    <w:rsid w:val="4E264D52"/>
    <w:rsid w:val="4E2A0FD6"/>
    <w:rsid w:val="4E467027"/>
    <w:rsid w:val="4E5368F1"/>
    <w:rsid w:val="4E630E02"/>
    <w:rsid w:val="4E8F13F8"/>
    <w:rsid w:val="4EA33169"/>
    <w:rsid w:val="4EB4294A"/>
    <w:rsid w:val="4EB513C0"/>
    <w:rsid w:val="4ED25E9C"/>
    <w:rsid w:val="4EDB288F"/>
    <w:rsid w:val="4EEF633A"/>
    <w:rsid w:val="4F0D2E0B"/>
    <w:rsid w:val="4F1115F5"/>
    <w:rsid w:val="4F12151F"/>
    <w:rsid w:val="4F2204BE"/>
    <w:rsid w:val="4F256625"/>
    <w:rsid w:val="4F4B4CAD"/>
    <w:rsid w:val="4F4E794C"/>
    <w:rsid w:val="4F610FE6"/>
    <w:rsid w:val="4F61272B"/>
    <w:rsid w:val="4F624D5E"/>
    <w:rsid w:val="4F8D06AD"/>
    <w:rsid w:val="4F8E69D8"/>
    <w:rsid w:val="4F931C89"/>
    <w:rsid w:val="4FAE3B00"/>
    <w:rsid w:val="4FB06047"/>
    <w:rsid w:val="4FB34C5F"/>
    <w:rsid w:val="4FC35A9D"/>
    <w:rsid w:val="4FC65EFC"/>
    <w:rsid w:val="4FD05443"/>
    <w:rsid w:val="4FD4077E"/>
    <w:rsid w:val="4FE425F1"/>
    <w:rsid w:val="500A4F77"/>
    <w:rsid w:val="500E41E5"/>
    <w:rsid w:val="5014211D"/>
    <w:rsid w:val="5015592D"/>
    <w:rsid w:val="502D5B65"/>
    <w:rsid w:val="5062398E"/>
    <w:rsid w:val="50661E09"/>
    <w:rsid w:val="50713936"/>
    <w:rsid w:val="50981353"/>
    <w:rsid w:val="50B124AB"/>
    <w:rsid w:val="50B6636B"/>
    <w:rsid w:val="50C569EF"/>
    <w:rsid w:val="50C963F9"/>
    <w:rsid w:val="50E971D4"/>
    <w:rsid w:val="50EF35A9"/>
    <w:rsid w:val="50F15617"/>
    <w:rsid w:val="5106473D"/>
    <w:rsid w:val="51204F65"/>
    <w:rsid w:val="51342830"/>
    <w:rsid w:val="513B09C9"/>
    <w:rsid w:val="51464507"/>
    <w:rsid w:val="51662AFE"/>
    <w:rsid w:val="51882823"/>
    <w:rsid w:val="518D4B04"/>
    <w:rsid w:val="51955829"/>
    <w:rsid w:val="51A87880"/>
    <w:rsid w:val="51AC7ECE"/>
    <w:rsid w:val="52171E30"/>
    <w:rsid w:val="522F3F3D"/>
    <w:rsid w:val="52323918"/>
    <w:rsid w:val="52331D83"/>
    <w:rsid w:val="524713FF"/>
    <w:rsid w:val="526C3013"/>
    <w:rsid w:val="52855756"/>
    <w:rsid w:val="5291288F"/>
    <w:rsid w:val="52915391"/>
    <w:rsid w:val="52A9383C"/>
    <w:rsid w:val="52BE0BF8"/>
    <w:rsid w:val="52DD4E28"/>
    <w:rsid w:val="52E31D12"/>
    <w:rsid w:val="52F51B42"/>
    <w:rsid w:val="53126E84"/>
    <w:rsid w:val="53132DB8"/>
    <w:rsid w:val="534F0232"/>
    <w:rsid w:val="535C1CAC"/>
    <w:rsid w:val="53704BD0"/>
    <w:rsid w:val="537E06CB"/>
    <w:rsid w:val="53805C99"/>
    <w:rsid w:val="53901803"/>
    <w:rsid w:val="53B603D0"/>
    <w:rsid w:val="53BE71A2"/>
    <w:rsid w:val="53C9386A"/>
    <w:rsid w:val="53CD0544"/>
    <w:rsid w:val="53F27A5E"/>
    <w:rsid w:val="53F6060E"/>
    <w:rsid w:val="53F70E82"/>
    <w:rsid w:val="54333E53"/>
    <w:rsid w:val="54401FBF"/>
    <w:rsid w:val="544345A9"/>
    <w:rsid w:val="54527DA0"/>
    <w:rsid w:val="5453609F"/>
    <w:rsid w:val="5470037B"/>
    <w:rsid w:val="54767C12"/>
    <w:rsid w:val="549459BA"/>
    <w:rsid w:val="54947768"/>
    <w:rsid w:val="54950D53"/>
    <w:rsid w:val="549918CA"/>
    <w:rsid w:val="54AB4AB2"/>
    <w:rsid w:val="54B576DE"/>
    <w:rsid w:val="54CB05BE"/>
    <w:rsid w:val="54E02E92"/>
    <w:rsid w:val="550F6DEF"/>
    <w:rsid w:val="551F0AE3"/>
    <w:rsid w:val="55240161"/>
    <w:rsid w:val="55270C39"/>
    <w:rsid w:val="5533700E"/>
    <w:rsid w:val="55426714"/>
    <w:rsid w:val="55480552"/>
    <w:rsid w:val="554A43D3"/>
    <w:rsid w:val="555D658B"/>
    <w:rsid w:val="5571597F"/>
    <w:rsid w:val="558004F9"/>
    <w:rsid w:val="558A2BCD"/>
    <w:rsid w:val="55911EF9"/>
    <w:rsid w:val="55A401DB"/>
    <w:rsid w:val="55E55E95"/>
    <w:rsid w:val="55FA542F"/>
    <w:rsid w:val="561A1EEF"/>
    <w:rsid w:val="561C540A"/>
    <w:rsid w:val="563761CB"/>
    <w:rsid w:val="564156CE"/>
    <w:rsid w:val="56425DDE"/>
    <w:rsid w:val="564E134B"/>
    <w:rsid w:val="564F2629"/>
    <w:rsid w:val="56534AB0"/>
    <w:rsid w:val="565371AF"/>
    <w:rsid w:val="566C0A4D"/>
    <w:rsid w:val="566C0CBB"/>
    <w:rsid w:val="566E1A8E"/>
    <w:rsid w:val="5671553F"/>
    <w:rsid w:val="56725887"/>
    <w:rsid w:val="567565A5"/>
    <w:rsid w:val="5681518C"/>
    <w:rsid w:val="568356E4"/>
    <w:rsid w:val="56A71D91"/>
    <w:rsid w:val="56B17E66"/>
    <w:rsid w:val="56B61F80"/>
    <w:rsid w:val="56BE70B1"/>
    <w:rsid w:val="56CB4F97"/>
    <w:rsid w:val="56DB2652"/>
    <w:rsid w:val="56E718AE"/>
    <w:rsid w:val="56E7273B"/>
    <w:rsid w:val="571C4E60"/>
    <w:rsid w:val="57373F01"/>
    <w:rsid w:val="57380F44"/>
    <w:rsid w:val="573B4D31"/>
    <w:rsid w:val="573F49CD"/>
    <w:rsid w:val="57454EEB"/>
    <w:rsid w:val="57527466"/>
    <w:rsid w:val="575B27BF"/>
    <w:rsid w:val="57771301"/>
    <w:rsid w:val="57980EFD"/>
    <w:rsid w:val="57A027E7"/>
    <w:rsid w:val="57A35A2D"/>
    <w:rsid w:val="57BB500C"/>
    <w:rsid w:val="57BD0C66"/>
    <w:rsid w:val="57DC0A3D"/>
    <w:rsid w:val="57FB7AFE"/>
    <w:rsid w:val="57FD453B"/>
    <w:rsid w:val="58034D35"/>
    <w:rsid w:val="580D4DD7"/>
    <w:rsid w:val="58136BF6"/>
    <w:rsid w:val="581464B1"/>
    <w:rsid w:val="58283B44"/>
    <w:rsid w:val="58354113"/>
    <w:rsid w:val="584027CF"/>
    <w:rsid w:val="587C2BF4"/>
    <w:rsid w:val="588A0FC3"/>
    <w:rsid w:val="589F66DB"/>
    <w:rsid w:val="58B6732D"/>
    <w:rsid w:val="58BA52C3"/>
    <w:rsid w:val="58CB3C79"/>
    <w:rsid w:val="58CB5B0A"/>
    <w:rsid w:val="58DD3833"/>
    <w:rsid w:val="58DD3954"/>
    <w:rsid w:val="58E4648D"/>
    <w:rsid w:val="58EF3E5A"/>
    <w:rsid w:val="590A5F34"/>
    <w:rsid w:val="59232E69"/>
    <w:rsid w:val="59257D25"/>
    <w:rsid w:val="59337EE4"/>
    <w:rsid w:val="593439CC"/>
    <w:rsid w:val="59365653"/>
    <w:rsid w:val="594A0EDE"/>
    <w:rsid w:val="59510F5A"/>
    <w:rsid w:val="59781449"/>
    <w:rsid w:val="597871BA"/>
    <w:rsid w:val="597962C6"/>
    <w:rsid w:val="598B2DBA"/>
    <w:rsid w:val="598D126E"/>
    <w:rsid w:val="59927C90"/>
    <w:rsid w:val="59AE796B"/>
    <w:rsid w:val="59B01780"/>
    <w:rsid w:val="59DE683B"/>
    <w:rsid w:val="59F10362"/>
    <w:rsid w:val="59F34C54"/>
    <w:rsid w:val="59F74132"/>
    <w:rsid w:val="59F959BE"/>
    <w:rsid w:val="5A371ECC"/>
    <w:rsid w:val="5A4D0467"/>
    <w:rsid w:val="5A4E660B"/>
    <w:rsid w:val="5A507C59"/>
    <w:rsid w:val="5A566E06"/>
    <w:rsid w:val="5A6C4ADB"/>
    <w:rsid w:val="5A962EAB"/>
    <w:rsid w:val="5A9727BA"/>
    <w:rsid w:val="5A9D26C6"/>
    <w:rsid w:val="5AAB761F"/>
    <w:rsid w:val="5AAF48DF"/>
    <w:rsid w:val="5ABB1F0F"/>
    <w:rsid w:val="5ABC75C8"/>
    <w:rsid w:val="5AE50B29"/>
    <w:rsid w:val="5B0D35F9"/>
    <w:rsid w:val="5B4D6113"/>
    <w:rsid w:val="5B4E221A"/>
    <w:rsid w:val="5B5624DD"/>
    <w:rsid w:val="5B693E26"/>
    <w:rsid w:val="5B6B0447"/>
    <w:rsid w:val="5B7420A1"/>
    <w:rsid w:val="5B960DF4"/>
    <w:rsid w:val="5B9A10B2"/>
    <w:rsid w:val="5BAC41E1"/>
    <w:rsid w:val="5BBB722D"/>
    <w:rsid w:val="5BC966BF"/>
    <w:rsid w:val="5BE35749"/>
    <w:rsid w:val="5BF2314C"/>
    <w:rsid w:val="5BF620E7"/>
    <w:rsid w:val="5BF71570"/>
    <w:rsid w:val="5C05719D"/>
    <w:rsid w:val="5C32653D"/>
    <w:rsid w:val="5C3F445D"/>
    <w:rsid w:val="5C406741"/>
    <w:rsid w:val="5C4B7DA5"/>
    <w:rsid w:val="5C5934F3"/>
    <w:rsid w:val="5C604DE6"/>
    <w:rsid w:val="5C747063"/>
    <w:rsid w:val="5C816BFC"/>
    <w:rsid w:val="5CCE076D"/>
    <w:rsid w:val="5CD47228"/>
    <w:rsid w:val="5CD77E52"/>
    <w:rsid w:val="5CDA6F9F"/>
    <w:rsid w:val="5CEC2DBE"/>
    <w:rsid w:val="5D172CE4"/>
    <w:rsid w:val="5D1E0A6A"/>
    <w:rsid w:val="5D246B2E"/>
    <w:rsid w:val="5D2C70BF"/>
    <w:rsid w:val="5D2F5C97"/>
    <w:rsid w:val="5D386B4B"/>
    <w:rsid w:val="5D7931B8"/>
    <w:rsid w:val="5D834802"/>
    <w:rsid w:val="5D835AE2"/>
    <w:rsid w:val="5DAB6349"/>
    <w:rsid w:val="5DB96A44"/>
    <w:rsid w:val="5DCD5A99"/>
    <w:rsid w:val="5DE11544"/>
    <w:rsid w:val="5DE41575"/>
    <w:rsid w:val="5DE4356D"/>
    <w:rsid w:val="5E0D1D43"/>
    <w:rsid w:val="5E0D74C0"/>
    <w:rsid w:val="5E0F45E9"/>
    <w:rsid w:val="5E1A33A2"/>
    <w:rsid w:val="5E2830F8"/>
    <w:rsid w:val="5E3A0A4B"/>
    <w:rsid w:val="5E541C9A"/>
    <w:rsid w:val="5E7343A1"/>
    <w:rsid w:val="5E8545C5"/>
    <w:rsid w:val="5E8873ED"/>
    <w:rsid w:val="5E9C1B48"/>
    <w:rsid w:val="5E9C6DCE"/>
    <w:rsid w:val="5EA031AD"/>
    <w:rsid w:val="5EAA52DB"/>
    <w:rsid w:val="5EBB5A39"/>
    <w:rsid w:val="5EC1544D"/>
    <w:rsid w:val="5EE3729D"/>
    <w:rsid w:val="5EEE216B"/>
    <w:rsid w:val="5EF8736A"/>
    <w:rsid w:val="5F061262"/>
    <w:rsid w:val="5F16521D"/>
    <w:rsid w:val="5F165CCF"/>
    <w:rsid w:val="5F2A6E6F"/>
    <w:rsid w:val="5F2C2C8E"/>
    <w:rsid w:val="5F325C4F"/>
    <w:rsid w:val="5F34412C"/>
    <w:rsid w:val="5F3B0C10"/>
    <w:rsid w:val="5F3C45D1"/>
    <w:rsid w:val="5F48586B"/>
    <w:rsid w:val="5F5C70D4"/>
    <w:rsid w:val="5F67213E"/>
    <w:rsid w:val="5F687BB1"/>
    <w:rsid w:val="5F762E62"/>
    <w:rsid w:val="5F8655A9"/>
    <w:rsid w:val="5F880F80"/>
    <w:rsid w:val="5F8D4DF4"/>
    <w:rsid w:val="5F9A1E02"/>
    <w:rsid w:val="5F9E593F"/>
    <w:rsid w:val="5FA95735"/>
    <w:rsid w:val="5FB62A60"/>
    <w:rsid w:val="5FBC693C"/>
    <w:rsid w:val="5FBD3AD7"/>
    <w:rsid w:val="5FC23EAC"/>
    <w:rsid w:val="5FE0786F"/>
    <w:rsid w:val="602F22EC"/>
    <w:rsid w:val="604E6D76"/>
    <w:rsid w:val="60502B48"/>
    <w:rsid w:val="60527021"/>
    <w:rsid w:val="6057789C"/>
    <w:rsid w:val="605B0E37"/>
    <w:rsid w:val="60624C75"/>
    <w:rsid w:val="60890771"/>
    <w:rsid w:val="60BA2422"/>
    <w:rsid w:val="60BF7857"/>
    <w:rsid w:val="60C6129E"/>
    <w:rsid w:val="60D46D5A"/>
    <w:rsid w:val="60E41009"/>
    <w:rsid w:val="60E706DC"/>
    <w:rsid w:val="60ED3FB7"/>
    <w:rsid w:val="60F61F5A"/>
    <w:rsid w:val="6100744A"/>
    <w:rsid w:val="610A585A"/>
    <w:rsid w:val="610C1F94"/>
    <w:rsid w:val="610C276D"/>
    <w:rsid w:val="6122689A"/>
    <w:rsid w:val="6128472B"/>
    <w:rsid w:val="613A51F3"/>
    <w:rsid w:val="61457238"/>
    <w:rsid w:val="61564F71"/>
    <w:rsid w:val="61685B6F"/>
    <w:rsid w:val="61712265"/>
    <w:rsid w:val="617608B1"/>
    <w:rsid w:val="618A1A95"/>
    <w:rsid w:val="619A1457"/>
    <w:rsid w:val="61A62889"/>
    <w:rsid w:val="61C3355C"/>
    <w:rsid w:val="61C74B61"/>
    <w:rsid w:val="61CE3568"/>
    <w:rsid w:val="61DD2AC1"/>
    <w:rsid w:val="61E23389"/>
    <w:rsid w:val="61E84D3E"/>
    <w:rsid w:val="61FE5D56"/>
    <w:rsid w:val="62182DE5"/>
    <w:rsid w:val="626D36C1"/>
    <w:rsid w:val="626F5370"/>
    <w:rsid w:val="62765A9D"/>
    <w:rsid w:val="627A5177"/>
    <w:rsid w:val="62884642"/>
    <w:rsid w:val="62A90D3B"/>
    <w:rsid w:val="62E3565C"/>
    <w:rsid w:val="62E80367"/>
    <w:rsid w:val="630522F5"/>
    <w:rsid w:val="63087D97"/>
    <w:rsid w:val="634F5F72"/>
    <w:rsid w:val="63535B55"/>
    <w:rsid w:val="63995954"/>
    <w:rsid w:val="63A454EE"/>
    <w:rsid w:val="63AE6CC9"/>
    <w:rsid w:val="63BC72A0"/>
    <w:rsid w:val="63D44018"/>
    <w:rsid w:val="63E04D6F"/>
    <w:rsid w:val="63F35B2D"/>
    <w:rsid w:val="6403123D"/>
    <w:rsid w:val="640C6CF7"/>
    <w:rsid w:val="641108FF"/>
    <w:rsid w:val="643307AE"/>
    <w:rsid w:val="64557B1A"/>
    <w:rsid w:val="645962D8"/>
    <w:rsid w:val="64611590"/>
    <w:rsid w:val="648C220A"/>
    <w:rsid w:val="64BF6B29"/>
    <w:rsid w:val="64E45EF9"/>
    <w:rsid w:val="65135A6F"/>
    <w:rsid w:val="65213905"/>
    <w:rsid w:val="65220E77"/>
    <w:rsid w:val="652C24EA"/>
    <w:rsid w:val="65312DB1"/>
    <w:rsid w:val="65317C2A"/>
    <w:rsid w:val="65414E23"/>
    <w:rsid w:val="657067C5"/>
    <w:rsid w:val="65991F8B"/>
    <w:rsid w:val="65CB4FB4"/>
    <w:rsid w:val="65E55A39"/>
    <w:rsid w:val="65EA2544"/>
    <w:rsid w:val="65ED5196"/>
    <w:rsid w:val="65FC7F0E"/>
    <w:rsid w:val="65FD3EA7"/>
    <w:rsid w:val="65FE0EE5"/>
    <w:rsid w:val="660706CC"/>
    <w:rsid w:val="66076759"/>
    <w:rsid w:val="66181098"/>
    <w:rsid w:val="6623094C"/>
    <w:rsid w:val="6624134D"/>
    <w:rsid w:val="6632293D"/>
    <w:rsid w:val="663C1266"/>
    <w:rsid w:val="66564C69"/>
    <w:rsid w:val="66775813"/>
    <w:rsid w:val="668F2588"/>
    <w:rsid w:val="669777E9"/>
    <w:rsid w:val="66B43A4C"/>
    <w:rsid w:val="66BB42CF"/>
    <w:rsid w:val="66C02972"/>
    <w:rsid w:val="66C93C86"/>
    <w:rsid w:val="66CB1657"/>
    <w:rsid w:val="66EC3434"/>
    <w:rsid w:val="66F37719"/>
    <w:rsid w:val="66F56811"/>
    <w:rsid w:val="66F7379A"/>
    <w:rsid w:val="67023C03"/>
    <w:rsid w:val="670C2980"/>
    <w:rsid w:val="67133A70"/>
    <w:rsid w:val="672E32DF"/>
    <w:rsid w:val="67524053"/>
    <w:rsid w:val="67622675"/>
    <w:rsid w:val="678A6DB7"/>
    <w:rsid w:val="679413D5"/>
    <w:rsid w:val="67994BFC"/>
    <w:rsid w:val="67A600DD"/>
    <w:rsid w:val="67CE2D0E"/>
    <w:rsid w:val="67DB6697"/>
    <w:rsid w:val="67E50C3D"/>
    <w:rsid w:val="67FE18A8"/>
    <w:rsid w:val="68267F50"/>
    <w:rsid w:val="68414C5E"/>
    <w:rsid w:val="68546C80"/>
    <w:rsid w:val="688D7935"/>
    <w:rsid w:val="68B13444"/>
    <w:rsid w:val="68B14AF1"/>
    <w:rsid w:val="68C379C1"/>
    <w:rsid w:val="68EE6B0A"/>
    <w:rsid w:val="68F3325E"/>
    <w:rsid w:val="68F465CF"/>
    <w:rsid w:val="68FC4FF5"/>
    <w:rsid w:val="69327961"/>
    <w:rsid w:val="69377E16"/>
    <w:rsid w:val="6944018C"/>
    <w:rsid w:val="69762E2E"/>
    <w:rsid w:val="697C27BB"/>
    <w:rsid w:val="698E33B4"/>
    <w:rsid w:val="69A173B6"/>
    <w:rsid w:val="69AB3731"/>
    <w:rsid w:val="69B07146"/>
    <w:rsid w:val="69CA0C9C"/>
    <w:rsid w:val="69D25CCB"/>
    <w:rsid w:val="6A546626"/>
    <w:rsid w:val="6A5C61DA"/>
    <w:rsid w:val="6A622844"/>
    <w:rsid w:val="6A6652AB"/>
    <w:rsid w:val="6A971908"/>
    <w:rsid w:val="6A9D3761"/>
    <w:rsid w:val="6A9E1FC9"/>
    <w:rsid w:val="6AA81C2F"/>
    <w:rsid w:val="6AC4282F"/>
    <w:rsid w:val="6B011769"/>
    <w:rsid w:val="6B1007A8"/>
    <w:rsid w:val="6B3832FA"/>
    <w:rsid w:val="6B556372"/>
    <w:rsid w:val="6B6B22CB"/>
    <w:rsid w:val="6B9120B3"/>
    <w:rsid w:val="6B9345C0"/>
    <w:rsid w:val="6BA57CC9"/>
    <w:rsid w:val="6BB62F30"/>
    <w:rsid w:val="6BB87545"/>
    <w:rsid w:val="6BD626FC"/>
    <w:rsid w:val="6BD8272E"/>
    <w:rsid w:val="6BEC2F1B"/>
    <w:rsid w:val="6BF6714C"/>
    <w:rsid w:val="6BFE4954"/>
    <w:rsid w:val="6C071717"/>
    <w:rsid w:val="6C123B5F"/>
    <w:rsid w:val="6C1B530A"/>
    <w:rsid w:val="6C1C604A"/>
    <w:rsid w:val="6C3C773D"/>
    <w:rsid w:val="6C4A6134"/>
    <w:rsid w:val="6C546A32"/>
    <w:rsid w:val="6C617EDC"/>
    <w:rsid w:val="6C6B0957"/>
    <w:rsid w:val="6C82311F"/>
    <w:rsid w:val="6C861C34"/>
    <w:rsid w:val="6C8746C4"/>
    <w:rsid w:val="6C875236"/>
    <w:rsid w:val="6CB67173"/>
    <w:rsid w:val="6CFE70C0"/>
    <w:rsid w:val="6D010BA5"/>
    <w:rsid w:val="6D0A4613"/>
    <w:rsid w:val="6D0E6418"/>
    <w:rsid w:val="6D1E5161"/>
    <w:rsid w:val="6D402F80"/>
    <w:rsid w:val="6D4C101B"/>
    <w:rsid w:val="6D692476"/>
    <w:rsid w:val="6D6F4477"/>
    <w:rsid w:val="6D7663AB"/>
    <w:rsid w:val="6DA2340E"/>
    <w:rsid w:val="6DAB3216"/>
    <w:rsid w:val="6DAD4F9F"/>
    <w:rsid w:val="6DB17059"/>
    <w:rsid w:val="6DBE28B7"/>
    <w:rsid w:val="6DE17F09"/>
    <w:rsid w:val="6DE3202A"/>
    <w:rsid w:val="6DE84B97"/>
    <w:rsid w:val="6DF644A9"/>
    <w:rsid w:val="6E132ACB"/>
    <w:rsid w:val="6E2E0801"/>
    <w:rsid w:val="6E3B7317"/>
    <w:rsid w:val="6E496E8E"/>
    <w:rsid w:val="6E4D1591"/>
    <w:rsid w:val="6E50650F"/>
    <w:rsid w:val="6E5D167C"/>
    <w:rsid w:val="6E653B5A"/>
    <w:rsid w:val="6E68508C"/>
    <w:rsid w:val="6E6A419B"/>
    <w:rsid w:val="6E8F629A"/>
    <w:rsid w:val="6EA42CB2"/>
    <w:rsid w:val="6EB3012C"/>
    <w:rsid w:val="6EB365E5"/>
    <w:rsid w:val="6EB9062D"/>
    <w:rsid w:val="6EB94104"/>
    <w:rsid w:val="6EBE44C8"/>
    <w:rsid w:val="6EC84051"/>
    <w:rsid w:val="6ED70426"/>
    <w:rsid w:val="6EEC434D"/>
    <w:rsid w:val="6EFC0AFE"/>
    <w:rsid w:val="6F632650"/>
    <w:rsid w:val="6F7172EC"/>
    <w:rsid w:val="6F8E0497"/>
    <w:rsid w:val="6F9C703E"/>
    <w:rsid w:val="6FA36549"/>
    <w:rsid w:val="6FAB3441"/>
    <w:rsid w:val="6FB756DF"/>
    <w:rsid w:val="6FCB4CC6"/>
    <w:rsid w:val="6FFD147F"/>
    <w:rsid w:val="70060914"/>
    <w:rsid w:val="702A28D7"/>
    <w:rsid w:val="70336B08"/>
    <w:rsid w:val="703869FA"/>
    <w:rsid w:val="70642B7E"/>
    <w:rsid w:val="70B2124A"/>
    <w:rsid w:val="70D6480D"/>
    <w:rsid w:val="710513D2"/>
    <w:rsid w:val="71170157"/>
    <w:rsid w:val="712E4649"/>
    <w:rsid w:val="713B0652"/>
    <w:rsid w:val="71455BAD"/>
    <w:rsid w:val="714F115B"/>
    <w:rsid w:val="715A592F"/>
    <w:rsid w:val="71786724"/>
    <w:rsid w:val="71942441"/>
    <w:rsid w:val="71973F9C"/>
    <w:rsid w:val="71A5646F"/>
    <w:rsid w:val="71A62136"/>
    <w:rsid w:val="71AB324D"/>
    <w:rsid w:val="71BE0BDC"/>
    <w:rsid w:val="71D46420"/>
    <w:rsid w:val="71F53EDA"/>
    <w:rsid w:val="721B3A75"/>
    <w:rsid w:val="72203F6E"/>
    <w:rsid w:val="72207B25"/>
    <w:rsid w:val="724937B2"/>
    <w:rsid w:val="724E7324"/>
    <w:rsid w:val="725073F9"/>
    <w:rsid w:val="7253491D"/>
    <w:rsid w:val="725501DD"/>
    <w:rsid w:val="72590222"/>
    <w:rsid w:val="72680FFD"/>
    <w:rsid w:val="72762108"/>
    <w:rsid w:val="72B8607C"/>
    <w:rsid w:val="72C604FC"/>
    <w:rsid w:val="72EF4676"/>
    <w:rsid w:val="72F15193"/>
    <w:rsid w:val="72F215A4"/>
    <w:rsid w:val="72F3723D"/>
    <w:rsid w:val="72F432C7"/>
    <w:rsid w:val="7306587D"/>
    <w:rsid w:val="734A0486"/>
    <w:rsid w:val="73532E6C"/>
    <w:rsid w:val="737E0722"/>
    <w:rsid w:val="738E62FC"/>
    <w:rsid w:val="739050CC"/>
    <w:rsid w:val="739C05B4"/>
    <w:rsid w:val="739F5D9D"/>
    <w:rsid w:val="73A61E0D"/>
    <w:rsid w:val="73AC2F0E"/>
    <w:rsid w:val="73B726D3"/>
    <w:rsid w:val="73BF77DA"/>
    <w:rsid w:val="73D02FA5"/>
    <w:rsid w:val="73D73BBC"/>
    <w:rsid w:val="73D94D40"/>
    <w:rsid w:val="73E73223"/>
    <w:rsid w:val="73E9672B"/>
    <w:rsid w:val="73EA2AA9"/>
    <w:rsid w:val="740D08DA"/>
    <w:rsid w:val="7418329F"/>
    <w:rsid w:val="743E4BA3"/>
    <w:rsid w:val="744F1E9E"/>
    <w:rsid w:val="746C7A2D"/>
    <w:rsid w:val="749B613A"/>
    <w:rsid w:val="74A54C22"/>
    <w:rsid w:val="74B23D8F"/>
    <w:rsid w:val="74BC2C44"/>
    <w:rsid w:val="74D13985"/>
    <w:rsid w:val="74DA0D6F"/>
    <w:rsid w:val="74E05C5A"/>
    <w:rsid w:val="74E45E36"/>
    <w:rsid w:val="74E74DC5"/>
    <w:rsid w:val="75316F29"/>
    <w:rsid w:val="75382CC3"/>
    <w:rsid w:val="753973DE"/>
    <w:rsid w:val="754D7793"/>
    <w:rsid w:val="75603CF0"/>
    <w:rsid w:val="75785E66"/>
    <w:rsid w:val="75957605"/>
    <w:rsid w:val="75A924F0"/>
    <w:rsid w:val="75BD6F17"/>
    <w:rsid w:val="75BE3ABC"/>
    <w:rsid w:val="75C4446F"/>
    <w:rsid w:val="75D114CA"/>
    <w:rsid w:val="75F32F93"/>
    <w:rsid w:val="76065B94"/>
    <w:rsid w:val="762778EC"/>
    <w:rsid w:val="763C479A"/>
    <w:rsid w:val="76432E06"/>
    <w:rsid w:val="76452218"/>
    <w:rsid w:val="766B0E65"/>
    <w:rsid w:val="76976A4A"/>
    <w:rsid w:val="76A13A40"/>
    <w:rsid w:val="76A45AEB"/>
    <w:rsid w:val="76A50D02"/>
    <w:rsid w:val="76AD5D2B"/>
    <w:rsid w:val="76BF6AA2"/>
    <w:rsid w:val="76F256D2"/>
    <w:rsid w:val="76FF2EF6"/>
    <w:rsid w:val="771750EF"/>
    <w:rsid w:val="771A1DD0"/>
    <w:rsid w:val="77617E30"/>
    <w:rsid w:val="777E186D"/>
    <w:rsid w:val="778B4DBF"/>
    <w:rsid w:val="778D59E3"/>
    <w:rsid w:val="77A373EE"/>
    <w:rsid w:val="77B43AFA"/>
    <w:rsid w:val="77B70BCC"/>
    <w:rsid w:val="77C4141E"/>
    <w:rsid w:val="77C81353"/>
    <w:rsid w:val="77CF39A0"/>
    <w:rsid w:val="77EA7385"/>
    <w:rsid w:val="780D4FB8"/>
    <w:rsid w:val="78104AA8"/>
    <w:rsid w:val="78134C5B"/>
    <w:rsid w:val="783446C1"/>
    <w:rsid w:val="783E06E7"/>
    <w:rsid w:val="785C6A97"/>
    <w:rsid w:val="78604EA7"/>
    <w:rsid w:val="78700A8E"/>
    <w:rsid w:val="78705956"/>
    <w:rsid w:val="78875EE2"/>
    <w:rsid w:val="789A6764"/>
    <w:rsid w:val="789E2AA4"/>
    <w:rsid w:val="78BF5A73"/>
    <w:rsid w:val="78CA416D"/>
    <w:rsid w:val="78CF0ADA"/>
    <w:rsid w:val="78E80F98"/>
    <w:rsid w:val="78F5652C"/>
    <w:rsid w:val="790565C3"/>
    <w:rsid w:val="790A27E3"/>
    <w:rsid w:val="791F03D6"/>
    <w:rsid w:val="795B627B"/>
    <w:rsid w:val="795C2EFC"/>
    <w:rsid w:val="79756B79"/>
    <w:rsid w:val="79A60EF2"/>
    <w:rsid w:val="79CE35D3"/>
    <w:rsid w:val="79E47F9A"/>
    <w:rsid w:val="79F41723"/>
    <w:rsid w:val="7A091921"/>
    <w:rsid w:val="7A49604F"/>
    <w:rsid w:val="7A564EFC"/>
    <w:rsid w:val="7A5D4714"/>
    <w:rsid w:val="7A697D08"/>
    <w:rsid w:val="7A815ADD"/>
    <w:rsid w:val="7A924230"/>
    <w:rsid w:val="7AAC12BC"/>
    <w:rsid w:val="7ABA6FD7"/>
    <w:rsid w:val="7AD91A60"/>
    <w:rsid w:val="7AFB223F"/>
    <w:rsid w:val="7B017115"/>
    <w:rsid w:val="7B2474B2"/>
    <w:rsid w:val="7B4F0676"/>
    <w:rsid w:val="7B882DF1"/>
    <w:rsid w:val="7B9C6ACE"/>
    <w:rsid w:val="7BA21ADD"/>
    <w:rsid w:val="7BAA721F"/>
    <w:rsid w:val="7BAC2BC0"/>
    <w:rsid w:val="7BC7583F"/>
    <w:rsid w:val="7BC96F43"/>
    <w:rsid w:val="7BD721D5"/>
    <w:rsid w:val="7BE36D2C"/>
    <w:rsid w:val="7BF57954"/>
    <w:rsid w:val="7BF701EE"/>
    <w:rsid w:val="7C013B9B"/>
    <w:rsid w:val="7C014448"/>
    <w:rsid w:val="7C1D63A2"/>
    <w:rsid w:val="7C1E3C37"/>
    <w:rsid w:val="7C4A7B4D"/>
    <w:rsid w:val="7C72188D"/>
    <w:rsid w:val="7C864EA5"/>
    <w:rsid w:val="7C923CDE"/>
    <w:rsid w:val="7CA230A9"/>
    <w:rsid w:val="7CAF28EA"/>
    <w:rsid w:val="7CB76B22"/>
    <w:rsid w:val="7CC572D8"/>
    <w:rsid w:val="7CC759B6"/>
    <w:rsid w:val="7CCD1760"/>
    <w:rsid w:val="7CD958DA"/>
    <w:rsid w:val="7D0B2034"/>
    <w:rsid w:val="7D1666BD"/>
    <w:rsid w:val="7D38299F"/>
    <w:rsid w:val="7D610397"/>
    <w:rsid w:val="7D782BBD"/>
    <w:rsid w:val="7D893333"/>
    <w:rsid w:val="7D913EBD"/>
    <w:rsid w:val="7DB5652E"/>
    <w:rsid w:val="7DB83FC2"/>
    <w:rsid w:val="7DDD367E"/>
    <w:rsid w:val="7E102572"/>
    <w:rsid w:val="7E2051F6"/>
    <w:rsid w:val="7E2547CF"/>
    <w:rsid w:val="7E29059E"/>
    <w:rsid w:val="7E3E5EEB"/>
    <w:rsid w:val="7E4047DE"/>
    <w:rsid w:val="7E485000"/>
    <w:rsid w:val="7E504B06"/>
    <w:rsid w:val="7E51269F"/>
    <w:rsid w:val="7E5366F9"/>
    <w:rsid w:val="7E663A9D"/>
    <w:rsid w:val="7E913B75"/>
    <w:rsid w:val="7E9A0305"/>
    <w:rsid w:val="7E9B2C75"/>
    <w:rsid w:val="7EB325C4"/>
    <w:rsid w:val="7EBC36ED"/>
    <w:rsid w:val="7EC01615"/>
    <w:rsid w:val="7ECD7CD2"/>
    <w:rsid w:val="7ED71E7C"/>
    <w:rsid w:val="7EE425D7"/>
    <w:rsid w:val="7EF43CDF"/>
    <w:rsid w:val="7EFC18E2"/>
    <w:rsid w:val="7F240843"/>
    <w:rsid w:val="7F2529F6"/>
    <w:rsid w:val="7F377570"/>
    <w:rsid w:val="7F3F2929"/>
    <w:rsid w:val="7F682ED7"/>
    <w:rsid w:val="7F8153F6"/>
    <w:rsid w:val="7F8761D3"/>
    <w:rsid w:val="7F914A64"/>
    <w:rsid w:val="7FA11FC2"/>
    <w:rsid w:val="7FB9008A"/>
    <w:rsid w:val="7FFA7495"/>
    <w:rsid w:val="7FFD2228"/>
    <w:rsid w:val="7FFF46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0"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imes New Roman" w:cs="Times New Roman"/>
      <w:kern w:val="2"/>
      <w:sz w:val="21"/>
      <w:szCs w:val="24"/>
      <w:lang w:val="en-US" w:eastAsia="zh-CN" w:bidi="ar-SA"/>
    </w:rPr>
  </w:style>
  <w:style w:type="paragraph" w:styleId="2">
    <w:name w:val="heading 1"/>
    <w:basedOn w:val="1"/>
    <w:next w:val="1"/>
    <w:link w:val="80"/>
    <w:qFormat/>
    <w:uiPriority w:val="0"/>
    <w:pPr>
      <w:keepNext/>
      <w:keepLines/>
      <w:numPr>
        <w:ilvl w:val="0"/>
        <w:numId w:val="1"/>
      </w:numPr>
      <w:adjustRightInd w:val="0"/>
      <w:spacing w:line="360" w:lineRule="auto"/>
      <w:textAlignment w:val="baseline"/>
      <w:outlineLvl w:val="0"/>
    </w:pPr>
    <w:rPr>
      <w:rFonts w:eastAsia="黑体"/>
      <w:b/>
      <w:kern w:val="44"/>
      <w:sz w:val="28"/>
      <w:szCs w:val="20"/>
    </w:rPr>
  </w:style>
  <w:style w:type="paragraph" w:styleId="3">
    <w:name w:val="heading 2"/>
    <w:basedOn w:val="1"/>
    <w:next w:val="1"/>
    <w:link w:val="100"/>
    <w:qFormat/>
    <w:uiPriority w:val="0"/>
    <w:pPr>
      <w:keepNext/>
      <w:numPr>
        <w:ilvl w:val="1"/>
        <w:numId w:val="1"/>
      </w:numPr>
      <w:tabs>
        <w:tab w:val="left" w:pos="1021"/>
        <w:tab w:val="left" w:pos="2582"/>
      </w:tabs>
      <w:adjustRightInd w:val="0"/>
      <w:spacing w:line="360" w:lineRule="auto"/>
      <w:textAlignment w:val="baseline"/>
      <w:outlineLvl w:val="1"/>
    </w:pPr>
    <w:rPr>
      <w:rFonts w:eastAsia="黑体"/>
      <w:b/>
      <w:kern w:val="0"/>
      <w:sz w:val="28"/>
      <w:szCs w:val="20"/>
    </w:rPr>
  </w:style>
  <w:style w:type="paragraph" w:styleId="4">
    <w:name w:val="heading 3"/>
    <w:basedOn w:val="1"/>
    <w:next w:val="1"/>
    <w:link w:val="88"/>
    <w:qFormat/>
    <w:uiPriority w:val="0"/>
    <w:pPr>
      <w:numPr>
        <w:ilvl w:val="2"/>
        <w:numId w:val="1"/>
      </w:numPr>
      <w:tabs>
        <w:tab w:val="left" w:pos="900"/>
        <w:tab w:val="clear" w:pos="1588"/>
      </w:tabs>
      <w:adjustRightInd w:val="0"/>
      <w:spacing w:line="360" w:lineRule="auto"/>
      <w:textAlignment w:val="baseline"/>
      <w:outlineLvl w:val="2"/>
    </w:pPr>
    <w:rPr>
      <w:rFonts w:eastAsia="黑体"/>
      <w:b/>
      <w:kern w:val="0"/>
      <w:sz w:val="28"/>
      <w:szCs w:val="20"/>
    </w:rPr>
  </w:style>
  <w:style w:type="paragraph" w:styleId="5">
    <w:name w:val="heading 4"/>
    <w:basedOn w:val="1"/>
    <w:next w:val="1"/>
    <w:qFormat/>
    <w:uiPriority w:val="0"/>
    <w:pPr>
      <w:numPr>
        <w:ilvl w:val="3"/>
        <w:numId w:val="1"/>
      </w:numPr>
      <w:adjustRightInd w:val="0"/>
      <w:spacing w:line="360" w:lineRule="auto"/>
      <w:textAlignment w:val="baseline"/>
      <w:outlineLvl w:val="3"/>
    </w:pPr>
    <w:rPr>
      <w:rFonts w:ascii="Arial" w:hAnsi="Arial" w:eastAsia="黑体"/>
      <w:kern w:val="0"/>
      <w:sz w:val="28"/>
      <w:szCs w:val="20"/>
    </w:rPr>
  </w:style>
  <w:style w:type="paragraph" w:styleId="6">
    <w:name w:val="heading 5"/>
    <w:basedOn w:val="1"/>
    <w:next w:val="1"/>
    <w:link w:val="90"/>
    <w:qFormat/>
    <w:uiPriority w:val="0"/>
    <w:pPr>
      <w:keepNext/>
      <w:keepLines/>
      <w:numPr>
        <w:ilvl w:val="4"/>
        <w:numId w:val="2"/>
      </w:numPr>
      <w:adjustRightInd w:val="0"/>
      <w:spacing w:line="376" w:lineRule="atLeast"/>
      <w:textAlignment w:val="baseline"/>
      <w:outlineLvl w:val="4"/>
    </w:pPr>
    <w:rPr>
      <w:b/>
      <w:kern w:val="0"/>
      <w:sz w:val="28"/>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qFormat/>
    <w:uiPriority w:val="0"/>
    <w:pPr>
      <w:widowControl/>
      <w:ind w:firstLine="420" w:firstLineChars="200"/>
      <w:jc w:val="left"/>
    </w:pPr>
    <w:rPr>
      <w:kern w:val="0"/>
      <w:sz w:val="20"/>
      <w:szCs w:val="20"/>
    </w:rPr>
  </w:style>
  <w:style w:type="paragraph" w:styleId="8">
    <w:name w:val="Document Map"/>
    <w:basedOn w:val="1"/>
    <w:qFormat/>
    <w:uiPriority w:val="0"/>
    <w:pPr>
      <w:shd w:val="clear" w:color="auto" w:fill="000080"/>
    </w:pPr>
  </w:style>
  <w:style w:type="paragraph" w:styleId="9">
    <w:name w:val="toa heading"/>
    <w:basedOn w:val="1"/>
    <w:next w:val="1"/>
    <w:qFormat/>
    <w:uiPriority w:val="0"/>
    <w:pPr>
      <w:spacing w:before="120"/>
    </w:pPr>
    <w:rPr>
      <w:rFonts w:ascii="Arial" w:hAnsi="Arial" w:cs="Arial"/>
      <w:sz w:val="24"/>
    </w:rPr>
  </w:style>
  <w:style w:type="paragraph" w:styleId="10">
    <w:name w:val="annotation text"/>
    <w:basedOn w:val="1"/>
    <w:link w:val="79"/>
    <w:qFormat/>
    <w:uiPriority w:val="0"/>
    <w:pPr>
      <w:jc w:val="left"/>
    </w:pPr>
  </w:style>
  <w:style w:type="paragraph" w:styleId="11">
    <w:name w:val="Body Text 3"/>
    <w:basedOn w:val="1"/>
    <w:qFormat/>
    <w:uiPriority w:val="0"/>
    <w:pPr>
      <w:spacing w:after="120"/>
    </w:pPr>
    <w:rPr>
      <w:sz w:val="16"/>
      <w:szCs w:val="16"/>
    </w:rPr>
  </w:style>
  <w:style w:type="paragraph" w:styleId="12">
    <w:name w:val="Body Text"/>
    <w:basedOn w:val="1"/>
    <w:link w:val="81"/>
    <w:qFormat/>
    <w:uiPriority w:val="0"/>
  </w:style>
  <w:style w:type="paragraph" w:styleId="13">
    <w:name w:val="Body Text Indent"/>
    <w:basedOn w:val="1"/>
    <w:next w:val="14"/>
    <w:link w:val="107"/>
    <w:qFormat/>
    <w:uiPriority w:val="0"/>
    <w:pPr>
      <w:ind w:left="420" w:leftChars="200"/>
    </w:pPr>
  </w:style>
  <w:style w:type="paragraph" w:styleId="14">
    <w:name w:val="Body Text First Indent 2"/>
    <w:basedOn w:val="13"/>
    <w:next w:val="15"/>
    <w:qFormat/>
    <w:uiPriority w:val="0"/>
    <w:pPr>
      <w:ind w:firstLine="420" w:firstLineChars="200"/>
    </w:pPr>
    <w:rPr>
      <w:sz w:val="22"/>
      <w:szCs w:val="22"/>
    </w:rPr>
  </w:style>
  <w:style w:type="paragraph" w:styleId="15">
    <w:name w:val="Body Text First Indent"/>
    <w:basedOn w:val="12"/>
    <w:next w:val="1"/>
    <w:qFormat/>
    <w:uiPriority w:val="0"/>
    <w:pPr>
      <w:spacing w:after="120"/>
      <w:ind w:firstLine="420" w:firstLineChars="100"/>
    </w:pPr>
    <w:rPr>
      <w:rFonts w:eastAsia="宋体"/>
      <w:bCs/>
      <w:kern w:val="44"/>
      <w:sz w:val="52"/>
      <w:szCs w:val="44"/>
    </w:rPr>
  </w:style>
  <w:style w:type="paragraph" w:styleId="16">
    <w:name w:val="toc 3"/>
    <w:basedOn w:val="1"/>
    <w:next w:val="1"/>
    <w:qFormat/>
    <w:uiPriority w:val="39"/>
    <w:pPr>
      <w:ind w:left="420"/>
    </w:pPr>
    <w:rPr>
      <w:rFonts w:eastAsia="宋体"/>
      <w:i/>
      <w:iCs/>
      <w:sz w:val="20"/>
      <w:szCs w:val="20"/>
    </w:rPr>
  </w:style>
  <w:style w:type="paragraph" w:styleId="17">
    <w:name w:val="Plain Text"/>
    <w:basedOn w:val="1"/>
    <w:link w:val="85"/>
    <w:qFormat/>
    <w:uiPriority w:val="0"/>
    <w:rPr>
      <w:rFonts w:ascii="宋体"/>
      <w:szCs w:val="20"/>
    </w:rPr>
  </w:style>
  <w:style w:type="paragraph" w:styleId="18">
    <w:name w:val="Date"/>
    <w:basedOn w:val="1"/>
    <w:next w:val="1"/>
    <w:link w:val="99"/>
    <w:qFormat/>
    <w:uiPriority w:val="0"/>
    <w:pPr>
      <w:ind w:left="100" w:leftChars="2500"/>
    </w:pPr>
  </w:style>
  <w:style w:type="paragraph" w:styleId="19">
    <w:name w:val="Body Text Indent 2"/>
    <w:basedOn w:val="1"/>
    <w:link w:val="86"/>
    <w:qFormat/>
    <w:uiPriority w:val="0"/>
    <w:pPr>
      <w:spacing w:line="480" w:lineRule="auto"/>
      <w:ind w:left="200" w:leftChars="200"/>
    </w:pPr>
  </w:style>
  <w:style w:type="paragraph" w:styleId="20">
    <w:name w:val="Balloon Text"/>
    <w:basedOn w:val="1"/>
    <w:qFormat/>
    <w:uiPriority w:val="0"/>
    <w:rPr>
      <w:sz w:val="18"/>
      <w:szCs w:val="18"/>
    </w:rPr>
  </w:style>
  <w:style w:type="paragraph" w:styleId="21">
    <w:name w:val="footer"/>
    <w:basedOn w:val="1"/>
    <w:link w:val="84"/>
    <w:qFormat/>
    <w:uiPriority w:val="0"/>
    <w:pPr>
      <w:tabs>
        <w:tab w:val="center" w:pos="4153"/>
        <w:tab w:val="right" w:pos="8306"/>
      </w:tabs>
      <w:snapToGrid w:val="0"/>
      <w:jc w:val="left"/>
    </w:pPr>
    <w:rPr>
      <w:rFonts w:ascii="宋体"/>
      <w:sz w:val="18"/>
      <w:szCs w:val="20"/>
    </w:rPr>
  </w:style>
  <w:style w:type="paragraph" w:styleId="22">
    <w:name w:val="header"/>
    <w:basedOn w:val="1"/>
    <w:link w:val="111"/>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0"/>
    <w:pPr>
      <w:tabs>
        <w:tab w:val="right" w:leader="dot" w:pos="9628"/>
      </w:tabs>
      <w:ind w:firstLine="74" w:firstLineChars="74"/>
      <w:jc w:val="left"/>
    </w:pPr>
    <w:rPr>
      <w:b/>
      <w:bCs/>
      <w:caps/>
      <w:sz w:val="20"/>
      <w:szCs w:val="20"/>
    </w:rPr>
  </w:style>
  <w:style w:type="paragraph" w:styleId="24">
    <w:name w:val="toc 2"/>
    <w:basedOn w:val="1"/>
    <w:next w:val="1"/>
    <w:qFormat/>
    <w:uiPriority w:val="0"/>
    <w:pPr>
      <w:tabs>
        <w:tab w:val="right" w:leader="dot" w:pos="9628"/>
      </w:tabs>
      <w:spacing w:line="260" w:lineRule="exact"/>
      <w:ind w:left="210"/>
      <w:jc w:val="left"/>
    </w:pPr>
    <w:rPr>
      <w:smallCaps/>
      <w:sz w:val="20"/>
      <w:szCs w:val="20"/>
    </w:rPr>
  </w:style>
  <w:style w:type="paragraph" w:styleId="25">
    <w:name w:val="toc 9"/>
    <w:basedOn w:val="1"/>
    <w:next w:val="1"/>
    <w:qFormat/>
    <w:uiPriority w:val="0"/>
    <w:pPr>
      <w:ind w:left="1680"/>
      <w:jc w:val="left"/>
    </w:pPr>
    <w:rPr>
      <w:sz w:val="18"/>
      <w:szCs w:val="18"/>
    </w:rPr>
  </w:style>
  <w:style w:type="paragraph" w:styleId="26">
    <w:name w:val="Body Text 2"/>
    <w:basedOn w:val="1"/>
    <w:link w:val="102"/>
    <w:qFormat/>
    <w:uiPriority w:val="0"/>
    <w:pPr>
      <w:spacing w:line="480" w:lineRule="auto"/>
    </w:pPr>
  </w:style>
  <w:style w:type="paragraph" w:styleId="27">
    <w:name w:val="Normal (Web)"/>
    <w:basedOn w:val="1"/>
    <w:qFormat/>
    <w:uiPriority w:val="0"/>
    <w:pPr>
      <w:widowControl/>
      <w:spacing w:beforeAutospacing="1" w:afterAutospacing="1"/>
      <w:jc w:val="left"/>
    </w:pPr>
    <w:rPr>
      <w:rFonts w:ascii="宋体" w:hAnsi="宋体"/>
      <w:kern w:val="0"/>
      <w:sz w:val="24"/>
    </w:rPr>
  </w:style>
  <w:style w:type="paragraph" w:styleId="28">
    <w:name w:val="Title"/>
    <w:basedOn w:val="1"/>
    <w:next w:val="1"/>
    <w:qFormat/>
    <w:uiPriority w:val="0"/>
    <w:pPr>
      <w:spacing w:before="240" w:after="60"/>
      <w:jc w:val="center"/>
      <w:outlineLvl w:val="0"/>
    </w:pPr>
    <w:rPr>
      <w:rFonts w:ascii="Cambria" w:hAnsi="Cambria"/>
      <w:b/>
      <w:bCs/>
      <w:sz w:val="32"/>
      <w:szCs w:val="32"/>
    </w:rPr>
  </w:style>
  <w:style w:type="paragraph" w:styleId="29">
    <w:name w:val="annotation subject"/>
    <w:basedOn w:val="10"/>
    <w:next w:val="10"/>
    <w:link w:val="97"/>
    <w:qFormat/>
    <w:uiPriority w:val="0"/>
    <w:rPr>
      <w:b/>
      <w:bCs/>
    </w:rPr>
  </w:style>
  <w:style w:type="table" w:styleId="31">
    <w:name w:val="Table Grid"/>
    <w:basedOn w:val="3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qFormat/>
    <w:uiPriority w:val="0"/>
    <w:rPr>
      <w:b/>
      <w:bCs/>
    </w:rPr>
  </w:style>
  <w:style w:type="character" w:styleId="34">
    <w:name w:val="page number"/>
    <w:basedOn w:val="32"/>
    <w:qFormat/>
    <w:uiPriority w:val="0"/>
  </w:style>
  <w:style w:type="character" w:styleId="35">
    <w:name w:val="FollowedHyperlink"/>
    <w:unhideWhenUsed/>
    <w:qFormat/>
    <w:uiPriority w:val="99"/>
    <w:rPr>
      <w:rFonts w:hint="eastAsia" w:ascii="宋体" w:hAnsi="宋体" w:eastAsia="宋体" w:cs="宋体"/>
      <w:color w:val="0033CC"/>
      <w:sz w:val="18"/>
      <w:szCs w:val="18"/>
      <w:u w:val="none"/>
    </w:rPr>
  </w:style>
  <w:style w:type="character" w:styleId="36">
    <w:name w:val="Emphasis"/>
    <w:basedOn w:val="32"/>
    <w:qFormat/>
    <w:uiPriority w:val="20"/>
    <w:rPr>
      <w:i/>
    </w:rPr>
  </w:style>
  <w:style w:type="character" w:styleId="37">
    <w:name w:val="HTML Definition"/>
    <w:basedOn w:val="32"/>
    <w:unhideWhenUsed/>
    <w:qFormat/>
    <w:uiPriority w:val="99"/>
    <w:rPr>
      <w:i/>
      <w:color w:val="555555"/>
      <w:sz w:val="21"/>
      <w:szCs w:val="21"/>
      <w:bdr w:val="single" w:color="CCCCCC" w:sz="6" w:space="0"/>
      <w:shd w:val="clear" w:color="auto" w:fill="FFFFFF"/>
    </w:rPr>
  </w:style>
  <w:style w:type="character" w:styleId="38">
    <w:name w:val="Hyperlink"/>
    <w:qFormat/>
    <w:uiPriority w:val="0"/>
    <w:rPr>
      <w:rFonts w:hint="eastAsia" w:ascii="微软雅黑" w:hAnsi="微软雅黑" w:eastAsia="微软雅黑" w:cs="微软雅黑"/>
      <w:color w:val="428BCA"/>
      <w:u w:val="none"/>
    </w:rPr>
  </w:style>
  <w:style w:type="character" w:styleId="39">
    <w:name w:val="HTML Code"/>
    <w:unhideWhenUsed/>
    <w:qFormat/>
    <w:uiPriority w:val="99"/>
    <w:rPr>
      <w:rFonts w:hint="default" w:ascii="Menlo" w:hAnsi="Menlo" w:eastAsia="Menlo" w:cs="Menlo"/>
      <w:color w:val="C7254E"/>
      <w:sz w:val="21"/>
      <w:szCs w:val="21"/>
      <w:shd w:val="clear" w:color="auto" w:fill="F9F2F4"/>
    </w:rPr>
  </w:style>
  <w:style w:type="character" w:styleId="40">
    <w:name w:val="annotation reference"/>
    <w:qFormat/>
    <w:uiPriority w:val="0"/>
    <w:rPr>
      <w:sz w:val="21"/>
      <w:szCs w:val="21"/>
    </w:rPr>
  </w:style>
  <w:style w:type="character" w:styleId="41">
    <w:name w:val="HTML Keyboard"/>
    <w:unhideWhenUsed/>
    <w:qFormat/>
    <w:uiPriority w:val="99"/>
    <w:rPr>
      <w:rFonts w:hint="default" w:ascii="Menlo" w:hAnsi="Menlo" w:eastAsia="Menlo" w:cs="Menlo"/>
      <w:color w:val="FFFFFF"/>
      <w:sz w:val="21"/>
      <w:szCs w:val="21"/>
      <w:shd w:val="clear" w:color="auto" w:fill="333333"/>
    </w:rPr>
  </w:style>
  <w:style w:type="character" w:styleId="42">
    <w:name w:val="HTML Sample"/>
    <w:unhideWhenUsed/>
    <w:qFormat/>
    <w:uiPriority w:val="0"/>
    <w:rPr>
      <w:rFonts w:ascii="Menlo" w:hAnsi="Menlo" w:eastAsia="Menlo" w:cs="Menlo"/>
      <w:sz w:val="21"/>
      <w:szCs w:val="21"/>
      <w:bdr w:val="single" w:color="AAAAAA" w:sz="6" w:space="0"/>
      <w:shd w:val="clear" w:color="auto" w:fill="FFFFFF"/>
    </w:rPr>
  </w:style>
  <w:style w:type="paragraph" w:customStyle="1" w:styleId="43">
    <w:name w:val="一级条标题"/>
    <w:basedOn w:val="44"/>
    <w:next w:val="45"/>
    <w:autoRedefine/>
    <w:qFormat/>
    <w:uiPriority w:val="0"/>
    <w:pPr>
      <w:tabs>
        <w:tab w:val="left" w:pos="360"/>
        <w:tab w:val="left" w:pos="1260"/>
      </w:tabs>
      <w:ind w:left="1260" w:hanging="420"/>
      <w:outlineLvl w:val="2"/>
    </w:pPr>
  </w:style>
  <w:style w:type="paragraph" w:customStyle="1" w:styleId="44">
    <w:name w:val="章标题"/>
    <w:next w:val="1"/>
    <w:autoRedefine/>
    <w:qFormat/>
    <w:uiPriority w:val="0"/>
    <w:pPr>
      <w:spacing w:beforeLines="50" w:afterLines="50"/>
      <w:ind w:left="210"/>
      <w:jc w:val="both"/>
      <w:outlineLvl w:val="1"/>
    </w:pPr>
    <w:rPr>
      <w:rFonts w:ascii="黑体" w:hAnsi="Times New Roman" w:eastAsia="黑体" w:cs="Times New Roman"/>
      <w:sz w:val="21"/>
      <w:lang w:val="en-US" w:eastAsia="zh-CN" w:bidi="ar-SA"/>
    </w:rPr>
  </w:style>
  <w:style w:type="paragraph" w:customStyle="1" w:styleId="45">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6">
    <w:name w:val="正文_4"/>
    <w:next w:val="14"/>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7">
    <w:name w:val="首行缩进"/>
    <w:basedOn w:val="1"/>
    <w:qFormat/>
    <w:uiPriority w:val="0"/>
    <w:pPr>
      <w:spacing w:line="360" w:lineRule="auto"/>
      <w:ind w:firstLine="480" w:firstLineChars="200"/>
    </w:pPr>
    <w:rPr>
      <w:rFonts w:ascii="Calibri" w:hAnsi="Calibri"/>
      <w:sz w:val="24"/>
      <w:lang w:val="zh-CN"/>
    </w:rPr>
  </w:style>
  <w:style w:type="paragraph" w:customStyle="1" w:styleId="48">
    <w:name w:val="GTA正文-1"/>
    <w:basedOn w:val="49"/>
    <w:qFormat/>
    <w:uiPriority w:val="0"/>
  </w:style>
  <w:style w:type="paragraph" w:customStyle="1" w:styleId="49">
    <w:name w:val="正文雅黑小四1"/>
    <w:basedOn w:val="1"/>
    <w:qFormat/>
    <w:uiPriority w:val="0"/>
    <w:pPr>
      <w:widowControl/>
      <w:ind w:firstLine="480" w:firstLineChars="200"/>
      <w:jc w:val="left"/>
    </w:pPr>
    <w:rPr>
      <w:rFonts w:ascii="微软雅黑" w:hAnsi="微软雅黑" w:eastAsia="微软雅黑" w:cs="宋体"/>
      <w:color w:val="000000"/>
      <w:kern w:val="0"/>
      <w:sz w:val="24"/>
    </w:rPr>
  </w:style>
  <w:style w:type="paragraph" w:customStyle="1" w:styleId="50">
    <w:name w:val="列出段落1"/>
    <w:basedOn w:val="1"/>
    <w:qFormat/>
    <w:uiPriority w:val="34"/>
    <w:pPr>
      <w:ind w:firstLine="420" w:firstLineChars="200"/>
    </w:pPr>
  </w:style>
  <w:style w:type="paragraph" w:customStyle="1" w:styleId="51">
    <w:name w:val="List Paragraph2"/>
    <w:basedOn w:val="1"/>
    <w:qFormat/>
    <w:uiPriority w:val="0"/>
    <w:pPr>
      <w:ind w:firstLine="420" w:firstLineChars="200"/>
    </w:pPr>
    <w:rPr>
      <w:szCs w:val="21"/>
    </w:rPr>
  </w:style>
  <w:style w:type="paragraph" w:customStyle="1" w:styleId="52">
    <w:name w:val="vsbcontent_start"/>
    <w:basedOn w:val="1"/>
    <w:qFormat/>
    <w:uiPriority w:val="0"/>
    <w:pPr>
      <w:widowControl/>
      <w:spacing w:before="100" w:beforeAutospacing="1" w:after="100" w:afterAutospacing="1"/>
      <w:jc w:val="left"/>
    </w:pPr>
    <w:rPr>
      <w:rFonts w:ascii="宋体" w:hAnsi="宋体" w:cs="宋体"/>
      <w:kern w:val="0"/>
      <w:sz w:val="24"/>
    </w:rPr>
  </w:style>
  <w:style w:type="paragraph" w:customStyle="1" w:styleId="53">
    <w:name w:val="正文文本 (2)1"/>
    <w:basedOn w:val="1"/>
    <w:qFormat/>
    <w:uiPriority w:val="99"/>
    <w:pPr>
      <w:shd w:val="clear" w:color="auto" w:fill="FFFFFF"/>
      <w:spacing w:line="240" w:lineRule="atLeast"/>
      <w:ind w:hanging="140"/>
      <w:jc w:val="left"/>
    </w:pPr>
    <w:rPr>
      <w:rFonts w:ascii="宋体" w:hAnsi="宋体"/>
      <w:kern w:val="0"/>
      <w:sz w:val="22"/>
      <w:szCs w:val="22"/>
    </w:rPr>
  </w:style>
  <w:style w:type="paragraph" w:customStyle="1" w:styleId="54">
    <w:name w:val="Char"/>
    <w:basedOn w:val="1"/>
    <w:qFormat/>
    <w:uiPriority w:val="0"/>
  </w:style>
  <w:style w:type="paragraph" w:customStyle="1" w:styleId="55">
    <w:name w:val="Absatz2AL"/>
    <w:basedOn w:val="12"/>
    <w:next w:val="1"/>
    <w:qFormat/>
    <w:uiPriority w:val="0"/>
    <w:pPr>
      <w:widowControl/>
      <w:overflowPunct w:val="0"/>
      <w:autoSpaceDE w:val="0"/>
      <w:autoSpaceDN w:val="0"/>
      <w:adjustRightInd w:val="0"/>
      <w:textAlignment w:val="baseline"/>
    </w:pPr>
    <w:rPr>
      <w:rFonts w:eastAsia="楷体_GB2312"/>
      <w:kern w:val="0"/>
      <w:sz w:val="24"/>
      <w:szCs w:val="20"/>
      <w:lang w:val="de-DE" w:eastAsia="de-DE"/>
    </w:rPr>
  </w:style>
  <w:style w:type="paragraph" w:customStyle="1" w:styleId="56">
    <w:name w:val="抬头"/>
    <w:basedOn w:val="1"/>
    <w:qFormat/>
    <w:uiPriority w:val="0"/>
    <w:pPr>
      <w:spacing w:beforeLines="50" w:line="360" w:lineRule="auto"/>
    </w:pPr>
    <w:rPr>
      <w:rFonts w:ascii="宋体"/>
      <w:sz w:val="24"/>
    </w:rPr>
  </w:style>
  <w:style w:type="paragraph" w:customStyle="1" w:styleId="57">
    <w:name w:val="GTA正文-2"/>
    <w:basedOn w:val="1"/>
    <w:qFormat/>
    <w:uiPriority w:val="0"/>
    <w:pPr>
      <w:snapToGrid w:val="0"/>
      <w:spacing w:beforeLines="50"/>
      <w:ind w:firstLine="200" w:firstLineChars="200"/>
    </w:pPr>
    <w:rPr>
      <w:rFonts w:ascii="Arial" w:hAnsi="Arial" w:eastAsia="微软雅黑" w:cs="Arial"/>
      <w:sz w:val="24"/>
    </w:rPr>
  </w:style>
  <w:style w:type="paragraph" w:customStyle="1" w:styleId="58">
    <w:name w:val="标题大雅黑二号2"/>
    <w:basedOn w:val="2"/>
    <w:qFormat/>
    <w:uiPriority w:val="0"/>
    <w:rPr>
      <w:rFonts w:ascii="微软雅黑" w:hAnsi="微软雅黑" w:eastAsia="微软雅黑"/>
    </w:rPr>
  </w:style>
  <w:style w:type="paragraph" w:customStyle="1" w:styleId="59">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60">
    <w:name w:val="xl23"/>
    <w:next w:val="25"/>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61">
    <w:name w:val="图片"/>
    <w:basedOn w:val="1"/>
    <w:qFormat/>
    <w:uiPriority w:val="99"/>
    <w:pPr>
      <w:tabs>
        <w:tab w:val="left" w:pos="480"/>
        <w:tab w:val="left" w:pos="540"/>
        <w:tab w:val="left" w:pos="720"/>
      </w:tabs>
      <w:spacing w:beforeLines="50"/>
      <w:jc w:val="center"/>
    </w:pPr>
    <w:rPr>
      <w:rFonts w:ascii="仿宋" w:hAnsi="仿宋" w:eastAsia="仿宋" w:cs="仿宋"/>
      <w:bCs/>
      <w:color w:val="000000"/>
      <w:kern w:val="0"/>
      <w:sz w:val="24"/>
      <w:szCs w:val="48"/>
    </w:rPr>
  </w:style>
  <w:style w:type="paragraph" w:customStyle="1" w:styleId="62">
    <w:name w:val="正文靠左"/>
    <w:basedOn w:val="1"/>
    <w:qFormat/>
    <w:uiPriority w:val="0"/>
    <w:pPr>
      <w:widowControl/>
      <w:spacing w:beforeLines="50" w:line="360" w:lineRule="exact"/>
    </w:pPr>
    <w:rPr>
      <w:rFonts w:ascii="仿宋" w:hAnsi="仿宋" w:eastAsia="仿宋" w:cs="仿宋"/>
      <w:bCs/>
      <w:color w:val="000000"/>
      <w:kern w:val="0"/>
      <w:sz w:val="24"/>
    </w:rPr>
  </w:style>
  <w:style w:type="paragraph" w:customStyle="1" w:styleId="63">
    <w:name w:val="List Paragraph1"/>
    <w:basedOn w:val="1"/>
    <w:qFormat/>
    <w:uiPriority w:val="99"/>
    <w:pPr>
      <w:ind w:left="720"/>
      <w:contextualSpacing/>
    </w:pPr>
  </w:style>
  <w:style w:type="paragraph" w:customStyle="1" w:styleId="64">
    <w:name w:val="正文头"/>
    <w:basedOn w:val="1"/>
    <w:qFormat/>
    <w:uiPriority w:val="0"/>
    <w:pPr>
      <w:jc w:val="center"/>
    </w:pPr>
    <w:rPr>
      <w:rFonts w:ascii="宋体" w:hAnsi="宋体" w:eastAsia="宋体"/>
      <w:b/>
      <w:sz w:val="32"/>
      <w:szCs w:val="32"/>
    </w:rPr>
  </w:style>
  <w:style w:type="paragraph" w:customStyle="1" w:styleId="65">
    <w:name w:val="样式6"/>
    <w:basedOn w:val="22"/>
    <w:qFormat/>
    <w:uiPriority w:val="0"/>
    <w:pPr>
      <w:pBdr>
        <w:bottom w:val="thickThinSmallGap" w:color="auto" w:sz="12" w:space="1"/>
      </w:pBdr>
      <w:jc w:val="both"/>
    </w:pPr>
  </w:style>
  <w:style w:type="paragraph" w:customStyle="1" w:styleId="66">
    <w:name w:val="Char13"/>
    <w:basedOn w:val="1"/>
    <w:qFormat/>
    <w:uiPriority w:val="0"/>
  </w:style>
  <w:style w:type="paragraph" w:customStyle="1" w:styleId="67">
    <w:name w:val="Char Char1 Char Char"/>
    <w:basedOn w:val="1"/>
    <w:qFormat/>
    <w:uiPriority w:val="0"/>
    <w:pPr>
      <w:tabs>
        <w:tab w:val="left" w:pos="360"/>
      </w:tabs>
    </w:pPr>
    <w:rPr>
      <w:szCs w:val="20"/>
    </w:rPr>
  </w:style>
  <w:style w:type="paragraph" w:customStyle="1" w:styleId="68">
    <w:name w:val="表格"/>
    <w:basedOn w:val="1"/>
    <w:qFormat/>
    <w:uiPriority w:val="0"/>
    <w:pPr>
      <w:tabs>
        <w:tab w:val="left" w:pos="1200"/>
      </w:tabs>
      <w:spacing w:line="500" w:lineRule="exact"/>
      <w:jc w:val="center"/>
    </w:pPr>
    <w:rPr>
      <w:rFonts w:ascii="宋体"/>
      <w:sz w:val="24"/>
      <w:szCs w:val="18"/>
    </w:rPr>
  </w:style>
  <w:style w:type="paragraph" w:customStyle="1" w:styleId="69">
    <w:name w:val="Other|1"/>
    <w:basedOn w:val="1"/>
    <w:qFormat/>
    <w:uiPriority w:val="0"/>
    <w:pPr>
      <w:spacing w:line="461" w:lineRule="auto"/>
      <w:ind w:firstLine="400"/>
    </w:pPr>
    <w:rPr>
      <w:rFonts w:ascii="宋体" w:hAnsi="宋体" w:eastAsia="宋体" w:cs="宋体"/>
      <w:sz w:val="20"/>
      <w:szCs w:val="20"/>
      <w:lang w:val="zh-TW" w:eastAsia="zh-TW" w:bidi="zh-TW"/>
    </w:rPr>
  </w:style>
  <w:style w:type="paragraph" w:customStyle="1" w:styleId="70">
    <w:name w:val="Char1"/>
    <w:basedOn w:val="1"/>
    <w:qFormat/>
    <w:uiPriority w:val="0"/>
    <w:pPr>
      <w:ind w:firstLine="200" w:firstLineChars="200"/>
    </w:pPr>
  </w:style>
  <w:style w:type="paragraph" w:customStyle="1" w:styleId="71">
    <w:name w:val="缺省文本"/>
    <w:basedOn w:val="1"/>
    <w:qFormat/>
    <w:uiPriority w:val="0"/>
    <w:pPr>
      <w:autoSpaceDE w:val="0"/>
      <w:autoSpaceDN w:val="0"/>
      <w:adjustRightInd w:val="0"/>
      <w:jc w:val="left"/>
    </w:pPr>
    <w:rPr>
      <w:kern w:val="0"/>
      <w:sz w:val="24"/>
      <w:szCs w:val="20"/>
    </w:rPr>
  </w:style>
  <w:style w:type="paragraph" w:customStyle="1" w:styleId="72">
    <w:name w:val="图"/>
    <w:basedOn w:val="1"/>
    <w:qFormat/>
    <w:uiPriority w:val="0"/>
    <w:pPr>
      <w:keepNext/>
      <w:adjustRightInd w:val="0"/>
      <w:spacing w:before="60" w:after="60" w:line="300" w:lineRule="auto"/>
      <w:jc w:val="center"/>
      <w:textAlignment w:val="center"/>
    </w:pPr>
    <w:rPr>
      <w:snapToGrid w:val="0"/>
      <w:spacing w:val="20"/>
      <w:kern w:val="0"/>
      <w:sz w:val="24"/>
    </w:rPr>
  </w:style>
  <w:style w:type="paragraph" w:customStyle="1" w:styleId="73">
    <w:name w:val="Default"/>
    <w:qFormat/>
    <w:uiPriority w:val="0"/>
    <w:pPr>
      <w:widowControl w:val="0"/>
      <w:autoSpaceDE w:val="0"/>
      <w:autoSpaceDN w:val="0"/>
      <w:adjustRightInd w:val="0"/>
    </w:pPr>
    <w:rPr>
      <w:rFonts w:ascii="宋体" w:hAnsi="Times New Roman" w:eastAsia="Times New Roman" w:cs="宋体"/>
      <w:color w:val="000000"/>
      <w:sz w:val="24"/>
      <w:szCs w:val="24"/>
      <w:lang w:val="en-US" w:eastAsia="zh-CN" w:bidi="ar-SA"/>
    </w:rPr>
  </w:style>
  <w:style w:type="paragraph" w:customStyle="1" w:styleId="74">
    <w:name w:val="Char Char Char"/>
    <w:basedOn w:val="1"/>
    <w:qFormat/>
    <w:uiPriority w:val="0"/>
    <w:pPr>
      <w:ind w:firstLine="200" w:firstLineChars="200"/>
    </w:pPr>
    <w:rPr>
      <w:sz w:val="24"/>
    </w:rPr>
  </w:style>
  <w:style w:type="paragraph" w:customStyle="1" w:styleId="75">
    <w:name w:val="纯文本1"/>
    <w:basedOn w:val="1"/>
    <w:qFormat/>
    <w:uiPriority w:val="0"/>
    <w:rPr>
      <w:rFonts w:ascii="宋体"/>
      <w:szCs w:val="20"/>
    </w:rPr>
  </w:style>
  <w:style w:type="paragraph" w:styleId="76">
    <w:name w:val="List Paragraph"/>
    <w:basedOn w:val="1"/>
    <w:qFormat/>
    <w:uiPriority w:val="0"/>
    <w:pPr>
      <w:ind w:firstLine="420" w:firstLineChars="200"/>
    </w:pPr>
  </w:style>
  <w:style w:type="paragraph" w:customStyle="1" w:styleId="77">
    <w:name w:val="p2"/>
    <w:basedOn w:val="1"/>
    <w:qFormat/>
    <w:uiPriority w:val="0"/>
    <w:pPr>
      <w:widowControl/>
      <w:spacing w:line="480" w:lineRule="auto"/>
      <w:ind w:firstLine="420"/>
      <w:jc w:val="left"/>
    </w:pPr>
    <w:rPr>
      <w:rFonts w:ascii="宋体" w:hAnsi="宋体" w:cs="宋体"/>
      <w:kern w:val="0"/>
      <w:szCs w:val="21"/>
    </w:rPr>
  </w:style>
  <w:style w:type="character" w:customStyle="1" w:styleId="78">
    <w:name w:val="qxdate"/>
    <w:basedOn w:val="32"/>
    <w:qFormat/>
    <w:uiPriority w:val="0"/>
    <w:rPr>
      <w:color w:val="333333"/>
      <w:sz w:val="18"/>
      <w:szCs w:val="18"/>
    </w:rPr>
  </w:style>
  <w:style w:type="character" w:customStyle="1" w:styleId="79">
    <w:name w:val="批注文字 字符"/>
    <w:link w:val="10"/>
    <w:qFormat/>
    <w:uiPriority w:val="0"/>
    <w:rPr>
      <w:kern w:val="2"/>
      <w:sz w:val="21"/>
      <w:szCs w:val="24"/>
    </w:rPr>
  </w:style>
  <w:style w:type="character" w:customStyle="1" w:styleId="80">
    <w:name w:val="标题 1 字符"/>
    <w:link w:val="2"/>
    <w:qFormat/>
    <w:uiPriority w:val="0"/>
    <w:rPr>
      <w:rFonts w:eastAsia="黑体"/>
      <w:b/>
      <w:kern w:val="44"/>
      <w:sz w:val="28"/>
    </w:rPr>
  </w:style>
  <w:style w:type="character" w:customStyle="1" w:styleId="81">
    <w:name w:val="正文文本 字符"/>
    <w:link w:val="12"/>
    <w:qFormat/>
    <w:uiPriority w:val="0"/>
    <w:rPr>
      <w:kern w:val="2"/>
      <w:sz w:val="21"/>
      <w:szCs w:val="24"/>
    </w:rPr>
  </w:style>
  <w:style w:type="character" w:customStyle="1" w:styleId="82">
    <w:name w:val="纯文本 Char1"/>
    <w:qFormat/>
    <w:uiPriority w:val="0"/>
    <w:rPr>
      <w:rFonts w:ascii="宋体" w:eastAsia="宋体"/>
      <w:kern w:val="2"/>
      <w:sz w:val="21"/>
      <w:lang w:val="en-US" w:eastAsia="zh-CN" w:bidi="ar-SA"/>
    </w:rPr>
  </w:style>
  <w:style w:type="character" w:customStyle="1" w:styleId="83">
    <w:name w:val="gjfg"/>
    <w:basedOn w:val="32"/>
    <w:qFormat/>
    <w:uiPriority w:val="0"/>
  </w:style>
  <w:style w:type="character" w:customStyle="1" w:styleId="84">
    <w:name w:val="页脚 字符"/>
    <w:link w:val="21"/>
    <w:qFormat/>
    <w:uiPriority w:val="0"/>
    <w:rPr>
      <w:rFonts w:ascii="宋体"/>
      <w:kern w:val="2"/>
      <w:sz w:val="18"/>
    </w:rPr>
  </w:style>
  <w:style w:type="character" w:customStyle="1" w:styleId="85">
    <w:name w:val="纯文本 字符"/>
    <w:link w:val="17"/>
    <w:qFormat/>
    <w:uiPriority w:val="0"/>
    <w:rPr>
      <w:rFonts w:ascii="宋体" w:eastAsia="宋体"/>
      <w:kern w:val="2"/>
      <w:sz w:val="21"/>
      <w:lang w:val="en-US" w:eastAsia="zh-CN" w:bidi="ar-SA"/>
    </w:rPr>
  </w:style>
  <w:style w:type="character" w:customStyle="1" w:styleId="86">
    <w:name w:val="正文文本缩进 2 字符"/>
    <w:link w:val="19"/>
    <w:qFormat/>
    <w:uiPriority w:val="0"/>
    <w:rPr>
      <w:kern w:val="2"/>
      <w:sz w:val="21"/>
      <w:szCs w:val="24"/>
    </w:rPr>
  </w:style>
  <w:style w:type="character" w:customStyle="1" w:styleId="87">
    <w:name w:val="font91"/>
    <w:basedOn w:val="32"/>
    <w:qFormat/>
    <w:uiPriority w:val="0"/>
    <w:rPr>
      <w:rFonts w:hint="eastAsia" w:ascii="宋体" w:hAnsi="宋体" w:eastAsia="宋体" w:cs="宋体"/>
      <w:color w:val="000000"/>
      <w:sz w:val="20"/>
      <w:szCs w:val="20"/>
      <w:u w:val="none"/>
      <w:vertAlign w:val="subscript"/>
    </w:rPr>
  </w:style>
  <w:style w:type="character" w:customStyle="1" w:styleId="88">
    <w:name w:val="标题 3 字符"/>
    <w:link w:val="4"/>
    <w:qFormat/>
    <w:uiPriority w:val="0"/>
    <w:rPr>
      <w:rFonts w:eastAsia="黑体"/>
      <w:b/>
      <w:sz w:val="28"/>
    </w:rPr>
  </w:style>
  <w:style w:type="character" w:customStyle="1" w:styleId="89">
    <w:name w:val="font21"/>
    <w:basedOn w:val="32"/>
    <w:qFormat/>
    <w:uiPriority w:val="0"/>
    <w:rPr>
      <w:rFonts w:hint="eastAsia" w:ascii="宋体" w:hAnsi="宋体" w:eastAsia="宋体" w:cs="宋体"/>
      <w:color w:val="000000"/>
      <w:sz w:val="21"/>
      <w:szCs w:val="21"/>
      <w:u w:val="none"/>
    </w:rPr>
  </w:style>
  <w:style w:type="character" w:customStyle="1" w:styleId="90">
    <w:name w:val="标题 5 字符"/>
    <w:link w:val="6"/>
    <w:qFormat/>
    <w:uiPriority w:val="0"/>
    <w:rPr>
      <w:b/>
      <w:sz w:val="28"/>
      <w:szCs w:val="24"/>
    </w:rPr>
  </w:style>
  <w:style w:type="character" w:customStyle="1" w:styleId="91">
    <w:name w:val="cfdate"/>
    <w:basedOn w:val="32"/>
    <w:qFormat/>
    <w:uiPriority w:val="0"/>
    <w:rPr>
      <w:color w:val="333333"/>
      <w:sz w:val="18"/>
      <w:szCs w:val="18"/>
    </w:rPr>
  </w:style>
  <w:style w:type="character" w:customStyle="1" w:styleId="92">
    <w:name w:val="font81"/>
    <w:basedOn w:val="32"/>
    <w:qFormat/>
    <w:uiPriority w:val="0"/>
    <w:rPr>
      <w:rFonts w:hint="eastAsia" w:ascii="宋体" w:hAnsi="宋体" w:eastAsia="宋体"/>
      <w:color w:val="000000"/>
      <w:sz w:val="20"/>
      <w:szCs w:val="20"/>
      <w:u w:val="none"/>
    </w:rPr>
  </w:style>
  <w:style w:type="character" w:customStyle="1" w:styleId="93">
    <w:name w:val="articletitle1"/>
    <w:qFormat/>
    <w:uiPriority w:val="0"/>
    <w:rPr>
      <w:rFonts w:hint="default" w:ascii="ˎ̥" w:hAnsi="ˎ̥"/>
      <w:b/>
      <w:bCs/>
      <w:color w:val="000000"/>
      <w:sz w:val="33"/>
      <w:szCs w:val="33"/>
    </w:rPr>
  </w:style>
  <w:style w:type="character" w:customStyle="1" w:styleId="94">
    <w:name w:val="10"/>
    <w:qFormat/>
    <w:uiPriority w:val="0"/>
    <w:rPr>
      <w:rFonts w:hint="default" w:ascii="Calibri" w:hAnsi="Calibri"/>
    </w:rPr>
  </w:style>
  <w:style w:type="character" w:customStyle="1" w:styleId="95">
    <w:name w:val="font51"/>
    <w:basedOn w:val="32"/>
    <w:qFormat/>
    <w:uiPriority w:val="0"/>
    <w:rPr>
      <w:rFonts w:hint="eastAsia" w:ascii="宋体" w:hAnsi="宋体" w:eastAsia="宋体" w:cs="宋体"/>
      <w:color w:val="000000"/>
      <w:sz w:val="20"/>
      <w:szCs w:val="20"/>
      <w:u w:val="none"/>
      <w:vertAlign w:val="superscript"/>
    </w:rPr>
  </w:style>
  <w:style w:type="character" w:customStyle="1" w:styleId="96">
    <w:name w:val="font71"/>
    <w:basedOn w:val="32"/>
    <w:qFormat/>
    <w:uiPriority w:val="0"/>
    <w:rPr>
      <w:rFonts w:hint="default" w:ascii="Times New Roman" w:hAnsi="Times New Roman" w:cs="Times New Roman"/>
      <w:color w:val="000000"/>
      <w:sz w:val="20"/>
      <w:szCs w:val="20"/>
      <w:u w:val="none"/>
    </w:rPr>
  </w:style>
  <w:style w:type="character" w:customStyle="1" w:styleId="97">
    <w:name w:val="批注主题 字符"/>
    <w:link w:val="29"/>
    <w:qFormat/>
    <w:uiPriority w:val="0"/>
    <w:rPr>
      <w:b/>
      <w:bCs/>
      <w:kern w:val="2"/>
      <w:sz w:val="21"/>
      <w:szCs w:val="24"/>
    </w:rPr>
  </w:style>
  <w:style w:type="character" w:customStyle="1" w:styleId="98">
    <w:name w:val="font31"/>
    <w:basedOn w:val="32"/>
    <w:qFormat/>
    <w:uiPriority w:val="0"/>
    <w:rPr>
      <w:rFonts w:hint="eastAsia" w:ascii="宋体" w:hAnsi="宋体" w:eastAsia="宋体" w:cs="宋体"/>
      <w:color w:val="000000"/>
      <w:sz w:val="21"/>
      <w:szCs w:val="21"/>
      <w:u w:val="none"/>
    </w:rPr>
  </w:style>
  <w:style w:type="character" w:customStyle="1" w:styleId="99">
    <w:name w:val="日期 字符"/>
    <w:link w:val="18"/>
    <w:qFormat/>
    <w:uiPriority w:val="0"/>
    <w:rPr>
      <w:kern w:val="2"/>
      <w:sz w:val="21"/>
      <w:szCs w:val="24"/>
    </w:rPr>
  </w:style>
  <w:style w:type="character" w:customStyle="1" w:styleId="100">
    <w:name w:val="标题 2 字符"/>
    <w:link w:val="3"/>
    <w:qFormat/>
    <w:uiPriority w:val="0"/>
    <w:rPr>
      <w:rFonts w:eastAsia="黑体"/>
      <w:b/>
      <w:sz w:val="28"/>
    </w:rPr>
  </w:style>
  <w:style w:type="character" w:customStyle="1" w:styleId="101">
    <w:name w:val="displayarti"/>
    <w:basedOn w:val="32"/>
    <w:qFormat/>
    <w:uiPriority w:val="0"/>
    <w:rPr>
      <w:color w:val="FFFFFF"/>
      <w:shd w:val="clear" w:color="auto" w:fill="A00000"/>
    </w:rPr>
  </w:style>
  <w:style w:type="character" w:customStyle="1" w:styleId="102">
    <w:name w:val="正文文本 2 字符"/>
    <w:link w:val="26"/>
    <w:qFormat/>
    <w:uiPriority w:val="0"/>
    <w:rPr>
      <w:kern w:val="2"/>
      <w:sz w:val="21"/>
      <w:szCs w:val="24"/>
    </w:rPr>
  </w:style>
  <w:style w:type="character" w:customStyle="1" w:styleId="103">
    <w:name w:val="font11"/>
    <w:basedOn w:val="32"/>
    <w:qFormat/>
    <w:uiPriority w:val="0"/>
    <w:rPr>
      <w:rFonts w:hint="eastAsia" w:ascii="宋体" w:hAnsi="宋体" w:eastAsia="宋体" w:cs="宋体"/>
      <w:color w:val="000000"/>
      <w:sz w:val="22"/>
      <w:szCs w:val="22"/>
      <w:u w:val="none"/>
    </w:rPr>
  </w:style>
  <w:style w:type="character" w:customStyle="1" w:styleId="104">
    <w:name w:val="NormalCharacter"/>
    <w:qFormat/>
    <w:uiPriority w:val="0"/>
    <w:rPr>
      <w:kern w:val="2"/>
      <w:sz w:val="21"/>
      <w:szCs w:val="24"/>
      <w:lang w:val="en-US" w:eastAsia="zh-CN" w:bidi="ar-SA"/>
    </w:rPr>
  </w:style>
  <w:style w:type="character" w:customStyle="1" w:styleId="105">
    <w:name w:val="font41"/>
    <w:basedOn w:val="32"/>
    <w:qFormat/>
    <w:uiPriority w:val="0"/>
    <w:rPr>
      <w:rFonts w:hint="eastAsia" w:ascii="宋体" w:hAnsi="宋体" w:eastAsia="宋体" w:cs="宋体"/>
      <w:color w:val="000000"/>
      <w:sz w:val="19"/>
      <w:szCs w:val="19"/>
      <w:u w:val="none"/>
    </w:rPr>
  </w:style>
  <w:style w:type="character" w:customStyle="1" w:styleId="106">
    <w:name w:val="redfilefwwh"/>
    <w:basedOn w:val="32"/>
    <w:qFormat/>
    <w:uiPriority w:val="0"/>
    <w:rPr>
      <w:color w:val="BA2636"/>
      <w:sz w:val="18"/>
      <w:szCs w:val="18"/>
    </w:rPr>
  </w:style>
  <w:style w:type="character" w:customStyle="1" w:styleId="107">
    <w:name w:val="正文文本缩进 字符"/>
    <w:link w:val="13"/>
    <w:qFormat/>
    <w:uiPriority w:val="0"/>
    <w:rPr>
      <w:kern w:val="2"/>
      <w:sz w:val="21"/>
      <w:szCs w:val="24"/>
    </w:rPr>
  </w:style>
  <w:style w:type="character" w:customStyle="1" w:styleId="108">
    <w:name w:val="grame"/>
    <w:qFormat/>
    <w:uiPriority w:val="0"/>
  </w:style>
  <w:style w:type="character" w:customStyle="1" w:styleId="109">
    <w:name w:val="font01"/>
    <w:basedOn w:val="32"/>
    <w:qFormat/>
    <w:uiPriority w:val="0"/>
    <w:rPr>
      <w:rFonts w:hint="eastAsia" w:ascii="宋体" w:hAnsi="宋体" w:eastAsia="宋体" w:cs="宋体"/>
      <w:color w:val="000000"/>
      <w:sz w:val="22"/>
      <w:szCs w:val="22"/>
      <w:u w:val="none"/>
      <w:vertAlign w:val="superscript"/>
    </w:rPr>
  </w:style>
  <w:style w:type="character" w:customStyle="1" w:styleId="110">
    <w:name w:val="孙普文字 Char"/>
    <w:qFormat/>
    <w:uiPriority w:val="0"/>
    <w:rPr>
      <w:rFonts w:ascii="宋体" w:hAnsi="Times New Roman" w:eastAsia="宋体" w:cs="Times New Roman"/>
      <w:szCs w:val="20"/>
    </w:rPr>
  </w:style>
  <w:style w:type="character" w:customStyle="1" w:styleId="111">
    <w:name w:val="页眉 字符"/>
    <w:link w:val="22"/>
    <w:qFormat/>
    <w:uiPriority w:val="0"/>
    <w:rPr>
      <w:kern w:val="2"/>
      <w:sz w:val="18"/>
      <w:szCs w:val="18"/>
    </w:rPr>
  </w:style>
  <w:style w:type="character" w:customStyle="1" w:styleId="112">
    <w:name w:val="_Style 100"/>
    <w:qFormat/>
    <w:uiPriority w:val="0"/>
    <w:rPr>
      <w:rFonts w:eastAsia="仿宋_GB2312"/>
      <w:iCs/>
      <w:color w:val="auto"/>
      <w:sz w:val="24"/>
    </w:rPr>
  </w:style>
  <w:style w:type="character" w:customStyle="1" w:styleId="113">
    <w:name w:val="redfilenumber"/>
    <w:basedOn w:val="32"/>
    <w:qFormat/>
    <w:uiPriority w:val="0"/>
    <w:rPr>
      <w:color w:val="BA2636"/>
      <w:sz w:val="18"/>
      <w:szCs w:val="18"/>
    </w:rPr>
  </w:style>
  <w:style w:type="table" w:customStyle="1" w:styleId="114">
    <w:name w:val="Table Normal_0"/>
    <w:unhideWhenUsed/>
    <w:qFormat/>
    <w:uiPriority w:val="2"/>
    <w:tblPr>
      <w:tblCellMar>
        <w:top w:w="0" w:type="dxa"/>
        <w:left w:w="0" w:type="dxa"/>
        <w:bottom w:w="0" w:type="dxa"/>
        <w:right w:w="0" w:type="dxa"/>
      </w:tblCellMar>
    </w:tblPr>
  </w:style>
  <w:style w:type="character" w:customStyle="1" w:styleId="115">
    <w:name w:val="icon"/>
    <w:basedOn w:val="32"/>
    <w:qFormat/>
    <w:uiPriority w:val="0"/>
  </w:style>
  <w:style w:type="character" w:customStyle="1" w:styleId="116">
    <w:name w:val="hover1"/>
    <w:basedOn w:val="32"/>
    <w:qFormat/>
    <w:uiPriority w:val="0"/>
    <w:rPr>
      <w:shd w:val="clear" w:color="auto" w:fill="EEEEEE"/>
    </w:rPr>
  </w:style>
  <w:style w:type="character" w:customStyle="1" w:styleId="117">
    <w:name w:val="old"/>
    <w:basedOn w:val="32"/>
    <w:qFormat/>
    <w:uiPriority w:val="0"/>
    <w:rPr>
      <w:color w:val="999999"/>
    </w:rPr>
  </w:style>
  <w:style w:type="character" w:customStyle="1" w:styleId="118">
    <w:name w:val="glyphicon6"/>
    <w:basedOn w:val="32"/>
    <w:qFormat/>
    <w:uiPriority w:val="0"/>
  </w:style>
  <w:style w:type="character" w:customStyle="1" w:styleId="119">
    <w:name w:val="hour_am"/>
    <w:basedOn w:val="32"/>
    <w:qFormat/>
    <w:uiPriority w:val="0"/>
  </w:style>
  <w:style w:type="character" w:customStyle="1" w:styleId="120">
    <w:name w:val="hour_pm"/>
    <w:basedOn w:val="32"/>
    <w:qFormat/>
    <w:uiPriority w:val="0"/>
  </w:style>
  <w:style w:type="character" w:customStyle="1" w:styleId="121">
    <w:name w:val="indent"/>
    <w:basedOn w:val="32"/>
    <w:qFormat/>
    <w:uiPriority w:val="0"/>
  </w:style>
  <w:style w:type="paragraph" w:customStyle="1" w:styleId="122">
    <w:name w:val="_Style 110"/>
    <w:basedOn w:val="1"/>
    <w:next w:val="1"/>
    <w:qFormat/>
    <w:uiPriority w:val="0"/>
    <w:pPr>
      <w:pBdr>
        <w:bottom w:val="single" w:color="auto" w:sz="6" w:space="1"/>
      </w:pBdr>
      <w:jc w:val="center"/>
    </w:pPr>
    <w:rPr>
      <w:rFonts w:ascii="Arial" w:eastAsia="宋体"/>
      <w:vanish/>
      <w:sz w:val="16"/>
    </w:rPr>
  </w:style>
  <w:style w:type="paragraph" w:customStyle="1" w:styleId="123">
    <w:name w:val="_Style 111"/>
    <w:basedOn w:val="1"/>
    <w:next w:val="1"/>
    <w:qFormat/>
    <w:uiPriority w:val="0"/>
    <w:pPr>
      <w:pBdr>
        <w:top w:val="single" w:color="auto" w:sz="6" w:space="1"/>
      </w:pBdr>
      <w:jc w:val="center"/>
    </w:pPr>
    <w:rPr>
      <w:rFonts w:ascii="Arial" w:eastAsia="宋体"/>
      <w:vanish/>
      <w:sz w:val="16"/>
    </w:rPr>
  </w:style>
  <w:style w:type="paragraph" w:customStyle="1" w:styleId="124">
    <w:name w:val="手册第一级"/>
    <w:basedOn w:val="76"/>
    <w:qFormat/>
    <w:uiPriority w:val="0"/>
    <w:pPr>
      <w:widowControl/>
      <w:numPr>
        <w:ilvl w:val="0"/>
        <w:numId w:val="3"/>
      </w:numPr>
      <w:ind w:firstLine="0" w:firstLineChars="0"/>
      <w:jc w:val="left"/>
      <w:outlineLvl w:val="0"/>
    </w:pPr>
    <w:rPr>
      <w:b/>
      <w:sz w:val="32"/>
    </w:rPr>
  </w:style>
  <w:style w:type="paragraph" w:customStyle="1" w:styleId="125">
    <w:name w:val="Table Paragraph"/>
    <w:basedOn w:val="1"/>
    <w:qFormat/>
    <w:uiPriority w:val="1"/>
    <w:rPr>
      <w:rFonts w:ascii="宋体" w:hAnsi="宋体" w:eastAsia="宋体" w:cs="宋体"/>
      <w:lang w:val="zh-CN" w:bidi="zh-CN"/>
    </w:rPr>
  </w:style>
  <w:style w:type="paragraph" w:customStyle="1" w:styleId="126">
    <w:name w:val="手册第二级"/>
    <w:basedOn w:val="76"/>
    <w:qFormat/>
    <w:uiPriority w:val="0"/>
    <w:pPr>
      <w:widowControl/>
      <w:ind w:left="992" w:firstLine="0" w:firstLineChars="0"/>
      <w:outlineLvl w:val="1"/>
    </w:pPr>
    <w:rPr>
      <w:b/>
      <w:sz w:val="30"/>
      <w:szCs w:val="21"/>
    </w:rPr>
  </w:style>
  <w:style w:type="paragraph" w:customStyle="1" w:styleId="127">
    <w:name w:val="附录一级条标题"/>
    <w:basedOn w:val="1"/>
    <w:next w:val="1"/>
    <w:qFormat/>
    <w:uiPriority w:val="0"/>
    <w:pPr>
      <w:widowControl/>
      <w:numPr>
        <w:ilvl w:val="2"/>
        <w:numId w:val="4"/>
      </w:numPr>
      <w:wordWrap w:val="0"/>
      <w:overflowPunct w:val="0"/>
      <w:autoSpaceDE w:val="0"/>
      <w:autoSpaceDN w:val="0"/>
      <w:textAlignment w:val="baseline"/>
      <w:outlineLvl w:val="2"/>
    </w:pPr>
    <w:rPr>
      <w:rFonts w:ascii="黑体" w:eastAsia="黑体"/>
      <w:kern w:val="21"/>
      <w:szCs w:val="20"/>
    </w:rPr>
  </w:style>
  <w:style w:type="paragraph" w:customStyle="1" w:styleId="128">
    <w:name w:val="实施方案正文"/>
    <w:basedOn w:val="1"/>
    <w:qFormat/>
    <w:uiPriority w:val="0"/>
    <w:pPr>
      <w:ind w:firstLine="566" w:firstLineChars="202"/>
    </w:pPr>
    <w:rPr>
      <w:kern w:val="0"/>
      <w:szCs w:val="20"/>
    </w:rPr>
  </w:style>
  <w:style w:type="paragraph" w:customStyle="1" w:styleId="129">
    <w:name w:val="Table Text"/>
    <w:basedOn w:val="1"/>
    <w:semiHidden/>
    <w:qFormat/>
    <w:uiPriority w:val="0"/>
    <w:rPr>
      <w:rFonts w:ascii="宋体" w:hAnsi="宋体" w:eastAsia="宋体" w:cs="宋体"/>
      <w:sz w:val="95"/>
      <w:szCs w:val="95"/>
      <w:lang w:val="en-US" w:eastAsia="en-US" w:bidi="ar-SA"/>
    </w:rPr>
  </w:style>
  <w:style w:type="table" w:customStyle="1" w:styleId="130">
    <w:name w:val="Table Normal"/>
    <w:semiHidden/>
    <w:unhideWhenUsed/>
    <w:qFormat/>
    <w:uiPriority w:val="0"/>
    <w:tblPr>
      <w:tblCellMar>
        <w:top w:w="0" w:type="dxa"/>
        <w:left w:w="0" w:type="dxa"/>
        <w:bottom w:w="0" w:type="dxa"/>
        <w:right w:w="0" w:type="dxa"/>
      </w:tblCellMar>
    </w:tblPr>
  </w:style>
  <w:style w:type="paragraph" w:customStyle="1" w:styleId="131">
    <w:name w:val="Body text|1"/>
    <w:basedOn w:val="1"/>
    <w:qFormat/>
    <w:uiPriority w:val="0"/>
    <w:pPr>
      <w:spacing w:after="180" w:line="427" w:lineRule="auto"/>
      <w:ind w:firstLine="400"/>
      <w:jc w:val="left"/>
    </w:pPr>
    <w:rPr>
      <w:rFonts w:ascii="宋体" w:hAnsi="宋体" w:cs="宋体"/>
      <w:kern w:val="0"/>
      <w:sz w:val="22"/>
      <w:szCs w:val="22"/>
      <w:lang w:val="zh-TW" w:eastAsia="zh-TW" w:bidi="zh-TW"/>
    </w:rPr>
  </w:style>
  <w:style w:type="paragraph" w:customStyle="1" w:styleId="132">
    <w:name w:val="正文_1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3">
    <w:name w:val="null3"/>
    <w:hidden/>
    <w:qFormat/>
    <w:uiPriority w:val="0"/>
    <w:rPr>
      <w:rFonts w:hint="eastAsia" w:asciiTheme="minorHAnsi" w:hAnsiTheme="minorHAnsi" w:eastAsiaTheme="minorEastAsia" w:cstheme="minorBidi"/>
      <w:lang w:val="en-US" w:eastAsia="zh-Hans"/>
    </w:rPr>
  </w:style>
  <w:style w:type="paragraph" w:customStyle="1" w:styleId="134">
    <w:name w:val="Body Text 3"/>
    <w:basedOn w:val="1"/>
    <w:qFormat/>
    <w:uiPriority w:val="0"/>
    <w:pPr>
      <w:spacing w:after="120"/>
    </w:pPr>
    <w:rPr>
      <w:sz w:val="16"/>
      <w:szCs w:val="16"/>
    </w:rPr>
  </w:style>
  <w:style w:type="paragraph" w:customStyle="1" w:styleId="135">
    <w:name w:val="p0"/>
    <w:basedOn w:val="1"/>
    <w:autoRedefine/>
    <w:qFormat/>
    <w:uiPriority w:val="0"/>
    <w:pPr>
      <w:widowControl/>
      <w:autoSpaceDE/>
      <w:autoSpaceDN/>
      <w:adjustRightInd/>
      <w:jc w:val="both"/>
      <w:textAlignment w:val="auto"/>
    </w:pPr>
    <w:rPr>
      <w:rFonts w:ascii="Times New Roman" w:hAnsi="Times New Roman" w:eastAsia="宋体"/>
      <w:sz w:val="21"/>
      <w:szCs w:val="21"/>
    </w:rPr>
  </w:style>
  <w:style w:type="paragraph" w:customStyle="1" w:styleId="136">
    <w:name w:val="列表段落1"/>
    <w:basedOn w:val="1"/>
    <w:qFormat/>
    <w:uiPriority w:val="0"/>
    <w:pPr>
      <w:adjustRightInd/>
      <w:spacing w:line="240" w:lineRule="auto"/>
      <w:ind w:firstLine="420" w:firstLineChars="200"/>
    </w:pPr>
    <w:rPr>
      <w:rFonts w:eastAsiaTheme="minorEastAsia"/>
      <w:sz w:val="21"/>
    </w:rPr>
  </w:style>
  <w:style w:type="paragraph" w:customStyle="1" w:styleId="137">
    <w:name w:val="列表段落4"/>
    <w:basedOn w:val="1"/>
    <w:qFormat/>
    <w:uiPriority w:val="0"/>
    <w:pPr>
      <w:adjustRightInd/>
      <w:spacing w:line="240" w:lineRule="auto"/>
      <w:ind w:firstLine="420" w:firstLineChars="200"/>
    </w:pPr>
    <w:rPr>
      <w:rFonts w:ascii="等线" w:hAnsi="等线" w:eastAsia="等线" w:cs="Times New Roman"/>
      <w:sz w:val="21"/>
      <w:szCs w:val="21"/>
    </w:rPr>
  </w:style>
  <w:style w:type="paragraph" w:customStyle="1" w:styleId="138">
    <w:name w:val="列表段落2"/>
    <w:basedOn w:val="1"/>
    <w:qFormat/>
    <w:uiPriority w:val="0"/>
    <w:pPr>
      <w:adjustRightInd/>
      <w:spacing w:line="240" w:lineRule="auto"/>
      <w:ind w:firstLine="420" w:firstLineChars="200"/>
    </w:pPr>
    <w:rPr>
      <w:rFonts w:ascii="等线" w:hAnsi="等线" w:eastAsia="等线" w:cs="Times New Roman"/>
      <w:sz w:val="21"/>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Manager>陈超凡</Manager>
  <Company>云南文铭项目管理有限公司</Company>
  <Pages>66</Pages>
  <Words>8566</Words>
  <Characters>9382</Characters>
  <Lines>308</Lines>
  <Paragraphs>86</Paragraphs>
  <TotalTime>15</TotalTime>
  <ScaleCrop>false</ScaleCrop>
  <LinksUpToDate>false</LinksUpToDate>
  <CharactersWithSpaces>9531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2017-05-05T04:37:00Z</dcterms:created>
  <dc:creator>陈超凡15887738080</dc:creator>
  <cp:lastModifiedBy>sunny</cp:lastModifiedBy>
  <cp:lastPrinted>2024-04-26T00:35:00Z</cp:lastPrinted>
  <dcterms:modified xsi:type="dcterms:W3CDTF">2026-09-15T07:46:44Z</dcterms:modified>
  <dc:title>云南文铭项目管理有限公司</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eyJoZGlkIjoiOTNiNDYxNTlhMjcyNjZjYjQyZGYyMjNmZWI2N2YzYWUifQ==</vt:lpwstr>
  </property>
  <property fmtid="{D5CDD505-2E9C-101B-9397-08002B2CF9AE}" pid="3" name="ICV">
    <vt:lpwstr>CB5F7627148F44F39D24496D56ECE622_13</vt:lpwstr>
  </property>
  <property fmtid="{D5CDD505-2E9C-101B-9397-08002B2CF9AE}" pid="4" name="KSOProductBuildVer">
    <vt:lpwstr>2052-12.1.0.28505</vt:lpwstr>
  </property>
  <property fmtid="{D5CDD505-2E9C-101B-9397-08002B2CF9AE}" pid="5" name="KSOTemplateDocerSaveRecord">
    <vt:lpwstr>eyJoZGlkIjoiNDE5MWViYjdkMDc1OGFkMmQyZjJjNGU5YjRiNjRiZmIiLCJ1c2VySWQiOiI1MDA1NTkxOTAifQ==</vt:lpwstr>
  </property>
</Properties>
</file>