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版本号：N510112202500020320250708001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城市体检服务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N5101122025000203</w:t>
      </w:r>
    </w:p>
    <w:p>
      <w:pPr>
        <w:pStyle w:val="null3"/>
        <w:jc w:val="center"/>
        <w:outlineLvl w:val="2"/>
      </w:pPr>
      <w:r>
        <w:rPr>
          <w:rFonts w:ascii="仿宋_GB2312" w:hAnsi="仿宋_GB2312" w:cs="仿宋_GB2312" w:eastAsia="仿宋_GB2312"/>
          <w:sz w:val="28"/>
          <w:b/>
        </w:rPr>
        <w:t>成都市龙泉驿区住房和城乡建设局</w:t>
      </w:r>
    </w:p>
    <w:p>
      <w:pPr>
        <w:pStyle w:val="null3"/>
        <w:jc w:val="center"/>
        <w:outlineLvl w:val="2"/>
      </w:pPr>
      <w:r>
        <w:rPr>
          <w:rFonts w:ascii="仿宋_GB2312" w:hAnsi="仿宋_GB2312" w:cs="仿宋_GB2312" w:eastAsia="仿宋_GB2312"/>
          <w:sz w:val="28"/>
          <w:b/>
        </w:rPr>
        <w:t>四川中慈工程项目管理有限公司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四川中慈工程项目管理有限公司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成都市龙泉驿区住房和城乡建设局</w:t>
      </w:r>
      <w:r>
        <w:rPr>
          <w:rFonts w:ascii="仿宋_GB2312" w:hAnsi="仿宋_GB2312" w:cs="仿宋_GB2312" w:eastAsia="仿宋_GB2312"/>
        </w:rPr>
        <w:t xml:space="preserve"> 委托，拟对 </w:t>
      </w:r>
      <w:r>
        <w:rPr>
          <w:rFonts w:ascii="仿宋_GB2312" w:hAnsi="仿宋_GB2312" w:cs="仿宋_GB2312" w:eastAsia="仿宋_GB2312"/>
        </w:rPr>
        <w:t>城市体检服务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成都市龙泉驿区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N5101122025000203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城市体检服务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本项目共一个包，采购城市体检服务供应商一名。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成都市龙泉驿区住房和城乡建设局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成都市龙泉驿区建设局195号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028-84875943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四川中慈工程项目管理有限公司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四川省成都市龙泉驿区东安街道桃都大道中段888号1栋5单元17层01号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028-61001962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成本加合理利润的原则，参照《招标代理服务收费管理暂行办法》(计价格[2002]1980号)、国家发展改革委办公厅《关于招标代理服务收费有关问题的通知》（发改办价格［2003］857号）文件规定收费标准下浮 5%收取。 账户名称：四川中慈工程项目管理有限公司 账号：4402234009100431017 开户行：中国工商银行股份有限公司成都龙泉支行</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成都市龙泉驿区住房和城乡建设局</w:t>
      </w:r>
      <w:r>
        <w:rPr>
          <w:rFonts w:ascii="仿宋_GB2312" w:hAnsi="仿宋_GB2312" w:cs="仿宋_GB2312" w:eastAsia="仿宋_GB2312"/>
        </w:rPr>
        <w:t xml:space="preserve"> 和 </w:t>
      </w:r>
      <w:r>
        <w:rPr>
          <w:rFonts w:ascii="仿宋_GB2312" w:hAnsi="仿宋_GB2312" w:cs="仿宋_GB2312" w:eastAsia="仿宋_GB2312"/>
        </w:rPr>
        <w:t>四川中慈工程项目管理有限公司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成都市龙泉驿区住房和城乡建设局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四川中慈工程项目管理有限公司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三、供应商应当及时查看更正公告、更正信息，并根据更正公告、更正信息要求，下载更正后的磋商文件，进行响应文件编制。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提交报告终稿后，提供有效正规发票</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按采购文件、响应文件及合同约定执行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按采购文件、响应文件及合同约定执行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按采购文件、响应文件及合同约定执行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成都市龙泉驿区住房和城乡建设局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四川中慈工程项目管理有限公司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四川中慈工程项目管理有限公司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联系人：陈先生</w:t>
      </w:r>
    </w:p>
    <w:p>
      <w:pPr>
        <w:pStyle w:val="null3"/>
        <w:jc w:val="left"/>
      </w:pPr>
      <w:r>
        <w:rPr>
          <w:rFonts w:ascii="仿宋_GB2312" w:hAnsi="仿宋_GB2312" w:cs="仿宋_GB2312" w:eastAsia="仿宋_GB2312"/>
        </w:rPr>
        <w:t>联系电话：028-61001962</w:t>
      </w:r>
    </w:p>
    <w:p>
      <w:pPr>
        <w:pStyle w:val="null3"/>
        <w:jc w:val="left"/>
      </w:pPr>
      <w:r>
        <w:rPr>
          <w:rFonts w:ascii="仿宋_GB2312" w:hAnsi="仿宋_GB2312" w:cs="仿宋_GB2312" w:eastAsia="仿宋_GB2312"/>
        </w:rPr>
        <w:t>地址：四川省成都市龙泉驿区东安街道桃都大道中段888号1栋5单元17层01号</w:t>
      </w:r>
    </w:p>
    <w:p>
      <w:pPr>
        <w:pStyle w:val="null3"/>
        <w:jc w:val="left"/>
      </w:pPr>
      <w:r>
        <w:rPr>
          <w:rFonts w:ascii="仿宋_GB2312" w:hAnsi="仿宋_GB2312" w:cs="仿宋_GB2312" w:eastAsia="仿宋_GB2312"/>
        </w:rPr>
        <w:t>邮编：610100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800,000.00</w:t>
      </w:r>
    </w:p>
    <w:p>
      <w:pPr>
        <w:pStyle w:val="null3"/>
        <w:jc w:val="left"/>
      </w:pPr>
      <w:r>
        <w:rPr>
          <w:rFonts w:ascii="仿宋_GB2312" w:hAnsi="仿宋_GB2312" w:cs="仿宋_GB2312" w:eastAsia="仿宋_GB2312"/>
        </w:rPr>
        <w:t>采购包最高限价（元）: 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C13010000 区域规划和设计服务</w:t>
            </w:r>
          </w:p>
        </w:tc>
        <w:tc>
          <w:tcPr>
            <w:tcW w:type="dxa" w:w="821"/>
          </w:tcPr>
          <w:p>
            <w:pPr>
              <w:pStyle w:val="null3"/>
              <w:jc w:val="left"/>
            </w:pPr>
            <w:r>
              <w:rPr>
                <w:rFonts w:ascii="仿宋_GB2312" w:hAnsi="仿宋_GB2312" w:cs="仿宋_GB2312" w:eastAsia="仿宋_GB2312"/>
              </w:rPr>
              <w:t>城市体检服务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城市体检服务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标的名称：城市体检服务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4"/>
                <w:color w:val="000000"/>
              </w:rPr>
              <w:t>（一）体检范围</w:t>
            </w:r>
          </w:p>
          <w:p>
            <w:pPr>
              <w:pStyle w:val="null3"/>
              <w:ind w:firstLine="480"/>
              <w:jc w:val="both"/>
            </w:pPr>
            <w:r>
              <w:rPr>
                <w:rFonts w:ascii="仿宋_GB2312" w:hAnsi="仿宋_GB2312" w:cs="仿宋_GB2312" w:eastAsia="仿宋_GB2312"/>
                <w:sz w:val="24"/>
                <w:color w:val="000000"/>
              </w:rPr>
              <w:t>本次体检包含龙泉街道及界牌社区、万源路社区、百工堰社区、龙都社区、明江路社区、驿河社区、公园路社区、接龙社区、星光社区、商业街社区、平江路社区、保平社区、广场社区等13个社区。</w:t>
            </w:r>
          </w:p>
          <w:p>
            <w:pPr>
              <w:pStyle w:val="null3"/>
              <w:ind w:firstLine="480"/>
              <w:jc w:val="both"/>
            </w:pPr>
            <w:r>
              <w:rPr>
                <w:rFonts w:ascii="仿宋_GB2312" w:hAnsi="仿宋_GB2312" w:cs="仿宋_GB2312" w:eastAsia="仿宋_GB2312"/>
                <w:sz w:val="24"/>
                <w:color w:val="000000"/>
              </w:rPr>
              <w:t>（二）服务内容</w:t>
            </w:r>
          </w:p>
          <w:p>
            <w:pPr>
              <w:pStyle w:val="null3"/>
              <w:ind w:firstLine="480"/>
              <w:jc w:val="both"/>
            </w:pPr>
            <w:r>
              <w:rPr>
                <w:rFonts w:ascii="仿宋_GB2312" w:hAnsi="仿宋_GB2312" w:cs="仿宋_GB2312" w:eastAsia="仿宋_GB2312"/>
                <w:sz w:val="24"/>
                <w:color w:val="000000"/>
              </w:rPr>
              <w:t>供应商需按国家、四川省、成都市相关法律法规、技术标准、政策规定等进行体检，体检指标如下：</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存在结构安全隐患的住宅数量（栋）；</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存在燃气安全隐患的住宅数量（栋）；</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存在楼道安全隐患的住宅数量（栋）；</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存在围护安全隐患的住宅数量（栋）；</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非成套住宅数量（套）；</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存在管线管道破损的住宅数量（栋）；</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需要进行适老化改造的住宅数量（栋）；</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需要进行节能改造的住宅数量（栋）；</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需要进行数字化改造的住宅数量（栋）；</w:t>
            </w:r>
          </w:p>
          <w:p>
            <w:pPr>
              <w:pStyle w:val="null3"/>
              <w:ind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未达标配建养老服务设施的社区数量（个）；</w:t>
            </w:r>
          </w:p>
          <w:p>
            <w:pPr>
              <w:pStyle w:val="null3"/>
              <w:ind w:firstLine="480"/>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未达标配建婴幼儿照护服务设施的社区数量（个）；</w:t>
            </w:r>
          </w:p>
          <w:p>
            <w:pPr>
              <w:pStyle w:val="null3"/>
              <w:ind w:firstLine="480"/>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未达标配建幼儿园的社区数量（个）；</w:t>
            </w:r>
          </w:p>
          <w:p>
            <w:pPr>
              <w:pStyle w:val="null3"/>
              <w:ind w:firstLine="480"/>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停车泊位缺口数（个）；</w:t>
            </w:r>
          </w:p>
          <w:p>
            <w:pPr>
              <w:pStyle w:val="null3"/>
              <w:ind w:firstLine="480"/>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新能源汽车充电桩缺口数（个）；</w:t>
            </w:r>
          </w:p>
          <w:p>
            <w:pPr>
              <w:pStyle w:val="null3"/>
              <w:ind w:firstLine="480"/>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未配建电动自行车充电设施的小区数量（个） ；</w:t>
            </w:r>
          </w:p>
          <w:p>
            <w:pPr>
              <w:pStyle w:val="null3"/>
              <w:ind w:firstLine="480"/>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未达标配建公共活动场地的社区数量（个）；</w:t>
            </w:r>
          </w:p>
          <w:p>
            <w:pPr>
              <w:pStyle w:val="null3"/>
              <w:ind w:firstLine="480"/>
              <w:jc w:val="both"/>
            </w:pPr>
            <w:r>
              <w:rPr>
                <w:rFonts w:ascii="仿宋_GB2312" w:hAnsi="仿宋_GB2312" w:cs="仿宋_GB2312" w:eastAsia="仿宋_GB2312"/>
                <w:sz w:val="24"/>
                <w:color w:val="000000"/>
              </w:rPr>
              <w:t>17.</w:t>
            </w:r>
            <w:r>
              <w:rPr>
                <w:rFonts w:ascii="仿宋_GB2312" w:hAnsi="仿宋_GB2312" w:cs="仿宋_GB2312" w:eastAsia="仿宋_GB2312"/>
                <w:sz w:val="24"/>
                <w:color w:val="000000"/>
              </w:rPr>
              <w:t>不达标的步行道长度（千米）；</w:t>
            </w:r>
          </w:p>
          <w:p>
            <w:pPr>
              <w:pStyle w:val="null3"/>
              <w:ind w:firstLine="480"/>
              <w:jc w:val="both"/>
            </w:pPr>
            <w:r>
              <w:rPr>
                <w:rFonts w:ascii="仿宋_GB2312" w:hAnsi="仿宋_GB2312" w:cs="仿宋_GB2312" w:eastAsia="仿宋_GB2312"/>
                <w:sz w:val="24"/>
                <w:color w:val="000000"/>
              </w:rPr>
              <w:t>18.</w:t>
            </w:r>
            <w:r>
              <w:rPr>
                <w:rFonts w:ascii="仿宋_GB2312" w:hAnsi="仿宋_GB2312" w:cs="仿宋_GB2312" w:eastAsia="仿宋_GB2312"/>
                <w:sz w:val="24"/>
                <w:color w:val="000000"/>
              </w:rPr>
              <w:t>未实施生活垃圾分类的小区数量（个）；</w:t>
            </w:r>
          </w:p>
          <w:p>
            <w:pPr>
              <w:pStyle w:val="null3"/>
              <w:ind w:firstLine="480"/>
              <w:jc w:val="both"/>
            </w:pPr>
            <w:r>
              <w:rPr>
                <w:rFonts w:ascii="仿宋_GB2312" w:hAnsi="仿宋_GB2312" w:cs="仿宋_GB2312" w:eastAsia="仿宋_GB2312"/>
                <w:sz w:val="24"/>
                <w:color w:val="000000"/>
              </w:rPr>
              <w:t>19.</w:t>
            </w:r>
            <w:r>
              <w:rPr>
                <w:rFonts w:ascii="仿宋_GB2312" w:hAnsi="仿宋_GB2312" w:cs="仿宋_GB2312" w:eastAsia="仿宋_GB2312"/>
                <w:sz w:val="24"/>
                <w:color w:val="000000"/>
              </w:rPr>
              <w:t>未实施物业管理的小区数量（个）；</w:t>
            </w:r>
          </w:p>
          <w:p>
            <w:pPr>
              <w:pStyle w:val="null3"/>
              <w:ind w:firstLine="480"/>
              <w:jc w:val="both"/>
            </w:pPr>
            <w:r>
              <w:rPr>
                <w:rFonts w:ascii="仿宋_GB2312" w:hAnsi="仿宋_GB2312" w:cs="仿宋_GB2312" w:eastAsia="仿宋_GB2312"/>
                <w:sz w:val="24"/>
                <w:color w:val="000000"/>
              </w:rPr>
              <w:t>20.</w:t>
            </w:r>
            <w:r>
              <w:rPr>
                <w:rFonts w:ascii="仿宋_GB2312" w:hAnsi="仿宋_GB2312" w:cs="仿宋_GB2312" w:eastAsia="仿宋_GB2312"/>
                <w:sz w:val="24"/>
                <w:color w:val="000000"/>
              </w:rPr>
              <w:t>需要进行智慧化改造的小区数量（个）；</w:t>
            </w:r>
          </w:p>
          <w:p>
            <w:pPr>
              <w:pStyle w:val="null3"/>
              <w:ind w:firstLine="48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全国城市危旧房摸底调查信息系统外新增的城市危旧房（套）；</w:t>
            </w:r>
          </w:p>
          <w:p>
            <w:pPr>
              <w:pStyle w:val="null3"/>
              <w:ind w:firstLine="480"/>
              <w:jc w:val="both"/>
            </w:pPr>
            <w:r>
              <w:rPr>
                <w:rFonts w:ascii="仿宋_GB2312" w:hAnsi="仿宋_GB2312" w:cs="仿宋_GB2312" w:eastAsia="仿宋_GB2312"/>
                <w:sz w:val="24"/>
                <w:color w:val="000000"/>
              </w:rPr>
              <w:t>22.</w:t>
            </w:r>
            <w:r>
              <w:rPr>
                <w:rFonts w:ascii="仿宋_GB2312" w:hAnsi="仿宋_GB2312" w:cs="仿宋_GB2312" w:eastAsia="仿宋_GB2312"/>
                <w:sz w:val="24"/>
                <w:color w:val="000000"/>
              </w:rPr>
              <w:t>小学学位缺口数（个）；</w:t>
            </w:r>
          </w:p>
          <w:p>
            <w:pPr>
              <w:pStyle w:val="null3"/>
              <w:ind w:firstLine="480"/>
              <w:jc w:val="both"/>
            </w:pPr>
            <w:r>
              <w:rPr>
                <w:rFonts w:ascii="仿宋_GB2312" w:hAnsi="仿宋_GB2312" w:cs="仿宋_GB2312" w:eastAsia="仿宋_GB2312"/>
                <w:sz w:val="24"/>
                <w:color w:val="000000"/>
              </w:rPr>
              <w:t>23.</w:t>
            </w:r>
            <w:r>
              <w:rPr>
                <w:rFonts w:ascii="仿宋_GB2312" w:hAnsi="仿宋_GB2312" w:cs="仿宋_GB2312" w:eastAsia="仿宋_GB2312"/>
                <w:sz w:val="24"/>
                <w:color w:val="000000"/>
              </w:rPr>
              <w:t>中学服务半径覆盖率（%）；</w:t>
            </w:r>
          </w:p>
          <w:p>
            <w:pPr>
              <w:pStyle w:val="null3"/>
              <w:ind w:firstLine="480"/>
              <w:jc w:val="both"/>
            </w:pPr>
            <w:r>
              <w:rPr>
                <w:rFonts w:ascii="仿宋_GB2312" w:hAnsi="仿宋_GB2312" w:cs="仿宋_GB2312" w:eastAsia="仿宋_GB2312"/>
                <w:sz w:val="24"/>
                <w:color w:val="000000"/>
              </w:rPr>
              <w:t>24.</w:t>
            </w:r>
            <w:r>
              <w:rPr>
                <w:rFonts w:ascii="仿宋_GB2312" w:hAnsi="仿宋_GB2312" w:cs="仿宋_GB2312" w:eastAsia="仿宋_GB2312"/>
                <w:sz w:val="24"/>
                <w:color w:val="000000"/>
              </w:rPr>
              <w:t>未达标配建的多功能运动场地数量（个）；</w:t>
            </w:r>
          </w:p>
          <w:p>
            <w:pPr>
              <w:pStyle w:val="null3"/>
              <w:ind w:firstLine="480"/>
              <w:jc w:val="both"/>
            </w:pPr>
            <w:r>
              <w:rPr>
                <w:rFonts w:ascii="仿宋_GB2312" w:hAnsi="仿宋_GB2312" w:cs="仿宋_GB2312" w:eastAsia="仿宋_GB2312"/>
                <w:sz w:val="24"/>
                <w:color w:val="000000"/>
              </w:rPr>
              <w:t>25.</w:t>
            </w:r>
            <w:r>
              <w:rPr>
                <w:rFonts w:ascii="仿宋_GB2312" w:hAnsi="仿宋_GB2312" w:cs="仿宋_GB2312" w:eastAsia="仿宋_GB2312"/>
                <w:sz w:val="24"/>
                <w:color w:val="000000"/>
              </w:rPr>
              <w:t>未达标配建的文化活动中心数量（个）；</w:t>
            </w:r>
          </w:p>
          <w:p>
            <w:pPr>
              <w:pStyle w:val="null3"/>
              <w:ind w:firstLine="480"/>
              <w:jc w:val="both"/>
            </w:pPr>
            <w:r>
              <w:rPr>
                <w:rFonts w:ascii="仿宋_GB2312" w:hAnsi="仿宋_GB2312" w:cs="仿宋_GB2312" w:eastAsia="仿宋_GB2312"/>
                <w:sz w:val="24"/>
                <w:color w:val="000000"/>
              </w:rPr>
              <w:t>26.</w:t>
            </w:r>
            <w:r>
              <w:rPr>
                <w:rFonts w:ascii="仿宋_GB2312" w:hAnsi="仿宋_GB2312" w:cs="仿宋_GB2312" w:eastAsia="仿宋_GB2312"/>
                <w:sz w:val="24"/>
                <w:color w:val="000000"/>
              </w:rPr>
              <w:t>公园绿化活动场地服务半径覆盖率（%）；</w:t>
            </w:r>
          </w:p>
          <w:p>
            <w:pPr>
              <w:pStyle w:val="null3"/>
              <w:ind w:firstLine="480"/>
              <w:jc w:val="both"/>
            </w:pPr>
            <w:r>
              <w:rPr>
                <w:rFonts w:ascii="仿宋_GB2312" w:hAnsi="仿宋_GB2312" w:cs="仿宋_GB2312" w:eastAsia="仿宋_GB2312"/>
                <w:sz w:val="24"/>
                <w:color w:val="000000"/>
              </w:rPr>
              <w:t>27.2010</w:t>
            </w:r>
            <w:r>
              <w:rPr>
                <w:rFonts w:ascii="仿宋_GB2312" w:hAnsi="仿宋_GB2312" w:cs="仿宋_GB2312" w:eastAsia="仿宋_GB2312"/>
                <w:sz w:val="24"/>
                <w:color w:val="000000"/>
              </w:rPr>
              <w:t>年以前未改需改的非商品房老旧小区数量（个）；</w:t>
            </w:r>
          </w:p>
          <w:p>
            <w:pPr>
              <w:pStyle w:val="null3"/>
              <w:ind w:firstLine="480"/>
              <w:jc w:val="both"/>
            </w:pPr>
            <w:r>
              <w:rPr>
                <w:rFonts w:ascii="仿宋_GB2312" w:hAnsi="仿宋_GB2312" w:cs="仿宋_GB2312" w:eastAsia="仿宋_GB2312"/>
                <w:sz w:val="24"/>
                <w:color w:val="000000"/>
              </w:rPr>
              <w:t>28.</w:t>
            </w:r>
            <w:r>
              <w:rPr>
                <w:rFonts w:ascii="仿宋_GB2312" w:hAnsi="仿宋_GB2312" w:cs="仿宋_GB2312" w:eastAsia="仿宋_GB2312"/>
                <w:sz w:val="24"/>
                <w:color w:val="000000"/>
              </w:rPr>
              <w:t>存在乱停乱放车辆问题的道路数量（条）；</w:t>
            </w:r>
          </w:p>
          <w:p>
            <w:pPr>
              <w:pStyle w:val="null3"/>
              <w:ind w:firstLine="480"/>
              <w:jc w:val="both"/>
            </w:pPr>
            <w:r>
              <w:rPr>
                <w:rFonts w:ascii="仿宋_GB2312" w:hAnsi="仿宋_GB2312" w:cs="仿宋_GB2312" w:eastAsia="仿宋_GB2312"/>
                <w:sz w:val="24"/>
                <w:color w:val="000000"/>
              </w:rPr>
              <w:t>29.</w:t>
            </w:r>
            <w:r>
              <w:rPr>
                <w:rFonts w:ascii="仿宋_GB2312" w:hAnsi="仿宋_GB2312" w:cs="仿宋_GB2312" w:eastAsia="仿宋_GB2312"/>
                <w:sz w:val="24"/>
                <w:color w:val="000000"/>
              </w:rPr>
              <w:t>需要更新改造的老旧商业街区数量（个）；</w:t>
            </w:r>
          </w:p>
          <w:p>
            <w:pPr>
              <w:pStyle w:val="null3"/>
              <w:ind w:firstLine="480"/>
              <w:jc w:val="both"/>
            </w:pPr>
            <w:r>
              <w:rPr>
                <w:rFonts w:ascii="仿宋_GB2312" w:hAnsi="仿宋_GB2312" w:cs="仿宋_GB2312" w:eastAsia="仿宋_GB2312"/>
                <w:sz w:val="24"/>
                <w:color w:val="000000"/>
              </w:rPr>
              <w:t>30.</w:t>
            </w:r>
            <w:r>
              <w:rPr>
                <w:rFonts w:ascii="仿宋_GB2312" w:hAnsi="仿宋_GB2312" w:cs="仿宋_GB2312" w:eastAsia="仿宋_GB2312"/>
                <w:sz w:val="24"/>
                <w:color w:val="000000"/>
              </w:rPr>
              <w:t>需要更新改造的老旧厂区数量（个）；</w:t>
            </w:r>
          </w:p>
          <w:p>
            <w:pPr>
              <w:pStyle w:val="null3"/>
              <w:ind w:firstLine="480"/>
              <w:jc w:val="both"/>
            </w:pPr>
            <w:r>
              <w:rPr>
                <w:rFonts w:ascii="仿宋_GB2312" w:hAnsi="仿宋_GB2312" w:cs="仿宋_GB2312" w:eastAsia="仿宋_GB2312"/>
                <w:sz w:val="24"/>
                <w:color w:val="000000"/>
              </w:rPr>
              <w:t>31.</w:t>
            </w:r>
            <w:r>
              <w:rPr>
                <w:rFonts w:ascii="仿宋_GB2312" w:hAnsi="仿宋_GB2312" w:cs="仿宋_GB2312" w:eastAsia="仿宋_GB2312"/>
                <w:sz w:val="24"/>
                <w:color w:val="000000"/>
              </w:rPr>
              <w:t>需要更新改造的老旧生活街区数量（个）；</w:t>
            </w:r>
          </w:p>
          <w:p>
            <w:pPr>
              <w:pStyle w:val="null3"/>
              <w:ind w:firstLine="480"/>
              <w:jc w:val="both"/>
            </w:pPr>
            <w:r>
              <w:rPr>
                <w:rFonts w:ascii="仿宋_GB2312" w:hAnsi="仿宋_GB2312" w:cs="仿宋_GB2312" w:eastAsia="仿宋_GB2312"/>
                <w:sz w:val="24"/>
                <w:color w:val="000000"/>
              </w:rPr>
              <w:t>注：国家如有最新指标要求的按最新指标要求体检。</w:t>
            </w:r>
          </w:p>
          <w:p>
            <w:pPr>
              <w:pStyle w:val="null3"/>
              <w:ind w:firstLine="480"/>
              <w:jc w:val="both"/>
            </w:pPr>
            <w:r>
              <w:rPr>
                <w:rFonts w:ascii="仿宋_GB2312" w:hAnsi="仿宋_GB2312" w:cs="仿宋_GB2312" w:eastAsia="仿宋_GB2312"/>
                <w:sz w:val="24"/>
                <w:color w:val="000000"/>
              </w:rPr>
              <w:t>（三）服务要求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、报告编制</w:t>
            </w:r>
          </w:p>
          <w:p>
            <w:pPr>
              <w:pStyle w:val="null3"/>
              <w:ind w:firstLine="480"/>
              <w:jc w:val="both"/>
            </w:pPr>
            <w:r>
              <w:rPr>
                <w:rFonts w:ascii="仿宋_GB2312" w:hAnsi="仿宋_GB2312" w:cs="仿宋_GB2312" w:eastAsia="仿宋_GB2312"/>
                <w:sz w:val="24"/>
                <w:color w:val="000000"/>
              </w:rPr>
              <w:t>（1）根据成都市城市体检相关工作要求，提供城市体检社会满意度调查、数据采集、现场调研等方面工作技术支撑，形成覆盖体检范围“住房-小区（社区）-街区”三个维度指标及相关分析的城市体检报告；</w:t>
            </w:r>
          </w:p>
          <w:p>
            <w:pPr>
              <w:pStyle w:val="null3"/>
              <w:ind w:firstLine="480"/>
              <w:jc w:val="both"/>
            </w:pPr>
            <w:r>
              <w:rPr>
                <w:rFonts w:ascii="仿宋_GB2312" w:hAnsi="仿宋_GB2312" w:cs="仿宋_GB2312" w:eastAsia="仿宋_GB2312"/>
                <w:sz w:val="24"/>
                <w:color w:val="000000"/>
              </w:rPr>
              <w:t>（2）根据城市规划、现场调研结论，参照成都市城市规划建设相关要求，找出龙泉驿区存在的城市规划、建设问题，形成可视化的问题地图及对应点位的GIS地理数据库，并结合城市规划理念，提出改进建议；</w:t>
            </w:r>
          </w:p>
          <w:p>
            <w:pPr>
              <w:pStyle w:val="null3"/>
              <w:ind w:firstLine="480"/>
              <w:jc w:val="both"/>
            </w:pPr>
            <w:r>
              <w:rPr>
                <w:rFonts w:ascii="仿宋_GB2312" w:hAnsi="仿宋_GB2312" w:cs="仿宋_GB2312" w:eastAsia="仿宋_GB2312"/>
                <w:sz w:val="24"/>
                <w:color w:val="000000"/>
              </w:rPr>
              <w:t>（3）依据识别出的问题及提出的改进建议，协助采购人与各主管部门沟通，最终完成2025年龙泉驿区城市体检工作的问题整改计划。</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、工作办法制定及培训</w:t>
            </w:r>
          </w:p>
          <w:p>
            <w:pPr>
              <w:pStyle w:val="null3"/>
              <w:ind w:firstLine="480"/>
              <w:jc w:val="both"/>
            </w:pPr>
            <w:r>
              <w:rPr>
                <w:rFonts w:ascii="仿宋_GB2312" w:hAnsi="仿宋_GB2312" w:cs="仿宋_GB2312" w:eastAsia="仿宋_GB2312"/>
                <w:sz w:val="24"/>
                <w:color w:val="000000"/>
              </w:rPr>
              <w:t>（1）制定涉及城市体检相关参与方的体检操作办法，梳理并优化操作流程，提高本次体检工作效率；</w:t>
            </w:r>
          </w:p>
          <w:p>
            <w:pPr>
              <w:pStyle w:val="null3"/>
              <w:ind w:firstLine="480"/>
              <w:jc w:val="both"/>
            </w:pPr>
            <w:r>
              <w:rPr>
                <w:rFonts w:ascii="仿宋_GB2312" w:hAnsi="仿宋_GB2312" w:cs="仿宋_GB2312" w:eastAsia="仿宋_GB2312"/>
                <w:sz w:val="24"/>
                <w:color w:val="000000"/>
              </w:rPr>
              <w:t>（2）为本次体检的各参与方（包括不限于部门、街道、社区、物业工作人员及网格员、志愿者等）提供全面细致的工作培训，针对体检工作中可能存在的各类问题进行解答与沟通。</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、人员要求：供应商应拟派不低于5人的专业技术团队，其中至少明确一名项目负责人。</w:t>
            </w:r>
          </w:p>
          <w:p>
            <w:pPr>
              <w:pStyle w:val="null3"/>
              <w:ind w:firstLine="480"/>
              <w:jc w:val="both"/>
            </w:pPr>
            <w:r>
              <w:rPr>
                <w:rFonts w:ascii="仿宋_GB2312" w:hAnsi="仿宋_GB2312" w:cs="仿宋_GB2312" w:eastAsia="仿宋_GB2312"/>
                <w:sz w:val="24"/>
                <w:color w:val="000000"/>
              </w:rPr>
              <w:t>（四）成果要求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完成成都市城市体检系统录入。</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形成龙泉驿区城市体检报告（电子版1份，纸质版5份），其中文字成果可采用word、PDF格式，图纸采用JPG格式。</w:t>
            </w:r>
          </w:p>
          <w:p>
            <w:pPr>
              <w:pStyle w:val="null3"/>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、供应商需为本项目提供项目技术方案，至少包括：①本次城市体检工作开展的背景、目的及意义；②工作开展及组织方法；③体检数据获取方法；④体检指标的评估方法。</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、供应商需为本项目提供项目服务方案，至少包括：①工作组织程序；②工作进度控制方案；③成果质量保障措施；④售后服务方案。</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、供应商需按要求提供业绩证明材料。</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、供应商需按要求提供人员证明材料。</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本次城市体检确定范围内的街道及社区。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（1）成交供应商在验收准备完成后通知采购人，双方按照约定的方式对成交供应商服务工作进行验收，验收合格的采购人将出具验收报告； （2）验收标准：按国家有关规定以及采购文件的质量要求和技术指标、供应商的响应文件及承诺与本合同约定标准进行验收；采购人与供应商双方如对质量要求和技术指标的约定标准有相互抵触或异议的事项，由采购人在采购文件及响应文件中按质量要求和技术指标比较优胜的原则确定该项的约定标准进行验收； （3）采购人在规定时间内无故不进行验收工作并已使用项目履约成果的，视同验收合格。 （4）项目验收结果合格的，办理后续手续；验收结果不合格且拒不整改的，将不予支付采购资金，将上报本项目同级财政部门按照政府采购相关法律法规处理。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1、合同签订后，提供有效正规发票，达到付款条件起10日内，支付合同总金额的30.00%</w:t>
            </w:r>
          </w:p>
          <w:p>
            <w:pPr>
              <w:pStyle w:val="null3"/>
              <w:jc w:val="left"/>
            </w:pPr>
            <w:r>
              <w:rPr>
                <w:rFonts w:ascii="仿宋_GB2312" w:hAnsi="仿宋_GB2312" w:cs="仿宋_GB2312" w:eastAsia="仿宋_GB2312"/>
              </w:rPr>
              <w:t>2、提交报告终稿后，提供有效正规发票，达到付款条件起10日内，支付合同总金额的70.00%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3.供应商必须遵守采购合同按时完成合同相关工作，若由于供应商原因导致合同迟延履行，供应商应承担采购合同中约定的履约保证金。 4.供应商应当遵守采购人的相关项目需求及相关技术要求及实质性条款，实施完成采购合同应当完全满足相关项目需求及相关技术要求及实质性条款，若供应商瑕疵履行采购合同，采购人有权向供应商要求赔偿违约金，若造成相关损失的，采购人有权要求供应商承担所有赔偿责任。 5.有下列情形之一的，当事人可以解除合同： 5.1因不可抗力致使不能实现合同目的(由于非供应商或采购人原因，致使合同实质性条款无法实现的)； 5.2当事人一方迟延履行主要债务，经催告后在合理期限内仍未履行； 5.3当事人一方迟延履行债务或者有其他违约行为致使不能实现合同目的； 5.4法律规定的其他情形。 (二)解决争议的方法 1.因服务的质量问题发生争议，由采购人或其指定的第三方机构进行质量鉴定。服务符合标准的，鉴定费由采购人承担；服务不符合质量标准的，鉴定费由供应商承担。 2.合同履行期间，若双方发生争议，可协商或由有关部门调解解决，协商或调解不成的， 向采购人所在地人民法院起诉。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★补充商务要求：合同签订生效之日起一周内，按采购人要求进场，履行应尽合同义务。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本章所有内容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符合采购文件实质性要求</w:t>
            </w:r>
          </w:p>
        </w:tc>
        <w:tc>
          <w:tcPr>
            <w:tcW w:type="dxa" w:w="3322"/>
          </w:tcPr>
          <w:p>
            <w:pPr>
              <w:pStyle w:val="null3"/>
              <w:jc w:val="left"/>
            </w:pPr>
            <w:r>
              <w:rPr>
                <w:rFonts w:ascii="仿宋_GB2312" w:hAnsi="仿宋_GB2312" w:cs="仿宋_GB2312" w:eastAsia="仿宋_GB2312"/>
              </w:rPr>
              <w:t>对采购文件第三章“3.2.技术要求”“3.3.服务要求”“3.4.其他要求”中实质性条款进行逐一响应。</w:t>
            </w:r>
          </w:p>
        </w:tc>
        <w:tc>
          <w:tcPr>
            <w:tcW w:type="dxa" w:w="1910"/>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技术方案、服务方案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供应商每提供一份类似项目业绩得2分，最高得4分。 注：提供中标（成交）通知书或合同复印件（或扫描件）进行电子签章。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服务团队组建</w:t>
            </w:r>
          </w:p>
        </w:tc>
        <w:tc>
          <w:tcPr>
            <w:tcW w:type="dxa" w:w="2575"/>
          </w:tcPr>
          <w:p>
            <w:pPr>
              <w:pStyle w:val="null3"/>
              <w:jc w:val="left"/>
            </w:pPr>
            <w:r>
              <w:rPr>
                <w:rFonts w:ascii="仿宋_GB2312" w:hAnsi="仿宋_GB2312" w:cs="仿宋_GB2312" w:eastAsia="仿宋_GB2312"/>
              </w:rPr>
              <w:t>1、项目负责人：具有注册城市（乡）规划师证书得5分，同时具有中级职称加2分，具有高级或以上职称加3分，本项最高得8分。 注：提供对应注册证、职称证影印件进行电子签章，职称专业应是城市（乡）规划相关或经济相关专业。 2、拟派项目团队服务人员 (1)规划类专业人员1名：具有规划类专业中级职称的得1分，具有规划类专业高级及以上职称的得2分；同时具有注册城市(城乡)规划师的加2分；本项最多得4分。 (2)建筑类专业人员1名：具有建筑类专业中级职称的得1分，具有建筑类专业高级及以上职称的得2分；同时具有一级注册建筑师资格的加2分；本项最多得4分。 (3)市政类专业人员1名：具有市政类专业中级职称的得1分，具有市政类专业高级及以上职称的得2分；同时具有注册公用设备工程师资格的加2分；本项最多得4分。 (4)园林景观设计或风景园林类专业人员1名：具有园林景观设计或风景园林类专业中级职称的得1分，具有园林景观设计或风景园林类专业高级及以上职称的得2分；本项最多得2分。 注：①所有人员不重复计分，同一人员提供多个证书的按得分高的计取；②提供人员相关证书影印件进行电子签章。</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技术方案</w:t>
            </w:r>
          </w:p>
        </w:tc>
        <w:tc>
          <w:tcPr>
            <w:tcW w:type="dxa" w:w="2575"/>
          </w:tcPr>
          <w:p>
            <w:pPr>
              <w:pStyle w:val="null3"/>
              <w:jc w:val="left"/>
            </w:pPr>
            <w:r>
              <w:rPr>
                <w:rFonts w:ascii="仿宋_GB2312" w:hAnsi="仿宋_GB2312" w:cs="仿宋_GB2312" w:eastAsia="仿宋_GB2312"/>
              </w:rPr>
              <w:t>供应商需结合项目特点，为本项目提供技术方案，内容至少包括：①本次城市体检工作开展的背景、目的及意义；②工作开展及组织方法；③体检数据获取方法；④体检指标的评估方法；⑤体检成果应用思考。技术方案完整无遗漏得40分，内容每有一项内容缺失或与项目无关扣8分，每项内容存在一处缺陷扣4分，直至单项分扣完为止。 注：内容缺陷是指具体方案的内容与技术服务或商务条款响应不一致、服务如涉及的规范及标准引用错误、地点区域错误、存在影响项目履约质量的情况、仅有标题无具体内容、存在不适用项目实际情况的情形。</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需结合项目特点，为本项目提供服务方案，内容至少包括：①工作组织程序；②工作进度控制方案；③成果质量保障措施；④售后服务方案。服务方案完整无遗漏得24分，内容每有一项内容缺失或与项目无关扣6分，每项内容存在一处缺陷扣3分，直至单项分扣完为止。 注：内容缺陷是指具体方案的内容与技术服务或商务条款响应不一致、服务如涉及的规范及标准引用错误、地点区域错误、存在影响项目履约质量的情况、仅有标题无具体内容、存在不适用项目实际情况的情形。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