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94F396">
      <w:pPr>
        <w:adjustRightInd w:val="0"/>
        <w:snapToGrid w:val="0"/>
        <w:spacing w:after="156" w:afterLines="50" w:line="360" w:lineRule="auto"/>
        <w:jc w:val="center"/>
        <w:outlineLvl w:val="0"/>
        <w:rPr>
          <w:rFonts w:hint="eastAsia" w:ascii="黑体" w:eastAsia="黑体"/>
          <w:b/>
          <w:color w:val="auto"/>
          <w:kern w:val="44"/>
          <w:sz w:val="48"/>
          <w:szCs w:val="20"/>
          <w:highlight w:val="none"/>
        </w:rPr>
      </w:pPr>
      <w:r>
        <w:rPr>
          <w:rFonts w:hint="eastAsia" w:ascii="宋体" w:hAnsi="宋体"/>
          <w:b/>
          <w:color w:val="auto"/>
          <w:sz w:val="30"/>
          <w:szCs w:val="30"/>
          <w:highlight w:val="none"/>
        </w:rPr>
        <w:t>第八部分 采购需求</w:t>
      </w:r>
    </w:p>
    <w:p w14:paraId="1D48E17C">
      <w:pPr>
        <w:adjustRightInd w:val="0"/>
        <w:snapToGrid w:val="0"/>
        <w:spacing w:before="156" w:beforeLines="50" w:after="156" w:afterLines="50" w:line="360" w:lineRule="auto"/>
        <w:jc w:val="center"/>
        <w:rPr>
          <w:rFonts w:hint="eastAsia" w:ascii="宋体" w:hAnsi="宋体"/>
          <w:b/>
          <w:color w:val="auto"/>
          <w:sz w:val="24"/>
          <w:highlight w:val="none"/>
        </w:rPr>
      </w:pPr>
      <w:r>
        <w:rPr>
          <w:rFonts w:hint="eastAsia" w:ascii="宋体" w:hAnsi="宋体"/>
          <w:b/>
          <w:color w:val="auto"/>
          <w:sz w:val="24"/>
          <w:highlight w:val="none"/>
        </w:rPr>
        <w:t>货物需求一览表</w:t>
      </w:r>
    </w:p>
    <w:p w14:paraId="1C656C48"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30"/>
          <w:szCs w:val="30"/>
          <w:highlight w:val="none"/>
        </w:rPr>
      </w:pPr>
    </w:p>
    <w:tbl>
      <w:tblPr>
        <w:tblStyle w:val="3"/>
        <w:tblW w:w="8097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762"/>
        <w:gridCol w:w="1871"/>
        <w:gridCol w:w="1134"/>
        <w:gridCol w:w="1590"/>
        <w:gridCol w:w="2740"/>
      </w:tblGrid>
      <w:tr w14:paraId="5691508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3" w:hRule="atLeast"/>
          <w:jc w:val="center"/>
        </w:trPr>
        <w:tc>
          <w:tcPr>
            <w:tcW w:w="762" w:type="dxa"/>
            <w:noWrap w:val="0"/>
            <w:vAlign w:val="center"/>
          </w:tcPr>
          <w:p w14:paraId="5189E7EF">
            <w:pPr>
              <w:jc w:val="center"/>
              <w:rPr>
                <w:rFonts w:ascii="宋体" w:hAnsi="Bookman Old Style"/>
                <w:color w:val="auto"/>
                <w:sz w:val="24"/>
                <w:highlight w:val="none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包号</w:t>
            </w:r>
          </w:p>
        </w:tc>
        <w:tc>
          <w:tcPr>
            <w:tcW w:w="1871" w:type="dxa"/>
            <w:noWrap w:val="0"/>
            <w:vAlign w:val="center"/>
          </w:tcPr>
          <w:p w14:paraId="75B97FB9">
            <w:pPr>
              <w:jc w:val="center"/>
              <w:rPr>
                <w:rFonts w:ascii="宋体" w:hAnsi="Bookman Old Style"/>
                <w:color w:val="auto"/>
                <w:sz w:val="24"/>
                <w:highlight w:val="none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货物名称</w:t>
            </w:r>
          </w:p>
        </w:tc>
        <w:tc>
          <w:tcPr>
            <w:tcW w:w="1134" w:type="dxa"/>
            <w:noWrap w:val="0"/>
            <w:vAlign w:val="center"/>
          </w:tcPr>
          <w:p w14:paraId="62F4434F">
            <w:pPr>
              <w:jc w:val="center"/>
              <w:rPr>
                <w:rFonts w:ascii="宋体" w:hAnsi="Bookman Old Style"/>
                <w:color w:val="auto"/>
                <w:sz w:val="24"/>
                <w:highlight w:val="none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数量</w:t>
            </w:r>
          </w:p>
        </w:tc>
        <w:tc>
          <w:tcPr>
            <w:tcW w:w="1590" w:type="dxa"/>
            <w:noWrap w:val="0"/>
            <w:vAlign w:val="center"/>
          </w:tcPr>
          <w:p w14:paraId="39BF6D05">
            <w:pPr>
              <w:jc w:val="center"/>
              <w:rPr>
                <w:rFonts w:ascii="宋体" w:hAnsi="Bookman Old Style"/>
                <w:color w:val="auto"/>
                <w:sz w:val="24"/>
                <w:highlight w:val="none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交货期</w:t>
            </w:r>
          </w:p>
        </w:tc>
        <w:tc>
          <w:tcPr>
            <w:tcW w:w="2740" w:type="dxa"/>
            <w:noWrap w:val="0"/>
            <w:vAlign w:val="center"/>
          </w:tcPr>
          <w:p w14:paraId="054207CF">
            <w:pPr>
              <w:jc w:val="center"/>
              <w:rPr>
                <w:rFonts w:ascii="宋体" w:hAnsi="Bookman Old Style"/>
                <w:color w:val="auto"/>
                <w:sz w:val="24"/>
                <w:highlight w:val="none"/>
                <w:shd w:val="pct10" w:color="auto" w:fill="FFFFFF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项目现场（交货地点）</w:t>
            </w:r>
          </w:p>
        </w:tc>
      </w:tr>
      <w:tr w14:paraId="00C8343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677" w:hRule="atLeast"/>
          <w:jc w:val="center"/>
        </w:trPr>
        <w:tc>
          <w:tcPr>
            <w:tcW w:w="762" w:type="dxa"/>
            <w:noWrap w:val="0"/>
            <w:vAlign w:val="center"/>
          </w:tcPr>
          <w:p w14:paraId="2BE5E986">
            <w:pPr>
              <w:jc w:val="center"/>
              <w:rPr>
                <w:rFonts w:hint="eastAsia" w:ascii="宋体"/>
                <w:color w:val="auto"/>
                <w:sz w:val="24"/>
                <w:highlight w:val="none"/>
              </w:rPr>
            </w:pPr>
            <w:r>
              <w:rPr>
                <w:rFonts w:hint="eastAsia" w:ascii="宋体"/>
                <w:color w:val="auto"/>
                <w:sz w:val="24"/>
                <w:highlight w:val="none"/>
              </w:rPr>
              <w:t>1</w:t>
            </w:r>
          </w:p>
        </w:tc>
        <w:tc>
          <w:tcPr>
            <w:tcW w:w="1871" w:type="dxa"/>
            <w:noWrap w:val="0"/>
            <w:vAlign w:val="center"/>
          </w:tcPr>
          <w:p w14:paraId="0A30D545">
            <w:pPr>
              <w:jc w:val="center"/>
              <w:rPr>
                <w:rFonts w:hint="eastAsia" w:ascii="宋体" w:hAnsi="Bookman Old Style"/>
                <w:color w:val="auto"/>
                <w:sz w:val="24"/>
                <w:highlight w:val="none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液氦</w:t>
            </w:r>
          </w:p>
        </w:tc>
        <w:tc>
          <w:tcPr>
            <w:tcW w:w="1134" w:type="dxa"/>
            <w:noWrap w:val="0"/>
            <w:vAlign w:val="center"/>
          </w:tcPr>
          <w:p w14:paraId="2FB9193E">
            <w:pPr>
              <w:jc w:val="center"/>
              <w:rPr>
                <w:rFonts w:ascii="宋体" w:hAnsi="Bookman Old Style"/>
                <w:color w:val="auto"/>
                <w:sz w:val="24"/>
                <w:highlight w:val="none"/>
              </w:rPr>
            </w:pPr>
            <w:r>
              <w:rPr>
                <w:rFonts w:ascii="宋体" w:hAnsi="Bookman Old Style"/>
                <w:color w:val="auto"/>
                <w:sz w:val="24"/>
                <w:highlight w:val="none"/>
              </w:rPr>
              <w:t>5000L</w:t>
            </w:r>
          </w:p>
        </w:tc>
        <w:tc>
          <w:tcPr>
            <w:tcW w:w="1590" w:type="dxa"/>
            <w:noWrap w:val="0"/>
            <w:vAlign w:val="center"/>
          </w:tcPr>
          <w:p w14:paraId="7D3CD0F7">
            <w:pPr>
              <w:jc w:val="center"/>
              <w:rPr>
                <w:rFonts w:hint="eastAsia" w:ascii="宋体" w:hAnsi="Bookman Old Style"/>
                <w:color w:val="auto"/>
                <w:sz w:val="24"/>
                <w:highlight w:val="none"/>
              </w:rPr>
            </w:pPr>
            <w:r>
              <w:rPr>
                <w:rFonts w:ascii="宋体" w:hAnsi="Bookman Old Style"/>
                <w:color w:val="auto"/>
                <w:sz w:val="24"/>
                <w:highlight w:val="none"/>
              </w:rPr>
              <w:t>合同签订后360日内交货完毕</w:t>
            </w:r>
          </w:p>
        </w:tc>
        <w:tc>
          <w:tcPr>
            <w:tcW w:w="2740" w:type="dxa"/>
            <w:noWrap w:val="0"/>
            <w:vAlign w:val="center"/>
          </w:tcPr>
          <w:p w14:paraId="3B0C9705">
            <w:pPr>
              <w:jc w:val="center"/>
              <w:rPr>
                <w:rFonts w:hint="eastAsia" w:ascii="宋体" w:hAnsi="Bookman Old Style"/>
                <w:color w:val="auto"/>
                <w:sz w:val="24"/>
                <w:highlight w:val="none"/>
              </w:rPr>
            </w:pPr>
            <w:r>
              <w:rPr>
                <w:rFonts w:ascii="宋体" w:hAnsi="Bookman Old Style"/>
                <w:color w:val="auto"/>
                <w:sz w:val="24"/>
                <w:highlight w:val="none"/>
              </w:rPr>
              <w:t>甘肃省兰州市城关区雁北路99号中科院重离子束应用研究中心或甲方指定地点</w:t>
            </w:r>
          </w:p>
        </w:tc>
      </w:tr>
    </w:tbl>
    <w:p w14:paraId="5D5FF176">
      <w:pPr>
        <w:rPr>
          <w:rFonts w:hint="eastAsia" w:ascii="Bookman Old Style" w:hAnsi="Bookman Old Style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注：投标人须对上述投标内容中完整的一包进行投标，</w:t>
      </w:r>
      <w:r>
        <w:rPr>
          <w:rFonts w:hint="eastAsia" w:ascii="Bookman Old Style" w:hAnsi="Bookman Old Style"/>
          <w:color w:val="auto"/>
          <w:sz w:val="24"/>
          <w:highlight w:val="none"/>
        </w:rPr>
        <w:t>不完整的投标将视为非响应性投标予以拒绝。</w:t>
      </w:r>
    </w:p>
    <w:p w14:paraId="10809226"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 w14:paraId="68AF9F63">
      <w:pPr>
        <w:adjustRightInd w:val="0"/>
        <w:snapToGrid w:val="0"/>
        <w:spacing w:line="360" w:lineRule="auto"/>
        <w:rPr>
          <w:rFonts w:ascii="宋体" w:hAnsi="宋体"/>
          <w:b/>
          <w:color w:val="auto"/>
          <w:sz w:val="28"/>
          <w:szCs w:val="28"/>
          <w:highlight w:val="none"/>
        </w:rPr>
      </w:pPr>
      <w:r>
        <w:rPr>
          <w:rFonts w:ascii="宋体" w:hAnsi="宋体"/>
          <w:b/>
          <w:color w:val="auto"/>
          <w:sz w:val="30"/>
          <w:szCs w:val="30"/>
          <w:highlight w:val="none"/>
        </w:rPr>
        <w:br w:type="page"/>
      </w:r>
      <w:r>
        <w:rPr>
          <w:rFonts w:hint="eastAsia" w:ascii="宋体" w:hAnsi="宋体"/>
          <w:b/>
          <w:color w:val="auto"/>
          <w:sz w:val="28"/>
          <w:szCs w:val="28"/>
          <w:highlight w:val="none"/>
        </w:rPr>
        <w:t>一、总则</w:t>
      </w:r>
    </w:p>
    <w:p w14:paraId="23B5849D">
      <w:pPr>
        <w:adjustRightInd w:val="0"/>
        <w:snapToGrid w:val="0"/>
        <w:spacing w:line="360" w:lineRule="auto"/>
        <w:rPr>
          <w:rFonts w:ascii="宋体" w:hAnsi="宋体"/>
          <w:b/>
          <w:color w:val="auto"/>
          <w:sz w:val="28"/>
          <w:szCs w:val="28"/>
          <w:highlight w:val="none"/>
        </w:rPr>
      </w:pPr>
      <w:r>
        <w:rPr>
          <w:rFonts w:ascii="宋体" w:hAnsi="宋体"/>
          <w:b/>
          <w:color w:val="auto"/>
          <w:sz w:val="28"/>
          <w:szCs w:val="28"/>
          <w:highlight w:val="none"/>
        </w:rPr>
        <w:t>1</w:t>
      </w:r>
      <w:r>
        <w:rPr>
          <w:rFonts w:hint="eastAsia" w:ascii="宋体" w:hAnsi="宋体"/>
          <w:b/>
          <w:color w:val="auto"/>
          <w:sz w:val="28"/>
          <w:szCs w:val="28"/>
          <w:highlight w:val="none"/>
        </w:rPr>
        <w:t>、投标要求</w:t>
      </w:r>
    </w:p>
    <w:p w14:paraId="6C758C7D"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ascii="宋体" w:hAnsi="宋体"/>
          <w:color w:val="auto"/>
          <w:sz w:val="24"/>
          <w:highlight w:val="none"/>
        </w:rPr>
        <w:t xml:space="preserve">1.1 </w:t>
      </w:r>
      <w:r>
        <w:rPr>
          <w:rFonts w:hint="eastAsia" w:ascii="宋体" w:hAnsi="宋体"/>
          <w:color w:val="auto"/>
          <w:sz w:val="24"/>
          <w:highlight w:val="none"/>
        </w:rPr>
        <w:t xml:space="preserve"> 投标人在准备投标书时，务必在所提供的商品的技术规格文件中，标明型号、商标名称、目录号。</w:t>
      </w:r>
    </w:p>
    <w:p w14:paraId="73000ACB"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1.2  投标人提供的货物须是成熟的全新的产品，其技术规格应符合招标文件的要求。如与招标文件的技术规格有偏差，应提供技术规格偏差的量值或说明（偏离表）。如投标人有意隐瞒对规格要求的偏差或在开标后提出新的偏差，买方有权扣留其投标保证金或/并拒绝其投标。</w:t>
      </w:r>
    </w:p>
    <w:p w14:paraId="67ED5F51">
      <w:pPr>
        <w:spacing w:line="360" w:lineRule="auto"/>
        <w:ind w:left="554" w:hanging="554" w:hangingChars="231"/>
        <w:rPr>
          <w:rFonts w:hint="eastAsia" w:asci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 xml:space="preserve">1.3  </w:t>
      </w:r>
      <w:r>
        <w:rPr>
          <w:rFonts w:hint="eastAsia"/>
          <w:color w:val="auto"/>
          <w:sz w:val="24"/>
          <w:highlight w:val="none"/>
        </w:rPr>
        <w:t>投标人提供的</w:t>
      </w:r>
      <w:r>
        <w:rPr>
          <w:rFonts w:hint="eastAsia" w:ascii="宋体"/>
          <w:color w:val="auto"/>
          <w:sz w:val="24"/>
          <w:highlight w:val="none"/>
        </w:rPr>
        <w:t>产品</w:t>
      </w:r>
      <w:r>
        <w:rPr>
          <w:rFonts w:hint="eastAsia"/>
          <w:color w:val="auto"/>
          <w:sz w:val="24"/>
          <w:highlight w:val="none"/>
        </w:rPr>
        <w:t>样本，必须是“原件”而非复印件，</w:t>
      </w:r>
      <w:r>
        <w:rPr>
          <w:rFonts w:hint="eastAsia" w:ascii="宋体"/>
          <w:color w:val="auto"/>
          <w:sz w:val="24"/>
          <w:highlight w:val="none"/>
        </w:rPr>
        <w:t>图表、简图、电路图以及印刷电路板图等都应</w:t>
      </w:r>
      <w:r>
        <w:rPr>
          <w:rFonts w:hint="eastAsia"/>
          <w:color w:val="auto"/>
          <w:sz w:val="24"/>
          <w:highlight w:val="none"/>
        </w:rPr>
        <w:t>清晰易读。买方有权</w:t>
      </w:r>
      <w:r>
        <w:rPr>
          <w:rFonts w:hint="eastAsia" w:ascii="宋体"/>
          <w:color w:val="auto"/>
          <w:sz w:val="24"/>
          <w:highlight w:val="none"/>
        </w:rPr>
        <w:t>不付任何附加费用</w:t>
      </w:r>
      <w:r>
        <w:rPr>
          <w:rFonts w:hint="eastAsia"/>
          <w:color w:val="auto"/>
          <w:sz w:val="24"/>
          <w:highlight w:val="none"/>
        </w:rPr>
        <w:t>复制这些资料</w:t>
      </w:r>
      <w:r>
        <w:rPr>
          <w:rFonts w:hint="eastAsia" w:ascii="宋体"/>
          <w:color w:val="auto"/>
          <w:sz w:val="24"/>
          <w:highlight w:val="none"/>
        </w:rPr>
        <w:t>以供参考。</w:t>
      </w:r>
    </w:p>
    <w:p w14:paraId="39C9A935">
      <w:pPr>
        <w:spacing w:line="360" w:lineRule="auto"/>
        <w:ind w:left="554" w:hanging="554" w:hangingChars="231"/>
        <w:rPr>
          <w:rFonts w:hint="eastAsia" w:ascii="宋体"/>
          <w:color w:val="auto"/>
          <w:sz w:val="24"/>
          <w:highlight w:val="none"/>
        </w:rPr>
      </w:pPr>
      <w:r>
        <w:rPr>
          <w:rFonts w:hint="eastAsia" w:ascii="宋体"/>
          <w:color w:val="auto"/>
          <w:sz w:val="24"/>
          <w:highlight w:val="none"/>
        </w:rPr>
        <w:t>1.4  投标人的投标产品应符合国家有关部门规定的相应技术、计量、节能、安全和环保法规及标准；如国家有关部门对投标人的投标产品有强制性规定或要求的，则投标人的投标产品必须符合相应规定或要求，投标人须提供相关证明文件的复印件。</w:t>
      </w:r>
    </w:p>
    <w:p w14:paraId="4E5A1183">
      <w:pPr>
        <w:adjustRightInd w:val="0"/>
        <w:snapToGrid w:val="0"/>
        <w:spacing w:line="360" w:lineRule="auto"/>
        <w:rPr>
          <w:rFonts w:ascii="宋体" w:hAnsi="宋体"/>
          <w:b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b/>
          <w:color w:val="auto"/>
          <w:sz w:val="28"/>
          <w:szCs w:val="28"/>
          <w:highlight w:val="none"/>
        </w:rPr>
        <w:t>2、评标标准</w:t>
      </w:r>
    </w:p>
    <w:p w14:paraId="6E8B1571">
      <w:pPr>
        <w:spacing w:line="360" w:lineRule="auto"/>
        <w:ind w:left="554" w:hanging="554" w:hangingChars="231"/>
        <w:rPr>
          <w:rFonts w:hint="eastAsia" w:ascii="宋体"/>
          <w:color w:val="auto"/>
          <w:sz w:val="24"/>
          <w:highlight w:val="none"/>
        </w:rPr>
      </w:pPr>
      <w:r>
        <w:rPr>
          <w:rFonts w:ascii="宋体" w:hAnsi="宋体"/>
          <w:color w:val="auto"/>
          <w:sz w:val="24"/>
          <w:highlight w:val="none"/>
        </w:rPr>
        <w:t>2.</w:t>
      </w:r>
      <w:r>
        <w:rPr>
          <w:rFonts w:hint="eastAsia" w:ascii="宋体" w:hAnsi="宋体"/>
          <w:color w:val="auto"/>
          <w:sz w:val="24"/>
          <w:highlight w:val="none"/>
        </w:rPr>
        <w:t xml:space="preserve">1  </w:t>
      </w:r>
      <w:r>
        <w:rPr>
          <w:rFonts w:hint="eastAsia"/>
          <w:color w:val="auto"/>
          <w:sz w:val="24"/>
          <w:highlight w:val="none"/>
        </w:rPr>
        <w:t>除招标文件中指定的附件和专用工具外，</w:t>
      </w:r>
      <w:r>
        <w:rPr>
          <w:rFonts w:hint="eastAsia" w:ascii="宋体"/>
          <w:color w:val="auto"/>
          <w:sz w:val="24"/>
          <w:highlight w:val="none"/>
        </w:rPr>
        <w:t>投标人应提供仪器设备的正常运行和常规保养所需的全套标准附件、专用工具</w:t>
      </w:r>
      <w:r>
        <w:rPr>
          <w:rFonts w:hint="eastAsia"/>
          <w:color w:val="auto"/>
          <w:sz w:val="24"/>
          <w:highlight w:val="none"/>
        </w:rPr>
        <w:t>和消耗品</w:t>
      </w:r>
      <w:r>
        <w:rPr>
          <w:rFonts w:hint="eastAsia" w:ascii="宋体"/>
          <w:color w:val="auto"/>
          <w:sz w:val="24"/>
          <w:highlight w:val="none"/>
        </w:rPr>
        <w:t>。投标人在投标书中需列出这些附件和工具的数量和单价的清单，这些附件和工具的报价的总值需计入投标价中。</w:t>
      </w:r>
    </w:p>
    <w:p w14:paraId="73D6ED56">
      <w:pPr>
        <w:spacing w:line="360" w:lineRule="auto"/>
        <w:ind w:left="554" w:hanging="554" w:hangingChars="231"/>
        <w:rPr>
          <w:rFonts w:hint="eastAsia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 xml:space="preserve">2.2  </w:t>
      </w:r>
      <w:r>
        <w:rPr>
          <w:rFonts w:hint="eastAsia"/>
          <w:color w:val="auto"/>
          <w:sz w:val="24"/>
          <w:highlight w:val="none"/>
        </w:rPr>
        <w:t>对于标书</w:t>
      </w:r>
      <w:r>
        <w:rPr>
          <w:rFonts w:hint="eastAsia" w:ascii="宋体"/>
          <w:color w:val="auto"/>
          <w:sz w:val="24"/>
          <w:highlight w:val="none"/>
        </w:rPr>
        <w:t>技术规范中已列</w:t>
      </w:r>
      <w:r>
        <w:rPr>
          <w:rFonts w:hint="eastAsia"/>
          <w:color w:val="auto"/>
          <w:sz w:val="24"/>
          <w:highlight w:val="none"/>
        </w:rPr>
        <w:t>出的作为查询选件的附件、零配件、专用工具和消耗品，投标书中</w:t>
      </w:r>
      <w:r>
        <w:rPr>
          <w:rFonts w:hint="eastAsia" w:ascii="宋体"/>
          <w:color w:val="auto"/>
          <w:sz w:val="24"/>
          <w:highlight w:val="none"/>
        </w:rPr>
        <w:t>应列明其数量、单价、总价供买方参考。投标人也可推荐买方没有要求的附件或专用工具作为选件，并列明其数量、单价、总价供买方参考。选件价格不计入评标价中。</w:t>
      </w:r>
    </w:p>
    <w:p w14:paraId="1FDF2344"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2.3  为便于用户进行接收仪器的准备工作，卖方应在合同生效后</w:t>
      </w:r>
      <w:r>
        <w:rPr>
          <w:rFonts w:hint="eastAsia" w:ascii="宋体" w:hAnsi="宋体"/>
          <w:b/>
          <w:color w:val="auto"/>
          <w:sz w:val="24"/>
          <w:highlight w:val="none"/>
        </w:rPr>
        <w:t>60</w:t>
      </w:r>
      <w:r>
        <w:rPr>
          <w:rFonts w:hint="eastAsia" w:ascii="宋体" w:hAnsi="宋体"/>
          <w:color w:val="auto"/>
          <w:sz w:val="24"/>
          <w:highlight w:val="none"/>
        </w:rPr>
        <w:t>天内向用户提供一套完整的使用说明书、操作手册、维修及安装说明等文件。另一套完整上述资料应在交货时随货包装提供给用户，这些费用应计入投标价中。</w:t>
      </w:r>
    </w:p>
    <w:p w14:paraId="694FE83D"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2</w:t>
      </w:r>
      <w:r>
        <w:rPr>
          <w:rFonts w:ascii="宋体" w:hAnsi="宋体"/>
          <w:color w:val="auto"/>
          <w:sz w:val="24"/>
          <w:highlight w:val="none"/>
        </w:rPr>
        <w:t>.</w:t>
      </w:r>
      <w:r>
        <w:rPr>
          <w:rFonts w:hint="eastAsia" w:ascii="宋体" w:hAnsi="宋体"/>
          <w:color w:val="auto"/>
          <w:sz w:val="24"/>
          <w:highlight w:val="none"/>
        </w:rPr>
        <w:t>4</w:t>
      </w:r>
      <w:r>
        <w:rPr>
          <w:rFonts w:ascii="宋体" w:hAnsi="宋体"/>
          <w:color w:val="auto"/>
          <w:sz w:val="24"/>
          <w:highlight w:val="none"/>
        </w:rPr>
        <w:t xml:space="preserve"> </w:t>
      </w:r>
      <w:r>
        <w:rPr>
          <w:rFonts w:hint="eastAsia" w:ascii="宋体" w:hAnsi="宋体"/>
          <w:color w:val="auto"/>
          <w:sz w:val="24"/>
          <w:highlight w:val="none"/>
        </w:rPr>
        <w:t xml:space="preserve"> 关于设备的安装调试，如果有必要的安装准备条件，卖方应在合同生效后一个月内向买方提出详细的要求或计划。安装调试的费用应计入投标价中，并应单独列出，供评标使用。</w:t>
      </w:r>
    </w:p>
    <w:p w14:paraId="4CC3E18B">
      <w:pPr>
        <w:spacing w:line="360" w:lineRule="auto"/>
        <w:ind w:left="554" w:hanging="554" w:hangingChars="231"/>
        <w:rPr>
          <w:rFonts w:ascii="宋体" w:hAnsi="宋体"/>
          <w:color w:val="auto"/>
          <w:sz w:val="24"/>
          <w:highlight w:val="none"/>
        </w:rPr>
      </w:pPr>
      <w:r>
        <w:rPr>
          <w:rFonts w:ascii="宋体" w:hAnsi="宋体"/>
          <w:color w:val="auto"/>
          <w:sz w:val="24"/>
          <w:highlight w:val="none"/>
        </w:rPr>
        <w:t>2.</w:t>
      </w:r>
      <w:r>
        <w:rPr>
          <w:rFonts w:hint="eastAsia" w:ascii="宋体" w:hAnsi="宋体"/>
          <w:color w:val="auto"/>
          <w:sz w:val="24"/>
          <w:highlight w:val="none"/>
        </w:rPr>
        <w:t>5  制造厂家提供的培训指的是涉及货物的基本原理、操作使用和保养维修等有关内容的培训。培训教员的培训费、旅费、食宿费等费用和培训场地费及培训资料费均应由卖方支付。</w:t>
      </w:r>
    </w:p>
    <w:p w14:paraId="4E05FDE7">
      <w:pPr>
        <w:adjustRightInd w:val="0"/>
        <w:snapToGrid w:val="0"/>
        <w:spacing w:line="360" w:lineRule="auto"/>
        <w:rPr>
          <w:rFonts w:hint="eastAsia" w:ascii="宋体" w:hAnsi="宋体"/>
          <w:b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b/>
          <w:color w:val="auto"/>
          <w:sz w:val="28"/>
          <w:szCs w:val="28"/>
          <w:highlight w:val="none"/>
        </w:rPr>
        <w:t>3、工作条件</w:t>
      </w:r>
    </w:p>
    <w:p w14:paraId="23755E3E">
      <w:pPr>
        <w:spacing w:after="312" w:afterLines="100" w:line="360" w:lineRule="auto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除非在技术规格中另有说明，所有仪器、设备和系统都应符合下列要求：</w:t>
      </w:r>
      <w:r>
        <w:rPr>
          <w:rFonts w:ascii="宋体" w:hAnsi="宋体"/>
          <w:color w:val="auto"/>
          <w:sz w:val="24"/>
          <w:highlight w:val="none"/>
        </w:rPr>
        <w:t xml:space="preserve"> </w:t>
      </w:r>
    </w:p>
    <w:p w14:paraId="0BB0D195"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3.1  适于在气温为摄氏</w:t>
      </w:r>
      <w:r>
        <w:rPr>
          <w:rFonts w:ascii="宋体" w:hAnsi="宋体"/>
          <w:b/>
          <w:color w:val="auto"/>
          <w:sz w:val="24"/>
          <w:highlight w:val="none"/>
        </w:rPr>
        <w:t>-40</w:t>
      </w:r>
      <w:r>
        <w:rPr>
          <w:rFonts w:hint="eastAsia" w:ascii="宋体" w:hAnsi="宋体"/>
          <w:b/>
          <w:color w:val="auto"/>
          <w:sz w:val="24"/>
          <w:highlight w:val="none"/>
        </w:rPr>
        <w:t>℃～＋</w:t>
      </w:r>
      <w:r>
        <w:rPr>
          <w:rFonts w:ascii="宋体" w:hAnsi="宋体"/>
          <w:b/>
          <w:color w:val="auto"/>
          <w:sz w:val="24"/>
          <w:highlight w:val="none"/>
        </w:rPr>
        <w:t>50</w:t>
      </w:r>
      <w:r>
        <w:rPr>
          <w:rFonts w:hint="eastAsia" w:ascii="宋体" w:hAnsi="宋体"/>
          <w:b/>
          <w:color w:val="auto"/>
          <w:sz w:val="24"/>
          <w:highlight w:val="none"/>
        </w:rPr>
        <w:t>℃</w:t>
      </w:r>
      <w:r>
        <w:rPr>
          <w:rFonts w:hint="eastAsia" w:ascii="宋体" w:hAnsi="宋体"/>
          <w:color w:val="auto"/>
          <w:sz w:val="24"/>
          <w:highlight w:val="none"/>
        </w:rPr>
        <w:t>和相对湿度≤</w:t>
      </w:r>
      <w:r>
        <w:rPr>
          <w:rFonts w:ascii="宋体" w:hAnsi="宋体"/>
          <w:b/>
          <w:color w:val="auto"/>
          <w:sz w:val="24"/>
          <w:highlight w:val="none"/>
        </w:rPr>
        <w:t>90</w:t>
      </w:r>
      <w:r>
        <w:rPr>
          <w:rFonts w:hint="eastAsia" w:ascii="宋体" w:hAnsi="宋体"/>
          <w:b/>
          <w:color w:val="auto"/>
          <w:sz w:val="24"/>
          <w:highlight w:val="none"/>
        </w:rPr>
        <w:t>％</w:t>
      </w:r>
      <w:r>
        <w:rPr>
          <w:rFonts w:hint="eastAsia" w:ascii="宋体" w:hAnsi="宋体"/>
          <w:color w:val="auto"/>
          <w:sz w:val="24"/>
          <w:highlight w:val="none"/>
        </w:rPr>
        <w:t>的环境条件下运输和贮存。</w:t>
      </w:r>
    </w:p>
    <w:p w14:paraId="186FCCD7"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3.2  适于在电源</w:t>
      </w:r>
      <w:r>
        <w:rPr>
          <w:rFonts w:ascii="宋体" w:hAnsi="宋体"/>
          <w:b/>
          <w:color w:val="auto"/>
          <w:sz w:val="24"/>
          <w:highlight w:val="none"/>
        </w:rPr>
        <w:t>220V</w:t>
      </w:r>
      <w:r>
        <w:rPr>
          <w:rFonts w:hint="eastAsia" w:ascii="宋体" w:hAnsi="宋体"/>
          <w:b/>
          <w:color w:val="auto"/>
          <w:sz w:val="24"/>
          <w:highlight w:val="none"/>
        </w:rPr>
        <w:t>（</w:t>
      </w:r>
      <w:r>
        <w:rPr>
          <w:rFonts w:ascii="宋体" w:hAnsi="宋体"/>
          <w:b/>
          <w:color w:val="auto"/>
          <w:sz w:val="24"/>
          <w:highlight w:val="none"/>
        </w:rPr>
        <w:sym w:font="Symbol" w:char="F0B1"/>
      </w:r>
      <w:r>
        <w:rPr>
          <w:rFonts w:ascii="宋体" w:hAnsi="宋体"/>
          <w:b/>
          <w:color w:val="auto"/>
          <w:sz w:val="24"/>
          <w:highlight w:val="none"/>
        </w:rPr>
        <w:t>10</w:t>
      </w:r>
      <w:r>
        <w:rPr>
          <w:rFonts w:hint="eastAsia" w:ascii="宋体" w:hAnsi="宋体"/>
          <w:b/>
          <w:color w:val="auto"/>
          <w:sz w:val="24"/>
          <w:highlight w:val="none"/>
        </w:rPr>
        <w:t>％）</w:t>
      </w:r>
      <w:r>
        <w:rPr>
          <w:rFonts w:ascii="宋体" w:hAnsi="宋体"/>
          <w:b/>
          <w:color w:val="auto"/>
          <w:sz w:val="24"/>
          <w:highlight w:val="none"/>
        </w:rPr>
        <w:t>/50Hz</w:t>
      </w:r>
      <w:r>
        <w:rPr>
          <w:rFonts w:hint="eastAsia" w:ascii="宋体" w:hAnsi="宋体"/>
          <w:color w:val="auto"/>
          <w:sz w:val="24"/>
          <w:highlight w:val="none"/>
        </w:rPr>
        <w:t>、气温摄氏</w:t>
      </w:r>
      <w:r>
        <w:rPr>
          <w:rFonts w:hint="eastAsia" w:ascii="宋体" w:hAnsi="宋体"/>
          <w:b/>
          <w:color w:val="auto"/>
          <w:sz w:val="24"/>
          <w:highlight w:val="none"/>
        </w:rPr>
        <w:t>+1</w:t>
      </w:r>
      <w:r>
        <w:rPr>
          <w:rFonts w:ascii="宋体" w:hAnsi="宋体"/>
          <w:b/>
          <w:color w:val="auto"/>
          <w:sz w:val="24"/>
          <w:highlight w:val="none"/>
        </w:rPr>
        <w:t>5</w:t>
      </w:r>
      <w:r>
        <w:rPr>
          <w:rFonts w:hint="eastAsia" w:ascii="宋体" w:hAnsi="宋体"/>
          <w:b/>
          <w:color w:val="auto"/>
          <w:sz w:val="24"/>
          <w:highlight w:val="none"/>
        </w:rPr>
        <w:t>℃～＋3</w:t>
      </w:r>
      <w:r>
        <w:rPr>
          <w:rFonts w:ascii="宋体" w:hAnsi="宋体"/>
          <w:b/>
          <w:color w:val="auto"/>
          <w:sz w:val="24"/>
          <w:highlight w:val="none"/>
        </w:rPr>
        <w:t>0</w:t>
      </w:r>
      <w:r>
        <w:rPr>
          <w:rFonts w:hint="eastAsia" w:ascii="宋体" w:hAnsi="宋体"/>
          <w:b/>
          <w:color w:val="auto"/>
          <w:sz w:val="24"/>
          <w:highlight w:val="none"/>
        </w:rPr>
        <w:t>℃</w:t>
      </w:r>
      <w:r>
        <w:rPr>
          <w:rFonts w:hint="eastAsia" w:ascii="宋体" w:hAnsi="宋体"/>
          <w:color w:val="auto"/>
          <w:sz w:val="24"/>
          <w:highlight w:val="none"/>
        </w:rPr>
        <w:t>和相对湿度小于</w:t>
      </w:r>
      <w:r>
        <w:rPr>
          <w:rFonts w:ascii="宋体" w:hAnsi="宋体"/>
          <w:b/>
          <w:color w:val="auto"/>
          <w:sz w:val="24"/>
          <w:highlight w:val="none"/>
        </w:rPr>
        <w:t>8</w:t>
      </w:r>
      <w:r>
        <w:rPr>
          <w:rFonts w:hint="eastAsia" w:ascii="宋体" w:hAnsi="宋体"/>
          <w:b/>
          <w:color w:val="auto"/>
          <w:sz w:val="24"/>
          <w:highlight w:val="none"/>
        </w:rPr>
        <w:t>0％</w:t>
      </w:r>
      <w:r>
        <w:rPr>
          <w:rFonts w:hint="eastAsia" w:ascii="宋体" w:hAnsi="宋体"/>
          <w:color w:val="auto"/>
          <w:sz w:val="24"/>
          <w:highlight w:val="none"/>
        </w:rPr>
        <w:t>的环境条件下运行。</w:t>
      </w:r>
      <w:r>
        <w:rPr>
          <w:rFonts w:hint="eastAsia" w:ascii="宋体" w:hAnsi="宋体"/>
          <w:b/>
          <w:color w:val="auto"/>
          <w:sz w:val="24"/>
          <w:highlight w:val="none"/>
        </w:rPr>
        <w:t>能够连续正常工作。</w:t>
      </w:r>
    </w:p>
    <w:p w14:paraId="16B990A8"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3.3  配置符合中国有关标准要求的插头，如果没有这样的插头，则需</w:t>
      </w:r>
      <w:r>
        <w:rPr>
          <w:rFonts w:hint="eastAsia" w:ascii="宋体"/>
          <w:color w:val="auto"/>
          <w:sz w:val="24"/>
          <w:highlight w:val="none"/>
        </w:rPr>
        <w:t>提供适当的转</w:t>
      </w:r>
      <w:r>
        <w:rPr>
          <w:rFonts w:hint="eastAsia" w:ascii="宋体" w:hAnsi="宋体"/>
          <w:color w:val="auto"/>
          <w:sz w:val="24"/>
          <w:highlight w:val="none"/>
        </w:rPr>
        <w:t>换插座。</w:t>
      </w:r>
    </w:p>
    <w:p w14:paraId="5046B041"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3.4  如产品达不到上述要求，投标人应注明其偏差。如仪器设备需要特殊工作条件（如水、电源、磁场强度、温度、湿度、动强度等）投标人应在投标书中加以说明。</w:t>
      </w:r>
    </w:p>
    <w:p w14:paraId="6738BCFE">
      <w:pPr>
        <w:rPr>
          <w:rFonts w:hint="eastAsia" w:eastAsia="黑体"/>
          <w:b/>
          <w:bCs/>
          <w:color w:val="auto"/>
          <w:kern w:val="44"/>
          <w:sz w:val="24"/>
          <w:highlight w:val="none"/>
        </w:rPr>
      </w:pPr>
    </w:p>
    <w:p w14:paraId="0718C402">
      <w:pPr>
        <w:adjustRightInd w:val="0"/>
        <w:snapToGrid w:val="0"/>
        <w:spacing w:line="360" w:lineRule="auto"/>
        <w:rPr>
          <w:rFonts w:hint="eastAsia" w:ascii="宋体" w:hAnsi="宋体"/>
          <w:b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b/>
          <w:color w:val="auto"/>
          <w:sz w:val="28"/>
          <w:szCs w:val="28"/>
          <w:highlight w:val="none"/>
        </w:rPr>
        <w:t>4、验收标准</w:t>
      </w:r>
    </w:p>
    <w:p w14:paraId="320EED78">
      <w:pPr>
        <w:spacing w:after="312" w:afterLines="100" w:line="360" w:lineRule="auto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除非另有说明，所有仪器、设备和系统按下列要求进行验收：</w:t>
      </w:r>
      <w:r>
        <w:rPr>
          <w:rFonts w:ascii="宋体" w:hAnsi="宋体"/>
          <w:color w:val="auto"/>
          <w:sz w:val="24"/>
          <w:highlight w:val="none"/>
        </w:rPr>
        <w:t xml:space="preserve"> </w:t>
      </w:r>
    </w:p>
    <w:p w14:paraId="698CC204"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4.1  仪器设备运抵安装现场后，买方将与卖方共同开箱验收</w:t>
      </w:r>
      <w:r>
        <w:rPr>
          <w:rFonts w:ascii="宋体" w:hAnsi="宋体"/>
          <w:color w:val="auto"/>
          <w:sz w:val="24"/>
          <w:highlight w:val="none"/>
        </w:rPr>
        <w:t xml:space="preserve">, </w:t>
      </w:r>
      <w:r>
        <w:rPr>
          <w:rFonts w:hint="eastAsia" w:ascii="宋体" w:hAnsi="宋体"/>
          <w:color w:val="auto"/>
          <w:sz w:val="24"/>
          <w:highlight w:val="none"/>
        </w:rPr>
        <w:t>如卖方届时不派人来</w:t>
      </w:r>
      <w:r>
        <w:rPr>
          <w:rFonts w:ascii="宋体" w:hAnsi="宋体"/>
          <w:color w:val="auto"/>
          <w:sz w:val="24"/>
          <w:highlight w:val="none"/>
        </w:rPr>
        <w:t xml:space="preserve">, </w:t>
      </w:r>
      <w:r>
        <w:rPr>
          <w:rFonts w:hint="eastAsia" w:ascii="宋体" w:hAnsi="宋体"/>
          <w:color w:val="auto"/>
          <w:sz w:val="24"/>
          <w:highlight w:val="none"/>
        </w:rPr>
        <w:t>则验收结果应以买方的验收报告为最终验收结果。验收时发现短缺、破损</w:t>
      </w:r>
      <w:r>
        <w:rPr>
          <w:rFonts w:ascii="宋体" w:hAnsi="宋体"/>
          <w:color w:val="auto"/>
          <w:sz w:val="24"/>
          <w:highlight w:val="none"/>
        </w:rPr>
        <w:t xml:space="preserve">, </w:t>
      </w:r>
      <w:r>
        <w:rPr>
          <w:rFonts w:hint="eastAsia" w:ascii="宋体" w:hAnsi="宋体"/>
          <w:color w:val="auto"/>
          <w:sz w:val="24"/>
          <w:highlight w:val="none"/>
        </w:rPr>
        <w:t>买方有权要求卖方负责更换。</w:t>
      </w:r>
    </w:p>
    <w:p w14:paraId="438139B2"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 xml:space="preserve">4.2  </w:t>
      </w:r>
      <w:r>
        <w:rPr>
          <w:rFonts w:hint="eastAsia"/>
          <w:color w:val="auto"/>
          <w:sz w:val="24"/>
          <w:highlight w:val="none"/>
        </w:rPr>
        <w:t>验收标准以中标人提供的投标文件中所列的指标为准（该指标应不低于招标文件所要求的指标）。任何虚假指标响应一经发现即作废标，卖方必须承担由此给买方带来的一切经济损失和其它相关责任。</w:t>
      </w:r>
    </w:p>
    <w:p w14:paraId="1832471F"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 xml:space="preserve">4.3  </w:t>
      </w:r>
      <w:r>
        <w:rPr>
          <w:rFonts w:ascii="宋体" w:hAnsi="宋体"/>
          <w:color w:val="auto"/>
          <w:sz w:val="24"/>
          <w:highlight w:val="none"/>
        </w:rPr>
        <w:t>验收由采购人、中标人及相关人员依国家有关标准、合同及有关附件要求进行，验收完毕由采购人及中标人在验收报告上签名。</w:t>
      </w:r>
    </w:p>
    <w:p w14:paraId="1D60EE0F">
      <w:pPr>
        <w:pStyle w:val="2"/>
        <w:spacing w:line="360" w:lineRule="auto"/>
        <w:ind w:left="410" w:hanging="410" w:hangingChars="170"/>
        <w:rPr>
          <w:rFonts w:hint="eastAsia" w:hAnsi="宋体"/>
          <w:b/>
          <w:color w:val="auto"/>
          <w:sz w:val="24"/>
          <w:szCs w:val="24"/>
          <w:highlight w:val="none"/>
        </w:rPr>
      </w:pPr>
    </w:p>
    <w:p w14:paraId="4B757FC9">
      <w:pPr>
        <w:adjustRightInd w:val="0"/>
        <w:snapToGrid w:val="0"/>
        <w:spacing w:line="360" w:lineRule="auto"/>
        <w:rPr>
          <w:rFonts w:hint="eastAsia" w:hAnsi="宋体"/>
          <w:b/>
          <w:color w:val="auto"/>
          <w:sz w:val="24"/>
          <w:highlight w:val="none"/>
        </w:rPr>
      </w:pPr>
      <w:r>
        <w:rPr>
          <w:rFonts w:hint="eastAsia"/>
          <w:b/>
          <w:bCs/>
          <w:color w:val="auto"/>
          <w:sz w:val="24"/>
          <w:highlight w:val="none"/>
        </w:rPr>
        <w:t>5、本采购需求书中标注“*”号技术条款的为实质性要求，不满足其投标将视为无效投标被拒绝。</w:t>
      </w:r>
    </w:p>
    <w:p w14:paraId="4E668A92">
      <w:pPr>
        <w:adjustRightInd w:val="0"/>
        <w:snapToGrid w:val="0"/>
        <w:spacing w:line="360" w:lineRule="auto"/>
        <w:rPr>
          <w:rFonts w:hint="eastAsia" w:ascii="宋体" w:hAnsi="宋体"/>
          <w:b/>
          <w:color w:val="auto"/>
          <w:sz w:val="24"/>
          <w:highlight w:val="none"/>
        </w:rPr>
      </w:pPr>
    </w:p>
    <w:p w14:paraId="60BC52FF">
      <w:pPr>
        <w:adjustRightInd w:val="0"/>
        <w:snapToGrid w:val="0"/>
        <w:spacing w:line="360" w:lineRule="auto"/>
        <w:rPr>
          <w:rFonts w:hint="eastAsia" w:ascii="宋体" w:hAnsi="宋体"/>
          <w:b/>
          <w:color w:val="auto"/>
          <w:sz w:val="24"/>
          <w:highlight w:val="none"/>
        </w:rPr>
      </w:pPr>
      <w:r>
        <w:rPr>
          <w:rFonts w:hint="eastAsia" w:ascii="宋体" w:hAnsi="宋体"/>
          <w:b/>
          <w:color w:val="auto"/>
          <w:sz w:val="24"/>
          <w:highlight w:val="none"/>
        </w:rPr>
        <w:t>6、如在具体规格要求中有本总则不一致之处，以具体规格中的要求为准。</w:t>
      </w:r>
    </w:p>
    <w:p w14:paraId="6895F976">
      <w:pPr>
        <w:adjustRightInd w:val="0"/>
        <w:snapToGrid w:val="0"/>
        <w:spacing w:line="360" w:lineRule="auto"/>
        <w:rPr>
          <w:rFonts w:ascii="宋体" w:hAnsi="宋体"/>
          <w:b/>
          <w:color w:val="auto"/>
          <w:sz w:val="28"/>
          <w:szCs w:val="28"/>
          <w:highlight w:val="none"/>
        </w:rPr>
      </w:pPr>
      <w:r>
        <w:rPr>
          <w:rFonts w:ascii="宋体" w:hAnsi="宋体"/>
          <w:b/>
          <w:color w:val="auto"/>
          <w:sz w:val="28"/>
          <w:highlight w:val="none"/>
        </w:rPr>
        <w:br w:type="page"/>
      </w:r>
      <w:r>
        <w:rPr>
          <w:rFonts w:hint="eastAsia" w:ascii="宋体" w:hAnsi="宋体"/>
          <w:b/>
          <w:color w:val="auto"/>
          <w:sz w:val="28"/>
          <w:szCs w:val="28"/>
          <w:highlight w:val="none"/>
        </w:rPr>
        <w:t>二、具体规格要求</w:t>
      </w:r>
    </w:p>
    <w:p w14:paraId="42CB381B">
      <w:pPr>
        <w:pStyle w:val="5"/>
        <w:spacing w:line="360" w:lineRule="auto"/>
        <w:ind w:left="0" w:right="0" w:firstLine="0"/>
        <w:jc w:val="left"/>
        <w:rPr>
          <w:rFonts w:ascii="宋体" w:hAnsi="宋体" w:cs="仿宋"/>
          <w:b/>
          <w:color w:val="auto"/>
          <w:sz w:val="24"/>
          <w:szCs w:val="24"/>
          <w:highlight w:val="none"/>
        </w:rPr>
      </w:pPr>
      <w:r>
        <w:rPr>
          <w:rFonts w:hint="eastAsia" w:ascii="宋体" w:hAnsi="宋体" w:cs="仿宋"/>
          <w:b/>
          <w:color w:val="auto"/>
          <w:sz w:val="24"/>
          <w:szCs w:val="24"/>
          <w:highlight w:val="none"/>
        </w:rPr>
        <w:t>（</w:t>
      </w:r>
      <w:r>
        <w:rPr>
          <w:rFonts w:ascii="宋体" w:hAnsi="宋体" w:cs="仿宋"/>
          <w:b/>
          <w:color w:val="auto"/>
          <w:sz w:val="24"/>
          <w:szCs w:val="24"/>
          <w:highlight w:val="none"/>
        </w:rPr>
        <w:t>一</w:t>
      </w:r>
      <w:r>
        <w:rPr>
          <w:rFonts w:hint="eastAsia" w:ascii="宋体" w:hAnsi="宋体" w:cs="仿宋"/>
          <w:b/>
          <w:color w:val="auto"/>
          <w:sz w:val="24"/>
          <w:szCs w:val="24"/>
          <w:highlight w:val="none"/>
        </w:rPr>
        <w:t>）</w:t>
      </w:r>
      <w:r>
        <w:rPr>
          <w:rFonts w:ascii="宋体" w:hAnsi="宋体" w:cs="仿宋"/>
          <w:b/>
          <w:color w:val="auto"/>
          <w:sz w:val="24"/>
          <w:szCs w:val="24"/>
          <w:highlight w:val="none"/>
        </w:rPr>
        <w:t>、采购项目用途说明：</w:t>
      </w:r>
    </w:p>
    <w:p w14:paraId="6F19B226">
      <w:pPr>
        <w:spacing w:line="360" w:lineRule="auto"/>
        <w:ind w:firstLine="420"/>
        <w:jc w:val="left"/>
        <w:rPr>
          <w:rFonts w:ascii="宋体" w:hAnsi="宋体" w:cs="仿宋"/>
          <w:color w:val="auto"/>
          <w:sz w:val="24"/>
          <w:highlight w:val="none"/>
        </w:rPr>
      </w:pPr>
      <w:r>
        <w:rPr>
          <w:rFonts w:ascii="宋体" w:hAnsi="宋体" w:cs="仿宋"/>
          <w:color w:val="auto"/>
          <w:sz w:val="24"/>
          <w:highlight w:val="none"/>
        </w:rPr>
        <w:t>根据超导高电荷态ECR离子源的结构，其超导线圈采用液氦浸泡的方式长期保持4.2K低温环境，维持离子源的超导状态。</w:t>
      </w:r>
    </w:p>
    <w:p w14:paraId="075AD68A">
      <w:pPr>
        <w:numPr>
          <w:ilvl w:val="0"/>
          <w:numId w:val="1"/>
        </w:numPr>
        <w:spacing w:line="360" w:lineRule="auto"/>
        <w:jc w:val="left"/>
        <w:rPr>
          <w:rFonts w:ascii="宋体" w:hAnsi="宋体" w:cs="仿宋"/>
          <w:b/>
          <w:color w:val="auto"/>
          <w:sz w:val="24"/>
          <w:highlight w:val="none"/>
        </w:rPr>
      </w:pPr>
      <w:r>
        <w:rPr>
          <w:rFonts w:ascii="宋体" w:hAnsi="宋体" w:cs="仿宋"/>
          <w:b/>
          <w:color w:val="auto"/>
          <w:sz w:val="24"/>
          <w:highlight w:val="none"/>
        </w:rPr>
        <w:t>招标数量：5000 L。</w:t>
      </w:r>
    </w:p>
    <w:p w14:paraId="2AEA28E4">
      <w:pPr>
        <w:numPr>
          <w:ilvl w:val="0"/>
          <w:numId w:val="1"/>
        </w:numPr>
        <w:spacing w:line="360" w:lineRule="auto"/>
        <w:rPr>
          <w:rFonts w:ascii="宋体" w:hAnsi="宋体" w:cs="仿宋"/>
          <w:b/>
          <w:color w:val="auto"/>
          <w:sz w:val="24"/>
          <w:highlight w:val="none"/>
        </w:rPr>
      </w:pPr>
      <w:r>
        <w:rPr>
          <w:rFonts w:ascii="宋体" w:hAnsi="宋体" w:cs="仿宋"/>
          <w:b/>
          <w:color w:val="auto"/>
          <w:sz w:val="24"/>
          <w:highlight w:val="none"/>
        </w:rPr>
        <w:t>规格、技术要求及参数：</w:t>
      </w:r>
    </w:p>
    <w:p w14:paraId="504E3372">
      <w:pPr>
        <w:spacing w:line="360" w:lineRule="auto"/>
        <w:jc w:val="left"/>
        <w:rPr>
          <w:rFonts w:ascii="宋体" w:hAnsi="宋体" w:cs="仿宋"/>
          <w:bCs/>
          <w:color w:val="auto"/>
          <w:sz w:val="24"/>
          <w:highlight w:val="none"/>
        </w:rPr>
      </w:pPr>
      <w:r>
        <w:rPr>
          <w:rFonts w:ascii="宋体" w:hAnsi="宋体" w:cs="仿宋"/>
          <w:bCs/>
          <w:color w:val="auto"/>
          <w:sz w:val="24"/>
          <w:highlight w:val="none"/>
        </w:rPr>
        <w:t>*2.1.纯度：≥99.999%。</w:t>
      </w:r>
    </w:p>
    <w:p w14:paraId="01BDF687">
      <w:pPr>
        <w:spacing w:line="360" w:lineRule="auto"/>
        <w:jc w:val="left"/>
        <w:rPr>
          <w:rFonts w:ascii="宋体" w:hAnsi="宋体" w:cs="仿宋"/>
          <w:bCs/>
          <w:color w:val="auto"/>
          <w:sz w:val="24"/>
          <w:highlight w:val="none"/>
        </w:rPr>
      </w:pPr>
      <w:r>
        <w:rPr>
          <w:rFonts w:ascii="宋体" w:hAnsi="宋体" w:cs="仿宋"/>
          <w:bCs/>
          <w:color w:val="auto"/>
          <w:sz w:val="24"/>
          <w:highlight w:val="none"/>
        </w:rPr>
        <w:t>#2.2.容器：采用Cryofab 500 L液氦杜瓦充装。容器由乙方免费提供使用,空杜瓦由下次供货时运回,如此循环反复；如果采供其他厂家杜瓦，其输液接口配套的输液管规格必须满足直径19 mm，并且必须提供配套的接口附件给甲方免费使用。</w:t>
      </w:r>
    </w:p>
    <w:p w14:paraId="25F1C42C">
      <w:pPr>
        <w:spacing w:line="360" w:lineRule="auto"/>
        <w:jc w:val="left"/>
        <w:rPr>
          <w:rFonts w:ascii="宋体" w:hAnsi="宋体" w:cs="仿宋"/>
          <w:bCs/>
          <w:color w:val="auto"/>
          <w:sz w:val="24"/>
          <w:highlight w:val="none"/>
        </w:rPr>
      </w:pPr>
      <w:r>
        <w:rPr>
          <w:rFonts w:ascii="宋体" w:hAnsi="宋体" w:cs="仿宋"/>
          <w:bCs/>
          <w:color w:val="auto"/>
          <w:sz w:val="24"/>
          <w:highlight w:val="none"/>
        </w:rPr>
        <w:t>#2.3.运输：乙方负责运输至甲方指定地点，费用由乙方承担；甲方至少发货前5天通知乙方；逐批次发货，每批液氦不少于1000L。</w:t>
      </w:r>
    </w:p>
    <w:p w14:paraId="3046997B">
      <w:pPr>
        <w:spacing w:line="360" w:lineRule="auto"/>
        <w:jc w:val="left"/>
        <w:rPr>
          <w:rFonts w:ascii="宋体" w:hAnsi="宋体" w:cs="仿宋"/>
          <w:bCs/>
          <w:color w:val="auto"/>
          <w:sz w:val="24"/>
          <w:highlight w:val="none"/>
        </w:rPr>
      </w:pPr>
      <w:r>
        <w:rPr>
          <w:rFonts w:ascii="宋体" w:hAnsi="宋体" w:cs="仿宋"/>
          <w:bCs/>
          <w:color w:val="auto"/>
          <w:sz w:val="24"/>
          <w:highlight w:val="none"/>
        </w:rPr>
        <w:t>#2.4.计量方式：采用对充装容器称重并减去容器净重的方式计量，乙方送货时可以自带称重设备。单位换算：1kg液氦=8.019L，运输费用和运输损失由乙方负担。</w:t>
      </w:r>
    </w:p>
    <w:p w14:paraId="0E707F4A">
      <w:pPr>
        <w:spacing w:line="360" w:lineRule="auto"/>
        <w:jc w:val="left"/>
        <w:rPr>
          <w:rFonts w:ascii="宋体" w:hAnsi="宋体" w:cs="仿宋"/>
          <w:color w:val="auto"/>
          <w:sz w:val="24"/>
          <w:highlight w:val="none"/>
        </w:rPr>
      </w:pPr>
      <w:r>
        <w:rPr>
          <w:rFonts w:ascii="宋体" w:hAnsi="宋体" w:cs="仿宋"/>
          <w:bCs/>
          <w:color w:val="auto"/>
          <w:sz w:val="24"/>
          <w:highlight w:val="none"/>
        </w:rPr>
        <w:t>#2.5.乙方发货时提供正规的发货单或者签收单，内容包含但不限于杜瓦编号、空重、总重等信息。</w:t>
      </w:r>
    </w:p>
    <w:p w14:paraId="0C639054">
      <w:pPr>
        <w:spacing w:line="360" w:lineRule="auto"/>
        <w:jc w:val="left"/>
        <w:rPr>
          <w:rFonts w:ascii="宋体" w:hAnsi="宋体" w:cs="仿宋"/>
          <w:b/>
          <w:color w:val="auto"/>
          <w:sz w:val="24"/>
          <w:highlight w:val="none"/>
        </w:rPr>
      </w:pPr>
      <w:r>
        <w:rPr>
          <w:rFonts w:ascii="宋体" w:hAnsi="宋体" w:cs="仿宋"/>
          <w:b/>
          <w:color w:val="auto"/>
          <w:sz w:val="24"/>
          <w:highlight w:val="none"/>
        </w:rPr>
        <w:t>3.技术服务条款：</w:t>
      </w:r>
    </w:p>
    <w:p w14:paraId="2B11AC77">
      <w:pPr>
        <w:spacing w:line="360" w:lineRule="auto"/>
        <w:jc w:val="left"/>
        <w:rPr>
          <w:rFonts w:ascii="宋体" w:hAnsi="宋体" w:cs="仿宋"/>
          <w:b/>
          <w:bCs/>
          <w:color w:val="auto"/>
          <w:sz w:val="24"/>
          <w:highlight w:val="none"/>
        </w:rPr>
      </w:pPr>
      <w:r>
        <w:rPr>
          <w:rFonts w:ascii="宋体" w:hAnsi="宋体" w:cs="仿宋"/>
          <w:bCs/>
          <w:color w:val="auto"/>
          <w:sz w:val="24"/>
          <w:highlight w:val="none"/>
        </w:rPr>
        <w:t>无</w:t>
      </w:r>
    </w:p>
    <w:p w14:paraId="35FFD4E3">
      <w:pPr>
        <w:spacing w:line="360" w:lineRule="auto"/>
        <w:rPr>
          <w:rFonts w:ascii="宋体" w:hAnsi="宋体" w:cs="仿宋"/>
          <w:b/>
          <w:bCs/>
          <w:color w:val="auto"/>
          <w:sz w:val="24"/>
          <w:highlight w:val="none"/>
        </w:rPr>
      </w:pPr>
      <w:r>
        <w:rPr>
          <w:rFonts w:hint="eastAsia" w:ascii="宋体" w:hAnsi="宋体" w:cs="仿宋"/>
          <w:b/>
          <w:bCs/>
          <w:color w:val="auto"/>
          <w:sz w:val="24"/>
          <w:highlight w:val="none"/>
        </w:rPr>
        <w:t>（二）、</w:t>
      </w:r>
      <w:r>
        <w:rPr>
          <w:rFonts w:ascii="宋体" w:hAnsi="宋体" w:cs="仿宋"/>
          <w:b/>
          <w:bCs/>
          <w:color w:val="auto"/>
          <w:sz w:val="24"/>
          <w:highlight w:val="none"/>
        </w:rPr>
        <w:t>采购标的需执行的国家相关标准、行业标准、地方标准或者其他标准、规范：</w:t>
      </w:r>
    </w:p>
    <w:p w14:paraId="7B7A46B7">
      <w:pPr>
        <w:spacing w:line="360" w:lineRule="auto"/>
        <w:rPr>
          <w:rFonts w:ascii="宋体" w:hAnsi="宋体" w:cs="仿宋"/>
          <w:color w:val="auto"/>
          <w:sz w:val="24"/>
          <w:highlight w:val="none"/>
        </w:rPr>
      </w:pPr>
      <w:r>
        <w:rPr>
          <w:rFonts w:ascii="宋体" w:hAnsi="宋体" w:cs="仿宋"/>
          <w:color w:val="auto"/>
          <w:sz w:val="24"/>
          <w:highlight w:val="none"/>
        </w:rPr>
        <w:t>完全符合《中华人民共和国国家标准GB/T</w:t>
      </w:r>
      <w:r>
        <w:rPr>
          <w:rFonts w:hint="eastAsia" w:ascii="宋体" w:hAnsi="宋体" w:cs="仿宋"/>
          <w:color w:val="auto"/>
          <w:sz w:val="24"/>
          <w:highlight w:val="none"/>
          <w:lang w:val="en-US" w:eastAsia="zh-CN"/>
        </w:rPr>
        <w:t xml:space="preserve"> </w:t>
      </w:r>
      <w:r>
        <w:rPr>
          <w:rFonts w:ascii="宋体" w:hAnsi="宋体" w:cs="仿宋"/>
          <w:color w:val="auto"/>
          <w:sz w:val="24"/>
          <w:highlight w:val="none"/>
        </w:rPr>
        <w:t>4844-20</w:t>
      </w:r>
      <w:r>
        <w:rPr>
          <w:rFonts w:hint="eastAsia" w:ascii="宋体" w:hAnsi="宋体" w:cs="仿宋"/>
          <w:color w:val="auto"/>
          <w:sz w:val="24"/>
          <w:highlight w:val="none"/>
          <w:lang w:val="en-US" w:eastAsia="zh-CN"/>
        </w:rPr>
        <w:t>25</w:t>
      </w:r>
      <w:r>
        <w:rPr>
          <w:rFonts w:ascii="宋体" w:hAnsi="宋体" w:cs="仿宋"/>
          <w:color w:val="auto"/>
          <w:sz w:val="24"/>
          <w:highlight w:val="none"/>
        </w:rPr>
        <w:t>》中对高纯氦气的技术要求。</w:t>
      </w:r>
    </w:p>
    <w:p w14:paraId="37C15526">
      <w:pPr>
        <w:spacing w:line="360" w:lineRule="auto"/>
        <w:rPr>
          <w:rFonts w:ascii="宋体" w:hAnsi="宋体" w:cs="仿宋"/>
          <w:b/>
          <w:bCs/>
          <w:color w:val="auto"/>
          <w:sz w:val="24"/>
          <w:highlight w:val="none"/>
        </w:rPr>
      </w:pPr>
      <w:bookmarkStart w:id="0" w:name="_Toc289948435"/>
      <w:bookmarkStart w:id="1" w:name="_Toc258264687"/>
      <w:bookmarkStart w:id="2" w:name="_Toc403258042"/>
      <w:bookmarkStart w:id="3" w:name="_Toc230357439"/>
      <w:r>
        <w:rPr>
          <w:rFonts w:hint="eastAsia" w:ascii="宋体" w:hAnsi="宋体" w:cs="仿宋"/>
          <w:b/>
          <w:bCs/>
          <w:color w:val="auto"/>
          <w:sz w:val="24"/>
          <w:highlight w:val="none"/>
        </w:rPr>
        <w:t>（三）、</w:t>
      </w:r>
      <w:r>
        <w:rPr>
          <w:rFonts w:ascii="宋体" w:hAnsi="宋体" w:cs="仿宋"/>
          <w:b/>
          <w:bCs/>
          <w:color w:val="auto"/>
          <w:sz w:val="24"/>
          <w:highlight w:val="none"/>
        </w:rPr>
        <w:t>售后服务要求：</w:t>
      </w:r>
    </w:p>
    <w:p w14:paraId="58BDCB88">
      <w:pPr>
        <w:spacing w:line="360" w:lineRule="auto"/>
        <w:rPr>
          <w:rFonts w:ascii="宋体" w:hAnsi="宋体" w:cs="仿宋"/>
          <w:b/>
          <w:bCs/>
          <w:color w:val="auto"/>
          <w:sz w:val="24"/>
          <w:highlight w:val="none"/>
        </w:rPr>
      </w:pPr>
      <w:r>
        <w:rPr>
          <w:rFonts w:ascii="宋体" w:hAnsi="宋体" w:cs="仿宋"/>
          <w:b/>
          <w:bCs/>
          <w:color w:val="auto"/>
          <w:sz w:val="24"/>
          <w:highlight w:val="none"/>
        </w:rPr>
        <w:t>无。</w:t>
      </w:r>
    </w:p>
    <w:p w14:paraId="57113C0D">
      <w:pPr>
        <w:spacing w:line="360" w:lineRule="auto"/>
        <w:rPr>
          <w:rFonts w:ascii="宋体" w:hAnsi="宋体" w:cs="仿宋"/>
          <w:b/>
          <w:bCs/>
          <w:color w:val="auto"/>
          <w:sz w:val="24"/>
          <w:highlight w:val="none"/>
        </w:rPr>
      </w:pPr>
      <w:r>
        <w:rPr>
          <w:rFonts w:hint="eastAsia" w:ascii="宋体" w:hAnsi="宋体" w:cs="仿宋"/>
          <w:b/>
          <w:bCs/>
          <w:color w:val="auto"/>
          <w:sz w:val="24"/>
          <w:highlight w:val="none"/>
        </w:rPr>
        <w:t>（四）、</w:t>
      </w:r>
      <w:r>
        <w:rPr>
          <w:rFonts w:ascii="宋体" w:hAnsi="宋体" w:cs="仿宋"/>
          <w:b/>
          <w:bCs/>
          <w:color w:val="auto"/>
          <w:sz w:val="24"/>
          <w:highlight w:val="none"/>
        </w:rPr>
        <w:t>验收标准：</w:t>
      </w:r>
    </w:p>
    <w:p w14:paraId="099C2C68">
      <w:pPr>
        <w:spacing w:line="360" w:lineRule="auto"/>
        <w:rPr>
          <w:rFonts w:ascii="宋体" w:hAnsi="宋体" w:cs="仿宋"/>
          <w:b/>
          <w:bCs/>
          <w:color w:val="auto"/>
          <w:sz w:val="24"/>
          <w:highlight w:val="none"/>
        </w:rPr>
      </w:pPr>
      <w:r>
        <w:rPr>
          <w:rFonts w:ascii="宋体" w:hAnsi="宋体" w:cs="仿宋"/>
          <w:b/>
          <w:bCs/>
          <w:color w:val="auto"/>
          <w:sz w:val="24"/>
          <w:highlight w:val="none"/>
        </w:rPr>
        <w:t>4.1.设备应该在到达1天内开始安装验收工作。验收工作由甲乙双方共同协作完成，验收合格后，双方签署接货单或者签收单。</w:t>
      </w:r>
    </w:p>
    <w:p w14:paraId="48376489">
      <w:pPr>
        <w:spacing w:line="360" w:lineRule="auto"/>
        <w:rPr>
          <w:rFonts w:ascii="宋体" w:hAnsi="宋体" w:cs="仿宋"/>
          <w:b/>
          <w:bCs/>
          <w:color w:val="auto"/>
          <w:sz w:val="24"/>
          <w:highlight w:val="none"/>
        </w:rPr>
      </w:pPr>
      <w:r>
        <w:rPr>
          <w:rFonts w:ascii="宋体" w:hAnsi="宋体" w:cs="仿宋"/>
          <w:b/>
          <w:bCs/>
          <w:color w:val="auto"/>
          <w:sz w:val="24"/>
          <w:highlight w:val="none"/>
        </w:rPr>
        <w:t>4.2.验收标准以第2条“规格、技术要求及参数”为准，所有指标验收必须由用户确认。</w:t>
      </w:r>
    </w:p>
    <w:bookmarkEnd w:id="0"/>
    <w:bookmarkEnd w:id="1"/>
    <w:bookmarkEnd w:id="2"/>
    <w:bookmarkEnd w:id="3"/>
    <w:p w14:paraId="1DEC05B4">
      <w:pPr>
        <w:spacing w:line="360" w:lineRule="auto"/>
        <w:jc w:val="left"/>
        <w:rPr>
          <w:rFonts w:ascii="宋体" w:hAnsi="宋体" w:cs="仿宋"/>
          <w:b/>
          <w:bCs/>
          <w:color w:val="auto"/>
          <w:sz w:val="24"/>
          <w:highlight w:val="none"/>
        </w:rPr>
      </w:pPr>
      <w:r>
        <w:rPr>
          <w:rFonts w:hint="eastAsia" w:ascii="宋体" w:hAnsi="宋体" w:cs="仿宋"/>
          <w:b/>
          <w:bCs/>
          <w:color w:val="auto"/>
          <w:sz w:val="24"/>
          <w:highlight w:val="none"/>
        </w:rPr>
        <w:t>（五）、</w:t>
      </w:r>
      <w:r>
        <w:rPr>
          <w:rFonts w:ascii="宋体" w:hAnsi="宋体" w:cs="仿宋"/>
          <w:b/>
          <w:bCs/>
          <w:color w:val="auto"/>
          <w:sz w:val="24"/>
          <w:highlight w:val="none"/>
        </w:rPr>
        <w:t>交货地点：</w:t>
      </w:r>
    </w:p>
    <w:p w14:paraId="022A82C0">
      <w:pPr>
        <w:spacing w:line="360" w:lineRule="auto"/>
        <w:ind w:firstLine="480" w:firstLineChars="200"/>
        <w:jc w:val="left"/>
        <w:rPr>
          <w:rFonts w:ascii="宋体" w:hAnsi="宋体" w:cs="仿宋"/>
          <w:color w:val="auto"/>
          <w:sz w:val="24"/>
          <w:highlight w:val="none"/>
        </w:rPr>
      </w:pPr>
      <w:r>
        <w:rPr>
          <w:rFonts w:ascii="宋体" w:hAnsi="宋体" w:cs="仿宋"/>
          <w:color w:val="auto"/>
          <w:sz w:val="24"/>
          <w:highlight w:val="none"/>
        </w:rPr>
        <w:t>甘肃省兰州市城关区雁北路99号中科院重离子束应用研究中心或甲方指定地点。</w:t>
      </w:r>
    </w:p>
    <w:p w14:paraId="5525B3B2">
      <w:pPr>
        <w:numPr>
          <w:ilvl w:val="0"/>
          <w:numId w:val="2"/>
        </w:numPr>
        <w:spacing w:line="360" w:lineRule="auto"/>
        <w:rPr>
          <w:rFonts w:ascii="宋体" w:hAnsi="宋体" w:cs="仿宋"/>
          <w:b/>
          <w:bCs/>
          <w:color w:val="auto"/>
          <w:sz w:val="24"/>
          <w:highlight w:val="none"/>
        </w:rPr>
      </w:pPr>
      <w:r>
        <w:rPr>
          <w:rFonts w:ascii="宋体" w:hAnsi="宋体" w:cs="仿宋"/>
          <w:b/>
          <w:bCs/>
          <w:color w:val="auto"/>
          <w:sz w:val="24"/>
          <w:highlight w:val="none"/>
        </w:rPr>
        <w:t>交货期：合同签订后360日内交货完毕。</w:t>
      </w:r>
    </w:p>
    <w:p w14:paraId="45AA6D7F">
      <w:bookmarkStart w:id="4" w:name="_GoBack"/>
      <w:bookmarkEnd w:id="4"/>
    </w:p>
    <w:sectPr>
      <w:pgSz w:w="11906" w:h="16838"/>
      <w:pgMar w:top="1418" w:right="1418" w:bottom="1418" w:left="1418" w:header="851" w:footer="992" w:gutter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Bookman Old Style">
    <w:panose1 w:val="02050604050505020204"/>
    <w:charset w:val="00"/>
    <w:family w:val="roman"/>
    <w:pitch w:val="default"/>
    <w:sig w:usb0="00000287" w:usb1="00000000" w:usb2="00000000" w:usb3="00000000" w:csb0="2000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52FEB78"/>
    <w:multiLevelType w:val="singleLevel"/>
    <w:tmpl w:val="F52FEB78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24754ED2"/>
    <w:multiLevelType w:val="multilevel"/>
    <w:tmpl w:val="24754ED2"/>
    <w:lvl w:ilvl="0" w:tentative="0">
      <w:start w:val="1"/>
      <w:numFmt w:val="decimal"/>
      <w:lvlText w:val="%1."/>
      <w:lvlJc w:val="left"/>
      <w:pPr>
        <w:ind w:left="425" w:hanging="425"/>
      </w:pPr>
    </w:lvl>
    <w:lvl w:ilvl="1" w:tentative="0">
      <w:start w:val="1"/>
      <w:numFmt w:val="decimal"/>
      <w:lvlText w:val="%1.%2."/>
      <w:lvlJc w:val="left"/>
      <w:pPr>
        <w:ind w:left="567" w:hanging="567"/>
      </w:pPr>
    </w:lvl>
    <w:lvl w:ilvl="2" w:tentative="0">
      <w:start w:val="1"/>
      <w:numFmt w:val="decimal"/>
      <w:lvlText w:val="%1.%2.%3."/>
      <w:lvlJc w:val="left"/>
      <w:pPr>
        <w:ind w:left="709" w:hanging="709"/>
      </w:pPr>
    </w:lvl>
    <w:lvl w:ilvl="3" w:tentative="0">
      <w:start w:val="1"/>
      <w:numFmt w:val="decimal"/>
      <w:lvlText w:val="%1.%2.%3.%4."/>
      <w:lvlJc w:val="left"/>
      <w:pPr>
        <w:ind w:left="851" w:hanging="851"/>
      </w:pPr>
    </w:lvl>
    <w:lvl w:ilvl="4" w:tentative="0">
      <w:start w:val="1"/>
      <w:numFmt w:val="decimal"/>
      <w:lvlText w:val="%1.%2.%3.%4.%5."/>
      <w:lvlJc w:val="left"/>
      <w:pPr>
        <w:ind w:left="992" w:hanging="992"/>
      </w:pPr>
    </w:lvl>
    <w:lvl w:ilvl="5" w:tentative="0">
      <w:start w:val="1"/>
      <w:numFmt w:val="decimal"/>
      <w:lvlText w:val="%1.%2.%3.%4.%5.%6."/>
      <w:lvlJc w:val="left"/>
      <w:pPr>
        <w:ind w:left="1134" w:hanging="1134"/>
      </w:pPr>
    </w:lvl>
    <w:lvl w:ilvl="6" w:tentative="0">
      <w:start w:val="1"/>
      <w:numFmt w:val="decimal"/>
      <w:lvlText w:val="%1.%2.%3.%4.%5.%6.%7."/>
      <w:lvlJc w:val="left"/>
      <w:pPr>
        <w:ind w:left="1276" w:hanging="1276"/>
      </w:p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</w:lvl>
    <w:lvl w:ilvl="8" w:tentative="0">
      <w:start w:val="1"/>
      <w:numFmt w:val="decimal"/>
      <w:lvlText w:val="%1.%2.%3.%4.%5.%6.%7.%8.%9."/>
      <w:lvlJc w:val="left"/>
      <w:pPr>
        <w:ind w:left="1559" w:hanging="1559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11184D"/>
    <w:rsid w:val="3F111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99"/>
    <w:rPr>
      <w:rFonts w:ascii="宋体" w:hAnsi="Courier New"/>
      <w:szCs w:val="20"/>
    </w:rPr>
  </w:style>
  <w:style w:type="paragraph" w:styleId="5">
    <w:name w:val="List Paragraph"/>
    <w:basedOn w:val="1"/>
    <w:qFormat/>
    <w:uiPriority w:val="34"/>
    <w:pPr>
      <w:ind w:left="205" w:right="169" w:firstLine="655"/>
    </w:pPr>
    <w:rPr>
      <w:rFonts w:ascii="Cambria" w:hAnsi="Cambria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2026-07-06T10:58:00Z</dcterms:created>
  <dc:creator>顾嘉宁</dc:creator>
  <cp:lastModifiedBy>顾嘉宁</cp:lastModifiedBy>
  <dcterms:modified xsi:type="dcterms:W3CDTF">2026-07-06T10:59:16Z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74E6276C08194FB9ADC4AD3EC157CAFF_11</vt:lpwstr>
  </property>
  <property fmtid="{D5CDD505-2E9C-101B-9397-08002B2CF9AE}" pid="4" name="KSOTemplateDocerSaveRecord">
    <vt:lpwstr>eyJoZGlkIjoiM2FjYTIzZGUxMzUyYzc4ODFmYzlkNjk5ZTYzODY2NmIiLCJ1c2VySWQiOiIxNjYzMDExNDYwIn0=</vt:lpwstr>
  </property>
</Properties>
</file>