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502340">
      <w:pPr>
        <w:adjustRightInd w:val="0"/>
        <w:snapToGrid w:val="0"/>
        <w:spacing w:after="156" w:afterLines="50" w:line="360" w:lineRule="auto"/>
        <w:jc w:val="center"/>
        <w:outlineLvl w:val="0"/>
        <w:rPr>
          <w:rFonts w:eastAsia="黑体"/>
          <w:b/>
          <w:kern w:val="44"/>
          <w:sz w:val="48"/>
          <w:szCs w:val="20"/>
        </w:rPr>
      </w:pPr>
      <w:bookmarkStart w:id="2" w:name="_GoBack"/>
      <w:bookmarkEnd w:id="2"/>
      <w:bookmarkStart w:id="0" w:name="_Toc129880039"/>
      <w:bookmarkStart w:id="1" w:name="_Toc512937852"/>
      <w:r>
        <w:rPr>
          <w:b/>
          <w:sz w:val="30"/>
          <w:szCs w:val="30"/>
        </w:rPr>
        <w:t>第八部分 采购需求</w:t>
      </w:r>
      <w:bookmarkEnd w:id="0"/>
    </w:p>
    <w:bookmarkEnd w:id="1"/>
    <w:p w14:paraId="5D651608">
      <w:pPr>
        <w:adjustRightInd w:val="0"/>
        <w:snapToGrid w:val="0"/>
        <w:spacing w:before="156" w:beforeLines="50" w:after="156" w:afterLines="50" w:line="360" w:lineRule="auto"/>
        <w:jc w:val="center"/>
        <w:rPr>
          <w:b/>
          <w:sz w:val="24"/>
        </w:rPr>
      </w:pPr>
      <w:r>
        <w:rPr>
          <w:b/>
          <w:sz w:val="24"/>
        </w:rPr>
        <w:t>货物需求一览表</w:t>
      </w:r>
    </w:p>
    <w:p w14:paraId="0A0B0B33">
      <w:pPr>
        <w:adjustRightInd w:val="0"/>
        <w:snapToGrid w:val="0"/>
        <w:jc w:val="center"/>
        <w:rPr>
          <w:b/>
          <w:sz w:val="30"/>
          <w:szCs w:val="30"/>
        </w:rPr>
      </w:pPr>
    </w:p>
    <w:tbl>
      <w:tblPr>
        <w:tblStyle w:val="39"/>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00"/>
        <w:gridCol w:w="2897"/>
        <w:gridCol w:w="1329"/>
        <w:gridCol w:w="2470"/>
      </w:tblGrid>
      <w:tr w14:paraId="44B0B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900" w:type="dxa"/>
            <w:vAlign w:val="center"/>
          </w:tcPr>
          <w:p w14:paraId="64B95248">
            <w:pPr>
              <w:jc w:val="center"/>
              <w:rPr>
                <w:sz w:val="24"/>
              </w:rPr>
            </w:pPr>
            <w:r>
              <w:rPr>
                <w:sz w:val="24"/>
              </w:rPr>
              <w:t>包号</w:t>
            </w:r>
          </w:p>
        </w:tc>
        <w:tc>
          <w:tcPr>
            <w:tcW w:w="2897" w:type="dxa"/>
            <w:vAlign w:val="center"/>
          </w:tcPr>
          <w:p w14:paraId="34967B2F">
            <w:pPr>
              <w:jc w:val="center"/>
              <w:rPr>
                <w:sz w:val="24"/>
              </w:rPr>
            </w:pPr>
            <w:r>
              <w:rPr>
                <w:sz w:val="24"/>
              </w:rPr>
              <w:t>货物名称</w:t>
            </w:r>
          </w:p>
        </w:tc>
        <w:tc>
          <w:tcPr>
            <w:tcW w:w="1329" w:type="dxa"/>
            <w:vAlign w:val="center"/>
          </w:tcPr>
          <w:p w14:paraId="0C008A8D">
            <w:pPr>
              <w:jc w:val="center"/>
              <w:rPr>
                <w:sz w:val="24"/>
              </w:rPr>
            </w:pPr>
            <w:r>
              <w:rPr>
                <w:sz w:val="24"/>
              </w:rPr>
              <w:t>数量</w:t>
            </w:r>
          </w:p>
        </w:tc>
        <w:tc>
          <w:tcPr>
            <w:tcW w:w="2470" w:type="dxa"/>
            <w:vAlign w:val="center"/>
          </w:tcPr>
          <w:p w14:paraId="0BCFF9D9">
            <w:pPr>
              <w:jc w:val="center"/>
              <w:rPr>
                <w:sz w:val="24"/>
              </w:rPr>
            </w:pPr>
            <w:r>
              <w:rPr>
                <w:sz w:val="24"/>
              </w:rPr>
              <w:t>是否接受进口</w:t>
            </w:r>
          </w:p>
        </w:tc>
      </w:tr>
      <w:tr w14:paraId="4BFA1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900" w:type="dxa"/>
            <w:vMerge w:val="restart"/>
            <w:vAlign w:val="center"/>
          </w:tcPr>
          <w:p w14:paraId="4DD26176">
            <w:pPr>
              <w:jc w:val="center"/>
              <w:rPr>
                <w:sz w:val="24"/>
              </w:rPr>
            </w:pPr>
            <w:r>
              <w:rPr>
                <w:rFonts w:hint="eastAsia"/>
                <w:sz w:val="24"/>
              </w:rPr>
              <w:t>1</w:t>
            </w:r>
          </w:p>
        </w:tc>
        <w:tc>
          <w:tcPr>
            <w:tcW w:w="2897" w:type="dxa"/>
            <w:vAlign w:val="center"/>
          </w:tcPr>
          <w:p w14:paraId="4E070D9D">
            <w:pPr>
              <w:jc w:val="center"/>
              <w:rPr>
                <w:sz w:val="24"/>
              </w:rPr>
            </w:pPr>
            <w:r>
              <w:rPr>
                <w:rFonts w:hint="eastAsia"/>
                <w:sz w:val="24"/>
              </w:rPr>
              <w:t>原位拉曼光谱仪</w:t>
            </w:r>
          </w:p>
        </w:tc>
        <w:tc>
          <w:tcPr>
            <w:tcW w:w="1329" w:type="dxa"/>
            <w:vAlign w:val="center"/>
          </w:tcPr>
          <w:p w14:paraId="7FA21154">
            <w:pPr>
              <w:jc w:val="center"/>
              <w:rPr>
                <w:sz w:val="24"/>
              </w:rPr>
            </w:pPr>
            <w:r>
              <w:rPr>
                <w:sz w:val="24"/>
              </w:rPr>
              <w:t>1套</w:t>
            </w:r>
          </w:p>
        </w:tc>
        <w:tc>
          <w:tcPr>
            <w:tcW w:w="2470" w:type="dxa"/>
            <w:vAlign w:val="center"/>
          </w:tcPr>
          <w:p w14:paraId="077FC6CB">
            <w:pPr>
              <w:jc w:val="center"/>
              <w:rPr>
                <w:sz w:val="24"/>
              </w:rPr>
            </w:pPr>
            <w:r>
              <w:rPr>
                <w:sz w:val="24"/>
              </w:rPr>
              <w:t>否</w:t>
            </w:r>
          </w:p>
        </w:tc>
      </w:tr>
      <w:tr w14:paraId="48CE6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900" w:type="dxa"/>
            <w:vMerge w:val="continue"/>
            <w:vAlign w:val="center"/>
          </w:tcPr>
          <w:p w14:paraId="53FB1BEF">
            <w:pPr>
              <w:jc w:val="center"/>
              <w:rPr>
                <w:sz w:val="24"/>
              </w:rPr>
            </w:pPr>
          </w:p>
        </w:tc>
        <w:tc>
          <w:tcPr>
            <w:tcW w:w="2897" w:type="dxa"/>
            <w:vAlign w:val="center"/>
          </w:tcPr>
          <w:p w14:paraId="3677495A">
            <w:pPr>
              <w:jc w:val="center"/>
              <w:rPr>
                <w:sz w:val="24"/>
              </w:rPr>
            </w:pPr>
            <w:r>
              <w:rPr>
                <w:rFonts w:hint="eastAsia"/>
                <w:sz w:val="24"/>
              </w:rPr>
              <w:t>热重-红外-气质联用仪</w:t>
            </w:r>
          </w:p>
        </w:tc>
        <w:tc>
          <w:tcPr>
            <w:tcW w:w="1329" w:type="dxa"/>
            <w:vAlign w:val="center"/>
          </w:tcPr>
          <w:p w14:paraId="276F53C2">
            <w:pPr>
              <w:jc w:val="center"/>
              <w:rPr>
                <w:sz w:val="24"/>
              </w:rPr>
            </w:pPr>
            <w:r>
              <w:rPr>
                <w:sz w:val="24"/>
              </w:rPr>
              <w:t>1套</w:t>
            </w:r>
          </w:p>
        </w:tc>
        <w:tc>
          <w:tcPr>
            <w:tcW w:w="2470" w:type="dxa"/>
            <w:vAlign w:val="center"/>
          </w:tcPr>
          <w:p w14:paraId="77B66434">
            <w:pPr>
              <w:jc w:val="center"/>
              <w:rPr>
                <w:sz w:val="24"/>
              </w:rPr>
            </w:pPr>
            <w:r>
              <w:rPr>
                <w:sz w:val="24"/>
              </w:rPr>
              <w:t>否</w:t>
            </w:r>
          </w:p>
        </w:tc>
      </w:tr>
      <w:tr w14:paraId="10953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900" w:type="dxa"/>
            <w:vMerge w:val="continue"/>
            <w:vAlign w:val="center"/>
          </w:tcPr>
          <w:p w14:paraId="68D7BCA4">
            <w:pPr>
              <w:jc w:val="center"/>
              <w:rPr>
                <w:sz w:val="24"/>
              </w:rPr>
            </w:pPr>
          </w:p>
        </w:tc>
        <w:tc>
          <w:tcPr>
            <w:tcW w:w="2897" w:type="dxa"/>
            <w:vAlign w:val="center"/>
          </w:tcPr>
          <w:p w14:paraId="627FCD97">
            <w:pPr>
              <w:jc w:val="center"/>
              <w:rPr>
                <w:sz w:val="24"/>
              </w:rPr>
            </w:pPr>
            <w:r>
              <w:rPr>
                <w:rFonts w:hint="eastAsia"/>
                <w:sz w:val="24"/>
              </w:rPr>
              <w:t>全自动平行多肽合成仪</w:t>
            </w:r>
          </w:p>
        </w:tc>
        <w:tc>
          <w:tcPr>
            <w:tcW w:w="1329" w:type="dxa"/>
            <w:vAlign w:val="center"/>
          </w:tcPr>
          <w:p w14:paraId="340741D2">
            <w:pPr>
              <w:jc w:val="center"/>
              <w:rPr>
                <w:sz w:val="24"/>
              </w:rPr>
            </w:pPr>
            <w:r>
              <w:rPr>
                <w:sz w:val="24"/>
              </w:rPr>
              <w:t>1套</w:t>
            </w:r>
          </w:p>
        </w:tc>
        <w:tc>
          <w:tcPr>
            <w:tcW w:w="2470" w:type="dxa"/>
            <w:vAlign w:val="center"/>
          </w:tcPr>
          <w:p w14:paraId="10B9D895">
            <w:pPr>
              <w:jc w:val="center"/>
              <w:rPr>
                <w:sz w:val="24"/>
              </w:rPr>
            </w:pPr>
            <w:r>
              <w:rPr>
                <w:sz w:val="24"/>
              </w:rPr>
              <w:t>否</w:t>
            </w:r>
          </w:p>
        </w:tc>
      </w:tr>
    </w:tbl>
    <w:p w14:paraId="29B11379">
      <w:pPr>
        <w:adjustRightInd w:val="0"/>
        <w:snapToGrid w:val="0"/>
        <w:jc w:val="center"/>
        <w:rPr>
          <w:b/>
          <w:sz w:val="30"/>
          <w:szCs w:val="30"/>
        </w:rPr>
      </w:pPr>
    </w:p>
    <w:p w14:paraId="4474A682">
      <w:pPr>
        <w:adjustRightInd w:val="0"/>
        <w:snapToGrid w:val="0"/>
        <w:jc w:val="center"/>
        <w:rPr>
          <w:b/>
          <w:sz w:val="30"/>
          <w:szCs w:val="30"/>
        </w:rPr>
      </w:pPr>
    </w:p>
    <w:p w14:paraId="4A249E0C">
      <w:pPr>
        <w:rPr>
          <w:sz w:val="24"/>
        </w:rPr>
      </w:pPr>
      <w:r>
        <w:rPr>
          <w:sz w:val="24"/>
        </w:rPr>
        <w:t>注：投标人须对上述投标内容中完整的一包进行投标，不完整的投标将视为非响应性投标予以拒绝。</w:t>
      </w:r>
    </w:p>
    <w:p w14:paraId="79CFFD82">
      <w:pPr>
        <w:adjustRightInd w:val="0"/>
        <w:snapToGrid w:val="0"/>
        <w:rPr>
          <w:szCs w:val="21"/>
        </w:rPr>
      </w:pPr>
    </w:p>
    <w:p w14:paraId="3B3D6B8C">
      <w:pPr>
        <w:adjustRightInd w:val="0"/>
        <w:snapToGrid w:val="0"/>
        <w:rPr>
          <w:szCs w:val="21"/>
        </w:rPr>
      </w:pPr>
    </w:p>
    <w:p w14:paraId="3E53B57F">
      <w:pPr>
        <w:adjustRightInd w:val="0"/>
        <w:snapToGrid w:val="0"/>
        <w:rPr>
          <w:szCs w:val="21"/>
        </w:rPr>
      </w:pPr>
    </w:p>
    <w:p w14:paraId="2C66A899">
      <w:pPr>
        <w:adjustRightInd w:val="0"/>
        <w:snapToGrid w:val="0"/>
        <w:spacing w:line="360" w:lineRule="auto"/>
        <w:rPr>
          <w:b/>
          <w:sz w:val="28"/>
          <w:szCs w:val="28"/>
        </w:rPr>
      </w:pPr>
      <w:r>
        <w:rPr>
          <w:b/>
          <w:sz w:val="30"/>
          <w:szCs w:val="30"/>
        </w:rPr>
        <w:br w:type="page"/>
      </w:r>
      <w:r>
        <w:rPr>
          <w:b/>
          <w:sz w:val="28"/>
          <w:szCs w:val="28"/>
        </w:rPr>
        <w:t>一、总则</w:t>
      </w:r>
    </w:p>
    <w:p w14:paraId="795EB8CA">
      <w:pPr>
        <w:adjustRightInd w:val="0"/>
        <w:snapToGrid w:val="0"/>
        <w:spacing w:line="360" w:lineRule="auto"/>
        <w:rPr>
          <w:b/>
          <w:sz w:val="28"/>
          <w:szCs w:val="28"/>
        </w:rPr>
      </w:pPr>
      <w:r>
        <w:rPr>
          <w:b/>
          <w:sz w:val="28"/>
          <w:szCs w:val="28"/>
        </w:rPr>
        <w:t>1、投标要求</w:t>
      </w:r>
    </w:p>
    <w:p w14:paraId="41E41AF6">
      <w:pPr>
        <w:spacing w:line="360" w:lineRule="auto"/>
        <w:ind w:left="554" w:hanging="554" w:hangingChars="231"/>
        <w:rPr>
          <w:sz w:val="24"/>
        </w:rPr>
      </w:pPr>
      <w:r>
        <w:rPr>
          <w:sz w:val="24"/>
        </w:rPr>
        <w:t>1.1  投标人在准备投标书时，务必在所提供的商品的技术规格文件中，标明型号、商标名称、目录号。</w:t>
      </w:r>
    </w:p>
    <w:p w14:paraId="66EB39B0">
      <w:pPr>
        <w:spacing w:line="360" w:lineRule="auto"/>
        <w:ind w:left="554" w:hanging="554" w:hangingChars="231"/>
        <w:rPr>
          <w:sz w:val="24"/>
        </w:rPr>
      </w:pPr>
      <w:r>
        <w:rPr>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9110B79">
      <w:pPr>
        <w:spacing w:line="360" w:lineRule="auto"/>
        <w:ind w:left="554" w:hanging="554" w:hangingChars="231"/>
        <w:rPr>
          <w:sz w:val="24"/>
        </w:rPr>
      </w:pPr>
      <w:r>
        <w:rPr>
          <w:sz w:val="24"/>
        </w:rPr>
        <w:t>1.3  投标人提供的产品样本，必须是“原件”而非复印件，图表、简图、电路图以及印刷电路板图等都应清晰易读。</w:t>
      </w:r>
    </w:p>
    <w:p w14:paraId="4DF2086F">
      <w:pPr>
        <w:spacing w:line="360" w:lineRule="auto"/>
        <w:ind w:left="554" w:hanging="554" w:hangingChars="231"/>
        <w:rPr>
          <w:sz w:val="24"/>
        </w:rPr>
      </w:pPr>
      <w:r>
        <w:rPr>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93A5E3E">
      <w:pPr>
        <w:adjustRightInd w:val="0"/>
        <w:snapToGrid w:val="0"/>
        <w:spacing w:line="360" w:lineRule="auto"/>
        <w:rPr>
          <w:b/>
          <w:sz w:val="28"/>
          <w:szCs w:val="28"/>
        </w:rPr>
      </w:pPr>
      <w:r>
        <w:rPr>
          <w:b/>
          <w:sz w:val="28"/>
          <w:szCs w:val="28"/>
        </w:rPr>
        <w:t>2、评标标准</w:t>
      </w:r>
    </w:p>
    <w:p w14:paraId="2F3E5B26">
      <w:pPr>
        <w:spacing w:line="360" w:lineRule="auto"/>
        <w:ind w:left="554" w:hanging="554" w:hangingChars="231"/>
        <w:rPr>
          <w:sz w:val="24"/>
        </w:rPr>
      </w:pPr>
      <w:r>
        <w:rPr>
          <w:sz w:val="24"/>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063B867E">
      <w:pPr>
        <w:spacing w:line="360" w:lineRule="auto"/>
        <w:ind w:left="554" w:hanging="554" w:hangingChars="231"/>
        <w:rPr>
          <w:sz w:val="24"/>
        </w:rPr>
      </w:pPr>
      <w:r>
        <w:rPr>
          <w:sz w:val="24"/>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w:t>
      </w:r>
    </w:p>
    <w:p w14:paraId="34A34067">
      <w:pPr>
        <w:spacing w:line="360" w:lineRule="auto"/>
        <w:ind w:left="554" w:hanging="554" w:hangingChars="231"/>
        <w:rPr>
          <w:sz w:val="24"/>
        </w:rPr>
      </w:pPr>
      <w:r>
        <w:rPr>
          <w:sz w:val="24"/>
        </w:rPr>
        <w:t>2.3  为便于用户进行接收仪器的准备工作，卖方应在合同生效后</w:t>
      </w:r>
      <w:r>
        <w:rPr>
          <w:b/>
          <w:sz w:val="24"/>
        </w:rPr>
        <w:t>60</w:t>
      </w:r>
      <w:r>
        <w:rPr>
          <w:sz w:val="24"/>
        </w:rPr>
        <w:t>天内向用户提供一套完整的使用说明书、操作手册、维修及安装说明等文件。另一套完整上述资料应在交货时随货包装提供给用户，这些费用应计入投标价中。</w:t>
      </w:r>
    </w:p>
    <w:p w14:paraId="75EA84D5">
      <w:pPr>
        <w:spacing w:line="360" w:lineRule="auto"/>
        <w:ind w:left="554" w:hanging="554" w:hangingChars="231"/>
        <w:rPr>
          <w:sz w:val="24"/>
        </w:rPr>
      </w:pPr>
      <w:r>
        <w:rPr>
          <w:sz w:val="24"/>
        </w:rPr>
        <w:t>2.4  关于设备的安装调试，如果有必要的安装准备条件，卖方应在合同生效后一个月内向买方提出详细的要求或计划。安装调试的费用应计入投标价中，并应单独列出，供评标使用。</w:t>
      </w:r>
    </w:p>
    <w:p w14:paraId="40F6E247">
      <w:pPr>
        <w:spacing w:line="360" w:lineRule="auto"/>
        <w:ind w:left="554" w:hanging="554" w:hangingChars="231"/>
        <w:rPr>
          <w:sz w:val="24"/>
        </w:rPr>
      </w:pPr>
      <w:r>
        <w:rPr>
          <w:sz w:val="24"/>
        </w:rPr>
        <w:t>2.5  制造厂家提供的培训指的是涉及货物的基本原理、操作使用和保养维修等有关内容的培训。培训教员的培训费、旅费、食宿费等费用和培训场地费及培训资料费均应由卖方支付。</w:t>
      </w:r>
    </w:p>
    <w:p w14:paraId="0DF89105">
      <w:pPr>
        <w:rPr>
          <w:rFonts w:eastAsia="黑体"/>
          <w:b/>
          <w:bCs/>
          <w:kern w:val="44"/>
          <w:sz w:val="24"/>
        </w:rPr>
      </w:pPr>
    </w:p>
    <w:p w14:paraId="13E016C7">
      <w:pPr>
        <w:adjustRightInd w:val="0"/>
        <w:snapToGrid w:val="0"/>
        <w:spacing w:line="360" w:lineRule="auto"/>
        <w:rPr>
          <w:b/>
          <w:sz w:val="28"/>
          <w:szCs w:val="28"/>
        </w:rPr>
      </w:pPr>
      <w:r>
        <w:rPr>
          <w:rFonts w:hint="eastAsia"/>
          <w:b/>
          <w:sz w:val="28"/>
          <w:szCs w:val="28"/>
        </w:rPr>
        <w:t>3</w:t>
      </w:r>
      <w:r>
        <w:rPr>
          <w:b/>
          <w:sz w:val="28"/>
          <w:szCs w:val="28"/>
        </w:rPr>
        <w:t>、验收标准</w:t>
      </w:r>
    </w:p>
    <w:p w14:paraId="16D69F58">
      <w:pPr>
        <w:spacing w:after="312" w:afterLines="100" w:line="360" w:lineRule="auto"/>
        <w:rPr>
          <w:sz w:val="24"/>
        </w:rPr>
      </w:pPr>
      <w:r>
        <w:rPr>
          <w:sz w:val="24"/>
        </w:rPr>
        <w:t xml:space="preserve">除非在技术规格中另有说明，所有仪器、设备和系统按下列要求进行验收： </w:t>
      </w:r>
    </w:p>
    <w:p w14:paraId="42ABBEA6">
      <w:pPr>
        <w:spacing w:line="360" w:lineRule="auto"/>
        <w:ind w:left="554" w:hanging="554" w:hangingChars="231"/>
        <w:rPr>
          <w:sz w:val="24"/>
        </w:rPr>
      </w:pPr>
      <w:r>
        <w:rPr>
          <w:rFonts w:hint="eastAsia"/>
          <w:sz w:val="24"/>
        </w:rPr>
        <w:t>3</w:t>
      </w:r>
      <w:r>
        <w:rPr>
          <w:sz w:val="24"/>
        </w:rPr>
        <w:t>.1  仪器设备运抵安装现场后，买方将与卖方共同开箱验收, 如卖方届时不派人来, 则验收结果应以买方的验收报告为最终验收结果。验收时发现短缺、破损, 买方有权要求卖方负责更换。</w:t>
      </w:r>
    </w:p>
    <w:p w14:paraId="51BDAB50">
      <w:pPr>
        <w:spacing w:line="360" w:lineRule="auto"/>
        <w:ind w:left="554" w:hanging="554" w:hangingChars="231"/>
        <w:rPr>
          <w:sz w:val="24"/>
        </w:rPr>
      </w:pPr>
      <w:r>
        <w:rPr>
          <w:rFonts w:hint="eastAsia"/>
          <w:sz w:val="24"/>
        </w:rPr>
        <w:t>3</w:t>
      </w:r>
      <w:r>
        <w:rPr>
          <w:sz w:val="24"/>
        </w:rPr>
        <w:t>.2  验收标准以中标人提供的投标文件中所列的指标为准（该指标应不低于招标文件所要求的指标）。任何虚假指标响应一经发现即作废标，卖方必须承担由此给买方带来的一切经济损失和其它相关责任。</w:t>
      </w:r>
    </w:p>
    <w:p w14:paraId="74620110">
      <w:pPr>
        <w:spacing w:line="360" w:lineRule="auto"/>
        <w:ind w:left="554" w:hanging="554" w:hangingChars="231"/>
        <w:rPr>
          <w:sz w:val="24"/>
        </w:rPr>
      </w:pPr>
      <w:r>
        <w:rPr>
          <w:rFonts w:hint="eastAsia"/>
          <w:sz w:val="24"/>
        </w:rPr>
        <w:t>3</w:t>
      </w:r>
      <w:r>
        <w:rPr>
          <w:sz w:val="24"/>
        </w:rPr>
        <w:t>.3  验收由采购人、中标人及相关人员依国家有关标准、合同及有关附件要求进行，验收完毕由采购人及中标人在验收报告上签名。</w:t>
      </w:r>
    </w:p>
    <w:p w14:paraId="6ECFBD51">
      <w:pPr>
        <w:pStyle w:val="21"/>
        <w:spacing w:line="360" w:lineRule="auto"/>
        <w:ind w:left="410" w:hanging="410" w:hangingChars="170"/>
        <w:rPr>
          <w:rFonts w:ascii="Times New Roman" w:hAnsi="Times New Roman"/>
          <w:b/>
          <w:sz w:val="24"/>
          <w:szCs w:val="24"/>
        </w:rPr>
      </w:pPr>
    </w:p>
    <w:p w14:paraId="329ECC08">
      <w:pPr>
        <w:adjustRightInd w:val="0"/>
        <w:snapToGrid w:val="0"/>
        <w:spacing w:line="360" w:lineRule="auto"/>
        <w:rPr>
          <w:b/>
          <w:sz w:val="24"/>
        </w:rPr>
      </w:pPr>
      <w:r>
        <w:rPr>
          <w:rFonts w:hint="eastAsia"/>
          <w:b/>
          <w:bCs/>
          <w:sz w:val="24"/>
        </w:rPr>
        <w:t>4</w:t>
      </w:r>
      <w:r>
        <w:rPr>
          <w:b/>
          <w:bCs/>
          <w:sz w:val="24"/>
        </w:rPr>
        <w:t>、本采购需求书中标注“★”号技术条款的为实质性要求，不满足其投标将视为无效投标被拒绝。</w:t>
      </w:r>
    </w:p>
    <w:p w14:paraId="11060F46">
      <w:pPr>
        <w:adjustRightInd w:val="0"/>
        <w:snapToGrid w:val="0"/>
        <w:spacing w:line="360" w:lineRule="auto"/>
        <w:rPr>
          <w:b/>
          <w:sz w:val="24"/>
        </w:rPr>
      </w:pPr>
    </w:p>
    <w:p w14:paraId="3084A508">
      <w:pPr>
        <w:adjustRightInd w:val="0"/>
        <w:snapToGrid w:val="0"/>
        <w:spacing w:line="360" w:lineRule="auto"/>
        <w:rPr>
          <w:b/>
          <w:sz w:val="24"/>
        </w:rPr>
      </w:pPr>
      <w:r>
        <w:rPr>
          <w:rFonts w:hint="eastAsia"/>
          <w:b/>
          <w:sz w:val="24"/>
        </w:rPr>
        <w:t>5</w:t>
      </w:r>
      <w:r>
        <w:rPr>
          <w:b/>
          <w:sz w:val="24"/>
        </w:rPr>
        <w:t>、如在具体技术规格中有本总则不一致之处，以具体技术规格中的要求为准。</w:t>
      </w:r>
    </w:p>
    <w:p w14:paraId="6BBBEB03">
      <w:pPr>
        <w:adjustRightInd w:val="0"/>
        <w:snapToGrid w:val="0"/>
        <w:spacing w:line="360" w:lineRule="auto"/>
        <w:rPr>
          <w:b/>
          <w:sz w:val="28"/>
          <w:szCs w:val="28"/>
        </w:rPr>
      </w:pPr>
      <w:r>
        <w:rPr>
          <w:b/>
          <w:sz w:val="28"/>
        </w:rPr>
        <w:br w:type="page"/>
      </w:r>
      <w:r>
        <w:rPr>
          <w:b/>
          <w:sz w:val="28"/>
          <w:szCs w:val="28"/>
        </w:rPr>
        <w:t>二、具体技术规格</w:t>
      </w:r>
    </w:p>
    <w:p w14:paraId="3380F7D0">
      <w:pPr>
        <w:spacing w:line="360" w:lineRule="auto"/>
        <w:rPr>
          <w:b/>
          <w:sz w:val="24"/>
        </w:rPr>
      </w:pPr>
      <w:r>
        <w:rPr>
          <w:rFonts w:hint="eastAsia"/>
          <w:b/>
          <w:sz w:val="24"/>
        </w:rPr>
        <w:t>1.原位拉曼光谱仪</w:t>
      </w:r>
    </w:p>
    <w:p w14:paraId="6BB2CC37">
      <w:pPr>
        <w:spacing w:line="360" w:lineRule="auto"/>
        <w:rPr>
          <w:b/>
          <w:bCs/>
          <w:sz w:val="24"/>
        </w:rPr>
      </w:pPr>
      <w:r>
        <w:rPr>
          <w:rFonts w:hint="eastAsia"/>
          <w:b/>
          <w:sz w:val="24"/>
        </w:rPr>
        <w:t>1.1</w:t>
      </w:r>
      <w:r>
        <w:rPr>
          <w:rFonts w:hint="eastAsia"/>
          <w:b/>
          <w:bCs/>
          <w:sz w:val="24"/>
        </w:rPr>
        <w:t>工作条件</w:t>
      </w:r>
    </w:p>
    <w:p w14:paraId="45515949">
      <w:pPr>
        <w:spacing w:line="360" w:lineRule="auto"/>
        <w:rPr>
          <w:sz w:val="24"/>
        </w:rPr>
      </w:pPr>
      <w:r>
        <w:rPr>
          <w:rFonts w:hint="eastAsia"/>
          <w:sz w:val="24"/>
        </w:rPr>
        <w:t xml:space="preserve">（1）工作电源：单相220V，50Hz； </w:t>
      </w:r>
    </w:p>
    <w:p w14:paraId="5CDB105F">
      <w:pPr>
        <w:spacing w:line="360" w:lineRule="auto"/>
        <w:rPr>
          <w:sz w:val="24"/>
        </w:rPr>
      </w:pPr>
      <w:r>
        <w:rPr>
          <w:rFonts w:hint="eastAsia"/>
          <w:sz w:val="24"/>
        </w:rPr>
        <w:t>（2）工作环境温度：20~25</w:t>
      </w:r>
      <w:r>
        <w:rPr>
          <w:bCs/>
          <w:sz w:val="24"/>
        </w:rPr>
        <w:t>℃</w:t>
      </w:r>
      <w:r>
        <w:rPr>
          <w:rFonts w:hint="eastAsia"/>
          <w:sz w:val="24"/>
        </w:rPr>
        <w:t>；</w:t>
      </w:r>
    </w:p>
    <w:p w14:paraId="5B0FF7F5">
      <w:pPr>
        <w:spacing w:line="360" w:lineRule="auto"/>
        <w:rPr>
          <w:sz w:val="24"/>
        </w:rPr>
      </w:pPr>
      <w:r>
        <w:rPr>
          <w:rFonts w:hint="eastAsia"/>
          <w:sz w:val="24"/>
        </w:rPr>
        <w:t>（3）工作环境湿度：＜75%；</w:t>
      </w:r>
    </w:p>
    <w:p w14:paraId="5D5CB7CA">
      <w:pPr>
        <w:spacing w:line="360" w:lineRule="auto"/>
        <w:rPr>
          <w:sz w:val="24"/>
        </w:rPr>
      </w:pPr>
      <w:r>
        <w:rPr>
          <w:rFonts w:hint="eastAsia"/>
          <w:sz w:val="24"/>
        </w:rPr>
        <w:t>（4）远离风口避免设备直吹。</w:t>
      </w:r>
    </w:p>
    <w:p w14:paraId="6C2A0FD7">
      <w:pPr>
        <w:spacing w:line="360" w:lineRule="auto"/>
        <w:rPr>
          <w:b/>
          <w:bCs/>
          <w:sz w:val="24"/>
        </w:rPr>
      </w:pPr>
      <w:r>
        <w:rPr>
          <w:rFonts w:hint="eastAsia"/>
          <w:b/>
          <w:bCs/>
          <w:sz w:val="24"/>
        </w:rPr>
        <w:t xml:space="preserve">1.2仪器用途  </w:t>
      </w:r>
    </w:p>
    <w:p w14:paraId="21A838C3">
      <w:pPr>
        <w:spacing w:line="360" w:lineRule="auto"/>
        <w:ind w:firstLine="480" w:firstLineChars="200"/>
        <w:rPr>
          <w:sz w:val="24"/>
        </w:rPr>
      </w:pPr>
      <w:r>
        <w:rPr>
          <w:rFonts w:hint="eastAsia"/>
          <w:sz w:val="24"/>
        </w:rPr>
        <w:t>原位拉曼光谱仪是一种用于研究样品中分子振动结构信息与原位反应行为的分析仪器，是基于拉曼散射原理、分子振动（转动）能级跃迁和特征峰位位移等物理过程的定性定量波谱分析设备，可测定样品的一维拉曼指纹光谱、二维拉曼成像与三维立体成像及微区深度剖面谱，测量特征峰的位置、强度、半高宽与空间分布，跟踪化学反应过程中各组分特征峰强度随时间的变化，分析反应进程与转化情况，进行产物结构确证、物相与晶型判别、未知物鉴别、混合物中组分及杂质的定性定量分析、微区成分分布与应力/应变表征等，可以评估化合物的分子结构、样品纯度、结晶度与相变行为、微区化学组成以及化学反应的进程与转化率，可应用于有机合成、催化与能源材料、药物研发与晶型筛选、材料科学、原位（在线）反应监测及自动化反应筛选等领域。</w:t>
      </w:r>
    </w:p>
    <w:p w14:paraId="394C9936">
      <w:pPr>
        <w:spacing w:line="360" w:lineRule="auto"/>
        <w:rPr>
          <w:b/>
          <w:bCs/>
          <w:sz w:val="24"/>
        </w:rPr>
      </w:pPr>
      <w:r>
        <w:rPr>
          <w:rFonts w:hint="eastAsia"/>
          <w:b/>
          <w:bCs/>
          <w:sz w:val="24"/>
        </w:rPr>
        <w:t>1.3技术指标</w:t>
      </w:r>
    </w:p>
    <w:p w14:paraId="78823A2F">
      <w:pPr>
        <w:spacing w:line="360" w:lineRule="auto"/>
        <w:rPr>
          <w:sz w:val="24"/>
        </w:rPr>
      </w:pPr>
      <w:r>
        <w:rPr>
          <w:rFonts w:hint="eastAsia"/>
          <w:sz w:val="24"/>
        </w:rPr>
        <w:t>1.3.1激发波长</w:t>
      </w:r>
    </w:p>
    <w:p w14:paraId="02A53F81">
      <w:pPr>
        <w:spacing w:line="360" w:lineRule="auto"/>
        <w:rPr>
          <w:sz w:val="24"/>
        </w:rPr>
      </w:pPr>
      <w:r>
        <w:rPr>
          <w:rFonts w:hint="eastAsia"/>
          <w:sz w:val="24"/>
        </w:rPr>
        <w:t>（1）785nm拉曼激发波长：785nm单纵模固态激光器，线宽&lt;1MHz，空间模式M2&lt;1.1，波长稳定性：&lt;1pm；功率≥100mW；</w:t>
      </w:r>
    </w:p>
    <w:p w14:paraId="26BF6732">
      <w:pPr>
        <w:spacing w:line="360" w:lineRule="auto"/>
        <w:rPr>
          <w:sz w:val="24"/>
        </w:rPr>
      </w:pPr>
      <w:r>
        <w:rPr>
          <w:rFonts w:hint="eastAsia"/>
          <w:sz w:val="24"/>
        </w:rPr>
        <w:t>（2）325nm拉曼激发波长：325nm激光器，线宽&lt;1pm，空间模式M2&lt;1.2，功率≥20mW；</w:t>
      </w:r>
    </w:p>
    <w:p w14:paraId="179FE35D">
      <w:pPr>
        <w:spacing w:line="360" w:lineRule="auto"/>
        <w:rPr>
          <w:sz w:val="24"/>
        </w:rPr>
      </w:pPr>
      <w:r>
        <w:rPr>
          <w:rFonts w:hint="eastAsia"/>
          <w:sz w:val="24"/>
        </w:rPr>
        <w:t>（3）激光衰减：不低于7级衰减，确保样品激发信号和避免样品被烧；</w:t>
      </w:r>
    </w:p>
    <w:p w14:paraId="40522CE1">
      <w:pPr>
        <w:spacing w:line="360" w:lineRule="auto"/>
        <w:rPr>
          <w:sz w:val="24"/>
        </w:rPr>
      </w:pPr>
      <w:r>
        <w:rPr>
          <w:rFonts w:hint="eastAsia"/>
          <w:sz w:val="24"/>
        </w:rPr>
        <w:t>1.3.2光谱仪</w:t>
      </w:r>
    </w:p>
    <w:p w14:paraId="4B11BDD5">
      <w:pPr>
        <w:spacing w:line="360" w:lineRule="auto"/>
        <w:rPr>
          <w:sz w:val="24"/>
        </w:rPr>
      </w:pPr>
      <w:r>
        <w:rPr>
          <w:rFonts w:hint="eastAsia"/>
          <w:sz w:val="24"/>
        </w:rPr>
        <w:t>#（1）光谱测量范围：325nm激发覆盖150-4000cm</w:t>
      </w:r>
      <w:r>
        <w:rPr>
          <w:rFonts w:hint="eastAsia"/>
          <w:sz w:val="24"/>
          <w:vertAlign w:val="superscript"/>
        </w:rPr>
        <w:t>-1</w:t>
      </w:r>
      <w:r>
        <w:rPr>
          <w:rFonts w:hint="eastAsia"/>
          <w:sz w:val="24"/>
        </w:rPr>
        <w:t>；785nm激发覆盖70-3000 cm</w:t>
      </w:r>
      <w:r>
        <w:rPr>
          <w:rFonts w:hint="eastAsia"/>
          <w:sz w:val="24"/>
          <w:vertAlign w:val="superscript"/>
        </w:rPr>
        <w:t>-1</w:t>
      </w:r>
      <w:r>
        <w:rPr>
          <w:rFonts w:hint="eastAsia"/>
          <w:sz w:val="24"/>
        </w:rPr>
        <w:t>。光谱分辨率：≤0.65cm</w:t>
      </w:r>
      <w:r>
        <w:rPr>
          <w:rFonts w:hint="eastAsia"/>
          <w:sz w:val="24"/>
          <w:vertAlign w:val="superscript"/>
        </w:rPr>
        <w:t>-1</w:t>
      </w:r>
      <w:r>
        <w:rPr>
          <w:rFonts w:hint="eastAsia"/>
          <w:sz w:val="24"/>
        </w:rPr>
        <w:t>（585nm氖灯线半高宽，采用</w:t>
      </w:r>
      <w:r>
        <w:rPr>
          <w:sz w:val="24"/>
        </w:rPr>
        <w:t>≤</w:t>
      </w:r>
      <w:r>
        <w:rPr>
          <w:rFonts w:hint="eastAsia"/>
          <w:sz w:val="24"/>
        </w:rPr>
        <w:t>1800刻线光栅，≥30</w:t>
      </w:r>
      <w:r>
        <w:rPr>
          <w:sz w:val="24"/>
        </w:rPr>
        <w:t>µ</w:t>
      </w:r>
      <w:r>
        <w:rPr>
          <w:rFonts w:hint="eastAsia"/>
          <w:sz w:val="24"/>
        </w:rPr>
        <w:t>m狭缝和针孔）。光谱重复性：好于</w:t>
      </w:r>
      <w:r>
        <w:rPr>
          <w:sz w:val="24"/>
        </w:rPr>
        <w:t>±</w:t>
      </w:r>
      <w:r>
        <w:rPr>
          <w:rFonts w:hint="eastAsia"/>
          <w:sz w:val="24"/>
        </w:rPr>
        <w:t>0.05cm</w:t>
      </w:r>
      <w:r>
        <w:rPr>
          <w:rFonts w:hint="eastAsia"/>
          <w:sz w:val="24"/>
          <w:vertAlign w:val="superscript"/>
        </w:rPr>
        <w:t>-1</w:t>
      </w:r>
      <w:r>
        <w:rPr>
          <w:rFonts w:hint="eastAsia"/>
          <w:sz w:val="24"/>
        </w:rPr>
        <w:t>（测量单晶硅520cm</w:t>
      </w:r>
      <w:r>
        <w:rPr>
          <w:rFonts w:hint="eastAsia"/>
          <w:sz w:val="24"/>
          <w:vertAlign w:val="superscript"/>
        </w:rPr>
        <w:t>-1</w:t>
      </w:r>
      <w:r>
        <w:rPr>
          <w:rFonts w:hint="eastAsia"/>
          <w:sz w:val="24"/>
        </w:rPr>
        <w:t>峰100次，拟合峰位波动好于</w:t>
      </w:r>
      <w:r>
        <w:rPr>
          <w:sz w:val="24"/>
        </w:rPr>
        <w:t>±</w:t>
      </w:r>
      <w:r>
        <w:rPr>
          <w:rFonts w:hint="eastAsia"/>
          <w:sz w:val="24"/>
        </w:rPr>
        <w:t>0.05cm</w:t>
      </w:r>
      <w:r>
        <w:rPr>
          <w:rFonts w:hint="eastAsia"/>
          <w:sz w:val="24"/>
          <w:vertAlign w:val="superscript"/>
        </w:rPr>
        <w:t>-1</w:t>
      </w:r>
      <w:r>
        <w:rPr>
          <w:rFonts w:hint="eastAsia"/>
          <w:sz w:val="24"/>
        </w:rPr>
        <w:t>）；</w:t>
      </w:r>
    </w:p>
    <w:p w14:paraId="3FC55D97">
      <w:pPr>
        <w:spacing w:line="360" w:lineRule="auto"/>
        <w:rPr>
          <w:sz w:val="24"/>
        </w:rPr>
      </w:pPr>
      <w:r>
        <w:rPr>
          <w:rFonts w:hint="eastAsia"/>
          <w:sz w:val="24"/>
        </w:rPr>
        <w:t>（2）光谱仪焦长≥750mm，配置包含1200、1800和2400刻线三块光栅，三块光栅全自动切换，全自动转动扫描。光谱采集模式：至少包含单窗口信号采集、多窗口连续信号采集、多窗口断续采集和连续扫描采集四种采集模式；</w:t>
      </w:r>
    </w:p>
    <w:p w14:paraId="01B1C677">
      <w:pPr>
        <w:spacing w:line="360" w:lineRule="auto"/>
        <w:rPr>
          <w:sz w:val="24"/>
        </w:rPr>
      </w:pPr>
      <w:r>
        <w:rPr>
          <w:rFonts w:hint="eastAsia"/>
          <w:sz w:val="24"/>
        </w:rPr>
        <w:t>（3）光栅转动方式：光栅在轴扫描，以确保波长的准确性和稳定性；</w:t>
      </w:r>
    </w:p>
    <w:p w14:paraId="39B430B9">
      <w:pPr>
        <w:spacing w:line="360" w:lineRule="auto"/>
        <w:rPr>
          <w:sz w:val="24"/>
        </w:rPr>
      </w:pPr>
      <w:r>
        <w:rPr>
          <w:rFonts w:hint="eastAsia"/>
          <w:sz w:val="24"/>
        </w:rPr>
        <w:t>#（4）电制冷 CCD 探测器：</w:t>
      </w:r>
    </w:p>
    <w:p w14:paraId="6ED71630">
      <w:pPr>
        <w:spacing w:line="360" w:lineRule="auto"/>
        <w:ind w:left="479" w:leftChars="228"/>
        <w:rPr>
          <w:sz w:val="24"/>
        </w:rPr>
      </w:pPr>
      <w:r>
        <w:rPr>
          <w:rFonts w:hint="eastAsia"/>
          <w:sz w:val="24"/>
        </w:rPr>
        <w:t>a.光谱响应范围：200-1050nm；</w:t>
      </w:r>
    </w:p>
    <w:p w14:paraId="105B4177">
      <w:pPr>
        <w:spacing w:line="360" w:lineRule="auto"/>
        <w:ind w:left="479" w:leftChars="228"/>
        <w:rPr>
          <w:sz w:val="24"/>
        </w:rPr>
      </w:pPr>
      <w:r>
        <w:rPr>
          <w:rFonts w:hint="eastAsia"/>
          <w:sz w:val="24"/>
        </w:rPr>
        <w:t>b.像素阵列：≥1024</w:t>
      </w:r>
      <w:r>
        <w:rPr>
          <w:sz w:val="24"/>
        </w:rPr>
        <w:t>×</w:t>
      </w:r>
      <w:r>
        <w:rPr>
          <w:rFonts w:hint="eastAsia"/>
          <w:sz w:val="24"/>
        </w:rPr>
        <w:t>256像元；</w:t>
      </w:r>
    </w:p>
    <w:p w14:paraId="107653ED">
      <w:pPr>
        <w:spacing w:line="360" w:lineRule="auto"/>
        <w:ind w:left="479" w:leftChars="228"/>
        <w:rPr>
          <w:sz w:val="24"/>
        </w:rPr>
      </w:pPr>
      <w:r>
        <w:rPr>
          <w:rFonts w:hint="eastAsia"/>
          <w:sz w:val="24"/>
        </w:rPr>
        <w:t>c.像素尺寸：26</w:t>
      </w:r>
      <w:r>
        <w:rPr>
          <w:sz w:val="24"/>
        </w:rPr>
        <w:t>μm×26μm</w:t>
      </w:r>
      <w:r>
        <w:rPr>
          <w:rFonts w:hint="eastAsia"/>
          <w:sz w:val="24"/>
        </w:rPr>
        <w:t>；</w:t>
      </w:r>
    </w:p>
    <w:p w14:paraId="199BFD03">
      <w:pPr>
        <w:spacing w:line="360" w:lineRule="auto"/>
        <w:ind w:left="479" w:leftChars="228"/>
        <w:rPr>
          <w:sz w:val="24"/>
        </w:rPr>
      </w:pPr>
      <w:r>
        <w:rPr>
          <w:rFonts w:hint="eastAsia"/>
          <w:sz w:val="24"/>
        </w:rPr>
        <w:t>d.暗噪声：≤0.002e</w:t>
      </w:r>
      <w:r>
        <w:rPr>
          <w:rFonts w:hint="eastAsia"/>
          <w:sz w:val="24"/>
          <w:vertAlign w:val="superscript"/>
        </w:rPr>
        <w:t>-</w:t>
      </w:r>
      <w:r>
        <w:rPr>
          <w:rFonts w:hint="eastAsia"/>
          <w:sz w:val="24"/>
        </w:rPr>
        <w:t>/pixel/s（16</w:t>
      </w:r>
      <w:r>
        <w:rPr>
          <w:sz w:val="24"/>
        </w:rPr>
        <w:t>μ</w:t>
      </w:r>
      <w:r>
        <w:rPr>
          <w:rFonts w:hint="eastAsia"/>
          <w:sz w:val="24"/>
        </w:rPr>
        <w:t>m像素相对值），制冷温度≤-75℃；</w:t>
      </w:r>
    </w:p>
    <w:p w14:paraId="463E1BAB">
      <w:pPr>
        <w:spacing w:line="360" w:lineRule="auto"/>
        <w:ind w:left="479" w:leftChars="228"/>
        <w:rPr>
          <w:sz w:val="24"/>
        </w:rPr>
      </w:pPr>
      <w:r>
        <w:rPr>
          <w:rFonts w:hint="eastAsia"/>
          <w:sz w:val="24"/>
        </w:rPr>
        <w:t>e.峰值量子效率：≥58%；</w:t>
      </w:r>
    </w:p>
    <w:p w14:paraId="62A2E27A">
      <w:pPr>
        <w:spacing w:line="360" w:lineRule="auto"/>
        <w:rPr>
          <w:sz w:val="24"/>
        </w:rPr>
      </w:pPr>
      <w:r>
        <w:rPr>
          <w:rFonts w:hint="eastAsia"/>
          <w:sz w:val="24"/>
        </w:rPr>
        <w:t>1.3.3显微系统</w:t>
      </w:r>
    </w:p>
    <w:p w14:paraId="144C65E6">
      <w:pPr>
        <w:spacing w:line="360" w:lineRule="auto"/>
        <w:rPr>
          <w:sz w:val="24"/>
        </w:rPr>
      </w:pPr>
      <w:r>
        <w:rPr>
          <w:rFonts w:hint="eastAsia"/>
          <w:sz w:val="24"/>
        </w:rPr>
        <w:t>（1）采用开放式显微镜，物镜底部样品台可全部拆卸，方便耦合原位反应器或者仅仅是大样品，底部空间可放置≥20cm高度的样品；</w:t>
      </w:r>
    </w:p>
    <w:p w14:paraId="2A495CA2">
      <w:pPr>
        <w:spacing w:line="360" w:lineRule="auto"/>
        <w:rPr>
          <w:sz w:val="24"/>
        </w:rPr>
      </w:pPr>
      <w:r>
        <w:rPr>
          <w:rFonts w:hint="eastAsia"/>
          <w:sz w:val="24"/>
        </w:rPr>
        <w:t>（2）配置白光反射照明和高清晰彩色相机，用于显微观察和记录样品情况，图像边缘不得有暗影；</w:t>
      </w:r>
    </w:p>
    <w:p w14:paraId="125ECFF8">
      <w:pPr>
        <w:spacing w:line="360" w:lineRule="auto"/>
        <w:rPr>
          <w:sz w:val="24"/>
        </w:rPr>
      </w:pPr>
      <w:r>
        <w:rPr>
          <w:rFonts w:hint="eastAsia"/>
          <w:sz w:val="24"/>
        </w:rPr>
        <w:t>#（3）具有光斑可视功能，能够观察到激光激发样品具体位置和光斑聚焦状态；最小光斑尺寸：≤1.5µm（785nm）；</w:t>
      </w:r>
      <w:r>
        <w:rPr>
          <w:rFonts w:hint="eastAsia"/>
          <w:b/>
          <w:bCs/>
          <w:sz w:val="24"/>
        </w:rPr>
        <w:t>（需提供软件显示光斑尺寸的截图说明）；</w:t>
      </w:r>
      <w:r>
        <w:rPr>
          <w:rFonts w:hint="eastAsia"/>
          <w:sz w:val="24"/>
        </w:rPr>
        <w:t>采用针孔共聚焦技术，非狭缝虚拟模式，</w:t>
      </w:r>
      <w:r>
        <w:rPr>
          <w:sz w:val="24"/>
        </w:rPr>
        <w:t>针孔调节范围≥10-1000μm，连续可调，步进≤1μm</w:t>
      </w:r>
      <w:r>
        <w:rPr>
          <w:rFonts w:hint="eastAsia"/>
          <w:sz w:val="24"/>
        </w:rPr>
        <w:t>；配置50X长焦物镜，NA值≥0.5，工作距离≥10mm；</w:t>
      </w:r>
    </w:p>
    <w:p w14:paraId="249E605C">
      <w:pPr>
        <w:spacing w:line="360" w:lineRule="auto"/>
        <w:rPr>
          <w:sz w:val="24"/>
        </w:rPr>
      </w:pPr>
      <w:r>
        <w:rPr>
          <w:rFonts w:hint="eastAsia"/>
          <w:sz w:val="24"/>
        </w:rPr>
        <w:t>（4）配置10X和100X平场物镜，物镜透过光谱范围包含400-1200nm；配置40X紫外物镜和15X紫外物镜；</w:t>
      </w:r>
    </w:p>
    <w:p w14:paraId="6CA58948">
      <w:pPr>
        <w:spacing w:line="360" w:lineRule="auto"/>
        <w:rPr>
          <w:sz w:val="24"/>
        </w:rPr>
      </w:pPr>
      <w:r>
        <w:rPr>
          <w:rFonts w:hint="eastAsia"/>
          <w:sz w:val="24"/>
        </w:rPr>
        <w:t>（5）自动化设计，自动切换激发波长，自动切换激光功率；</w:t>
      </w:r>
    </w:p>
    <w:p w14:paraId="30C4C0DB">
      <w:pPr>
        <w:spacing w:line="360" w:lineRule="auto"/>
        <w:rPr>
          <w:sz w:val="24"/>
        </w:rPr>
      </w:pPr>
      <w:r>
        <w:rPr>
          <w:rFonts w:hint="eastAsia"/>
          <w:sz w:val="24"/>
        </w:rPr>
        <w:t>1.3.4软件</w:t>
      </w:r>
    </w:p>
    <w:p w14:paraId="584BB92C">
      <w:pPr>
        <w:spacing w:line="360" w:lineRule="auto"/>
        <w:rPr>
          <w:sz w:val="24"/>
        </w:rPr>
      </w:pPr>
      <w:r>
        <w:rPr>
          <w:rFonts w:hint="eastAsia"/>
          <w:sz w:val="24"/>
        </w:rPr>
        <w:t>（1）光谱专业软件包-包括仪器控制，数据采集、计算和处理及曲线拟合等各项功能；</w:t>
      </w:r>
    </w:p>
    <w:p w14:paraId="3D9015F2">
      <w:pPr>
        <w:spacing w:line="360" w:lineRule="auto"/>
        <w:rPr>
          <w:sz w:val="24"/>
        </w:rPr>
      </w:pPr>
      <w:r>
        <w:rPr>
          <w:rFonts w:hint="eastAsia"/>
          <w:sz w:val="24"/>
        </w:rPr>
        <w:t>（2）数据采集：包括单点光谱采集；自动多点光谱采集，多维度mapping成像：1D（线，时间，温度，压力等）：2D（XY 表面，XZ/YZ 切片等），3D（XYZ 立体）等；</w:t>
      </w:r>
    </w:p>
    <w:p w14:paraId="1EA66425">
      <w:pPr>
        <w:spacing w:line="360" w:lineRule="auto"/>
        <w:rPr>
          <w:sz w:val="24"/>
        </w:rPr>
      </w:pPr>
      <w:r>
        <w:rPr>
          <w:rFonts w:hint="eastAsia"/>
          <w:sz w:val="24"/>
        </w:rPr>
        <w:t>（3）数据处理：包括实时荧光校正、降噪、去背景、平滑等；</w:t>
      </w:r>
    </w:p>
    <w:p w14:paraId="465AD01C">
      <w:pPr>
        <w:spacing w:line="360" w:lineRule="auto"/>
        <w:rPr>
          <w:sz w:val="24"/>
        </w:rPr>
      </w:pPr>
      <w:r>
        <w:rPr>
          <w:rFonts w:hint="eastAsia"/>
          <w:sz w:val="24"/>
        </w:rPr>
        <w:t>（4）自动编程功能：具有用户自动化编程方法，可保存实验条件等，一键调用实验条件；</w:t>
      </w:r>
    </w:p>
    <w:p w14:paraId="53746413">
      <w:pPr>
        <w:spacing w:line="360" w:lineRule="auto"/>
        <w:rPr>
          <w:sz w:val="24"/>
        </w:rPr>
      </w:pPr>
      <w:r>
        <w:rPr>
          <w:sz w:val="24"/>
        </w:rPr>
        <w:t>★</w:t>
      </w:r>
      <w:r>
        <w:rPr>
          <w:rFonts w:hint="eastAsia"/>
          <w:sz w:val="24"/>
        </w:rPr>
        <w:t>（5）设备需具备成熟的智能化接口与通信能力，能够接入招标人的智慧实验室设备控制系统，实现统一协同调度，保障设备后续可顺畅接入整体智慧实验室生态，支持后续按需进行自动化改造，并具备与移动机器人进行标准化交互操作的能力。设备需内置标准化的远程控制接口（如TCP/IP、Modbus TCP、RS485、Web Service API等至少一种），支持智慧实验室设备控制系统对其进行远程监控、启停控制、运行参数调整及自动联动控制；设备需支持实时任务调度指令接收，能够向智慧实验室设备控制系统实时上传设备运行状态（包括：空闲、运行中、故障等）、任务进度及故障报警信息，确保系统整体高效、协同作业；</w:t>
      </w:r>
      <w:r>
        <w:rPr>
          <w:rFonts w:hint="eastAsia"/>
          <w:b/>
          <w:bCs/>
          <w:sz w:val="24"/>
        </w:rPr>
        <w:t>（需提供设备原厂出具的接口开放及配合完成系统联调承诺函）</w:t>
      </w:r>
    </w:p>
    <w:p w14:paraId="445DB5A4">
      <w:pPr>
        <w:spacing w:line="360" w:lineRule="auto"/>
        <w:rPr>
          <w:sz w:val="24"/>
        </w:rPr>
      </w:pPr>
      <w:r>
        <w:rPr>
          <w:rFonts w:hint="eastAsia"/>
          <w:sz w:val="24"/>
        </w:rPr>
        <w:t>（6）设备需支持控制系统进行数据统一采集与存储，具备开放的数据读取接口。采集数据须包括但不限于：设备的检测条件（如温度、压力、分辨率、激发波长等）、对应测试结果数据、样品信息及操作日志。数据输出格式须为标准通用格式（如CSV、XML、JSON等国际标准协议），严禁采用私有加密格式，确保数据可被第三方系统直接解析与调用；</w:t>
      </w:r>
    </w:p>
    <w:p w14:paraId="08A79F82">
      <w:pPr>
        <w:spacing w:line="360" w:lineRule="auto"/>
        <w:rPr>
          <w:sz w:val="24"/>
        </w:rPr>
      </w:pPr>
      <w:r>
        <w:rPr>
          <w:rFonts w:hint="eastAsia"/>
          <w:sz w:val="24"/>
        </w:rPr>
        <w:t>（7）设备应具备在故障或危险发生情况下的逻辑保护机制。当接收到智慧实验室系统发出的紧急停止、环境异常（如气体泄漏、火灾报警）等联动信号时，设备需能立即执行预设的安全停机或保护程序，并反馈执行结果状态。</w:t>
      </w:r>
    </w:p>
    <w:p w14:paraId="5714A956">
      <w:pPr>
        <w:spacing w:line="360" w:lineRule="auto"/>
        <w:rPr>
          <w:b/>
          <w:bCs/>
          <w:sz w:val="24"/>
        </w:rPr>
      </w:pPr>
      <w:r>
        <w:rPr>
          <w:rFonts w:hint="eastAsia"/>
          <w:b/>
          <w:bCs/>
          <w:sz w:val="24"/>
        </w:rPr>
        <w:t>1.4产品配置要求</w:t>
      </w:r>
    </w:p>
    <w:p w14:paraId="4EB11977">
      <w:pPr>
        <w:spacing w:line="360" w:lineRule="auto"/>
        <w:rPr>
          <w:sz w:val="24"/>
        </w:rPr>
      </w:pPr>
      <w:r>
        <w:rPr>
          <w:rFonts w:hint="eastAsia"/>
          <w:sz w:val="24"/>
        </w:rPr>
        <w:t>（1）</w:t>
      </w:r>
      <w:r>
        <w:rPr>
          <w:rFonts w:hint="eastAsia" w:ascii="宋体" w:hAnsi="宋体" w:cs="宋体"/>
          <w:sz w:val="24"/>
        </w:rPr>
        <w:t>显微聚焦拉曼主机</w:t>
      </w:r>
      <w:r>
        <w:rPr>
          <w:rFonts w:hint="eastAsia"/>
          <w:sz w:val="24"/>
        </w:rPr>
        <w:t>，1套</w:t>
      </w:r>
    </w:p>
    <w:p w14:paraId="7B2AC02C">
      <w:pPr>
        <w:spacing w:line="360" w:lineRule="auto"/>
        <w:rPr>
          <w:sz w:val="24"/>
        </w:rPr>
      </w:pPr>
      <w:r>
        <w:rPr>
          <w:rFonts w:hint="eastAsia"/>
          <w:sz w:val="24"/>
        </w:rPr>
        <w:t>（2）785nm激光光源，1套</w:t>
      </w:r>
    </w:p>
    <w:p w14:paraId="321B3EF0">
      <w:pPr>
        <w:spacing w:line="360" w:lineRule="auto"/>
        <w:rPr>
          <w:sz w:val="24"/>
        </w:rPr>
      </w:pPr>
      <w:r>
        <w:rPr>
          <w:rFonts w:hint="eastAsia"/>
          <w:sz w:val="24"/>
        </w:rPr>
        <w:t>（3）325nm激光光源，1套</w:t>
      </w:r>
    </w:p>
    <w:p w14:paraId="5A4A46D7">
      <w:pPr>
        <w:spacing w:line="360" w:lineRule="auto"/>
        <w:rPr>
          <w:sz w:val="24"/>
        </w:rPr>
      </w:pPr>
      <w:r>
        <w:rPr>
          <w:rFonts w:hint="eastAsia"/>
          <w:sz w:val="24"/>
        </w:rPr>
        <w:t>（4）高分辨光谱仪，1套</w:t>
      </w:r>
    </w:p>
    <w:p w14:paraId="6E8C9526">
      <w:pPr>
        <w:spacing w:line="360" w:lineRule="auto"/>
        <w:rPr>
          <w:sz w:val="24"/>
        </w:rPr>
      </w:pPr>
      <w:r>
        <w:rPr>
          <w:rFonts w:hint="eastAsia"/>
          <w:sz w:val="24"/>
        </w:rPr>
        <w:t>（5）软件及工作站，1套</w:t>
      </w:r>
    </w:p>
    <w:p w14:paraId="18613EB2">
      <w:pPr>
        <w:spacing w:line="360" w:lineRule="auto"/>
        <w:rPr>
          <w:sz w:val="24"/>
        </w:rPr>
      </w:pPr>
      <w:r>
        <w:rPr>
          <w:rFonts w:hint="eastAsia"/>
          <w:sz w:val="24"/>
        </w:rPr>
        <w:t>（6）技术文件（包含但不限于</w:t>
      </w:r>
      <w:r>
        <w:rPr>
          <w:rFonts w:hint="eastAsia" w:cs="宋体"/>
          <w:kern w:val="0"/>
          <w:sz w:val="24"/>
        </w:rPr>
        <w:t>仪器电子版说明书、仪器电子版操作手册等</w:t>
      </w:r>
      <w:r>
        <w:rPr>
          <w:rFonts w:hint="eastAsia"/>
          <w:sz w:val="24"/>
        </w:rPr>
        <w:t xml:space="preserve">），1套 </w:t>
      </w:r>
    </w:p>
    <w:p w14:paraId="0600C3C0">
      <w:pPr>
        <w:spacing w:line="360" w:lineRule="auto"/>
        <w:rPr>
          <w:b/>
          <w:sz w:val="24"/>
        </w:rPr>
      </w:pPr>
      <w:r>
        <w:rPr>
          <w:rFonts w:hint="eastAsia"/>
          <w:b/>
          <w:sz w:val="24"/>
        </w:rPr>
        <w:t>2.热重-红外-气质联用仪</w:t>
      </w:r>
    </w:p>
    <w:p w14:paraId="250ED54B">
      <w:pPr>
        <w:spacing w:line="360" w:lineRule="auto"/>
        <w:rPr>
          <w:b/>
          <w:sz w:val="24"/>
        </w:rPr>
      </w:pPr>
      <w:r>
        <w:rPr>
          <w:rFonts w:hint="eastAsia"/>
          <w:b/>
          <w:sz w:val="24"/>
        </w:rPr>
        <w:t>2.1工作条件</w:t>
      </w:r>
    </w:p>
    <w:p w14:paraId="17875D8F">
      <w:pPr>
        <w:spacing w:line="360" w:lineRule="auto"/>
        <w:rPr>
          <w:sz w:val="24"/>
        </w:rPr>
      </w:pPr>
      <w:r>
        <w:rPr>
          <w:rFonts w:hint="eastAsia"/>
          <w:sz w:val="24"/>
        </w:rPr>
        <w:t xml:space="preserve">（1）工作电源：单相200-240V，50Hz； </w:t>
      </w:r>
    </w:p>
    <w:p w14:paraId="172887A0">
      <w:pPr>
        <w:spacing w:line="360" w:lineRule="auto"/>
        <w:rPr>
          <w:sz w:val="24"/>
        </w:rPr>
      </w:pPr>
      <w:r>
        <w:rPr>
          <w:rFonts w:hint="eastAsia"/>
          <w:sz w:val="24"/>
        </w:rPr>
        <w:t>（2）工作环境温度：15-30</w:t>
      </w:r>
      <w:r>
        <w:rPr>
          <w:bCs/>
          <w:sz w:val="24"/>
        </w:rPr>
        <w:t>℃</w:t>
      </w:r>
      <w:r>
        <w:rPr>
          <w:rFonts w:hint="eastAsia"/>
          <w:sz w:val="24"/>
        </w:rPr>
        <w:t>；</w:t>
      </w:r>
    </w:p>
    <w:p w14:paraId="1F300D6C">
      <w:pPr>
        <w:spacing w:line="360" w:lineRule="auto"/>
        <w:rPr>
          <w:sz w:val="24"/>
        </w:rPr>
      </w:pPr>
      <w:r>
        <w:rPr>
          <w:rFonts w:hint="eastAsia"/>
          <w:sz w:val="24"/>
        </w:rPr>
        <w:t>（3）工作环境湿度：相对湿度＜80%；</w:t>
      </w:r>
    </w:p>
    <w:p w14:paraId="0B4BF674">
      <w:pPr>
        <w:spacing w:line="360" w:lineRule="auto"/>
        <w:rPr>
          <w:b/>
          <w:bCs/>
          <w:sz w:val="24"/>
        </w:rPr>
      </w:pPr>
      <w:r>
        <w:rPr>
          <w:rFonts w:hint="eastAsia"/>
          <w:b/>
          <w:bCs/>
          <w:sz w:val="24"/>
        </w:rPr>
        <w:t xml:space="preserve">2.2仪器用途  </w:t>
      </w:r>
    </w:p>
    <w:p w14:paraId="5F888922">
      <w:pPr>
        <w:spacing w:line="360" w:lineRule="auto"/>
        <w:ind w:firstLine="480" w:firstLineChars="200"/>
        <w:rPr>
          <w:sz w:val="24"/>
        </w:rPr>
      </w:pPr>
      <w:r>
        <w:rPr>
          <w:rFonts w:hint="eastAsia"/>
          <w:sz w:val="24"/>
        </w:rPr>
        <w:t>热分析TGA通过红外FTIR和气相质谱GC-MS等进行多级串联分析，可用于研究高聚物、生物材料、能源材料、催化材料等分解过程和分解机理，在热分解过程中逸出或分解产物的定性、定量分析研究。TGA、FTIR、GC-MS等每台仪器都可正常单独使用，也可实现多种不同模式联用，具有TGA/FTIR、TGA/GC-MS、TGA/FTIR/MS、TGA/FTIR/GC-MS等多种串联模式联用分析功能。</w:t>
      </w:r>
    </w:p>
    <w:p w14:paraId="4DA48C53">
      <w:pPr>
        <w:spacing w:line="360" w:lineRule="auto"/>
        <w:rPr>
          <w:b/>
          <w:bCs/>
          <w:sz w:val="24"/>
        </w:rPr>
      </w:pPr>
      <w:r>
        <w:rPr>
          <w:rFonts w:hint="eastAsia"/>
          <w:b/>
          <w:bCs/>
          <w:sz w:val="24"/>
        </w:rPr>
        <w:t>2.3技术指标</w:t>
      </w:r>
    </w:p>
    <w:p w14:paraId="489D8162">
      <w:pPr>
        <w:spacing w:line="360" w:lineRule="auto"/>
        <w:rPr>
          <w:sz w:val="24"/>
        </w:rPr>
      </w:pPr>
      <w:r>
        <w:rPr>
          <w:rFonts w:hint="eastAsia"/>
          <w:sz w:val="24"/>
        </w:rPr>
        <w:t>2.3.1热重分析仪</w:t>
      </w:r>
    </w:p>
    <w:p w14:paraId="6F8C8646">
      <w:pPr>
        <w:spacing w:line="360" w:lineRule="auto"/>
        <w:rPr>
          <w:rFonts w:hint="eastAsia" w:ascii="宋体" w:hAnsi="宋体" w:cs="宋体"/>
          <w:bCs/>
          <w:sz w:val="24"/>
          <w:lang w:val="da-DK"/>
        </w:rPr>
      </w:pPr>
      <w:r>
        <w:rPr>
          <w:rFonts w:hint="eastAsia"/>
          <w:sz w:val="24"/>
        </w:rPr>
        <w:t>（1）</w:t>
      </w:r>
      <w:r>
        <w:rPr>
          <w:rFonts w:ascii="宋体" w:hAnsi="宋体" w:cs="宋体"/>
          <w:bCs/>
          <w:sz w:val="24"/>
          <w:lang w:val="da-DK"/>
        </w:rPr>
        <w:t>炉体&amp;天平设计结构：垂直式，顶部进样，避免水平设计长时间使用下的支架挠曲变形</w:t>
      </w:r>
      <w:r>
        <w:rPr>
          <w:rFonts w:hint="eastAsia" w:ascii="宋体" w:hAnsi="宋体" w:cs="宋体"/>
          <w:bCs/>
          <w:sz w:val="24"/>
          <w:lang w:val="da-DK"/>
        </w:rPr>
        <w:t>；</w:t>
      </w:r>
    </w:p>
    <w:p w14:paraId="2653E54C">
      <w:pPr>
        <w:spacing w:line="360" w:lineRule="auto"/>
        <w:rPr>
          <w:bCs/>
          <w:sz w:val="24"/>
        </w:rPr>
      </w:pPr>
      <w:r>
        <w:rPr>
          <w:rFonts w:hint="eastAsia"/>
          <w:sz w:val="24"/>
        </w:rPr>
        <w:t>#</w:t>
      </w:r>
      <w:r>
        <w:rPr>
          <w:rFonts w:hint="eastAsia"/>
          <w:bCs/>
          <w:sz w:val="24"/>
        </w:rPr>
        <w:t>（2）最大样品量≥1500mg；称量准确度优于0.01%；称量精度优于0.0025%；天平灵敏度0.1µg，配高精度的气体质量流量计（MFC），四路气体控制（两路系统气+两路样品气）；气体流速：1-200mL/min，流量计精度：0.1mL/min；</w:t>
      </w:r>
    </w:p>
    <w:p w14:paraId="36753D92">
      <w:pPr>
        <w:spacing w:line="360" w:lineRule="auto"/>
        <w:rPr>
          <w:bCs/>
          <w:sz w:val="24"/>
        </w:rPr>
      </w:pPr>
      <w:r>
        <w:rPr>
          <w:rFonts w:hint="eastAsia"/>
          <w:bCs/>
          <w:sz w:val="24"/>
        </w:rPr>
        <w:t>（3）测试温度范围：10-1100</w:t>
      </w:r>
      <w:r>
        <w:rPr>
          <w:bCs/>
          <w:sz w:val="24"/>
        </w:rPr>
        <w:t>℃</w:t>
      </w:r>
      <w:r>
        <w:rPr>
          <w:rFonts w:hint="eastAsia"/>
          <w:bCs/>
          <w:sz w:val="24"/>
        </w:rPr>
        <w:t>；控温精度±0.2</w:t>
      </w:r>
      <w:r>
        <w:rPr>
          <w:bCs/>
          <w:sz w:val="24"/>
        </w:rPr>
        <w:t>℃</w:t>
      </w:r>
      <w:r>
        <w:rPr>
          <w:rFonts w:hint="eastAsia"/>
          <w:bCs/>
          <w:sz w:val="24"/>
        </w:rPr>
        <w:t>；最大线性升温速率≥450</w:t>
      </w:r>
      <w:r>
        <w:rPr>
          <w:bCs/>
          <w:sz w:val="24"/>
        </w:rPr>
        <w:t>℃</w:t>
      </w:r>
      <w:r>
        <w:rPr>
          <w:rFonts w:hint="eastAsia"/>
          <w:bCs/>
          <w:sz w:val="24"/>
        </w:rPr>
        <w:t>/min；</w:t>
      </w:r>
    </w:p>
    <w:p w14:paraId="0AFD3E92">
      <w:pPr>
        <w:spacing w:line="360" w:lineRule="auto"/>
        <w:rPr>
          <w:bCs/>
          <w:sz w:val="24"/>
        </w:rPr>
      </w:pPr>
      <w:r>
        <w:rPr>
          <w:rFonts w:hint="eastAsia"/>
          <w:bCs/>
          <w:sz w:val="24"/>
        </w:rPr>
        <w:t>（4）天平非等温自漂移优于</w:t>
      </w:r>
      <w:r>
        <w:rPr>
          <w:bCs/>
          <w:sz w:val="24"/>
        </w:rPr>
        <w:t>30µg</w:t>
      </w:r>
      <w:r>
        <w:rPr>
          <w:rFonts w:hint="eastAsia"/>
          <w:bCs/>
          <w:sz w:val="24"/>
        </w:rPr>
        <w:t>；</w:t>
      </w:r>
      <w:r>
        <w:rPr>
          <w:bCs/>
          <w:sz w:val="24"/>
        </w:rPr>
        <w:t>动态基线漂移（20℃/min，室温到1000℃）：＜10µg；</w:t>
      </w:r>
    </w:p>
    <w:p w14:paraId="75A81275">
      <w:pPr>
        <w:spacing w:line="360" w:lineRule="auto"/>
        <w:rPr>
          <w:bCs/>
          <w:sz w:val="24"/>
        </w:rPr>
      </w:pPr>
      <w:r>
        <w:rPr>
          <w:rFonts w:hint="eastAsia"/>
          <w:bCs/>
          <w:sz w:val="24"/>
        </w:rPr>
        <w:t>（5）配置热重分析仪自动进样器，≥50位；</w:t>
      </w:r>
    </w:p>
    <w:p w14:paraId="083C2D16">
      <w:pPr>
        <w:spacing w:line="360" w:lineRule="auto"/>
        <w:rPr>
          <w:bCs/>
          <w:sz w:val="24"/>
        </w:rPr>
      </w:pPr>
      <w:r>
        <w:rPr>
          <w:rFonts w:hint="eastAsia"/>
          <w:bCs/>
          <w:sz w:val="24"/>
        </w:rPr>
        <w:t>（6）在联用模式下TGA端可以采用自动进样器连续测试样品。</w:t>
      </w:r>
    </w:p>
    <w:p w14:paraId="11F031E0">
      <w:pPr>
        <w:spacing w:line="360" w:lineRule="auto"/>
        <w:rPr>
          <w:sz w:val="24"/>
        </w:rPr>
      </w:pPr>
      <w:r>
        <w:rPr>
          <w:rFonts w:hint="eastAsia"/>
          <w:sz w:val="24"/>
        </w:rPr>
        <w:t>2.3.2红外光谱仪</w:t>
      </w:r>
    </w:p>
    <w:p w14:paraId="10E1A645">
      <w:pPr>
        <w:spacing w:line="360" w:lineRule="auto"/>
        <w:rPr>
          <w:sz w:val="24"/>
        </w:rPr>
      </w:pPr>
      <w:r>
        <w:rPr>
          <w:rFonts w:hint="eastAsia"/>
          <w:sz w:val="24"/>
        </w:rPr>
        <w:t>（1）波长范围：</w:t>
      </w:r>
      <w:r>
        <w:rPr>
          <w:sz w:val="24"/>
        </w:rPr>
        <w:t>8300~350 cm</w:t>
      </w:r>
      <w:r>
        <w:rPr>
          <w:sz w:val="24"/>
          <w:vertAlign w:val="superscript"/>
        </w:rPr>
        <w:t>-1</w:t>
      </w:r>
      <w:r>
        <w:rPr>
          <w:rFonts w:hint="eastAsia"/>
          <w:sz w:val="24"/>
        </w:rPr>
        <w:t>；</w:t>
      </w:r>
      <w:r>
        <w:rPr>
          <w:sz w:val="24"/>
        </w:rPr>
        <w:t xml:space="preserve"> </w:t>
      </w:r>
    </w:p>
    <w:p w14:paraId="7FA2E43B">
      <w:pPr>
        <w:spacing w:line="360" w:lineRule="auto"/>
        <w:rPr>
          <w:sz w:val="24"/>
        </w:rPr>
      </w:pPr>
      <w:r>
        <w:rPr>
          <w:rFonts w:hint="eastAsia"/>
          <w:sz w:val="24"/>
        </w:rPr>
        <w:t>（2）分辨率≤0.5cm</w:t>
      </w:r>
      <w:r>
        <w:rPr>
          <w:rFonts w:hint="eastAsia"/>
          <w:sz w:val="24"/>
          <w:vertAlign w:val="superscript"/>
        </w:rPr>
        <w:t>-1</w:t>
      </w:r>
      <w:r>
        <w:rPr>
          <w:rFonts w:hint="eastAsia"/>
          <w:sz w:val="24"/>
        </w:rPr>
        <w:t>；波长准确度≤0.02cm</w:t>
      </w:r>
      <w:r>
        <w:rPr>
          <w:rFonts w:hint="eastAsia"/>
          <w:sz w:val="24"/>
          <w:vertAlign w:val="superscript"/>
        </w:rPr>
        <w:t>-1</w:t>
      </w:r>
      <w:r>
        <w:rPr>
          <w:rFonts w:hint="eastAsia"/>
          <w:sz w:val="24"/>
        </w:rPr>
        <w:t>；</w:t>
      </w:r>
    </w:p>
    <w:p w14:paraId="3F0E9B24">
      <w:pPr>
        <w:spacing w:line="360" w:lineRule="auto"/>
        <w:rPr>
          <w:sz w:val="24"/>
        </w:rPr>
      </w:pPr>
      <w:r>
        <w:rPr>
          <w:rFonts w:hint="eastAsia"/>
          <w:sz w:val="24"/>
        </w:rPr>
        <w:t>#（3）波数重现性≤0.008cm</w:t>
      </w:r>
      <w:r>
        <w:rPr>
          <w:rFonts w:hint="eastAsia"/>
          <w:sz w:val="24"/>
          <w:vertAlign w:val="superscript"/>
        </w:rPr>
        <w:t>-1</w:t>
      </w:r>
      <w:r>
        <w:rPr>
          <w:rFonts w:hint="eastAsia"/>
          <w:sz w:val="24"/>
        </w:rPr>
        <w:t>；信噪≥50000:1（1分钟测试，4cm</w:t>
      </w:r>
      <w:r>
        <w:rPr>
          <w:rFonts w:hint="eastAsia"/>
          <w:sz w:val="24"/>
          <w:vertAlign w:val="superscript"/>
        </w:rPr>
        <w:t>-1</w:t>
      </w:r>
      <w:r>
        <w:rPr>
          <w:rFonts w:hint="eastAsia"/>
          <w:sz w:val="24"/>
        </w:rPr>
        <w:t>分辨率，DTGS检测器，峰峰值）；</w:t>
      </w:r>
    </w:p>
    <w:p w14:paraId="7EB72DC8">
      <w:pPr>
        <w:spacing w:line="360" w:lineRule="auto"/>
        <w:rPr>
          <w:sz w:val="24"/>
        </w:rPr>
      </w:pPr>
      <w:r>
        <w:rPr>
          <w:rFonts w:hint="eastAsia"/>
          <w:sz w:val="24"/>
        </w:rPr>
        <w:t>（4）无动态错误的第五代迈克尔逊干涉仪系统，双动镜机械转动式设计，从根本消除标准干涉仪无法避免的动镜倾斜和切变的影响，无需使用动态调整装置校正；</w:t>
      </w:r>
    </w:p>
    <w:p w14:paraId="54E77043">
      <w:pPr>
        <w:spacing w:line="360" w:lineRule="auto"/>
        <w:rPr>
          <w:sz w:val="24"/>
        </w:rPr>
      </w:pPr>
      <w:r>
        <w:rPr>
          <w:rFonts w:hint="eastAsia"/>
          <w:sz w:val="24"/>
        </w:rPr>
        <w:t>（5）检测器系统：配备恒温DTGS检测器；</w:t>
      </w:r>
    </w:p>
    <w:p w14:paraId="12A4CA07">
      <w:pPr>
        <w:spacing w:line="360" w:lineRule="auto"/>
        <w:rPr>
          <w:sz w:val="24"/>
        </w:rPr>
      </w:pPr>
      <w:r>
        <w:rPr>
          <w:rFonts w:hint="eastAsia"/>
          <w:sz w:val="24"/>
        </w:rPr>
        <w:t>（6）实时扣除空气中的H</w:t>
      </w:r>
      <w:r>
        <w:rPr>
          <w:rFonts w:hint="eastAsia"/>
          <w:sz w:val="24"/>
          <w:vertAlign w:val="subscript"/>
        </w:rPr>
        <w:t>2</w:t>
      </w:r>
      <w:r>
        <w:rPr>
          <w:rFonts w:hint="eastAsia"/>
          <w:sz w:val="24"/>
        </w:rPr>
        <w:t>O和CO</w:t>
      </w:r>
      <w:r>
        <w:rPr>
          <w:rFonts w:hint="eastAsia"/>
          <w:sz w:val="24"/>
          <w:vertAlign w:val="subscript"/>
        </w:rPr>
        <w:t>2</w:t>
      </w:r>
      <w:r>
        <w:rPr>
          <w:rFonts w:hint="eastAsia"/>
          <w:sz w:val="24"/>
        </w:rPr>
        <w:t>功能：硬件层面自动实时扣除空气中H</w:t>
      </w:r>
      <w:r>
        <w:rPr>
          <w:rFonts w:hint="eastAsia"/>
          <w:sz w:val="24"/>
          <w:vertAlign w:val="subscript"/>
        </w:rPr>
        <w:t>2</w:t>
      </w:r>
      <w:r>
        <w:rPr>
          <w:rFonts w:hint="eastAsia"/>
          <w:sz w:val="24"/>
        </w:rPr>
        <w:t>O和CO</w:t>
      </w:r>
      <w:r>
        <w:rPr>
          <w:rFonts w:hint="eastAsia"/>
          <w:sz w:val="24"/>
          <w:vertAlign w:val="subscript"/>
        </w:rPr>
        <w:t>2</w:t>
      </w:r>
      <w:r>
        <w:rPr>
          <w:rFonts w:hint="eastAsia"/>
          <w:sz w:val="24"/>
        </w:rPr>
        <w:t>干扰背景，即是在测背景和样品时分别扣除当时测量时的空气中的H</w:t>
      </w:r>
      <w:r>
        <w:rPr>
          <w:rFonts w:hint="eastAsia"/>
          <w:sz w:val="24"/>
          <w:vertAlign w:val="subscript"/>
        </w:rPr>
        <w:t>2</w:t>
      </w:r>
      <w:r>
        <w:rPr>
          <w:rFonts w:hint="eastAsia"/>
          <w:sz w:val="24"/>
        </w:rPr>
        <w:t>O和CO</w:t>
      </w:r>
      <w:r>
        <w:rPr>
          <w:rFonts w:hint="eastAsia"/>
          <w:sz w:val="24"/>
          <w:vertAlign w:val="subscript"/>
        </w:rPr>
        <w:t>2</w:t>
      </w:r>
      <w:r>
        <w:rPr>
          <w:rFonts w:hint="eastAsia"/>
          <w:sz w:val="24"/>
        </w:rPr>
        <w:t>的干扰，确保结果准确；可在开机状态下的单光束能量图中反映出扣除H</w:t>
      </w:r>
      <w:r>
        <w:rPr>
          <w:rFonts w:hint="eastAsia"/>
          <w:sz w:val="24"/>
          <w:vertAlign w:val="subscript"/>
        </w:rPr>
        <w:t>2</w:t>
      </w:r>
      <w:r>
        <w:rPr>
          <w:rFonts w:hint="eastAsia"/>
          <w:sz w:val="24"/>
        </w:rPr>
        <w:t>O和CO</w:t>
      </w:r>
      <w:r>
        <w:rPr>
          <w:rFonts w:hint="eastAsia"/>
          <w:sz w:val="24"/>
          <w:vertAlign w:val="subscript"/>
        </w:rPr>
        <w:t>2</w:t>
      </w:r>
      <w:r>
        <w:rPr>
          <w:rFonts w:hint="eastAsia"/>
          <w:sz w:val="24"/>
        </w:rPr>
        <w:t>的干扰后的仪器背景吸收；</w:t>
      </w:r>
    </w:p>
    <w:p w14:paraId="6D8B37FE">
      <w:pPr>
        <w:spacing w:line="360" w:lineRule="auto"/>
        <w:rPr>
          <w:sz w:val="24"/>
        </w:rPr>
      </w:pPr>
      <w:r>
        <w:rPr>
          <w:rFonts w:hint="eastAsia"/>
          <w:sz w:val="24"/>
        </w:rPr>
        <w:t>#（7）红外光源：恒温高效黑体空腔光源，温度低（1000K），能量高，长寿命，按ASTM 0法（等同JJF1319-2011 &lt;傅立叶变换红外光谱仪校准规范&gt;中项目7.4规定的方法）测定，能量比E4000/Emax&gt;70%；预准直，用户可自行更换。</w:t>
      </w:r>
    </w:p>
    <w:p w14:paraId="7E682B3A">
      <w:pPr>
        <w:spacing w:line="360" w:lineRule="auto"/>
        <w:rPr>
          <w:sz w:val="24"/>
        </w:rPr>
      </w:pPr>
      <w:r>
        <w:rPr>
          <w:rFonts w:hint="eastAsia"/>
          <w:sz w:val="24"/>
        </w:rPr>
        <w:t>2.3.3气相质谱仪</w:t>
      </w:r>
    </w:p>
    <w:p w14:paraId="2E7D595C">
      <w:pPr>
        <w:spacing w:line="360" w:lineRule="auto"/>
        <w:rPr>
          <w:sz w:val="24"/>
        </w:rPr>
      </w:pPr>
      <w:r>
        <w:rPr>
          <w:rFonts w:hint="eastAsia"/>
          <w:sz w:val="24"/>
        </w:rPr>
        <w:t>（1）气相色谱带有可编程的全电子气路控制；</w:t>
      </w:r>
    </w:p>
    <w:p w14:paraId="482D5F06">
      <w:pPr>
        <w:spacing w:line="360" w:lineRule="auto"/>
        <w:rPr>
          <w:sz w:val="24"/>
        </w:rPr>
      </w:pPr>
      <w:r>
        <w:rPr>
          <w:rFonts w:hint="eastAsia"/>
          <w:sz w:val="24"/>
        </w:rPr>
        <w:t>（2）最大升温阶数≥50阶可以实现在一个谱图中多次程序升温进样，尤其是在线分析中；</w:t>
      </w:r>
      <w:r>
        <w:rPr>
          <w:sz w:val="24"/>
        </w:rPr>
        <w:t>柱温箱拥有快速升温及快速降温的功能，最大升温速率可达100℃/min以上，降温速率从450℃降至50℃小于5分钟；</w:t>
      </w:r>
    </w:p>
    <w:p w14:paraId="70BCEED3">
      <w:pPr>
        <w:spacing w:line="360" w:lineRule="auto"/>
        <w:rPr>
          <w:sz w:val="24"/>
        </w:rPr>
      </w:pPr>
      <w:r>
        <w:rPr>
          <w:rFonts w:hint="eastAsia"/>
          <w:sz w:val="24"/>
        </w:rPr>
        <w:t>#（3）全实钼金属的预四极杆和分析四级杆；质谱质量检测范围m/z≥1200amu；SIFI功能实现同时全扫描和选择离子扫描；质量稳定性±0.1m/z，超过48小时；最大扫描速率≥12000Da/sec；</w:t>
      </w:r>
    </w:p>
    <w:p w14:paraId="52214B88">
      <w:pPr>
        <w:spacing w:line="360" w:lineRule="auto"/>
        <w:rPr>
          <w:sz w:val="24"/>
        </w:rPr>
      </w:pPr>
      <w:r>
        <w:rPr>
          <w:rFonts w:hint="eastAsia"/>
          <w:sz w:val="24"/>
        </w:rPr>
        <w:t>#（4）分子涡轮泵≥340L/s，抽真空时间＜3min达到空气/水本底值，＜90min达到定量稳定性；配备宽范围的真空规，可实时观察真空度变化，方便溶剂延迟时间等的确定。灵敏度：EI全扫描检测1pg八氟萘OFN，</w:t>
      </w:r>
      <w:r>
        <w:rPr>
          <w:sz w:val="24"/>
        </w:rPr>
        <w:t>m/z 272 S/N＞800：1</w:t>
      </w:r>
      <w:r>
        <w:rPr>
          <w:rFonts w:hint="eastAsia"/>
          <w:sz w:val="24"/>
        </w:rPr>
        <w:t>，信噪比≥2500:1RMS；</w:t>
      </w:r>
    </w:p>
    <w:p w14:paraId="52760DF5">
      <w:pPr>
        <w:spacing w:line="360" w:lineRule="auto"/>
        <w:rPr>
          <w:sz w:val="24"/>
        </w:rPr>
      </w:pPr>
      <w:r>
        <w:rPr>
          <w:rFonts w:hint="eastAsia"/>
          <w:sz w:val="24"/>
        </w:rPr>
        <w:t>（5）可实现复杂组分分离模式和质谱离子监控在线模式自动软件切换；</w:t>
      </w:r>
    </w:p>
    <w:p w14:paraId="334B2BE4">
      <w:pPr>
        <w:spacing w:line="360" w:lineRule="auto"/>
        <w:rPr>
          <w:sz w:val="24"/>
        </w:rPr>
      </w:pPr>
      <w:r>
        <w:rPr>
          <w:rFonts w:hint="eastAsia"/>
          <w:sz w:val="24"/>
        </w:rPr>
        <w:t>（6）离子源为EI源，具有卡槽锁定功能，离子源部件包括灯丝在内≤12个从质谱仪上取出离子源或将离子源安装回质谱仪，只需旋转180度，即可实现自动位置对准和电路连接，无需任何工具，3分钟内即可完成拆装，方便维护操作；</w:t>
      </w:r>
    </w:p>
    <w:p w14:paraId="7C565343">
      <w:pPr>
        <w:spacing w:line="360" w:lineRule="auto"/>
        <w:rPr>
          <w:sz w:val="24"/>
        </w:rPr>
      </w:pPr>
      <w:r>
        <w:rPr>
          <w:rFonts w:hint="eastAsia"/>
          <w:sz w:val="24"/>
        </w:rPr>
        <w:t>（7）所有的进样口和检测器全面使用电子气路控制（PPC），最小压力设定值和控制精度：≤0.001 psi；可设定压力范围：0-150psi或更优；分流比最大可调≥12500:1；</w:t>
      </w:r>
    </w:p>
    <w:p w14:paraId="73E65E9E">
      <w:pPr>
        <w:spacing w:line="360" w:lineRule="auto"/>
        <w:rPr>
          <w:sz w:val="24"/>
        </w:rPr>
      </w:pPr>
      <w:r>
        <w:rPr>
          <w:rFonts w:hint="eastAsia"/>
          <w:sz w:val="24"/>
        </w:rPr>
        <w:t>（8）电离流量控制PPC有5种控制模式：程序流量，程序压力，程序线速度，恒流或者脉冲压力进样，真空补偿模式；</w:t>
      </w:r>
    </w:p>
    <w:p w14:paraId="27522690">
      <w:pPr>
        <w:spacing w:line="360" w:lineRule="auto"/>
        <w:rPr>
          <w:rFonts w:hint="eastAsia" w:ascii="宋体" w:hAnsi="宋体" w:cs="宋体"/>
          <w:sz w:val="24"/>
        </w:rPr>
      </w:pPr>
      <w:r>
        <w:rPr>
          <w:rFonts w:hint="eastAsia"/>
          <w:sz w:val="24"/>
        </w:rPr>
        <w:t>（9）</w:t>
      </w:r>
      <w:r>
        <w:rPr>
          <w:rFonts w:ascii="宋体" w:hAnsi="宋体" w:cs="宋体"/>
          <w:sz w:val="24"/>
        </w:rPr>
        <w:t>快速旋转式进样口，更换衬管无需工具，实现进样口的快速维护</w:t>
      </w:r>
      <w:r>
        <w:rPr>
          <w:rFonts w:hint="eastAsia" w:ascii="宋体" w:hAnsi="宋体" w:cs="宋体"/>
          <w:sz w:val="24"/>
        </w:rPr>
        <w:t>；</w:t>
      </w:r>
    </w:p>
    <w:p w14:paraId="07B8813A">
      <w:pPr>
        <w:spacing w:line="360" w:lineRule="auto"/>
        <w:rPr>
          <w:sz w:val="24"/>
        </w:rPr>
      </w:pPr>
      <w:r>
        <w:rPr>
          <w:rFonts w:hint="eastAsia"/>
          <w:sz w:val="24"/>
        </w:rPr>
        <w:t>（10）总流量设定范围：N</w:t>
      </w:r>
      <w:r>
        <w:rPr>
          <w:rFonts w:hint="eastAsia"/>
          <w:sz w:val="24"/>
          <w:vertAlign w:val="subscript"/>
        </w:rPr>
        <w:t>2</w:t>
      </w:r>
      <w:r>
        <w:rPr>
          <w:rFonts w:hint="eastAsia"/>
          <w:sz w:val="24"/>
        </w:rPr>
        <w:t>:≥5-1200mL/min；H</w:t>
      </w:r>
      <w:r>
        <w:rPr>
          <w:rFonts w:hint="eastAsia"/>
          <w:sz w:val="24"/>
          <w:vertAlign w:val="subscript"/>
        </w:rPr>
        <w:t>2</w:t>
      </w:r>
      <w:r>
        <w:rPr>
          <w:rFonts w:hint="eastAsia"/>
          <w:sz w:val="24"/>
        </w:rPr>
        <w:t xml:space="preserve"> or He:≥5-1500mL/min；Ar/CH</w:t>
      </w:r>
      <w:r>
        <w:rPr>
          <w:rFonts w:hint="eastAsia"/>
          <w:sz w:val="24"/>
          <w:vertAlign w:val="subscript"/>
        </w:rPr>
        <w:t>4</w:t>
      </w:r>
      <w:r>
        <w:rPr>
          <w:rFonts w:hint="eastAsia"/>
          <w:sz w:val="24"/>
        </w:rPr>
        <w:t>:≥5-1000mL/min。</w:t>
      </w:r>
    </w:p>
    <w:p w14:paraId="30C0250B">
      <w:pPr>
        <w:spacing w:line="360" w:lineRule="auto"/>
        <w:rPr>
          <w:sz w:val="24"/>
        </w:rPr>
      </w:pPr>
      <w:r>
        <w:rPr>
          <w:rFonts w:hint="eastAsia"/>
          <w:sz w:val="24"/>
        </w:rPr>
        <w:t>2.3.4联用接口</w:t>
      </w:r>
    </w:p>
    <w:p w14:paraId="539957A7">
      <w:pPr>
        <w:spacing w:line="360" w:lineRule="auto"/>
        <w:rPr>
          <w:sz w:val="24"/>
        </w:rPr>
      </w:pPr>
      <w:r>
        <w:rPr>
          <w:rFonts w:hint="eastAsia"/>
          <w:sz w:val="24"/>
        </w:rPr>
        <w:t>（1）包括热分析TGA、红外FTIR和气相质谱仪GC-MS均可实现软件和硬件双控同步触发功能。硬件支持同步信号触发，触发阈值可设定（重量信号触发，温度信号触发等可选）同步信号滞后小于0.2min；</w:t>
      </w:r>
    </w:p>
    <w:p w14:paraId="78A0DCE7">
      <w:pPr>
        <w:spacing w:line="360" w:lineRule="auto"/>
        <w:rPr>
          <w:sz w:val="24"/>
        </w:rPr>
      </w:pPr>
      <w:r>
        <w:rPr>
          <w:rFonts w:hint="eastAsia"/>
          <w:sz w:val="24"/>
        </w:rPr>
        <w:t>（2）采用可独立控温小体积红外气体池，可加热到≥350</w:t>
      </w:r>
      <w:r>
        <w:rPr>
          <w:bCs/>
          <w:sz w:val="24"/>
        </w:rPr>
        <w:t>℃</w:t>
      </w:r>
      <w:r>
        <w:rPr>
          <w:rFonts w:hint="eastAsia"/>
          <w:sz w:val="24"/>
        </w:rPr>
        <w:t>，采用“零重力设计”有效减缓重质组分沉积，延长系统使用寿命，提高结果准确性；</w:t>
      </w:r>
    </w:p>
    <w:p w14:paraId="3C7FFAD0">
      <w:pPr>
        <w:spacing w:line="360" w:lineRule="auto"/>
        <w:rPr>
          <w:sz w:val="24"/>
        </w:rPr>
      </w:pPr>
      <w:r>
        <w:rPr>
          <w:rFonts w:hint="eastAsia"/>
          <w:sz w:val="24"/>
        </w:rPr>
        <w:t>#（3）管线程序控温：所有联接口和管线温度≥350</w:t>
      </w:r>
      <w:r>
        <w:rPr>
          <w:bCs/>
          <w:sz w:val="24"/>
        </w:rPr>
        <w:t>℃</w:t>
      </w:r>
      <w:r>
        <w:rPr>
          <w:rFonts w:hint="eastAsia"/>
          <w:sz w:val="24"/>
        </w:rPr>
        <w:t>，并且配备五个控温模块，传输管线以及接口部分均可实现分段控温，温度在50-350</w:t>
      </w:r>
      <w:r>
        <w:rPr>
          <w:bCs/>
          <w:sz w:val="24"/>
        </w:rPr>
        <w:t>℃</w:t>
      </w:r>
      <w:r>
        <w:rPr>
          <w:rFonts w:hint="eastAsia"/>
          <w:sz w:val="24"/>
        </w:rPr>
        <w:t>范围内任意可调；</w:t>
      </w:r>
    </w:p>
    <w:p w14:paraId="53906F18">
      <w:pPr>
        <w:spacing w:line="360" w:lineRule="auto"/>
        <w:rPr>
          <w:sz w:val="24"/>
        </w:rPr>
      </w:pPr>
      <w:r>
        <w:rPr>
          <w:rFonts w:hint="eastAsia"/>
          <w:sz w:val="24"/>
        </w:rPr>
        <w:t>（4）平衡载气系统：包括专为联用设计的抽气口、泵、气体质量流量计、过滤系统、加热系统等。最大限度的避免膨胀效应，可以根据不同的样品性质选择最佳的红外气体池驻留时间，提高红外信号分辨率。标配质量流量计平衡载气模块，具备载气流量显示和控制功能，流速在0.1-200mL/min范围任意可调；</w:t>
      </w:r>
    </w:p>
    <w:p w14:paraId="4D831537">
      <w:pPr>
        <w:spacing w:line="360" w:lineRule="auto"/>
        <w:rPr>
          <w:sz w:val="24"/>
        </w:rPr>
      </w:pPr>
      <w:r>
        <w:rPr>
          <w:rFonts w:hint="eastAsia"/>
          <w:sz w:val="24"/>
        </w:rPr>
        <w:t>#（5）电子气路切换阀GSV，采用程控四通阀和八通阀联动技术，可以软件控制实现GC-MS复杂组分分离模式和单独MS离子监控模式自动切换，可软件切换TGA/FTIR、TGA/GC-MS、TGA/FTIR/MS、TGA/FTIR/GC-MS联用模式，包含选择离子监控模式以及全离子扫描模式）以及单独使用模式。在线模式TGA/MS、TGA/FTIR/MS下，质谱端必须采用连续进样方式，且质谱同步采集的任意两个相邻数据点间的时间间隔不得大于1s，或者不得采用脉冲进样方式；</w:t>
      </w:r>
    </w:p>
    <w:p w14:paraId="2923819D">
      <w:pPr>
        <w:spacing w:line="360" w:lineRule="auto"/>
        <w:rPr>
          <w:sz w:val="24"/>
        </w:rPr>
      </w:pPr>
      <w:r>
        <w:rPr>
          <w:sz w:val="24"/>
        </w:rPr>
        <w:t>★</w:t>
      </w:r>
      <w:r>
        <w:rPr>
          <w:rFonts w:hint="eastAsia"/>
          <w:sz w:val="24"/>
        </w:rPr>
        <w:t>（6）设备需具备成熟的智能化接口与通信能力，能够接入招标人的智慧实验室设备控制系统，实现统一协同调度，保障设备后续可顺畅接入整体智慧实验室生态，支持后续按需进行自动化改造，并具备与移动机器人进行标准化交互操作的能力。设备需内置标准化的远程控制接口（如TCP/IP、Modbus TCP、RS485、Web Service API等至少一种），支持智慧实验室设备控制系统对其进行远程监控、启停控制、运行参数调整及自动联动控制；设备需支持实时任务调度指令接收，能够向智慧实验室设备控制系统实时上传设备运行状态（包括：空闲、运行中、故障等）、任务进度及故障报警信息，确保系统整体高效、协同作业；</w:t>
      </w:r>
      <w:r>
        <w:rPr>
          <w:rFonts w:hint="eastAsia"/>
          <w:b/>
          <w:bCs/>
          <w:sz w:val="24"/>
        </w:rPr>
        <w:t>（需提供设备原厂出具的接口开放及配合完成系统联调承诺函）</w:t>
      </w:r>
    </w:p>
    <w:p w14:paraId="2FA615B3">
      <w:pPr>
        <w:spacing w:line="360" w:lineRule="auto"/>
        <w:rPr>
          <w:sz w:val="24"/>
        </w:rPr>
      </w:pPr>
      <w:r>
        <w:rPr>
          <w:rFonts w:hint="eastAsia"/>
          <w:sz w:val="24"/>
        </w:rPr>
        <w:t>（7）设备需支持控制系统进行数据统一采集与存储，具备开放的数据读取接口。采集数据须包括但不限于：设备的检测条件、对应测试结果数据、样品信息及操作日志。数据输出格式须为标准通用格式（如CSV、XML、JSON等国际标准协议），严禁采用私有加密格式，确保数据可被第三方系统直接解析与调用；</w:t>
      </w:r>
    </w:p>
    <w:p w14:paraId="212FE0CC">
      <w:pPr>
        <w:spacing w:line="360" w:lineRule="auto"/>
        <w:rPr>
          <w:sz w:val="24"/>
        </w:rPr>
      </w:pPr>
      <w:r>
        <w:rPr>
          <w:rFonts w:hint="eastAsia"/>
          <w:sz w:val="24"/>
        </w:rPr>
        <w:t>（8）设备应具备在故障或危险发生情况下的逻辑保护机制。当接收到智慧实验室系统发出的紧急停止、环境异常（如气体泄漏、火灾报警）等联动信号时，设备需能立即执行预设的安全停机或保护程序，并反馈执行结果状态。</w:t>
      </w:r>
    </w:p>
    <w:p w14:paraId="43F28D2C">
      <w:pPr>
        <w:spacing w:line="360" w:lineRule="auto"/>
        <w:rPr>
          <w:b/>
          <w:bCs/>
          <w:sz w:val="24"/>
        </w:rPr>
      </w:pPr>
      <w:r>
        <w:rPr>
          <w:rFonts w:hint="eastAsia"/>
          <w:b/>
          <w:bCs/>
          <w:sz w:val="24"/>
        </w:rPr>
        <w:t>2.4产品配置要求</w:t>
      </w:r>
    </w:p>
    <w:p w14:paraId="1F3186ED">
      <w:pPr>
        <w:spacing w:line="360" w:lineRule="auto"/>
        <w:rPr>
          <w:sz w:val="24"/>
        </w:rPr>
      </w:pPr>
      <w:r>
        <w:rPr>
          <w:rFonts w:hint="eastAsia"/>
          <w:sz w:val="24"/>
        </w:rPr>
        <w:t>（1）</w:t>
      </w:r>
      <w:r>
        <w:rPr>
          <w:sz w:val="24"/>
        </w:rPr>
        <w:t>热分析TGA主机</w:t>
      </w:r>
      <w:r>
        <w:rPr>
          <w:rFonts w:hint="eastAsia"/>
          <w:sz w:val="24"/>
        </w:rPr>
        <w:t>，</w:t>
      </w:r>
      <w:r>
        <w:rPr>
          <w:sz w:val="24"/>
        </w:rPr>
        <w:t>1套</w:t>
      </w:r>
    </w:p>
    <w:p w14:paraId="0BA2471A">
      <w:pPr>
        <w:spacing w:line="360" w:lineRule="auto"/>
        <w:rPr>
          <w:sz w:val="24"/>
        </w:rPr>
      </w:pPr>
      <w:r>
        <w:rPr>
          <w:rFonts w:hint="eastAsia"/>
          <w:sz w:val="24"/>
        </w:rPr>
        <w:t>（2）</w:t>
      </w:r>
      <w:r>
        <w:rPr>
          <w:rFonts w:hint="eastAsia" w:ascii="宋体" w:hAnsi="宋体" w:cs="宋体"/>
          <w:sz w:val="24"/>
        </w:rPr>
        <w:t>≥</w:t>
      </w:r>
      <w:r>
        <w:rPr>
          <w:sz w:val="24"/>
        </w:rPr>
        <w:t>50位热重分析仪全自动进样器</w:t>
      </w:r>
      <w:r>
        <w:rPr>
          <w:rFonts w:hint="eastAsia"/>
          <w:sz w:val="24"/>
        </w:rPr>
        <w:t>，</w:t>
      </w:r>
      <w:r>
        <w:rPr>
          <w:sz w:val="24"/>
        </w:rPr>
        <w:t>1套</w:t>
      </w:r>
    </w:p>
    <w:p w14:paraId="6A7B8322">
      <w:pPr>
        <w:spacing w:line="360" w:lineRule="auto"/>
        <w:rPr>
          <w:sz w:val="24"/>
        </w:rPr>
      </w:pPr>
      <w:r>
        <w:rPr>
          <w:rFonts w:hint="eastAsia"/>
          <w:sz w:val="24"/>
        </w:rPr>
        <w:t>（3）红外光谱仪，</w:t>
      </w:r>
      <w:r>
        <w:rPr>
          <w:sz w:val="24"/>
        </w:rPr>
        <w:t>1套</w:t>
      </w:r>
    </w:p>
    <w:p w14:paraId="00ED8451">
      <w:pPr>
        <w:spacing w:line="360" w:lineRule="auto"/>
        <w:rPr>
          <w:sz w:val="24"/>
        </w:rPr>
      </w:pPr>
      <w:r>
        <w:rPr>
          <w:rFonts w:hint="eastAsia"/>
          <w:sz w:val="24"/>
        </w:rPr>
        <w:t>（4）</w:t>
      </w:r>
      <w:r>
        <w:rPr>
          <w:sz w:val="24"/>
        </w:rPr>
        <w:t>红外金刚石ATR附件（含压力实时压力反馈）</w:t>
      </w:r>
      <w:r>
        <w:rPr>
          <w:rFonts w:hint="eastAsia"/>
          <w:sz w:val="24"/>
        </w:rPr>
        <w:t>，</w:t>
      </w:r>
      <w:r>
        <w:rPr>
          <w:sz w:val="24"/>
        </w:rPr>
        <w:t>1套</w:t>
      </w:r>
    </w:p>
    <w:p w14:paraId="17E9C6F4">
      <w:pPr>
        <w:spacing w:line="360" w:lineRule="auto"/>
        <w:rPr>
          <w:sz w:val="24"/>
        </w:rPr>
      </w:pPr>
      <w:r>
        <w:rPr>
          <w:rFonts w:hint="eastAsia"/>
          <w:sz w:val="24"/>
        </w:rPr>
        <w:t>（5）</w:t>
      </w:r>
      <w:r>
        <w:rPr>
          <w:sz w:val="24"/>
        </w:rPr>
        <w:t>气相质谱仪GC-MS部分</w:t>
      </w:r>
      <w:r>
        <w:rPr>
          <w:rFonts w:hint="eastAsia"/>
          <w:sz w:val="24"/>
        </w:rPr>
        <w:t>（</w:t>
      </w:r>
      <w:r>
        <w:rPr>
          <w:sz w:val="24"/>
        </w:rPr>
        <w:t>1个进样口、340L分子涡轮泵，真空规等</w:t>
      </w:r>
      <w:r>
        <w:rPr>
          <w:rFonts w:hint="eastAsia"/>
          <w:sz w:val="24"/>
        </w:rPr>
        <w:t>），</w:t>
      </w:r>
      <w:r>
        <w:rPr>
          <w:sz w:val="24"/>
        </w:rPr>
        <w:t>1套</w:t>
      </w:r>
    </w:p>
    <w:p w14:paraId="318CC440">
      <w:pPr>
        <w:spacing w:line="360" w:lineRule="auto"/>
        <w:rPr>
          <w:sz w:val="24"/>
        </w:rPr>
      </w:pPr>
      <w:r>
        <w:rPr>
          <w:rFonts w:hint="eastAsia"/>
          <w:sz w:val="24"/>
        </w:rPr>
        <w:t>（6）</w:t>
      </w:r>
      <w:r>
        <w:rPr>
          <w:sz w:val="24"/>
        </w:rPr>
        <w:t>联用接口部分（包含温度控制器、平衡载气系统、可控温气体池、电子气路切换阀GSV等）</w:t>
      </w:r>
      <w:r>
        <w:rPr>
          <w:rFonts w:hint="eastAsia"/>
          <w:sz w:val="24"/>
        </w:rPr>
        <w:t>，</w:t>
      </w:r>
      <w:r>
        <w:rPr>
          <w:sz w:val="24"/>
        </w:rPr>
        <w:t>1套</w:t>
      </w:r>
    </w:p>
    <w:p w14:paraId="04F3121A">
      <w:pPr>
        <w:spacing w:line="360" w:lineRule="auto"/>
        <w:rPr>
          <w:sz w:val="24"/>
        </w:rPr>
      </w:pPr>
      <w:r>
        <w:rPr>
          <w:rFonts w:hint="eastAsia"/>
          <w:sz w:val="24"/>
        </w:rPr>
        <w:t>（7）</w:t>
      </w:r>
      <w:r>
        <w:rPr>
          <w:sz w:val="24"/>
        </w:rPr>
        <w:t>数据处理系统（包含部分控制软件、联用控制软件、最新NIST谱库等、2套工作站电脑）</w:t>
      </w:r>
      <w:r>
        <w:rPr>
          <w:rFonts w:hint="eastAsia"/>
          <w:sz w:val="24"/>
        </w:rPr>
        <w:t>，</w:t>
      </w:r>
      <w:r>
        <w:rPr>
          <w:sz w:val="24"/>
        </w:rPr>
        <w:t>1套</w:t>
      </w:r>
    </w:p>
    <w:p w14:paraId="435938BB">
      <w:pPr>
        <w:spacing w:line="360" w:lineRule="auto"/>
        <w:rPr>
          <w:sz w:val="24"/>
        </w:rPr>
      </w:pPr>
      <w:r>
        <w:rPr>
          <w:rFonts w:hint="eastAsia"/>
          <w:sz w:val="24"/>
        </w:rPr>
        <w:t>（8）</w:t>
      </w:r>
      <w:r>
        <w:rPr>
          <w:sz w:val="24"/>
        </w:rPr>
        <w:t>主要耗材包</w:t>
      </w:r>
      <w:r>
        <w:rPr>
          <w:rFonts w:hint="eastAsia"/>
          <w:sz w:val="24"/>
        </w:rPr>
        <w:t>（包含但不限于</w:t>
      </w:r>
      <w:r>
        <w:rPr>
          <w:sz w:val="24"/>
        </w:rPr>
        <w:t>陶瓷样品盘50套</w:t>
      </w:r>
      <w:r>
        <w:rPr>
          <w:rFonts w:hint="eastAsia"/>
          <w:sz w:val="24"/>
        </w:rPr>
        <w:t>、</w:t>
      </w:r>
      <w:r>
        <w:rPr>
          <w:sz w:val="24"/>
        </w:rPr>
        <w:t>30m*0.25mm*0.25um质谱柱（非极性质谱柱）1根</w:t>
      </w:r>
      <w:r>
        <w:rPr>
          <w:rFonts w:hint="eastAsia"/>
          <w:sz w:val="24"/>
        </w:rPr>
        <w:t>、</w:t>
      </w:r>
      <w:r>
        <w:rPr>
          <w:sz w:val="24"/>
        </w:rPr>
        <w:t>624 MS: 30m*0.25mm*1.4µm 高端毛细管柱（中极性质谱柱）2根</w:t>
      </w:r>
      <w:r>
        <w:rPr>
          <w:rFonts w:hint="eastAsia"/>
          <w:sz w:val="24"/>
        </w:rPr>
        <w:t>、</w:t>
      </w:r>
      <w:r>
        <w:rPr>
          <w:sz w:val="24"/>
        </w:rPr>
        <w:t>进样硅胶隔垫50个</w:t>
      </w:r>
      <w:r>
        <w:rPr>
          <w:rFonts w:hint="eastAsia"/>
          <w:sz w:val="24"/>
        </w:rPr>
        <w:t>、</w:t>
      </w:r>
      <w:r>
        <w:rPr>
          <w:sz w:val="24"/>
        </w:rPr>
        <w:t>石墨密封垫50个</w:t>
      </w:r>
      <w:r>
        <w:rPr>
          <w:rFonts w:hint="eastAsia"/>
          <w:sz w:val="24"/>
        </w:rPr>
        <w:t>、</w:t>
      </w:r>
      <w:r>
        <w:rPr>
          <w:sz w:val="24"/>
        </w:rPr>
        <w:t>备用质谱灯丝1套</w:t>
      </w:r>
      <w:r>
        <w:rPr>
          <w:rFonts w:hint="eastAsia"/>
          <w:sz w:val="24"/>
        </w:rPr>
        <w:t>、</w:t>
      </w:r>
      <w:r>
        <w:rPr>
          <w:sz w:val="24"/>
        </w:rPr>
        <w:t>质谱载气过滤器1套</w:t>
      </w:r>
      <w:r>
        <w:rPr>
          <w:rFonts w:hint="eastAsia"/>
          <w:sz w:val="24"/>
        </w:rPr>
        <w:t>、</w:t>
      </w:r>
      <w:r>
        <w:rPr>
          <w:sz w:val="24"/>
        </w:rPr>
        <w:t>备用传输管线毛细管2套</w:t>
      </w:r>
      <w:r>
        <w:rPr>
          <w:rFonts w:hint="eastAsia"/>
          <w:sz w:val="24"/>
        </w:rPr>
        <w:t>、</w:t>
      </w:r>
      <w:r>
        <w:rPr>
          <w:sz w:val="24"/>
        </w:rPr>
        <w:t>备用气体池高温隔垫圈4个</w:t>
      </w:r>
      <w:r>
        <w:rPr>
          <w:rFonts w:hint="eastAsia"/>
          <w:sz w:val="24"/>
        </w:rPr>
        <w:t>、</w:t>
      </w:r>
      <w:r>
        <w:rPr>
          <w:sz w:val="24"/>
        </w:rPr>
        <w:t>备用KBr窗片2对</w:t>
      </w:r>
      <w:r>
        <w:rPr>
          <w:rFonts w:hint="eastAsia"/>
          <w:sz w:val="24"/>
        </w:rPr>
        <w:t>、</w:t>
      </w:r>
      <w:r>
        <w:rPr>
          <w:sz w:val="24"/>
        </w:rPr>
        <w:t>备用红外气体池排气管1套</w:t>
      </w:r>
      <w:r>
        <w:rPr>
          <w:rFonts w:hint="eastAsia"/>
          <w:sz w:val="24"/>
        </w:rPr>
        <w:t>、</w:t>
      </w:r>
      <w:r>
        <w:rPr>
          <w:sz w:val="24"/>
        </w:rPr>
        <w:t>尾气吸收粗过滤包1套</w:t>
      </w:r>
      <w:r>
        <w:rPr>
          <w:rFonts w:hint="eastAsia"/>
          <w:sz w:val="24"/>
        </w:rPr>
        <w:t>），1套</w:t>
      </w:r>
    </w:p>
    <w:p w14:paraId="1F1AE08B">
      <w:pPr>
        <w:spacing w:line="360" w:lineRule="auto"/>
        <w:rPr>
          <w:sz w:val="24"/>
        </w:rPr>
      </w:pPr>
      <w:r>
        <w:rPr>
          <w:rFonts w:hint="eastAsia"/>
          <w:sz w:val="24"/>
        </w:rPr>
        <w:t>（9）技术文件（包含但不限于</w:t>
      </w:r>
      <w:r>
        <w:rPr>
          <w:rFonts w:hint="eastAsia" w:cs="宋体"/>
          <w:kern w:val="0"/>
          <w:sz w:val="24"/>
        </w:rPr>
        <w:t>仪器电子版说明书、仪器电子版操作手册等</w:t>
      </w:r>
      <w:r>
        <w:rPr>
          <w:rFonts w:hint="eastAsia"/>
          <w:sz w:val="24"/>
        </w:rPr>
        <w:t>），1套</w:t>
      </w:r>
    </w:p>
    <w:p w14:paraId="765DC7A5">
      <w:pPr>
        <w:spacing w:line="360" w:lineRule="auto"/>
        <w:rPr>
          <w:b/>
          <w:sz w:val="24"/>
        </w:rPr>
      </w:pPr>
      <w:r>
        <w:rPr>
          <w:rFonts w:hint="eastAsia"/>
          <w:b/>
          <w:sz w:val="24"/>
        </w:rPr>
        <w:t>3.全自动平行多肽合成仪</w:t>
      </w:r>
    </w:p>
    <w:p w14:paraId="13BD7D02">
      <w:pPr>
        <w:spacing w:line="360" w:lineRule="auto"/>
        <w:rPr>
          <w:b/>
          <w:bCs/>
          <w:sz w:val="24"/>
        </w:rPr>
      </w:pPr>
      <w:r>
        <w:rPr>
          <w:rFonts w:hint="eastAsia"/>
          <w:b/>
          <w:sz w:val="24"/>
        </w:rPr>
        <w:t>3.1</w:t>
      </w:r>
      <w:r>
        <w:rPr>
          <w:rFonts w:hint="eastAsia"/>
          <w:b/>
          <w:bCs/>
          <w:sz w:val="24"/>
        </w:rPr>
        <w:t>工作条件</w:t>
      </w:r>
    </w:p>
    <w:p w14:paraId="467C3376">
      <w:pPr>
        <w:spacing w:line="360" w:lineRule="auto"/>
        <w:rPr>
          <w:sz w:val="24"/>
        </w:rPr>
      </w:pPr>
      <w:r>
        <w:rPr>
          <w:rFonts w:hint="eastAsia"/>
          <w:sz w:val="24"/>
        </w:rPr>
        <w:t xml:space="preserve">（1）工作电源：120V AC/60Hz或240V AC/60Hz； </w:t>
      </w:r>
    </w:p>
    <w:p w14:paraId="5890C4DB">
      <w:pPr>
        <w:spacing w:line="360" w:lineRule="auto"/>
        <w:rPr>
          <w:sz w:val="24"/>
        </w:rPr>
      </w:pPr>
      <w:r>
        <w:rPr>
          <w:rFonts w:hint="eastAsia"/>
          <w:sz w:val="24"/>
        </w:rPr>
        <w:t>（2）工作环境温度：5~40</w:t>
      </w:r>
      <w:r>
        <w:rPr>
          <w:bCs/>
          <w:sz w:val="24"/>
        </w:rPr>
        <w:t>℃</w:t>
      </w:r>
      <w:r>
        <w:rPr>
          <w:rFonts w:hint="eastAsia"/>
          <w:sz w:val="24"/>
        </w:rPr>
        <w:t>；</w:t>
      </w:r>
    </w:p>
    <w:p w14:paraId="0D522E15">
      <w:pPr>
        <w:spacing w:line="360" w:lineRule="auto"/>
        <w:rPr>
          <w:sz w:val="24"/>
        </w:rPr>
      </w:pPr>
      <w:r>
        <w:rPr>
          <w:rFonts w:hint="eastAsia"/>
          <w:sz w:val="24"/>
        </w:rPr>
        <w:t>（3）工作环境湿度：相对湿度5-85% RH；</w:t>
      </w:r>
    </w:p>
    <w:p w14:paraId="43AFA0FC">
      <w:pPr>
        <w:spacing w:line="360" w:lineRule="auto"/>
        <w:rPr>
          <w:sz w:val="24"/>
        </w:rPr>
      </w:pPr>
      <w:r>
        <w:rPr>
          <w:rFonts w:hint="eastAsia"/>
          <w:sz w:val="24"/>
        </w:rPr>
        <w:t>（4）气源：需惰性气体源（高纯度氮气或氩气），供气能力须达到25 psi（流量20 L/min）。</w:t>
      </w:r>
    </w:p>
    <w:p w14:paraId="3548114F">
      <w:pPr>
        <w:spacing w:line="360" w:lineRule="auto"/>
        <w:rPr>
          <w:b/>
          <w:bCs/>
          <w:sz w:val="24"/>
        </w:rPr>
      </w:pPr>
      <w:r>
        <w:rPr>
          <w:rFonts w:hint="eastAsia"/>
          <w:b/>
          <w:bCs/>
          <w:sz w:val="24"/>
        </w:rPr>
        <w:t xml:space="preserve">3.2仪器用途  </w:t>
      </w:r>
    </w:p>
    <w:p w14:paraId="6DD7FD0B">
      <w:pPr>
        <w:spacing w:line="360" w:lineRule="auto"/>
        <w:ind w:firstLine="480" w:firstLineChars="200"/>
        <w:rPr>
          <w:b/>
          <w:sz w:val="24"/>
        </w:rPr>
      </w:pPr>
      <w:r>
        <w:rPr>
          <w:rFonts w:hint="eastAsia"/>
          <w:sz w:val="24"/>
        </w:rPr>
        <w:t>全自动微波固相多肽合成仪是一种用于多肽固相合成与制备的自动化分析仪器，基于固相多肽合成原理，采用微波辅助加热促进氨基酸耦联与脱保护反应，可自动完成多种天然及非天然、修饰氨基酸的序列组装，合成常规肽、困难序列、长肽乃至小分子蛋白；可优化耦联与脱保护等工艺条件，评估合成纯度、产率与重复性，进行产物裂解及结构确证，满足多肽样品制备与合成方法开发的需要。可广泛应用于多肽药物研发、有机合成、生物化学与分子生物学研究、高通量多肽合成筛选、化学教学与科研，以及工艺放大与规模化生产等领域。</w:t>
      </w:r>
    </w:p>
    <w:p w14:paraId="75072E18">
      <w:pPr>
        <w:spacing w:line="360" w:lineRule="auto"/>
        <w:rPr>
          <w:b/>
          <w:bCs/>
          <w:sz w:val="24"/>
        </w:rPr>
      </w:pPr>
      <w:r>
        <w:rPr>
          <w:rFonts w:hint="eastAsia"/>
          <w:b/>
          <w:bCs/>
          <w:sz w:val="24"/>
        </w:rPr>
        <w:t>3.3技术指标</w:t>
      </w:r>
    </w:p>
    <w:p w14:paraId="486B3B5E">
      <w:pPr>
        <w:spacing w:line="360" w:lineRule="auto"/>
        <w:rPr>
          <w:sz w:val="24"/>
        </w:rPr>
      </w:pPr>
      <w:r>
        <w:rPr>
          <w:rFonts w:hint="eastAsia"/>
          <w:sz w:val="24"/>
        </w:rPr>
        <w:t>（1）加热方式：采用单模微波加热技术，微波功率≥300W，微波腔体体积≥300mL；</w:t>
      </w:r>
    </w:p>
    <w:p w14:paraId="36A60849">
      <w:pPr>
        <w:spacing w:line="360" w:lineRule="auto"/>
        <w:rPr>
          <w:sz w:val="24"/>
        </w:rPr>
      </w:pPr>
      <w:r>
        <w:rPr>
          <w:rFonts w:hint="eastAsia"/>
          <w:sz w:val="24"/>
        </w:rPr>
        <w:t>#（2）单通道合成区间：0.005~5mmol；合成速度：1小时内完成10肽标准ACP；合成0.1mmol的10肽，DMF总用量≤200mL；合成时间：每个氨基酸的连接周期不超过5分钟，包括试剂添加，脱保护，耦联以及洗涤；</w:t>
      </w:r>
      <w:r>
        <w:rPr>
          <w:rFonts w:hint="eastAsia"/>
          <w:b/>
          <w:bCs/>
          <w:sz w:val="24"/>
        </w:rPr>
        <w:t>（需提供设备厂家网站截图或彩页或实验数据佐证）</w:t>
      </w:r>
      <w:r>
        <w:rPr>
          <w:rFonts w:hint="eastAsia"/>
          <w:sz w:val="24"/>
        </w:rPr>
        <w:t>；</w:t>
      </w:r>
      <w:r>
        <w:rPr>
          <w:sz w:val="24"/>
        </w:rPr>
        <w:t>具备高通量组件，位数不小于4位，以满足实验室连续多肽的合成</w:t>
      </w:r>
      <w:r>
        <w:rPr>
          <w:rFonts w:hint="eastAsia"/>
          <w:sz w:val="24"/>
        </w:rPr>
        <w:t>；</w:t>
      </w:r>
    </w:p>
    <w:p w14:paraId="662DA2C2">
      <w:pPr>
        <w:spacing w:line="360" w:lineRule="auto"/>
        <w:rPr>
          <w:sz w:val="24"/>
        </w:rPr>
      </w:pPr>
      <w:r>
        <w:rPr>
          <w:rFonts w:hint="eastAsia"/>
          <w:sz w:val="24"/>
        </w:rPr>
        <w:t>（3）合成纯度：粗肽达90%，参比10肽标准ACP；</w:t>
      </w:r>
    </w:p>
    <w:p w14:paraId="55C3E8B8">
      <w:pPr>
        <w:spacing w:line="360" w:lineRule="auto"/>
        <w:rPr>
          <w:sz w:val="24"/>
        </w:rPr>
      </w:pPr>
      <w:r>
        <w:rPr>
          <w:rFonts w:hint="eastAsia"/>
          <w:sz w:val="24"/>
        </w:rPr>
        <w:t>（4）氨基酸管容量≥50mL；缩合剂瓶容量≥500mL；</w:t>
      </w:r>
    </w:p>
    <w:p w14:paraId="16382241">
      <w:pPr>
        <w:spacing w:line="360" w:lineRule="auto"/>
        <w:rPr>
          <w:sz w:val="24"/>
        </w:rPr>
      </w:pPr>
      <w:r>
        <w:rPr>
          <w:rFonts w:hint="eastAsia"/>
          <w:sz w:val="24"/>
        </w:rPr>
        <w:t>（5）反应容器至少二种规格，通过选择不同的反应器，实现微量多肽合成和生产级多肽合成在同一仪器上的合二为一；</w:t>
      </w:r>
    </w:p>
    <w:p w14:paraId="4A14CFBD">
      <w:pPr>
        <w:spacing w:line="360" w:lineRule="auto"/>
        <w:rPr>
          <w:sz w:val="24"/>
        </w:rPr>
      </w:pPr>
      <w:r>
        <w:rPr>
          <w:rFonts w:hint="eastAsia"/>
          <w:sz w:val="24"/>
        </w:rPr>
        <w:t>（6）氨基酸容器：27个及以上；</w:t>
      </w:r>
    </w:p>
    <w:p w14:paraId="74781B04">
      <w:pPr>
        <w:spacing w:line="360" w:lineRule="auto"/>
        <w:rPr>
          <w:sz w:val="24"/>
        </w:rPr>
      </w:pPr>
      <w:r>
        <w:rPr>
          <w:rFonts w:hint="eastAsia"/>
          <w:sz w:val="24"/>
        </w:rPr>
        <w:t>（7）外部试剂瓶：4个及以上；</w:t>
      </w:r>
    </w:p>
    <w:p w14:paraId="5E5207D9">
      <w:pPr>
        <w:spacing w:line="360" w:lineRule="auto"/>
        <w:rPr>
          <w:sz w:val="24"/>
        </w:rPr>
      </w:pPr>
      <w:r>
        <w:rPr>
          <w:rFonts w:hint="eastAsia"/>
          <w:sz w:val="24"/>
        </w:rPr>
        <w:t>（8）温度控制：插入式温度控制系统，直接测量反应溶液的温度，控制精度±1℃；</w:t>
      </w:r>
    </w:p>
    <w:p w14:paraId="44595AF4">
      <w:pPr>
        <w:spacing w:line="360" w:lineRule="auto"/>
        <w:rPr>
          <w:sz w:val="24"/>
        </w:rPr>
      </w:pPr>
      <w:r>
        <w:rPr>
          <w:rFonts w:hint="eastAsia"/>
          <w:sz w:val="24"/>
        </w:rPr>
        <w:t>（9）试剂添加过程全程具有惰性气体保护；</w:t>
      </w:r>
    </w:p>
    <w:p w14:paraId="4891E345">
      <w:pPr>
        <w:spacing w:line="360" w:lineRule="auto"/>
        <w:rPr>
          <w:sz w:val="24"/>
        </w:rPr>
      </w:pPr>
      <w:r>
        <w:rPr>
          <w:rFonts w:hint="eastAsia"/>
          <w:sz w:val="24"/>
        </w:rPr>
        <w:t>（10）样品搅拌：氮气气泡搅拌；</w:t>
      </w:r>
    </w:p>
    <w:p w14:paraId="51C47EC3">
      <w:pPr>
        <w:spacing w:line="360" w:lineRule="auto"/>
        <w:rPr>
          <w:sz w:val="24"/>
        </w:rPr>
      </w:pPr>
      <w:r>
        <w:rPr>
          <w:rFonts w:hint="eastAsia"/>
          <w:sz w:val="24"/>
        </w:rPr>
        <w:t>#（11）内置≥100w像素摄像头组件，可观察反应状态和反应进程；</w:t>
      </w:r>
    </w:p>
    <w:p w14:paraId="7D32BF81">
      <w:pPr>
        <w:spacing w:line="360" w:lineRule="auto"/>
        <w:rPr>
          <w:sz w:val="24"/>
        </w:rPr>
      </w:pPr>
      <w:r>
        <w:rPr>
          <w:rFonts w:hint="eastAsia"/>
          <w:sz w:val="24"/>
        </w:rPr>
        <w:t>★（12）自动化合成：全自动多肽合成，集成所有天然氨基酸的合成方法，可任意编写特殊氨基酸的合成策略；</w:t>
      </w:r>
    </w:p>
    <w:p w14:paraId="7A0812C5">
      <w:pPr>
        <w:spacing w:line="360" w:lineRule="auto"/>
        <w:rPr>
          <w:sz w:val="24"/>
        </w:rPr>
      </w:pPr>
      <w:r>
        <w:rPr>
          <w:rFonts w:hint="eastAsia"/>
          <w:sz w:val="24"/>
        </w:rPr>
        <w:t>（13）具备LED空瓶指示功能，多肽合成过程中，当氨基酸溶液耗尽时应有指示灯指示合成人员补加氨基酸溶液；</w:t>
      </w:r>
    </w:p>
    <w:p w14:paraId="1745158C">
      <w:pPr>
        <w:spacing w:line="360" w:lineRule="auto"/>
        <w:rPr>
          <w:sz w:val="24"/>
        </w:rPr>
      </w:pPr>
      <w:r>
        <w:rPr>
          <w:rFonts w:hint="eastAsia"/>
          <w:sz w:val="24"/>
        </w:rPr>
        <w:t>#（14）具有反应器顶空清洗功能，清洗压力0~25psi可设置；</w:t>
      </w:r>
    </w:p>
    <w:p w14:paraId="04E2253C">
      <w:pPr>
        <w:spacing w:line="360" w:lineRule="auto"/>
        <w:rPr>
          <w:sz w:val="24"/>
        </w:rPr>
      </w:pPr>
      <w:r>
        <w:rPr>
          <w:rFonts w:hint="eastAsia"/>
          <w:sz w:val="24"/>
        </w:rPr>
        <w:t>（1</w:t>
      </w:r>
      <w:r>
        <w:rPr>
          <w:rFonts w:hint="eastAsia"/>
          <w:sz w:val="24"/>
          <w:lang w:val="en-US" w:eastAsia="zh-CN"/>
        </w:rPr>
        <w:t>5</w:t>
      </w:r>
      <w:r>
        <w:rPr>
          <w:rFonts w:hint="eastAsia"/>
          <w:sz w:val="24"/>
        </w:rPr>
        <w:t>）反应器材质：为耐腐蚀材质，过滤片可单独更换；</w:t>
      </w:r>
    </w:p>
    <w:p w14:paraId="79C8AFEF">
      <w:pPr>
        <w:spacing w:line="360" w:lineRule="auto"/>
        <w:rPr>
          <w:sz w:val="24"/>
        </w:rPr>
      </w:pPr>
      <w:r>
        <w:rPr>
          <w:rFonts w:hint="eastAsia"/>
          <w:sz w:val="24"/>
        </w:rPr>
        <w:t>（1</w:t>
      </w:r>
      <w:r>
        <w:rPr>
          <w:rFonts w:hint="eastAsia"/>
          <w:sz w:val="24"/>
          <w:lang w:val="en-US" w:eastAsia="zh-CN"/>
        </w:rPr>
        <w:t>6</w:t>
      </w:r>
      <w:r>
        <w:rPr>
          <w:rFonts w:hint="eastAsia"/>
          <w:sz w:val="24"/>
        </w:rPr>
        <w:t>）具备废液瓶满瓶传感器，可提示满瓶以防溢液；</w:t>
      </w:r>
    </w:p>
    <w:p w14:paraId="7E16D27C">
      <w:pPr>
        <w:spacing w:line="360" w:lineRule="auto"/>
        <w:rPr>
          <w:sz w:val="24"/>
        </w:rPr>
      </w:pPr>
      <w:r>
        <w:rPr>
          <w:rFonts w:hint="eastAsia"/>
          <w:sz w:val="24"/>
        </w:rPr>
        <w:t>（1</w:t>
      </w:r>
      <w:r>
        <w:rPr>
          <w:rFonts w:hint="eastAsia"/>
          <w:sz w:val="24"/>
          <w:lang w:val="en-US" w:eastAsia="zh-CN"/>
        </w:rPr>
        <w:t>7</w:t>
      </w:r>
      <w:r>
        <w:rPr>
          <w:rFonts w:hint="eastAsia"/>
          <w:sz w:val="24"/>
        </w:rPr>
        <w:t>）具备氨基酸合成数据库，针对不同的氨基酸内置有不同的合成条件，以提高多肽纯度；</w:t>
      </w:r>
    </w:p>
    <w:p w14:paraId="25B197A1">
      <w:pPr>
        <w:spacing w:line="360" w:lineRule="auto"/>
        <w:rPr>
          <w:sz w:val="24"/>
        </w:rPr>
      </w:pPr>
      <w:r>
        <w:rPr>
          <w:rFonts w:hint="eastAsia"/>
          <w:sz w:val="24"/>
        </w:rPr>
        <w:t>（1</w:t>
      </w:r>
      <w:r>
        <w:rPr>
          <w:rFonts w:hint="eastAsia"/>
          <w:sz w:val="24"/>
          <w:lang w:val="en-US" w:eastAsia="zh-CN"/>
        </w:rPr>
        <w:t>8</w:t>
      </w:r>
      <w:r>
        <w:rPr>
          <w:rFonts w:hint="eastAsia"/>
          <w:sz w:val="24"/>
        </w:rPr>
        <w:t>）试剂计算显示，自动计算试剂添加量和流量支持自我诊断和自动管路清洗；可以实时暂停反应，进行氨基酸或其他试剂的补充以及修改合成方法；</w:t>
      </w:r>
    </w:p>
    <w:p w14:paraId="07D991C4">
      <w:pPr>
        <w:spacing w:line="360" w:lineRule="auto"/>
        <w:rPr>
          <w:sz w:val="24"/>
        </w:rPr>
      </w:pPr>
      <w:r>
        <w:rPr>
          <w:rFonts w:hint="eastAsia"/>
          <w:sz w:val="24"/>
        </w:rPr>
        <w:t>★</w:t>
      </w:r>
      <w:r>
        <w:rPr>
          <w:sz w:val="24"/>
        </w:rPr>
        <w:t>（</w:t>
      </w:r>
      <w:r>
        <w:rPr>
          <w:rFonts w:hint="eastAsia"/>
          <w:sz w:val="24"/>
        </w:rPr>
        <w:t>1</w:t>
      </w:r>
      <w:r>
        <w:rPr>
          <w:rFonts w:hint="eastAsia"/>
          <w:sz w:val="24"/>
          <w:lang w:val="en-US" w:eastAsia="zh-CN"/>
        </w:rPr>
        <w:t>9</w:t>
      </w:r>
      <w:r>
        <w:rPr>
          <w:sz w:val="24"/>
        </w:rPr>
        <w:t>）</w:t>
      </w:r>
      <w:r>
        <w:rPr>
          <w:rFonts w:hint="eastAsia"/>
          <w:sz w:val="24"/>
        </w:rPr>
        <w:t>设备需具备成熟的智能化接口与通信能力，能够接入招标人的智慧实验室设备控制系统，实现统一协同调度，保障设备后续可顺畅接入整体智慧实验室生态；设备需支持控制系统进行数据统一采集与存储，具备开放的数据读取接口。采集数据须包括但不限于：设备的检测条件（如温度、微波功率等）、对应测试结果数据、样品信息及操作日志。数据输出格式须为标准通用格式（如CSV、XML、JSON等国际标准协议），严禁采用私有加密格式，确保数据可被第三方系统直接解析与调用。</w:t>
      </w:r>
      <w:r>
        <w:rPr>
          <w:rFonts w:hint="eastAsia"/>
          <w:b/>
          <w:bCs/>
          <w:sz w:val="24"/>
        </w:rPr>
        <w:t>（需提供设备原厂出具的接口开放及配合完成系统联调承诺函）</w:t>
      </w:r>
    </w:p>
    <w:p w14:paraId="406065DB">
      <w:pPr>
        <w:spacing w:line="360" w:lineRule="auto"/>
        <w:rPr>
          <w:b/>
          <w:bCs/>
          <w:sz w:val="24"/>
        </w:rPr>
      </w:pPr>
      <w:r>
        <w:rPr>
          <w:rFonts w:hint="eastAsia"/>
          <w:b/>
          <w:bCs/>
          <w:sz w:val="24"/>
        </w:rPr>
        <w:t>3.4产品配置要求</w:t>
      </w:r>
    </w:p>
    <w:p w14:paraId="17CA614C">
      <w:pPr>
        <w:spacing w:line="360" w:lineRule="auto"/>
        <w:rPr>
          <w:sz w:val="24"/>
        </w:rPr>
      </w:pPr>
      <w:r>
        <w:rPr>
          <w:rFonts w:hint="eastAsia"/>
          <w:sz w:val="24"/>
        </w:rPr>
        <w:t>（1）</w:t>
      </w:r>
      <w:r>
        <w:rPr>
          <w:rFonts w:cs="宋体" w:asciiTheme="minorHAnsi" w:hAnsiTheme="minorHAnsi"/>
          <w:sz w:val="24"/>
        </w:rPr>
        <w:t>多肽合成全自动进样系统</w:t>
      </w:r>
      <w:r>
        <w:rPr>
          <w:rFonts w:hint="eastAsia"/>
          <w:sz w:val="24"/>
        </w:rPr>
        <w:t>，1套</w:t>
      </w:r>
    </w:p>
    <w:p w14:paraId="73A23D85">
      <w:pPr>
        <w:spacing w:line="360" w:lineRule="auto"/>
        <w:rPr>
          <w:sz w:val="24"/>
        </w:rPr>
      </w:pPr>
      <w:r>
        <w:rPr>
          <w:rFonts w:hint="eastAsia"/>
          <w:sz w:val="24"/>
        </w:rPr>
        <w:t>（2）</w:t>
      </w:r>
      <w:r>
        <w:rPr>
          <w:rFonts w:cs="宋体" w:asciiTheme="minorHAnsi" w:hAnsiTheme="minorHAnsi"/>
          <w:sz w:val="24"/>
        </w:rPr>
        <w:t>微波反应系统</w:t>
      </w:r>
      <w:r>
        <w:rPr>
          <w:rFonts w:hint="eastAsia"/>
          <w:sz w:val="24"/>
        </w:rPr>
        <w:t>，1套</w:t>
      </w:r>
    </w:p>
    <w:p w14:paraId="45D60BB1">
      <w:pPr>
        <w:spacing w:line="360" w:lineRule="auto"/>
        <w:rPr>
          <w:sz w:val="24"/>
        </w:rPr>
      </w:pPr>
      <w:r>
        <w:rPr>
          <w:rFonts w:hint="eastAsia"/>
          <w:sz w:val="24"/>
        </w:rPr>
        <w:t>（3）30mL反应器，1套</w:t>
      </w:r>
    </w:p>
    <w:p w14:paraId="3018EE3F">
      <w:pPr>
        <w:spacing w:line="360" w:lineRule="auto"/>
        <w:rPr>
          <w:sz w:val="24"/>
        </w:rPr>
      </w:pPr>
      <w:r>
        <w:rPr>
          <w:rFonts w:hint="eastAsia"/>
          <w:sz w:val="24"/>
        </w:rPr>
        <w:t>（4）50mL反应器，1套</w:t>
      </w:r>
    </w:p>
    <w:p w14:paraId="002EB066">
      <w:pPr>
        <w:spacing w:line="360" w:lineRule="auto"/>
        <w:rPr>
          <w:sz w:val="24"/>
        </w:rPr>
      </w:pPr>
      <w:r>
        <w:rPr>
          <w:rFonts w:hint="eastAsia"/>
          <w:sz w:val="24"/>
        </w:rPr>
        <w:t>（5）125mL反应器，1套</w:t>
      </w:r>
    </w:p>
    <w:p w14:paraId="5EC19844">
      <w:pPr>
        <w:spacing w:line="360" w:lineRule="auto"/>
        <w:rPr>
          <w:sz w:val="24"/>
        </w:rPr>
      </w:pPr>
      <w:r>
        <w:rPr>
          <w:rFonts w:hint="eastAsia"/>
          <w:sz w:val="24"/>
        </w:rPr>
        <w:t>（6）30mL氨基酸瓶，1套</w:t>
      </w:r>
    </w:p>
    <w:p w14:paraId="0D5D5564">
      <w:pPr>
        <w:spacing w:line="360" w:lineRule="auto"/>
        <w:rPr>
          <w:sz w:val="24"/>
        </w:rPr>
      </w:pPr>
      <w:r>
        <w:rPr>
          <w:rFonts w:hint="eastAsia"/>
          <w:sz w:val="24"/>
        </w:rPr>
        <w:t>（7）</w:t>
      </w:r>
      <w:r>
        <w:rPr>
          <w:rFonts w:cs="宋体" w:asciiTheme="minorHAnsi" w:hAnsiTheme="minorHAnsi"/>
          <w:sz w:val="24"/>
        </w:rPr>
        <w:t>外接试剂瓶</w:t>
      </w:r>
      <w:r>
        <w:rPr>
          <w:rFonts w:hint="eastAsia"/>
          <w:sz w:val="24"/>
        </w:rPr>
        <w:t>，2个</w:t>
      </w:r>
    </w:p>
    <w:p w14:paraId="69EEFED4">
      <w:pPr>
        <w:spacing w:line="360" w:lineRule="auto"/>
        <w:rPr>
          <w:sz w:val="24"/>
        </w:rPr>
      </w:pPr>
      <w:r>
        <w:rPr>
          <w:rFonts w:hint="eastAsia"/>
          <w:sz w:val="24"/>
        </w:rPr>
        <w:t>（8）</w:t>
      </w:r>
      <w:r>
        <w:rPr>
          <w:rFonts w:cs="宋体" w:asciiTheme="minorHAnsi" w:hAnsiTheme="minorHAnsi"/>
          <w:sz w:val="24"/>
        </w:rPr>
        <w:t>废液瓶</w:t>
      </w:r>
      <w:r>
        <w:rPr>
          <w:rFonts w:hint="eastAsia"/>
          <w:sz w:val="24"/>
        </w:rPr>
        <w:t>，1个</w:t>
      </w:r>
    </w:p>
    <w:p w14:paraId="28559958">
      <w:pPr>
        <w:spacing w:line="360" w:lineRule="auto"/>
        <w:rPr>
          <w:sz w:val="24"/>
        </w:rPr>
      </w:pPr>
      <w:r>
        <w:rPr>
          <w:rFonts w:hint="eastAsia"/>
          <w:sz w:val="24"/>
        </w:rPr>
        <w:t>（9）</w:t>
      </w:r>
      <w:r>
        <w:rPr>
          <w:rFonts w:cs="宋体" w:asciiTheme="minorHAnsi" w:hAnsiTheme="minorHAnsi"/>
          <w:sz w:val="24"/>
        </w:rPr>
        <w:t>废液传感器组件</w:t>
      </w:r>
      <w:r>
        <w:rPr>
          <w:rFonts w:hint="eastAsia"/>
          <w:sz w:val="24"/>
        </w:rPr>
        <w:t>，1个</w:t>
      </w:r>
    </w:p>
    <w:p w14:paraId="7189C44B">
      <w:pPr>
        <w:spacing w:line="360" w:lineRule="auto"/>
        <w:rPr>
          <w:rFonts w:cs="宋体" w:asciiTheme="minorHAnsi" w:hAnsiTheme="minorHAnsi"/>
          <w:sz w:val="24"/>
        </w:rPr>
      </w:pPr>
      <w:r>
        <w:rPr>
          <w:rFonts w:hint="eastAsia"/>
          <w:sz w:val="24"/>
        </w:rPr>
        <w:t>（10）</w:t>
      </w:r>
      <w:r>
        <w:rPr>
          <w:rFonts w:cs="宋体" w:asciiTheme="minorHAnsi" w:hAnsiTheme="minorHAnsi"/>
          <w:sz w:val="24"/>
        </w:rPr>
        <w:t>多功能螺丝工具</w:t>
      </w:r>
      <w:r>
        <w:rPr>
          <w:rFonts w:hint="eastAsia" w:cs="宋体" w:asciiTheme="minorHAnsi" w:hAnsiTheme="minorHAnsi"/>
          <w:sz w:val="24"/>
        </w:rPr>
        <w:t>，</w:t>
      </w:r>
      <w:r>
        <w:rPr>
          <w:rFonts w:hint="eastAsia"/>
          <w:sz w:val="24"/>
        </w:rPr>
        <w:t>1</w:t>
      </w:r>
      <w:r>
        <w:rPr>
          <w:rFonts w:hint="eastAsia" w:cs="宋体" w:asciiTheme="minorHAnsi" w:hAnsiTheme="minorHAnsi"/>
          <w:sz w:val="24"/>
        </w:rPr>
        <w:t>套</w:t>
      </w:r>
    </w:p>
    <w:p w14:paraId="06DB7E4F">
      <w:pPr>
        <w:spacing w:line="360" w:lineRule="auto"/>
        <w:rPr>
          <w:sz w:val="24"/>
        </w:rPr>
      </w:pPr>
      <w:r>
        <w:rPr>
          <w:rFonts w:hint="eastAsia"/>
          <w:sz w:val="24"/>
        </w:rPr>
        <w:t>（11）工作站，1台</w:t>
      </w:r>
    </w:p>
    <w:p w14:paraId="545BAD0E">
      <w:pPr>
        <w:spacing w:line="360" w:lineRule="auto"/>
        <w:rPr>
          <w:sz w:val="24"/>
        </w:rPr>
      </w:pPr>
      <w:r>
        <w:rPr>
          <w:rFonts w:hint="eastAsia"/>
          <w:sz w:val="24"/>
        </w:rPr>
        <w:t>（12）技术文件（包含但不限于</w:t>
      </w:r>
      <w:r>
        <w:rPr>
          <w:rFonts w:hint="eastAsia" w:cs="宋体"/>
          <w:kern w:val="0"/>
          <w:sz w:val="24"/>
        </w:rPr>
        <w:t>仪器电子版说明书、仪器电子版操作手册等</w:t>
      </w:r>
      <w:r>
        <w:rPr>
          <w:rFonts w:hint="eastAsia"/>
          <w:sz w:val="24"/>
        </w:rPr>
        <w:t>），1套</w:t>
      </w:r>
    </w:p>
    <w:p w14:paraId="64C2DC86">
      <w:pPr>
        <w:spacing w:line="360" w:lineRule="auto"/>
        <w:jc w:val="left"/>
        <w:rPr>
          <w:b/>
          <w:sz w:val="24"/>
        </w:rPr>
      </w:pPr>
      <w:r>
        <w:rPr>
          <w:rFonts w:hint="eastAsia"/>
          <w:b/>
          <w:sz w:val="24"/>
        </w:rPr>
        <w:t>（三）质保及售后服务</w:t>
      </w:r>
    </w:p>
    <w:p w14:paraId="06529676">
      <w:pPr>
        <w:spacing w:line="360" w:lineRule="auto"/>
        <w:rPr>
          <w:sz w:val="24"/>
        </w:rPr>
      </w:pPr>
      <w:r>
        <w:rPr>
          <w:sz w:val="24"/>
        </w:rPr>
        <w:t>1</w:t>
      </w:r>
      <w:r>
        <w:rPr>
          <w:rFonts w:hint="eastAsia"/>
          <w:sz w:val="24"/>
        </w:rPr>
        <w:t>.</w:t>
      </w:r>
      <w:r>
        <w:rPr>
          <w:sz w:val="24"/>
        </w:rPr>
        <w:t>技术保障：中标人24小时内对用户的报修申请做出响应。一般性问题应在48小时内解决；对于在48小时内无法解决的其它较大的问题，应在3天内给以解决；对于在3天内不能解决的问题，应提出明确的解决方案，得到用户的认可后，在预定的期限内解决问题，质保期内设备损坏，如7天内没解决，则顺应延长设备质保期。</w:t>
      </w:r>
    </w:p>
    <w:p w14:paraId="5851F44B">
      <w:pPr>
        <w:spacing w:line="360" w:lineRule="auto"/>
        <w:rPr>
          <w:sz w:val="24"/>
        </w:rPr>
      </w:pPr>
      <w:r>
        <w:rPr>
          <w:rFonts w:hint="eastAsia"/>
          <w:sz w:val="24"/>
        </w:rPr>
        <w:t>2.安装、调试保证：收到用户安装仪器通知后，在两周之内厂方安排安装工程师前往现场免费安装调试仪器。时间约为3天。仪器安装后，仪器公司安装工程师为用户提供现场培训，直到用户充分掌握该设备使用技巧。</w:t>
      </w:r>
    </w:p>
    <w:p w14:paraId="0BA96FF5">
      <w:pPr>
        <w:spacing w:line="360" w:lineRule="auto"/>
        <w:rPr>
          <w:sz w:val="24"/>
        </w:rPr>
      </w:pPr>
      <w:r>
        <w:rPr>
          <w:rFonts w:hint="eastAsia"/>
          <w:sz w:val="24"/>
        </w:rPr>
        <w:t>3.培训：</w:t>
      </w:r>
    </w:p>
    <w:p w14:paraId="1AFD21C8">
      <w:pPr>
        <w:spacing w:line="360" w:lineRule="auto"/>
        <w:rPr>
          <w:sz w:val="24"/>
        </w:rPr>
      </w:pPr>
      <w:r>
        <w:rPr>
          <w:rFonts w:hint="eastAsia"/>
          <w:sz w:val="24"/>
        </w:rPr>
        <w:t>3.1</w:t>
      </w:r>
      <w:r>
        <w:rPr>
          <w:rFonts w:hint="eastAsia" w:ascii="宋体" w:hAnsi="宋体"/>
          <w:sz w:val="24"/>
        </w:rPr>
        <w:t>仪器日常使用安全及注意事项培训：中标人承诺仪器安装完毕后指派专业服务工程师对操作人员进行为期</w:t>
      </w:r>
      <w:r>
        <w:rPr>
          <w:sz w:val="24"/>
        </w:rPr>
        <w:t>2</w:t>
      </w:r>
      <w:r>
        <w:rPr>
          <w:rFonts w:hint="eastAsia" w:ascii="宋体" w:hAnsi="宋体"/>
          <w:sz w:val="24"/>
        </w:rPr>
        <w:t>天的仪器使用、日常维护、安全知识及注意事项培训，以保障操作人员的安全和设备安全。</w:t>
      </w:r>
    </w:p>
    <w:p w14:paraId="2B59097B">
      <w:pPr>
        <w:spacing w:line="360" w:lineRule="auto"/>
        <w:rPr>
          <w:sz w:val="24"/>
        </w:rPr>
      </w:pPr>
      <w:r>
        <w:rPr>
          <w:sz w:val="24"/>
        </w:rPr>
        <w:t>3.2仪器使用操作基础应用培训：中标人承诺仪器安装完毕、日常使用安全及注意事项培训结束后，指派专业应用工程师在采购人现场对用户操作人员进行设备操作培训，培训时间不少于2天，并保证用户至少2人完全掌握设备的操作。</w:t>
      </w:r>
    </w:p>
    <w:p w14:paraId="128F52C7">
      <w:pPr>
        <w:spacing w:line="360" w:lineRule="auto"/>
        <w:rPr>
          <w:sz w:val="24"/>
        </w:rPr>
      </w:pPr>
      <w:r>
        <w:rPr>
          <w:rFonts w:hint="eastAsia"/>
          <w:sz w:val="24"/>
        </w:rPr>
        <w:t>3.3</w:t>
      </w:r>
      <w:r>
        <w:rPr>
          <w:rFonts w:hint="eastAsia" w:ascii="宋体" w:hAnsi="宋体"/>
          <w:sz w:val="24"/>
        </w:rPr>
        <w:t>培训内容包括：仪器的技术原理、操作、样品制备、数据分析等。</w:t>
      </w:r>
    </w:p>
    <w:p w14:paraId="405F78DF">
      <w:pPr>
        <w:spacing w:line="360" w:lineRule="auto"/>
        <w:rPr>
          <w:sz w:val="24"/>
        </w:rPr>
      </w:pPr>
      <w:r>
        <w:rPr>
          <w:rFonts w:hint="eastAsia"/>
          <w:sz w:val="24"/>
        </w:rPr>
        <w:t>4.质保期：仪器整机质保1年，</w:t>
      </w:r>
      <w:r>
        <w:rPr>
          <w:rFonts w:hint="eastAsia" w:ascii="宋体" w:hAnsi="宋体"/>
          <w:sz w:val="24"/>
        </w:rPr>
        <w:t>质保期自货物安装调试结束双方签署验收报告的次日起开始计算。质保期内发生与保修相关的一切费用由中标人承担；实行售后跟踪服务，质保期内定期回访。质保期时限及质保期满后的维修承诺由中标人根据自身情况在投标文件中一并列明。</w:t>
      </w:r>
    </w:p>
    <w:p w14:paraId="1B08DF29">
      <w:pPr>
        <w:spacing w:line="360" w:lineRule="auto"/>
        <w:rPr>
          <w:b/>
          <w:bCs/>
          <w:sz w:val="24"/>
        </w:rPr>
      </w:pPr>
      <w:r>
        <w:rPr>
          <w:rFonts w:hint="eastAsia"/>
          <w:b/>
          <w:bCs/>
          <w:sz w:val="24"/>
        </w:rPr>
        <w:t>（四）订货数量</w:t>
      </w:r>
    </w:p>
    <w:p w14:paraId="66B5A58C">
      <w:pPr>
        <w:spacing w:line="360" w:lineRule="auto"/>
        <w:ind w:firstLine="480" w:firstLineChars="200"/>
        <w:rPr>
          <w:sz w:val="24"/>
        </w:rPr>
      </w:pPr>
      <w:r>
        <w:rPr>
          <w:rFonts w:hint="eastAsia"/>
          <w:sz w:val="24"/>
        </w:rPr>
        <w:t>原位拉曼光谱仪，1套。</w:t>
      </w:r>
    </w:p>
    <w:p w14:paraId="01D611DC">
      <w:pPr>
        <w:spacing w:line="360" w:lineRule="auto"/>
        <w:ind w:firstLine="480" w:firstLineChars="200"/>
        <w:rPr>
          <w:sz w:val="24"/>
        </w:rPr>
      </w:pPr>
      <w:r>
        <w:rPr>
          <w:rFonts w:hint="eastAsia"/>
          <w:sz w:val="24"/>
        </w:rPr>
        <w:t>热重-红外-气质联用仪，1套。</w:t>
      </w:r>
    </w:p>
    <w:p w14:paraId="308B28F5">
      <w:pPr>
        <w:spacing w:line="360" w:lineRule="auto"/>
        <w:ind w:firstLine="480" w:firstLineChars="200"/>
        <w:rPr>
          <w:sz w:val="24"/>
        </w:rPr>
      </w:pPr>
      <w:r>
        <w:rPr>
          <w:rFonts w:hint="eastAsia"/>
          <w:sz w:val="24"/>
        </w:rPr>
        <w:t>全自动平行多肽合成仪，1套。</w:t>
      </w:r>
    </w:p>
    <w:p w14:paraId="30F4E781">
      <w:pPr>
        <w:spacing w:line="360" w:lineRule="auto"/>
        <w:rPr>
          <w:b/>
          <w:bCs/>
          <w:sz w:val="24"/>
        </w:rPr>
      </w:pPr>
      <w:r>
        <w:rPr>
          <w:rFonts w:hint="eastAsia"/>
          <w:b/>
          <w:bCs/>
          <w:sz w:val="24"/>
        </w:rPr>
        <w:t>（五）交货日期</w:t>
      </w:r>
    </w:p>
    <w:p w14:paraId="51CC839F">
      <w:pPr>
        <w:spacing w:line="360" w:lineRule="auto"/>
        <w:ind w:firstLine="480" w:firstLineChars="200"/>
        <w:rPr>
          <w:sz w:val="24"/>
        </w:rPr>
      </w:pPr>
      <w:r>
        <w:rPr>
          <w:rFonts w:hint="eastAsia"/>
          <w:sz w:val="24"/>
        </w:rPr>
        <w:t>所有设备需在合同生效后4个月内完成到货、安装及调试。</w:t>
      </w:r>
    </w:p>
    <w:p w14:paraId="0C40BC11">
      <w:pPr>
        <w:spacing w:line="360" w:lineRule="auto"/>
        <w:rPr>
          <w:b/>
          <w:bCs/>
          <w:sz w:val="24"/>
        </w:rPr>
      </w:pPr>
      <w:r>
        <w:rPr>
          <w:rFonts w:hint="eastAsia"/>
          <w:b/>
          <w:bCs/>
          <w:sz w:val="24"/>
        </w:rPr>
        <w:t>（六）交货地点（项目现场）</w:t>
      </w:r>
    </w:p>
    <w:p w14:paraId="62C0D3EB">
      <w:pPr>
        <w:spacing w:line="360" w:lineRule="auto"/>
        <w:ind w:firstLine="480" w:firstLineChars="200"/>
        <w:rPr>
          <w:sz w:val="24"/>
        </w:rPr>
      </w:pPr>
      <w:r>
        <w:rPr>
          <w:rFonts w:hint="eastAsia"/>
          <w:sz w:val="24"/>
        </w:rPr>
        <w:t>中国科学院福建物质结构研究所指定实验室</w:t>
      </w:r>
    </w:p>
    <w:p w14:paraId="5A807DE1">
      <w:pPr>
        <w:spacing w:line="360" w:lineRule="auto"/>
        <w:rPr>
          <w:sz w:val="24"/>
        </w:rPr>
      </w:pPr>
      <w:r>
        <w:rPr>
          <w:rFonts w:hint="eastAsia"/>
          <w:b/>
          <w:bCs/>
          <w:sz w:val="24"/>
        </w:rPr>
        <w:t xml:space="preserve">（七）付款方式： </w:t>
      </w:r>
      <w:r>
        <w:rPr>
          <w:rFonts w:hint="eastAsia"/>
          <w:sz w:val="24"/>
        </w:rPr>
        <w:t xml:space="preserve">                                        </w:t>
      </w:r>
    </w:p>
    <w:p w14:paraId="3B80880C">
      <w:pPr>
        <w:spacing w:line="360" w:lineRule="auto"/>
        <w:ind w:firstLine="480" w:firstLineChars="200"/>
        <w:rPr>
          <w:color w:val="000000"/>
          <w:sz w:val="24"/>
        </w:rPr>
      </w:pPr>
      <w:r>
        <w:rPr>
          <w:sz w:val="24"/>
        </w:rPr>
        <w:t>合同签订完成后甲方支付40%合同预付款；乙方设备到货并经甲方签收确认后，甲方支付50%合同款；货物通过最终验收，且乙方提交等额增值税专用发票后凭用户代表签字并加盖单位公章后的验收报告支付剩余的10%。</w:t>
      </w: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Malgun Gothic Semilight"/>
    <w:panose1 w:val="020B0604020202020204"/>
    <w:charset w:val="86"/>
    <w:family w:val="swiss"/>
    <w:pitch w:val="default"/>
    <w:sig w:usb0="00000000" w:usb1="00000000" w:usb2="0000007F" w:usb3="00000000" w:csb0="203F01FF" w:csb1="DFFF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675F5">
    <w:pPr>
      <w:pStyle w:val="26"/>
      <w:jc w:val="center"/>
    </w:pPr>
    <w:r>
      <w:fldChar w:fldCharType="begin"/>
    </w:r>
    <w:r>
      <w:instrText xml:space="preserve">PAGE   \* MERGEFORMAT</w:instrText>
    </w:r>
    <w:r>
      <w:fldChar w:fldCharType="separate"/>
    </w:r>
    <w:r>
      <w:rPr>
        <w:lang w:val="zh-CN"/>
      </w:rPr>
      <w:t>84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35C10">
    <w:pPr>
      <w:pStyle w:val="26"/>
      <w:jc w:val="center"/>
    </w:pPr>
    <w:r>
      <w:fldChar w:fldCharType="begin"/>
    </w:r>
    <w:r>
      <w:instrText xml:space="preserve">PAGE   \* MERGEFORMAT</w:instrText>
    </w:r>
    <w:r>
      <w:fldChar w:fldCharType="separate"/>
    </w:r>
    <w:r>
      <w:rPr>
        <w:lang w:val="zh-CN"/>
      </w:rPr>
      <w:t>57</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F972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50A2"/>
    <w:rsid w:val="00017CDA"/>
    <w:rsid w:val="00027C8D"/>
    <w:rsid w:val="00035235"/>
    <w:rsid w:val="00040005"/>
    <w:rsid w:val="000543E7"/>
    <w:rsid w:val="0005495B"/>
    <w:rsid w:val="0006010D"/>
    <w:rsid w:val="00064593"/>
    <w:rsid w:val="000668DC"/>
    <w:rsid w:val="000717D0"/>
    <w:rsid w:val="0007494E"/>
    <w:rsid w:val="00081ADD"/>
    <w:rsid w:val="00087DFD"/>
    <w:rsid w:val="000969BB"/>
    <w:rsid w:val="00096A2D"/>
    <w:rsid w:val="000973D2"/>
    <w:rsid w:val="000B086B"/>
    <w:rsid w:val="000B12EC"/>
    <w:rsid w:val="000B1C59"/>
    <w:rsid w:val="000B636A"/>
    <w:rsid w:val="000C1484"/>
    <w:rsid w:val="000C1F98"/>
    <w:rsid w:val="000C325D"/>
    <w:rsid w:val="000C505C"/>
    <w:rsid w:val="000D1A3C"/>
    <w:rsid w:val="000D70A5"/>
    <w:rsid w:val="000D7B63"/>
    <w:rsid w:val="000E0B0C"/>
    <w:rsid w:val="000E17D4"/>
    <w:rsid w:val="000E4DA9"/>
    <w:rsid w:val="000E6D07"/>
    <w:rsid w:val="000F0512"/>
    <w:rsid w:val="000F4571"/>
    <w:rsid w:val="00103352"/>
    <w:rsid w:val="0010455D"/>
    <w:rsid w:val="00105333"/>
    <w:rsid w:val="00107AF4"/>
    <w:rsid w:val="001140D0"/>
    <w:rsid w:val="001235CA"/>
    <w:rsid w:val="00130EDF"/>
    <w:rsid w:val="00136F3B"/>
    <w:rsid w:val="00137D93"/>
    <w:rsid w:val="00141D35"/>
    <w:rsid w:val="0014240D"/>
    <w:rsid w:val="001437EA"/>
    <w:rsid w:val="001444BD"/>
    <w:rsid w:val="00144505"/>
    <w:rsid w:val="00144DDA"/>
    <w:rsid w:val="0014761F"/>
    <w:rsid w:val="00153F11"/>
    <w:rsid w:val="00154444"/>
    <w:rsid w:val="00154F47"/>
    <w:rsid w:val="00155A34"/>
    <w:rsid w:val="0016081E"/>
    <w:rsid w:val="00164E27"/>
    <w:rsid w:val="0018672D"/>
    <w:rsid w:val="00186C82"/>
    <w:rsid w:val="001921CA"/>
    <w:rsid w:val="00194900"/>
    <w:rsid w:val="001A0E56"/>
    <w:rsid w:val="001A6E63"/>
    <w:rsid w:val="001B195C"/>
    <w:rsid w:val="001B62CC"/>
    <w:rsid w:val="001B66E1"/>
    <w:rsid w:val="001B6E57"/>
    <w:rsid w:val="001C22AC"/>
    <w:rsid w:val="001D7301"/>
    <w:rsid w:val="001E1467"/>
    <w:rsid w:val="001E152C"/>
    <w:rsid w:val="001E3480"/>
    <w:rsid w:val="001F18B7"/>
    <w:rsid w:val="001F1D2B"/>
    <w:rsid w:val="001F5FAD"/>
    <w:rsid w:val="001F79B6"/>
    <w:rsid w:val="002024C7"/>
    <w:rsid w:val="00206639"/>
    <w:rsid w:val="00206D30"/>
    <w:rsid w:val="0021259E"/>
    <w:rsid w:val="00213C28"/>
    <w:rsid w:val="00223AEF"/>
    <w:rsid w:val="00224926"/>
    <w:rsid w:val="00224FE7"/>
    <w:rsid w:val="00226ACB"/>
    <w:rsid w:val="0023232E"/>
    <w:rsid w:val="00233C8A"/>
    <w:rsid w:val="002349C0"/>
    <w:rsid w:val="00240E7B"/>
    <w:rsid w:val="00247ED0"/>
    <w:rsid w:val="00251DB7"/>
    <w:rsid w:val="00252D2B"/>
    <w:rsid w:val="002630C9"/>
    <w:rsid w:val="002672D1"/>
    <w:rsid w:val="00275598"/>
    <w:rsid w:val="002761A3"/>
    <w:rsid w:val="0028124D"/>
    <w:rsid w:val="00282A80"/>
    <w:rsid w:val="00282F14"/>
    <w:rsid w:val="002863DA"/>
    <w:rsid w:val="002872A9"/>
    <w:rsid w:val="00292E0B"/>
    <w:rsid w:val="00295797"/>
    <w:rsid w:val="00295816"/>
    <w:rsid w:val="002B44BD"/>
    <w:rsid w:val="002B6E7A"/>
    <w:rsid w:val="002B7380"/>
    <w:rsid w:val="002B7CD1"/>
    <w:rsid w:val="002C47B5"/>
    <w:rsid w:val="002D5C47"/>
    <w:rsid w:val="002D6107"/>
    <w:rsid w:val="002E03AA"/>
    <w:rsid w:val="002E34AD"/>
    <w:rsid w:val="002E6A76"/>
    <w:rsid w:val="002F0A8A"/>
    <w:rsid w:val="002F1704"/>
    <w:rsid w:val="002F2659"/>
    <w:rsid w:val="002F36D7"/>
    <w:rsid w:val="002F6DE0"/>
    <w:rsid w:val="002F6FCA"/>
    <w:rsid w:val="002F7EF8"/>
    <w:rsid w:val="002F7F80"/>
    <w:rsid w:val="00301191"/>
    <w:rsid w:val="00307230"/>
    <w:rsid w:val="00310EC2"/>
    <w:rsid w:val="003148C5"/>
    <w:rsid w:val="00322611"/>
    <w:rsid w:val="003248D5"/>
    <w:rsid w:val="00326D72"/>
    <w:rsid w:val="0033189B"/>
    <w:rsid w:val="00334AA9"/>
    <w:rsid w:val="003442AE"/>
    <w:rsid w:val="0034443A"/>
    <w:rsid w:val="003474B8"/>
    <w:rsid w:val="00351CB8"/>
    <w:rsid w:val="00353E66"/>
    <w:rsid w:val="00357C16"/>
    <w:rsid w:val="003637C6"/>
    <w:rsid w:val="0037098B"/>
    <w:rsid w:val="003732CC"/>
    <w:rsid w:val="00373760"/>
    <w:rsid w:val="00373B63"/>
    <w:rsid w:val="00374F9A"/>
    <w:rsid w:val="00382C0C"/>
    <w:rsid w:val="003944C7"/>
    <w:rsid w:val="00397F24"/>
    <w:rsid w:val="003A298A"/>
    <w:rsid w:val="003B4F45"/>
    <w:rsid w:val="003B6193"/>
    <w:rsid w:val="003C172D"/>
    <w:rsid w:val="003C7092"/>
    <w:rsid w:val="003C785A"/>
    <w:rsid w:val="003D2B81"/>
    <w:rsid w:val="003F5F7A"/>
    <w:rsid w:val="004043A2"/>
    <w:rsid w:val="00404EA5"/>
    <w:rsid w:val="00415144"/>
    <w:rsid w:val="00420D92"/>
    <w:rsid w:val="00421F2C"/>
    <w:rsid w:val="0042297A"/>
    <w:rsid w:val="00433C0B"/>
    <w:rsid w:val="0043451C"/>
    <w:rsid w:val="004362C7"/>
    <w:rsid w:val="0044106E"/>
    <w:rsid w:val="00444B3D"/>
    <w:rsid w:val="00446E68"/>
    <w:rsid w:val="00447503"/>
    <w:rsid w:val="00457522"/>
    <w:rsid w:val="0046038A"/>
    <w:rsid w:val="00467F28"/>
    <w:rsid w:val="00471176"/>
    <w:rsid w:val="00484FF8"/>
    <w:rsid w:val="004A0EB1"/>
    <w:rsid w:val="004A3B49"/>
    <w:rsid w:val="004A5C14"/>
    <w:rsid w:val="004B3476"/>
    <w:rsid w:val="004B36B8"/>
    <w:rsid w:val="004C387C"/>
    <w:rsid w:val="004D0AB9"/>
    <w:rsid w:val="004E042A"/>
    <w:rsid w:val="004E4504"/>
    <w:rsid w:val="004F0FDE"/>
    <w:rsid w:val="004F191B"/>
    <w:rsid w:val="004F3E07"/>
    <w:rsid w:val="005023D6"/>
    <w:rsid w:val="00504FD3"/>
    <w:rsid w:val="00512882"/>
    <w:rsid w:val="005143FF"/>
    <w:rsid w:val="00516FEB"/>
    <w:rsid w:val="005244F5"/>
    <w:rsid w:val="00524665"/>
    <w:rsid w:val="00543C0A"/>
    <w:rsid w:val="0054699B"/>
    <w:rsid w:val="00546BA1"/>
    <w:rsid w:val="005515EB"/>
    <w:rsid w:val="0055226E"/>
    <w:rsid w:val="00552E7C"/>
    <w:rsid w:val="0055773E"/>
    <w:rsid w:val="005601D0"/>
    <w:rsid w:val="00560FEA"/>
    <w:rsid w:val="005613B2"/>
    <w:rsid w:val="0056304A"/>
    <w:rsid w:val="005647D5"/>
    <w:rsid w:val="0057066D"/>
    <w:rsid w:val="00572671"/>
    <w:rsid w:val="005803BD"/>
    <w:rsid w:val="00591688"/>
    <w:rsid w:val="005916DF"/>
    <w:rsid w:val="00595627"/>
    <w:rsid w:val="00595D3F"/>
    <w:rsid w:val="00595EAC"/>
    <w:rsid w:val="005A2F5B"/>
    <w:rsid w:val="005A52D6"/>
    <w:rsid w:val="005B07BA"/>
    <w:rsid w:val="005C574A"/>
    <w:rsid w:val="005D09A0"/>
    <w:rsid w:val="005D199B"/>
    <w:rsid w:val="005D479D"/>
    <w:rsid w:val="005E416B"/>
    <w:rsid w:val="005E7A21"/>
    <w:rsid w:val="005F24B2"/>
    <w:rsid w:val="0060103A"/>
    <w:rsid w:val="00602911"/>
    <w:rsid w:val="00602A7A"/>
    <w:rsid w:val="0060509A"/>
    <w:rsid w:val="006125F5"/>
    <w:rsid w:val="00612A9B"/>
    <w:rsid w:val="00614D00"/>
    <w:rsid w:val="0061681D"/>
    <w:rsid w:val="006225E2"/>
    <w:rsid w:val="0062676A"/>
    <w:rsid w:val="00640DB1"/>
    <w:rsid w:val="006416E9"/>
    <w:rsid w:val="0064545D"/>
    <w:rsid w:val="00646C82"/>
    <w:rsid w:val="00647CD5"/>
    <w:rsid w:val="006548A6"/>
    <w:rsid w:val="00655478"/>
    <w:rsid w:val="006602FC"/>
    <w:rsid w:val="00664D7F"/>
    <w:rsid w:val="00673641"/>
    <w:rsid w:val="006858B6"/>
    <w:rsid w:val="0069730F"/>
    <w:rsid w:val="006A377B"/>
    <w:rsid w:val="006B0930"/>
    <w:rsid w:val="006C4384"/>
    <w:rsid w:val="006C5135"/>
    <w:rsid w:val="006C546E"/>
    <w:rsid w:val="006C6895"/>
    <w:rsid w:val="006D29F2"/>
    <w:rsid w:val="006E1CFB"/>
    <w:rsid w:val="006E2DE0"/>
    <w:rsid w:val="006E5A8E"/>
    <w:rsid w:val="006E7687"/>
    <w:rsid w:val="006F3309"/>
    <w:rsid w:val="0070081C"/>
    <w:rsid w:val="0071653B"/>
    <w:rsid w:val="00721985"/>
    <w:rsid w:val="0072242B"/>
    <w:rsid w:val="00724C84"/>
    <w:rsid w:val="007252A8"/>
    <w:rsid w:val="00725C0A"/>
    <w:rsid w:val="0073119D"/>
    <w:rsid w:val="0073199C"/>
    <w:rsid w:val="007376B0"/>
    <w:rsid w:val="00740508"/>
    <w:rsid w:val="00743776"/>
    <w:rsid w:val="00751428"/>
    <w:rsid w:val="00752FEF"/>
    <w:rsid w:val="0075674B"/>
    <w:rsid w:val="00761F2B"/>
    <w:rsid w:val="0076363F"/>
    <w:rsid w:val="00763B74"/>
    <w:rsid w:val="007731D0"/>
    <w:rsid w:val="00775B16"/>
    <w:rsid w:val="00785A0A"/>
    <w:rsid w:val="00787CED"/>
    <w:rsid w:val="007967F8"/>
    <w:rsid w:val="00797B07"/>
    <w:rsid w:val="007A3772"/>
    <w:rsid w:val="007B6DFC"/>
    <w:rsid w:val="007C2696"/>
    <w:rsid w:val="007C4C31"/>
    <w:rsid w:val="007C5EA5"/>
    <w:rsid w:val="007D2FA1"/>
    <w:rsid w:val="007D381E"/>
    <w:rsid w:val="007D3EE2"/>
    <w:rsid w:val="007D6FDC"/>
    <w:rsid w:val="007D776E"/>
    <w:rsid w:val="007E03CA"/>
    <w:rsid w:val="007E6193"/>
    <w:rsid w:val="007F2F97"/>
    <w:rsid w:val="007F30CC"/>
    <w:rsid w:val="007F387D"/>
    <w:rsid w:val="007F7152"/>
    <w:rsid w:val="00800B0B"/>
    <w:rsid w:val="00811AB3"/>
    <w:rsid w:val="008156CB"/>
    <w:rsid w:val="008203E6"/>
    <w:rsid w:val="00822633"/>
    <w:rsid w:val="00830107"/>
    <w:rsid w:val="00831B02"/>
    <w:rsid w:val="00833174"/>
    <w:rsid w:val="00835158"/>
    <w:rsid w:val="00846609"/>
    <w:rsid w:val="00852958"/>
    <w:rsid w:val="0085467F"/>
    <w:rsid w:val="00864F77"/>
    <w:rsid w:val="008661F8"/>
    <w:rsid w:val="008712FA"/>
    <w:rsid w:val="00876AA9"/>
    <w:rsid w:val="00876EFF"/>
    <w:rsid w:val="00882892"/>
    <w:rsid w:val="00883AB2"/>
    <w:rsid w:val="008861B2"/>
    <w:rsid w:val="00887A5A"/>
    <w:rsid w:val="0089300F"/>
    <w:rsid w:val="00896377"/>
    <w:rsid w:val="008A09F5"/>
    <w:rsid w:val="008A444D"/>
    <w:rsid w:val="008A4B18"/>
    <w:rsid w:val="008A738C"/>
    <w:rsid w:val="008B2053"/>
    <w:rsid w:val="008B2645"/>
    <w:rsid w:val="008C20FE"/>
    <w:rsid w:val="008C36D3"/>
    <w:rsid w:val="008C72FA"/>
    <w:rsid w:val="008D0675"/>
    <w:rsid w:val="008D1425"/>
    <w:rsid w:val="008D2736"/>
    <w:rsid w:val="008D3BC8"/>
    <w:rsid w:val="008D6F23"/>
    <w:rsid w:val="008E5EB5"/>
    <w:rsid w:val="008F04C7"/>
    <w:rsid w:val="008F21A5"/>
    <w:rsid w:val="008F2440"/>
    <w:rsid w:val="009111A6"/>
    <w:rsid w:val="00914619"/>
    <w:rsid w:val="009202C8"/>
    <w:rsid w:val="009246BA"/>
    <w:rsid w:val="00930CDE"/>
    <w:rsid w:val="00935AA1"/>
    <w:rsid w:val="009424A2"/>
    <w:rsid w:val="00943496"/>
    <w:rsid w:val="009451DC"/>
    <w:rsid w:val="009467F2"/>
    <w:rsid w:val="0095173B"/>
    <w:rsid w:val="0095655E"/>
    <w:rsid w:val="00956752"/>
    <w:rsid w:val="009624CD"/>
    <w:rsid w:val="00966DE4"/>
    <w:rsid w:val="009718ED"/>
    <w:rsid w:val="0097297B"/>
    <w:rsid w:val="00976B79"/>
    <w:rsid w:val="0098154C"/>
    <w:rsid w:val="0098368E"/>
    <w:rsid w:val="0098549E"/>
    <w:rsid w:val="009857EF"/>
    <w:rsid w:val="009941D8"/>
    <w:rsid w:val="009A02D1"/>
    <w:rsid w:val="009A1CF6"/>
    <w:rsid w:val="009A2934"/>
    <w:rsid w:val="009A2C18"/>
    <w:rsid w:val="009B2699"/>
    <w:rsid w:val="009B36A1"/>
    <w:rsid w:val="009C0A0B"/>
    <w:rsid w:val="009C14BD"/>
    <w:rsid w:val="009D1AF8"/>
    <w:rsid w:val="009D30E0"/>
    <w:rsid w:val="009D32B1"/>
    <w:rsid w:val="009E1C84"/>
    <w:rsid w:val="009E32D4"/>
    <w:rsid w:val="009E4080"/>
    <w:rsid w:val="009E4DCB"/>
    <w:rsid w:val="009E580F"/>
    <w:rsid w:val="009F5A6A"/>
    <w:rsid w:val="00A01B3A"/>
    <w:rsid w:val="00A0205F"/>
    <w:rsid w:val="00A04398"/>
    <w:rsid w:val="00A04E9D"/>
    <w:rsid w:val="00A06893"/>
    <w:rsid w:val="00A070E1"/>
    <w:rsid w:val="00A14987"/>
    <w:rsid w:val="00A21886"/>
    <w:rsid w:val="00A25682"/>
    <w:rsid w:val="00A2638C"/>
    <w:rsid w:val="00A27417"/>
    <w:rsid w:val="00A27AFD"/>
    <w:rsid w:val="00A354A8"/>
    <w:rsid w:val="00A4031E"/>
    <w:rsid w:val="00A44A2B"/>
    <w:rsid w:val="00A46F60"/>
    <w:rsid w:val="00A53234"/>
    <w:rsid w:val="00A56F9C"/>
    <w:rsid w:val="00A57F47"/>
    <w:rsid w:val="00A8225A"/>
    <w:rsid w:val="00A83DA1"/>
    <w:rsid w:val="00AA029F"/>
    <w:rsid w:val="00AA7A0D"/>
    <w:rsid w:val="00AB113B"/>
    <w:rsid w:val="00AD2FD2"/>
    <w:rsid w:val="00AD41E6"/>
    <w:rsid w:val="00AD4ECF"/>
    <w:rsid w:val="00AD70C8"/>
    <w:rsid w:val="00AE094D"/>
    <w:rsid w:val="00AE453B"/>
    <w:rsid w:val="00AF6067"/>
    <w:rsid w:val="00B04039"/>
    <w:rsid w:val="00B06693"/>
    <w:rsid w:val="00B07AAD"/>
    <w:rsid w:val="00B15273"/>
    <w:rsid w:val="00B16887"/>
    <w:rsid w:val="00B1746F"/>
    <w:rsid w:val="00B27A2B"/>
    <w:rsid w:val="00B31F00"/>
    <w:rsid w:val="00B351A2"/>
    <w:rsid w:val="00B41959"/>
    <w:rsid w:val="00B42C18"/>
    <w:rsid w:val="00B43CF7"/>
    <w:rsid w:val="00B44327"/>
    <w:rsid w:val="00B53944"/>
    <w:rsid w:val="00B550AA"/>
    <w:rsid w:val="00B578D1"/>
    <w:rsid w:val="00B61FDD"/>
    <w:rsid w:val="00B71F3A"/>
    <w:rsid w:val="00B758E7"/>
    <w:rsid w:val="00B75B80"/>
    <w:rsid w:val="00B81149"/>
    <w:rsid w:val="00B8672D"/>
    <w:rsid w:val="00B92BCB"/>
    <w:rsid w:val="00B94FB1"/>
    <w:rsid w:val="00BA712A"/>
    <w:rsid w:val="00BC110E"/>
    <w:rsid w:val="00BC7FBC"/>
    <w:rsid w:val="00BD11D6"/>
    <w:rsid w:val="00BD2A3B"/>
    <w:rsid w:val="00BD646D"/>
    <w:rsid w:val="00BD6A33"/>
    <w:rsid w:val="00BD7ED0"/>
    <w:rsid w:val="00BE5E06"/>
    <w:rsid w:val="00BE643E"/>
    <w:rsid w:val="00BE7CED"/>
    <w:rsid w:val="00BF59BF"/>
    <w:rsid w:val="00C056B5"/>
    <w:rsid w:val="00C10630"/>
    <w:rsid w:val="00C12939"/>
    <w:rsid w:val="00C14E3B"/>
    <w:rsid w:val="00C23028"/>
    <w:rsid w:val="00C23BA4"/>
    <w:rsid w:val="00C241B2"/>
    <w:rsid w:val="00C24609"/>
    <w:rsid w:val="00C27A10"/>
    <w:rsid w:val="00C34485"/>
    <w:rsid w:val="00C40AB3"/>
    <w:rsid w:val="00C43805"/>
    <w:rsid w:val="00C43E24"/>
    <w:rsid w:val="00C45235"/>
    <w:rsid w:val="00C54174"/>
    <w:rsid w:val="00C60EF2"/>
    <w:rsid w:val="00C615B2"/>
    <w:rsid w:val="00C702F0"/>
    <w:rsid w:val="00C718EF"/>
    <w:rsid w:val="00C74553"/>
    <w:rsid w:val="00C8112C"/>
    <w:rsid w:val="00C84C38"/>
    <w:rsid w:val="00C87328"/>
    <w:rsid w:val="00C87EF4"/>
    <w:rsid w:val="00CA0EA5"/>
    <w:rsid w:val="00CA623E"/>
    <w:rsid w:val="00CA630F"/>
    <w:rsid w:val="00CB4EB2"/>
    <w:rsid w:val="00CB6666"/>
    <w:rsid w:val="00CB7A41"/>
    <w:rsid w:val="00CC50EC"/>
    <w:rsid w:val="00CC7A0B"/>
    <w:rsid w:val="00CD0A52"/>
    <w:rsid w:val="00CD0EEF"/>
    <w:rsid w:val="00CD5FEF"/>
    <w:rsid w:val="00CD64CD"/>
    <w:rsid w:val="00CE2041"/>
    <w:rsid w:val="00CE3059"/>
    <w:rsid w:val="00CE4960"/>
    <w:rsid w:val="00CE56FA"/>
    <w:rsid w:val="00CE5B6F"/>
    <w:rsid w:val="00CF0912"/>
    <w:rsid w:val="00D0060C"/>
    <w:rsid w:val="00D027B8"/>
    <w:rsid w:val="00D04134"/>
    <w:rsid w:val="00D0559C"/>
    <w:rsid w:val="00D0571C"/>
    <w:rsid w:val="00D0679B"/>
    <w:rsid w:val="00D11879"/>
    <w:rsid w:val="00D12547"/>
    <w:rsid w:val="00D1442D"/>
    <w:rsid w:val="00D22D44"/>
    <w:rsid w:val="00D378BA"/>
    <w:rsid w:val="00D40668"/>
    <w:rsid w:val="00D60794"/>
    <w:rsid w:val="00D6263A"/>
    <w:rsid w:val="00D6312E"/>
    <w:rsid w:val="00D75701"/>
    <w:rsid w:val="00D778D7"/>
    <w:rsid w:val="00D80BB4"/>
    <w:rsid w:val="00D83934"/>
    <w:rsid w:val="00D861C3"/>
    <w:rsid w:val="00D862C1"/>
    <w:rsid w:val="00D91A0C"/>
    <w:rsid w:val="00D9239C"/>
    <w:rsid w:val="00D95955"/>
    <w:rsid w:val="00D96CEB"/>
    <w:rsid w:val="00D979AB"/>
    <w:rsid w:val="00D97FD3"/>
    <w:rsid w:val="00DA590C"/>
    <w:rsid w:val="00DA703D"/>
    <w:rsid w:val="00DB4880"/>
    <w:rsid w:val="00DB54CF"/>
    <w:rsid w:val="00DC1546"/>
    <w:rsid w:val="00DD2172"/>
    <w:rsid w:val="00DD4A09"/>
    <w:rsid w:val="00DD4C25"/>
    <w:rsid w:val="00DD6A1F"/>
    <w:rsid w:val="00DE4C00"/>
    <w:rsid w:val="00DE5C67"/>
    <w:rsid w:val="00DF2449"/>
    <w:rsid w:val="00DF61D2"/>
    <w:rsid w:val="00DF72B4"/>
    <w:rsid w:val="00DF7ACF"/>
    <w:rsid w:val="00E004CA"/>
    <w:rsid w:val="00E03391"/>
    <w:rsid w:val="00E0373B"/>
    <w:rsid w:val="00E07308"/>
    <w:rsid w:val="00E14474"/>
    <w:rsid w:val="00E179B5"/>
    <w:rsid w:val="00E26286"/>
    <w:rsid w:val="00E30AC2"/>
    <w:rsid w:val="00E33D84"/>
    <w:rsid w:val="00E34813"/>
    <w:rsid w:val="00E356D2"/>
    <w:rsid w:val="00E401B3"/>
    <w:rsid w:val="00E41513"/>
    <w:rsid w:val="00E438BE"/>
    <w:rsid w:val="00E458DA"/>
    <w:rsid w:val="00E5687E"/>
    <w:rsid w:val="00E639CC"/>
    <w:rsid w:val="00E63D5B"/>
    <w:rsid w:val="00E671AD"/>
    <w:rsid w:val="00E81BC1"/>
    <w:rsid w:val="00E83E40"/>
    <w:rsid w:val="00E857B8"/>
    <w:rsid w:val="00E907E5"/>
    <w:rsid w:val="00E943B8"/>
    <w:rsid w:val="00EA11F7"/>
    <w:rsid w:val="00EA20B9"/>
    <w:rsid w:val="00EA4549"/>
    <w:rsid w:val="00EB4D57"/>
    <w:rsid w:val="00EB75BC"/>
    <w:rsid w:val="00EC68EF"/>
    <w:rsid w:val="00ED0B37"/>
    <w:rsid w:val="00ED13F9"/>
    <w:rsid w:val="00ED22DF"/>
    <w:rsid w:val="00ED2C85"/>
    <w:rsid w:val="00ED4C66"/>
    <w:rsid w:val="00ED6781"/>
    <w:rsid w:val="00EE4BD8"/>
    <w:rsid w:val="00EF3685"/>
    <w:rsid w:val="00EF5BA0"/>
    <w:rsid w:val="00F06BF4"/>
    <w:rsid w:val="00F13600"/>
    <w:rsid w:val="00F15FC0"/>
    <w:rsid w:val="00F17042"/>
    <w:rsid w:val="00F175D1"/>
    <w:rsid w:val="00F21DA9"/>
    <w:rsid w:val="00F22A75"/>
    <w:rsid w:val="00F3059E"/>
    <w:rsid w:val="00F30C1E"/>
    <w:rsid w:val="00F3185D"/>
    <w:rsid w:val="00F35217"/>
    <w:rsid w:val="00F35C50"/>
    <w:rsid w:val="00F37B8F"/>
    <w:rsid w:val="00F42D68"/>
    <w:rsid w:val="00F436FE"/>
    <w:rsid w:val="00F500D2"/>
    <w:rsid w:val="00F51A9D"/>
    <w:rsid w:val="00F56311"/>
    <w:rsid w:val="00F57792"/>
    <w:rsid w:val="00F60048"/>
    <w:rsid w:val="00F61618"/>
    <w:rsid w:val="00F6185A"/>
    <w:rsid w:val="00F73FE2"/>
    <w:rsid w:val="00F74944"/>
    <w:rsid w:val="00F8497C"/>
    <w:rsid w:val="00F91E41"/>
    <w:rsid w:val="00FA083D"/>
    <w:rsid w:val="00FA238D"/>
    <w:rsid w:val="00FA3835"/>
    <w:rsid w:val="00FA6816"/>
    <w:rsid w:val="00FB56A3"/>
    <w:rsid w:val="00FB5D79"/>
    <w:rsid w:val="00FC3AEE"/>
    <w:rsid w:val="00FE3D91"/>
    <w:rsid w:val="00FE55D2"/>
    <w:rsid w:val="00FF5179"/>
    <w:rsid w:val="00FF728E"/>
    <w:rsid w:val="020B291A"/>
    <w:rsid w:val="04E0336B"/>
    <w:rsid w:val="051B3A05"/>
    <w:rsid w:val="053E2C54"/>
    <w:rsid w:val="062F5052"/>
    <w:rsid w:val="06F02823"/>
    <w:rsid w:val="06FF6E31"/>
    <w:rsid w:val="0762073E"/>
    <w:rsid w:val="07CC4AB2"/>
    <w:rsid w:val="083C1CD4"/>
    <w:rsid w:val="08D674C2"/>
    <w:rsid w:val="0910064A"/>
    <w:rsid w:val="09120680"/>
    <w:rsid w:val="09A45050"/>
    <w:rsid w:val="09FA1199"/>
    <w:rsid w:val="0A1E1715"/>
    <w:rsid w:val="0A5B05D9"/>
    <w:rsid w:val="0A6B01EB"/>
    <w:rsid w:val="0ADF594B"/>
    <w:rsid w:val="0AE0030A"/>
    <w:rsid w:val="0AFE5AE5"/>
    <w:rsid w:val="0BA90827"/>
    <w:rsid w:val="0C721436"/>
    <w:rsid w:val="0CC636AC"/>
    <w:rsid w:val="0D1616EF"/>
    <w:rsid w:val="0D515D8F"/>
    <w:rsid w:val="0D6B0DE4"/>
    <w:rsid w:val="0D8A6F81"/>
    <w:rsid w:val="0E39045D"/>
    <w:rsid w:val="0E936CC2"/>
    <w:rsid w:val="0EE967FA"/>
    <w:rsid w:val="0F3B7D4D"/>
    <w:rsid w:val="0F4075C9"/>
    <w:rsid w:val="0F4672D5"/>
    <w:rsid w:val="0F4E40DD"/>
    <w:rsid w:val="0F661726"/>
    <w:rsid w:val="0F6F4465"/>
    <w:rsid w:val="0FFF50F0"/>
    <w:rsid w:val="10E279BE"/>
    <w:rsid w:val="122264FF"/>
    <w:rsid w:val="122E6778"/>
    <w:rsid w:val="124949E7"/>
    <w:rsid w:val="128B5428"/>
    <w:rsid w:val="130C6ECC"/>
    <w:rsid w:val="13285904"/>
    <w:rsid w:val="13465DF0"/>
    <w:rsid w:val="139D57EB"/>
    <w:rsid w:val="14554C35"/>
    <w:rsid w:val="14FF5DB3"/>
    <w:rsid w:val="155133BC"/>
    <w:rsid w:val="15D708BB"/>
    <w:rsid w:val="15F52619"/>
    <w:rsid w:val="16111E48"/>
    <w:rsid w:val="17AB24F1"/>
    <w:rsid w:val="17CB6513"/>
    <w:rsid w:val="17E30CEE"/>
    <w:rsid w:val="180312C8"/>
    <w:rsid w:val="18401D64"/>
    <w:rsid w:val="185D6BC0"/>
    <w:rsid w:val="185F1089"/>
    <w:rsid w:val="18870B43"/>
    <w:rsid w:val="18D94D16"/>
    <w:rsid w:val="199030D2"/>
    <w:rsid w:val="19AE7309"/>
    <w:rsid w:val="1A18361C"/>
    <w:rsid w:val="1A902BB0"/>
    <w:rsid w:val="1B9E3D36"/>
    <w:rsid w:val="1BBA3A2F"/>
    <w:rsid w:val="1BD51379"/>
    <w:rsid w:val="1C686EB5"/>
    <w:rsid w:val="1C746B04"/>
    <w:rsid w:val="1C8F2A04"/>
    <w:rsid w:val="1D21525B"/>
    <w:rsid w:val="1D8B6157"/>
    <w:rsid w:val="1E37478C"/>
    <w:rsid w:val="1F850823"/>
    <w:rsid w:val="20365C75"/>
    <w:rsid w:val="20863AF3"/>
    <w:rsid w:val="20FD3BD3"/>
    <w:rsid w:val="218B2C39"/>
    <w:rsid w:val="2217240B"/>
    <w:rsid w:val="22482DCE"/>
    <w:rsid w:val="22597BF6"/>
    <w:rsid w:val="227819CB"/>
    <w:rsid w:val="23256975"/>
    <w:rsid w:val="23423424"/>
    <w:rsid w:val="23A23657"/>
    <w:rsid w:val="23EA6B2E"/>
    <w:rsid w:val="240C4724"/>
    <w:rsid w:val="243F7370"/>
    <w:rsid w:val="24457D9C"/>
    <w:rsid w:val="249969AD"/>
    <w:rsid w:val="24E93CA3"/>
    <w:rsid w:val="25193449"/>
    <w:rsid w:val="26053E04"/>
    <w:rsid w:val="26341E3D"/>
    <w:rsid w:val="2649119C"/>
    <w:rsid w:val="26DD3CEE"/>
    <w:rsid w:val="27023FE7"/>
    <w:rsid w:val="270661CA"/>
    <w:rsid w:val="27624129"/>
    <w:rsid w:val="27B76947"/>
    <w:rsid w:val="27F05BD9"/>
    <w:rsid w:val="280D2376"/>
    <w:rsid w:val="285745BD"/>
    <w:rsid w:val="2A343974"/>
    <w:rsid w:val="2A416C96"/>
    <w:rsid w:val="2A8E004C"/>
    <w:rsid w:val="2B527E2F"/>
    <w:rsid w:val="2B6A1BE2"/>
    <w:rsid w:val="2C083F8D"/>
    <w:rsid w:val="2CB90995"/>
    <w:rsid w:val="2D0D36B6"/>
    <w:rsid w:val="2D5179CF"/>
    <w:rsid w:val="2D99325E"/>
    <w:rsid w:val="2E357956"/>
    <w:rsid w:val="2EC22C00"/>
    <w:rsid w:val="2ED5581D"/>
    <w:rsid w:val="2F25260C"/>
    <w:rsid w:val="2F95371E"/>
    <w:rsid w:val="308A097E"/>
    <w:rsid w:val="3124388D"/>
    <w:rsid w:val="317840EE"/>
    <w:rsid w:val="319039E6"/>
    <w:rsid w:val="32085AE3"/>
    <w:rsid w:val="327F0D3B"/>
    <w:rsid w:val="329B5CC2"/>
    <w:rsid w:val="331A4758"/>
    <w:rsid w:val="33304F54"/>
    <w:rsid w:val="3369385E"/>
    <w:rsid w:val="337C1864"/>
    <w:rsid w:val="33865643"/>
    <w:rsid w:val="33CA23C6"/>
    <w:rsid w:val="351101A8"/>
    <w:rsid w:val="35C0542C"/>
    <w:rsid w:val="361707D4"/>
    <w:rsid w:val="372B2789"/>
    <w:rsid w:val="378D7D7A"/>
    <w:rsid w:val="37CE32A7"/>
    <w:rsid w:val="37FF6A57"/>
    <w:rsid w:val="384F06F9"/>
    <w:rsid w:val="39484E09"/>
    <w:rsid w:val="395026E3"/>
    <w:rsid w:val="39A43A9C"/>
    <w:rsid w:val="3AB966DA"/>
    <w:rsid w:val="3AC54CA3"/>
    <w:rsid w:val="3AE72E6B"/>
    <w:rsid w:val="3AFF33E8"/>
    <w:rsid w:val="3B3B4941"/>
    <w:rsid w:val="3B541C00"/>
    <w:rsid w:val="3B5775CB"/>
    <w:rsid w:val="3C2D3B80"/>
    <w:rsid w:val="3C461CAC"/>
    <w:rsid w:val="3D000322"/>
    <w:rsid w:val="3D476359"/>
    <w:rsid w:val="3D9A428C"/>
    <w:rsid w:val="3D9A658C"/>
    <w:rsid w:val="3DE10046"/>
    <w:rsid w:val="3DEE1D80"/>
    <w:rsid w:val="3DF338D5"/>
    <w:rsid w:val="3E410AE4"/>
    <w:rsid w:val="3EA378DA"/>
    <w:rsid w:val="3EDF518A"/>
    <w:rsid w:val="3EF73899"/>
    <w:rsid w:val="3F442952"/>
    <w:rsid w:val="3F651E10"/>
    <w:rsid w:val="3F6F78D3"/>
    <w:rsid w:val="40352789"/>
    <w:rsid w:val="40474A5F"/>
    <w:rsid w:val="40501700"/>
    <w:rsid w:val="40AB0E14"/>
    <w:rsid w:val="426C16E4"/>
    <w:rsid w:val="431454D7"/>
    <w:rsid w:val="431C059A"/>
    <w:rsid w:val="43D85920"/>
    <w:rsid w:val="43E41D36"/>
    <w:rsid w:val="442F62DC"/>
    <w:rsid w:val="443B5FD6"/>
    <w:rsid w:val="45652CD5"/>
    <w:rsid w:val="45674078"/>
    <w:rsid w:val="459220B9"/>
    <w:rsid w:val="45C95C4A"/>
    <w:rsid w:val="460803A1"/>
    <w:rsid w:val="468B1848"/>
    <w:rsid w:val="46C11D22"/>
    <w:rsid w:val="46DB7A17"/>
    <w:rsid w:val="47372A84"/>
    <w:rsid w:val="47B52E5D"/>
    <w:rsid w:val="47E349BA"/>
    <w:rsid w:val="48333FF5"/>
    <w:rsid w:val="485E6BC5"/>
    <w:rsid w:val="487114B2"/>
    <w:rsid w:val="48E62910"/>
    <w:rsid w:val="49886AF1"/>
    <w:rsid w:val="49FA5FEB"/>
    <w:rsid w:val="4A3E0C6F"/>
    <w:rsid w:val="4AAD04BB"/>
    <w:rsid w:val="4B8F7333"/>
    <w:rsid w:val="4B914BF5"/>
    <w:rsid w:val="4BBC2723"/>
    <w:rsid w:val="4BC35EC4"/>
    <w:rsid w:val="4C7D3400"/>
    <w:rsid w:val="4CB230FF"/>
    <w:rsid w:val="4CFF41A0"/>
    <w:rsid w:val="4D413CB4"/>
    <w:rsid w:val="4E1B3100"/>
    <w:rsid w:val="4EE564B0"/>
    <w:rsid w:val="4F3512E0"/>
    <w:rsid w:val="4F8D414D"/>
    <w:rsid w:val="4FFC159D"/>
    <w:rsid w:val="51BA62B5"/>
    <w:rsid w:val="51CD3614"/>
    <w:rsid w:val="51E12921"/>
    <w:rsid w:val="522400A9"/>
    <w:rsid w:val="531539E5"/>
    <w:rsid w:val="53D55AFF"/>
    <w:rsid w:val="53FC6986"/>
    <w:rsid w:val="54A60BE9"/>
    <w:rsid w:val="559A7000"/>
    <w:rsid w:val="5628185A"/>
    <w:rsid w:val="56770AFB"/>
    <w:rsid w:val="573C6F55"/>
    <w:rsid w:val="57D63A28"/>
    <w:rsid w:val="57F95C42"/>
    <w:rsid w:val="581B6CF3"/>
    <w:rsid w:val="58527420"/>
    <w:rsid w:val="585F0652"/>
    <w:rsid w:val="591A5625"/>
    <w:rsid w:val="5980136F"/>
    <w:rsid w:val="59DD58A1"/>
    <w:rsid w:val="59FB5B93"/>
    <w:rsid w:val="5AAE1E3D"/>
    <w:rsid w:val="5AE900E2"/>
    <w:rsid w:val="5C583A2C"/>
    <w:rsid w:val="5C7F1F93"/>
    <w:rsid w:val="5CED7FE5"/>
    <w:rsid w:val="5D1574C8"/>
    <w:rsid w:val="5D89084C"/>
    <w:rsid w:val="5DBD292F"/>
    <w:rsid w:val="5E72647F"/>
    <w:rsid w:val="5E834DD9"/>
    <w:rsid w:val="5F236DE7"/>
    <w:rsid w:val="5FEE7E35"/>
    <w:rsid w:val="608E3660"/>
    <w:rsid w:val="609E54CA"/>
    <w:rsid w:val="614C50B2"/>
    <w:rsid w:val="617B7B59"/>
    <w:rsid w:val="620B4DE2"/>
    <w:rsid w:val="621505DC"/>
    <w:rsid w:val="6217747C"/>
    <w:rsid w:val="625D22A8"/>
    <w:rsid w:val="62914838"/>
    <w:rsid w:val="62BD05BF"/>
    <w:rsid w:val="63025693"/>
    <w:rsid w:val="64187FBF"/>
    <w:rsid w:val="648D7D30"/>
    <w:rsid w:val="657340D8"/>
    <w:rsid w:val="659A2704"/>
    <w:rsid w:val="65C0401D"/>
    <w:rsid w:val="662648F8"/>
    <w:rsid w:val="66522FDF"/>
    <w:rsid w:val="665F1537"/>
    <w:rsid w:val="66B91222"/>
    <w:rsid w:val="67D80404"/>
    <w:rsid w:val="67D85B6C"/>
    <w:rsid w:val="68ED6A71"/>
    <w:rsid w:val="691D5928"/>
    <w:rsid w:val="69317B0A"/>
    <w:rsid w:val="69511E82"/>
    <w:rsid w:val="69F67FAD"/>
    <w:rsid w:val="6A6C3CA4"/>
    <w:rsid w:val="6A9734A6"/>
    <w:rsid w:val="6B190CA6"/>
    <w:rsid w:val="6BF93D32"/>
    <w:rsid w:val="6BFA67BA"/>
    <w:rsid w:val="6C67192F"/>
    <w:rsid w:val="6CE60189"/>
    <w:rsid w:val="6D97577B"/>
    <w:rsid w:val="6E04301E"/>
    <w:rsid w:val="6F135C55"/>
    <w:rsid w:val="6F215C44"/>
    <w:rsid w:val="6F5A2F04"/>
    <w:rsid w:val="6FDA0E9E"/>
    <w:rsid w:val="70352925"/>
    <w:rsid w:val="70730637"/>
    <w:rsid w:val="71C559DB"/>
    <w:rsid w:val="730F2F4B"/>
    <w:rsid w:val="732820F7"/>
    <w:rsid w:val="734D446A"/>
    <w:rsid w:val="73D51B16"/>
    <w:rsid w:val="740972B4"/>
    <w:rsid w:val="746B0D64"/>
    <w:rsid w:val="7490224A"/>
    <w:rsid w:val="74C80B12"/>
    <w:rsid w:val="74E22FEB"/>
    <w:rsid w:val="759B0467"/>
    <w:rsid w:val="75C65B4A"/>
    <w:rsid w:val="76917B30"/>
    <w:rsid w:val="774A1FD3"/>
    <w:rsid w:val="776270D7"/>
    <w:rsid w:val="77906B9B"/>
    <w:rsid w:val="77AC46E5"/>
    <w:rsid w:val="77C30593"/>
    <w:rsid w:val="77FE4FE3"/>
    <w:rsid w:val="78267529"/>
    <w:rsid w:val="789101DB"/>
    <w:rsid w:val="78A93939"/>
    <w:rsid w:val="78C830A0"/>
    <w:rsid w:val="78D36201"/>
    <w:rsid w:val="792F1A3C"/>
    <w:rsid w:val="793270FF"/>
    <w:rsid w:val="79B5177D"/>
    <w:rsid w:val="79CD520C"/>
    <w:rsid w:val="7A463EB9"/>
    <w:rsid w:val="7A8377B3"/>
    <w:rsid w:val="7AAB7196"/>
    <w:rsid w:val="7AB91175"/>
    <w:rsid w:val="7B1F149B"/>
    <w:rsid w:val="7B756A03"/>
    <w:rsid w:val="7C1E4874"/>
    <w:rsid w:val="7CA82E08"/>
    <w:rsid w:val="7CD608CD"/>
    <w:rsid w:val="7D656934"/>
    <w:rsid w:val="7D9D4043"/>
    <w:rsid w:val="7DAC0DCF"/>
    <w:rsid w:val="7E9D0BC6"/>
    <w:rsid w:val="7F8942DD"/>
    <w:rsid w:val="7FA611F7"/>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1">
    <w:name w:val="Default Paragraph Font"/>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8"/>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next w:val="17"/>
    <w:qFormat/>
    <w:uiPriority w:val="0"/>
    <w:pPr>
      <w:tabs>
        <w:tab w:val="left" w:pos="567"/>
      </w:tabs>
      <w:spacing w:before="120" w:line="22" w:lineRule="atLeast"/>
    </w:pPr>
    <w:rPr>
      <w:rFonts w:ascii="宋体" w:hAnsi="宋体"/>
      <w:sz w:val="24"/>
    </w:rPr>
  </w:style>
  <w:style w:type="paragraph" w:styleId="17">
    <w:name w:val="Subtitle"/>
    <w:basedOn w:val="1"/>
    <w:next w:val="1"/>
    <w:qFormat/>
    <w:uiPriority w:val="11"/>
    <w:pPr>
      <w:spacing w:before="240" w:after="60" w:line="312" w:lineRule="auto"/>
      <w:ind w:left="200" w:leftChars="200" w:firstLine="200" w:firstLineChars="200"/>
      <w:jc w:val="center"/>
      <w:outlineLvl w:val="1"/>
    </w:pPr>
    <w:rPr>
      <w:b/>
      <w:bCs/>
      <w:kern w:val="28"/>
      <w:sz w:val="20"/>
      <w:szCs w:val="32"/>
    </w:rPr>
  </w:style>
  <w:style w:type="paragraph" w:styleId="18">
    <w:name w:val="Body Text Indent"/>
    <w:basedOn w:val="1"/>
    <w:qFormat/>
    <w:uiPriority w:val="0"/>
    <w:pPr>
      <w:spacing w:after="120"/>
      <w:ind w:left="420" w:leftChars="200"/>
    </w:pPr>
  </w:style>
  <w:style w:type="paragraph" w:styleId="19">
    <w:name w:val="toc 5"/>
    <w:basedOn w:val="1"/>
    <w:next w:val="1"/>
    <w:qFormat/>
    <w:uiPriority w:val="0"/>
    <w:pPr>
      <w:ind w:left="1680" w:leftChars="800"/>
    </w:pPr>
    <w:rPr>
      <w:rFonts w:ascii="Cambria" w:hAnsi="Cambria"/>
      <w:szCs w:val="21"/>
    </w:rPr>
  </w:style>
  <w:style w:type="paragraph" w:styleId="20">
    <w:name w:val="toc 3"/>
    <w:basedOn w:val="1"/>
    <w:next w:val="1"/>
    <w:qFormat/>
    <w:uiPriority w:val="0"/>
    <w:pPr>
      <w:ind w:left="840" w:leftChars="400"/>
    </w:pPr>
    <w:rPr>
      <w:rFonts w:ascii="Cambria" w:hAnsi="Cambria"/>
      <w:szCs w:val="21"/>
    </w:rPr>
  </w:style>
  <w:style w:type="paragraph" w:styleId="21">
    <w:name w:val="Plain Text"/>
    <w:basedOn w:val="1"/>
    <w:link w:val="49"/>
    <w:qFormat/>
    <w:uiPriority w:val="99"/>
    <w:rPr>
      <w:rFonts w:ascii="宋体" w:hAnsi="Courier New"/>
      <w:szCs w:val="20"/>
    </w:rPr>
  </w:style>
  <w:style w:type="paragraph" w:styleId="22">
    <w:name w:val="toc 8"/>
    <w:basedOn w:val="1"/>
    <w:next w:val="1"/>
    <w:qFormat/>
    <w:uiPriority w:val="0"/>
    <w:pPr>
      <w:ind w:left="2940" w:leftChars="1400"/>
    </w:pPr>
    <w:rPr>
      <w:rFonts w:ascii="Cambria" w:hAnsi="Cambria"/>
      <w:szCs w:val="21"/>
    </w:rPr>
  </w:style>
  <w:style w:type="paragraph" w:styleId="23">
    <w:name w:val="Date"/>
    <w:basedOn w:val="1"/>
    <w:next w:val="1"/>
    <w:link w:val="50"/>
    <w:qFormat/>
    <w:uiPriority w:val="0"/>
    <w:rPr>
      <w:szCs w:val="20"/>
    </w:rPr>
  </w:style>
  <w:style w:type="paragraph" w:styleId="24">
    <w:name w:val="Body Text Indent 2"/>
    <w:basedOn w:val="1"/>
    <w:qFormat/>
    <w:uiPriority w:val="0"/>
    <w:pPr>
      <w:ind w:firstLine="480" w:firstLineChars="200"/>
    </w:pPr>
    <w:rPr>
      <w:rFonts w:ascii="仿宋_GB2312" w:eastAsia="仿宋_GB2312"/>
      <w:sz w:val="24"/>
    </w:rPr>
  </w:style>
  <w:style w:type="paragraph" w:styleId="25">
    <w:name w:val="Balloon Text"/>
    <w:basedOn w:val="1"/>
    <w:semiHidden/>
    <w:qFormat/>
    <w:uiPriority w:val="0"/>
    <w:rPr>
      <w:sz w:val="18"/>
      <w:szCs w:val="18"/>
    </w:rPr>
  </w:style>
  <w:style w:type="paragraph" w:styleId="26">
    <w:name w:val="footer"/>
    <w:basedOn w:val="1"/>
    <w:link w:val="51"/>
    <w:qFormat/>
    <w:uiPriority w:val="99"/>
    <w:pPr>
      <w:tabs>
        <w:tab w:val="center" w:pos="4153"/>
        <w:tab w:val="right" w:pos="8306"/>
      </w:tabs>
      <w:snapToGrid w:val="0"/>
      <w:jc w:val="left"/>
    </w:pPr>
    <w:rPr>
      <w:sz w:val="18"/>
      <w:szCs w:val="18"/>
    </w:rPr>
  </w:style>
  <w:style w:type="paragraph" w:styleId="27">
    <w:name w:val="header"/>
    <w:basedOn w:val="1"/>
    <w:link w:val="52"/>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9">
    <w:name w:val="toc 4"/>
    <w:basedOn w:val="1"/>
    <w:next w:val="1"/>
    <w:qFormat/>
    <w:uiPriority w:val="0"/>
    <w:pPr>
      <w:ind w:left="1260" w:leftChars="600"/>
    </w:pPr>
    <w:rPr>
      <w:rFonts w:ascii="Cambria" w:hAnsi="Cambria"/>
      <w:szCs w:val="21"/>
    </w:rPr>
  </w:style>
  <w:style w:type="paragraph" w:styleId="30">
    <w:name w:val="toc 6"/>
    <w:basedOn w:val="1"/>
    <w:next w:val="1"/>
    <w:qFormat/>
    <w:uiPriority w:val="0"/>
    <w:pPr>
      <w:ind w:left="2100" w:leftChars="1000"/>
    </w:pPr>
    <w:rPr>
      <w:rFonts w:ascii="Cambria" w:hAnsi="Cambria"/>
      <w:szCs w:val="21"/>
    </w:rPr>
  </w:style>
  <w:style w:type="paragraph" w:styleId="31">
    <w:name w:val="Body Text Indent 3"/>
    <w:basedOn w:val="1"/>
    <w:link w:val="53"/>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2">
    <w:name w:val="toc 2"/>
    <w:basedOn w:val="1"/>
    <w:next w:val="1"/>
    <w:qFormat/>
    <w:uiPriority w:val="0"/>
    <w:pPr>
      <w:spacing w:before="120" w:line="360" w:lineRule="auto"/>
    </w:pPr>
    <w:rPr>
      <w:rFonts w:ascii="仿宋_GB2312" w:hAnsi="宋体" w:eastAsia="仿宋_GB2312" w:cs="仿宋_GB2312"/>
      <w:b/>
      <w:bCs/>
      <w:sz w:val="24"/>
    </w:rPr>
  </w:style>
  <w:style w:type="paragraph" w:styleId="33">
    <w:name w:val="toc 9"/>
    <w:basedOn w:val="1"/>
    <w:next w:val="1"/>
    <w:qFormat/>
    <w:uiPriority w:val="0"/>
    <w:pPr>
      <w:ind w:left="3360" w:leftChars="1600"/>
    </w:pPr>
    <w:rPr>
      <w:rFonts w:ascii="Cambria" w:hAnsi="Cambria"/>
      <w:szCs w:val="21"/>
    </w:rPr>
  </w:style>
  <w:style w:type="paragraph" w:styleId="34">
    <w:name w:val="Body Text 2"/>
    <w:basedOn w:val="1"/>
    <w:qFormat/>
    <w:uiPriority w:val="0"/>
    <w:pPr>
      <w:widowControl/>
    </w:pPr>
    <w:rPr>
      <w:kern w:val="0"/>
      <w:sz w:val="20"/>
      <w:szCs w:val="20"/>
      <w:lang w:eastAsia="en-US"/>
    </w:rPr>
  </w:style>
  <w:style w:type="paragraph" w:styleId="3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6">
    <w:name w:val="index 1"/>
    <w:basedOn w:val="1"/>
    <w:next w:val="1"/>
    <w:qFormat/>
    <w:uiPriority w:val="0"/>
    <w:rPr>
      <w:rFonts w:ascii="Cambria" w:hAnsi="Cambria"/>
      <w:szCs w:val="21"/>
    </w:rPr>
  </w:style>
  <w:style w:type="paragraph" w:styleId="37">
    <w:name w:val="Title"/>
    <w:basedOn w:val="1"/>
    <w:qFormat/>
    <w:uiPriority w:val="0"/>
    <w:pPr>
      <w:jc w:val="center"/>
    </w:pPr>
    <w:rPr>
      <w:sz w:val="30"/>
    </w:rPr>
  </w:style>
  <w:style w:type="paragraph" w:styleId="38">
    <w:name w:val="annotation subject"/>
    <w:basedOn w:val="14"/>
    <w:next w:val="14"/>
    <w:link w:val="54"/>
    <w:qFormat/>
    <w:uiPriority w:val="0"/>
    <w:rPr>
      <w:rFonts w:ascii="Times New Roman" w:hAnsi="Times New Roman"/>
      <w:b/>
      <w:bCs/>
      <w:szCs w:val="24"/>
    </w:rPr>
  </w:style>
  <w:style w:type="table" w:styleId="40">
    <w:name w:val="Table Grid"/>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22"/>
    <w:rPr>
      <w:b/>
      <w:bCs/>
    </w:rPr>
  </w:style>
  <w:style w:type="character" w:styleId="43">
    <w:name w:val="page number"/>
    <w:qFormat/>
    <w:uiPriority w:val="0"/>
  </w:style>
  <w:style w:type="character" w:styleId="44">
    <w:name w:val="FollowedHyperlink"/>
    <w:qFormat/>
    <w:uiPriority w:val="0"/>
    <w:rPr>
      <w:color w:val="800080"/>
      <w:u w:val="single"/>
    </w:rPr>
  </w:style>
  <w:style w:type="character" w:styleId="45">
    <w:name w:val="Emphasis"/>
    <w:qFormat/>
    <w:uiPriority w:val="20"/>
    <w:rPr>
      <w:i/>
      <w:iCs/>
    </w:rPr>
  </w:style>
  <w:style w:type="character" w:styleId="46">
    <w:name w:val="Hyperlink"/>
    <w:qFormat/>
    <w:uiPriority w:val="99"/>
    <w:rPr>
      <w:color w:val="0000FF"/>
      <w:u w:val="single"/>
    </w:rPr>
  </w:style>
  <w:style w:type="character" w:styleId="47">
    <w:name w:val="annotation reference"/>
    <w:qFormat/>
    <w:uiPriority w:val="99"/>
    <w:rPr>
      <w:sz w:val="21"/>
      <w:szCs w:val="21"/>
    </w:rPr>
  </w:style>
  <w:style w:type="character" w:customStyle="1" w:styleId="48">
    <w:name w:val="批注文字 字符"/>
    <w:link w:val="14"/>
    <w:qFormat/>
    <w:uiPriority w:val="99"/>
    <w:rPr>
      <w:rFonts w:ascii="Cambria" w:hAnsi="Cambria"/>
      <w:kern w:val="2"/>
      <w:sz w:val="21"/>
      <w:szCs w:val="21"/>
    </w:rPr>
  </w:style>
  <w:style w:type="character" w:customStyle="1" w:styleId="49">
    <w:name w:val="纯文本 字符"/>
    <w:link w:val="21"/>
    <w:qFormat/>
    <w:uiPriority w:val="99"/>
    <w:rPr>
      <w:rFonts w:ascii="宋体" w:hAnsi="Courier New"/>
      <w:kern w:val="2"/>
      <w:sz w:val="21"/>
    </w:rPr>
  </w:style>
  <w:style w:type="character" w:customStyle="1" w:styleId="50">
    <w:name w:val="日期 字符"/>
    <w:link w:val="23"/>
    <w:qFormat/>
    <w:uiPriority w:val="0"/>
    <w:rPr>
      <w:rFonts w:eastAsia="宋体"/>
      <w:kern w:val="2"/>
      <w:sz w:val="21"/>
      <w:lang w:val="en-US" w:eastAsia="zh-CN" w:bidi="ar-SA"/>
    </w:rPr>
  </w:style>
  <w:style w:type="character" w:customStyle="1" w:styleId="51">
    <w:name w:val="页脚 字符"/>
    <w:link w:val="26"/>
    <w:qFormat/>
    <w:uiPriority w:val="99"/>
    <w:rPr>
      <w:kern w:val="2"/>
      <w:sz w:val="18"/>
      <w:szCs w:val="18"/>
    </w:rPr>
  </w:style>
  <w:style w:type="character" w:customStyle="1" w:styleId="52">
    <w:name w:val="页眉 字符"/>
    <w:link w:val="27"/>
    <w:qFormat/>
    <w:uiPriority w:val="0"/>
    <w:rPr>
      <w:kern w:val="2"/>
      <w:sz w:val="18"/>
      <w:szCs w:val="18"/>
    </w:rPr>
  </w:style>
  <w:style w:type="character" w:customStyle="1" w:styleId="53">
    <w:name w:val="正文文本缩进 3 字符"/>
    <w:link w:val="31"/>
    <w:qFormat/>
    <w:uiPriority w:val="0"/>
    <w:rPr>
      <w:rFonts w:ascii="宋体" w:hAnsi="Cambria" w:cs="宋体"/>
      <w:sz w:val="24"/>
      <w:szCs w:val="24"/>
    </w:rPr>
  </w:style>
  <w:style w:type="character" w:customStyle="1" w:styleId="54">
    <w:name w:val="批注主题 字符"/>
    <w:link w:val="38"/>
    <w:qFormat/>
    <w:uiPriority w:val="0"/>
    <w:rPr>
      <w:rFonts w:ascii="Cambria" w:hAnsi="Cambria"/>
      <w:b/>
      <w:bCs/>
      <w:kern w:val="2"/>
      <w:sz w:val="21"/>
      <w:szCs w:val="24"/>
    </w:rPr>
  </w:style>
  <w:style w:type="character" w:customStyle="1" w:styleId="55">
    <w:name w:val="Char"/>
    <w:qFormat/>
    <w:uiPriority w:val="0"/>
    <w:rPr>
      <w:rFonts w:ascii="宋体" w:hAnsi="Courier New" w:eastAsia="宋体"/>
      <w:kern w:val="2"/>
      <w:sz w:val="21"/>
      <w:lang w:val="en-US" w:eastAsia="zh-CN" w:bidi="ar-SA"/>
    </w:rPr>
  </w:style>
  <w:style w:type="paragraph" w:customStyle="1" w:styleId="56">
    <w:name w:val="Char1"/>
    <w:basedOn w:val="1"/>
    <w:qFormat/>
    <w:uiPriority w:val="0"/>
    <w:rPr>
      <w:rFonts w:ascii="Tahoma" w:hAnsi="Tahoma"/>
      <w:sz w:val="24"/>
      <w:szCs w:val="20"/>
    </w:rPr>
  </w:style>
  <w:style w:type="paragraph" w:customStyle="1" w:styleId="57">
    <w:name w:val="彩色列表 - 强调文字颜色 11"/>
    <w:basedOn w:val="1"/>
    <w:qFormat/>
    <w:uiPriority w:val="34"/>
    <w:pPr>
      <w:ind w:firstLine="420" w:firstLineChars="200"/>
    </w:pPr>
    <w:rPr>
      <w:rFonts w:ascii="Calibri" w:hAnsi="Calibri"/>
      <w:szCs w:val="22"/>
    </w:rPr>
  </w:style>
  <w:style w:type="paragraph" w:customStyle="1" w:styleId="58">
    <w:name w:val="正文文本 21"/>
    <w:basedOn w:val="1"/>
    <w:qFormat/>
    <w:uiPriority w:val="0"/>
    <w:pPr>
      <w:adjustRightInd w:val="0"/>
      <w:spacing w:before="120" w:line="360" w:lineRule="auto"/>
      <w:ind w:firstLine="480"/>
      <w:textAlignment w:val="baseline"/>
    </w:pPr>
    <w:rPr>
      <w:sz w:val="24"/>
      <w:szCs w:val="20"/>
    </w:rPr>
  </w:style>
  <w:style w:type="paragraph" w:customStyle="1" w:styleId="59">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60">
    <w:name w:val="正文文本缩进 21"/>
    <w:basedOn w:val="1"/>
    <w:qFormat/>
    <w:uiPriority w:val="0"/>
    <w:pPr>
      <w:adjustRightInd w:val="0"/>
      <w:spacing w:before="120"/>
      <w:ind w:firstLine="420"/>
      <w:textAlignment w:val="baseline"/>
    </w:pPr>
    <w:rPr>
      <w:sz w:val="24"/>
      <w:szCs w:val="20"/>
    </w:rPr>
  </w:style>
  <w:style w:type="character" w:customStyle="1" w:styleId="61">
    <w:name w:val="Char2"/>
    <w:qFormat/>
    <w:uiPriority w:val="0"/>
    <w:rPr>
      <w:rFonts w:ascii="宋体" w:hAnsi="Courier New" w:eastAsia="宋体" w:cs="宋体"/>
      <w:kern w:val="2"/>
      <w:sz w:val="21"/>
      <w:szCs w:val="21"/>
      <w:lang w:val="en-US" w:eastAsia="zh-CN"/>
    </w:rPr>
  </w:style>
  <w:style w:type="paragraph" w:customStyle="1" w:styleId="62">
    <w:name w:val="标题1"/>
    <w:basedOn w:val="37"/>
    <w:qFormat/>
    <w:uiPriority w:val="0"/>
    <w:pPr>
      <w:spacing w:before="240" w:after="240"/>
      <w:outlineLvl w:val="0"/>
    </w:pPr>
    <w:rPr>
      <w:rFonts w:ascii="Arial" w:hAnsi="Arial" w:cs="Arial"/>
      <w:b/>
      <w:bCs/>
      <w:spacing w:val="2"/>
      <w:sz w:val="44"/>
      <w:szCs w:val="44"/>
    </w:rPr>
  </w:style>
  <w:style w:type="paragraph" w:customStyle="1" w:styleId="63">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4">
    <w:name w:val="样式"/>
    <w:basedOn w:val="1"/>
    <w:next w:val="21"/>
    <w:qFormat/>
    <w:uiPriority w:val="0"/>
    <w:rPr>
      <w:rFonts w:ascii="宋体" w:hAnsi="Courier New" w:cs="宋体"/>
      <w:szCs w:val="21"/>
    </w:rPr>
  </w:style>
  <w:style w:type="paragraph" w:customStyle="1" w:styleId="65">
    <w:name w:val="Char11"/>
    <w:basedOn w:val="1"/>
    <w:qFormat/>
    <w:uiPriority w:val="0"/>
    <w:rPr>
      <w:rFonts w:ascii="Tahoma" w:hAnsi="Tahoma"/>
      <w:sz w:val="24"/>
      <w:szCs w:val="20"/>
    </w:rPr>
  </w:style>
  <w:style w:type="paragraph" w:customStyle="1" w:styleId="66">
    <w:name w:val="Char Char Char Char"/>
    <w:basedOn w:val="1"/>
    <w:qFormat/>
    <w:uiPriority w:val="0"/>
    <w:pPr>
      <w:spacing w:after="160" w:line="240" w:lineRule="exact"/>
    </w:pPr>
    <w:rPr>
      <w:rFonts w:ascii="Cambria" w:hAnsi="Cambria"/>
      <w:szCs w:val="21"/>
    </w:rPr>
  </w:style>
  <w:style w:type="paragraph" w:customStyle="1" w:styleId="67">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8">
    <w:name w:val="List Paragraph"/>
    <w:basedOn w:val="1"/>
    <w:qFormat/>
    <w:uiPriority w:val="34"/>
    <w:pPr>
      <w:ind w:left="205" w:right="169" w:firstLine="655"/>
    </w:pPr>
    <w:rPr>
      <w:rFonts w:ascii="Cambria" w:hAnsi="Cambria"/>
      <w:szCs w:val="21"/>
    </w:rPr>
  </w:style>
  <w:style w:type="table" w:customStyle="1" w:styleId="69">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7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1">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2">
    <w:name w:val="null3"/>
    <w:qFormat/>
    <w:uiPriority w:val="0"/>
    <w:rPr>
      <w:rFonts w:hint="eastAsia" w:ascii="Calibri" w:hAnsi="Calibri" w:eastAsia="宋体" w:cs="Times New Roman"/>
      <w:lang w:val="en-US" w:eastAsia="zh-Hans" w:bidi="ar-SA"/>
    </w:rPr>
  </w:style>
  <w:style w:type="paragraph" w:customStyle="1" w:styleId="73">
    <w:name w:val="_Style 71"/>
    <w:unhideWhenUsed/>
    <w:qFormat/>
    <w:uiPriority w:val="99"/>
    <w:rPr>
      <w:rFonts w:ascii="Times New Roman" w:hAnsi="Times New Roman" w:eastAsia="宋体" w:cs="Times New Roman"/>
      <w:kern w:val="2"/>
      <w:sz w:val="21"/>
      <w:szCs w:val="24"/>
      <w:lang w:val="en-US" w:eastAsia="zh-CN" w:bidi="ar-SA"/>
    </w:rPr>
  </w:style>
  <w:style w:type="table" w:customStyle="1" w:styleId="74">
    <w:name w:val="网格型浅色1"/>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CellMar>
        <w:top w:w="0" w:type="dxa"/>
        <w:left w:w="0" w:type="dxa"/>
        <w:bottom w:w="0" w:type="dxa"/>
        <w:right w:w="0" w:type="dxa"/>
      </w:tblCellMar>
    </w:tblPr>
  </w:style>
  <w:style w:type="paragraph" w:customStyle="1" w:styleId="75">
    <w:name w:val="正文缩进1"/>
    <w:basedOn w:val="1"/>
    <w:qFormat/>
    <w:uiPriority w:val="0"/>
    <w:pPr>
      <w:ind w:firstLine="420" w:firstLineChars="200"/>
    </w:pPr>
  </w:style>
  <w:style w:type="paragraph" w:customStyle="1" w:styleId="76">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77">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78">
    <w:name w:val="Unresolved Mention"/>
    <w:basedOn w:val="4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13</Pages>
  <Words>12841</Words>
  <Characters>13780</Characters>
  <Lines>1637</Lines>
  <Paragraphs>1482</Paragraphs>
  <TotalTime>9</TotalTime>
  <ScaleCrop>false</ScaleCrop>
  <LinksUpToDate>false</LinksUpToDate>
  <CharactersWithSpaces>14011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2026-10-12T07:11:00Z</dcterms:created>
  <dc:creator>caowuning</dc:creator>
  <cp:lastModifiedBy>Weiyu Duan</cp:lastModifiedBy>
  <cp:lastPrinted>2009-04-21T09:03:00Z</cp:lastPrinted>
  <dcterms:modified xsi:type="dcterms:W3CDTF">2026-10-15T08:53:25Z</dcterms:modified>
  <dc:title>北 京 市 政 府 采 购</dc:title>
  <cp:revision>127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9C225BCCA48048CD890168093D14BA8D_13</vt:lpwstr>
  </property>
  <property fmtid="{D5CDD505-2E9C-101B-9397-08002B2CF9AE}" pid="4" name="KSOTemplateDocerSaveRecord">
    <vt:lpwstr>eyJoZGlkIjoiMTY5ZDVkNGViNDI2YWMwZWE1YmM5MGM5ZjEwZmIzYzgiLCJ1c2VySWQiOiIyMTUzODc5NTAifQ==</vt:lpwstr>
  </property>
</Properties>
</file>