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885825">
      <w:pPr>
        <w:pStyle w:val="2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789"/>
      <w:bookmarkStart w:id="1" w:name="_Toc28359001"/>
      <w:r>
        <w:rPr>
          <w:rFonts w:hint="eastAsia" w:ascii="华文中宋" w:hAnsi="华文中宋" w:eastAsia="华文中宋"/>
          <w:sz w:val="32"/>
          <w:szCs w:val="32"/>
        </w:rPr>
        <w:t>招标公告</w:t>
      </w:r>
      <w:bookmarkEnd w:id="0"/>
      <w:bookmarkEnd w:id="1"/>
    </w:p>
    <w:p w14:paraId="282D9166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项目概况</w:t>
      </w:r>
    </w:p>
    <w:p w14:paraId="7D876B94"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气相色谱联用稳定同位素质谱仪</w:t>
      </w:r>
      <w:r>
        <w:rPr>
          <w:rFonts w:hint="eastAsia" w:ascii="仿宋" w:hAnsi="仿宋" w:eastAsia="仿宋"/>
          <w:sz w:val="28"/>
          <w:szCs w:val="28"/>
        </w:rPr>
        <w:t>的潜在投标人应在华采招标集团有限公司（北京市丰台区广安路9号国投财富广场6号楼1601室）获取招标文件，并于2024年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11</w:t>
      </w:r>
      <w:r>
        <w:rPr>
          <w:rFonts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5</w:t>
      </w:r>
      <w:r>
        <w:rPr>
          <w:rFonts w:ascii="仿宋" w:hAnsi="仿宋" w:eastAsia="仿宋"/>
          <w:sz w:val="28"/>
          <w:szCs w:val="28"/>
        </w:rPr>
        <w:t>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14</w:t>
      </w:r>
      <w:r>
        <w:rPr>
          <w:rFonts w:hint="eastAsia" w:ascii="仿宋" w:hAnsi="仿宋" w:eastAsia="仿宋"/>
          <w:sz w:val="28"/>
          <w:szCs w:val="28"/>
        </w:rPr>
        <w:t>: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</w:t>
      </w:r>
      <w:r>
        <w:rPr>
          <w:rFonts w:hint="eastAsia" w:ascii="仿宋" w:hAnsi="仿宋" w:eastAsia="仿宋"/>
          <w:sz w:val="28"/>
          <w:szCs w:val="28"/>
        </w:rPr>
        <w:t>0（</w:t>
      </w:r>
      <w:r>
        <w:rPr>
          <w:rFonts w:hint="eastAsia" w:ascii="仿宋" w:hAnsi="仿宋" w:eastAsia="仿宋"/>
          <w:bCs/>
          <w:sz w:val="28"/>
          <w:szCs w:val="28"/>
        </w:rPr>
        <w:t>北京时间）前递交投标</w:t>
      </w:r>
      <w:r>
        <w:rPr>
          <w:rFonts w:ascii="仿宋" w:hAnsi="仿宋" w:eastAsia="仿宋"/>
          <w:bCs/>
          <w:sz w:val="28"/>
          <w:szCs w:val="28"/>
        </w:rPr>
        <w:t>文件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33C05AB3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" w:name="_Toc35393621"/>
      <w:bookmarkStart w:id="3" w:name="_Toc28359002"/>
      <w:bookmarkStart w:id="4" w:name="_Toc35393790"/>
      <w:bookmarkStart w:id="5" w:name="_Toc28359079"/>
      <w:bookmarkStart w:id="6" w:name="_Hlk24379207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  <w:bookmarkStart w:id="33" w:name="_GoBack"/>
      <w:bookmarkEnd w:id="33"/>
    </w:p>
    <w:p w14:paraId="170755AD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项目编号：</w:t>
      </w:r>
      <w:r>
        <w:rPr>
          <w:rFonts w:ascii="仿宋" w:hAnsi="仿宋" w:eastAsia="仿宋"/>
          <w:sz w:val="28"/>
          <w:szCs w:val="28"/>
        </w:rPr>
        <w:t>HCZB-2024-ZB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1226</w:t>
      </w:r>
    </w:p>
    <w:p w14:paraId="54A9AB6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项目名称：气相色谱联用稳定同位素质谱仪</w:t>
      </w:r>
    </w:p>
    <w:bookmarkEnd w:id="6"/>
    <w:p w14:paraId="3E1D5C8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预算金额：345</w:t>
      </w:r>
      <w:r>
        <w:rPr>
          <w:rFonts w:ascii="仿宋" w:hAnsi="仿宋" w:eastAsia="仿宋"/>
          <w:sz w:val="28"/>
          <w:szCs w:val="28"/>
        </w:rPr>
        <w:t>万元</w:t>
      </w:r>
    </w:p>
    <w:p w14:paraId="3126FED7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采购需求：拟采购一台气相色谱联用稳定同位素质谱仪，用于测定天然气样品，原油样品以及页岩气样品中的碳氢同位素比值，研究天然成因判识。具体详见招标文件第四章采购需求</w:t>
      </w:r>
    </w:p>
    <w:p w14:paraId="0396FFB5"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合同履行期限：合同签订后150日内交货并安装完毕</w:t>
      </w:r>
    </w:p>
    <w:p w14:paraId="17698263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本项目（</w:t>
      </w:r>
      <w:r>
        <w:rPr>
          <w:rFonts w:hint="eastAsia" w:ascii="仿宋" w:hAnsi="仿宋" w:eastAsia="仿宋"/>
          <w:i/>
          <w:sz w:val="28"/>
          <w:szCs w:val="28"/>
        </w:rPr>
        <w:t>是</w:t>
      </w:r>
      <w:r>
        <w:rPr>
          <w:rFonts w:ascii="仿宋" w:hAnsi="仿宋" w:eastAsia="仿宋"/>
          <w:i/>
          <w:sz w:val="28"/>
          <w:szCs w:val="28"/>
        </w:rPr>
        <w:t>/否</w:t>
      </w:r>
      <w:r>
        <w:rPr>
          <w:rFonts w:hint="eastAsia" w:ascii="仿宋" w:hAnsi="仿宋" w:eastAsia="仿宋"/>
          <w:sz w:val="28"/>
          <w:szCs w:val="28"/>
        </w:rPr>
        <w:t>）接受联合体投标：否</w:t>
      </w:r>
    </w:p>
    <w:p w14:paraId="749F5ED5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7" w:name="_Toc35393622"/>
      <w:bookmarkStart w:id="8" w:name="_Toc28359080"/>
      <w:bookmarkStart w:id="9" w:name="_Toc28359003"/>
      <w:bookmarkStart w:id="10" w:name="_Toc35393791"/>
      <w:r>
        <w:rPr>
          <w:rFonts w:hint="eastAsia" w:ascii="黑体" w:hAnsi="黑体" w:cs="宋体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 w14:paraId="69C65FF9">
      <w:pPr>
        <w:ind w:firstLine="560" w:firstLineChars="200"/>
        <w:rPr>
          <w:rFonts w:ascii="仿宋" w:hAnsi="仿宋" w:eastAsia="仿宋"/>
          <w:sz w:val="28"/>
          <w:szCs w:val="28"/>
        </w:rPr>
      </w:pPr>
      <w:bookmarkStart w:id="11" w:name="_Toc35393792"/>
      <w:bookmarkStart w:id="12" w:name="_Toc28359081"/>
      <w:bookmarkStart w:id="13" w:name="_Toc28359004"/>
      <w:bookmarkStart w:id="14" w:name="_Toc35393623"/>
      <w:r>
        <w:rPr>
          <w:rFonts w:hint="eastAsia" w:ascii="仿宋" w:hAnsi="仿宋" w:eastAsia="仿宋"/>
          <w:sz w:val="28"/>
          <w:szCs w:val="28"/>
        </w:rPr>
        <w:t>1.满足《中华人民共和国政府采购法》第二十二条规定；</w:t>
      </w:r>
    </w:p>
    <w:p w14:paraId="3E798DC2">
      <w:pPr>
        <w:ind w:firstLine="56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</w:rPr>
        <w:t>.落实政府采购政策需满足的资格要求：</w:t>
      </w:r>
      <w:r>
        <w:rPr>
          <w:rFonts w:hint="eastAsia" w:ascii="仿宋" w:hAnsi="仿宋" w:eastAsia="仿宋"/>
          <w:sz w:val="28"/>
          <w:szCs w:val="28"/>
          <w:u w:val="single"/>
        </w:rPr>
        <w:t>无</w:t>
      </w:r>
    </w:p>
    <w:p w14:paraId="62DDB2A8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3.本项目的特定资格要求：</w:t>
      </w:r>
    </w:p>
    <w:p w14:paraId="44991D15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(1)投标人必须为投标文件递交截止之日前未被列入“信用中国”网站（www.creditchina.gov.cn）、中国政府采购网（www.ccgp.gov.cn）信用记录失信被执行人、重大税收违法失信主体、政府采购严重违法失信行为记录名单的；</w:t>
      </w:r>
    </w:p>
    <w:p w14:paraId="1D9EA61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(2)不同投标人的法人、单位负责人不是同一人也不存在直接控股、管理关系；</w:t>
      </w:r>
    </w:p>
    <w:p w14:paraId="23F5C615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(3)投标人必须向采购代理机构购买招标文件并登记备案，未向采购代理机构购买招标文件并登记备案的无资格参加本次投标；</w:t>
      </w:r>
    </w:p>
    <w:p w14:paraId="63952799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(4)本项目不接受联合体投标；</w:t>
      </w:r>
    </w:p>
    <w:p w14:paraId="7A5C52D9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sz w:val="28"/>
          <w:szCs w:val="28"/>
        </w:rPr>
        <w:t>)本项目接受进口产品；</w:t>
      </w:r>
    </w:p>
    <w:p w14:paraId="7E23AFFD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sz w:val="28"/>
          <w:szCs w:val="28"/>
        </w:rPr>
        <w:t>)本项目非专门面向中小企业。</w:t>
      </w:r>
    </w:p>
    <w:p w14:paraId="0C5BD33B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 w14:paraId="70F225AC">
      <w:pPr>
        <w:spacing w:line="360" w:lineRule="auto"/>
        <w:ind w:firstLine="54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时间：2024年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宋体"/>
          <w:sz w:val="28"/>
          <w:szCs w:val="28"/>
        </w:rPr>
        <w:t>月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12</w:t>
      </w:r>
      <w:r>
        <w:rPr>
          <w:rFonts w:hint="eastAsia" w:ascii="仿宋" w:hAnsi="仿宋" w:eastAsia="仿宋" w:cs="宋体"/>
          <w:sz w:val="28"/>
          <w:szCs w:val="28"/>
        </w:rPr>
        <w:t>日至2024年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宋体"/>
          <w:sz w:val="28"/>
          <w:szCs w:val="28"/>
        </w:rPr>
        <w:t>月1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宋体"/>
          <w:sz w:val="28"/>
          <w:szCs w:val="28"/>
        </w:rPr>
        <w:t>日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hint="eastAsia" w:ascii="仿宋" w:hAnsi="仿宋" w:eastAsia="仿宋" w:cs="宋体"/>
          <w:sz w:val="28"/>
          <w:szCs w:val="28"/>
        </w:rPr>
        <w:t>每天上</w:t>
      </w:r>
      <w:r>
        <w:rPr>
          <w:rFonts w:hint="eastAsia" w:ascii="仿宋" w:hAnsi="仿宋" w:eastAsia="仿宋"/>
          <w:sz w:val="28"/>
          <w:szCs w:val="28"/>
        </w:rPr>
        <w:t>午</w:t>
      </w:r>
      <w:r>
        <w:rPr>
          <w:rFonts w:hint="eastAsia" w:ascii="仿宋" w:hAnsi="仿宋" w:eastAsia="仿宋"/>
          <w:sz w:val="28"/>
          <w:szCs w:val="28"/>
          <w:u w:val="single"/>
        </w:rPr>
        <w:t>9：00至12：00，</w:t>
      </w:r>
      <w:r>
        <w:rPr>
          <w:rFonts w:hint="eastAsia" w:ascii="仿宋" w:hAnsi="仿宋" w:eastAsia="仿宋" w:cs="宋体"/>
          <w:sz w:val="28"/>
          <w:szCs w:val="28"/>
        </w:rPr>
        <w:t>下午</w:t>
      </w:r>
      <w:r>
        <w:rPr>
          <w:rFonts w:hint="eastAsia" w:ascii="仿宋" w:hAnsi="仿宋" w:eastAsia="仿宋" w:cs="宋体"/>
          <w:sz w:val="28"/>
          <w:szCs w:val="28"/>
          <w:u w:val="single"/>
        </w:rPr>
        <w:t>13：00</w:t>
      </w:r>
      <w:r>
        <w:rPr>
          <w:rFonts w:hint="eastAsia" w:ascii="仿宋" w:hAnsi="仿宋" w:eastAsia="仿宋" w:cs="宋体"/>
          <w:sz w:val="28"/>
          <w:szCs w:val="28"/>
        </w:rPr>
        <w:t>至</w:t>
      </w:r>
      <w:r>
        <w:rPr>
          <w:rFonts w:hint="eastAsia" w:ascii="仿宋" w:hAnsi="仿宋" w:eastAsia="仿宋" w:cs="宋体"/>
          <w:sz w:val="28"/>
          <w:szCs w:val="28"/>
          <w:u w:val="single"/>
        </w:rPr>
        <w:t>17：00</w:t>
      </w:r>
      <w:r>
        <w:rPr>
          <w:rFonts w:hint="eastAsia" w:ascii="仿宋" w:hAnsi="仿宋" w:eastAsia="仿宋" w:cs="宋体"/>
          <w:sz w:val="28"/>
          <w:szCs w:val="28"/>
        </w:rPr>
        <w:t>（北京时间，</w:t>
      </w:r>
      <w:r>
        <w:rPr>
          <w:rFonts w:ascii="仿宋" w:hAnsi="仿宋" w:eastAsia="仿宋" w:cs="宋体"/>
          <w:sz w:val="28"/>
          <w:szCs w:val="28"/>
        </w:rPr>
        <w:t>法定节假日</w:t>
      </w:r>
      <w:r>
        <w:rPr>
          <w:rFonts w:hint="eastAsia" w:ascii="仿宋" w:hAnsi="仿宋" w:eastAsia="仿宋" w:cs="宋体"/>
          <w:sz w:val="28"/>
          <w:szCs w:val="28"/>
        </w:rPr>
        <w:t>除外）</w:t>
      </w:r>
    </w:p>
    <w:p w14:paraId="60699C7A">
      <w:pPr>
        <w:spacing w:line="360" w:lineRule="auto"/>
        <w:ind w:firstLine="540"/>
        <w:rPr>
          <w:rFonts w:ascii="仿宋" w:hAnsi="仿宋" w:eastAsia="仿宋" w:cs="宋体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地点：华采招标集团有限公司（北京市丰台区广安路9号国投财富广场6号楼1601室）</w:t>
      </w:r>
    </w:p>
    <w:p w14:paraId="082DD1E3">
      <w:pPr>
        <w:spacing w:line="360" w:lineRule="auto"/>
        <w:ind w:firstLine="54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方式：现场获取，500元人民币每本，招标文件售后不退。</w:t>
      </w:r>
    </w:p>
    <w:p w14:paraId="5FC7E0C2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5" w:name="_Toc28359082"/>
      <w:bookmarkStart w:id="16" w:name="_Toc28359005"/>
      <w:bookmarkStart w:id="17" w:name="_Toc35393793"/>
      <w:bookmarkStart w:id="18" w:name="_Toc35393624"/>
      <w:r>
        <w:rPr>
          <w:rFonts w:hint="eastAsia" w:ascii="黑体" w:hAnsi="黑体" w:cs="宋体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hint="eastAsia" w:ascii="黑体" w:hAnsi="黑体" w:cs="宋体"/>
          <w:b w:val="0"/>
          <w:sz w:val="28"/>
          <w:szCs w:val="28"/>
        </w:rPr>
        <w:t>截止时间、开标时间和地点</w:t>
      </w:r>
      <w:bookmarkEnd w:id="17"/>
      <w:bookmarkEnd w:id="18"/>
    </w:p>
    <w:p w14:paraId="0B3CD92E">
      <w:pPr>
        <w:pStyle w:val="7"/>
        <w:spacing w:line="360" w:lineRule="auto"/>
        <w:ind w:firstLine="560" w:firstLineChars="200"/>
        <w:rPr>
          <w:rFonts w:ascii="仿宋" w:hAnsi="仿宋" w:eastAsia="仿宋"/>
          <w:iCs/>
          <w:sz w:val="28"/>
          <w:szCs w:val="28"/>
          <w:u w:val="single"/>
        </w:rPr>
      </w:pPr>
      <w:r>
        <w:rPr>
          <w:rFonts w:hint="eastAsia" w:ascii="仿宋" w:hAnsi="仿宋" w:eastAsia="仿宋"/>
          <w:iCs/>
          <w:sz w:val="28"/>
          <w:szCs w:val="28"/>
          <w:u w:val="single"/>
        </w:rPr>
        <w:t>2024年</w:t>
      </w:r>
      <w:r>
        <w:rPr>
          <w:rFonts w:hint="eastAsia" w:ascii="仿宋" w:hAnsi="仿宋" w:eastAsia="仿宋"/>
          <w:iCs/>
          <w:sz w:val="28"/>
          <w:szCs w:val="28"/>
          <w:u w:val="single"/>
          <w:lang w:val="en-US" w:eastAsia="zh-CN"/>
        </w:rPr>
        <w:t>11</w:t>
      </w:r>
      <w:r>
        <w:rPr>
          <w:rFonts w:ascii="仿宋" w:hAnsi="仿宋" w:eastAsia="仿宋"/>
          <w:iCs/>
          <w:sz w:val="28"/>
          <w:szCs w:val="28"/>
          <w:u w:val="single"/>
        </w:rPr>
        <w:t>月</w:t>
      </w:r>
      <w:r>
        <w:rPr>
          <w:rFonts w:hint="eastAsia" w:ascii="仿宋" w:hAnsi="仿宋" w:eastAsia="仿宋"/>
          <w:iCs/>
          <w:sz w:val="28"/>
          <w:szCs w:val="28"/>
          <w:u w:val="single"/>
          <w:lang w:val="en-US" w:eastAsia="zh-CN"/>
        </w:rPr>
        <w:t>5</w:t>
      </w:r>
      <w:r>
        <w:rPr>
          <w:rFonts w:ascii="仿宋" w:hAnsi="仿宋" w:eastAsia="仿宋"/>
          <w:iCs/>
          <w:sz w:val="28"/>
          <w:szCs w:val="28"/>
          <w:u w:val="single"/>
        </w:rPr>
        <w:t>日</w:t>
      </w:r>
      <w:r>
        <w:rPr>
          <w:rFonts w:hint="eastAsia" w:ascii="仿宋" w:hAnsi="仿宋" w:eastAsia="仿宋"/>
          <w:iCs/>
          <w:sz w:val="28"/>
          <w:szCs w:val="28"/>
          <w:u w:val="single"/>
          <w:lang w:val="en-US" w:eastAsia="zh-CN"/>
        </w:rPr>
        <w:t>14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：</w:t>
      </w:r>
      <w:r>
        <w:rPr>
          <w:rFonts w:hint="eastAsia" w:ascii="仿宋" w:hAnsi="仿宋" w:eastAsia="仿宋"/>
          <w:iCs/>
          <w:sz w:val="28"/>
          <w:szCs w:val="28"/>
          <w:u w:val="single"/>
          <w:lang w:val="en-US" w:eastAsia="zh-CN"/>
        </w:rPr>
        <w:t>0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0（北京时间）</w:t>
      </w:r>
    </w:p>
    <w:p w14:paraId="1059521C">
      <w:pPr>
        <w:ind w:firstLine="560" w:firstLineChars="200"/>
        <w:rPr>
          <w:rFonts w:ascii="仿宋" w:hAnsi="仿宋" w:eastAsia="仿宋"/>
          <w:bCs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地点：北京市丰台区广安路9号国投财富广场6号楼15层1518第一会议室</w:t>
      </w:r>
    </w:p>
    <w:p w14:paraId="76E596AE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9" w:name="_Toc28359084"/>
      <w:bookmarkStart w:id="20" w:name="_Toc35393794"/>
      <w:bookmarkStart w:id="21" w:name="_Toc28359007"/>
      <w:bookmarkStart w:id="22" w:name="_Toc35393625"/>
      <w:r>
        <w:rPr>
          <w:rFonts w:hint="eastAsia" w:ascii="黑体" w:hAnsi="黑体" w:cs="宋体"/>
          <w:b w:val="0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 w14:paraId="33705B3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自本公告发布之日起5个工作日。</w:t>
      </w:r>
    </w:p>
    <w:p w14:paraId="10A2ACC2">
      <w:pPr>
        <w:pStyle w:val="3"/>
        <w:numPr>
          <w:ilvl w:val="0"/>
          <w:numId w:val="1"/>
        </w:numPr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3" w:name="_Toc35393795"/>
      <w:bookmarkStart w:id="24" w:name="_Toc35393626"/>
      <w:r>
        <w:rPr>
          <w:rFonts w:hint="eastAsia" w:ascii="黑体" w:hAnsi="黑体" w:cs="宋体"/>
          <w:b w:val="0"/>
          <w:sz w:val="28"/>
          <w:szCs w:val="28"/>
        </w:rPr>
        <w:t>其他补充事宜</w:t>
      </w:r>
      <w:bookmarkEnd w:id="23"/>
      <w:bookmarkEnd w:id="24"/>
    </w:p>
    <w:p w14:paraId="4771B441">
      <w:pPr>
        <w:pStyle w:val="14"/>
        <w:spacing w:line="360" w:lineRule="auto"/>
        <w:ind w:left="420" w:firstLine="0" w:firstLineChars="0"/>
        <w:rPr>
          <w:rFonts w:ascii="仿宋" w:hAnsi="仿宋" w:eastAsia="仿宋" w:cs="宋体"/>
          <w:kern w:val="0"/>
          <w:sz w:val="28"/>
          <w:szCs w:val="28"/>
        </w:rPr>
      </w:pPr>
      <w:bookmarkStart w:id="25" w:name="_Toc28359008"/>
      <w:bookmarkStart w:id="26" w:name="_Toc35393627"/>
      <w:bookmarkStart w:id="27" w:name="_Toc28359085"/>
      <w:bookmarkStart w:id="28" w:name="_Toc35393796"/>
      <w:r>
        <w:rPr>
          <w:rFonts w:hint="eastAsia" w:ascii="仿宋" w:hAnsi="仿宋" w:eastAsia="仿宋" w:cs="宋体"/>
          <w:kern w:val="0"/>
          <w:sz w:val="28"/>
          <w:szCs w:val="28"/>
        </w:rPr>
        <w:t>1、本项目需要落实的政府采购政策：节约能源、保护环境、扶持不发达地区和少数民族地区、促进中小微企业发展、支持监狱、戒毒企业发展、促进残疾人就业、支持脱贫等政府采购政策。</w:t>
      </w:r>
    </w:p>
    <w:p w14:paraId="2D1D535D">
      <w:pPr>
        <w:pStyle w:val="14"/>
        <w:spacing w:line="360" w:lineRule="auto"/>
        <w:ind w:left="420" w:firstLine="0" w:firstLineChars="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2、本项目招标公告在中国政府采购网（http://www.ccgp.gov.cn/）上发布。</w:t>
      </w:r>
    </w:p>
    <w:p w14:paraId="70E8F57A">
      <w:pPr>
        <w:pStyle w:val="3"/>
        <w:spacing w:before="0" w:after="0"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hint="eastAsia" w:ascii="黑体" w:hAnsi="黑体" w:cs="宋体"/>
          <w:b w:val="0"/>
          <w:sz w:val="28"/>
          <w:szCs w:val="28"/>
        </w:rPr>
        <w:t>联系。</w:t>
      </w:r>
      <w:bookmarkEnd w:id="25"/>
      <w:bookmarkEnd w:id="26"/>
      <w:bookmarkEnd w:id="27"/>
      <w:bookmarkEnd w:id="28"/>
    </w:p>
    <w:p w14:paraId="1ED62DE0"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　　1.采购人信息</w:t>
      </w:r>
    </w:p>
    <w:p w14:paraId="07A18349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称：</w:t>
      </w:r>
      <w:r>
        <w:rPr>
          <w:rFonts w:hint="eastAsia" w:ascii="仿宋" w:hAnsi="仿宋" w:eastAsia="仿宋"/>
          <w:sz w:val="28"/>
          <w:szCs w:val="28"/>
          <w:u w:val="single"/>
        </w:rPr>
        <w:t>北京大学</w:t>
      </w:r>
    </w:p>
    <w:p w14:paraId="7C0BA7BD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北京市海淀区颐和园路5号</w:t>
      </w:r>
    </w:p>
    <w:p w14:paraId="59A07D22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吴老师</w:t>
      </w:r>
      <w:bookmarkStart w:id="29" w:name="_Toc28359086"/>
      <w:bookmarkStart w:id="30" w:name="_Toc28359009"/>
      <w:r>
        <w:rPr>
          <w:rFonts w:hint="eastAsia" w:ascii="仿宋" w:hAnsi="仿宋" w:eastAsia="仿宋"/>
          <w:sz w:val="28"/>
          <w:szCs w:val="28"/>
          <w:u w:val="single"/>
        </w:rPr>
        <w:t>62758587</w:t>
      </w:r>
    </w:p>
    <w:p w14:paraId="450E0FAE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29"/>
      <w:bookmarkEnd w:id="30"/>
      <w:r>
        <w:rPr>
          <w:rFonts w:hint="eastAsia" w:ascii="仿宋" w:hAnsi="仿宋" w:eastAsia="仿宋" w:cs="宋体"/>
          <w:sz w:val="28"/>
          <w:szCs w:val="28"/>
        </w:rPr>
        <w:t>（如有）</w:t>
      </w:r>
    </w:p>
    <w:p w14:paraId="71679F96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u w:val="single"/>
        </w:rPr>
        <w:t>华采招标集团有限公司</w:t>
      </w:r>
    </w:p>
    <w:p w14:paraId="242C4651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北京市丰台区广安路9号国投财富广场6号楼1601室</w:t>
      </w:r>
    </w:p>
    <w:p w14:paraId="46C3EAEE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31" w:name="_Toc28359087"/>
      <w:bookmarkStart w:id="32" w:name="_Toc28359010"/>
      <w:r>
        <w:rPr>
          <w:rFonts w:ascii="仿宋" w:hAnsi="仿宋" w:eastAsia="仿宋"/>
          <w:sz w:val="28"/>
          <w:szCs w:val="28"/>
          <w:u w:val="single"/>
        </w:rPr>
        <w:t>010-63509799-8037/8079</w:t>
      </w:r>
    </w:p>
    <w:p w14:paraId="1A311378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3.项目</w:t>
      </w:r>
      <w:r>
        <w:rPr>
          <w:rFonts w:ascii="仿宋" w:hAnsi="仿宋" w:eastAsia="仿宋" w:cs="宋体"/>
          <w:sz w:val="28"/>
          <w:szCs w:val="28"/>
        </w:rPr>
        <w:t>联系方式</w:t>
      </w:r>
      <w:bookmarkEnd w:id="31"/>
      <w:bookmarkEnd w:id="32"/>
    </w:p>
    <w:p w14:paraId="3FA303CC">
      <w:pPr>
        <w:pStyle w:val="7"/>
        <w:spacing w:line="360" w:lineRule="auto"/>
        <w:ind w:firstLine="840" w:firstLineChars="300"/>
        <w:rPr>
          <w:rFonts w:ascii="仿宋" w:hAnsi="仿宋" w:eastAsia="仿宋"/>
          <w:iCs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iCs/>
          <w:sz w:val="28"/>
          <w:szCs w:val="28"/>
          <w:u w:val="single"/>
        </w:rPr>
        <w:t>崔丽洁、赵娜、刘金秀、金珊</w:t>
      </w:r>
    </w:p>
    <w:p w14:paraId="5805ECBC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话：</w:t>
      </w:r>
      <w:r>
        <w:rPr>
          <w:rFonts w:ascii="仿宋" w:hAnsi="仿宋" w:eastAsia="仿宋"/>
          <w:sz w:val="28"/>
          <w:szCs w:val="28"/>
          <w:u w:val="single"/>
        </w:rPr>
        <w:t>010-63509799-8037/8079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2F41E"/>
    <w:multiLevelType w:val="singleLevel"/>
    <w:tmpl w:val="2FA2F41E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NTgwYjZjODA3ZDM4YmE5OThkNTYwYjNlZWI3ZjcifQ=="/>
  </w:docVars>
  <w:rsids>
    <w:rsidRoot w:val="5DC402D4"/>
    <w:rsid w:val="00032229"/>
    <w:rsid w:val="000933BE"/>
    <w:rsid w:val="000D54B7"/>
    <w:rsid w:val="00114C42"/>
    <w:rsid w:val="00131A17"/>
    <w:rsid w:val="001401DB"/>
    <w:rsid w:val="00163A06"/>
    <w:rsid w:val="00167733"/>
    <w:rsid w:val="001805A0"/>
    <w:rsid w:val="001A37F4"/>
    <w:rsid w:val="002300A8"/>
    <w:rsid w:val="00230358"/>
    <w:rsid w:val="00260C68"/>
    <w:rsid w:val="00393F2E"/>
    <w:rsid w:val="003E7175"/>
    <w:rsid w:val="003F6299"/>
    <w:rsid w:val="00422502"/>
    <w:rsid w:val="004711A3"/>
    <w:rsid w:val="00500001"/>
    <w:rsid w:val="00564A6C"/>
    <w:rsid w:val="00587898"/>
    <w:rsid w:val="0059701B"/>
    <w:rsid w:val="005B4BFC"/>
    <w:rsid w:val="005B7904"/>
    <w:rsid w:val="005D1DDF"/>
    <w:rsid w:val="005E1E78"/>
    <w:rsid w:val="006C4F61"/>
    <w:rsid w:val="0072415F"/>
    <w:rsid w:val="00751B6B"/>
    <w:rsid w:val="00752C7B"/>
    <w:rsid w:val="00795112"/>
    <w:rsid w:val="007D737B"/>
    <w:rsid w:val="007E1CF0"/>
    <w:rsid w:val="00817C21"/>
    <w:rsid w:val="00850CF0"/>
    <w:rsid w:val="00884895"/>
    <w:rsid w:val="008E0647"/>
    <w:rsid w:val="008E5CC6"/>
    <w:rsid w:val="00931CE8"/>
    <w:rsid w:val="009A0481"/>
    <w:rsid w:val="009B2BDC"/>
    <w:rsid w:val="009C0AEE"/>
    <w:rsid w:val="009D7A15"/>
    <w:rsid w:val="00A125F7"/>
    <w:rsid w:val="00AD193B"/>
    <w:rsid w:val="00B26515"/>
    <w:rsid w:val="00B326CC"/>
    <w:rsid w:val="00B43D2D"/>
    <w:rsid w:val="00B4691E"/>
    <w:rsid w:val="00BC1407"/>
    <w:rsid w:val="00C45A64"/>
    <w:rsid w:val="00C46C00"/>
    <w:rsid w:val="00C75BFE"/>
    <w:rsid w:val="00C923B5"/>
    <w:rsid w:val="00D35FFE"/>
    <w:rsid w:val="00D91D8D"/>
    <w:rsid w:val="00DF7BD9"/>
    <w:rsid w:val="00E21E7D"/>
    <w:rsid w:val="00E5081A"/>
    <w:rsid w:val="00EF40F0"/>
    <w:rsid w:val="00FC4F75"/>
    <w:rsid w:val="04494859"/>
    <w:rsid w:val="0932487A"/>
    <w:rsid w:val="0AA90E2E"/>
    <w:rsid w:val="0E475E23"/>
    <w:rsid w:val="0F2C1251"/>
    <w:rsid w:val="0F584C32"/>
    <w:rsid w:val="13580428"/>
    <w:rsid w:val="159569D9"/>
    <w:rsid w:val="19EA0B4A"/>
    <w:rsid w:val="1EAA2CB1"/>
    <w:rsid w:val="218450B8"/>
    <w:rsid w:val="24D579B0"/>
    <w:rsid w:val="26C47C65"/>
    <w:rsid w:val="26D617BA"/>
    <w:rsid w:val="2E45172B"/>
    <w:rsid w:val="2ECA37A6"/>
    <w:rsid w:val="2F5B018F"/>
    <w:rsid w:val="304366A1"/>
    <w:rsid w:val="30641756"/>
    <w:rsid w:val="32CA2739"/>
    <w:rsid w:val="349C7E35"/>
    <w:rsid w:val="36524217"/>
    <w:rsid w:val="370D11B8"/>
    <w:rsid w:val="39F0132A"/>
    <w:rsid w:val="3AAF4522"/>
    <w:rsid w:val="3F93772B"/>
    <w:rsid w:val="414034D3"/>
    <w:rsid w:val="43572864"/>
    <w:rsid w:val="456F5F18"/>
    <w:rsid w:val="465B67AD"/>
    <w:rsid w:val="4FBE7679"/>
    <w:rsid w:val="50843389"/>
    <w:rsid w:val="50EC2028"/>
    <w:rsid w:val="522A115A"/>
    <w:rsid w:val="557006F6"/>
    <w:rsid w:val="593D6AA1"/>
    <w:rsid w:val="5D0D4C30"/>
    <w:rsid w:val="5DC402D4"/>
    <w:rsid w:val="5E227B20"/>
    <w:rsid w:val="5F793B22"/>
    <w:rsid w:val="61672CB1"/>
    <w:rsid w:val="6AC970D5"/>
    <w:rsid w:val="6C9C6A36"/>
    <w:rsid w:val="7048630A"/>
    <w:rsid w:val="705F199D"/>
    <w:rsid w:val="76C367EC"/>
    <w:rsid w:val="7D0B5596"/>
    <w:rsid w:val="7D1E4C57"/>
    <w:rsid w:val="7ED45FA4"/>
    <w:rsid w:val="7FC9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5">
    <w:name w:val="Body Text"/>
    <w:basedOn w:val="1"/>
    <w:link w:val="17"/>
    <w:unhideWhenUsed/>
    <w:qFormat/>
    <w:uiPriority w:val="99"/>
    <w:pPr>
      <w:spacing w:after="120"/>
    </w:pPr>
    <w:rPr>
      <w:rFonts w:ascii="Calibri" w:hAnsi="Calibri"/>
      <w:szCs w:val="24"/>
    </w:rPr>
  </w:style>
  <w:style w:type="paragraph" w:styleId="6">
    <w:name w:val="Body Text Indent"/>
    <w:basedOn w:val="1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 2"/>
    <w:basedOn w:val="6"/>
    <w:qFormat/>
    <w:uiPriority w:val="0"/>
    <w:pPr>
      <w:spacing w:after="120" w:line="240" w:lineRule="auto"/>
      <w:ind w:left="420" w:leftChars="200" w:firstLine="420" w:firstLineChars="200"/>
    </w:pPr>
    <w:rPr>
      <w:sz w:val="21"/>
      <w:szCs w:val="20"/>
    </w:rPr>
  </w:style>
  <w:style w:type="character" w:styleId="13">
    <w:name w:val="Hyperlink"/>
    <w:qFormat/>
    <w:uiPriority w:val="99"/>
    <w:rPr>
      <w:rFonts w:cs="Times New Roman"/>
      <w:color w:val="0000FF"/>
      <w:u w:val="single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Char"/>
    <w:basedOn w:val="12"/>
    <w:link w:val="9"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2"/>
    <w:link w:val="8"/>
    <w:qFormat/>
    <w:uiPriority w:val="0"/>
    <w:rPr>
      <w:kern w:val="2"/>
      <w:sz w:val="18"/>
      <w:szCs w:val="18"/>
    </w:rPr>
  </w:style>
  <w:style w:type="character" w:customStyle="1" w:styleId="17">
    <w:name w:val="正文文本 Char"/>
    <w:basedOn w:val="12"/>
    <w:link w:val="5"/>
    <w:qFormat/>
    <w:uiPriority w:val="99"/>
    <w:rPr>
      <w:rFonts w:ascii="Calibri" w:hAnsi="Calibr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956</Words>
  <Characters>1143</Characters>
  <Lines>1</Lines>
  <Paragraphs>2</Paragraphs>
  <TotalTime>0</TotalTime>
  <ScaleCrop>false</ScaleCrop>
  <LinksUpToDate>false</LinksUpToDate>
  <CharactersWithSpaces>1149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2020-04-17T07:43:00Z</dcterms:created>
  <dc:creator>Administrator</dc:creator>
  <cp:lastModifiedBy>i·yih</cp:lastModifiedBy>
  <dcterms:modified xsi:type="dcterms:W3CDTF">2024-10-12T06:23:53Z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C1442564CFD74D28BA92FC365BE4A8B1</vt:lpwstr>
  </property>
</Properties>
</file>