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outlineLvl w:val="0"/>
        <w:rPr>
          <w:b/>
          <w:color w:val="auto"/>
          <w:sz w:val="36"/>
          <w:szCs w:val="36"/>
        </w:rPr>
      </w:pPr>
      <w:bookmarkStart w:id="0" w:name="_Toc119489571"/>
      <w:r>
        <w:rPr>
          <w:b/>
          <w:color w:val="auto"/>
          <w:sz w:val="36"/>
          <w:szCs w:val="36"/>
        </w:rPr>
        <w:t>采购需求</w:t>
      </w:r>
      <w:bookmarkEnd w:id="0"/>
    </w:p>
    <w:p>
      <w:pPr>
        <w:pStyle w:val="10"/>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一、</w:t>
      </w:r>
      <w:r>
        <w:rPr>
          <w:rFonts w:ascii="仿宋" w:hAnsi="仿宋" w:eastAsia="仿宋"/>
          <w:b/>
          <w:color w:val="auto"/>
          <w:szCs w:val="24"/>
        </w:rPr>
        <w:t>采购标的需实现的功能或者目标，以及为落实政府采购政策需满足的要求</w:t>
      </w:r>
    </w:p>
    <w:p>
      <w:pPr>
        <w:pStyle w:val="10"/>
        <w:tabs>
          <w:tab w:val="left" w:pos="7980"/>
        </w:tabs>
        <w:snapToGrid/>
        <w:spacing w:before="156" w:beforeLines="50" w:line="360" w:lineRule="auto"/>
        <w:ind w:firstLine="0"/>
        <w:rPr>
          <w:rFonts w:ascii="仿宋" w:hAnsi="仿宋" w:eastAsia="仿宋"/>
          <w:b/>
          <w:bCs/>
          <w:color w:val="auto"/>
          <w:szCs w:val="24"/>
        </w:rPr>
      </w:pPr>
      <w:r>
        <w:rPr>
          <w:rFonts w:hint="eastAsia" w:ascii="仿宋" w:hAnsi="仿宋" w:eastAsia="仿宋"/>
          <w:b/>
          <w:bCs/>
          <w:color w:val="auto"/>
          <w:szCs w:val="24"/>
        </w:rPr>
        <w:t>(一)采购</w:t>
      </w:r>
      <w:r>
        <w:rPr>
          <w:rFonts w:ascii="仿宋" w:hAnsi="仿宋" w:eastAsia="仿宋"/>
          <w:b/>
          <w:bCs/>
          <w:color w:val="auto"/>
          <w:szCs w:val="24"/>
        </w:rPr>
        <w:t>标的需实现的功能或者目标：</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按照网络安全等级保护和软件测试的相关标准，对医院相关业务系统进行网络安全等级保护测评和软件测评，进而发现系统与相关国家标准的差距。</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测评机构在验收过程中作为独立的第三方机构，应对其实施测评的信息化项目进行客观、专业的测试，并提供权威的测评结论。应遵照有关规定规范，制订服务项目的测评方案，并根据测评方案中规定的指标和评判标准对指定测评对象（包括软硬件）实施检测。在实施检测前与实施检测后分别提交详细的服务测评方案（包括对每种测评类型所采用标准、检测方法和检测工具的详细描述）及第三方测评报告。通过评估系统的需求符合性，对系统功能、可靠性、效率等方面进行专业的测试，全面保障系统开发质量，为工程验收提供重要依据。</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同时，通过网络安全等级保护测评，推动信息系统等级保护工作的进一步落实，进而发现与《信息系统安全等级保护基本要求》的差距，完成信息安全等级保护后期整改工作，落实等级保护的各项要求，并为委托单位提供全程网络安全咨询服务，以提升信息系统整体安全性和稳定性，促进安全管理水平的提高，增强信息系统安全风险管理意识，提高信息安全水平和安全防范能力。</w:t>
      </w:r>
    </w:p>
    <w:p>
      <w:pPr>
        <w:pStyle w:val="10"/>
        <w:snapToGrid/>
        <w:spacing w:before="156" w:beforeLines="50" w:line="360" w:lineRule="auto"/>
        <w:ind w:firstLine="0"/>
        <w:rPr>
          <w:rFonts w:ascii="仿宋" w:hAnsi="仿宋" w:eastAsia="仿宋"/>
          <w:b/>
          <w:bCs/>
          <w:color w:val="auto"/>
          <w:szCs w:val="24"/>
        </w:rPr>
      </w:pPr>
      <w:r>
        <w:rPr>
          <w:rFonts w:ascii="仿宋" w:hAnsi="仿宋" w:eastAsia="仿宋"/>
          <w:b/>
          <w:bCs/>
          <w:color w:val="auto"/>
          <w:szCs w:val="24"/>
        </w:rPr>
        <w:t>（二）为落实政府采购政策需满足的要求</w:t>
      </w:r>
    </w:p>
    <w:p>
      <w:pPr>
        <w:numPr>
          <w:ilvl w:val="0"/>
          <w:numId w:val="1"/>
        </w:numPr>
        <w:tabs>
          <w:tab w:val="left" w:pos="900"/>
        </w:tabs>
        <w:spacing w:before="156" w:beforeLines="50" w:line="360" w:lineRule="auto"/>
        <w:rPr>
          <w:rFonts w:ascii="仿宋" w:hAnsi="仿宋" w:eastAsia="仿宋"/>
          <w:color w:val="auto"/>
          <w:sz w:val="24"/>
        </w:rPr>
      </w:pPr>
      <w:r>
        <w:rPr>
          <w:rFonts w:ascii="仿宋" w:hAnsi="仿宋" w:eastAsia="仿宋"/>
          <w:color w:val="auto"/>
          <w:sz w:val="24"/>
        </w:rPr>
        <w:t>促进</w:t>
      </w:r>
      <w:r>
        <w:rPr>
          <w:rFonts w:hint="eastAsia" w:ascii="仿宋" w:hAnsi="仿宋" w:eastAsia="仿宋"/>
          <w:color w:val="auto"/>
          <w:sz w:val="24"/>
        </w:rPr>
        <w:t>中小</w:t>
      </w:r>
      <w:r>
        <w:rPr>
          <w:rFonts w:ascii="仿宋" w:hAnsi="仿宋" w:eastAsia="仿宋"/>
          <w:color w:val="auto"/>
          <w:sz w:val="24"/>
        </w:rPr>
        <w:t>企业发展政策：</w:t>
      </w:r>
      <w:r>
        <w:rPr>
          <w:rFonts w:hint="eastAsia" w:ascii="仿宋" w:hAnsi="仿宋" w:eastAsia="仿宋"/>
          <w:color w:val="auto"/>
          <w:sz w:val="24"/>
        </w:rPr>
        <w:t>根据《政府采购促进中小企业发展管理办法》规定，本项目</w:t>
      </w:r>
      <w:r>
        <w:rPr>
          <w:rFonts w:hint="eastAsia" w:ascii="仿宋" w:hAnsi="仿宋" w:eastAsia="仿宋"/>
          <w:color w:val="auto"/>
          <w:sz w:val="24"/>
        </w:rPr>
        <w:t>采购服务</w:t>
      </w:r>
      <w:r>
        <w:rPr>
          <w:rFonts w:hint="eastAsia" w:ascii="仿宋" w:hAnsi="仿宋" w:eastAsia="仿宋"/>
          <w:color w:val="auto"/>
          <w:sz w:val="24"/>
        </w:rPr>
        <w:t>由小型或微型企业承接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pPr>
        <w:pStyle w:val="10"/>
        <w:numPr>
          <w:ilvl w:val="0"/>
          <w:numId w:val="1"/>
        </w:numPr>
        <w:spacing w:before="156" w:beforeLines="50" w:line="360" w:lineRule="auto"/>
        <w:rPr>
          <w:rFonts w:ascii="仿宋" w:hAnsi="仿宋" w:eastAsia="仿宋"/>
          <w:color w:val="auto"/>
          <w:szCs w:val="24"/>
        </w:rPr>
      </w:pPr>
      <w:r>
        <w:rPr>
          <w:rFonts w:ascii="仿宋" w:hAnsi="仿宋" w:eastAsia="仿宋"/>
          <w:color w:val="auto"/>
          <w:szCs w:val="24"/>
        </w:rPr>
        <w:t>监狱企业扶持政策：</w:t>
      </w:r>
      <w:r>
        <w:rPr>
          <w:rFonts w:ascii="仿宋" w:hAnsi="仿宋" w:eastAsia="仿宋"/>
          <w:iCs/>
          <w:color w:val="auto"/>
          <w:szCs w:val="24"/>
        </w:rPr>
        <w:t>投标人如为监狱企业将视同为小型或微型企业，</w:t>
      </w:r>
      <w:r>
        <w:rPr>
          <w:rFonts w:ascii="仿宋" w:hAnsi="仿宋" w:eastAsia="仿宋"/>
          <w:color w:val="auto"/>
          <w:szCs w:val="24"/>
        </w:rPr>
        <w:t>且所投产品为小型或微型企业生产的，</w:t>
      </w:r>
      <w:r>
        <w:rPr>
          <w:rFonts w:ascii="仿宋" w:hAnsi="仿宋" w:eastAsia="仿宋"/>
          <w:iCs/>
          <w:color w:val="auto"/>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Pr>
          <w:rFonts w:ascii="仿宋" w:hAnsi="仿宋" w:eastAsia="仿宋"/>
          <w:color w:val="auto"/>
          <w:szCs w:val="24"/>
        </w:rPr>
        <w:t>。</w:t>
      </w:r>
    </w:p>
    <w:p>
      <w:pPr>
        <w:pStyle w:val="10"/>
        <w:numPr>
          <w:ilvl w:val="0"/>
          <w:numId w:val="1"/>
        </w:numPr>
        <w:spacing w:before="156" w:beforeLines="50" w:line="360" w:lineRule="auto"/>
        <w:rPr>
          <w:rFonts w:ascii="仿宋" w:hAnsi="仿宋" w:eastAsia="仿宋"/>
          <w:color w:val="auto"/>
          <w:szCs w:val="24"/>
        </w:rPr>
      </w:pPr>
      <w:r>
        <w:rPr>
          <w:rFonts w:hint="eastAsia" w:ascii="仿宋" w:hAnsi="仿宋" w:eastAsia="仿宋"/>
          <w:color w:val="auto"/>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numPr>
          <w:ilvl w:val="0"/>
          <w:numId w:val="1"/>
        </w:numPr>
        <w:tabs>
          <w:tab w:val="left" w:pos="900"/>
        </w:tabs>
        <w:spacing w:before="156" w:beforeLines="50" w:line="360" w:lineRule="auto"/>
        <w:rPr>
          <w:rFonts w:ascii="仿宋" w:hAnsi="仿宋" w:eastAsia="仿宋"/>
          <w:color w:val="auto"/>
          <w:sz w:val="24"/>
        </w:rPr>
      </w:pPr>
      <w:r>
        <w:rPr>
          <w:rFonts w:hint="eastAsia" w:ascii="仿宋" w:hAnsi="仿宋" w:eastAsia="仿宋"/>
          <w:color w:val="auto"/>
          <w:sz w:val="24"/>
        </w:rPr>
        <w:t>鼓励节能政策：投标人的</w:t>
      </w:r>
      <w:r>
        <w:rPr>
          <w:rFonts w:ascii="仿宋" w:hAnsi="仿宋" w:eastAsia="仿宋"/>
          <w:color w:val="auto"/>
          <w:kern w:val="0"/>
          <w:sz w:val="24"/>
        </w:rPr>
        <w:t>投标产品</w:t>
      </w:r>
      <w:r>
        <w:rPr>
          <w:rFonts w:hint="eastAsia" w:ascii="仿宋" w:hAnsi="仿宋" w:eastAsia="仿宋"/>
          <w:color w:val="auto"/>
          <w:kern w:val="0"/>
          <w:sz w:val="24"/>
        </w:rPr>
        <w:t>属于财政部、发展改革委公布的“节能产品政府采购品目清单”范围</w:t>
      </w:r>
      <w:r>
        <w:rPr>
          <w:rFonts w:ascii="仿宋" w:hAnsi="仿宋" w:eastAsia="仿宋"/>
          <w:color w:val="auto"/>
          <w:kern w:val="0"/>
          <w:sz w:val="24"/>
        </w:rPr>
        <w:t>的</w:t>
      </w:r>
      <w:r>
        <w:rPr>
          <w:rFonts w:hint="eastAsia" w:ascii="仿宋" w:hAnsi="仿宋" w:eastAsia="仿宋"/>
          <w:color w:val="auto"/>
          <w:sz w:val="24"/>
        </w:rPr>
        <w:t>，投标人需提供</w:t>
      </w:r>
      <w:r>
        <w:rPr>
          <w:rFonts w:hint="eastAsia" w:ascii="仿宋" w:hAnsi="仿宋" w:eastAsia="仿宋"/>
          <w:color w:val="auto"/>
          <w:kern w:val="0"/>
          <w:sz w:val="24"/>
        </w:rPr>
        <w:t>国家确定的</w:t>
      </w:r>
      <w:r>
        <w:rPr>
          <w:rFonts w:hint="eastAsia" w:ascii="仿宋" w:hAnsi="仿宋" w:eastAsia="仿宋"/>
          <w:color w:val="auto"/>
          <w:sz w:val="24"/>
        </w:rPr>
        <w:t>认证机构出具的、处于有效期之内的节能产品认证证书。</w:t>
      </w:r>
      <w:r>
        <w:rPr>
          <w:rFonts w:hint="eastAsia" w:ascii="仿宋" w:hAnsi="仿宋" w:eastAsia="仿宋"/>
          <w:color w:val="auto"/>
          <w:kern w:val="0"/>
          <w:sz w:val="24"/>
        </w:rPr>
        <w:t>国家确定的</w:t>
      </w:r>
      <w:r>
        <w:rPr>
          <w:rFonts w:hint="eastAsia" w:ascii="仿宋" w:hAnsi="仿宋" w:eastAsia="仿宋"/>
          <w:color w:val="auto"/>
          <w:sz w:val="24"/>
        </w:rPr>
        <w:t>认证机构和节能产品获证产品信息可从市场监管总局组建的节能产品、环境标志产品认证结果信息发布平台或中国政府采购网（www.ccgp.gov.cn）建立的认证结果信息发布平台链接中查询下载。</w:t>
      </w:r>
    </w:p>
    <w:p>
      <w:pPr>
        <w:numPr>
          <w:ilvl w:val="0"/>
          <w:numId w:val="1"/>
        </w:numPr>
        <w:tabs>
          <w:tab w:val="left" w:pos="900"/>
        </w:tabs>
        <w:spacing w:before="156" w:beforeLines="50" w:line="360" w:lineRule="auto"/>
        <w:rPr>
          <w:rFonts w:ascii="仿宋" w:hAnsi="仿宋" w:eastAsia="仿宋"/>
          <w:color w:val="auto"/>
          <w:sz w:val="24"/>
        </w:rPr>
      </w:pPr>
      <w:r>
        <w:rPr>
          <w:rFonts w:hint="eastAsia" w:ascii="仿宋" w:hAnsi="仿宋" w:eastAsia="仿宋"/>
          <w:color w:val="auto"/>
          <w:sz w:val="24"/>
        </w:rPr>
        <w:t>鼓励环保政策：投标人的</w:t>
      </w:r>
      <w:r>
        <w:rPr>
          <w:rFonts w:ascii="仿宋" w:hAnsi="仿宋" w:eastAsia="仿宋"/>
          <w:color w:val="auto"/>
          <w:kern w:val="0"/>
          <w:sz w:val="24"/>
        </w:rPr>
        <w:t>投标产品</w:t>
      </w:r>
      <w:r>
        <w:rPr>
          <w:rFonts w:hint="eastAsia" w:ascii="仿宋" w:hAnsi="仿宋" w:eastAsia="仿宋"/>
          <w:color w:val="auto"/>
          <w:kern w:val="0"/>
          <w:sz w:val="24"/>
        </w:rPr>
        <w:t>属于财政部、生态环境部公布的“环境标志产品政府采购品目清单”范围</w:t>
      </w:r>
      <w:r>
        <w:rPr>
          <w:rFonts w:ascii="仿宋" w:hAnsi="仿宋" w:eastAsia="仿宋"/>
          <w:color w:val="auto"/>
          <w:kern w:val="0"/>
          <w:sz w:val="24"/>
        </w:rPr>
        <w:t>的</w:t>
      </w:r>
      <w:r>
        <w:rPr>
          <w:rFonts w:hint="eastAsia" w:ascii="仿宋" w:hAnsi="仿宋" w:eastAsia="仿宋"/>
          <w:color w:val="auto"/>
          <w:sz w:val="24"/>
        </w:rPr>
        <w:t>，投标人需提供</w:t>
      </w:r>
      <w:r>
        <w:rPr>
          <w:rFonts w:hint="eastAsia" w:ascii="仿宋" w:hAnsi="仿宋" w:eastAsia="仿宋"/>
          <w:color w:val="auto"/>
          <w:kern w:val="0"/>
          <w:sz w:val="24"/>
        </w:rPr>
        <w:t>国家确定的</w:t>
      </w:r>
      <w:r>
        <w:rPr>
          <w:rFonts w:hint="eastAsia" w:ascii="仿宋" w:hAnsi="仿宋" w:eastAsia="仿宋"/>
          <w:color w:val="auto"/>
          <w:sz w:val="24"/>
        </w:rPr>
        <w:t>认证机构出具的、处于有效期之内的</w:t>
      </w:r>
      <w:r>
        <w:rPr>
          <w:rFonts w:hint="eastAsia" w:ascii="仿宋" w:hAnsi="仿宋" w:eastAsia="仿宋"/>
          <w:color w:val="auto"/>
          <w:kern w:val="0"/>
          <w:sz w:val="24"/>
        </w:rPr>
        <w:t>环境标志</w:t>
      </w:r>
      <w:r>
        <w:rPr>
          <w:rFonts w:hint="eastAsia" w:ascii="仿宋" w:hAnsi="仿宋" w:eastAsia="仿宋"/>
          <w:color w:val="auto"/>
          <w:sz w:val="24"/>
        </w:rPr>
        <w:t>产品认证证书。</w:t>
      </w:r>
      <w:r>
        <w:rPr>
          <w:rFonts w:hint="eastAsia" w:ascii="仿宋" w:hAnsi="仿宋" w:eastAsia="仿宋"/>
          <w:color w:val="auto"/>
          <w:kern w:val="0"/>
          <w:sz w:val="24"/>
        </w:rPr>
        <w:t>国家确定的</w:t>
      </w:r>
      <w:r>
        <w:rPr>
          <w:rFonts w:hint="eastAsia" w:ascii="仿宋" w:hAnsi="仿宋" w:eastAsia="仿宋"/>
          <w:color w:val="auto"/>
          <w:sz w:val="24"/>
        </w:rPr>
        <w:t>认证机构和</w:t>
      </w:r>
      <w:r>
        <w:rPr>
          <w:rFonts w:hint="eastAsia" w:ascii="仿宋" w:hAnsi="仿宋" w:eastAsia="仿宋"/>
          <w:color w:val="auto"/>
          <w:kern w:val="0"/>
          <w:sz w:val="24"/>
        </w:rPr>
        <w:t>环境标志</w:t>
      </w:r>
      <w:r>
        <w:rPr>
          <w:rFonts w:hint="eastAsia" w:ascii="仿宋" w:hAnsi="仿宋" w:eastAsia="仿宋"/>
          <w:color w:val="auto"/>
          <w:sz w:val="24"/>
        </w:rPr>
        <w:t>产品获证产品信息可从市场监管总局组建的节能产品、环境标志产品认证结果信息发布平台或中国政府采购网（www.ccgp.gov.cn）建立的认证结果信息发布平台链接中查询下载。</w:t>
      </w:r>
    </w:p>
    <w:p>
      <w:pPr>
        <w:pStyle w:val="10"/>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二、</w:t>
      </w:r>
      <w:r>
        <w:rPr>
          <w:rFonts w:ascii="仿宋" w:hAnsi="仿宋" w:eastAsia="仿宋"/>
          <w:b/>
          <w:color w:val="auto"/>
          <w:szCs w:val="24"/>
        </w:rPr>
        <w:t>采购标的需执行的国家相关标准、行业标准、地方标准或者其他标准、规范</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《中华人民共和国网络安全法》</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《中华人民共和国计算机信息系统安全保护条例》（国务院147号令）</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《关于加强信息安全保障工作的意见》（中办发〔2003〕27号）</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《信息安全等级保护管理办法》（公通字〔2007〕43号）</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《关于信息安全等级保护工作的实施意见》（公通字〔2004〕66号）</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《信息安全等级保护备案实施细则》(公信安〔2007〕1360号)</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《GB/T22239-2019信息安全技术网络安全等级保护基本要求》（GB/T 25000.51-2016）</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《GB/T22240-2020信息安全技术网络安全等级保护定级指南》</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《GB/T28448-2012信息安全技术信息系统安全等级保护测评要求》</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《GB/T28449-2012信息安全技术信息系统安全等级保护测评过程指南》</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《GB/T25058-2010信息安全技术信息系统安全等级保护实施指南》</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《GB17859-1999计算机信息系统安全保护等级划分准则》</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《信息系统安全等级保护测评报告模板（2021年版）》</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 25000.51-2016《系统与软件工程系统与软件质量要求和评价（SQuaRE）第51部分：就绪可用软件产品（RUSP）的质量要求和测试细则》</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 16260-2006《软件工程产品质量》</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 18905－2002《软件工程产品评价》</w:t>
      </w:r>
    </w:p>
    <w:p>
      <w:pPr>
        <w:spacing w:line="360" w:lineRule="auto"/>
        <w:ind w:firstLine="480" w:firstLineChars="200"/>
        <w:rPr>
          <w:rFonts w:ascii="仿宋" w:hAnsi="仿宋" w:eastAsia="仿宋"/>
          <w:color w:val="auto"/>
          <w:kern w:val="0"/>
          <w:sz w:val="24"/>
        </w:rPr>
      </w:pPr>
      <w:r>
        <w:rPr>
          <w:rFonts w:hint="eastAsia" w:ascii="仿宋" w:hAnsi="仿宋" w:eastAsia="仿宋"/>
          <w:color w:val="auto"/>
          <w:kern w:val="0"/>
          <w:sz w:val="24"/>
        </w:rPr>
        <w:t>GB/T 8567－2006《计算机软件文档编制规范》</w:t>
      </w:r>
    </w:p>
    <w:p>
      <w:pPr>
        <w:spacing w:line="360" w:lineRule="auto"/>
        <w:ind w:firstLine="480" w:firstLineChars="200"/>
        <w:rPr>
          <w:rFonts w:ascii="仿宋" w:hAnsi="仿宋" w:eastAsia="仿宋"/>
          <w:bCs/>
          <w:color w:val="auto"/>
          <w:sz w:val="24"/>
        </w:rPr>
      </w:pPr>
      <w:r>
        <w:rPr>
          <w:rFonts w:hint="eastAsia" w:ascii="仿宋" w:hAnsi="仿宋" w:eastAsia="仿宋"/>
          <w:color w:val="auto"/>
          <w:kern w:val="0"/>
          <w:sz w:val="24"/>
        </w:rPr>
        <w:t>其他相关技术国家标准及行业标准</w:t>
      </w:r>
    </w:p>
    <w:p>
      <w:pPr>
        <w:pStyle w:val="10"/>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三、采购标的的数量、采购项目交付或者实施的时间和地点</w:t>
      </w:r>
    </w:p>
    <w:p>
      <w:pPr>
        <w:pStyle w:val="10"/>
        <w:snapToGrid/>
        <w:spacing w:before="156" w:beforeLines="50" w:line="360" w:lineRule="auto"/>
        <w:ind w:left="-208" w:firstLine="0"/>
        <w:rPr>
          <w:rFonts w:ascii="仿宋" w:hAnsi="仿宋" w:eastAsia="仿宋"/>
          <w:b/>
          <w:color w:val="auto"/>
          <w:szCs w:val="24"/>
        </w:rPr>
      </w:pPr>
      <w:r>
        <w:rPr>
          <w:rFonts w:hint="eastAsia" w:ascii="仿宋" w:hAnsi="仿宋" w:eastAsia="仿宋"/>
          <w:b/>
          <w:color w:val="auto"/>
          <w:szCs w:val="24"/>
        </w:rPr>
        <w:t>（一）采购标的的数量</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074"/>
        <w:gridCol w:w="4087"/>
        <w:gridCol w:w="994"/>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9" w:type="pct"/>
            <w:shd w:val="clear" w:color="auto" w:fill="auto"/>
            <w:vAlign w:val="center"/>
          </w:tcPr>
          <w:p>
            <w:pPr>
              <w:widowControl/>
              <w:jc w:val="center"/>
              <w:rPr>
                <w:rFonts w:ascii="仿宋" w:hAnsi="仿宋" w:eastAsia="仿宋" w:cs="宋体"/>
                <w:color w:val="auto"/>
                <w:kern w:val="0"/>
                <w:sz w:val="24"/>
              </w:rPr>
            </w:pPr>
            <w:r>
              <w:rPr>
                <w:rFonts w:hint="eastAsia" w:ascii="仿宋" w:hAnsi="仿宋" w:eastAsia="仿宋" w:cs="宋体"/>
                <w:color w:val="auto"/>
                <w:kern w:val="0"/>
                <w:sz w:val="24"/>
              </w:rPr>
              <w:t>包号</w:t>
            </w:r>
          </w:p>
        </w:tc>
        <w:tc>
          <w:tcPr>
            <w:tcW w:w="630" w:type="pct"/>
            <w:shd w:val="clear" w:color="auto" w:fill="auto"/>
            <w:vAlign w:val="center"/>
          </w:tcPr>
          <w:p>
            <w:pPr>
              <w:widowControl/>
              <w:jc w:val="center"/>
              <w:rPr>
                <w:rFonts w:ascii="仿宋" w:hAnsi="仿宋" w:eastAsia="仿宋" w:cs="宋体"/>
                <w:color w:val="auto"/>
                <w:kern w:val="0"/>
                <w:sz w:val="24"/>
              </w:rPr>
            </w:pPr>
            <w:r>
              <w:rPr>
                <w:rFonts w:hint="eastAsia" w:ascii="仿宋" w:hAnsi="仿宋" w:eastAsia="仿宋" w:cs="宋体"/>
                <w:color w:val="auto"/>
                <w:kern w:val="0"/>
                <w:sz w:val="24"/>
              </w:rPr>
              <w:t>品目号</w:t>
            </w:r>
          </w:p>
        </w:tc>
        <w:tc>
          <w:tcPr>
            <w:tcW w:w="2398" w:type="pct"/>
            <w:shd w:val="clear" w:color="auto" w:fill="auto"/>
            <w:vAlign w:val="center"/>
          </w:tcPr>
          <w:p>
            <w:pPr>
              <w:widowControl/>
              <w:jc w:val="center"/>
              <w:rPr>
                <w:rFonts w:ascii="仿宋" w:hAnsi="仿宋" w:eastAsia="仿宋" w:cs="宋体"/>
                <w:color w:val="auto"/>
                <w:kern w:val="0"/>
                <w:sz w:val="24"/>
              </w:rPr>
            </w:pPr>
            <w:r>
              <w:rPr>
                <w:rFonts w:hint="eastAsia" w:ascii="仿宋" w:hAnsi="仿宋" w:eastAsia="仿宋" w:cs="宋体"/>
                <w:color w:val="auto"/>
                <w:kern w:val="0"/>
                <w:sz w:val="24"/>
              </w:rPr>
              <w:t>标的名称</w:t>
            </w:r>
          </w:p>
        </w:tc>
        <w:tc>
          <w:tcPr>
            <w:tcW w:w="583" w:type="pct"/>
            <w:vAlign w:val="center"/>
          </w:tcPr>
          <w:p>
            <w:pPr>
              <w:widowControl/>
              <w:jc w:val="center"/>
              <w:rPr>
                <w:rFonts w:ascii="仿宋" w:hAnsi="仿宋" w:eastAsia="仿宋" w:cs="宋体"/>
                <w:color w:val="auto"/>
                <w:kern w:val="0"/>
                <w:sz w:val="24"/>
              </w:rPr>
            </w:pPr>
            <w:r>
              <w:rPr>
                <w:rFonts w:hint="eastAsia" w:ascii="仿宋" w:hAnsi="仿宋" w:eastAsia="仿宋" w:cs="宋体"/>
                <w:color w:val="auto"/>
                <w:kern w:val="0"/>
                <w:sz w:val="24"/>
              </w:rPr>
              <w:t>数量</w:t>
            </w:r>
          </w:p>
        </w:tc>
        <w:tc>
          <w:tcPr>
            <w:tcW w:w="860" w:type="pct"/>
            <w:vAlign w:val="center"/>
          </w:tcPr>
          <w:p>
            <w:pPr>
              <w:widowControl/>
              <w:jc w:val="center"/>
              <w:rPr>
                <w:rFonts w:ascii="仿宋" w:hAnsi="仿宋" w:eastAsia="仿宋" w:cs="宋体"/>
                <w:color w:val="auto"/>
                <w:kern w:val="0"/>
                <w:sz w:val="24"/>
              </w:rPr>
            </w:pPr>
            <w:r>
              <w:rPr>
                <w:rFonts w:hint="eastAsia" w:ascii="仿宋" w:hAnsi="仿宋" w:eastAsia="仿宋" w:cs="宋体"/>
                <w:color w:val="auto"/>
                <w:kern w:val="0"/>
                <w:sz w:val="24"/>
              </w:rPr>
              <w:t>是否接受进口产品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9" w:type="pct"/>
            <w:vMerge w:val="restart"/>
            <w:shd w:val="clear" w:color="auto" w:fill="auto"/>
            <w:vAlign w:val="center"/>
          </w:tcPr>
          <w:p>
            <w:pPr>
              <w:jc w:val="center"/>
              <w:rPr>
                <w:rFonts w:ascii="仿宋" w:hAnsi="仿宋" w:eastAsia="仿宋" w:cs="宋体"/>
                <w:color w:val="auto"/>
                <w:kern w:val="0"/>
                <w:sz w:val="24"/>
              </w:rPr>
            </w:pPr>
            <w:r>
              <w:rPr>
                <w:rFonts w:hint="eastAsia" w:ascii="仿宋" w:hAnsi="仿宋" w:eastAsia="仿宋"/>
                <w:color w:val="auto"/>
                <w:sz w:val="24"/>
              </w:rPr>
              <w:t>10</w:t>
            </w:r>
          </w:p>
        </w:tc>
        <w:tc>
          <w:tcPr>
            <w:tcW w:w="630" w:type="pct"/>
            <w:shd w:val="clear" w:color="auto" w:fill="auto"/>
            <w:vAlign w:val="center"/>
          </w:tcPr>
          <w:p>
            <w:pPr>
              <w:widowControl/>
              <w:jc w:val="center"/>
              <w:rPr>
                <w:rFonts w:ascii="仿宋" w:hAnsi="仿宋" w:eastAsia="仿宋" w:cs="宋体"/>
                <w:color w:val="auto"/>
                <w:kern w:val="0"/>
                <w:sz w:val="24"/>
              </w:rPr>
            </w:pPr>
            <w:r>
              <w:rPr>
                <w:rFonts w:hint="eastAsia" w:ascii="仿宋" w:hAnsi="仿宋" w:eastAsia="仿宋" w:cs="宋体"/>
                <w:color w:val="auto"/>
                <w:kern w:val="0"/>
                <w:sz w:val="24"/>
              </w:rPr>
              <w:t>10-1</w:t>
            </w:r>
          </w:p>
        </w:tc>
        <w:tc>
          <w:tcPr>
            <w:tcW w:w="2398" w:type="pct"/>
            <w:shd w:val="clear" w:color="auto" w:fill="auto"/>
            <w:vAlign w:val="center"/>
          </w:tcPr>
          <w:p>
            <w:pPr>
              <w:jc w:val="center"/>
              <w:rPr>
                <w:rFonts w:ascii="仿宋" w:hAnsi="仿宋" w:eastAsia="仿宋" w:cs="宋体"/>
                <w:color w:val="auto"/>
                <w:kern w:val="0"/>
                <w:sz w:val="24"/>
              </w:rPr>
            </w:pPr>
            <w:r>
              <w:rPr>
                <w:rFonts w:hint="eastAsia" w:ascii="仿宋" w:hAnsi="仿宋" w:eastAsia="仿宋" w:cs="宋体"/>
                <w:color w:val="auto"/>
                <w:kern w:val="0"/>
                <w:sz w:val="24"/>
              </w:rPr>
              <w:t>安全（等保三级）测评</w:t>
            </w:r>
          </w:p>
        </w:tc>
        <w:tc>
          <w:tcPr>
            <w:tcW w:w="583" w:type="pct"/>
            <w:vAlign w:val="center"/>
          </w:tcPr>
          <w:p>
            <w:pPr>
              <w:widowControl/>
              <w:jc w:val="center"/>
              <w:rPr>
                <w:rFonts w:ascii="仿宋" w:hAnsi="仿宋" w:eastAsia="仿宋" w:cs="宋体"/>
                <w:color w:val="auto"/>
                <w:kern w:val="0"/>
                <w:sz w:val="24"/>
              </w:rPr>
            </w:pPr>
            <w:r>
              <w:rPr>
                <w:rFonts w:hint="eastAsia" w:ascii="仿宋" w:hAnsi="仿宋" w:eastAsia="仿宋"/>
                <w:color w:val="auto"/>
                <w:sz w:val="24"/>
              </w:rPr>
              <w:t>1项</w:t>
            </w:r>
          </w:p>
        </w:tc>
        <w:tc>
          <w:tcPr>
            <w:tcW w:w="860" w:type="pct"/>
            <w:vAlign w:val="center"/>
          </w:tcPr>
          <w:p>
            <w:pPr>
              <w:widowControl/>
              <w:jc w:val="center"/>
              <w:rPr>
                <w:rFonts w:ascii="仿宋" w:hAnsi="仿宋" w:eastAsia="仿宋" w:cs="宋体"/>
                <w:color w:val="auto"/>
                <w:kern w:val="0"/>
                <w:sz w:val="24"/>
              </w:rPr>
            </w:pPr>
            <w:r>
              <w:rPr>
                <w:rFonts w:hint="eastAsia" w:ascii="仿宋" w:hAnsi="仿宋" w:eastAsia="仿宋"/>
                <w:color w:val="auto"/>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529" w:type="pct"/>
            <w:vMerge w:val="continue"/>
            <w:shd w:val="clear" w:color="auto" w:fill="auto"/>
            <w:noWrap/>
            <w:vAlign w:val="center"/>
          </w:tcPr>
          <w:p>
            <w:pPr>
              <w:jc w:val="center"/>
              <w:rPr>
                <w:rFonts w:ascii="仿宋" w:hAnsi="仿宋" w:eastAsia="仿宋"/>
                <w:color w:val="auto"/>
                <w:sz w:val="24"/>
              </w:rPr>
            </w:pPr>
          </w:p>
        </w:tc>
        <w:tc>
          <w:tcPr>
            <w:tcW w:w="630" w:type="pct"/>
            <w:shd w:val="clear" w:color="auto" w:fill="auto"/>
            <w:vAlign w:val="center"/>
          </w:tcPr>
          <w:p>
            <w:pPr>
              <w:jc w:val="center"/>
              <w:rPr>
                <w:rFonts w:ascii="仿宋" w:hAnsi="仿宋" w:eastAsia="仿宋"/>
                <w:color w:val="auto"/>
                <w:sz w:val="24"/>
              </w:rPr>
            </w:pPr>
            <w:r>
              <w:rPr>
                <w:rFonts w:hint="eastAsia" w:ascii="仿宋" w:hAnsi="仿宋" w:eastAsia="仿宋"/>
                <w:color w:val="auto"/>
                <w:sz w:val="24"/>
              </w:rPr>
              <w:t>10-2</w:t>
            </w:r>
          </w:p>
        </w:tc>
        <w:tc>
          <w:tcPr>
            <w:tcW w:w="2398" w:type="pct"/>
            <w:shd w:val="clear" w:color="auto" w:fill="auto"/>
            <w:vAlign w:val="center"/>
          </w:tcPr>
          <w:p>
            <w:pPr>
              <w:jc w:val="center"/>
              <w:rPr>
                <w:rFonts w:ascii="仿宋" w:hAnsi="仿宋" w:eastAsia="仿宋"/>
                <w:color w:val="auto"/>
                <w:sz w:val="24"/>
              </w:rPr>
            </w:pPr>
            <w:r>
              <w:rPr>
                <w:rFonts w:hint="eastAsia" w:ascii="仿宋" w:hAnsi="仿宋" w:eastAsia="仿宋" w:cs="宋体"/>
                <w:color w:val="auto"/>
                <w:kern w:val="0"/>
                <w:sz w:val="24"/>
              </w:rPr>
              <w:t>软件测评</w:t>
            </w:r>
          </w:p>
        </w:tc>
        <w:tc>
          <w:tcPr>
            <w:tcW w:w="583" w:type="pct"/>
            <w:noWrap/>
            <w:vAlign w:val="center"/>
          </w:tcPr>
          <w:p>
            <w:pPr>
              <w:widowControl/>
              <w:jc w:val="center"/>
              <w:rPr>
                <w:rFonts w:ascii="仿宋" w:hAnsi="仿宋" w:eastAsia="仿宋"/>
                <w:color w:val="auto"/>
                <w:sz w:val="24"/>
              </w:rPr>
            </w:pPr>
            <w:r>
              <w:rPr>
                <w:rFonts w:hint="eastAsia" w:ascii="仿宋" w:hAnsi="仿宋" w:eastAsia="仿宋"/>
                <w:color w:val="auto"/>
                <w:sz w:val="24"/>
              </w:rPr>
              <w:t>1项</w:t>
            </w:r>
          </w:p>
        </w:tc>
        <w:tc>
          <w:tcPr>
            <w:tcW w:w="860" w:type="pct"/>
            <w:vAlign w:val="center"/>
          </w:tcPr>
          <w:p>
            <w:pPr>
              <w:widowControl/>
              <w:jc w:val="center"/>
              <w:rPr>
                <w:rFonts w:ascii="仿宋" w:hAnsi="仿宋" w:eastAsia="仿宋"/>
                <w:color w:val="auto"/>
                <w:sz w:val="24"/>
              </w:rPr>
            </w:pPr>
            <w:r>
              <w:rPr>
                <w:rFonts w:hint="eastAsia" w:ascii="仿宋" w:hAnsi="仿宋" w:eastAsia="仿宋"/>
                <w:color w:val="auto"/>
                <w:sz w:val="24"/>
              </w:rPr>
              <w:t>否</w:t>
            </w:r>
          </w:p>
        </w:tc>
      </w:tr>
    </w:tbl>
    <w:p>
      <w:pPr>
        <w:pStyle w:val="10"/>
        <w:snapToGrid/>
        <w:spacing w:before="156" w:beforeLines="50" w:line="360" w:lineRule="auto"/>
        <w:ind w:left="-208" w:firstLine="0"/>
        <w:rPr>
          <w:rFonts w:ascii="仿宋" w:hAnsi="仿宋" w:eastAsia="仿宋"/>
          <w:b/>
          <w:color w:val="auto"/>
          <w:szCs w:val="24"/>
        </w:rPr>
      </w:pPr>
      <w:r>
        <w:rPr>
          <w:rFonts w:hint="eastAsia" w:ascii="仿宋" w:hAnsi="仿宋" w:eastAsia="仿宋"/>
          <w:b/>
          <w:color w:val="auto"/>
          <w:szCs w:val="24"/>
        </w:rPr>
        <w:t>（二）采购项目交付或者服务的时间和地点：</w:t>
      </w:r>
    </w:p>
    <w:p>
      <w:pPr>
        <w:tabs>
          <w:tab w:val="left" w:pos="900"/>
        </w:tabs>
        <w:spacing w:before="156" w:beforeLines="50" w:line="360" w:lineRule="auto"/>
        <w:rPr>
          <w:rFonts w:ascii="仿宋" w:hAnsi="仿宋" w:eastAsia="仿宋"/>
          <w:color w:val="auto"/>
          <w:sz w:val="24"/>
          <w:u w:val="single"/>
        </w:rPr>
      </w:pPr>
      <w:r>
        <w:rPr>
          <w:rFonts w:ascii="仿宋" w:hAnsi="仿宋" w:eastAsia="仿宋" w:cs="宋体"/>
          <w:color w:val="auto"/>
          <w:sz w:val="24"/>
        </w:rPr>
        <w:t>1</w:t>
      </w:r>
      <w:r>
        <w:rPr>
          <w:rFonts w:hint="eastAsia" w:ascii="仿宋" w:hAnsi="仿宋" w:eastAsia="仿宋" w:cs="宋体"/>
          <w:color w:val="auto"/>
          <w:sz w:val="24"/>
        </w:rPr>
        <w:t>、</w:t>
      </w:r>
      <w:r>
        <w:rPr>
          <w:rFonts w:hint="eastAsia" w:ascii="仿宋" w:hAnsi="仿宋" w:eastAsia="仿宋"/>
          <w:color w:val="auto"/>
          <w:sz w:val="24"/>
        </w:rPr>
        <w:t>服务期限：自签订合同之日起至测评报告完成。</w:t>
      </w:r>
    </w:p>
    <w:p>
      <w:pPr>
        <w:spacing w:before="156" w:beforeLines="50" w:line="360" w:lineRule="auto"/>
        <w:rPr>
          <w:rFonts w:ascii="仿宋" w:hAnsi="仿宋" w:eastAsia="仿宋"/>
          <w:color w:val="auto"/>
          <w:sz w:val="24"/>
          <w:u w:val="single"/>
        </w:rPr>
      </w:pPr>
      <w:r>
        <w:rPr>
          <w:rFonts w:hint="eastAsia" w:ascii="仿宋" w:hAnsi="仿宋" w:eastAsia="仿宋" w:cs="宋体"/>
          <w:color w:val="auto"/>
          <w:sz w:val="24"/>
        </w:rPr>
        <w:t>2、服务地点：首都医科大学附属北京安贞医院指定地点。</w:t>
      </w:r>
    </w:p>
    <w:p>
      <w:pPr>
        <w:pStyle w:val="10"/>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四、采购标的需满足的服务标准、期限、效率等要求</w:t>
      </w:r>
    </w:p>
    <w:p>
      <w:pPr>
        <w:tabs>
          <w:tab w:val="left" w:pos="900"/>
        </w:tabs>
        <w:spacing w:before="156" w:beforeLines="50" w:line="360" w:lineRule="auto"/>
        <w:rPr>
          <w:rFonts w:ascii="仿宋" w:hAnsi="仿宋" w:eastAsia="仿宋"/>
          <w:b/>
          <w:color w:val="auto"/>
          <w:sz w:val="24"/>
        </w:rPr>
      </w:pPr>
      <w:r>
        <w:rPr>
          <w:rFonts w:hint="eastAsia" w:ascii="仿宋" w:hAnsi="仿宋" w:eastAsia="仿宋"/>
          <w:b/>
          <w:color w:val="auto"/>
          <w:sz w:val="24"/>
        </w:rPr>
        <w:t>（一）采购标的需满足的服务标准、效率要求（以各包技术规格中要求为准，如技术规格中无要求，则以本款要求为准。）</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为保障项目的顺利实施，在项目实施过程须遵循以下原则：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（1）客观性和公正性原则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测评人员应当没有偏见，在最小主观判断情形下，按照双方相互认可的测评方案，基于明确定义的测评方式和解释，实施评估活动。</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（2）规范性原则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测评服务的实施必须由专业的测评服务人员依照规范的操作流程进行，对操作过程和结果要有相应的记录，并提供完整的服务报告。</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（3）标准化原则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测评过程须严格遵守国家的相关法律、法规、规范、标准等相关要求。</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（4）完整性原则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在测评过程中，必须确保测评数据、过程记录的完整性。评测内容要综合考虑所有评测对象的技术措施，并建立完整有效的评测流程，保证不存在影响评测结果的疏忽或遗漏。</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（5）连续性原则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确保在高速变化的信息安全环境中，在有效的服务期间内，保证医院等保测评结论的准确性和及时性，对于医院新增设的信息资产和服务，或新建立的信息化项目，进行局部系统的重新评估。从经济上，降低医院的采购成本，从信息安全性上，保证信息安全测评的动态稳定性。</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（6）扩展性原则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在评估过程中，信息安全测评要保持扩展性，从等级保护的属性上进一步加强，测评结束后确保医院的安全管理有效性和可用性。</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（7）质量保障原则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在整个测评过程中，须特别重视项目质量管理和网络安全咨询保障工作。项目的实施将严格按照项目实施方案和流程进行，提供切实可行的咨询意见和建议，并由医院项目组从中监督，控制项目的进度和质量。</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（8）互动原则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在整个测评过程中，强调与医院的互动参与，每个阶段都能够及时根据医院的要求和实际情况对测评的内容、方式做出相关调整，进而更好的进行风险评估工作。</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（9）影响最小原则</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测评工作应该尽可能小地影响系统和网络的正常运行，不能对业务的正常运行产生明显的影响（包括系统性能明显下降、网络阻塞、服务中断等），如无法避免，则应做出说明，采取必要的措施将相关风险降到最低。</w:t>
      </w:r>
    </w:p>
    <w:p>
      <w:pPr>
        <w:pStyle w:val="7"/>
        <w:spacing w:before="156" w:beforeLines="50" w:line="360" w:lineRule="auto"/>
        <w:ind w:left="420"/>
        <w:rPr>
          <w:rFonts w:hint="default" w:ascii="仿宋" w:hAnsi="仿宋" w:eastAsia="仿宋"/>
          <w:bCs/>
          <w:color w:val="auto"/>
          <w:sz w:val="24"/>
          <w:szCs w:val="24"/>
        </w:rPr>
      </w:pPr>
      <w:r>
        <w:rPr>
          <w:rFonts w:ascii="仿宋" w:hAnsi="仿宋" w:eastAsia="仿宋"/>
          <w:bCs/>
          <w:color w:val="auto"/>
          <w:sz w:val="24"/>
          <w:szCs w:val="24"/>
        </w:rPr>
        <w:t>（10）保密性原则</w:t>
      </w:r>
    </w:p>
    <w:p>
      <w:pPr>
        <w:pStyle w:val="7"/>
        <w:spacing w:before="156" w:beforeLines="50" w:line="360" w:lineRule="auto"/>
        <w:ind w:left="420"/>
        <w:rPr>
          <w:rFonts w:hint="default" w:ascii="仿宋" w:hAnsi="仿宋" w:eastAsia="仿宋"/>
          <w:b/>
          <w:color w:val="auto"/>
          <w:sz w:val="24"/>
          <w:szCs w:val="24"/>
        </w:rPr>
      </w:pPr>
      <w:r>
        <w:rPr>
          <w:rFonts w:ascii="仿宋" w:hAnsi="仿宋" w:eastAsia="仿宋"/>
          <w:bCs/>
          <w:color w:val="auto"/>
          <w:sz w:val="24"/>
          <w:szCs w:val="24"/>
        </w:rPr>
        <w:t>在测评过程中，需严格遵循保密原则，双方需签订保密协议，对服务过程中涉及到的任何医院信息未经允许不向其他任何第三方泄漏，以及不得利用这些信息损害医院利益。</w:t>
      </w:r>
    </w:p>
    <w:p>
      <w:pPr>
        <w:tabs>
          <w:tab w:val="left" w:pos="900"/>
        </w:tabs>
        <w:spacing w:before="156" w:beforeLines="50" w:line="360" w:lineRule="auto"/>
        <w:rPr>
          <w:rFonts w:ascii="仿宋" w:hAnsi="仿宋" w:eastAsia="仿宋"/>
          <w:b/>
          <w:color w:val="auto"/>
          <w:sz w:val="24"/>
        </w:rPr>
      </w:pPr>
      <w:r>
        <w:rPr>
          <w:rFonts w:hint="eastAsia" w:ascii="仿宋" w:hAnsi="仿宋" w:eastAsia="仿宋"/>
          <w:b/>
          <w:color w:val="auto"/>
          <w:sz w:val="24"/>
        </w:rPr>
        <w:t>（二）采购标的需满足的服务期限要求</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服务期限：自签订合同之日起至测评报告完成。</w:t>
      </w:r>
    </w:p>
    <w:p>
      <w:pPr>
        <w:pStyle w:val="10"/>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五、采购标的物验收标准</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交付物《安贞医院通州院区</w:t>
      </w:r>
      <w:r>
        <w:rPr>
          <w:rFonts w:hint="eastAsia"/>
          <w:color w:val="auto"/>
        </w:rPr>
        <w:t>****</w:t>
      </w:r>
      <w:r>
        <w:rPr>
          <w:rFonts w:hint="eastAsia" w:ascii="仿宋" w:hAnsi="仿宋" w:eastAsia="仿宋"/>
          <w:color w:val="auto"/>
          <w:sz w:val="24"/>
        </w:rPr>
        <w:t>系统网络安全等级保护测评报告》、《安贞医院通州院区</w:t>
      </w:r>
      <w:r>
        <w:rPr>
          <w:rFonts w:ascii="仿宋" w:hAnsi="仿宋" w:eastAsia="仿宋"/>
          <w:color w:val="auto"/>
          <w:sz w:val="24"/>
        </w:rPr>
        <w:t>****</w:t>
      </w:r>
      <w:r>
        <w:rPr>
          <w:rFonts w:hint="eastAsia" w:ascii="仿宋" w:hAnsi="仿宋" w:eastAsia="仿宋"/>
          <w:color w:val="auto"/>
          <w:sz w:val="24"/>
        </w:rPr>
        <w:t>系统软件测评报告》</w:t>
      </w:r>
    </w:p>
    <w:p>
      <w:pPr>
        <w:tabs>
          <w:tab w:val="left" w:pos="900"/>
        </w:tabs>
        <w:spacing w:before="156" w:beforeLines="50" w:line="360" w:lineRule="auto"/>
        <w:rPr>
          <w:rFonts w:ascii="仿宋" w:hAnsi="仿宋" w:eastAsia="仿宋"/>
          <w:b/>
          <w:color w:val="auto"/>
          <w:sz w:val="24"/>
        </w:rPr>
      </w:pPr>
      <w:r>
        <w:rPr>
          <w:rFonts w:hint="eastAsia" w:ascii="仿宋" w:hAnsi="仿宋" w:eastAsia="仿宋"/>
          <w:b/>
          <w:color w:val="auto"/>
          <w:sz w:val="24"/>
        </w:rPr>
        <w:t>六、采购标的的其他技术、服务等要求</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投标人需按照招标文件要求提供软件测评方案、等保测评方案、质量控制措施、进度控制措施、测评服务工具的配备能力、测评技术能力和项目组人员配备情况等。</w:t>
      </w:r>
    </w:p>
    <w:p>
      <w:pPr>
        <w:tabs>
          <w:tab w:val="left" w:pos="900"/>
        </w:tabs>
        <w:spacing w:before="156" w:beforeLines="50" w:line="360" w:lineRule="auto"/>
        <w:rPr>
          <w:rFonts w:ascii="仿宋" w:hAnsi="仿宋" w:eastAsia="仿宋"/>
          <w:b/>
          <w:color w:val="auto"/>
          <w:sz w:val="24"/>
        </w:rPr>
      </w:pPr>
      <w:r>
        <w:rPr>
          <w:rFonts w:hint="eastAsia" w:ascii="仿宋" w:hAnsi="仿宋" w:eastAsia="仿宋"/>
          <w:b/>
          <w:color w:val="auto"/>
          <w:sz w:val="24"/>
        </w:rPr>
        <w:t>七、采购标的需满足的质量、安全、技术规格、物理特性等要求：</w:t>
      </w:r>
    </w:p>
    <w:p>
      <w:pPr>
        <w:tabs>
          <w:tab w:val="left" w:pos="900"/>
        </w:tabs>
        <w:snapToGrid w:val="0"/>
        <w:spacing w:line="360" w:lineRule="auto"/>
        <w:jc w:val="center"/>
        <w:rPr>
          <w:rFonts w:ascii="宋体" w:hAnsi="宋体"/>
          <w:color w:val="auto"/>
          <w:szCs w:val="21"/>
        </w:rPr>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pPr>
      <w:r>
        <w:rPr>
          <w:rFonts w:ascii="宋体" w:hAnsi="宋体"/>
          <w:color w:val="auto"/>
          <w:szCs w:val="21"/>
        </w:rPr>
        <w:br w:type="page"/>
      </w:r>
    </w:p>
    <w:p>
      <w:pPr>
        <w:tabs>
          <w:tab w:val="left" w:pos="900"/>
        </w:tabs>
        <w:spacing w:before="120" w:beforeLines="50" w:line="360" w:lineRule="auto"/>
        <w:jc w:val="center"/>
        <w:rPr>
          <w:rFonts w:ascii="仿宋" w:hAnsi="仿宋" w:eastAsia="仿宋"/>
          <w:b/>
          <w:color w:val="auto"/>
          <w:sz w:val="24"/>
        </w:rPr>
      </w:pPr>
      <w:r>
        <w:rPr>
          <w:rFonts w:ascii="仿宋" w:hAnsi="仿宋" w:eastAsia="仿宋"/>
          <w:b/>
          <w:color w:val="auto"/>
          <w:sz w:val="24"/>
        </w:rPr>
        <w:t>第</w:t>
      </w:r>
      <w:r>
        <w:rPr>
          <w:rFonts w:hint="eastAsia" w:ascii="仿宋" w:hAnsi="仿宋" w:eastAsia="仿宋"/>
          <w:b/>
          <w:color w:val="auto"/>
          <w:sz w:val="24"/>
        </w:rPr>
        <w:t>10</w:t>
      </w:r>
      <w:r>
        <w:rPr>
          <w:rFonts w:ascii="仿宋" w:hAnsi="仿宋" w:eastAsia="仿宋"/>
          <w:b/>
          <w:color w:val="auto"/>
          <w:sz w:val="24"/>
        </w:rPr>
        <w:t>包</w:t>
      </w:r>
      <w:r>
        <w:rPr>
          <w:rFonts w:hint="eastAsia" w:ascii="仿宋" w:hAnsi="仿宋" w:eastAsia="仿宋"/>
          <w:b/>
          <w:color w:val="auto"/>
          <w:sz w:val="24"/>
        </w:rPr>
        <w:t xml:space="preserve"> 安全（等保三级）测评和软件测评</w:t>
      </w:r>
    </w:p>
    <w:p>
      <w:pPr>
        <w:pStyle w:val="2"/>
        <w:tabs>
          <w:tab w:val="left" w:pos="2410"/>
          <w:tab w:val="left" w:pos="3828"/>
          <w:tab w:val="left" w:pos="4962"/>
        </w:tabs>
        <w:spacing w:line="360" w:lineRule="auto"/>
        <w:jc w:val="both"/>
        <w:rPr>
          <w:rFonts w:ascii="仿宋" w:hAnsi="仿宋" w:eastAsia="仿宋" w:cs="宋体"/>
          <w:bCs/>
          <w:color w:val="auto"/>
          <w:sz w:val="24"/>
          <w:szCs w:val="24"/>
        </w:rPr>
      </w:pPr>
      <w:r>
        <w:rPr>
          <w:rFonts w:hint="eastAsia" w:ascii="仿宋" w:hAnsi="仿宋" w:eastAsia="仿宋" w:cs="宋体"/>
          <w:bCs/>
          <w:color w:val="auto"/>
          <w:sz w:val="24"/>
          <w:szCs w:val="24"/>
        </w:rPr>
        <w:t>1、项目背景</w:t>
      </w:r>
    </w:p>
    <w:p>
      <w:pPr>
        <w:spacing w:line="360" w:lineRule="auto"/>
        <w:ind w:firstLine="422"/>
        <w:rPr>
          <w:rFonts w:ascii="仿宋" w:hAnsi="仿宋" w:eastAsia="仿宋"/>
          <w:color w:val="auto"/>
          <w:sz w:val="24"/>
        </w:rPr>
      </w:pPr>
      <w:r>
        <w:rPr>
          <w:rFonts w:hint="eastAsia" w:ascii="仿宋" w:hAnsi="仿宋" w:eastAsia="仿宋"/>
          <w:color w:val="auto"/>
          <w:sz w:val="24"/>
        </w:rPr>
        <w:t>安贞医院始建于1984年4月14日，</w:t>
      </w:r>
      <w:r>
        <w:rPr>
          <w:rFonts w:hint="eastAsia" w:ascii="仿宋" w:hAnsi="仿宋" w:eastAsia="仿宋" w:cs="宋体"/>
          <w:color w:val="auto"/>
          <w:sz w:val="24"/>
          <w:shd w:val="clear" w:color="auto" w:fill="FFFFFF"/>
        </w:rPr>
        <w:t>是以治疗心肺血管疾病为重点的三级甲等综合性医院，专科特色突出，在中国心血管领域处于领军地位，多学科综合实力强劲。医院始终坚持公益性，围绕“一核两翼”战略布局，以“强专科，优综合”为方向，坚持医、教、研、创、科学管理、文化建设六位一体，建设国内一流、国际知名的高水平创新型医院。</w:t>
      </w:r>
    </w:p>
    <w:p>
      <w:pPr>
        <w:spacing w:line="360" w:lineRule="auto"/>
        <w:ind w:firstLine="422"/>
        <w:rPr>
          <w:rFonts w:ascii="仿宋" w:hAnsi="仿宋" w:eastAsia="仿宋"/>
          <w:color w:val="auto"/>
          <w:sz w:val="24"/>
        </w:rPr>
      </w:pPr>
      <w:r>
        <w:rPr>
          <w:rFonts w:hint="eastAsia" w:ascii="仿宋" w:hAnsi="仿宋" w:eastAsia="仿宋" w:cs="宋体"/>
          <w:color w:val="auto"/>
          <w:kern w:val="0"/>
          <w:sz w:val="24"/>
        </w:rPr>
        <w:t>为加强北京城市副中心配套医疗卫生设施建设，提升通州区医疗卫生服务能力，2017年北京市政府正式决定在通州区宋庄镇建设安贞医院通州院区，形成“一院两址”的发展新格局。</w:t>
      </w:r>
    </w:p>
    <w:p>
      <w:pPr>
        <w:spacing w:line="360" w:lineRule="auto"/>
        <w:ind w:firstLine="480" w:firstLineChars="200"/>
        <w:rPr>
          <w:rFonts w:ascii="仿宋" w:hAnsi="仿宋" w:eastAsia="仿宋" w:cs="宋体"/>
          <w:color w:val="auto"/>
          <w:sz w:val="24"/>
        </w:rPr>
      </w:pPr>
      <w:r>
        <w:rPr>
          <w:rFonts w:hint="eastAsia" w:ascii="仿宋" w:hAnsi="仿宋" w:eastAsia="仿宋"/>
          <w:color w:val="auto"/>
          <w:sz w:val="24"/>
        </w:rPr>
        <w:t>基于上述背景，北京市政府决定建设安贞医院通州院区，朝阳院区编制床位从1500张缩减至900张、疏解600张，通州院区设置床位1300张。本项目建设是落实《京津冀协同发展规划纲要》的具体措施，是医院向中心城外疏解、优质医疗资源均衡配置的重大突破，是北京城市副中心建设的重要医疗保障，是实现京津冀协同发展的重要举措。</w:t>
      </w:r>
    </w:p>
    <w:p>
      <w:pPr>
        <w:pStyle w:val="2"/>
        <w:spacing w:line="360" w:lineRule="auto"/>
        <w:jc w:val="both"/>
        <w:rPr>
          <w:rFonts w:ascii="仿宋" w:hAnsi="仿宋" w:eastAsia="仿宋" w:cs="宋体"/>
          <w:bCs/>
          <w:color w:val="auto"/>
          <w:sz w:val="24"/>
          <w:szCs w:val="24"/>
        </w:rPr>
      </w:pPr>
      <w:r>
        <w:rPr>
          <w:rFonts w:hint="eastAsia" w:ascii="仿宋" w:hAnsi="仿宋" w:eastAsia="仿宋" w:cs="宋体"/>
          <w:bCs/>
          <w:color w:val="auto"/>
          <w:sz w:val="24"/>
          <w:szCs w:val="24"/>
        </w:rPr>
        <w:t>2、建设目标</w:t>
      </w:r>
    </w:p>
    <w:p>
      <w:pPr>
        <w:pStyle w:val="4"/>
        <w:spacing w:line="360" w:lineRule="auto"/>
        <w:ind w:firstLine="420"/>
        <w:rPr>
          <w:rFonts w:ascii="仿宋" w:hAnsi="仿宋" w:eastAsia="仿宋" w:cs="黑体"/>
          <w:color w:val="auto"/>
          <w:szCs w:val="24"/>
        </w:rPr>
      </w:pPr>
      <w:r>
        <w:rPr>
          <w:rFonts w:hint="eastAsia" w:ascii="仿宋" w:hAnsi="仿宋" w:eastAsia="仿宋" w:cs="黑体"/>
          <w:color w:val="auto"/>
          <w:szCs w:val="24"/>
        </w:rPr>
        <w:t>2.1业务目标</w:t>
      </w:r>
    </w:p>
    <w:p>
      <w:pPr>
        <w:pStyle w:val="11"/>
        <w:ind w:left="0" w:leftChars="0" w:firstLine="480"/>
        <w:rPr>
          <w:rFonts w:ascii="仿宋" w:hAnsi="仿宋" w:eastAsia="仿宋"/>
          <w:color w:val="auto"/>
        </w:rPr>
      </w:pPr>
      <w:r>
        <w:rPr>
          <w:rFonts w:hint="eastAsia" w:ascii="仿宋" w:hAnsi="仿宋" w:eastAsia="仿宋"/>
          <w:color w:val="auto"/>
        </w:rPr>
        <w:t>通过本信息化项目建设满足安贞医院通州院区2024年4月开业对业务信息系统的需求，支撑医疗、医技、管理、协同等业务的正常开展，支撑安贞医院以下指标的实现。</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54"/>
        <w:gridCol w:w="1747"/>
        <w:gridCol w:w="1784"/>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952" w:type="pct"/>
            <w:noWrap/>
            <w:tcMar>
              <w:top w:w="15" w:type="dxa"/>
              <w:left w:w="15" w:type="dxa"/>
              <w:right w:w="15" w:type="dxa"/>
            </w:tcMar>
            <w:vAlign w:val="bottom"/>
          </w:tcPr>
          <w:p>
            <w:pPr>
              <w:widowControl/>
              <w:spacing w:line="360" w:lineRule="auto"/>
              <w:ind w:firstLine="422"/>
              <w:jc w:val="center"/>
              <w:textAlignment w:val="bottom"/>
              <w:rPr>
                <w:rFonts w:ascii="仿宋" w:hAnsi="仿宋" w:eastAsia="仿宋" w:cs="仿宋"/>
                <w:b/>
                <w:bCs/>
                <w:color w:val="auto"/>
                <w:sz w:val="24"/>
              </w:rPr>
            </w:pPr>
            <w:r>
              <w:rPr>
                <w:rFonts w:hint="eastAsia" w:ascii="仿宋" w:hAnsi="仿宋" w:eastAsia="仿宋" w:cs="仿宋"/>
                <w:b/>
                <w:bCs/>
                <w:color w:val="auto"/>
                <w:kern w:val="0"/>
                <w:sz w:val="24"/>
                <w:lang w:bidi="ar"/>
              </w:rPr>
              <w:t>项目</w:t>
            </w:r>
          </w:p>
        </w:tc>
        <w:tc>
          <w:tcPr>
            <w:tcW w:w="1048" w:type="pct"/>
            <w:noWrap/>
            <w:tcMar>
              <w:top w:w="15" w:type="dxa"/>
              <w:left w:w="15" w:type="dxa"/>
              <w:right w:w="15" w:type="dxa"/>
            </w:tcMar>
            <w:vAlign w:val="bottom"/>
          </w:tcPr>
          <w:p>
            <w:pPr>
              <w:widowControl/>
              <w:spacing w:line="360" w:lineRule="auto"/>
              <w:ind w:firstLine="422"/>
              <w:jc w:val="center"/>
              <w:textAlignment w:val="bottom"/>
              <w:rPr>
                <w:rFonts w:ascii="仿宋" w:hAnsi="仿宋" w:eastAsia="仿宋" w:cs="仿宋"/>
                <w:b/>
                <w:bCs/>
                <w:color w:val="auto"/>
                <w:sz w:val="24"/>
              </w:rPr>
            </w:pPr>
            <w:r>
              <w:rPr>
                <w:rFonts w:hint="eastAsia" w:ascii="仿宋" w:hAnsi="仿宋" w:eastAsia="仿宋" w:cs="仿宋"/>
                <w:b/>
                <w:bCs/>
                <w:color w:val="auto"/>
                <w:kern w:val="0"/>
                <w:sz w:val="24"/>
                <w:lang w:bidi="ar"/>
              </w:rPr>
              <w:t>朝阳院区</w:t>
            </w:r>
          </w:p>
        </w:tc>
        <w:tc>
          <w:tcPr>
            <w:tcW w:w="1070" w:type="pct"/>
            <w:noWrap/>
            <w:tcMar>
              <w:top w:w="15" w:type="dxa"/>
              <w:left w:w="15" w:type="dxa"/>
              <w:right w:w="15" w:type="dxa"/>
            </w:tcMar>
            <w:vAlign w:val="bottom"/>
          </w:tcPr>
          <w:p>
            <w:pPr>
              <w:widowControl/>
              <w:spacing w:line="360" w:lineRule="auto"/>
              <w:ind w:firstLine="422"/>
              <w:jc w:val="center"/>
              <w:textAlignment w:val="bottom"/>
              <w:rPr>
                <w:rFonts w:ascii="仿宋" w:hAnsi="仿宋" w:eastAsia="仿宋" w:cs="仿宋"/>
                <w:b/>
                <w:bCs/>
                <w:color w:val="auto"/>
                <w:sz w:val="24"/>
              </w:rPr>
            </w:pPr>
            <w:r>
              <w:rPr>
                <w:rFonts w:hint="eastAsia" w:ascii="仿宋" w:hAnsi="仿宋" w:eastAsia="仿宋" w:cs="仿宋"/>
                <w:b/>
                <w:bCs/>
                <w:color w:val="auto"/>
                <w:kern w:val="0"/>
                <w:sz w:val="24"/>
                <w:lang w:bidi="ar"/>
              </w:rPr>
              <w:t>通州院区</w:t>
            </w:r>
          </w:p>
        </w:tc>
        <w:tc>
          <w:tcPr>
            <w:tcW w:w="930" w:type="pct"/>
            <w:noWrap/>
            <w:tcMar>
              <w:top w:w="15" w:type="dxa"/>
              <w:left w:w="15" w:type="dxa"/>
              <w:right w:w="15" w:type="dxa"/>
            </w:tcMar>
            <w:vAlign w:val="bottom"/>
          </w:tcPr>
          <w:p>
            <w:pPr>
              <w:widowControl/>
              <w:spacing w:line="360" w:lineRule="auto"/>
              <w:ind w:firstLine="422"/>
              <w:jc w:val="center"/>
              <w:textAlignment w:val="bottom"/>
              <w:rPr>
                <w:rFonts w:ascii="仿宋" w:hAnsi="仿宋" w:eastAsia="仿宋" w:cs="仿宋"/>
                <w:b/>
                <w:bCs/>
                <w:color w:val="auto"/>
                <w:sz w:val="24"/>
              </w:rPr>
            </w:pPr>
            <w:r>
              <w:rPr>
                <w:rFonts w:hint="eastAsia" w:ascii="仿宋" w:hAnsi="仿宋" w:eastAsia="仿宋" w:cs="仿宋"/>
                <w:b/>
                <w:bCs/>
                <w:color w:val="auto"/>
                <w:kern w:val="0"/>
                <w:sz w:val="24"/>
                <w:lang w:bidi="ar"/>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床位数（张数）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900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1300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重症床位数（张数）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170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260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年门急诊量（人次）</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1400000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1200000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2600000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年出院人数（人次）</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40000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70000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年外科手术（例数）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13500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17500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年综外手术（例数）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9000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9000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年心外科手术（例数）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4500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8500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年冠脉造影（例数）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11000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20000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年PCI（例数）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5000</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15000</w:t>
            </w:r>
          </w:p>
        </w:tc>
        <w:tc>
          <w:tcPr>
            <w:tcW w:w="93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952"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平均住院日（天数）</w:t>
            </w:r>
          </w:p>
        </w:tc>
        <w:tc>
          <w:tcPr>
            <w:tcW w:w="1048"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7</w:t>
            </w:r>
          </w:p>
        </w:tc>
        <w:tc>
          <w:tcPr>
            <w:tcW w:w="1070" w:type="pct"/>
            <w:noWrap/>
            <w:tcMar>
              <w:top w:w="15" w:type="dxa"/>
              <w:left w:w="15" w:type="dxa"/>
              <w:right w:w="15" w:type="dxa"/>
            </w:tcMar>
            <w:vAlign w:val="bottom"/>
          </w:tcPr>
          <w:p>
            <w:pPr>
              <w:widowControl/>
              <w:spacing w:line="360" w:lineRule="auto"/>
              <w:jc w:val="center"/>
              <w:textAlignment w:val="bottom"/>
              <w:rPr>
                <w:rFonts w:ascii="仿宋" w:hAnsi="仿宋" w:eastAsia="仿宋" w:cs="宋体"/>
                <w:color w:val="auto"/>
                <w:sz w:val="24"/>
              </w:rPr>
            </w:pPr>
            <w:r>
              <w:rPr>
                <w:rFonts w:hint="eastAsia" w:ascii="仿宋" w:hAnsi="仿宋" w:eastAsia="仿宋" w:cs="宋体"/>
                <w:color w:val="auto"/>
                <w:kern w:val="0"/>
                <w:sz w:val="24"/>
                <w:lang w:bidi="ar"/>
              </w:rPr>
              <w:t>6.5</w:t>
            </w:r>
          </w:p>
        </w:tc>
        <w:tc>
          <w:tcPr>
            <w:tcW w:w="930" w:type="pct"/>
            <w:noWrap/>
            <w:tcMar>
              <w:top w:w="15" w:type="dxa"/>
              <w:left w:w="15" w:type="dxa"/>
              <w:right w:w="15" w:type="dxa"/>
            </w:tcMar>
            <w:vAlign w:val="bottom"/>
          </w:tcPr>
          <w:p>
            <w:pPr>
              <w:widowControl/>
              <w:spacing w:line="360" w:lineRule="auto"/>
              <w:jc w:val="center"/>
              <w:rPr>
                <w:rFonts w:ascii="仿宋" w:hAnsi="仿宋" w:eastAsia="仿宋" w:cs="宋体"/>
                <w:color w:val="auto"/>
                <w:sz w:val="24"/>
              </w:rPr>
            </w:pPr>
          </w:p>
        </w:tc>
      </w:tr>
    </w:tbl>
    <w:p>
      <w:pPr>
        <w:pStyle w:val="11"/>
        <w:ind w:left="0" w:leftChars="0" w:firstLine="0" w:firstLineChars="0"/>
        <w:rPr>
          <w:rFonts w:ascii="仿宋" w:hAnsi="仿宋" w:eastAsia="仿宋"/>
          <w:b/>
          <w:bCs/>
          <w:color w:val="auto"/>
        </w:rPr>
      </w:pPr>
      <w:r>
        <w:rPr>
          <w:rFonts w:hint="eastAsia" w:ascii="仿宋" w:hAnsi="仿宋" w:eastAsia="仿宋"/>
          <w:b/>
          <w:bCs/>
          <w:color w:val="auto"/>
        </w:rPr>
        <w:t>（注：本次信息化建设不涉及朝阳院区建设。未来通州院区为安贞医院主院区，信息化系统采用在通州院区一体化部署，信息化建设“标准统一、接口统一、界面统一、业务流程统一、数据统一”，两个院区业务访问通州院区系统，数据存储在通州院区，所以需要两个院区的业务量数据作为信息系统设计支撑。）</w:t>
      </w:r>
    </w:p>
    <w:p>
      <w:pPr>
        <w:pStyle w:val="11"/>
        <w:ind w:left="0" w:leftChars="0" w:firstLine="480"/>
        <w:rPr>
          <w:rFonts w:ascii="仿宋" w:hAnsi="仿宋" w:eastAsia="仿宋"/>
          <w:color w:val="auto"/>
        </w:rPr>
      </w:pPr>
      <w:r>
        <w:rPr>
          <w:rFonts w:hint="eastAsia" w:ascii="仿宋" w:hAnsi="仿宋" w:eastAsia="仿宋"/>
          <w:color w:val="auto"/>
        </w:rPr>
        <w:t>通过本项目建设，实现安贞医院“一院两址”信息化管理多院区信息“平台化”。构建覆盖两个院区连接基层医疗机构辐射边远地区援助的医疗信息化支撑体系；结合安贞朝阳院区信息化现状，整合多院区信息系统，实现诊疗、运营、科研等数据的跨院区共享。为实现多院区一体化协同发展提供全面的信息化支撑。</w:t>
      </w:r>
    </w:p>
    <w:p>
      <w:pPr>
        <w:pStyle w:val="2"/>
        <w:spacing w:line="360" w:lineRule="auto"/>
        <w:jc w:val="both"/>
        <w:rPr>
          <w:rFonts w:ascii="仿宋" w:hAnsi="仿宋" w:eastAsia="仿宋" w:cs="宋体"/>
          <w:bCs/>
          <w:color w:val="auto"/>
          <w:sz w:val="24"/>
          <w:szCs w:val="24"/>
        </w:rPr>
      </w:pPr>
      <w:r>
        <w:rPr>
          <w:rFonts w:hint="eastAsia" w:ascii="仿宋" w:hAnsi="仿宋" w:eastAsia="仿宋" w:cs="宋体"/>
          <w:bCs/>
          <w:color w:val="auto"/>
          <w:sz w:val="24"/>
          <w:szCs w:val="24"/>
        </w:rPr>
        <w:t>3、技术参数</w:t>
      </w:r>
    </w:p>
    <w:p>
      <w:pPr>
        <w:pStyle w:val="4"/>
        <w:spacing w:line="360" w:lineRule="auto"/>
        <w:ind w:firstLine="420"/>
        <w:rPr>
          <w:rFonts w:ascii="仿宋" w:hAnsi="仿宋" w:eastAsia="仿宋" w:cs="黑体"/>
          <w:color w:val="auto"/>
          <w:szCs w:val="24"/>
        </w:rPr>
      </w:pPr>
      <w:r>
        <w:rPr>
          <w:rFonts w:hint="eastAsia" w:ascii="仿宋" w:hAnsi="仿宋" w:eastAsia="仿宋" w:cs="黑体"/>
          <w:color w:val="auto"/>
          <w:szCs w:val="24"/>
        </w:rPr>
        <w:t>3.1安全（验收）测评服务</w:t>
      </w:r>
    </w:p>
    <w:p>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网络等级保护测评范围包括：</w:t>
      </w:r>
    </w:p>
    <w:p>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（1）HIS系统</w:t>
      </w:r>
      <w:r>
        <w:rPr>
          <w:rFonts w:hint="eastAsia" w:ascii="仿宋" w:hAnsi="仿宋" w:eastAsia="仿宋" w:cs="宋体"/>
          <w:color w:val="auto"/>
          <w:sz w:val="24"/>
        </w:rPr>
        <w:tab/>
      </w:r>
      <w:r>
        <w:rPr>
          <w:rFonts w:hint="eastAsia" w:ascii="仿宋" w:hAnsi="仿宋" w:eastAsia="仿宋" w:cs="宋体"/>
          <w:color w:val="auto"/>
          <w:sz w:val="24"/>
        </w:rPr>
        <w:t>三级</w:t>
      </w:r>
    </w:p>
    <w:p>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（2）医院集成平台</w:t>
      </w:r>
      <w:r>
        <w:rPr>
          <w:rFonts w:hint="eastAsia" w:ascii="仿宋" w:hAnsi="仿宋" w:eastAsia="仿宋" w:cs="宋体"/>
          <w:color w:val="auto"/>
          <w:sz w:val="24"/>
        </w:rPr>
        <w:tab/>
      </w:r>
      <w:r>
        <w:rPr>
          <w:rFonts w:hint="eastAsia" w:ascii="仿宋" w:hAnsi="仿宋" w:eastAsia="仿宋" w:cs="宋体"/>
          <w:color w:val="auto"/>
          <w:sz w:val="24"/>
        </w:rPr>
        <w:t>三级</w:t>
      </w:r>
    </w:p>
    <w:p>
      <w:pPr>
        <w:spacing w:line="360" w:lineRule="auto"/>
        <w:ind w:firstLine="480" w:firstLineChars="200"/>
        <w:jc w:val="left"/>
        <w:rPr>
          <w:rFonts w:hint="eastAsia" w:ascii="仿宋" w:hAnsi="仿宋" w:eastAsia="仿宋" w:cs="宋体"/>
          <w:color w:val="auto"/>
          <w:sz w:val="24"/>
        </w:rPr>
      </w:pPr>
      <w:r>
        <w:rPr>
          <w:rFonts w:hint="eastAsia" w:ascii="仿宋" w:hAnsi="仿宋" w:eastAsia="仿宋" w:cs="宋体"/>
          <w:color w:val="auto"/>
          <w:sz w:val="24"/>
        </w:rPr>
        <w:t>（3）互联网服务平台系统</w:t>
      </w:r>
      <w:r>
        <w:rPr>
          <w:rFonts w:hint="eastAsia" w:ascii="仿宋" w:hAnsi="仿宋" w:eastAsia="仿宋" w:cs="宋体"/>
          <w:color w:val="auto"/>
          <w:sz w:val="24"/>
        </w:rPr>
        <w:tab/>
      </w:r>
      <w:r>
        <w:rPr>
          <w:rFonts w:hint="eastAsia" w:ascii="仿宋" w:hAnsi="仿宋" w:eastAsia="仿宋" w:cs="宋体"/>
          <w:color w:val="auto"/>
          <w:sz w:val="24"/>
        </w:rPr>
        <w:t>三级</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（4）平安医院安防综合管控系统</w:t>
      </w:r>
      <w:r>
        <w:rPr>
          <w:rFonts w:hint="eastAsia" w:ascii="仿宋" w:hAnsi="仿宋" w:eastAsia="仿宋" w:cs="宋体"/>
          <w:color w:val="auto"/>
          <w:sz w:val="24"/>
        </w:rPr>
        <w:tab/>
      </w:r>
      <w:r>
        <w:rPr>
          <w:rFonts w:hint="eastAsia" w:ascii="仿宋" w:hAnsi="仿宋" w:eastAsia="仿宋" w:cs="宋体"/>
          <w:color w:val="auto"/>
          <w:sz w:val="24"/>
        </w:rPr>
        <w:t>二级</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医院</w:t>
      </w:r>
      <w:r>
        <w:rPr>
          <w:rFonts w:ascii="仿宋" w:hAnsi="仿宋" w:eastAsia="仿宋" w:cs="宋体"/>
          <w:color w:val="auto"/>
          <w:sz w:val="24"/>
        </w:rPr>
        <w:t>HIS</w:t>
      </w:r>
      <w:r>
        <w:rPr>
          <w:rFonts w:hint="eastAsia" w:ascii="仿宋" w:hAnsi="仿宋" w:eastAsia="仿宋" w:cs="宋体"/>
          <w:color w:val="auto"/>
          <w:sz w:val="24"/>
        </w:rPr>
        <w:t>及集成平台共</w:t>
      </w:r>
      <w:r>
        <w:rPr>
          <w:rFonts w:ascii="仿宋" w:hAnsi="仿宋" w:eastAsia="仿宋" w:cs="宋体"/>
          <w:color w:val="auto"/>
          <w:sz w:val="24"/>
        </w:rPr>
        <w:t>2</w:t>
      </w:r>
      <w:r>
        <w:rPr>
          <w:rFonts w:hint="eastAsia" w:ascii="仿宋" w:hAnsi="仿宋" w:eastAsia="仿宋" w:cs="宋体"/>
          <w:color w:val="auto"/>
          <w:sz w:val="24"/>
        </w:rPr>
        <w:t>个系统，信息系统等级为三级。</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对上述信息系统在安全技术及安全管理等方面的测评，对目标系统的安全技术状态及安全管理状况做出初步判断，给出指定的信息系统在安全技术及安全管理方面与其相应安全等级保护要求之间的差距。测评结论作为单位进一步完善系统安全策略及安全技术防护措施依据。</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等保测评工作内容包括：</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（1）安全技术测评：包括安全物理环境、安全通信网络、安全区域边界、安全计算环境、安全管理中心等；</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（2）安全管理测评：包括安全管理制度、安全管理机构、安全管理人员、安全建设管理、安全运维管理等；</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（3）安全验证性测评工作：包括系统漏洞扫描测评、渗透性测试等；</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（4）安全整改建议：针对信息系统测评情况，提供网络安全和商用密码应用安全咨询服务，完成整改方案设计，指导委托单位进行整改以及根据整改情况组织开展相关复评检查工作。</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（5）测评分析：包括单项测评与分析、单元测评与分析、整体测评与风险分析、等级测评与分析、测评报告分析等。</w:t>
      </w:r>
    </w:p>
    <w:p>
      <w:pPr>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（6）测评交付物应包括《网络安全等级保护差距分析报告》、《网络安全等级保护整改建议》、《网络安全等级保护测评报告》。</w:t>
      </w:r>
    </w:p>
    <w:p>
      <w:pPr>
        <w:pStyle w:val="4"/>
        <w:spacing w:line="360" w:lineRule="auto"/>
        <w:ind w:firstLine="420"/>
        <w:rPr>
          <w:rFonts w:ascii="仿宋" w:hAnsi="仿宋" w:eastAsia="仿宋" w:cs="黑体"/>
          <w:color w:val="auto"/>
          <w:szCs w:val="24"/>
        </w:rPr>
      </w:pPr>
      <w:r>
        <w:rPr>
          <w:rFonts w:hint="eastAsia" w:ascii="仿宋" w:hAnsi="仿宋" w:eastAsia="仿宋" w:cs="黑体"/>
          <w:color w:val="auto"/>
          <w:szCs w:val="24"/>
        </w:rPr>
        <w:t>3.2软件测评服务</w:t>
      </w:r>
    </w:p>
    <w:p>
      <w:pPr>
        <w:widowControl/>
        <w:spacing w:line="360" w:lineRule="auto"/>
        <w:ind w:firstLine="482" w:firstLineChars="200"/>
        <w:jc w:val="left"/>
        <w:rPr>
          <w:rFonts w:ascii="仿宋" w:hAnsi="仿宋" w:eastAsia="仿宋" w:cs="宋体"/>
          <w:b/>
          <w:bCs/>
          <w:color w:val="auto"/>
          <w:sz w:val="24"/>
        </w:rPr>
      </w:pPr>
      <w:r>
        <w:rPr>
          <w:rFonts w:hint="eastAsia" w:ascii="仿宋" w:hAnsi="仿宋" w:eastAsia="仿宋" w:cs="宋体"/>
          <w:b/>
          <w:bCs/>
          <w:color w:val="auto"/>
          <w:sz w:val="24"/>
        </w:rPr>
        <w:t>3</w:t>
      </w:r>
      <w:r>
        <w:rPr>
          <w:rFonts w:ascii="仿宋" w:hAnsi="仿宋" w:eastAsia="仿宋" w:cs="宋体"/>
          <w:b/>
          <w:bCs/>
          <w:color w:val="auto"/>
          <w:sz w:val="24"/>
        </w:rPr>
        <w:t>.2.1</w:t>
      </w:r>
      <w:r>
        <w:rPr>
          <w:rFonts w:hint="eastAsia" w:ascii="仿宋" w:hAnsi="仿宋" w:eastAsia="仿宋" w:cs="宋体"/>
          <w:b/>
          <w:bCs/>
          <w:color w:val="auto"/>
          <w:sz w:val="24"/>
        </w:rPr>
        <w:t>软件测试总体要求</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根据相关管理办法和本次项目的建设合同、招标文件、投标文件等，对建设项目在提供全面、有效、公正的测试与评估，及时发现工程项目中存在的漏洞并进行整改，提高项目建设质量，规范项目验收流程，出具国家认可的软件测试报告，从而满足项目验收的管理要求，软件测试内容包括：</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1、功能性测试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功能测试的目的是在系统集成之后，通过设计测试用例、执行用例、获取结果，对系统的功能、业务流程等分别进行测试，保证系统功能符合用户的业务需求。</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对系统功能进行验证，确认功能正确性和与任务目标的适合程度；验证业务流程的流转是否能正确控制，具体业务流程在项目设计时结合需求说明和操作手册等文档给出详细的正常流程和所测试的非正常流程的执行步骤；对系统功能进行验证，确认系统在数据转换、储存、运算、包括传输过程中不会降低精度，要求达到系统预期的精确度。</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2、可靠性测试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模拟各种错误输入、非法操作，验证系统的容错性是否满足要求。</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3、易用性测试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易用性测试是考察系统是否易于理解、学习和使用。</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4、安全性测试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主要从系统登录、用户管理、权限控制、系统日志（留痕功能）等方面验证系统自身的安全性是否满足要求。</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5、性能效率测试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为保障系统用户稳定、顺畅的使用效果，依据项目磋商文件、合同文件、设计方案、项目需求说明书等依据性文件，进行性能测试、压力测试等，性能效率测试要符合信息化管理部门的验收测评的相关要求。</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6、可维护性测试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可维护性主要从软件可理解性、可测试性和可修改性进行测试。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7、可移植性测试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测试软件是否可以被成功移植到指定的硬件或软件平台上。</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8、接口测试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系统接口测试需覆盖被测系统与第三方之间的外部接口，测试系统是否对第三方提供了充分的交互数据、满足应用要求；验证被测系统接口数据的交换、传递和控制管理过程是否满足系统建设要求。</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9、适应性测试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适应性测试应从硬件适应性、操作系统适应性、数据库适应性等方面，验证系统无需采用额外的活动或手段就可适应需求中明确的必须适应的软硬件环境。</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10、用户文档测试</w:t>
      </w:r>
    </w:p>
    <w:p>
      <w:pPr>
        <w:widowControl/>
        <w:spacing w:line="360" w:lineRule="auto"/>
        <w:ind w:firstLine="480" w:firstLineChars="200"/>
        <w:jc w:val="left"/>
        <w:rPr>
          <w:rFonts w:ascii="仿宋" w:hAnsi="仿宋" w:eastAsia="仿宋" w:cs="宋体"/>
          <w:color w:val="auto"/>
          <w:sz w:val="24"/>
        </w:rPr>
      </w:pPr>
      <w:r>
        <w:rPr>
          <w:rFonts w:hint="eastAsia" w:ascii="仿宋" w:hAnsi="仿宋" w:eastAsia="仿宋" w:cs="宋体"/>
          <w:color w:val="auto"/>
          <w:sz w:val="24"/>
        </w:rPr>
        <w:t>从完整性、正确性、一致性、易理解性和易浏览性等方面对项目中的用户文档进行测试。</w:t>
      </w:r>
    </w:p>
    <w:p>
      <w:pPr>
        <w:widowControl/>
        <w:spacing w:line="360" w:lineRule="auto"/>
        <w:ind w:firstLine="482" w:firstLineChars="200"/>
        <w:jc w:val="left"/>
        <w:rPr>
          <w:rFonts w:ascii="仿宋" w:hAnsi="仿宋" w:eastAsia="仿宋" w:cs="宋体"/>
          <w:b/>
          <w:bCs/>
          <w:color w:val="auto"/>
          <w:sz w:val="24"/>
        </w:rPr>
      </w:pPr>
      <w:r>
        <w:rPr>
          <w:rFonts w:hint="eastAsia" w:ascii="仿宋" w:hAnsi="仿宋" w:eastAsia="仿宋" w:cs="宋体"/>
          <w:b/>
          <w:bCs/>
          <w:color w:val="auto"/>
          <w:sz w:val="24"/>
        </w:rPr>
        <w:t>3</w:t>
      </w:r>
      <w:r>
        <w:rPr>
          <w:rFonts w:ascii="仿宋" w:hAnsi="仿宋" w:eastAsia="仿宋" w:cs="宋体"/>
          <w:b/>
          <w:bCs/>
          <w:color w:val="auto"/>
          <w:sz w:val="24"/>
        </w:rPr>
        <w:t>.2.2</w:t>
      </w:r>
      <w:r>
        <w:rPr>
          <w:rFonts w:hint="eastAsia" w:ascii="仿宋" w:hAnsi="仿宋" w:eastAsia="仿宋" w:cs="宋体"/>
          <w:b/>
          <w:bCs/>
          <w:color w:val="auto"/>
          <w:sz w:val="24"/>
        </w:rPr>
        <w:t>软件测评服务范围</w:t>
      </w:r>
    </w:p>
    <w:p>
      <w:pPr>
        <w:pStyle w:val="5"/>
        <w:tabs>
          <w:tab w:val="left" w:pos="420"/>
        </w:tabs>
        <w:spacing w:line="360" w:lineRule="auto"/>
        <w:rPr>
          <w:rFonts w:ascii="仿宋" w:hAnsi="仿宋" w:eastAsia="仿宋" w:cs="宋体"/>
          <w:color w:val="auto"/>
          <w:szCs w:val="24"/>
        </w:rPr>
      </w:pPr>
      <w:r>
        <w:rPr>
          <w:rFonts w:hint="eastAsia" w:ascii="仿宋" w:hAnsi="仿宋" w:eastAsia="仿宋" w:cs="宋体"/>
          <w:color w:val="auto"/>
          <w:szCs w:val="24"/>
        </w:rPr>
        <w:t>1、移动医疗智慧服务（含移动应用）</w:t>
      </w:r>
    </w:p>
    <w:p>
      <w:pPr>
        <w:spacing w:line="360" w:lineRule="auto"/>
        <w:ind w:firstLine="482" w:firstLineChars="200"/>
        <w:rPr>
          <w:rFonts w:ascii="仿宋" w:hAnsi="仿宋" w:eastAsia="仿宋" w:cs="宋体"/>
          <w:b/>
          <w:bCs/>
          <w:color w:val="auto"/>
          <w:sz w:val="24"/>
        </w:rPr>
      </w:pPr>
      <w:r>
        <w:rPr>
          <w:rFonts w:hint="eastAsia" w:ascii="仿宋" w:hAnsi="仿宋" w:eastAsia="仿宋" w:cs="宋体"/>
          <w:b/>
          <w:bCs/>
          <w:color w:val="auto"/>
          <w:sz w:val="24"/>
        </w:rPr>
        <w:t>1）微信小程序升级-患者门急诊服务</w:t>
      </w:r>
      <w:r>
        <w:rPr>
          <w:rFonts w:hint="eastAsia" w:ascii="仿宋" w:hAnsi="仿宋" w:eastAsia="仿宋" w:cs="宋体"/>
          <w:b/>
          <w:bCs/>
          <w:color w:val="auto"/>
          <w:sz w:val="24"/>
        </w:rPr>
        <w:tab/>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本次升级功能包括挂号及缴费支持医保移动支付、院内导航、自助停车、轮椅租用、智能分诊、预问诊、蓝牙电子围栏支持下的自动报到、对各类排队给与提示信息、支持治疗及手术预约、各类预约统一管理、信用支付、电子发票、中药代煎服务、处方流转、医疗机构间的远程会诊、院前急救。</w:t>
      </w:r>
    </w:p>
    <w:p>
      <w:pPr>
        <w:spacing w:line="360" w:lineRule="auto"/>
        <w:ind w:firstLine="482" w:firstLineChars="200"/>
        <w:rPr>
          <w:rFonts w:ascii="仿宋" w:hAnsi="仿宋" w:eastAsia="仿宋" w:cs="宋体"/>
          <w:b/>
          <w:bCs/>
          <w:color w:val="auto"/>
          <w:sz w:val="24"/>
        </w:rPr>
      </w:pPr>
      <w:r>
        <w:rPr>
          <w:rFonts w:hint="eastAsia" w:ascii="仿宋" w:hAnsi="仿宋" w:eastAsia="仿宋" w:cs="宋体"/>
          <w:b/>
          <w:bCs/>
          <w:color w:val="auto"/>
          <w:sz w:val="24"/>
        </w:rPr>
        <w:t>2）微信小程序升级-患者住院服务</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本次升级功能包括住院预约、住院结算、住院预交金充值、住院费用清单查询、住院状态增加支持检验检查医嘱执行状态、住院自助点餐、住院期间的医患交互、床旁结算。</w:t>
      </w:r>
    </w:p>
    <w:p>
      <w:pPr>
        <w:spacing w:line="360" w:lineRule="auto"/>
        <w:ind w:firstLine="482" w:firstLineChars="200"/>
        <w:rPr>
          <w:rFonts w:ascii="仿宋" w:hAnsi="仿宋" w:eastAsia="仿宋" w:cs="宋体"/>
          <w:b/>
          <w:bCs/>
          <w:color w:val="auto"/>
          <w:sz w:val="24"/>
        </w:rPr>
      </w:pPr>
      <w:r>
        <w:rPr>
          <w:rFonts w:hint="eastAsia" w:ascii="仿宋" w:hAnsi="仿宋" w:eastAsia="仿宋" w:cs="宋体"/>
          <w:b/>
          <w:bCs/>
          <w:color w:val="auto"/>
          <w:sz w:val="24"/>
        </w:rPr>
        <w:t>3）微信小程序升级-患者其他服务</w:t>
      </w:r>
      <w:r>
        <w:rPr>
          <w:rFonts w:hint="eastAsia" w:ascii="仿宋" w:hAnsi="仿宋" w:eastAsia="仿宋" w:cs="宋体"/>
          <w:b/>
          <w:bCs/>
          <w:color w:val="auto"/>
          <w:sz w:val="24"/>
        </w:rPr>
        <w:tab/>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本次升级功能包括随访及满意度调查、慢病管理。</w:t>
      </w:r>
    </w:p>
    <w:p>
      <w:pPr>
        <w:spacing w:line="360" w:lineRule="auto"/>
        <w:ind w:firstLine="482" w:firstLineChars="200"/>
        <w:rPr>
          <w:rFonts w:ascii="仿宋" w:hAnsi="仿宋" w:eastAsia="仿宋" w:cs="宋体"/>
          <w:b/>
          <w:bCs/>
          <w:color w:val="auto"/>
          <w:sz w:val="24"/>
        </w:rPr>
      </w:pPr>
      <w:r>
        <w:rPr>
          <w:rFonts w:hint="eastAsia" w:ascii="仿宋" w:hAnsi="仿宋" w:eastAsia="仿宋" w:cs="宋体"/>
          <w:b/>
          <w:bCs/>
          <w:color w:val="auto"/>
          <w:sz w:val="24"/>
        </w:rPr>
        <w:t>4）微信小程序升级-医护端</w:t>
      </w:r>
      <w:r>
        <w:rPr>
          <w:rFonts w:hint="eastAsia" w:ascii="仿宋" w:hAnsi="仿宋" w:eastAsia="仿宋" w:cs="宋体"/>
          <w:b/>
          <w:bCs/>
          <w:color w:val="auto"/>
          <w:sz w:val="24"/>
        </w:rPr>
        <w:tab/>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本次升级功能包括医护端及医院管理端用户所需要的功能包括患者查询、病历浏览、远程查房、危急值提醒、会诊管理、排班管理、停诊申请、OA文件流转、手术管理、科研管理、教学管理、绩效管理、管理决策支持等。</w:t>
      </w:r>
    </w:p>
    <w:p>
      <w:pPr>
        <w:spacing w:line="360" w:lineRule="auto"/>
        <w:ind w:firstLine="482" w:firstLineChars="200"/>
        <w:rPr>
          <w:rFonts w:ascii="仿宋" w:hAnsi="仿宋" w:eastAsia="仿宋" w:cs="宋体"/>
          <w:b/>
          <w:bCs/>
          <w:color w:val="auto"/>
          <w:sz w:val="24"/>
        </w:rPr>
      </w:pPr>
      <w:r>
        <w:rPr>
          <w:rFonts w:hint="eastAsia" w:ascii="仿宋" w:hAnsi="仿宋" w:eastAsia="仿宋" w:cs="宋体"/>
          <w:b/>
          <w:bCs/>
          <w:color w:val="auto"/>
          <w:sz w:val="24"/>
        </w:rPr>
        <w:t>5）微信小程序升级-系统对接</w:t>
      </w:r>
      <w:r>
        <w:rPr>
          <w:rFonts w:hint="eastAsia" w:ascii="仿宋" w:hAnsi="仿宋" w:eastAsia="仿宋" w:cs="宋体"/>
          <w:b/>
          <w:bCs/>
          <w:color w:val="auto"/>
          <w:sz w:val="24"/>
        </w:rPr>
        <w:tab/>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对接轮椅租借、自助停车、自助点餐。</w:t>
      </w:r>
    </w:p>
    <w:p>
      <w:pPr>
        <w:pStyle w:val="5"/>
        <w:numPr>
          <w:ilvl w:val="0"/>
          <w:numId w:val="2"/>
        </w:numPr>
        <w:tabs>
          <w:tab w:val="left" w:pos="420"/>
        </w:tabs>
        <w:spacing w:line="360" w:lineRule="auto"/>
        <w:rPr>
          <w:rFonts w:ascii="仿宋" w:hAnsi="仿宋" w:eastAsia="仿宋" w:cs="宋体"/>
          <w:color w:val="auto"/>
          <w:szCs w:val="24"/>
        </w:rPr>
      </w:pPr>
      <w:r>
        <w:rPr>
          <w:rFonts w:hint="eastAsia" w:ascii="仿宋" w:hAnsi="仿宋" w:eastAsia="仿宋" w:cs="宋体"/>
          <w:color w:val="auto"/>
          <w:szCs w:val="24"/>
        </w:rPr>
        <w:t>软件接口部分</w:t>
      </w:r>
    </w:p>
    <w:p>
      <w:pPr>
        <w:spacing w:line="360" w:lineRule="auto"/>
        <w:ind w:firstLine="480" w:firstLineChars="200"/>
        <w:rPr>
          <w:rFonts w:ascii="仿宋" w:hAnsi="仿宋" w:eastAsia="仿宋" w:cs="宋体"/>
          <w:color w:val="auto"/>
          <w:sz w:val="24"/>
        </w:rPr>
      </w:pPr>
      <w:r>
        <w:rPr>
          <w:rFonts w:ascii="仿宋" w:hAnsi="仿宋" w:eastAsia="仿宋" w:cs="宋体"/>
          <w:color w:val="auto"/>
          <w:sz w:val="24"/>
        </w:rPr>
        <w:t>1</w:t>
      </w:r>
      <w:r>
        <w:rPr>
          <w:rFonts w:hint="eastAsia" w:ascii="仿宋" w:hAnsi="仿宋" w:eastAsia="仿宋" w:cs="宋体"/>
          <w:color w:val="auto"/>
          <w:sz w:val="24"/>
        </w:rPr>
        <w:t>）SPD系统接口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2）院前急救系统接口</w:t>
      </w:r>
    </w:p>
    <w:p>
      <w:pPr>
        <w:spacing w:line="360" w:lineRule="auto"/>
        <w:ind w:firstLine="480" w:firstLineChars="200"/>
        <w:rPr>
          <w:rFonts w:ascii="仿宋" w:hAnsi="仿宋" w:eastAsia="仿宋" w:cs="宋体"/>
          <w:color w:val="auto"/>
          <w:sz w:val="24"/>
        </w:rPr>
      </w:pPr>
      <w:r>
        <w:rPr>
          <w:rFonts w:ascii="仿宋" w:hAnsi="仿宋" w:eastAsia="仿宋" w:cs="宋体"/>
          <w:color w:val="auto"/>
          <w:sz w:val="24"/>
        </w:rPr>
        <w:t>3</w:t>
      </w:r>
      <w:r>
        <w:rPr>
          <w:rFonts w:hint="eastAsia" w:ascii="仿宋" w:hAnsi="仿宋" w:eastAsia="仿宋" w:cs="宋体"/>
          <w:color w:val="auto"/>
          <w:sz w:val="24"/>
        </w:rPr>
        <w:t>）CA系统接口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4）互联网医疗接口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5）单病种上报系统接口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6）疾控中心系统接口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7）食源性疾病上报系统接口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8）院感上报系统接口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9）孕产妇保健上报接口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0</w:t>
      </w:r>
      <w:r>
        <w:rPr>
          <w:rFonts w:hint="eastAsia" w:ascii="仿宋" w:hAnsi="仿宋" w:eastAsia="仿宋" w:cs="宋体"/>
          <w:color w:val="auto"/>
          <w:sz w:val="24"/>
        </w:rPr>
        <w:t>）区域卫生信息平台接口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1</w:t>
      </w:r>
      <w:r>
        <w:rPr>
          <w:rFonts w:hint="eastAsia" w:ascii="仿宋" w:hAnsi="仿宋" w:eastAsia="仿宋" w:cs="宋体"/>
          <w:color w:val="auto"/>
          <w:sz w:val="24"/>
        </w:rPr>
        <w:t>）北京血站系统接口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2</w:t>
      </w:r>
      <w:r>
        <w:rPr>
          <w:rFonts w:hint="eastAsia" w:ascii="仿宋" w:hAnsi="仿宋" w:eastAsia="仿宋" w:cs="宋体"/>
          <w:color w:val="auto"/>
          <w:sz w:val="24"/>
        </w:rPr>
        <w:t>）合理用药系统接口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3</w:t>
      </w:r>
      <w:r>
        <w:rPr>
          <w:rFonts w:hint="eastAsia" w:ascii="仿宋" w:hAnsi="仿宋" w:eastAsia="仿宋" w:cs="宋体"/>
          <w:color w:val="auto"/>
          <w:sz w:val="24"/>
        </w:rPr>
        <w:t>）手麻系统接口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4</w:t>
      </w:r>
      <w:r>
        <w:rPr>
          <w:rFonts w:hint="eastAsia" w:ascii="仿宋" w:hAnsi="仿宋" w:eastAsia="仿宋" w:cs="宋体"/>
          <w:color w:val="auto"/>
          <w:sz w:val="24"/>
        </w:rPr>
        <w:t>）脑电接口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5</w:t>
      </w:r>
      <w:r>
        <w:rPr>
          <w:rFonts w:hint="eastAsia" w:ascii="仿宋" w:hAnsi="仿宋" w:eastAsia="仿宋" w:cs="宋体"/>
          <w:color w:val="auto"/>
          <w:sz w:val="24"/>
        </w:rPr>
        <w:t>）肌电接口</w:t>
      </w:r>
    </w:p>
    <w:p>
      <w:pPr>
        <w:spacing w:line="360" w:lineRule="auto"/>
        <w:ind w:firstLine="480" w:firstLineChars="200"/>
        <w:rPr>
          <w:rFonts w:ascii="仿宋" w:hAnsi="仿宋" w:eastAsia="仿宋" w:cs="宋体"/>
          <w:color w:val="auto"/>
          <w:sz w:val="24"/>
        </w:rPr>
      </w:pPr>
      <w:r>
        <w:rPr>
          <w:rFonts w:hint="eastAsia" w:ascii="仿宋" w:hAnsi="仿宋" w:eastAsia="仿宋" w:cs="宋体"/>
          <w:color w:val="auto"/>
          <w:sz w:val="24"/>
        </w:rPr>
        <w:t>1</w:t>
      </w:r>
      <w:r>
        <w:rPr>
          <w:rFonts w:ascii="仿宋" w:hAnsi="仿宋" w:eastAsia="仿宋" w:cs="宋体"/>
          <w:color w:val="auto"/>
          <w:sz w:val="24"/>
        </w:rPr>
        <w:t>6</w:t>
      </w:r>
      <w:r>
        <w:rPr>
          <w:rFonts w:hint="eastAsia" w:ascii="仿宋" w:hAnsi="仿宋" w:eastAsia="仿宋" w:cs="宋体"/>
          <w:color w:val="auto"/>
          <w:sz w:val="24"/>
        </w:rPr>
        <w:t>）内窥镜系统接口</w:t>
      </w:r>
    </w:p>
    <w:p>
      <w:pPr>
        <w:spacing w:line="360" w:lineRule="auto"/>
        <w:ind w:firstLine="480" w:firstLineChars="200"/>
        <w:rPr>
          <w:rFonts w:ascii="仿宋" w:hAnsi="仿宋" w:eastAsia="仿宋" w:cs="宋体"/>
          <w:color w:val="auto"/>
          <w:sz w:val="24"/>
        </w:rPr>
      </w:pPr>
      <w:r>
        <w:rPr>
          <w:rFonts w:ascii="仿宋" w:hAnsi="仿宋" w:eastAsia="仿宋" w:cs="宋体"/>
          <w:color w:val="auto"/>
          <w:sz w:val="24"/>
        </w:rPr>
        <w:t>17</w:t>
      </w:r>
      <w:r>
        <w:rPr>
          <w:rFonts w:hint="eastAsia" w:ascii="仿宋" w:hAnsi="仿宋" w:eastAsia="仿宋" w:cs="宋体"/>
          <w:color w:val="auto"/>
          <w:sz w:val="24"/>
        </w:rPr>
        <w:t>）HIS系统对接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53</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 id="_x0000_s1026" o:spid="_x0000_s1026" o:spt="202" type="#_x0000_t202" style="position:absolute;left:0pt;margin-left:487.5pt;margin-top:797.6pt;height:12pt;width:38.15pt;mso-position-horizontal-relative:page;mso-position-vertical-relative:page;z-index:-251656192;mso-width-relative:page;mso-height-relative:page;" filled="f" stroked="f" coordsize="21600,21600" o:gfxdata="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fulDPbAAAADgEAAA8AAAAAAAAAAQAgAAAAIgAAAGRycy9kb3ducmV2LnhtbFBL&#10;AQIUABQAAAAIAIdO4kBMX037ugEAAHEDAAAOAAAAAAAAAAEAIAAAACoBAABkcnMvZTJvRG9jLnht&#10;bFBLBQYAAAAABgAGAFkBAABWBQAAAAA=&#10;">
              <v:fill on="f" focussize="0,0"/>
              <v:stroke on="f"/>
              <v:imagedata o:title=""/>
              <o:lock v:ext="edit" aspectratio="f"/>
              <v:textbox inset="0mm,0mm,0mm,0mm">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53</w:t>
                    </w:r>
                    <w:r>
                      <w:fldChar w:fldCharType="end"/>
                    </w:r>
                    <w:r>
                      <w:rPr>
                        <w:rFonts w:ascii="Times New Roman" w:hAnsi="Times New Roman"/>
                        <w:sz w:val="18"/>
                      </w:rPr>
                      <w:t xml:space="preserve"> —</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69.9pt;margin-top:798.9pt;height:14pt;width:8pt;mso-position-horizontal-relative:page;mso-position-vertical-relative:page;z-index:-251655168;mso-width-relative:page;mso-height-relative:page;" filled="f" stroked="f" coordsize="21600,21600" o:gfxdata="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HVxGCfXAAAADQEAAA8AAAAAAAAAAQAgAAAAIgAAAGRycy9kb3ducmV2LnhtbFBLAQIUABQA&#10;AAAIAIdO4kDzPZSEuAEAAHEDAAAOAAAAAAAAAAEAIAAAACYBAABkcnMvZTJvRG9jLnhtbFBLBQYA&#10;AAAABgAGAFkBAABQBQAAAAA=&#10;">
              <v:fill on="f" focussize="0,0"/>
              <v:stroke on="f"/>
              <v:imagedata o:title=""/>
              <o:lock v:ext="edit" aspectratio="f"/>
              <v:textbox inset="0mm,0mm,0mm,0mm">
                <w:txbxContent>
                  <w:p>
                    <w:pPr>
                      <w:spacing w:line="280" w:lineRule="exact"/>
                      <w:ind w:left="20"/>
                      <w:jc w:val="left"/>
                      <w:rPr>
                        <w:rFonts w:ascii="宋体"/>
                        <w:sz w:val="24"/>
                      </w:rPr>
                    </w:pPr>
                    <w:r>
                      <w:rPr>
                        <w:rFonts w:ascii="宋体"/>
                        <w:sz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47</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shape id="_x0000_s1026" o:spid="_x0000_s1026" o:spt="202" type="#_x0000_t202" style="position:absolute;left:0pt;margin-left:69.9pt;margin-top:802.65pt;height:12pt;width:38.15pt;mso-position-horizontal-relative:page;mso-position-vertical-relative:page;z-index:-251654144;mso-width-relative:page;mso-height-relative:page;" filled="f" stroked="f" coordsize="21600,21600" o:gfxdata="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4MxnTaAAAADQEAAA8AAAAAAAAAAQAgAAAAIgAAAGRycy9kb3ducmV2LnhtbFBL&#10;AQIUABQAAAAIAIdO4kDnum9muwEAAHEDAAAOAAAAAAAAAAEAIAAAACkBAABkcnMvZTJvRG9jLnht&#10;bFBLBQYAAAAABgAGAFkBAABWBQAAAAA=&#10;">
              <v:fill on="f" focussize="0,0"/>
              <v:stroke on="f"/>
              <v:imagedata o:title=""/>
              <o:lock v:ext="edit" aspectratio="f"/>
              <v:textbox inset="0mm,0mm,0mm,0mm">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47</w:t>
                    </w:r>
                    <w:r>
                      <w:fldChar w:fldCharType="end"/>
                    </w:r>
                    <w:r>
                      <w:rPr>
                        <w:rFonts w:ascii="Times New Roman" w:hAnsi="Times New Roman"/>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882650</wp:posOffset>
              </wp:positionH>
              <wp:positionV relativeFrom="page">
                <wp:posOffset>604520</wp:posOffset>
              </wp:positionV>
              <wp:extent cx="5796280" cy="0"/>
              <wp:effectExtent l="0" t="4445" r="0" b="508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69.5pt;margin-top:47.6pt;height:0pt;width:456.4pt;mso-position-horizontal-relative:page;mso-position-vertical-relative:page;z-index:-251657216;mso-width-relative:page;mso-height-relative:page;" filled="f" stroked="t" coordsize="21600,21600" o:gfxdata="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gn94NYAAAAKAQAADwAA&#10;AAAAAAABACAAAAAiAAAAZHJzL2Rvd25yZXYueG1sUEsBAhQAFAAAAAgAh07iQGM6ZNnfAQAAzwMA&#10;AA4AAAAAAAAAAQAgAAAAJQEAAGRycy9lMm9Eb2MueG1sUEsFBgAAAAAGAAYAWQEAAHYFAAAAAA==&#10;">
              <v:fill on="f" focussize="0,0"/>
              <v:stroke weight="0.72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C38A0"/>
    <w:multiLevelType w:val="multilevel"/>
    <w:tmpl w:val="1BFC38A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76E231E"/>
    <w:multiLevelType w:val="multilevel"/>
    <w:tmpl w:val="676E231E"/>
    <w:lvl w:ilvl="0" w:tentative="0">
      <w:start w:val="2"/>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Zjk0YmNmZmQ1YjY4ZmMwOGVmNmYzNTExNjA2NDEifQ=="/>
  </w:docVars>
  <w:rsids>
    <w:rsidRoot w:val="483A10F6"/>
    <w:rsid w:val="2D2E0DB1"/>
    <w:rsid w:val="483A10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3"/>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5">
    <w:name w:val="heading 6"/>
    <w:basedOn w:val="1"/>
    <w:next w:val="1"/>
    <w:qFormat/>
    <w:uiPriority w:val="9"/>
    <w:pPr>
      <w:keepNext/>
      <w:keepLines/>
      <w:adjustRightInd w:val="0"/>
      <w:spacing w:before="240" w:after="64" w:line="320" w:lineRule="atLeast"/>
      <w:textAlignment w:val="baseline"/>
      <w:outlineLvl w:val="5"/>
    </w:pPr>
    <w:rPr>
      <w:rFonts w:ascii="Arial" w:hAnsi="Arial" w:eastAsia="黑体"/>
      <w:b/>
      <w:kern w:val="0"/>
      <w:sz w:val="24"/>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sz w:val="24"/>
    </w:rPr>
  </w:style>
  <w:style w:type="paragraph" w:styleId="6">
    <w:name w:val="Body Text"/>
    <w:basedOn w:val="1"/>
    <w:qFormat/>
    <w:uiPriority w:val="99"/>
    <w:pPr>
      <w:tabs>
        <w:tab w:val="left" w:pos="567"/>
      </w:tabs>
      <w:spacing w:before="120" w:line="22" w:lineRule="atLeast"/>
    </w:pPr>
    <w:rPr>
      <w:rFonts w:ascii="宋体" w:hAnsi="宋体"/>
      <w:sz w:val="24"/>
    </w:rPr>
  </w:style>
  <w:style w:type="paragraph" w:styleId="7">
    <w:name w:val="Plain Text"/>
    <w:basedOn w:val="1"/>
    <w:qFormat/>
    <w:uiPriority w:val="0"/>
    <w:rPr>
      <w:rFonts w:hint="eastAsia" w:ascii="宋体" w:hAnsi="Courier New"/>
      <w:szCs w:val="20"/>
    </w:rPr>
  </w:style>
  <w:style w:type="paragraph" w:customStyle="1" w:styleId="10">
    <w:name w:val="SOW正文"/>
    <w:basedOn w:val="1"/>
    <w:autoRedefine/>
    <w:qFormat/>
    <w:uiPriority w:val="0"/>
    <w:pPr>
      <w:snapToGrid w:val="0"/>
      <w:spacing w:before="120" w:line="400" w:lineRule="exact"/>
      <w:ind w:firstLine="425"/>
    </w:pPr>
    <w:rPr>
      <w:rFonts w:ascii="Times New Roman" w:hAnsi="Times New Roman"/>
      <w:sz w:val="24"/>
      <w:szCs w:val="20"/>
    </w:rPr>
  </w:style>
  <w:style w:type="paragraph" w:customStyle="1" w:styleId="11">
    <w:name w:val="正文自用"/>
    <w:basedOn w:val="1"/>
    <w:autoRedefine/>
    <w:qFormat/>
    <w:uiPriority w:val="0"/>
    <w:pPr>
      <w:widowControl/>
      <w:spacing w:line="360" w:lineRule="auto"/>
      <w:ind w:left="76" w:leftChars="97" w:firstLine="200" w:firstLineChars="200"/>
      <w:jc w:val="left"/>
    </w:pPr>
    <w:rPr>
      <w:rFonts w:ascii="微软雅黑" w:hAnsi="微软雅黑" w:eastAsia="微软雅黑"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2024-03-26T08:57:00Z</dcterms:created>
  <dc:creator>☯️</dc:creator>
  <cp:lastModifiedBy>☯️</cp:lastModifiedBy>
  <dcterms:modified xsi:type="dcterms:W3CDTF">2024-03-26T09:03:28Z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FEBDA652015C40F08C38A30387793AF4_11</vt:lpwstr>
  </property>
</Properties>
</file>