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C94273">
      <w:pPr>
        <w:pStyle w:val="25"/>
        <w:spacing w:after="124"/>
        <w:ind w:left="1265" w:hanging="1265"/>
        <w:jc w:val="center"/>
        <w:rPr>
          <w:rFonts w:hAnsi="宋体"/>
          <w:b/>
          <w:sz w:val="84"/>
          <w:szCs w:val="84"/>
        </w:rPr>
      </w:pPr>
    </w:p>
    <w:p w14:paraId="1411EAA6">
      <w:pPr>
        <w:rPr>
          <w:rFonts w:hAnsi="宋体"/>
          <w:b/>
          <w:sz w:val="84"/>
          <w:szCs w:val="84"/>
        </w:rPr>
      </w:pPr>
    </w:p>
    <w:p w14:paraId="5936F6AC">
      <w:pPr>
        <w:pStyle w:val="2"/>
        <w:rPr>
          <w:rFonts w:hAnsi="宋体"/>
          <w:b/>
          <w:sz w:val="84"/>
          <w:szCs w:val="84"/>
        </w:rPr>
      </w:pPr>
    </w:p>
    <w:p w14:paraId="4D169351"/>
    <w:p w14:paraId="0609FACE">
      <w:pPr>
        <w:pStyle w:val="25"/>
        <w:adjustRightInd w:val="0"/>
        <w:snapToGrid w:val="0"/>
        <w:spacing w:after="124" w:line="360" w:lineRule="auto"/>
        <w:jc w:val="center"/>
        <w:rPr>
          <w:rFonts w:hAnsi="宋体"/>
          <w:b/>
          <w:color w:val="auto"/>
          <w:sz w:val="84"/>
          <w:szCs w:val="84"/>
          <w:highlight w:val="none"/>
        </w:rPr>
      </w:pPr>
      <w:r>
        <w:rPr>
          <w:rFonts w:hint="eastAsia" w:hAnsi="宋体"/>
          <w:b/>
          <w:color w:val="auto"/>
          <w:sz w:val="84"/>
          <w:szCs w:val="84"/>
          <w:highlight w:val="none"/>
        </w:rPr>
        <w:t>竞争性磋商文件</w:t>
      </w:r>
    </w:p>
    <w:p w14:paraId="57E9545E">
      <w:pPr>
        <w:pStyle w:val="25"/>
        <w:adjustRightInd w:val="0"/>
        <w:snapToGrid w:val="0"/>
        <w:spacing w:after="124" w:line="360" w:lineRule="auto"/>
        <w:ind w:left="482" w:hanging="482"/>
        <w:rPr>
          <w:rFonts w:hAnsi="宋体"/>
          <w:b/>
          <w:sz w:val="32"/>
          <w:szCs w:val="32"/>
        </w:rPr>
      </w:pPr>
    </w:p>
    <w:p w14:paraId="6CBD95A2">
      <w:pPr>
        <w:adjustRightInd w:val="0"/>
        <w:snapToGrid w:val="0"/>
        <w:spacing w:after="124" w:line="360" w:lineRule="auto"/>
        <w:ind w:left="0" w:leftChars="0" w:firstLine="842" w:firstLineChars="262"/>
        <w:rPr>
          <w:rFonts w:hint="eastAsia" w:hAnsi="宋体"/>
          <w:b/>
          <w:color w:val="auto"/>
          <w:sz w:val="32"/>
          <w:szCs w:val="32"/>
          <w:highlight w:val="none"/>
          <w:u w:val="single"/>
        </w:rPr>
      </w:pPr>
      <w:r>
        <w:rPr>
          <w:rFonts w:hint="eastAsia" w:hAnsi="宋体"/>
          <w:b/>
          <w:color w:val="auto"/>
          <w:sz w:val="32"/>
          <w:szCs w:val="32"/>
          <w:highlight w:val="none"/>
        </w:rPr>
        <w:t>采购项目名称：</w:t>
      </w:r>
      <w:r>
        <w:rPr>
          <w:rFonts w:hint="eastAsia" w:hAnsi="宋体"/>
          <w:b/>
          <w:color w:val="auto"/>
          <w:sz w:val="32"/>
          <w:szCs w:val="32"/>
          <w:highlight w:val="none"/>
          <w:u w:val="single"/>
        </w:rPr>
        <w:t>湘潭大学综合实验大楼地下室提质改</w:t>
      </w:r>
    </w:p>
    <w:p w14:paraId="7DD5636C">
      <w:pPr>
        <w:adjustRightInd w:val="0"/>
        <w:snapToGrid w:val="0"/>
        <w:spacing w:after="124" w:line="360" w:lineRule="auto"/>
        <w:ind w:left="0" w:leftChars="0" w:firstLine="3081" w:firstLineChars="959"/>
        <w:rPr>
          <w:rFonts w:hint="eastAsia" w:hAnsi="宋体" w:eastAsia="宋体"/>
          <w:b/>
          <w:color w:val="auto"/>
          <w:w w:val="95"/>
          <w:sz w:val="32"/>
          <w:szCs w:val="32"/>
          <w:highlight w:val="none"/>
          <w:u w:val="single"/>
          <w:lang w:eastAsia="zh-CN"/>
        </w:rPr>
      </w:pPr>
      <w:r>
        <w:rPr>
          <w:rFonts w:hint="eastAsia" w:hAnsi="宋体"/>
          <w:b/>
          <w:color w:val="auto"/>
          <w:sz w:val="32"/>
          <w:szCs w:val="32"/>
          <w:highlight w:val="none"/>
          <w:u w:val="single"/>
        </w:rPr>
        <w:t>造工程</w:t>
      </w:r>
    </w:p>
    <w:p w14:paraId="01C3654A">
      <w:pPr>
        <w:adjustRightInd w:val="0"/>
        <w:snapToGrid w:val="0"/>
        <w:spacing w:after="124" w:line="360" w:lineRule="auto"/>
        <w:ind w:left="0" w:leftChars="0" w:firstLine="842" w:firstLineChars="262"/>
        <w:rPr>
          <w:rFonts w:hAnsi="宋体"/>
          <w:b/>
          <w:color w:val="auto"/>
          <w:sz w:val="32"/>
          <w:szCs w:val="32"/>
          <w:highlight w:val="none"/>
        </w:rPr>
      </w:pPr>
      <w:r>
        <w:rPr>
          <w:rFonts w:hint="eastAsia" w:hAnsi="宋体"/>
          <w:b/>
          <w:color w:val="auto"/>
          <w:sz w:val="32"/>
          <w:szCs w:val="32"/>
          <w:highlight w:val="none"/>
        </w:rPr>
        <w:t>采购代理编号：</w:t>
      </w:r>
      <w:r>
        <w:rPr>
          <w:rFonts w:hint="eastAsia" w:ascii="Times New Roman" w:hAnsi="宋体" w:eastAsia="宋体" w:cs="Times New Roman"/>
          <w:b w:val="0"/>
          <w:bCs/>
          <w:color w:val="auto"/>
          <w:sz w:val="32"/>
          <w:szCs w:val="32"/>
          <w:highlight w:val="none"/>
          <w:u w:val="single"/>
          <w:lang w:val="en-US" w:eastAsia="zh-CN"/>
        </w:rPr>
        <w:t>NLZX-SZ-202604031</w:t>
      </w:r>
    </w:p>
    <w:p w14:paraId="1B413F80">
      <w:pPr>
        <w:adjustRightInd w:val="0"/>
        <w:snapToGrid w:val="0"/>
        <w:spacing w:after="124" w:line="360" w:lineRule="auto"/>
        <w:ind w:left="0" w:leftChars="0" w:firstLine="842" w:firstLineChars="262"/>
        <w:rPr>
          <w:rFonts w:hAnsi="宋体" w:cs="宋体"/>
          <w:b/>
          <w:bCs/>
          <w:color w:val="auto"/>
          <w:sz w:val="32"/>
          <w:szCs w:val="32"/>
          <w:highlight w:val="none"/>
          <w:u w:val="single"/>
        </w:rPr>
      </w:pPr>
      <w:r>
        <w:rPr>
          <w:rFonts w:hint="eastAsia" w:hAnsi="宋体"/>
          <w:b/>
          <w:color w:val="auto"/>
          <w:sz w:val="32"/>
          <w:szCs w:val="32"/>
          <w:highlight w:val="none"/>
        </w:rPr>
        <w:t>采   购   人：</w:t>
      </w:r>
      <w:r>
        <w:rPr>
          <w:rFonts w:hint="eastAsia" w:ascii="Times New Roman" w:hAnsi="宋体" w:eastAsia="宋体" w:cs="Times New Roman"/>
          <w:b/>
          <w:color w:val="auto"/>
          <w:sz w:val="32"/>
          <w:szCs w:val="32"/>
          <w:highlight w:val="none"/>
          <w:u w:val="single"/>
          <w:lang w:val="en-US" w:eastAsia="zh-CN"/>
        </w:rPr>
        <w:t>湘潭大学</w:t>
      </w:r>
    </w:p>
    <w:p w14:paraId="0D2827D3">
      <w:pPr>
        <w:adjustRightInd w:val="0"/>
        <w:snapToGrid w:val="0"/>
        <w:spacing w:after="124" w:line="360" w:lineRule="auto"/>
        <w:ind w:left="0" w:leftChars="0" w:firstLine="842" w:firstLineChars="262"/>
        <w:rPr>
          <w:rFonts w:hAnsi="宋体"/>
          <w:color w:val="auto"/>
          <w:sz w:val="32"/>
          <w:szCs w:val="32"/>
          <w:highlight w:val="none"/>
        </w:rPr>
      </w:pPr>
      <w:r>
        <w:rPr>
          <w:rFonts w:hint="eastAsia" w:ascii="宋体"/>
          <w:b/>
          <w:color w:val="auto"/>
          <w:sz w:val="32"/>
          <w:szCs w:val="21"/>
          <w:highlight w:val="none"/>
        </w:rPr>
        <w:t>采购代理机构：</w:t>
      </w:r>
      <w:r>
        <w:rPr>
          <w:rFonts w:hint="eastAsia" w:ascii="Times New Roman" w:hAnsi="宋体" w:eastAsia="宋体" w:cs="Times New Roman"/>
          <w:b/>
          <w:color w:val="auto"/>
          <w:sz w:val="32"/>
          <w:szCs w:val="32"/>
          <w:highlight w:val="none"/>
          <w:u w:val="single"/>
          <w:lang w:val="en-US" w:eastAsia="zh-CN"/>
        </w:rPr>
        <w:t>能力项目咨询</w:t>
      </w:r>
      <w:r>
        <w:rPr>
          <w:rFonts w:hint="eastAsia" w:ascii="Times New Roman" w:hAnsi="宋体" w:eastAsia="宋体" w:cs="Times New Roman"/>
          <w:b/>
          <w:color w:val="auto"/>
          <w:sz w:val="32"/>
          <w:szCs w:val="32"/>
          <w:highlight w:val="none"/>
          <w:u w:val="single"/>
          <w:lang w:eastAsia="zh-CN"/>
        </w:rPr>
        <w:t>有限公司</w:t>
      </w:r>
    </w:p>
    <w:p w14:paraId="10ACEFF8">
      <w:pPr>
        <w:pStyle w:val="25"/>
        <w:adjustRightInd w:val="0"/>
        <w:snapToGrid w:val="0"/>
        <w:spacing w:after="124" w:line="360" w:lineRule="auto"/>
        <w:ind w:firstLine="643"/>
        <w:rPr>
          <w:rFonts w:hint="eastAsia" w:hAnsi="宋体"/>
          <w:b/>
          <w:color w:val="FF0000"/>
          <w:sz w:val="32"/>
          <w:highlight w:val="none"/>
          <w:lang w:val="en-US" w:eastAsia="zh-CN"/>
        </w:rPr>
      </w:pPr>
    </w:p>
    <w:p w14:paraId="446DC96F">
      <w:pPr>
        <w:pStyle w:val="25"/>
        <w:keepNext w:val="0"/>
        <w:keepLines w:val="0"/>
        <w:pageBreakBefore w:val="0"/>
        <w:kinsoku/>
        <w:wordWrap/>
        <w:overflowPunct/>
        <w:topLinePunct w:val="0"/>
        <w:autoSpaceDE/>
        <w:bidi w:val="0"/>
        <w:adjustRightInd w:val="0"/>
        <w:snapToGrid/>
        <w:spacing w:line="360" w:lineRule="auto"/>
        <w:ind w:firstLine="643" w:firstLineChars="200"/>
        <w:textAlignment w:val="auto"/>
        <w:rPr>
          <w:rFonts w:hint="eastAsia" w:hAnsi="宋体"/>
          <w:b/>
          <w:color w:val="auto"/>
          <w:sz w:val="32"/>
          <w:highlight w:val="none"/>
        </w:rPr>
      </w:pPr>
    </w:p>
    <w:p w14:paraId="7563E244">
      <w:pPr>
        <w:pStyle w:val="25"/>
        <w:adjustRightInd w:val="0"/>
        <w:snapToGrid w:val="0"/>
        <w:spacing w:after="124" w:line="360" w:lineRule="auto"/>
        <w:jc w:val="center"/>
        <w:rPr>
          <w:rFonts w:ascii="宋体" w:hAnsi="宋体"/>
          <w:b/>
          <w:bCs/>
          <w:sz w:val="36"/>
          <w:szCs w:val="44"/>
        </w:rPr>
      </w:pPr>
      <w:r>
        <w:rPr>
          <w:rFonts w:hint="eastAsia" w:hAnsi="宋体"/>
          <w:b/>
          <w:color w:val="auto"/>
          <w:sz w:val="32"/>
          <w:highlight w:val="none"/>
        </w:rPr>
        <w:t>202</w:t>
      </w:r>
      <w:r>
        <w:rPr>
          <w:rFonts w:hint="eastAsia" w:hAnsi="宋体"/>
          <w:b/>
          <w:color w:val="auto"/>
          <w:sz w:val="32"/>
          <w:highlight w:val="none"/>
          <w:lang w:val="en-US" w:eastAsia="zh-CN"/>
        </w:rPr>
        <w:t>6</w:t>
      </w:r>
      <w:r>
        <w:rPr>
          <w:rFonts w:hint="eastAsia" w:hAnsi="宋体"/>
          <w:b/>
          <w:color w:val="auto"/>
          <w:sz w:val="32"/>
          <w:highlight w:val="none"/>
        </w:rPr>
        <w:t>年</w:t>
      </w:r>
      <w:r>
        <w:rPr>
          <w:rFonts w:hint="eastAsia" w:hAnsi="宋体"/>
          <w:b/>
          <w:color w:val="auto"/>
          <w:sz w:val="32"/>
          <w:highlight w:val="none"/>
          <w:lang w:val="en-US" w:eastAsia="zh-CN"/>
        </w:rPr>
        <w:t>4</w:t>
      </w:r>
      <w:r>
        <w:rPr>
          <w:rFonts w:hint="eastAsia" w:hAnsi="宋体"/>
          <w:b/>
          <w:color w:val="auto"/>
          <w:sz w:val="32"/>
          <w:highlight w:val="none"/>
        </w:rPr>
        <w:t>月</w:t>
      </w:r>
      <w:r>
        <w:rPr>
          <w:rFonts w:ascii="宋体" w:hAnsi="宋体"/>
          <w:b/>
          <w:bCs/>
          <w:sz w:val="36"/>
          <w:szCs w:val="44"/>
        </w:rPr>
        <w:br w:type="page"/>
      </w:r>
    </w:p>
    <w:p w14:paraId="68A6A0BB">
      <w:pPr>
        <w:spacing w:after="124"/>
        <w:ind w:left="542" w:hanging="542"/>
        <w:jc w:val="center"/>
        <w:rPr>
          <w:b/>
          <w:bCs/>
          <w:sz w:val="36"/>
          <w:szCs w:val="44"/>
        </w:rPr>
      </w:pPr>
      <w:r>
        <w:rPr>
          <w:rFonts w:ascii="宋体" w:hAnsi="宋体"/>
          <w:b/>
          <w:bCs/>
          <w:sz w:val="36"/>
          <w:szCs w:val="44"/>
        </w:rPr>
        <w:t>目录</w:t>
      </w:r>
    </w:p>
    <w:p w14:paraId="53D65100">
      <w:pPr>
        <w:pStyle w:val="25"/>
        <w:adjustRightInd w:val="0"/>
        <w:snapToGrid w:val="0"/>
        <w:spacing w:after="124" w:line="360" w:lineRule="auto"/>
        <w:rPr>
          <w:rFonts w:hAnsi="宋体"/>
          <w:b/>
          <w:sz w:val="24"/>
          <w:szCs w:val="24"/>
        </w:rPr>
      </w:pPr>
    </w:p>
    <w:sdt>
      <w:sdtPr>
        <w:rPr>
          <w:rFonts w:ascii="宋体" w:hAnsi="宋体" w:eastAsia="宋体" w:cs="Times New Roman"/>
          <w:kern w:val="2"/>
          <w:sz w:val="21"/>
          <w:szCs w:val="24"/>
          <w:lang w:val="en-US" w:eastAsia="zh-CN" w:bidi="ar-SA"/>
        </w:rPr>
        <w:id w:val="147464478"/>
        <w15:color w:val="DBDBDB"/>
        <w:docPartObj>
          <w:docPartGallery w:val="Table of Contents"/>
          <w:docPartUnique/>
        </w:docPartObj>
      </w:sdtPr>
      <w:sdtEndPr>
        <w:rPr>
          <w:rFonts w:ascii="Times New Roman" w:hAnsi="Times New Roman" w:eastAsia="宋体" w:cs="Times New Roman"/>
          <w:kern w:val="2"/>
          <w:sz w:val="21"/>
          <w:szCs w:val="24"/>
          <w:lang w:val="en-US" w:eastAsia="zh-CN" w:bidi="ar-SA"/>
        </w:rPr>
      </w:sdtEndPr>
      <w:sdtContent>
        <w:p w14:paraId="7B2366F8">
          <w:pPr>
            <w:spacing w:before="0" w:beforeLines="0" w:after="0" w:afterLines="0" w:line="240" w:lineRule="auto"/>
            <w:ind w:left="0" w:leftChars="0" w:right="0" w:rightChars="0" w:firstLine="0" w:firstLineChars="0"/>
            <w:jc w:val="center"/>
          </w:pPr>
        </w:p>
        <w:p w14:paraId="36BBB4BC">
          <w:pPr>
            <w:pStyle w:val="32"/>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 w:val="21"/>
              <w:szCs w:val="24"/>
              <w:lang w:val="en-US" w:eastAsia="zh-CN" w:bidi="ar-SA"/>
            </w:rPr>
            <w:fldChar w:fldCharType="begin"/>
          </w:r>
          <w:r>
            <w:rPr>
              <w:rFonts w:ascii="Times New Roman" w:hAnsi="Times New Roman" w:eastAsia="宋体" w:cs="Times New Roman"/>
              <w:kern w:val="2"/>
              <w:sz w:val="21"/>
              <w:szCs w:val="24"/>
              <w:lang w:val="en-US" w:eastAsia="zh-CN" w:bidi="ar-SA"/>
            </w:rPr>
            <w:instrText xml:space="preserve">TOC \o "1-2" \h \u </w:instrText>
          </w:r>
          <w:r>
            <w:rPr>
              <w:rFonts w:ascii="Times New Roman" w:hAnsi="Times New Roman" w:eastAsia="宋体" w:cs="Times New Roman"/>
              <w:kern w:val="2"/>
              <w:sz w:val="21"/>
              <w:szCs w:val="24"/>
              <w:lang w:val="en-US" w:eastAsia="zh-CN" w:bidi="ar-SA"/>
            </w:rPr>
            <w:fldChar w:fldCharType="separate"/>
          </w: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_Toc301 </w:instrText>
          </w:r>
          <w:r>
            <w:rPr>
              <w:rFonts w:ascii="Times New Roman" w:hAnsi="Times New Roman" w:eastAsia="宋体" w:cs="Times New Roman"/>
              <w:kern w:val="2"/>
              <w:szCs w:val="24"/>
              <w:lang w:val="en-US" w:eastAsia="zh-CN" w:bidi="ar-SA"/>
            </w:rPr>
            <w:fldChar w:fldCharType="separate"/>
          </w:r>
          <w:r>
            <w:rPr>
              <w:rFonts w:hint="eastAsia"/>
            </w:rPr>
            <w:t>第一章 磋商邀请</w:t>
          </w:r>
          <w:r>
            <w:tab/>
          </w:r>
          <w:r>
            <w:fldChar w:fldCharType="begin"/>
          </w:r>
          <w:r>
            <w:instrText xml:space="preserve"> PAGEREF _Toc301 \h </w:instrText>
          </w:r>
          <w:r>
            <w:fldChar w:fldCharType="separate"/>
          </w:r>
          <w:r>
            <w:t>3</w:t>
          </w:r>
          <w:r>
            <w:fldChar w:fldCharType="end"/>
          </w:r>
          <w:r>
            <w:rPr>
              <w:rFonts w:ascii="Times New Roman" w:hAnsi="Times New Roman" w:eastAsia="宋体" w:cs="Times New Roman"/>
              <w:kern w:val="2"/>
              <w:szCs w:val="24"/>
              <w:lang w:val="en-US" w:eastAsia="zh-CN" w:bidi="ar-SA"/>
            </w:rPr>
            <w:fldChar w:fldCharType="end"/>
          </w:r>
        </w:p>
        <w:p w14:paraId="6C03690B">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_Toc5950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一、项目概况</w:t>
          </w:r>
          <w:r>
            <w:tab/>
          </w:r>
          <w:r>
            <w:fldChar w:fldCharType="begin"/>
          </w:r>
          <w:r>
            <w:instrText xml:space="preserve"> PAGEREF _Toc5950 \h </w:instrText>
          </w:r>
          <w:r>
            <w:fldChar w:fldCharType="separate"/>
          </w:r>
          <w:r>
            <w:t>3</w:t>
          </w:r>
          <w:r>
            <w:fldChar w:fldCharType="end"/>
          </w:r>
          <w:r>
            <w:rPr>
              <w:rFonts w:ascii="Times New Roman" w:hAnsi="Times New Roman" w:eastAsia="宋体" w:cs="Times New Roman"/>
              <w:kern w:val="2"/>
              <w:szCs w:val="24"/>
              <w:lang w:val="en-US" w:eastAsia="zh-CN" w:bidi="ar-SA"/>
            </w:rPr>
            <w:fldChar w:fldCharType="end"/>
          </w:r>
        </w:p>
        <w:p w14:paraId="31299129">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_Toc21710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lang w:val="en-US" w:eastAsia="zh-CN"/>
            </w:rPr>
            <w:t>二、</w:t>
          </w:r>
          <w:r>
            <w:rPr>
              <w:rFonts w:hint="eastAsia" w:ascii="宋体" w:hAnsi="宋体" w:eastAsia="宋体" w:cs="宋体"/>
              <w:szCs w:val="21"/>
            </w:rPr>
            <w:t>采购人的采购需求</w:t>
          </w:r>
          <w:r>
            <w:tab/>
          </w:r>
          <w:r>
            <w:fldChar w:fldCharType="begin"/>
          </w:r>
          <w:r>
            <w:instrText xml:space="preserve"> PAGEREF _Toc21710 \h </w:instrText>
          </w:r>
          <w:r>
            <w:fldChar w:fldCharType="separate"/>
          </w:r>
          <w:r>
            <w:t>3</w:t>
          </w:r>
          <w:r>
            <w:fldChar w:fldCharType="end"/>
          </w:r>
          <w:r>
            <w:rPr>
              <w:rFonts w:ascii="Times New Roman" w:hAnsi="Times New Roman" w:eastAsia="宋体" w:cs="Times New Roman"/>
              <w:kern w:val="2"/>
              <w:szCs w:val="24"/>
              <w:lang w:val="en-US" w:eastAsia="zh-CN" w:bidi="ar-SA"/>
            </w:rPr>
            <w:fldChar w:fldCharType="end"/>
          </w:r>
        </w:p>
        <w:p w14:paraId="1A895AED">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_Toc6088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三、供应商资质要求：</w:t>
          </w:r>
          <w:r>
            <w:tab/>
          </w:r>
          <w:r>
            <w:fldChar w:fldCharType="begin"/>
          </w:r>
          <w:r>
            <w:instrText xml:space="preserve"> PAGEREF _Toc6088 \h </w:instrText>
          </w:r>
          <w:r>
            <w:fldChar w:fldCharType="separate"/>
          </w:r>
          <w:r>
            <w:t>4</w:t>
          </w:r>
          <w:r>
            <w:fldChar w:fldCharType="end"/>
          </w:r>
          <w:r>
            <w:rPr>
              <w:rFonts w:ascii="Times New Roman" w:hAnsi="Times New Roman" w:eastAsia="宋体" w:cs="Times New Roman"/>
              <w:kern w:val="2"/>
              <w:szCs w:val="24"/>
              <w:lang w:val="en-US" w:eastAsia="zh-CN" w:bidi="ar-SA"/>
            </w:rPr>
            <w:fldChar w:fldCharType="end"/>
          </w:r>
        </w:p>
        <w:p w14:paraId="19C22030">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_Toc11019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四、竞争性磋商文件的获取方式</w:t>
          </w:r>
          <w:r>
            <w:tab/>
          </w:r>
          <w:r>
            <w:fldChar w:fldCharType="begin"/>
          </w:r>
          <w:r>
            <w:instrText xml:space="preserve"> PAGEREF _Toc11019 \h </w:instrText>
          </w:r>
          <w:r>
            <w:fldChar w:fldCharType="separate"/>
          </w:r>
          <w:r>
            <w:t>5</w:t>
          </w:r>
          <w:r>
            <w:fldChar w:fldCharType="end"/>
          </w:r>
          <w:r>
            <w:rPr>
              <w:rFonts w:ascii="Times New Roman" w:hAnsi="Times New Roman" w:eastAsia="宋体" w:cs="Times New Roman"/>
              <w:kern w:val="2"/>
              <w:szCs w:val="24"/>
              <w:lang w:val="en-US" w:eastAsia="zh-CN" w:bidi="ar-SA"/>
            </w:rPr>
            <w:fldChar w:fldCharType="end"/>
          </w:r>
        </w:p>
        <w:p w14:paraId="39B9AC02">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_Toc12061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五、响应文件提交的截止时间、开启时间及地点</w:t>
          </w:r>
          <w:r>
            <w:tab/>
          </w:r>
          <w:r>
            <w:fldChar w:fldCharType="begin"/>
          </w:r>
          <w:r>
            <w:instrText xml:space="preserve"> PAGEREF _Toc12061 \h </w:instrText>
          </w:r>
          <w:r>
            <w:fldChar w:fldCharType="separate"/>
          </w:r>
          <w:r>
            <w:t>5</w:t>
          </w:r>
          <w:r>
            <w:fldChar w:fldCharType="end"/>
          </w:r>
          <w:r>
            <w:rPr>
              <w:rFonts w:ascii="Times New Roman" w:hAnsi="Times New Roman" w:eastAsia="宋体" w:cs="Times New Roman"/>
              <w:kern w:val="2"/>
              <w:szCs w:val="24"/>
              <w:lang w:val="en-US" w:eastAsia="zh-CN" w:bidi="ar-SA"/>
            </w:rPr>
            <w:fldChar w:fldCharType="end"/>
          </w:r>
        </w:p>
        <w:p w14:paraId="4048BEB3">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_Toc25042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六、投标保证金</w:t>
          </w:r>
          <w:r>
            <w:tab/>
          </w:r>
          <w:r>
            <w:fldChar w:fldCharType="begin"/>
          </w:r>
          <w:r>
            <w:instrText xml:space="preserve"> PAGEREF _Toc25042 \h </w:instrText>
          </w:r>
          <w:r>
            <w:fldChar w:fldCharType="separate"/>
          </w:r>
          <w:r>
            <w:t>5</w:t>
          </w:r>
          <w:r>
            <w:fldChar w:fldCharType="end"/>
          </w:r>
          <w:r>
            <w:rPr>
              <w:rFonts w:ascii="Times New Roman" w:hAnsi="Times New Roman" w:eastAsia="宋体" w:cs="Times New Roman"/>
              <w:kern w:val="2"/>
              <w:szCs w:val="24"/>
              <w:lang w:val="en-US" w:eastAsia="zh-CN" w:bidi="ar-SA"/>
            </w:rPr>
            <w:fldChar w:fldCharType="end"/>
          </w:r>
        </w:p>
        <w:p w14:paraId="3649717A">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_Toc14078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七、发布公告的媒介及公告期限</w:t>
          </w:r>
          <w:r>
            <w:tab/>
          </w:r>
          <w:r>
            <w:fldChar w:fldCharType="begin"/>
          </w:r>
          <w:r>
            <w:instrText xml:space="preserve"> PAGEREF _Toc14078 \h </w:instrText>
          </w:r>
          <w:r>
            <w:fldChar w:fldCharType="separate"/>
          </w:r>
          <w:r>
            <w:t>5</w:t>
          </w:r>
          <w:r>
            <w:fldChar w:fldCharType="end"/>
          </w:r>
          <w:r>
            <w:rPr>
              <w:rFonts w:ascii="Times New Roman" w:hAnsi="Times New Roman" w:eastAsia="宋体" w:cs="Times New Roman"/>
              <w:kern w:val="2"/>
              <w:szCs w:val="24"/>
              <w:lang w:val="en-US" w:eastAsia="zh-CN" w:bidi="ar-SA"/>
            </w:rPr>
            <w:fldChar w:fldCharType="end"/>
          </w:r>
        </w:p>
        <w:p w14:paraId="3DB9B19C">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_Toc8022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八、疑问及质疑：</w:t>
          </w:r>
          <w:r>
            <w:tab/>
          </w:r>
          <w:r>
            <w:fldChar w:fldCharType="begin"/>
          </w:r>
          <w:r>
            <w:instrText xml:space="preserve"> PAGEREF _Toc8022 \h </w:instrText>
          </w:r>
          <w:r>
            <w:fldChar w:fldCharType="separate"/>
          </w:r>
          <w:r>
            <w:t>5</w:t>
          </w:r>
          <w:r>
            <w:fldChar w:fldCharType="end"/>
          </w:r>
          <w:r>
            <w:rPr>
              <w:rFonts w:ascii="Times New Roman" w:hAnsi="Times New Roman" w:eastAsia="宋体" w:cs="Times New Roman"/>
              <w:kern w:val="2"/>
              <w:szCs w:val="24"/>
              <w:lang w:val="en-US" w:eastAsia="zh-CN" w:bidi="ar-SA"/>
            </w:rPr>
            <w:fldChar w:fldCharType="end"/>
          </w:r>
        </w:p>
        <w:p w14:paraId="5D8C43CB">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_Toc11881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九、联系方式</w:t>
          </w:r>
          <w:r>
            <w:tab/>
          </w:r>
          <w:r>
            <w:fldChar w:fldCharType="begin"/>
          </w:r>
          <w:r>
            <w:instrText xml:space="preserve"> PAGEREF _Toc11881 \h </w:instrText>
          </w:r>
          <w:r>
            <w:fldChar w:fldCharType="separate"/>
          </w:r>
          <w:r>
            <w:t>6</w:t>
          </w:r>
          <w:r>
            <w:fldChar w:fldCharType="end"/>
          </w:r>
          <w:r>
            <w:rPr>
              <w:rFonts w:ascii="Times New Roman" w:hAnsi="Times New Roman" w:eastAsia="宋体" w:cs="Times New Roman"/>
              <w:kern w:val="2"/>
              <w:szCs w:val="24"/>
              <w:lang w:val="en-US" w:eastAsia="zh-CN" w:bidi="ar-SA"/>
            </w:rPr>
            <w:fldChar w:fldCharType="end"/>
          </w:r>
        </w:p>
        <w:p w14:paraId="4A970B74">
          <w:pPr>
            <w:pStyle w:val="32"/>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_Toc27084 </w:instrText>
          </w:r>
          <w:r>
            <w:rPr>
              <w:rFonts w:ascii="Times New Roman" w:hAnsi="Times New Roman" w:eastAsia="宋体" w:cs="Times New Roman"/>
              <w:kern w:val="2"/>
              <w:szCs w:val="24"/>
              <w:lang w:val="en-US" w:eastAsia="zh-CN" w:bidi="ar-SA"/>
            </w:rPr>
            <w:fldChar w:fldCharType="separate"/>
          </w:r>
          <w:r>
            <w:rPr>
              <w:rFonts w:hint="eastAsia"/>
            </w:rPr>
            <w:t>第二章 磋商须知</w:t>
          </w:r>
          <w:r>
            <w:tab/>
          </w:r>
          <w:r>
            <w:fldChar w:fldCharType="begin"/>
          </w:r>
          <w:r>
            <w:instrText xml:space="preserve"> PAGEREF _Toc27084 \h </w:instrText>
          </w:r>
          <w:r>
            <w:fldChar w:fldCharType="separate"/>
          </w:r>
          <w:r>
            <w:t>8</w:t>
          </w:r>
          <w:r>
            <w:fldChar w:fldCharType="end"/>
          </w:r>
          <w:r>
            <w:rPr>
              <w:rFonts w:ascii="Times New Roman" w:hAnsi="Times New Roman" w:eastAsia="宋体" w:cs="Times New Roman"/>
              <w:kern w:val="2"/>
              <w:szCs w:val="24"/>
              <w:lang w:val="en-US" w:eastAsia="zh-CN" w:bidi="ar-SA"/>
            </w:rPr>
            <w:fldChar w:fldCharType="end"/>
          </w:r>
        </w:p>
        <w:p w14:paraId="4AB8CFBA">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_Toc31483 </w:instrText>
          </w:r>
          <w:r>
            <w:rPr>
              <w:rFonts w:ascii="Times New Roman" w:hAnsi="Times New Roman" w:eastAsia="宋体" w:cs="Times New Roman"/>
              <w:kern w:val="2"/>
              <w:szCs w:val="24"/>
              <w:lang w:val="en-US" w:eastAsia="zh-CN" w:bidi="ar-SA"/>
            </w:rPr>
            <w:fldChar w:fldCharType="separate"/>
          </w:r>
          <w:r>
            <w:rPr>
              <w:rFonts w:hint="eastAsia"/>
            </w:rPr>
            <w:t>第一节 磋商须知前附表</w:t>
          </w:r>
          <w:r>
            <w:tab/>
          </w:r>
          <w:r>
            <w:fldChar w:fldCharType="begin"/>
          </w:r>
          <w:r>
            <w:instrText xml:space="preserve"> PAGEREF _Toc31483 \h </w:instrText>
          </w:r>
          <w:r>
            <w:fldChar w:fldCharType="separate"/>
          </w:r>
          <w:r>
            <w:t>8</w:t>
          </w:r>
          <w:r>
            <w:fldChar w:fldCharType="end"/>
          </w:r>
          <w:r>
            <w:rPr>
              <w:rFonts w:ascii="Times New Roman" w:hAnsi="Times New Roman" w:eastAsia="宋体" w:cs="Times New Roman"/>
              <w:kern w:val="2"/>
              <w:szCs w:val="24"/>
              <w:lang w:val="en-US" w:eastAsia="zh-CN" w:bidi="ar-SA"/>
            </w:rPr>
            <w:fldChar w:fldCharType="end"/>
          </w:r>
        </w:p>
        <w:p w14:paraId="1A0CEC55">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_Toc17880 </w:instrText>
          </w:r>
          <w:r>
            <w:rPr>
              <w:rFonts w:ascii="Times New Roman" w:hAnsi="Times New Roman" w:eastAsia="宋体" w:cs="Times New Roman"/>
              <w:kern w:val="2"/>
              <w:szCs w:val="24"/>
              <w:lang w:val="en-US" w:eastAsia="zh-CN" w:bidi="ar-SA"/>
            </w:rPr>
            <w:fldChar w:fldCharType="separate"/>
          </w:r>
          <w:r>
            <w:rPr>
              <w:rFonts w:hint="eastAsia"/>
            </w:rPr>
            <w:t>第二节 磋商须知正文</w:t>
          </w:r>
          <w:r>
            <w:tab/>
          </w:r>
          <w:r>
            <w:fldChar w:fldCharType="begin"/>
          </w:r>
          <w:r>
            <w:instrText xml:space="preserve"> PAGEREF _Toc17880 \h </w:instrText>
          </w:r>
          <w:r>
            <w:fldChar w:fldCharType="separate"/>
          </w:r>
          <w:r>
            <w:t>14</w:t>
          </w:r>
          <w:r>
            <w:fldChar w:fldCharType="end"/>
          </w:r>
          <w:r>
            <w:rPr>
              <w:rFonts w:ascii="Times New Roman" w:hAnsi="Times New Roman" w:eastAsia="宋体" w:cs="Times New Roman"/>
              <w:kern w:val="2"/>
              <w:szCs w:val="24"/>
              <w:lang w:val="en-US" w:eastAsia="zh-CN" w:bidi="ar-SA"/>
            </w:rPr>
            <w:fldChar w:fldCharType="end"/>
          </w:r>
        </w:p>
        <w:p w14:paraId="16E9DD97">
          <w:pPr>
            <w:pStyle w:val="32"/>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_Toc20658 </w:instrText>
          </w:r>
          <w:r>
            <w:rPr>
              <w:rFonts w:ascii="Times New Roman" w:hAnsi="Times New Roman" w:eastAsia="宋体" w:cs="Times New Roman"/>
              <w:kern w:val="2"/>
              <w:szCs w:val="24"/>
              <w:lang w:val="en-US" w:eastAsia="zh-CN" w:bidi="ar-SA"/>
            </w:rPr>
            <w:fldChar w:fldCharType="separate"/>
          </w:r>
          <w:r>
            <w:rPr>
              <w:rFonts w:hint="eastAsia"/>
            </w:rPr>
            <w:t>第三章 评审办法及标准</w:t>
          </w:r>
          <w:r>
            <w:tab/>
          </w:r>
          <w:r>
            <w:fldChar w:fldCharType="begin"/>
          </w:r>
          <w:r>
            <w:instrText xml:space="preserve"> PAGEREF _Toc20658 \h </w:instrText>
          </w:r>
          <w:r>
            <w:fldChar w:fldCharType="separate"/>
          </w:r>
          <w:r>
            <w:t>26</w:t>
          </w:r>
          <w:r>
            <w:fldChar w:fldCharType="end"/>
          </w:r>
          <w:r>
            <w:rPr>
              <w:rFonts w:ascii="Times New Roman" w:hAnsi="Times New Roman" w:eastAsia="宋体" w:cs="Times New Roman"/>
              <w:kern w:val="2"/>
              <w:szCs w:val="24"/>
              <w:lang w:val="en-US" w:eastAsia="zh-CN" w:bidi="ar-SA"/>
            </w:rPr>
            <w:fldChar w:fldCharType="end"/>
          </w:r>
        </w:p>
        <w:p w14:paraId="31226263">
          <w:pPr>
            <w:pStyle w:val="32"/>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_Toc31165 </w:instrText>
          </w:r>
          <w:r>
            <w:rPr>
              <w:rFonts w:ascii="Times New Roman" w:hAnsi="Times New Roman" w:eastAsia="宋体" w:cs="Times New Roman"/>
              <w:kern w:val="2"/>
              <w:szCs w:val="24"/>
              <w:lang w:val="en-US" w:eastAsia="zh-CN" w:bidi="ar-SA"/>
            </w:rPr>
            <w:fldChar w:fldCharType="separate"/>
          </w:r>
          <w:r>
            <w:rPr>
              <w:rFonts w:hint="eastAsia"/>
            </w:rPr>
            <w:t>第四章 政府采购合同格式</w:t>
          </w:r>
          <w:r>
            <w:tab/>
          </w:r>
          <w:r>
            <w:fldChar w:fldCharType="begin"/>
          </w:r>
          <w:r>
            <w:instrText xml:space="preserve"> PAGEREF _Toc31165 \h </w:instrText>
          </w:r>
          <w:r>
            <w:fldChar w:fldCharType="separate"/>
          </w:r>
          <w:r>
            <w:t>31</w:t>
          </w:r>
          <w:r>
            <w:fldChar w:fldCharType="end"/>
          </w:r>
          <w:r>
            <w:rPr>
              <w:rFonts w:ascii="Times New Roman" w:hAnsi="Times New Roman" w:eastAsia="宋体" w:cs="Times New Roman"/>
              <w:kern w:val="2"/>
              <w:szCs w:val="24"/>
              <w:lang w:val="en-US" w:eastAsia="zh-CN" w:bidi="ar-SA"/>
            </w:rPr>
            <w:fldChar w:fldCharType="end"/>
          </w:r>
        </w:p>
        <w:p w14:paraId="002ED01C">
          <w:pPr>
            <w:pStyle w:val="32"/>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_Toc15873 </w:instrText>
          </w:r>
          <w:r>
            <w:rPr>
              <w:rFonts w:ascii="Times New Roman" w:hAnsi="Times New Roman" w:eastAsia="宋体" w:cs="Times New Roman"/>
              <w:kern w:val="2"/>
              <w:szCs w:val="24"/>
              <w:lang w:val="en-US" w:eastAsia="zh-CN" w:bidi="ar-SA"/>
            </w:rPr>
            <w:fldChar w:fldCharType="separate"/>
          </w:r>
          <w:r>
            <w:rPr>
              <w:rFonts w:hint="eastAsia"/>
            </w:rPr>
            <w:t>第五章 采购需求</w:t>
          </w:r>
          <w:r>
            <w:tab/>
          </w:r>
          <w:r>
            <w:fldChar w:fldCharType="begin"/>
          </w:r>
          <w:r>
            <w:instrText xml:space="preserve"> PAGEREF _Toc15873 \h </w:instrText>
          </w:r>
          <w:r>
            <w:fldChar w:fldCharType="separate"/>
          </w:r>
          <w:r>
            <w:t>53</w:t>
          </w:r>
          <w:r>
            <w:fldChar w:fldCharType="end"/>
          </w:r>
          <w:r>
            <w:rPr>
              <w:rFonts w:ascii="Times New Roman" w:hAnsi="Times New Roman" w:eastAsia="宋体" w:cs="Times New Roman"/>
              <w:kern w:val="2"/>
              <w:szCs w:val="24"/>
              <w:lang w:val="en-US" w:eastAsia="zh-CN" w:bidi="ar-SA"/>
            </w:rPr>
            <w:fldChar w:fldCharType="end"/>
          </w:r>
        </w:p>
        <w:p w14:paraId="67006180">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_Toc7803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rPr>
            <w:t>一、项目概况</w:t>
          </w:r>
          <w:r>
            <w:tab/>
          </w:r>
          <w:r>
            <w:fldChar w:fldCharType="begin"/>
          </w:r>
          <w:r>
            <w:instrText xml:space="preserve"> PAGEREF _Toc7803 \h </w:instrText>
          </w:r>
          <w:r>
            <w:fldChar w:fldCharType="separate"/>
          </w:r>
          <w:r>
            <w:t>53</w:t>
          </w:r>
          <w:r>
            <w:fldChar w:fldCharType="end"/>
          </w:r>
          <w:r>
            <w:rPr>
              <w:rFonts w:ascii="Times New Roman" w:hAnsi="Times New Roman" w:eastAsia="宋体" w:cs="Times New Roman"/>
              <w:kern w:val="2"/>
              <w:szCs w:val="24"/>
              <w:lang w:val="en-US" w:eastAsia="zh-CN" w:bidi="ar-SA"/>
            </w:rPr>
            <w:fldChar w:fldCharType="end"/>
          </w:r>
        </w:p>
        <w:p w14:paraId="65C99212">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_Toc29426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rPr>
            <w:t>二、工程条件：</w:t>
          </w:r>
          <w:r>
            <w:tab/>
          </w:r>
          <w:r>
            <w:fldChar w:fldCharType="begin"/>
          </w:r>
          <w:r>
            <w:instrText xml:space="preserve"> PAGEREF _Toc29426 \h </w:instrText>
          </w:r>
          <w:r>
            <w:fldChar w:fldCharType="separate"/>
          </w:r>
          <w:r>
            <w:t>53</w:t>
          </w:r>
          <w:r>
            <w:fldChar w:fldCharType="end"/>
          </w:r>
          <w:r>
            <w:rPr>
              <w:rFonts w:ascii="Times New Roman" w:hAnsi="Times New Roman" w:eastAsia="宋体" w:cs="Times New Roman"/>
              <w:kern w:val="2"/>
              <w:szCs w:val="24"/>
              <w:lang w:val="en-US" w:eastAsia="zh-CN" w:bidi="ar-SA"/>
            </w:rPr>
            <w:fldChar w:fldCharType="end"/>
          </w:r>
        </w:p>
        <w:p w14:paraId="3074C3D7">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_Toc23245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rPr>
            <w:t>三、项目基本情况：</w:t>
          </w:r>
          <w:r>
            <w:tab/>
          </w:r>
          <w:r>
            <w:fldChar w:fldCharType="begin"/>
          </w:r>
          <w:r>
            <w:instrText xml:space="preserve"> PAGEREF _Toc23245 \h </w:instrText>
          </w:r>
          <w:r>
            <w:fldChar w:fldCharType="separate"/>
          </w:r>
          <w:r>
            <w:t>53</w:t>
          </w:r>
          <w:r>
            <w:fldChar w:fldCharType="end"/>
          </w:r>
          <w:r>
            <w:rPr>
              <w:rFonts w:ascii="Times New Roman" w:hAnsi="Times New Roman" w:eastAsia="宋体" w:cs="Times New Roman"/>
              <w:kern w:val="2"/>
              <w:szCs w:val="24"/>
              <w:lang w:val="en-US" w:eastAsia="zh-CN" w:bidi="ar-SA"/>
            </w:rPr>
            <w:fldChar w:fldCharType="end"/>
          </w:r>
        </w:p>
        <w:p w14:paraId="3EE1D915">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_Toc24233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szCs w:val="21"/>
            </w:rPr>
            <w:t>四、工程承包范围：</w:t>
          </w:r>
          <w:r>
            <w:tab/>
          </w:r>
          <w:r>
            <w:fldChar w:fldCharType="begin"/>
          </w:r>
          <w:r>
            <w:instrText xml:space="preserve"> PAGEREF _Toc24233 \h </w:instrText>
          </w:r>
          <w:r>
            <w:fldChar w:fldCharType="separate"/>
          </w:r>
          <w:r>
            <w:t>53</w:t>
          </w:r>
          <w:r>
            <w:fldChar w:fldCharType="end"/>
          </w:r>
          <w:r>
            <w:rPr>
              <w:rFonts w:ascii="Times New Roman" w:hAnsi="Times New Roman" w:eastAsia="宋体" w:cs="Times New Roman"/>
              <w:kern w:val="2"/>
              <w:szCs w:val="24"/>
              <w:lang w:val="en-US" w:eastAsia="zh-CN" w:bidi="ar-SA"/>
            </w:rPr>
            <w:fldChar w:fldCharType="end"/>
          </w:r>
        </w:p>
        <w:p w14:paraId="04AABCC8">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_Toc7998 </w:instrText>
          </w:r>
          <w:r>
            <w:rPr>
              <w:rFonts w:ascii="Times New Roman" w:hAnsi="Times New Roman" w:eastAsia="宋体" w:cs="Times New Roman"/>
              <w:kern w:val="2"/>
              <w:szCs w:val="24"/>
              <w:lang w:val="en-US" w:eastAsia="zh-CN" w:bidi="ar-SA"/>
            </w:rPr>
            <w:fldChar w:fldCharType="separate"/>
          </w:r>
          <w:r>
            <w:rPr>
              <w:rFonts w:hint="eastAsia" w:ascii="宋体" w:hAnsi="宋体" w:eastAsia="宋体" w:cs="宋体"/>
            </w:rPr>
            <w:t>五、施工要求：</w:t>
          </w:r>
          <w:r>
            <w:tab/>
          </w:r>
          <w:r>
            <w:fldChar w:fldCharType="begin"/>
          </w:r>
          <w:r>
            <w:instrText xml:space="preserve"> PAGEREF _Toc7998 \h </w:instrText>
          </w:r>
          <w:r>
            <w:fldChar w:fldCharType="separate"/>
          </w:r>
          <w:r>
            <w:t>53</w:t>
          </w:r>
          <w:r>
            <w:fldChar w:fldCharType="end"/>
          </w:r>
          <w:r>
            <w:rPr>
              <w:rFonts w:ascii="Times New Roman" w:hAnsi="Times New Roman" w:eastAsia="宋体" w:cs="Times New Roman"/>
              <w:kern w:val="2"/>
              <w:szCs w:val="24"/>
              <w:lang w:val="en-US" w:eastAsia="zh-CN" w:bidi="ar-SA"/>
            </w:rPr>
            <w:fldChar w:fldCharType="end"/>
          </w:r>
        </w:p>
        <w:p w14:paraId="1ABAF3C7">
          <w:pPr>
            <w:pStyle w:val="32"/>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_Toc15796 </w:instrText>
          </w:r>
          <w:r>
            <w:rPr>
              <w:rFonts w:ascii="Times New Roman" w:hAnsi="Times New Roman" w:eastAsia="宋体" w:cs="Times New Roman"/>
              <w:kern w:val="2"/>
              <w:szCs w:val="24"/>
              <w:lang w:val="en-US" w:eastAsia="zh-CN" w:bidi="ar-SA"/>
            </w:rPr>
            <w:fldChar w:fldCharType="separate"/>
          </w:r>
          <w:r>
            <w:rPr>
              <w:rFonts w:hint="eastAsia"/>
            </w:rPr>
            <w:t>第六章 响应文件组成</w:t>
          </w:r>
          <w:r>
            <w:tab/>
          </w:r>
          <w:r>
            <w:fldChar w:fldCharType="begin"/>
          </w:r>
          <w:r>
            <w:instrText xml:space="preserve"> PAGEREF _Toc15796 \h </w:instrText>
          </w:r>
          <w:r>
            <w:fldChar w:fldCharType="separate"/>
          </w:r>
          <w:r>
            <w:t>57</w:t>
          </w:r>
          <w:r>
            <w:fldChar w:fldCharType="end"/>
          </w:r>
          <w:r>
            <w:rPr>
              <w:rFonts w:ascii="Times New Roman" w:hAnsi="Times New Roman" w:eastAsia="宋体" w:cs="Times New Roman"/>
              <w:kern w:val="2"/>
              <w:szCs w:val="24"/>
              <w:lang w:val="en-US" w:eastAsia="zh-CN" w:bidi="ar-SA"/>
            </w:rPr>
            <w:fldChar w:fldCharType="end"/>
          </w:r>
        </w:p>
        <w:p w14:paraId="1FD7B62A">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_Toc13223 </w:instrText>
          </w:r>
          <w:r>
            <w:rPr>
              <w:rFonts w:ascii="Times New Roman" w:hAnsi="Times New Roman" w:eastAsia="宋体" w:cs="Times New Roman"/>
              <w:kern w:val="2"/>
              <w:szCs w:val="24"/>
              <w:lang w:val="en-US" w:eastAsia="zh-CN" w:bidi="ar-SA"/>
            </w:rPr>
            <w:fldChar w:fldCharType="separate"/>
          </w:r>
          <w:r>
            <w:rPr>
              <w:rFonts w:hint="eastAsia"/>
            </w:rPr>
            <w:t>一、磋商响应声明</w:t>
          </w:r>
          <w:r>
            <w:tab/>
          </w:r>
          <w:r>
            <w:fldChar w:fldCharType="begin"/>
          </w:r>
          <w:r>
            <w:instrText xml:space="preserve"> PAGEREF _Toc13223 \h </w:instrText>
          </w:r>
          <w:r>
            <w:fldChar w:fldCharType="separate"/>
          </w:r>
          <w:r>
            <w:t>59</w:t>
          </w:r>
          <w:r>
            <w:fldChar w:fldCharType="end"/>
          </w:r>
          <w:r>
            <w:rPr>
              <w:rFonts w:ascii="Times New Roman" w:hAnsi="Times New Roman" w:eastAsia="宋体" w:cs="Times New Roman"/>
              <w:kern w:val="2"/>
              <w:szCs w:val="24"/>
              <w:lang w:val="en-US" w:eastAsia="zh-CN" w:bidi="ar-SA"/>
            </w:rPr>
            <w:fldChar w:fldCharType="end"/>
          </w:r>
        </w:p>
        <w:p w14:paraId="4E0AF30D">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_Toc18431 </w:instrText>
          </w:r>
          <w:r>
            <w:rPr>
              <w:rFonts w:ascii="Times New Roman" w:hAnsi="Times New Roman" w:eastAsia="宋体" w:cs="Times New Roman"/>
              <w:kern w:val="2"/>
              <w:szCs w:val="24"/>
              <w:lang w:val="en-US" w:eastAsia="zh-CN" w:bidi="ar-SA"/>
            </w:rPr>
            <w:fldChar w:fldCharType="separate"/>
          </w:r>
          <w:r>
            <w:rPr>
              <w:rFonts w:hint="eastAsia"/>
            </w:rPr>
            <w:t>二、磋商保证金缴纳证明材料</w:t>
          </w:r>
          <w:r>
            <w:tab/>
          </w:r>
          <w:r>
            <w:fldChar w:fldCharType="begin"/>
          </w:r>
          <w:r>
            <w:instrText xml:space="preserve"> PAGEREF _Toc18431 \h </w:instrText>
          </w:r>
          <w:r>
            <w:fldChar w:fldCharType="separate"/>
          </w:r>
          <w:r>
            <w:t>65</w:t>
          </w:r>
          <w:r>
            <w:fldChar w:fldCharType="end"/>
          </w:r>
          <w:r>
            <w:rPr>
              <w:rFonts w:ascii="Times New Roman" w:hAnsi="Times New Roman" w:eastAsia="宋体" w:cs="Times New Roman"/>
              <w:kern w:val="2"/>
              <w:szCs w:val="24"/>
              <w:lang w:val="en-US" w:eastAsia="zh-CN" w:bidi="ar-SA"/>
            </w:rPr>
            <w:fldChar w:fldCharType="end"/>
          </w:r>
        </w:p>
        <w:p w14:paraId="4A65167F">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_Toc10706 </w:instrText>
          </w:r>
          <w:r>
            <w:rPr>
              <w:rFonts w:ascii="Times New Roman" w:hAnsi="Times New Roman" w:eastAsia="宋体" w:cs="Times New Roman"/>
              <w:kern w:val="2"/>
              <w:szCs w:val="24"/>
              <w:lang w:val="en-US" w:eastAsia="zh-CN" w:bidi="ar-SA"/>
            </w:rPr>
            <w:fldChar w:fldCharType="separate"/>
          </w:r>
          <w:r>
            <w:rPr>
              <w:rFonts w:hint="eastAsia"/>
            </w:rPr>
            <w:t>三、供应商的资格证明资料</w:t>
          </w:r>
          <w:r>
            <w:tab/>
          </w:r>
          <w:r>
            <w:fldChar w:fldCharType="begin"/>
          </w:r>
          <w:r>
            <w:instrText xml:space="preserve"> PAGEREF _Toc10706 \h </w:instrText>
          </w:r>
          <w:r>
            <w:fldChar w:fldCharType="separate"/>
          </w:r>
          <w:r>
            <w:t>66</w:t>
          </w:r>
          <w:r>
            <w:fldChar w:fldCharType="end"/>
          </w:r>
          <w:r>
            <w:rPr>
              <w:rFonts w:ascii="Times New Roman" w:hAnsi="Times New Roman" w:eastAsia="宋体" w:cs="Times New Roman"/>
              <w:kern w:val="2"/>
              <w:szCs w:val="24"/>
              <w:lang w:val="en-US" w:eastAsia="zh-CN" w:bidi="ar-SA"/>
            </w:rPr>
            <w:fldChar w:fldCharType="end"/>
          </w:r>
        </w:p>
        <w:p w14:paraId="447E8172">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_Toc25461 </w:instrText>
          </w:r>
          <w:r>
            <w:rPr>
              <w:rFonts w:ascii="Times New Roman" w:hAnsi="Times New Roman" w:eastAsia="宋体" w:cs="Times New Roman"/>
              <w:kern w:val="2"/>
              <w:szCs w:val="24"/>
              <w:lang w:val="en-US" w:eastAsia="zh-CN" w:bidi="ar-SA"/>
            </w:rPr>
            <w:fldChar w:fldCharType="separate"/>
          </w:r>
          <w:r>
            <w:rPr>
              <w:rFonts w:hint="eastAsia"/>
            </w:rPr>
            <w:t>四、施工组织设计</w:t>
          </w:r>
          <w:r>
            <w:tab/>
          </w:r>
          <w:r>
            <w:fldChar w:fldCharType="begin"/>
          </w:r>
          <w:r>
            <w:instrText xml:space="preserve"> PAGEREF _Toc25461 \h </w:instrText>
          </w:r>
          <w:r>
            <w:fldChar w:fldCharType="separate"/>
          </w:r>
          <w:r>
            <w:t>68</w:t>
          </w:r>
          <w:r>
            <w:fldChar w:fldCharType="end"/>
          </w:r>
          <w:r>
            <w:rPr>
              <w:rFonts w:ascii="Times New Roman" w:hAnsi="Times New Roman" w:eastAsia="宋体" w:cs="Times New Roman"/>
              <w:kern w:val="2"/>
              <w:szCs w:val="24"/>
              <w:lang w:val="en-US" w:eastAsia="zh-CN" w:bidi="ar-SA"/>
            </w:rPr>
            <w:fldChar w:fldCharType="end"/>
          </w:r>
        </w:p>
        <w:p w14:paraId="2EFC1471">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_Toc9761 </w:instrText>
          </w:r>
          <w:r>
            <w:rPr>
              <w:rFonts w:ascii="Times New Roman" w:hAnsi="Times New Roman" w:eastAsia="宋体" w:cs="Times New Roman"/>
              <w:kern w:val="2"/>
              <w:szCs w:val="24"/>
              <w:lang w:val="en-US" w:eastAsia="zh-CN" w:bidi="ar-SA"/>
            </w:rPr>
            <w:fldChar w:fldCharType="separate"/>
          </w:r>
          <w:r>
            <w:rPr>
              <w:rFonts w:hint="eastAsia" w:eastAsia="宋体" w:cs="Times New Roman"/>
            </w:rPr>
            <w:t>五、技术/商务响应与偏离表</w:t>
          </w:r>
          <w:r>
            <w:tab/>
          </w:r>
          <w:r>
            <w:fldChar w:fldCharType="begin"/>
          </w:r>
          <w:r>
            <w:instrText xml:space="preserve"> PAGEREF _Toc9761 \h </w:instrText>
          </w:r>
          <w:r>
            <w:fldChar w:fldCharType="separate"/>
          </w:r>
          <w:r>
            <w:t>69</w:t>
          </w:r>
          <w:r>
            <w:fldChar w:fldCharType="end"/>
          </w:r>
          <w:r>
            <w:rPr>
              <w:rFonts w:ascii="Times New Roman" w:hAnsi="Times New Roman" w:eastAsia="宋体" w:cs="Times New Roman"/>
              <w:kern w:val="2"/>
              <w:szCs w:val="24"/>
              <w:lang w:val="en-US" w:eastAsia="zh-CN" w:bidi="ar-SA"/>
            </w:rPr>
            <w:fldChar w:fldCharType="end"/>
          </w:r>
        </w:p>
        <w:p w14:paraId="1C98449E">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_Toc10384 </w:instrText>
          </w:r>
          <w:r>
            <w:rPr>
              <w:rFonts w:ascii="Times New Roman" w:hAnsi="Times New Roman" w:eastAsia="宋体" w:cs="Times New Roman"/>
              <w:kern w:val="2"/>
              <w:szCs w:val="24"/>
              <w:lang w:val="en-US" w:eastAsia="zh-CN" w:bidi="ar-SA"/>
            </w:rPr>
            <w:fldChar w:fldCharType="separate"/>
          </w:r>
          <w:r>
            <w:rPr>
              <w:rFonts w:hint="eastAsia" w:eastAsia="宋体" w:cs="Times New Roman"/>
            </w:rPr>
            <w:t>六、提供享受招标采购政策的证明材料和清单表</w:t>
          </w:r>
          <w:r>
            <w:tab/>
          </w:r>
          <w:r>
            <w:fldChar w:fldCharType="begin"/>
          </w:r>
          <w:r>
            <w:instrText xml:space="preserve"> PAGEREF _Toc10384 \h </w:instrText>
          </w:r>
          <w:r>
            <w:fldChar w:fldCharType="separate"/>
          </w:r>
          <w:r>
            <w:t>70</w:t>
          </w:r>
          <w:r>
            <w:fldChar w:fldCharType="end"/>
          </w:r>
          <w:r>
            <w:rPr>
              <w:rFonts w:ascii="Times New Roman" w:hAnsi="Times New Roman" w:eastAsia="宋体" w:cs="Times New Roman"/>
              <w:kern w:val="2"/>
              <w:szCs w:val="24"/>
              <w:lang w:val="en-US" w:eastAsia="zh-CN" w:bidi="ar-SA"/>
            </w:rPr>
            <w:fldChar w:fldCharType="end"/>
          </w:r>
        </w:p>
        <w:p w14:paraId="2BD8D5DD">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_Toc13917 </w:instrText>
          </w:r>
          <w:r>
            <w:rPr>
              <w:rFonts w:ascii="Times New Roman" w:hAnsi="Times New Roman" w:eastAsia="宋体" w:cs="Times New Roman"/>
              <w:kern w:val="2"/>
              <w:szCs w:val="24"/>
              <w:lang w:val="en-US" w:eastAsia="zh-CN" w:bidi="ar-SA"/>
            </w:rPr>
            <w:fldChar w:fldCharType="separate"/>
          </w:r>
          <w:r>
            <w:rPr>
              <w:rFonts w:hint="eastAsia"/>
            </w:rPr>
            <w:t>七、报价一览表及报价文件</w:t>
          </w:r>
          <w:r>
            <w:tab/>
          </w:r>
          <w:r>
            <w:fldChar w:fldCharType="begin"/>
          </w:r>
          <w:r>
            <w:instrText xml:space="preserve"> PAGEREF _Toc13917 \h </w:instrText>
          </w:r>
          <w:r>
            <w:fldChar w:fldCharType="separate"/>
          </w:r>
          <w:r>
            <w:t>73</w:t>
          </w:r>
          <w:r>
            <w:fldChar w:fldCharType="end"/>
          </w:r>
          <w:r>
            <w:rPr>
              <w:rFonts w:ascii="Times New Roman" w:hAnsi="Times New Roman" w:eastAsia="宋体" w:cs="Times New Roman"/>
              <w:kern w:val="2"/>
              <w:szCs w:val="24"/>
              <w:lang w:val="en-US" w:eastAsia="zh-CN" w:bidi="ar-SA"/>
            </w:rPr>
            <w:fldChar w:fldCharType="end"/>
          </w:r>
        </w:p>
        <w:p w14:paraId="487D16C0">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_Toc12380 </w:instrText>
          </w:r>
          <w:r>
            <w:rPr>
              <w:rFonts w:ascii="Times New Roman" w:hAnsi="Times New Roman" w:eastAsia="宋体" w:cs="Times New Roman"/>
              <w:kern w:val="2"/>
              <w:szCs w:val="24"/>
              <w:lang w:val="en-US" w:eastAsia="zh-CN" w:bidi="ar-SA"/>
            </w:rPr>
            <w:fldChar w:fldCharType="separate"/>
          </w:r>
          <w:r>
            <w:rPr>
              <w:rFonts w:hint="eastAsia"/>
            </w:rPr>
            <w:t>八、供应商认为需要提供的其它资料</w:t>
          </w:r>
          <w:r>
            <w:tab/>
          </w:r>
          <w:r>
            <w:fldChar w:fldCharType="begin"/>
          </w:r>
          <w:r>
            <w:instrText xml:space="preserve"> PAGEREF _Toc12380 \h </w:instrText>
          </w:r>
          <w:r>
            <w:fldChar w:fldCharType="separate"/>
          </w:r>
          <w:r>
            <w:t>75</w:t>
          </w:r>
          <w:r>
            <w:fldChar w:fldCharType="end"/>
          </w:r>
          <w:r>
            <w:rPr>
              <w:rFonts w:ascii="Times New Roman" w:hAnsi="Times New Roman" w:eastAsia="宋体" w:cs="Times New Roman"/>
              <w:kern w:val="2"/>
              <w:szCs w:val="24"/>
              <w:lang w:val="en-US" w:eastAsia="zh-CN" w:bidi="ar-SA"/>
            </w:rPr>
            <w:fldChar w:fldCharType="end"/>
          </w:r>
        </w:p>
        <w:p w14:paraId="17621DF7">
          <w:pPr>
            <w:pStyle w:val="36"/>
            <w:keepNext w:val="0"/>
            <w:keepLines w:val="0"/>
            <w:pageBreakBefore w:val="0"/>
            <w:widowControl w:val="0"/>
            <w:tabs>
              <w:tab w:val="right" w:leader="dot" w:pos="9072"/>
            </w:tabs>
            <w:kinsoku/>
            <w:wordWrap/>
            <w:overflowPunct/>
            <w:topLinePunct w:val="0"/>
            <w:autoSpaceDE/>
            <w:autoSpaceDN/>
            <w:bidi w:val="0"/>
            <w:adjustRightInd/>
            <w:snapToGrid/>
            <w:spacing w:line="360" w:lineRule="exact"/>
            <w:textAlignment w:val="auto"/>
          </w:pPr>
          <w:r>
            <w:rPr>
              <w:rFonts w:ascii="Times New Roman" w:hAnsi="Times New Roman" w:eastAsia="宋体" w:cs="Times New Roman"/>
              <w:kern w:val="2"/>
              <w:szCs w:val="24"/>
              <w:lang w:val="en-US" w:eastAsia="zh-CN" w:bidi="ar-SA"/>
            </w:rPr>
            <w:fldChar w:fldCharType="begin"/>
          </w:r>
          <w:r>
            <w:rPr>
              <w:rFonts w:ascii="Times New Roman" w:hAnsi="Times New Roman" w:eastAsia="宋体" w:cs="Times New Roman"/>
              <w:kern w:val="2"/>
              <w:szCs w:val="24"/>
              <w:lang w:val="en-US" w:eastAsia="zh-CN" w:bidi="ar-SA"/>
            </w:rPr>
            <w:instrText xml:space="preserve"> HYPERLINK \l _Toc28703 </w:instrText>
          </w:r>
          <w:r>
            <w:rPr>
              <w:rFonts w:ascii="Times New Roman" w:hAnsi="Times New Roman" w:eastAsia="宋体" w:cs="Times New Roman"/>
              <w:kern w:val="2"/>
              <w:szCs w:val="24"/>
              <w:lang w:val="en-US" w:eastAsia="zh-CN" w:bidi="ar-SA"/>
            </w:rPr>
            <w:fldChar w:fldCharType="separate"/>
          </w:r>
          <w:r>
            <w:rPr>
              <w:rFonts w:hint="eastAsia"/>
            </w:rPr>
            <w:t>九、最后报价</w:t>
          </w:r>
          <w:r>
            <w:tab/>
          </w:r>
          <w:r>
            <w:fldChar w:fldCharType="begin"/>
          </w:r>
          <w:r>
            <w:instrText xml:space="preserve"> PAGEREF _Toc28703 \h </w:instrText>
          </w:r>
          <w:r>
            <w:fldChar w:fldCharType="separate"/>
          </w:r>
          <w:r>
            <w:t>76</w:t>
          </w:r>
          <w:r>
            <w:fldChar w:fldCharType="end"/>
          </w:r>
          <w:r>
            <w:rPr>
              <w:rFonts w:ascii="Times New Roman" w:hAnsi="Times New Roman" w:eastAsia="宋体" w:cs="Times New Roman"/>
              <w:kern w:val="2"/>
              <w:szCs w:val="24"/>
              <w:lang w:val="en-US" w:eastAsia="zh-CN" w:bidi="ar-SA"/>
            </w:rPr>
            <w:fldChar w:fldCharType="end"/>
          </w:r>
        </w:p>
        <w:p w14:paraId="3490F1ED">
          <w:pPr>
            <w:keepNext w:val="0"/>
            <w:keepLines w:val="0"/>
            <w:pageBreakBefore w:val="0"/>
            <w:widowControl w:val="0"/>
            <w:kinsoku/>
            <w:wordWrap/>
            <w:overflowPunct/>
            <w:topLinePunct w:val="0"/>
            <w:autoSpaceDE/>
            <w:autoSpaceDN/>
            <w:bidi w:val="0"/>
            <w:adjustRightInd/>
            <w:snapToGrid/>
            <w:spacing w:line="360" w:lineRule="exact"/>
            <w:textAlignment w:val="auto"/>
            <w:rPr>
              <w:rFonts w:ascii="Times New Roman" w:hAnsi="Times New Roman" w:eastAsia="宋体" w:cs="Times New Roman"/>
              <w:kern w:val="2"/>
              <w:sz w:val="21"/>
              <w:szCs w:val="24"/>
              <w:lang w:val="en-US" w:eastAsia="zh-CN" w:bidi="ar-SA"/>
            </w:rPr>
          </w:pPr>
          <w:r>
            <w:rPr>
              <w:rFonts w:ascii="Times New Roman" w:hAnsi="Times New Roman" w:eastAsia="宋体" w:cs="Times New Roman"/>
              <w:kern w:val="2"/>
              <w:szCs w:val="24"/>
              <w:lang w:val="en-US" w:eastAsia="zh-CN" w:bidi="ar-SA"/>
            </w:rPr>
            <w:fldChar w:fldCharType="end"/>
          </w:r>
        </w:p>
      </w:sdtContent>
    </w:sdt>
    <w:p w14:paraId="5798354D">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宋体" w:cs="Times New Roman"/>
          <w:kern w:val="2"/>
          <w:sz w:val="21"/>
          <w:szCs w:val="24"/>
          <w:lang w:val="en-US" w:eastAsia="zh-CN" w:bidi="ar-SA"/>
        </w:rPr>
      </w:pPr>
    </w:p>
    <w:p w14:paraId="1DECB46F">
      <w:pPr>
        <w:pStyle w:val="3"/>
        <w:bidi w:val="0"/>
        <w:rPr>
          <w:rFonts w:hint="eastAsia"/>
        </w:rPr>
      </w:pPr>
    </w:p>
    <w:p w14:paraId="79A3F18D">
      <w:pPr>
        <w:rPr>
          <w:rFonts w:hint="eastAsia"/>
        </w:rPr>
        <w:sectPr>
          <w:headerReference r:id="rId4" w:type="first"/>
          <w:headerReference r:id="rId3" w:type="default"/>
          <w:footerReference r:id="rId5" w:type="default"/>
          <w:pgSz w:w="11906" w:h="16838"/>
          <w:pgMar w:top="1440" w:right="1417" w:bottom="1440" w:left="1417" w:header="851" w:footer="992" w:gutter="0"/>
          <w:cols w:space="720" w:num="1"/>
          <w:titlePg/>
          <w:docGrid w:linePitch="312" w:charSpace="0"/>
        </w:sectPr>
      </w:pPr>
    </w:p>
    <w:p w14:paraId="633B0417">
      <w:pPr>
        <w:pStyle w:val="3"/>
        <w:bidi w:val="0"/>
      </w:pPr>
      <w:bookmarkStart w:id="0" w:name="_Toc301"/>
      <w:r>
        <w:rPr>
          <w:rFonts w:hint="eastAsia"/>
        </w:rPr>
        <w:t>第一章 磋商邀请</w:t>
      </w:r>
      <w:bookmarkEnd w:id="0"/>
    </w:p>
    <w:p w14:paraId="4379F481">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u w:val="single"/>
          <w:lang w:eastAsia="zh-CN"/>
        </w:rPr>
      </w:pPr>
    </w:p>
    <w:p w14:paraId="07EEF5AB">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u w:val="single"/>
        </w:rPr>
        <w:t>湘潭大学综合实验大楼地下室提质改造工程</w:t>
      </w:r>
      <w:r>
        <w:rPr>
          <w:rFonts w:hint="eastAsia" w:ascii="宋体" w:hAnsi="宋体" w:eastAsia="宋体" w:cs="宋体"/>
          <w:sz w:val="21"/>
          <w:szCs w:val="21"/>
        </w:rPr>
        <w:t>进行竞争性磋商采购，现采用发布公告方式，邀请符合资格条件的供应商参与竞争性磋商采购活动。</w:t>
      </w:r>
    </w:p>
    <w:p w14:paraId="537301A9">
      <w:pPr>
        <w:pStyle w:val="4"/>
        <w:pageBreakBefore w:val="0"/>
        <w:kinsoku/>
        <w:overflowPunct/>
        <w:topLinePunct w:val="0"/>
        <w:autoSpaceDE/>
        <w:autoSpaceDN/>
        <w:bidi w:val="0"/>
        <w:snapToGrid/>
        <w:spacing w:line="360" w:lineRule="auto"/>
        <w:textAlignment w:val="auto"/>
        <w:rPr>
          <w:rFonts w:hint="eastAsia" w:ascii="宋体" w:hAnsi="宋体" w:eastAsia="宋体" w:cs="宋体"/>
          <w:sz w:val="21"/>
          <w:szCs w:val="21"/>
        </w:rPr>
      </w:pPr>
      <w:bookmarkStart w:id="1" w:name="_Toc22657511"/>
      <w:bookmarkStart w:id="2" w:name="_Toc10259"/>
      <w:bookmarkStart w:id="3" w:name="_Toc14043"/>
      <w:bookmarkStart w:id="4" w:name="_Toc5950"/>
      <w:r>
        <w:rPr>
          <w:rFonts w:hint="eastAsia" w:ascii="宋体" w:hAnsi="宋体" w:eastAsia="宋体" w:cs="宋体"/>
          <w:sz w:val="21"/>
          <w:szCs w:val="21"/>
        </w:rPr>
        <w:t>一、项目概况</w:t>
      </w:r>
      <w:bookmarkEnd w:id="1"/>
      <w:bookmarkEnd w:id="2"/>
      <w:bookmarkEnd w:id="3"/>
      <w:bookmarkEnd w:id="4"/>
    </w:p>
    <w:p w14:paraId="1D22FDF5">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1、采购项目名称：湘潭大学综合实验大楼地下室提质改造工程</w:t>
      </w:r>
    </w:p>
    <w:p w14:paraId="37FD2FE1">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rPr>
        <w:t>2、政府采购编号：湘财采计[2026]000</w:t>
      </w:r>
      <w:r>
        <w:rPr>
          <w:rFonts w:hint="eastAsia" w:ascii="宋体" w:hAnsi="宋体" w:cs="宋体"/>
          <w:sz w:val="21"/>
          <w:szCs w:val="21"/>
          <w:lang w:val="en-US" w:eastAsia="zh-CN"/>
        </w:rPr>
        <w:t>512</w:t>
      </w:r>
      <w:r>
        <w:rPr>
          <w:rFonts w:hint="eastAsia" w:ascii="宋体" w:hAnsi="宋体" w:eastAsia="宋体" w:cs="宋体"/>
          <w:sz w:val="21"/>
          <w:szCs w:val="21"/>
        </w:rPr>
        <w:t>号</w:t>
      </w:r>
    </w:p>
    <w:p w14:paraId="31547D75">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、采购代理编号：</w:t>
      </w:r>
      <w:r>
        <w:rPr>
          <w:rFonts w:hint="eastAsia" w:ascii="宋体" w:hAnsi="宋体" w:eastAsia="宋体" w:cs="宋体"/>
          <w:sz w:val="21"/>
          <w:szCs w:val="21"/>
          <w:highlight w:val="none"/>
          <w:lang w:val="en-US" w:eastAsia="zh-CN"/>
        </w:rPr>
        <w:t>NLZX-SZ-202604031</w:t>
      </w:r>
    </w:p>
    <w:p w14:paraId="3DF0DAD1">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、评标办法：综合评分法</w:t>
      </w:r>
    </w:p>
    <w:p w14:paraId="3F482BED">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、采购项目标的、数量及预算：</w:t>
      </w:r>
    </w:p>
    <w:p w14:paraId="09C76996">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本项目采购总预算为</w:t>
      </w:r>
      <w:r>
        <w:rPr>
          <w:rFonts w:hint="eastAsia" w:ascii="宋体" w:hAnsi="宋体" w:cs="宋体"/>
          <w:sz w:val="21"/>
          <w:szCs w:val="21"/>
          <w:highlight w:val="none"/>
          <w:lang w:val="en-US" w:eastAsia="zh-CN"/>
        </w:rPr>
        <w:t>1418176.75</w:t>
      </w:r>
      <w:r>
        <w:rPr>
          <w:rFonts w:hint="eastAsia" w:ascii="宋体" w:hAnsi="宋体" w:eastAsia="宋体" w:cs="宋体"/>
          <w:sz w:val="21"/>
          <w:szCs w:val="21"/>
          <w:highlight w:val="none"/>
        </w:rPr>
        <w:t>元，最高限价为</w:t>
      </w:r>
      <w:r>
        <w:rPr>
          <w:rFonts w:hint="eastAsia" w:ascii="宋体" w:hAnsi="宋体" w:cs="宋体"/>
          <w:sz w:val="21"/>
          <w:szCs w:val="21"/>
          <w:highlight w:val="none"/>
          <w:lang w:val="en-US" w:eastAsia="zh-CN"/>
        </w:rPr>
        <w:t>1418176.75</w:t>
      </w:r>
      <w:r>
        <w:rPr>
          <w:rFonts w:hint="eastAsia" w:ascii="宋体" w:hAnsi="宋体" w:eastAsia="宋体" w:cs="宋体"/>
          <w:sz w:val="21"/>
          <w:szCs w:val="21"/>
          <w:highlight w:val="none"/>
        </w:rPr>
        <w:t>元</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其中包含暂列金额69973.2元</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。本项目按合格供应商的综合得分由高到低排序，确定一家成交单位。</w:t>
      </w:r>
    </w:p>
    <w:tbl>
      <w:tblPr>
        <w:tblStyle w:val="46"/>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13"/>
        <w:gridCol w:w="3579"/>
        <w:gridCol w:w="2426"/>
        <w:gridCol w:w="2057"/>
      </w:tblGrid>
      <w:tr w14:paraId="69631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654" w:type="pct"/>
            <w:vAlign w:val="center"/>
          </w:tcPr>
          <w:p w14:paraId="67B61126">
            <w:pPr>
              <w:keepLines w:val="0"/>
              <w:pageBreakBefore w:val="0"/>
              <w:widowControl/>
              <w:kinsoku/>
              <w:overflowPunct/>
              <w:topLinePunct w:val="0"/>
              <w:autoSpaceDE/>
              <w:autoSpaceDN/>
              <w:bidi w:val="0"/>
              <w:adjustRightInd w:val="0"/>
              <w:snapToGrid/>
              <w:spacing w:line="240" w:lineRule="auto"/>
              <w:ind w:lef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包/品目名</w:t>
            </w:r>
          </w:p>
        </w:tc>
        <w:tc>
          <w:tcPr>
            <w:tcW w:w="1928" w:type="pct"/>
            <w:vAlign w:val="center"/>
          </w:tcPr>
          <w:p w14:paraId="2CA74FEF">
            <w:pPr>
              <w:keepLines w:val="0"/>
              <w:pageBreakBefore w:val="0"/>
              <w:widowControl/>
              <w:kinsoku/>
              <w:overflowPunct/>
              <w:topLinePunct w:val="0"/>
              <w:autoSpaceDE/>
              <w:autoSpaceDN/>
              <w:bidi w:val="0"/>
              <w:adjustRightInd w:val="0"/>
              <w:snapToGrid/>
              <w:spacing w:line="240" w:lineRule="auto"/>
              <w:ind w:left="0" w:hanging="315"/>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标的名称</w:t>
            </w:r>
          </w:p>
        </w:tc>
        <w:tc>
          <w:tcPr>
            <w:tcW w:w="1307" w:type="pct"/>
            <w:vAlign w:val="center"/>
          </w:tcPr>
          <w:p w14:paraId="6D71F041">
            <w:pPr>
              <w:keepLines w:val="0"/>
              <w:pageBreakBefore w:val="0"/>
              <w:widowControl/>
              <w:kinsoku/>
              <w:overflowPunct/>
              <w:topLinePunct w:val="0"/>
              <w:autoSpaceDE/>
              <w:autoSpaceDN/>
              <w:bidi w:val="0"/>
              <w:adjustRightInd w:val="0"/>
              <w:snapToGrid/>
              <w:spacing w:line="240" w:lineRule="auto"/>
              <w:ind w:lef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最高限价（元）</w:t>
            </w:r>
          </w:p>
        </w:tc>
        <w:tc>
          <w:tcPr>
            <w:tcW w:w="1108" w:type="pct"/>
            <w:vAlign w:val="center"/>
          </w:tcPr>
          <w:p w14:paraId="54E5767D">
            <w:pPr>
              <w:keepLines w:val="0"/>
              <w:pageBreakBefore w:val="0"/>
              <w:widowControl/>
              <w:kinsoku/>
              <w:overflowPunct/>
              <w:topLinePunct w:val="0"/>
              <w:autoSpaceDE/>
              <w:autoSpaceDN/>
              <w:bidi w:val="0"/>
              <w:adjustRightInd w:val="0"/>
              <w:snapToGrid/>
              <w:spacing w:line="240" w:lineRule="auto"/>
              <w:ind w:left="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代理服务费限价（元）</w:t>
            </w:r>
          </w:p>
        </w:tc>
      </w:tr>
      <w:tr w14:paraId="79C9C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654" w:type="pct"/>
            <w:vAlign w:val="center"/>
          </w:tcPr>
          <w:p w14:paraId="1CC187CF">
            <w:pPr>
              <w:keepNext w:val="0"/>
              <w:keepLines w:val="0"/>
              <w:pageBreakBefore w:val="0"/>
              <w:widowControl/>
              <w:kinsoku/>
              <w:wordWrap/>
              <w:overflowPunct/>
              <w:topLinePunct w:val="0"/>
              <w:autoSpaceDE/>
              <w:autoSpaceDN/>
              <w:bidi w:val="0"/>
              <w:adjustRightInd w:val="0"/>
              <w:snapToGrid/>
              <w:spacing w:line="240" w:lineRule="auto"/>
              <w:ind w:left="317" w:hanging="317"/>
              <w:jc w:val="center"/>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1</w:t>
            </w:r>
          </w:p>
        </w:tc>
        <w:tc>
          <w:tcPr>
            <w:tcW w:w="1928" w:type="pct"/>
            <w:vAlign w:val="center"/>
          </w:tcPr>
          <w:p w14:paraId="6A8F9462">
            <w:pPr>
              <w:keepLines w:val="0"/>
              <w:pageBreakBefore w:val="0"/>
              <w:kinsoku/>
              <w:overflowPunct/>
              <w:topLinePunct w:val="0"/>
              <w:autoSpaceDE/>
              <w:autoSpaceDN/>
              <w:bidi w:val="0"/>
              <w:adjustRightInd w:val="0"/>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rPr>
              <w:t>湘潭大学综合实验大楼地下室提质改造工程</w:t>
            </w:r>
          </w:p>
        </w:tc>
        <w:tc>
          <w:tcPr>
            <w:tcW w:w="1307" w:type="pct"/>
            <w:vAlign w:val="center"/>
          </w:tcPr>
          <w:p w14:paraId="6C9B4B9B">
            <w:pPr>
              <w:keepNext w:val="0"/>
              <w:keepLines w:val="0"/>
              <w:pageBreakBefore w:val="0"/>
              <w:widowControl/>
              <w:kinsoku/>
              <w:wordWrap/>
              <w:overflowPunct/>
              <w:topLinePunct w:val="0"/>
              <w:autoSpaceDE/>
              <w:autoSpaceDN/>
              <w:bidi w:val="0"/>
              <w:adjustRightInd w:val="0"/>
              <w:snapToGrid/>
              <w:spacing w:line="240" w:lineRule="auto"/>
              <w:ind w:left="317" w:hanging="317"/>
              <w:jc w:val="center"/>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14181</w:t>
            </w:r>
            <w:bookmarkStart w:id="166" w:name="_GoBack"/>
            <w:bookmarkEnd w:id="166"/>
            <w:r>
              <w:rPr>
                <w:rFonts w:hint="eastAsia" w:ascii="宋体" w:hAnsi="宋体" w:cs="宋体"/>
                <w:sz w:val="21"/>
                <w:szCs w:val="21"/>
                <w:highlight w:val="none"/>
                <w:lang w:val="en-US" w:eastAsia="zh-CN"/>
              </w:rPr>
              <w:t>76.75</w:t>
            </w:r>
            <w:r>
              <w:rPr>
                <w:rFonts w:hint="eastAsia" w:ascii="宋体" w:hAnsi="宋体" w:eastAsia="宋体" w:cs="宋体"/>
                <w:sz w:val="21"/>
                <w:szCs w:val="21"/>
                <w:highlight w:val="none"/>
                <w:lang w:eastAsia="zh-CN"/>
              </w:rPr>
              <w:t>元</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暂列金69973.2元</w:t>
            </w:r>
            <w:r>
              <w:rPr>
                <w:rFonts w:hint="eastAsia" w:ascii="宋体" w:hAnsi="宋体" w:cs="宋体"/>
                <w:sz w:val="21"/>
                <w:szCs w:val="21"/>
                <w:highlight w:val="none"/>
                <w:lang w:eastAsia="zh-CN"/>
              </w:rPr>
              <w:t>）</w:t>
            </w:r>
          </w:p>
        </w:tc>
        <w:tc>
          <w:tcPr>
            <w:tcW w:w="1108" w:type="pct"/>
            <w:vAlign w:val="center"/>
          </w:tcPr>
          <w:p w14:paraId="75AE50D1">
            <w:pPr>
              <w:keepLines w:val="0"/>
              <w:pageBreakBefore w:val="0"/>
              <w:widowControl/>
              <w:kinsoku/>
              <w:overflowPunct/>
              <w:topLinePunct w:val="0"/>
              <w:autoSpaceDE/>
              <w:autoSpaceDN/>
              <w:bidi w:val="0"/>
              <w:adjustRightInd w:val="0"/>
              <w:snapToGrid/>
              <w:spacing w:line="240" w:lineRule="auto"/>
              <w:ind w:left="0" w:hanging="315"/>
              <w:jc w:val="center"/>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9049</w:t>
            </w:r>
            <w:r>
              <w:rPr>
                <w:rFonts w:hint="eastAsia" w:ascii="宋体" w:hAnsi="宋体" w:eastAsia="宋体" w:cs="宋体"/>
                <w:sz w:val="21"/>
                <w:szCs w:val="21"/>
                <w:highlight w:val="none"/>
              </w:rPr>
              <w:t>元</w:t>
            </w:r>
          </w:p>
        </w:tc>
      </w:tr>
    </w:tbl>
    <w:p w14:paraId="1CF7ECB7">
      <w:pPr>
        <w:pStyle w:val="4"/>
        <w:pageBreakBefore w:val="0"/>
        <w:kinsoku/>
        <w:overflowPunct/>
        <w:topLinePunct w:val="0"/>
        <w:autoSpaceDE/>
        <w:autoSpaceDN/>
        <w:bidi w:val="0"/>
        <w:snapToGrid/>
        <w:spacing w:line="360" w:lineRule="auto"/>
        <w:textAlignment w:val="auto"/>
        <w:rPr>
          <w:rFonts w:hint="eastAsia" w:ascii="宋体" w:hAnsi="宋体" w:eastAsia="宋体" w:cs="宋体"/>
          <w:sz w:val="21"/>
          <w:szCs w:val="21"/>
        </w:rPr>
      </w:pPr>
      <w:bookmarkStart w:id="5" w:name="_Toc22657512"/>
      <w:bookmarkStart w:id="6" w:name="_Toc21710"/>
      <w:bookmarkStart w:id="7" w:name="_Toc15985"/>
      <w:bookmarkStart w:id="8" w:name="_Toc8821"/>
      <w:r>
        <w:rPr>
          <w:rFonts w:hint="eastAsia" w:ascii="宋体" w:hAnsi="宋体" w:eastAsia="宋体" w:cs="宋体"/>
          <w:sz w:val="21"/>
          <w:szCs w:val="21"/>
          <w:lang w:val="en-US" w:eastAsia="zh-CN"/>
        </w:rPr>
        <w:t>二、</w:t>
      </w:r>
      <w:r>
        <w:rPr>
          <w:rFonts w:hint="eastAsia" w:ascii="宋体" w:hAnsi="宋体" w:eastAsia="宋体" w:cs="宋体"/>
          <w:sz w:val="21"/>
          <w:szCs w:val="21"/>
        </w:rPr>
        <w:t>采购人的采购需求</w:t>
      </w:r>
      <w:bookmarkEnd w:id="5"/>
      <w:bookmarkEnd w:id="6"/>
      <w:bookmarkEnd w:id="7"/>
      <w:bookmarkEnd w:id="8"/>
    </w:p>
    <w:tbl>
      <w:tblPr>
        <w:tblStyle w:val="46"/>
        <w:tblW w:w="4939" w:type="pct"/>
        <w:jc w:val="center"/>
        <w:tblLayout w:type="autofit"/>
        <w:tblCellMar>
          <w:top w:w="0" w:type="dxa"/>
          <w:left w:w="108" w:type="dxa"/>
          <w:bottom w:w="0" w:type="dxa"/>
          <w:right w:w="108" w:type="dxa"/>
        </w:tblCellMar>
      </w:tblPr>
      <w:tblGrid>
        <w:gridCol w:w="2025"/>
        <w:gridCol w:w="1716"/>
        <w:gridCol w:w="5432"/>
      </w:tblGrid>
      <w:tr w14:paraId="78F5C4C7">
        <w:tblPrEx>
          <w:tblCellMar>
            <w:top w:w="0" w:type="dxa"/>
            <w:left w:w="108" w:type="dxa"/>
            <w:bottom w:w="0" w:type="dxa"/>
            <w:right w:w="108" w:type="dxa"/>
          </w:tblCellMar>
        </w:tblPrEx>
        <w:trPr>
          <w:trHeight w:val="209" w:hRule="atLeast"/>
          <w:jc w:val="center"/>
        </w:trPr>
        <w:tc>
          <w:tcPr>
            <w:tcW w:w="1104" w:type="pct"/>
            <w:vMerge w:val="restart"/>
            <w:tcBorders>
              <w:top w:val="single" w:color="000000" w:sz="8" w:space="0"/>
              <w:left w:val="single" w:color="000000" w:sz="8" w:space="0"/>
              <w:bottom w:val="single" w:color="000000" w:sz="8" w:space="0"/>
              <w:right w:val="single" w:color="000000" w:sz="8" w:space="0"/>
            </w:tcBorders>
            <w:vAlign w:val="center"/>
          </w:tcPr>
          <w:p w14:paraId="719FE1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bookmarkStart w:id="9" w:name="_Toc22657516"/>
            <w:r>
              <w:rPr>
                <w:rFonts w:hint="eastAsia"/>
              </w:rPr>
              <w:t>标的物名称</w:t>
            </w:r>
          </w:p>
        </w:tc>
        <w:tc>
          <w:tcPr>
            <w:tcW w:w="3895" w:type="pct"/>
            <w:gridSpan w:val="2"/>
            <w:tcBorders>
              <w:top w:val="single" w:color="000000" w:sz="8" w:space="0"/>
              <w:left w:val="nil"/>
              <w:bottom w:val="single" w:color="auto" w:sz="8" w:space="0"/>
              <w:right w:val="single" w:color="000000" w:sz="8" w:space="0"/>
            </w:tcBorders>
            <w:vAlign w:val="center"/>
          </w:tcPr>
          <w:p w14:paraId="1A1376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rPr>
              <w:t>标的主要需求</w:t>
            </w:r>
          </w:p>
        </w:tc>
      </w:tr>
      <w:tr w14:paraId="2A9DA64D">
        <w:tblPrEx>
          <w:tblCellMar>
            <w:top w:w="0" w:type="dxa"/>
            <w:left w:w="108" w:type="dxa"/>
            <w:bottom w:w="0" w:type="dxa"/>
            <w:right w:w="108" w:type="dxa"/>
          </w:tblCellMar>
        </w:tblPrEx>
        <w:trPr>
          <w:trHeight w:val="209" w:hRule="atLeast"/>
          <w:jc w:val="center"/>
        </w:trPr>
        <w:tc>
          <w:tcPr>
            <w:tcW w:w="1104" w:type="pct"/>
            <w:vMerge w:val="continue"/>
            <w:tcBorders>
              <w:top w:val="single" w:color="000000" w:sz="8" w:space="0"/>
              <w:left w:val="single" w:color="000000" w:sz="8" w:space="0"/>
              <w:bottom w:val="single" w:color="000000" w:sz="8" w:space="0"/>
              <w:right w:val="single" w:color="000000" w:sz="8" w:space="0"/>
            </w:tcBorders>
            <w:vAlign w:val="center"/>
          </w:tcPr>
          <w:p w14:paraId="3B6809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p>
        </w:tc>
        <w:tc>
          <w:tcPr>
            <w:tcW w:w="935" w:type="pct"/>
            <w:tcBorders>
              <w:top w:val="nil"/>
              <w:left w:val="nil"/>
              <w:bottom w:val="single" w:color="000000" w:sz="8" w:space="0"/>
              <w:right w:val="single" w:color="auto" w:sz="8" w:space="0"/>
            </w:tcBorders>
            <w:vAlign w:val="center"/>
          </w:tcPr>
          <w:p w14:paraId="723AB1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rPr>
              <w:t>服务要求</w:t>
            </w:r>
          </w:p>
        </w:tc>
        <w:tc>
          <w:tcPr>
            <w:tcW w:w="2960" w:type="pct"/>
            <w:tcBorders>
              <w:top w:val="nil"/>
              <w:left w:val="nil"/>
              <w:bottom w:val="single" w:color="000000" w:sz="8" w:space="0"/>
              <w:right w:val="single" w:color="000000" w:sz="8" w:space="0"/>
            </w:tcBorders>
            <w:vAlign w:val="center"/>
          </w:tcPr>
          <w:p w14:paraId="0E7A39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rPr>
              <w:t>合同条款</w:t>
            </w:r>
          </w:p>
        </w:tc>
      </w:tr>
      <w:tr w14:paraId="11D1D3C5">
        <w:tblPrEx>
          <w:tblCellMar>
            <w:top w:w="0" w:type="dxa"/>
            <w:left w:w="108" w:type="dxa"/>
            <w:bottom w:w="0" w:type="dxa"/>
            <w:right w:w="108" w:type="dxa"/>
          </w:tblCellMar>
        </w:tblPrEx>
        <w:trPr>
          <w:trHeight w:val="460" w:hRule="atLeast"/>
          <w:jc w:val="center"/>
        </w:trPr>
        <w:tc>
          <w:tcPr>
            <w:tcW w:w="1104" w:type="pct"/>
            <w:tcBorders>
              <w:top w:val="single" w:color="000000" w:sz="8" w:space="0"/>
              <w:left w:val="single" w:color="000000" w:sz="8" w:space="0"/>
              <w:bottom w:val="single" w:color="000000" w:sz="8" w:space="0"/>
              <w:right w:val="single" w:color="000000" w:sz="8" w:space="0"/>
            </w:tcBorders>
            <w:vAlign w:val="center"/>
          </w:tcPr>
          <w:p w14:paraId="4146C2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ascii="宋体" w:hAnsi="宋体" w:eastAsia="宋体" w:cs="宋体"/>
                <w:sz w:val="21"/>
                <w:szCs w:val="21"/>
              </w:rPr>
              <w:t>湘潭大学综合实验大楼地下室提质改造工程</w:t>
            </w:r>
          </w:p>
        </w:tc>
        <w:tc>
          <w:tcPr>
            <w:tcW w:w="935" w:type="pct"/>
            <w:tcBorders>
              <w:top w:val="single" w:color="000000" w:sz="8" w:space="0"/>
              <w:left w:val="single" w:color="000000" w:sz="8" w:space="0"/>
              <w:bottom w:val="single" w:color="000000" w:sz="8" w:space="0"/>
              <w:right w:val="single" w:color="000000" w:sz="8" w:space="0"/>
            </w:tcBorders>
            <w:vAlign w:val="center"/>
          </w:tcPr>
          <w:p w14:paraId="10DFC892">
            <w:pPr>
              <w:widowControl/>
              <w:spacing w:after="124"/>
              <w:jc w:val="left"/>
              <w:rPr>
                <w:rFonts w:ascii="宋体" w:hAnsi="宋体"/>
                <w:color w:val="auto"/>
                <w:szCs w:val="21"/>
                <w:highlight w:val="none"/>
              </w:rPr>
            </w:pPr>
            <w:r>
              <w:rPr>
                <w:rFonts w:hint="eastAsia" w:ascii="宋体" w:hAnsi="宋体"/>
                <w:color w:val="auto"/>
                <w:szCs w:val="21"/>
                <w:highlight w:val="none"/>
              </w:rPr>
              <w:t>1.承包方式：包工包料</w:t>
            </w:r>
          </w:p>
          <w:p w14:paraId="45FEEA23">
            <w:pPr>
              <w:widowControl/>
              <w:spacing w:after="124"/>
              <w:jc w:val="left"/>
              <w:rPr>
                <w:rFonts w:ascii="宋体" w:hAnsi="宋体"/>
                <w:color w:val="auto"/>
                <w:szCs w:val="21"/>
                <w:highlight w:val="none"/>
              </w:rPr>
            </w:pPr>
            <w:r>
              <w:rPr>
                <w:rFonts w:hint="eastAsia" w:ascii="宋体" w:hAnsi="宋体"/>
                <w:color w:val="auto"/>
                <w:szCs w:val="21"/>
                <w:highlight w:val="none"/>
              </w:rPr>
              <w:t>2.质量要求：合格工程</w:t>
            </w:r>
          </w:p>
          <w:p w14:paraId="10541D0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rPr>
            </w:pPr>
            <w:r>
              <w:rPr>
                <w:rFonts w:hint="eastAsia" w:ascii="宋体" w:hAnsi="宋体"/>
                <w:color w:val="auto"/>
                <w:szCs w:val="21"/>
                <w:highlight w:val="none"/>
              </w:rPr>
              <w:t>3.保修要求：按建设部【2000】80号令相关保修规定。</w:t>
            </w:r>
          </w:p>
        </w:tc>
        <w:tc>
          <w:tcPr>
            <w:tcW w:w="2960" w:type="pct"/>
            <w:tcBorders>
              <w:top w:val="single" w:color="000000" w:sz="8" w:space="0"/>
              <w:left w:val="single" w:color="000000" w:sz="8" w:space="0"/>
              <w:bottom w:val="single" w:color="auto" w:sz="4" w:space="0"/>
              <w:right w:val="single" w:color="000000" w:sz="8" w:space="0"/>
            </w:tcBorders>
            <w:vAlign w:val="center"/>
          </w:tcPr>
          <w:p w14:paraId="0C411500">
            <w:pPr>
              <w:spacing w:after="124"/>
              <w:rPr>
                <w:rFonts w:hint="eastAsia"/>
                <w:color w:val="auto"/>
                <w:highlight w:val="none"/>
              </w:rPr>
            </w:pPr>
            <w:r>
              <w:rPr>
                <w:rFonts w:hint="eastAsia"/>
              </w:rPr>
              <w:t>1、工期要</w:t>
            </w:r>
            <w:r>
              <w:rPr>
                <w:rFonts w:hint="eastAsia"/>
                <w:color w:val="auto"/>
              </w:rPr>
              <w:t>求：</w:t>
            </w:r>
            <w:r>
              <w:rPr>
                <w:rFonts w:hint="eastAsia" w:hAnsi="宋体"/>
                <w:color w:val="auto"/>
                <w:kern w:val="0"/>
                <w:highlight w:val="none"/>
              </w:rPr>
              <w:t>自合同签订之日起</w:t>
            </w:r>
            <w:r>
              <w:rPr>
                <w:rFonts w:hint="eastAsia" w:hAnsi="宋体"/>
                <w:color w:val="auto"/>
                <w:kern w:val="0"/>
                <w:highlight w:val="none"/>
                <w:lang w:val="en-US" w:eastAsia="zh-CN"/>
              </w:rPr>
              <w:t>70</w:t>
            </w:r>
            <w:r>
              <w:rPr>
                <w:rFonts w:hint="eastAsia" w:hAnsi="宋体"/>
                <w:color w:val="auto"/>
                <w:kern w:val="0"/>
                <w:highlight w:val="none"/>
              </w:rPr>
              <w:t>日历天完成合同工程。</w:t>
            </w:r>
          </w:p>
          <w:p w14:paraId="1244A1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olor w:val="auto"/>
              </w:rPr>
            </w:pPr>
            <w:r>
              <w:rPr>
                <w:rFonts w:hint="eastAsia"/>
                <w:color w:val="auto"/>
              </w:rPr>
              <w:t>2、付款方式：</w:t>
            </w:r>
          </w:p>
          <w:p w14:paraId="5475209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rPr>
            </w:pPr>
            <w:r>
              <w:rPr>
                <w:rFonts w:hint="eastAsia" w:ascii="宋体" w:hAnsi="宋体" w:eastAsia="宋体" w:cs="宋体"/>
                <w:color w:val="auto"/>
                <w:szCs w:val="21"/>
                <w:highlight w:val="none"/>
              </w:rPr>
              <w:t>本工程不支付进度款，整个工程完成并正式竣工验收合格后，付至合同价款</w:t>
            </w:r>
            <w:bookmarkStart w:id="10" w:name="OLE_LINK1"/>
            <w:bookmarkStart w:id="11" w:name="OLE_LINK2"/>
            <w:r>
              <w:rPr>
                <w:rFonts w:hint="eastAsia" w:ascii="宋体" w:hAnsi="宋体" w:eastAsia="宋体" w:cs="宋体"/>
                <w:color w:val="auto"/>
                <w:szCs w:val="21"/>
                <w:highlight w:val="none"/>
              </w:rPr>
              <w:t>（扣减暂列金额和原合同范围内取消的工作</w:t>
            </w:r>
            <w:bookmarkEnd w:id="10"/>
            <w:bookmarkEnd w:id="11"/>
            <w:r>
              <w:rPr>
                <w:rFonts w:hint="eastAsia" w:ascii="宋体" w:hAnsi="宋体" w:eastAsia="宋体" w:cs="宋体"/>
                <w:color w:val="auto"/>
                <w:szCs w:val="21"/>
                <w:highlight w:val="none"/>
              </w:rPr>
              <w:t>）的50%；乙方向甲方审计部门提交基建工程竣工结算验证所需资料清单后，付至合同价款（扣减暂列金额和原合同范围内取消的工作）的80%；经审计部门审计，乙方提交完整的竣工资料存档后10个工作日内，凭国家规定税务发票付至审定总价款的97%；余款3%作为工程质量保证金（不计息），保修期满乙方履行保修责任后一次性付清。</w:t>
            </w:r>
          </w:p>
        </w:tc>
      </w:tr>
      <w:tr w14:paraId="4AA9C298">
        <w:tblPrEx>
          <w:tblCellMar>
            <w:top w:w="0" w:type="dxa"/>
            <w:left w:w="108" w:type="dxa"/>
            <w:bottom w:w="0" w:type="dxa"/>
            <w:right w:w="108" w:type="dxa"/>
          </w:tblCellMar>
        </w:tblPrEx>
        <w:trPr>
          <w:trHeight w:val="560" w:hRule="atLeast"/>
          <w:jc w:val="center"/>
        </w:trPr>
        <w:tc>
          <w:tcPr>
            <w:tcW w:w="1104" w:type="pct"/>
            <w:vMerge w:val="restart"/>
            <w:tcBorders>
              <w:top w:val="single" w:color="000000" w:sz="8" w:space="0"/>
              <w:left w:val="single" w:color="auto" w:sz="8" w:space="0"/>
              <w:right w:val="single" w:color="auto" w:sz="4" w:space="0"/>
            </w:tcBorders>
            <w:vAlign w:val="center"/>
          </w:tcPr>
          <w:p w14:paraId="37805E6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rPr>
              <w:t>竞</w:t>
            </w:r>
            <w:r>
              <w:rPr>
                <w:rFonts w:hint="eastAsia"/>
                <w:lang w:val="en-US" w:eastAsia="zh-CN"/>
              </w:rPr>
              <w:t>竞</w:t>
            </w:r>
            <w:r>
              <w:rPr>
                <w:rFonts w:hint="eastAsia"/>
              </w:rPr>
              <w:t>争性磋商项目可能实质性变动内容</w:t>
            </w:r>
          </w:p>
        </w:tc>
        <w:tc>
          <w:tcPr>
            <w:tcW w:w="935" w:type="pct"/>
            <w:tcBorders>
              <w:top w:val="single" w:color="000000" w:sz="8" w:space="0"/>
              <w:left w:val="single" w:color="auto" w:sz="4" w:space="0"/>
              <w:bottom w:val="single" w:color="auto" w:sz="8" w:space="0"/>
              <w:right w:val="single" w:color="auto" w:sz="8" w:space="0"/>
            </w:tcBorders>
            <w:vAlign w:val="center"/>
          </w:tcPr>
          <w:p w14:paraId="443D7E4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rPr>
              <w:t>是（√ ）</w:t>
            </w:r>
          </w:p>
        </w:tc>
        <w:tc>
          <w:tcPr>
            <w:tcW w:w="2960" w:type="pct"/>
            <w:tcBorders>
              <w:top w:val="single" w:color="000000" w:sz="8" w:space="0"/>
              <w:left w:val="nil"/>
              <w:bottom w:val="single" w:color="auto" w:sz="8" w:space="0"/>
              <w:right w:val="single" w:color="auto" w:sz="8" w:space="0"/>
            </w:tcBorders>
            <w:vAlign w:val="center"/>
          </w:tcPr>
          <w:p w14:paraId="6983CB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rPr>
              <w:t>是（ √）</w:t>
            </w:r>
          </w:p>
        </w:tc>
      </w:tr>
      <w:tr w14:paraId="71F7B738">
        <w:tblPrEx>
          <w:tblCellMar>
            <w:top w:w="0" w:type="dxa"/>
            <w:left w:w="108" w:type="dxa"/>
            <w:bottom w:w="0" w:type="dxa"/>
            <w:right w:w="108" w:type="dxa"/>
          </w:tblCellMar>
        </w:tblPrEx>
        <w:trPr>
          <w:trHeight w:val="587" w:hRule="atLeast"/>
          <w:jc w:val="center"/>
        </w:trPr>
        <w:tc>
          <w:tcPr>
            <w:tcW w:w="1104" w:type="pct"/>
            <w:vMerge w:val="continue"/>
            <w:tcBorders>
              <w:left w:val="single" w:color="auto" w:sz="8" w:space="0"/>
              <w:bottom w:val="single" w:color="auto" w:sz="8" w:space="0"/>
              <w:right w:val="single" w:color="auto" w:sz="4" w:space="0"/>
            </w:tcBorders>
            <w:vAlign w:val="center"/>
          </w:tcPr>
          <w:p w14:paraId="3386C4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p>
        </w:tc>
        <w:tc>
          <w:tcPr>
            <w:tcW w:w="935" w:type="pct"/>
            <w:tcBorders>
              <w:top w:val="single" w:color="auto" w:sz="8" w:space="0"/>
              <w:left w:val="single" w:color="auto" w:sz="4" w:space="0"/>
              <w:bottom w:val="single" w:color="auto" w:sz="8" w:space="0"/>
              <w:right w:val="single" w:color="auto" w:sz="8" w:space="0"/>
            </w:tcBorders>
            <w:vAlign w:val="center"/>
          </w:tcPr>
          <w:p w14:paraId="0AE71A6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rPr>
              <w:t>否（   ）</w:t>
            </w:r>
          </w:p>
        </w:tc>
        <w:tc>
          <w:tcPr>
            <w:tcW w:w="2960" w:type="pct"/>
            <w:tcBorders>
              <w:top w:val="single" w:color="auto" w:sz="8" w:space="0"/>
              <w:left w:val="nil"/>
              <w:bottom w:val="single" w:color="auto" w:sz="8" w:space="0"/>
              <w:right w:val="single" w:color="auto" w:sz="8" w:space="0"/>
            </w:tcBorders>
            <w:vAlign w:val="center"/>
          </w:tcPr>
          <w:p w14:paraId="093C70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rPr>
            </w:pPr>
            <w:r>
              <w:rPr>
                <w:rFonts w:hint="eastAsia"/>
              </w:rPr>
              <w:t>否（   ）</w:t>
            </w:r>
          </w:p>
        </w:tc>
      </w:tr>
    </w:tbl>
    <w:p w14:paraId="7024770F">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b/>
          <w:color w:val="auto"/>
          <w:sz w:val="21"/>
          <w:szCs w:val="21"/>
          <w:highlight w:val="none"/>
        </w:rPr>
        <w:t>采购项目需要落实的政府采购政策</w:t>
      </w:r>
      <w:r>
        <w:rPr>
          <w:rFonts w:hint="eastAsia" w:ascii="宋体" w:hAnsi="宋体" w:eastAsia="宋体" w:cs="宋体"/>
          <w:color w:val="auto"/>
          <w:sz w:val="21"/>
          <w:szCs w:val="21"/>
          <w:highlight w:val="none"/>
        </w:rPr>
        <w:t>：</w:t>
      </w:r>
    </w:p>
    <w:p w14:paraId="0DC92D75">
      <w:pPr>
        <w:pStyle w:val="25"/>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（1）本项目专门面向中小企业或者微型企业采购。</w:t>
      </w:r>
    </w:p>
    <w:p w14:paraId="26DA273A">
      <w:pPr>
        <w:pStyle w:val="25"/>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（2）强制采购：本项目不属于政府采购实行强制采购的节能产品。 </w:t>
      </w:r>
    </w:p>
    <w:p w14:paraId="7F8B58DC">
      <w:pPr>
        <w:pStyle w:val="25"/>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（3）优先采购：政府采购鼓励采购的节能环保产品。</w:t>
      </w:r>
    </w:p>
    <w:p w14:paraId="4F1CC1EA">
      <w:pPr>
        <w:pStyle w:val="25"/>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（4）价格评审优惠：政府采购促进中小企业发展（包括政府采购支持监狱企业发展、政府采购促进残疾人就业）。</w:t>
      </w:r>
    </w:p>
    <w:p w14:paraId="68785547">
      <w:pPr>
        <w:pStyle w:val="4"/>
        <w:pageBreakBefore w:val="0"/>
        <w:kinsoku/>
        <w:overflowPunct/>
        <w:topLinePunct w:val="0"/>
        <w:autoSpaceDE/>
        <w:autoSpaceDN/>
        <w:bidi w:val="0"/>
        <w:snapToGrid/>
        <w:spacing w:line="360" w:lineRule="auto"/>
        <w:textAlignment w:val="auto"/>
        <w:rPr>
          <w:rFonts w:hint="eastAsia" w:ascii="宋体" w:hAnsi="宋体" w:eastAsia="宋体" w:cs="宋体"/>
          <w:sz w:val="21"/>
          <w:szCs w:val="21"/>
        </w:rPr>
      </w:pPr>
      <w:bookmarkStart w:id="12" w:name="_Toc6088"/>
      <w:bookmarkStart w:id="13" w:name="_Toc12301"/>
      <w:bookmarkStart w:id="14" w:name="_Toc3285"/>
      <w:r>
        <w:rPr>
          <w:rFonts w:hint="eastAsia" w:ascii="宋体" w:hAnsi="宋体" w:eastAsia="宋体" w:cs="宋体"/>
          <w:sz w:val="21"/>
          <w:szCs w:val="21"/>
        </w:rPr>
        <w:t>三、供应商资质要求：</w:t>
      </w:r>
      <w:bookmarkEnd w:id="12"/>
      <w:bookmarkEnd w:id="13"/>
      <w:bookmarkEnd w:id="14"/>
    </w:p>
    <w:p w14:paraId="7CF82FF5">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bookmarkStart w:id="15" w:name="_Toc22657514"/>
      <w:r>
        <w:rPr>
          <w:rFonts w:hint="eastAsia" w:ascii="宋体" w:hAnsi="宋体" w:eastAsia="宋体" w:cs="宋体"/>
          <w:sz w:val="21"/>
          <w:szCs w:val="21"/>
        </w:rPr>
        <w:t>1、供应商的基本资格条件：供应商必须是在中华人民共和国境内注册登记的法人、其他组织或者自然人，且应当符合《政府采购法》第二十二条第一款的规定，即：</w:t>
      </w:r>
    </w:p>
    <w:p w14:paraId="6A523903">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（1）具有独立承担民事责任的能力；</w:t>
      </w:r>
    </w:p>
    <w:p w14:paraId="1EB3BE97">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（2）具有良好的商业信誉和健全的财务会计制度；</w:t>
      </w:r>
    </w:p>
    <w:p w14:paraId="3EF6CF68">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（3）具有履行合同所必需的设备和专业技术能力；</w:t>
      </w:r>
    </w:p>
    <w:p w14:paraId="0B9A7DD4">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（4）有依法缴纳税收和社会保障资金的良好记录；</w:t>
      </w:r>
    </w:p>
    <w:p w14:paraId="0C352275">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（5）参加政府采购活动前三年内，在经营活动中没有重大违法记录；</w:t>
      </w:r>
    </w:p>
    <w:p w14:paraId="6AD58EC0">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（6）法律、行政法规规定的其他条件。</w:t>
      </w:r>
    </w:p>
    <w:p w14:paraId="45CCA5E8">
      <w:pPr>
        <w:pStyle w:val="25"/>
        <w:keepLines w:val="0"/>
        <w:pageBreakBefore w:val="0"/>
        <w:kinsoku/>
        <w:overflowPunct/>
        <w:topLinePunct w:val="0"/>
        <w:autoSpaceDE/>
        <w:autoSpaceDN/>
        <w:bidi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b/>
          <w:bCs/>
          <w:sz w:val="21"/>
          <w:szCs w:val="21"/>
        </w:rPr>
        <w:t>供应商的特定资格条件</w:t>
      </w:r>
      <w:r>
        <w:rPr>
          <w:rFonts w:hint="eastAsia" w:ascii="宋体" w:hAnsi="宋体" w:eastAsia="宋体" w:cs="宋体"/>
          <w:sz w:val="21"/>
          <w:szCs w:val="21"/>
        </w:rPr>
        <w:t>：</w:t>
      </w:r>
    </w:p>
    <w:p w14:paraId="70467DAA">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（1）投标人具有建设行政主管部门颁发的</w:t>
      </w:r>
      <w:r>
        <w:rPr>
          <w:rFonts w:hint="eastAsia" w:ascii="宋体" w:hAnsi="宋体" w:eastAsia="宋体" w:cs="宋体"/>
          <w:color w:val="auto"/>
          <w:sz w:val="21"/>
          <w:szCs w:val="21"/>
        </w:rPr>
        <w:t>建筑工程施工总承包叁级（含叁级）</w:t>
      </w:r>
      <w:r>
        <w:rPr>
          <w:rFonts w:hint="eastAsia" w:ascii="宋体" w:hAnsi="宋体" w:eastAsia="宋体" w:cs="宋体"/>
          <w:color w:val="auto"/>
          <w:sz w:val="21"/>
          <w:szCs w:val="21"/>
          <w:lang w:val="en-US" w:eastAsia="zh-CN"/>
        </w:rPr>
        <w:t>或建筑装修装饰工程专业承包贰级(含贰级)及以上资质证书</w:t>
      </w:r>
      <w:r>
        <w:rPr>
          <w:rFonts w:hint="eastAsia" w:ascii="宋体" w:hAnsi="宋体" w:eastAsia="宋体" w:cs="宋体"/>
          <w:color w:val="auto"/>
          <w:sz w:val="21"/>
          <w:szCs w:val="21"/>
        </w:rPr>
        <w:t>。且安全生产许可证处于有效期内；</w:t>
      </w:r>
    </w:p>
    <w:p w14:paraId="290ED53C">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（2）拟任项目负责人须具有建设行政主管部门颁发的</w:t>
      </w:r>
      <w:r>
        <w:rPr>
          <w:rFonts w:hint="eastAsia" w:ascii="宋体" w:hAnsi="宋体" w:eastAsia="宋体" w:cs="宋体"/>
          <w:color w:val="auto"/>
          <w:sz w:val="21"/>
          <w:szCs w:val="21"/>
          <w:lang w:eastAsia="zh-CN"/>
        </w:rPr>
        <w:t>建筑工程</w:t>
      </w:r>
      <w:r>
        <w:rPr>
          <w:rFonts w:hint="eastAsia" w:ascii="宋体" w:hAnsi="宋体" w:eastAsia="宋体" w:cs="宋体"/>
          <w:color w:val="auto"/>
          <w:sz w:val="21"/>
          <w:szCs w:val="21"/>
        </w:rPr>
        <w:t>专业贰级（含贰级）或以上注册建造师证，以及有效的B类安全生产考核合格证；</w:t>
      </w:r>
    </w:p>
    <w:p w14:paraId="624CC670">
      <w:pPr>
        <w:pStyle w:val="64"/>
        <w:keepLines w:val="0"/>
        <w:pageBreakBefore w:val="0"/>
        <w:kinsoku/>
        <w:overflowPunct/>
        <w:topLinePunct w:val="0"/>
        <w:autoSpaceDE/>
        <w:autoSpaceDN/>
        <w:bidi w:val="0"/>
        <w:snapToGrid/>
        <w:spacing w:line="360" w:lineRule="auto"/>
        <w:ind w:left="0"/>
        <w:textAlignment w:val="auto"/>
        <w:rPr>
          <w:rFonts w:hint="eastAsia" w:ascii="宋体" w:hAnsi="宋体" w:eastAsia="宋体" w:cs="宋体"/>
          <w:sz w:val="21"/>
          <w:szCs w:val="21"/>
        </w:rPr>
      </w:pPr>
      <w:bookmarkStart w:id="16" w:name="_Toc24186"/>
      <w:r>
        <w:rPr>
          <w:rFonts w:hint="eastAsia" w:ascii="宋体" w:hAnsi="宋体" w:eastAsia="宋体" w:cs="宋体"/>
          <w:sz w:val="21"/>
          <w:szCs w:val="21"/>
        </w:rPr>
        <w:t>3、法人提交企业法人营业执照副本(或者法人登记证书）、组织机构代码证副本、基本户开户证明复印件或银行开户基本信息；</w:t>
      </w:r>
    </w:p>
    <w:p w14:paraId="49636FB9">
      <w:pPr>
        <w:pStyle w:val="64"/>
        <w:keepLines w:val="0"/>
        <w:pageBreakBefore w:val="0"/>
        <w:kinsoku/>
        <w:overflowPunct/>
        <w:topLinePunct w:val="0"/>
        <w:autoSpaceDE/>
        <w:autoSpaceDN/>
        <w:bidi w:val="0"/>
        <w:snapToGrid/>
        <w:spacing w:line="360" w:lineRule="auto"/>
        <w:ind w:left="0"/>
        <w:textAlignment w:val="auto"/>
        <w:rPr>
          <w:rFonts w:hint="eastAsia" w:ascii="宋体" w:hAnsi="宋体" w:eastAsia="宋体" w:cs="宋体"/>
          <w:sz w:val="21"/>
          <w:szCs w:val="21"/>
        </w:rPr>
      </w:pPr>
      <w:r>
        <w:rPr>
          <w:rFonts w:hint="eastAsia" w:ascii="宋体" w:hAnsi="宋体" w:eastAsia="宋体" w:cs="宋体"/>
          <w:sz w:val="21"/>
          <w:szCs w:val="21"/>
        </w:rPr>
        <w:t>4、法人提交法定代表人资格证明书复印件或者法定代表人授权委托书原件并附法定代表人身份证明复印件；自然人提交身份证明复印件；</w:t>
      </w:r>
    </w:p>
    <w:p w14:paraId="516BA2C1">
      <w:pPr>
        <w:pStyle w:val="64"/>
        <w:keepLines w:val="0"/>
        <w:pageBreakBefore w:val="0"/>
        <w:kinsoku/>
        <w:overflowPunct/>
        <w:topLinePunct w:val="0"/>
        <w:autoSpaceDE/>
        <w:autoSpaceDN/>
        <w:bidi w:val="0"/>
        <w:snapToGrid/>
        <w:spacing w:line="360" w:lineRule="auto"/>
        <w:ind w:left="0"/>
        <w:textAlignment w:val="auto"/>
        <w:rPr>
          <w:rFonts w:hint="eastAsia" w:ascii="宋体" w:hAnsi="宋体" w:eastAsia="宋体" w:cs="宋体"/>
          <w:sz w:val="21"/>
          <w:szCs w:val="21"/>
        </w:rPr>
      </w:pPr>
      <w:r>
        <w:rPr>
          <w:rFonts w:hint="eastAsia" w:ascii="宋体" w:hAnsi="宋体" w:eastAsia="宋体" w:cs="宋体"/>
          <w:sz w:val="21"/>
          <w:szCs w:val="21"/>
        </w:rPr>
        <w:t>5、单位负责人为同一人或者存在直接控股、管理关系的不同供应商，不得参加同一合同项下的政府采购活动。</w:t>
      </w:r>
    </w:p>
    <w:p w14:paraId="2DF7F2C2">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6、为本采购项目提供整体设计、规范编制或者项目管理、监理、检测等服务的，不得再参加此项目的其他采购活动。</w:t>
      </w:r>
    </w:p>
    <w:p w14:paraId="6B28F3CC">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7、供应商提供未列入失信被执行人、重大税收违法案件当事人名单、政府采购严重违法失信行为记录名单的书面承诺（格式自拟）。</w:t>
      </w:r>
    </w:p>
    <w:p w14:paraId="001DF576">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8、本次磋商采购</w:t>
      </w:r>
      <w:r>
        <w:rPr>
          <w:rFonts w:hint="eastAsia" w:ascii="宋体" w:hAnsi="宋体" w:eastAsia="宋体" w:cs="宋体"/>
          <w:sz w:val="21"/>
          <w:szCs w:val="21"/>
          <w:u w:val="single"/>
        </w:rPr>
        <w:t>不接受</w:t>
      </w:r>
      <w:r>
        <w:rPr>
          <w:rFonts w:hint="eastAsia" w:ascii="宋体" w:hAnsi="宋体" w:eastAsia="宋体" w:cs="宋体"/>
          <w:sz w:val="21"/>
          <w:szCs w:val="21"/>
        </w:rPr>
        <w:t>(接受或不接受)供应商为联合体形式。</w:t>
      </w:r>
    </w:p>
    <w:p w14:paraId="64EEB0D5">
      <w:pPr>
        <w:pStyle w:val="4"/>
        <w:pageBreakBefore w:val="0"/>
        <w:kinsoku/>
        <w:overflowPunct/>
        <w:topLinePunct w:val="0"/>
        <w:autoSpaceDE/>
        <w:autoSpaceDN/>
        <w:bidi w:val="0"/>
        <w:snapToGrid/>
        <w:spacing w:line="360" w:lineRule="auto"/>
        <w:textAlignment w:val="auto"/>
        <w:rPr>
          <w:rFonts w:hint="eastAsia" w:ascii="宋体" w:hAnsi="宋体" w:eastAsia="宋体" w:cs="宋体"/>
          <w:sz w:val="21"/>
          <w:szCs w:val="21"/>
        </w:rPr>
      </w:pPr>
      <w:bookmarkStart w:id="17" w:name="_Toc22224"/>
      <w:bookmarkStart w:id="18" w:name="_Toc11019"/>
      <w:r>
        <w:rPr>
          <w:rFonts w:hint="eastAsia" w:ascii="宋体" w:hAnsi="宋体" w:eastAsia="宋体" w:cs="宋体"/>
          <w:sz w:val="21"/>
          <w:szCs w:val="21"/>
        </w:rPr>
        <w:t>四、</w:t>
      </w:r>
      <w:bookmarkEnd w:id="15"/>
      <w:r>
        <w:rPr>
          <w:rFonts w:hint="eastAsia" w:ascii="宋体" w:hAnsi="宋体" w:eastAsia="宋体" w:cs="宋体"/>
          <w:sz w:val="21"/>
          <w:szCs w:val="21"/>
        </w:rPr>
        <w:t>竞争性磋商文件的获取方式</w:t>
      </w:r>
      <w:bookmarkEnd w:id="16"/>
      <w:bookmarkEnd w:id="17"/>
      <w:bookmarkEnd w:id="18"/>
    </w:p>
    <w:p w14:paraId="6D65905D">
      <w:pPr>
        <w:keepLines w:val="0"/>
        <w:pageBreakBefore w:val="0"/>
        <w:kinsoku/>
        <w:overflowPunct/>
        <w:topLinePunct w:val="0"/>
        <w:autoSpaceDE/>
        <w:autoSpaceDN/>
        <w:bidi w:val="0"/>
        <w:snapToGrid/>
        <w:spacing w:line="360"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1、获取磋商文件的时间：从</w:t>
      </w:r>
      <w:r>
        <w:rPr>
          <w:rFonts w:hint="eastAsia" w:ascii="宋体" w:hAnsi="宋体" w:cs="宋体"/>
          <w:color w:val="auto"/>
          <w:sz w:val="21"/>
          <w:szCs w:val="21"/>
          <w:lang w:eastAsia="zh-CN"/>
        </w:rPr>
        <w:t>2026</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04</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07</w:t>
      </w:r>
      <w:r>
        <w:rPr>
          <w:rFonts w:hint="eastAsia" w:ascii="宋体" w:hAnsi="宋体" w:eastAsia="宋体" w:cs="宋体"/>
          <w:color w:val="auto"/>
          <w:sz w:val="21"/>
          <w:szCs w:val="21"/>
        </w:rPr>
        <w:t>日起至</w:t>
      </w:r>
      <w:r>
        <w:rPr>
          <w:rFonts w:hint="eastAsia" w:ascii="宋体" w:hAnsi="宋体" w:cs="宋体"/>
          <w:color w:val="auto"/>
          <w:sz w:val="21"/>
          <w:szCs w:val="21"/>
          <w:lang w:eastAsia="zh-CN"/>
        </w:rPr>
        <w:t>2026</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04</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14</w:t>
      </w:r>
      <w:r>
        <w:rPr>
          <w:rFonts w:hint="eastAsia" w:ascii="宋体" w:hAnsi="宋体" w:eastAsia="宋体" w:cs="宋体"/>
          <w:color w:val="auto"/>
          <w:sz w:val="21"/>
          <w:szCs w:val="21"/>
        </w:rPr>
        <w:t>日止，每天上午9：00时到12：00时，下午14：</w:t>
      </w:r>
      <w:r>
        <w:rPr>
          <w:rFonts w:hint="eastAsia" w:ascii="宋体" w:hAnsi="宋体" w:cs="宋体"/>
          <w:color w:val="auto"/>
          <w:sz w:val="21"/>
          <w:szCs w:val="21"/>
          <w:lang w:val="en-US" w:eastAsia="zh-CN"/>
        </w:rPr>
        <w:t>0</w:t>
      </w:r>
      <w:r>
        <w:rPr>
          <w:rFonts w:hint="eastAsia" w:ascii="宋体" w:hAnsi="宋体" w:eastAsia="宋体" w:cs="宋体"/>
          <w:color w:val="auto"/>
          <w:sz w:val="21"/>
          <w:szCs w:val="21"/>
        </w:rPr>
        <w:t>0时到17：00时(北京时间)，双休日及节假日除外。</w:t>
      </w:r>
    </w:p>
    <w:p w14:paraId="42A2E99A">
      <w:pPr>
        <w:spacing w:after="124" w:line="360" w:lineRule="auto"/>
        <w:ind w:firstLine="420" w:firstLineChars="200"/>
        <w:rPr>
          <w:rFonts w:ascii="宋体" w:hAnsi="宋体"/>
          <w:color w:val="auto"/>
          <w:szCs w:val="21"/>
          <w:highlight w:val="none"/>
        </w:rPr>
      </w:pPr>
      <w:r>
        <w:rPr>
          <w:rFonts w:hint="eastAsia" w:ascii="宋体" w:hAnsi="宋体" w:eastAsia="宋体" w:cs="宋体"/>
          <w:color w:val="auto"/>
          <w:sz w:val="21"/>
          <w:szCs w:val="21"/>
        </w:rPr>
        <w:t>2、获取磋商文件的地点：</w:t>
      </w:r>
      <w:r>
        <w:rPr>
          <w:rFonts w:hint="eastAsia" w:ascii="宋体" w:hAnsi="宋体"/>
          <w:color w:val="auto"/>
          <w:szCs w:val="21"/>
          <w:highlight w:val="none"/>
          <w:lang w:eastAsia="zh-CN"/>
        </w:rPr>
        <w:t>能力项目咨询有限公司</w:t>
      </w:r>
      <w:r>
        <w:rPr>
          <w:rFonts w:hint="eastAsia" w:ascii="宋体" w:hAnsi="宋体"/>
          <w:color w:val="auto"/>
          <w:szCs w:val="21"/>
          <w:highlight w:val="none"/>
        </w:rPr>
        <w:t>（地址：</w:t>
      </w:r>
      <w:r>
        <w:rPr>
          <w:rFonts w:hint="eastAsia" w:ascii="宋体" w:hAnsi="宋体" w:cs="宋体"/>
          <w:b w:val="0"/>
          <w:bCs w:val="0"/>
          <w:color w:val="auto"/>
          <w:szCs w:val="21"/>
          <w:lang w:eastAsia="zh-CN"/>
        </w:rPr>
        <w:t>长沙市雨花区时代阳光大道388号轻盐阳光CEO大厦A座711室</w:t>
      </w:r>
      <w:r>
        <w:rPr>
          <w:rFonts w:hint="eastAsia" w:ascii="宋体" w:hAnsi="宋体"/>
          <w:color w:val="auto"/>
          <w:szCs w:val="21"/>
          <w:highlight w:val="none"/>
        </w:rPr>
        <w:t>）</w:t>
      </w:r>
    </w:p>
    <w:p w14:paraId="7D51B5E8">
      <w:pPr>
        <w:keepLines w:val="0"/>
        <w:pageBreakBefore w:val="0"/>
        <w:kinsoku/>
        <w:overflowPunct/>
        <w:topLinePunct w:val="0"/>
        <w:autoSpaceDE/>
        <w:autoSpaceDN/>
        <w:bidi w:val="0"/>
        <w:snapToGrid/>
        <w:spacing w:line="360"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3、获取磋商文件的报名材料要求：（1）法定代表人身份证明</w:t>
      </w:r>
      <w:r>
        <w:rPr>
          <w:rFonts w:hint="eastAsia" w:ascii="宋体" w:hAnsi="宋体" w:cs="宋体"/>
          <w:color w:val="auto"/>
          <w:sz w:val="21"/>
          <w:szCs w:val="21"/>
          <w:lang w:eastAsia="zh-CN"/>
        </w:rPr>
        <w:t>；</w:t>
      </w:r>
      <w:r>
        <w:rPr>
          <w:rFonts w:hint="eastAsia" w:ascii="宋体" w:hAnsi="宋体" w:eastAsia="宋体" w:cs="宋体"/>
          <w:color w:val="auto"/>
          <w:sz w:val="21"/>
          <w:szCs w:val="21"/>
        </w:rPr>
        <w:t>（2）法定代理人委托授权书（委托获取）；（3）企业法人营业执照副本复印件(或者法人登记证书）复印件；（4）供应商的特定资格条件的证明材料的复印件</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所有报名资料须加盖公章，一式两份。</w:t>
      </w:r>
    </w:p>
    <w:p w14:paraId="0CFFED54">
      <w:pPr>
        <w:pStyle w:val="4"/>
        <w:pageBreakBefore w:val="0"/>
        <w:kinsoku/>
        <w:overflowPunct/>
        <w:topLinePunct w:val="0"/>
        <w:autoSpaceDE/>
        <w:autoSpaceDN/>
        <w:bidi w:val="0"/>
        <w:snapToGrid/>
        <w:spacing w:line="360" w:lineRule="auto"/>
        <w:textAlignment w:val="auto"/>
        <w:rPr>
          <w:rFonts w:hint="eastAsia" w:ascii="宋体" w:hAnsi="宋体" w:eastAsia="宋体" w:cs="宋体"/>
          <w:color w:val="auto"/>
          <w:sz w:val="21"/>
          <w:szCs w:val="21"/>
        </w:rPr>
      </w:pPr>
      <w:bookmarkStart w:id="19" w:name="_Toc22657515"/>
      <w:bookmarkStart w:id="20" w:name="_Toc22618"/>
      <w:bookmarkStart w:id="21" w:name="_Toc12061"/>
      <w:bookmarkStart w:id="22" w:name="_Toc29103"/>
      <w:r>
        <w:rPr>
          <w:rFonts w:hint="eastAsia" w:ascii="宋体" w:hAnsi="宋体" w:eastAsia="宋体" w:cs="宋体"/>
          <w:color w:val="auto"/>
          <w:sz w:val="21"/>
          <w:szCs w:val="21"/>
        </w:rPr>
        <w:t>五、</w:t>
      </w:r>
      <w:bookmarkEnd w:id="19"/>
      <w:r>
        <w:rPr>
          <w:rFonts w:hint="eastAsia" w:ascii="宋体" w:hAnsi="宋体" w:eastAsia="宋体" w:cs="宋体"/>
          <w:color w:val="auto"/>
          <w:sz w:val="21"/>
          <w:szCs w:val="21"/>
        </w:rPr>
        <w:t>响应文件提交的截止时间、开启时间及地点</w:t>
      </w:r>
      <w:bookmarkEnd w:id="20"/>
      <w:bookmarkEnd w:id="21"/>
      <w:bookmarkEnd w:id="22"/>
    </w:p>
    <w:p w14:paraId="56436408">
      <w:pPr>
        <w:keepLines w:val="0"/>
        <w:pageBreakBefore w:val="0"/>
        <w:kinsoku/>
        <w:overflowPunct/>
        <w:topLinePunct w:val="0"/>
        <w:autoSpaceDE/>
        <w:autoSpaceDN/>
        <w:bidi w:val="0"/>
        <w:adjustRightInd w:val="0"/>
        <w:snapToGrid/>
        <w:spacing w:line="360" w:lineRule="auto"/>
        <w:ind w:left="0" w:firstLine="367" w:firstLineChars="175"/>
        <w:textAlignment w:val="auto"/>
        <w:rPr>
          <w:rFonts w:hint="eastAsia" w:ascii="宋体" w:hAnsi="宋体" w:eastAsia="宋体" w:cs="宋体"/>
          <w:sz w:val="21"/>
          <w:szCs w:val="21"/>
        </w:rPr>
      </w:pPr>
      <w:r>
        <w:rPr>
          <w:rFonts w:hint="eastAsia" w:ascii="宋体" w:hAnsi="宋体" w:eastAsia="宋体" w:cs="宋体"/>
          <w:color w:val="auto"/>
          <w:sz w:val="21"/>
          <w:szCs w:val="21"/>
        </w:rPr>
        <w:t>1、提交首次响应文件的截止时间为</w:t>
      </w:r>
      <w:r>
        <w:rPr>
          <w:rFonts w:hint="eastAsia" w:ascii="宋体" w:hAnsi="宋体" w:cs="宋体"/>
          <w:color w:val="auto"/>
          <w:sz w:val="21"/>
          <w:szCs w:val="21"/>
          <w:lang w:eastAsia="zh-CN"/>
        </w:rPr>
        <w:t>2026</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04</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20</w:t>
      </w:r>
      <w:r>
        <w:rPr>
          <w:rFonts w:hint="eastAsia" w:ascii="宋体" w:hAnsi="宋体" w:eastAsia="宋体" w:cs="宋体"/>
          <w:color w:val="auto"/>
          <w:sz w:val="21"/>
          <w:szCs w:val="21"/>
        </w:rPr>
        <w:t>日</w:t>
      </w:r>
      <w:r>
        <w:rPr>
          <w:rFonts w:hint="eastAsia" w:ascii="宋体" w:hAnsi="宋体" w:cs="宋体"/>
          <w:color w:val="auto"/>
          <w:sz w:val="21"/>
          <w:szCs w:val="21"/>
          <w:lang w:val="en-US" w:eastAsia="zh-CN"/>
        </w:rPr>
        <w:t>10</w:t>
      </w:r>
      <w:r>
        <w:rPr>
          <w:rFonts w:hint="eastAsia" w:ascii="宋体" w:hAnsi="宋体" w:eastAsia="宋体" w:cs="宋体"/>
          <w:color w:val="auto"/>
          <w:sz w:val="21"/>
          <w:szCs w:val="21"/>
          <w:lang w:val="en-US" w:eastAsia="zh-CN"/>
        </w:rPr>
        <w:t>时</w:t>
      </w:r>
      <w:r>
        <w:rPr>
          <w:rFonts w:hint="eastAsia" w:ascii="宋体" w:hAnsi="宋体" w:cs="宋体"/>
          <w:color w:val="auto"/>
          <w:sz w:val="21"/>
          <w:szCs w:val="21"/>
          <w:lang w:val="en-US" w:eastAsia="zh-CN"/>
        </w:rPr>
        <w:t>00</w:t>
      </w:r>
      <w:r>
        <w:rPr>
          <w:rFonts w:hint="eastAsia" w:ascii="宋体" w:hAnsi="宋体" w:eastAsia="宋体" w:cs="宋体"/>
          <w:color w:val="auto"/>
          <w:sz w:val="21"/>
          <w:szCs w:val="21"/>
        </w:rPr>
        <w:t>分</w:t>
      </w:r>
      <w:r>
        <w:rPr>
          <w:rFonts w:hint="eastAsia" w:ascii="宋体" w:hAnsi="宋体" w:eastAsia="宋体" w:cs="宋体"/>
          <w:sz w:val="21"/>
          <w:szCs w:val="21"/>
        </w:rPr>
        <w:t>（北京时间），地点为</w:t>
      </w:r>
      <w:r>
        <w:rPr>
          <w:rFonts w:hint="eastAsia" w:ascii="宋体" w:hAnsi="宋体"/>
          <w:color w:val="auto"/>
          <w:szCs w:val="21"/>
          <w:highlight w:val="none"/>
          <w:lang w:eastAsia="zh-CN"/>
        </w:rPr>
        <w:t>能力项目咨询有限公司</w:t>
      </w:r>
      <w:r>
        <w:rPr>
          <w:rFonts w:hint="eastAsia" w:ascii="宋体" w:hAnsi="宋体"/>
          <w:color w:val="auto"/>
          <w:szCs w:val="21"/>
          <w:highlight w:val="none"/>
        </w:rPr>
        <w:t>（地址：</w:t>
      </w:r>
      <w:r>
        <w:rPr>
          <w:rFonts w:hint="eastAsia" w:ascii="宋体" w:hAnsi="宋体" w:cs="宋体"/>
          <w:b w:val="0"/>
          <w:bCs w:val="0"/>
          <w:color w:val="000000"/>
          <w:szCs w:val="21"/>
          <w:lang w:eastAsia="zh-CN"/>
        </w:rPr>
        <w:t>长沙市雨花区时代阳光大道388号轻盐阳光CEO大厦A座711室</w:t>
      </w:r>
      <w:r>
        <w:rPr>
          <w:rFonts w:hint="eastAsia" w:ascii="宋体" w:hAnsi="宋体"/>
          <w:color w:val="auto"/>
          <w:szCs w:val="21"/>
          <w:highlight w:val="none"/>
        </w:rPr>
        <w:t>）</w:t>
      </w:r>
      <w:r>
        <w:rPr>
          <w:rFonts w:hint="eastAsia" w:ascii="宋体" w:hAnsi="宋体" w:eastAsia="宋体" w:cs="宋体"/>
          <w:sz w:val="21"/>
          <w:szCs w:val="21"/>
        </w:rPr>
        <w:t>。在截止时间后送达的响应文件为无效文件，采购人、采购代理机构应当拒收；</w:t>
      </w:r>
    </w:p>
    <w:p w14:paraId="2F99AE8C">
      <w:pPr>
        <w:keepLines w:val="0"/>
        <w:pageBreakBefore w:val="0"/>
        <w:kinsoku/>
        <w:overflowPunct/>
        <w:topLinePunct w:val="0"/>
        <w:autoSpaceDE/>
        <w:autoSpaceDN/>
        <w:bidi w:val="0"/>
        <w:adjustRightInd w:val="0"/>
        <w:snapToGrid/>
        <w:spacing w:line="360" w:lineRule="auto"/>
        <w:ind w:left="0" w:firstLine="367" w:firstLineChars="175"/>
        <w:textAlignment w:val="auto"/>
        <w:rPr>
          <w:rFonts w:hint="eastAsia" w:ascii="宋体" w:hAnsi="宋体" w:eastAsia="宋体" w:cs="宋体"/>
          <w:sz w:val="21"/>
          <w:szCs w:val="21"/>
        </w:rPr>
      </w:pPr>
      <w:r>
        <w:rPr>
          <w:rFonts w:hint="eastAsia" w:ascii="宋体" w:hAnsi="宋体" w:eastAsia="宋体" w:cs="宋体"/>
          <w:sz w:val="21"/>
          <w:szCs w:val="21"/>
        </w:rPr>
        <w:t>2、首次响应文件的开启时间及地点与提交首次响应文件的截止时间及地点为同一时间及地点；</w:t>
      </w:r>
    </w:p>
    <w:p w14:paraId="6CD7DF5D">
      <w:pPr>
        <w:keepLines w:val="0"/>
        <w:pageBreakBefore w:val="0"/>
        <w:kinsoku/>
        <w:overflowPunct/>
        <w:topLinePunct w:val="0"/>
        <w:autoSpaceDE/>
        <w:autoSpaceDN/>
        <w:bidi w:val="0"/>
        <w:adjustRightInd w:val="0"/>
        <w:snapToGrid/>
        <w:spacing w:line="360" w:lineRule="auto"/>
        <w:ind w:left="0" w:firstLine="367" w:firstLineChars="175"/>
        <w:textAlignment w:val="auto"/>
        <w:rPr>
          <w:rFonts w:hint="eastAsia" w:ascii="宋体" w:hAnsi="宋体" w:eastAsia="宋体" w:cs="宋体"/>
          <w:sz w:val="21"/>
          <w:szCs w:val="21"/>
        </w:rPr>
      </w:pPr>
      <w:r>
        <w:rPr>
          <w:rFonts w:hint="eastAsia" w:ascii="宋体" w:hAnsi="宋体" w:eastAsia="宋体" w:cs="宋体"/>
          <w:sz w:val="21"/>
          <w:szCs w:val="21"/>
        </w:rPr>
        <w:t>3、逾期送达或者不按竞争性磋商文件要求密封或者不按竞争性磋商文件的要求提供投标保证金的响应文件，采购代理机构将拒绝接收；</w:t>
      </w:r>
    </w:p>
    <w:p w14:paraId="14354400">
      <w:pPr>
        <w:keepLines w:val="0"/>
        <w:pageBreakBefore w:val="0"/>
        <w:kinsoku/>
        <w:overflowPunct/>
        <w:topLinePunct w:val="0"/>
        <w:autoSpaceDE/>
        <w:autoSpaceDN/>
        <w:bidi w:val="0"/>
        <w:adjustRightInd w:val="0"/>
        <w:snapToGrid/>
        <w:spacing w:line="360" w:lineRule="auto"/>
        <w:ind w:left="0" w:firstLine="367" w:firstLineChars="175"/>
        <w:textAlignment w:val="auto"/>
        <w:rPr>
          <w:rFonts w:hint="eastAsia" w:ascii="宋体" w:hAnsi="宋体" w:eastAsia="宋体" w:cs="宋体"/>
          <w:sz w:val="21"/>
          <w:szCs w:val="21"/>
        </w:rPr>
      </w:pPr>
      <w:r>
        <w:rPr>
          <w:rFonts w:hint="eastAsia" w:ascii="宋体" w:hAnsi="宋体" w:eastAsia="宋体" w:cs="宋体"/>
          <w:sz w:val="21"/>
          <w:szCs w:val="21"/>
        </w:rPr>
        <w:t>4、供应商的法定代表人或授权代表到场参加开标会议，并在开标会议现场身份验证时向采购人提交法定代表人身份证明文件原件和法定代表人授权委托书原件，出示本人身份证原件并签字以证明其出席，否则，投标将被拒绝。</w:t>
      </w:r>
    </w:p>
    <w:p w14:paraId="4F9B1F2E">
      <w:pPr>
        <w:pStyle w:val="4"/>
        <w:pageBreakBefore w:val="0"/>
        <w:kinsoku/>
        <w:overflowPunct/>
        <w:topLinePunct w:val="0"/>
        <w:autoSpaceDE/>
        <w:autoSpaceDN/>
        <w:bidi w:val="0"/>
        <w:snapToGrid/>
        <w:spacing w:line="360" w:lineRule="auto"/>
        <w:textAlignment w:val="auto"/>
        <w:rPr>
          <w:rFonts w:hint="eastAsia" w:ascii="宋体" w:hAnsi="宋体" w:eastAsia="宋体" w:cs="宋体"/>
          <w:sz w:val="21"/>
          <w:szCs w:val="21"/>
        </w:rPr>
      </w:pPr>
      <w:bookmarkStart w:id="23" w:name="_Toc25042"/>
      <w:bookmarkStart w:id="24" w:name="_Toc13073"/>
      <w:bookmarkStart w:id="25" w:name="_Toc11720"/>
      <w:r>
        <w:rPr>
          <w:rFonts w:hint="eastAsia" w:ascii="宋体" w:hAnsi="宋体" w:eastAsia="宋体" w:cs="宋体"/>
          <w:sz w:val="21"/>
          <w:szCs w:val="21"/>
        </w:rPr>
        <w:t>六、投标保证金</w:t>
      </w:r>
      <w:bookmarkEnd w:id="23"/>
      <w:bookmarkEnd w:id="24"/>
      <w:bookmarkEnd w:id="25"/>
    </w:p>
    <w:bookmarkEnd w:id="9"/>
    <w:p w14:paraId="58E6F35E">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bookmarkStart w:id="26" w:name="_Toc22657518"/>
      <w:r>
        <w:rPr>
          <w:rFonts w:hint="eastAsia" w:ascii="宋体" w:hAnsi="宋体" w:eastAsia="宋体" w:cs="宋体"/>
          <w:sz w:val="21"/>
          <w:szCs w:val="21"/>
        </w:rPr>
        <w:t>不要求。</w:t>
      </w:r>
    </w:p>
    <w:p w14:paraId="4CA43EC9">
      <w:pPr>
        <w:pStyle w:val="4"/>
        <w:pageBreakBefore w:val="0"/>
        <w:kinsoku/>
        <w:overflowPunct/>
        <w:topLinePunct w:val="0"/>
        <w:autoSpaceDE/>
        <w:autoSpaceDN/>
        <w:bidi w:val="0"/>
        <w:snapToGrid/>
        <w:spacing w:line="360" w:lineRule="auto"/>
        <w:textAlignment w:val="auto"/>
        <w:rPr>
          <w:rFonts w:hint="eastAsia" w:ascii="宋体" w:hAnsi="宋体" w:eastAsia="宋体" w:cs="宋体"/>
          <w:sz w:val="21"/>
          <w:szCs w:val="21"/>
        </w:rPr>
      </w:pPr>
      <w:bookmarkStart w:id="27" w:name="_Toc4694"/>
      <w:bookmarkStart w:id="28" w:name="_Toc14078"/>
      <w:bookmarkStart w:id="29" w:name="_Toc25806"/>
      <w:r>
        <w:rPr>
          <w:rFonts w:hint="eastAsia" w:ascii="宋体" w:hAnsi="宋体" w:eastAsia="宋体" w:cs="宋体"/>
          <w:sz w:val="21"/>
          <w:szCs w:val="21"/>
        </w:rPr>
        <w:t>七、发布公告的媒介及公告期限</w:t>
      </w:r>
      <w:bookmarkEnd w:id="27"/>
      <w:bookmarkEnd w:id="28"/>
      <w:bookmarkEnd w:id="29"/>
    </w:p>
    <w:p w14:paraId="79A73F4B">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color w:val="auto"/>
          <w:sz w:val="21"/>
          <w:szCs w:val="21"/>
        </w:rPr>
      </w:pPr>
      <w:bookmarkStart w:id="30" w:name="_Toc3322"/>
      <w:r>
        <w:rPr>
          <w:rFonts w:hint="eastAsia" w:ascii="宋体" w:hAnsi="宋体" w:eastAsia="宋体" w:cs="宋体"/>
          <w:color w:val="auto"/>
          <w:sz w:val="21"/>
          <w:szCs w:val="21"/>
        </w:rPr>
        <w:t>1、本招标公告在中国湖南政府采购网（www.ccgp-hunan.gov.cn）发布。公告期限从本招标公告发布之日起5个工作日。</w:t>
      </w:r>
    </w:p>
    <w:p w14:paraId="6AA889C5">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2、在其他媒体发布的招标公告，公告内容以本招标公告指定媒体发布的公告为准；公告期限自本招标公告指定媒体最先发布公告之日起算。</w:t>
      </w:r>
    </w:p>
    <w:p w14:paraId="53300CBB">
      <w:pPr>
        <w:pStyle w:val="4"/>
        <w:pageBreakBefore w:val="0"/>
        <w:kinsoku/>
        <w:overflowPunct/>
        <w:topLinePunct w:val="0"/>
        <w:autoSpaceDE/>
        <w:autoSpaceDN/>
        <w:bidi w:val="0"/>
        <w:snapToGrid/>
        <w:spacing w:line="360" w:lineRule="auto"/>
        <w:textAlignment w:val="auto"/>
        <w:rPr>
          <w:rFonts w:hint="eastAsia" w:ascii="宋体" w:hAnsi="宋体" w:eastAsia="宋体" w:cs="宋体"/>
          <w:sz w:val="21"/>
          <w:szCs w:val="21"/>
        </w:rPr>
      </w:pPr>
      <w:bookmarkStart w:id="31" w:name="_Toc2430"/>
      <w:bookmarkStart w:id="32" w:name="_Toc8022"/>
      <w:r>
        <w:rPr>
          <w:rFonts w:hint="eastAsia" w:ascii="宋体" w:hAnsi="宋体" w:eastAsia="宋体" w:cs="宋体"/>
          <w:sz w:val="21"/>
          <w:szCs w:val="21"/>
        </w:rPr>
        <w:t>八、疑问及质疑：</w:t>
      </w:r>
      <w:bookmarkEnd w:id="26"/>
      <w:bookmarkEnd w:id="30"/>
      <w:bookmarkEnd w:id="31"/>
      <w:bookmarkEnd w:id="32"/>
    </w:p>
    <w:p w14:paraId="63437B68">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1、供应商对政府采购活动事项如有疑问的，可以向采购人、采购代理机构提出询问。采购人、采购代理机构将在3个工作日内作出答复。</w:t>
      </w:r>
    </w:p>
    <w:p w14:paraId="5A83F1DD">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2、供应商认为本邀请公告使自己的合法权益受到损害的，可以在邀请公告期限届满之日起7个工作日内，按《湖南省财政厅关于印发＜政府采购质疑答复和投诉处理操作规程＞的通知》(</w:t>
      </w:r>
      <w:r>
        <w:rPr>
          <w:rFonts w:hint="eastAsia" w:ascii="宋体" w:hAnsi="宋体" w:eastAsia="宋体" w:cs="宋体"/>
          <w:sz w:val="21"/>
          <w:szCs w:val="21"/>
          <w:lang w:eastAsia="zh-CN"/>
        </w:rPr>
        <w:t>湘财购〔2024〕67号</w:t>
      </w:r>
      <w:r>
        <w:rPr>
          <w:rFonts w:hint="eastAsia" w:ascii="宋体" w:hAnsi="宋体" w:eastAsia="宋体" w:cs="宋体"/>
          <w:sz w:val="21"/>
          <w:szCs w:val="21"/>
        </w:rPr>
        <w:t>)规定，以书面形式向采购人、采购代理机构提出质疑。</w:t>
      </w:r>
    </w:p>
    <w:p w14:paraId="21450008">
      <w:pPr>
        <w:pStyle w:val="4"/>
        <w:pageBreakBefore w:val="0"/>
        <w:kinsoku/>
        <w:overflowPunct/>
        <w:topLinePunct w:val="0"/>
        <w:autoSpaceDE/>
        <w:autoSpaceDN/>
        <w:bidi w:val="0"/>
        <w:snapToGrid/>
        <w:spacing w:line="360" w:lineRule="auto"/>
        <w:textAlignment w:val="auto"/>
        <w:rPr>
          <w:rFonts w:hint="eastAsia" w:ascii="宋体" w:hAnsi="宋体" w:eastAsia="宋体" w:cs="宋体"/>
          <w:sz w:val="21"/>
          <w:szCs w:val="21"/>
        </w:rPr>
      </w:pPr>
      <w:bookmarkStart w:id="33" w:name="_Toc22657519"/>
      <w:bookmarkStart w:id="34" w:name="_Toc24486"/>
      <w:bookmarkStart w:id="35" w:name="_Toc23319"/>
      <w:bookmarkStart w:id="36" w:name="_Toc11881"/>
      <w:r>
        <w:rPr>
          <w:rFonts w:hint="eastAsia" w:ascii="宋体" w:hAnsi="宋体" w:eastAsia="宋体" w:cs="宋体"/>
          <w:sz w:val="21"/>
          <w:szCs w:val="21"/>
        </w:rPr>
        <w:t>九、联系方式</w:t>
      </w:r>
      <w:bookmarkEnd w:id="33"/>
      <w:bookmarkEnd w:id="34"/>
      <w:bookmarkEnd w:id="35"/>
      <w:bookmarkEnd w:id="36"/>
    </w:p>
    <w:p w14:paraId="143DA550">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bCs/>
          <w:sz w:val="21"/>
          <w:szCs w:val="21"/>
        </w:rPr>
      </w:pPr>
      <w:r>
        <w:rPr>
          <w:rFonts w:hint="eastAsia" w:ascii="宋体" w:hAnsi="宋体" w:eastAsia="宋体" w:cs="宋体"/>
          <w:bCs/>
          <w:sz w:val="21"/>
          <w:szCs w:val="21"/>
        </w:rPr>
        <w:t>采购人：</w:t>
      </w:r>
      <w:r>
        <w:rPr>
          <w:rFonts w:hint="eastAsia" w:ascii="宋体" w:hAnsi="宋体" w:eastAsia="宋体" w:cs="宋体"/>
          <w:bCs/>
          <w:sz w:val="21"/>
          <w:szCs w:val="21"/>
          <w:lang w:bidi="ar"/>
        </w:rPr>
        <w:t>湘潭大学</w:t>
      </w:r>
    </w:p>
    <w:p w14:paraId="6E50CC8D">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联系人：</w:t>
      </w:r>
      <w:r>
        <w:rPr>
          <w:rFonts w:hint="eastAsia" w:ascii="宋体" w:hAnsi="宋体" w:cs="宋体"/>
          <w:color w:val="auto"/>
          <w:szCs w:val="21"/>
          <w:highlight w:val="none"/>
          <w:lang w:val="en-US" w:eastAsia="zh-CN"/>
        </w:rPr>
        <w:t>祝</w:t>
      </w:r>
      <w:r>
        <w:rPr>
          <w:rFonts w:hint="eastAsia" w:ascii="宋体" w:hAnsi="宋体" w:cs="宋体"/>
          <w:color w:val="auto"/>
          <w:szCs w:val="21"/>
          <w:highlight w:val="none"/>
        </w:rPr>
        <w:t>老师</w:t>
      </w:r>
    </w:p>
    <w:p w14:paraId="605C7C58">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bCs/>
          <w:sz w:val="21"/>
          <w:szCs w:val="21"/>
          <w:lang w:val="en-US" w:eastAsia="zh-CN"/>
        </w:rPr>
      </w:pPr>
      <w:r>
        <w:rPr>
          <w:rFonts w:hint="eastAsia" w:ascii="宋体" w:hAnsi="宋体" w:eastAsia="宋体" w:cs="宋体"/>
          <w:sz w:val="21"/>
          <w:szCs w:val="21"/>
        </w:rPr>
        <w:t>电  话：</w:t>
      </w:r>
      <w:r>
        <w:rPr>
          <w:rFonts w:hint="eastAsia" w:ascii="宋体" w:hAnsi="宋体" w:eastAsia="宋体" w:cs="宋体"/>
          <w:sz w:val="21"/>
          <w:szCs w:val="21"/>
          <w:lang w:val="en-US" w:eastAsia="zh-CN"/>
        </w:rPr>
        <w:t>0731-58293956</w:t>
      </w:r>
    </w:p>
    <w:p w14:paraId="471C425A">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地  址：</w:t>
      </w:r>
      <w:bookmarkStart w:id="37" w:name="OLE_LINK5"/>
      <w:bookmarkStart w:id="38" w:name="OLE_LINK6"/>
      <w:r>
        <w:rPr>
          <w:rFonts w:hint="eastAsia" w:ascii="宋体" w:hAnsi="宋体" w:cs="宋体"/>
          <w:color w:val="auto"/>
          <w:szCs w:val="21"/>
          <w:highlight w:val="none"/>
        </w:rPr>
        <w:t>湖南省湘潭市雨湖区北二环路</w:t>
      </w:r>
      <w:bookmarkEnd w:id="37"/>
      <w:bookmarkEnd w:id="38"/>
    </w:p>
    <w:p w14:paraId="0A290BDE">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bCs/>
          <w:sz w:val="21"/>
          <w:szCs w:val="21"/>
          <w:lang w:eastAsia="zh-CN"/>
        </w:rPr>
      </w:pPr>
      <w:r>
        <w:rPr>
          <w:rFonts w:hint="eastAsia" w:ascii="宋体" w:hAnsi="宋体" w:eastAsia="宋体" w:cs="宋体"/>
          <w:bCs/>
          <w:sz w:val="21"/>
          <w:szCs w:val="21"/>
        </w:rPr>
        <w:t>采购代理机构：</w:t>
      </w:r>
      <w:r>
        <w:rPr>
          <w:rFonts w:hint="eastAsia" w:asciiTheme="minorEastAsia" w:hAnsiTheme="minorEastAsia" w:eastAsiaTheme="minorEastAsia" w:cstheme="minorEastAsia"/>
          <w:b w:val="0"/>
          <w:bCs/>
          <w:color w:val="auto"/>
          <w:szCs w:val="21"/>
          <w:highlight w:val="none"/>
          <w:lang w:eastAsia="zh-CN"/>
        </w:rPr>
        <w:t>能力项目咨询有限公司</w:t>
      </w:r>
    </w:p>
    <w:p w14:paraId="20FE261C">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bCs/>
          <w:color w:val="FF0000"/>
          <w:sz w:val="21"/>
          <w:szCs w:val="21"/>
          <w:lang w:val="en-US" w:eastAsia="zh-CN"/>
        </w:rPr>
      </w:pPr>
      <w:r>
        <w:rPr>
          <w:rFonts w:hint="eastAsia" w:ascii="宋体" w:hAnsi="宋体" w:eastAsia="宋体" w:cs="宋体"/>
          <w:bCs/>
          <w:sz w:val="21"/>
          <w:szCs w:val="21"/>
        </w:rPr>
        <w:t>联系人：</w:t>
      </w:r>
      <w:r>
        <w:rPr>
          <w:rFonts w:hint="eastAsia" w:ascii="宋体" w:hAnsi="宋体" w:cs="宋体"/>
          <w:color w:val="auto"/>
          <w:szCs w:val="21"/>
          <w:highlight w:val="none"/>
          <w:lang w:val="en-US" w:eastAsia="zh-CN"/>
        </w:rPr>
        <w:t>吴艳、杨娟、刘平</w:t>
      </w:r>
    </w:p>
    <w:p w14:paraId="2D4E09FD">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bCs/>
          <w:sz w:val="21"/>
          <w:szCs w:val="21"/>
          <w:lang w:eastAsia="zh-CN"/>
        </w:rPr>
      </w:pPr>
      <w:r>
        <w:rPr>
          <w:rFonts w:hint="eastAsia" w:ascii="宋体" w:hAnsi="宋体" w:eastAsia="宋体" w:cs="宋体"/>
          <w:bCs/>
          <w:sz w:val="21"/>
          <w:szCs w:val="21"/>
        </w:rPr>
        <w:t>电话：</w:t>
      </w:r>
      <w:r>
        <w:rPr>
          <w:rFonts w:hint="eastAsia" w:ascii="宋体" w:hAnsi="宋体" w:cs="宋体"/>
          <w:b w:val="0"/>
          <w:bCs w:val="0"/>
          <w:color w:val="000000"/>
          <w:szCs w:val="21"/>
          <w:lang w:eastAsia="zh-CN"/>
        </w:rPr>
        <w:t>0731-</w:t>
      </w:r>
      <w:r>
        <w:rPr>
          <w:rFonts w:hint="eastAsia" w:ascii="宋体" w:hAnsi="宋体" w:cs="宋体"/>
          <w:b w:val="0"/>
          <w:bCs w:val="0"/>
          <w:color w:val="000000"/>
          <w:szCs w:val="21"/>
          <w:lang w:val="en-US" w:eastAsia="zh-CN"/>
        </w:rPr>
        <w:t>89699711</w:t>
      </w:r>
      <w:r>
        <w:rPr>
          <w:rFonts w:hint="eastAsia" w:ascii="宋体" w:hAnsi="宋体" w:cs="宋体"/>
          <w:b w:val="0"/>
          <w:bCs w:val="0"/>
          <w:color w:val="000000"/>
          <w:szCs w:val="21"/>
          <w:lang w:eastAsia="zh-CN"/>
        </w:rPr>
        <w:t>、1</w:t>
      </w:r>
      <w:r>
        <w:rPr>
          <w:rFonts w:hint="eastAsia" w:ascii="宋体" w:hAnsi="宋体" w:cs="宋体"/>
          <w:b w:val="0"/>
          <w:bCs w:val="0"/>
          <w:color w:val="000000"/>
          <w:szCs w:val="21"/>
          <w:lang w:val="en-US" w:eastAsia="zh-CN"/>
        </w:rPr>
        <w:t>9807317711</w:t>
      </w:r>
    </w:p>
    <w:p w14:paraId="345EA507">
      <w:pPr>
        <w:keepLines w:val="0"/>
        <w:pageBreakBefore w:val="0"/>
        <w:kinsoku/>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bCs/>
          <w:sz w:val="21"/>
          <w:szCs w:val="21"/>
          <w:lang w:eastAsia="zh-CN"/>
        </w:rPr>
      </w:pPr>
      <w:r>
        <w:rPr>
          <w:rFonts w:hint="eastAsia" w:ascii="宋体" w:hAnsi="宋体" w:eastAsia="宋体" w:cs="宋体"/>
          <w:bCs/>
          <w:sz w:val="21"/>
          <w:szCs w:val="21"/>
        </w:rPr>
        <w:t>地址：</w:t>
      </w:r>
      <w:bookmarkStart w:id="39" w:name="_Toc20475"/>
      <w:bookmarkStart w:id="40" w:name="_Toc28735"/>
      <w:bookmarkStart w:id="41" w:name="_Toc8138"/>
      <w:bookmarkStart w:id="42" w:name="_Toc17860"/>
      <w:bookmarkStart w:id="43" w:name="_Toc24204"/>
      <w:bookmarkStart w:id="44" w:name="_Toc15366"/>
      <w:bookmarkStart w:id="45" w:name="_Toc31129"/>
      <w:r>
        <w:rPr>
          <w:rFonts w:hint="eastAsia" w:ascii="宋体" w:hAnsi="宋体" w:cs="宋体"/>
          <w:b w:val="0"/>
          <w:bCs w:val="0"/>
          <w:color w:val="000000"/>
          <w:szCs w:val="21"/>
          <w:lang w:eastAsia="zh-CN"/>
        </w:rPr>
        <w:t>长沙市雨花区时代阳光大道388号轻盐阳光CEO大厦A座711室</w:t>
      </w:r>
    </w:p>
    <w:p w14:paraId="55C1B511">
      <w:pPr>
        <w:rPr>
          <w:rFonts w:hint="eastAsia"/>
          <w:szCs w:val="21"/>
        </w:rPr>
      </w:pPr>
      <w:r>
        <w:rPr>
          <w:rFonts w:hint="eastAsia"/>
          <w:szCs w:val="21"/>
        </w:rPr>
        <w:br w:type="page"/>
      </w:r>
    </w:p>
    <w:p w14:paraId="3F457C59"/>
    <w:p w14:paraId="606E9557">
      <w:pPr>
        <w:pStyle w:val="45"/>
      </w:pPr>
    </w:p>
    <w:p w14:paraId="1442FAB1">
      <w:pPr>
        <w:pStyle w:val="14"/>
      </w:pPr>
    </w:p>
    <w:p w14:paraId="3E0E9D44">
      <w:pPr>
        <w:pStyle w:val="15"/>
      </w:pPr>
    </w:p>
    <w:p w14:paraId="6227CC67">
      <w:pPr>
        <w:pStyle w:val="25"/>
        <w:spacing w:after="124"/>
        <w:ind w:left="1265" w:hanging="1265"/>
        <w:jc w:val="center"/>
        <w:rPr>
          <w:rFonts w:hAnsi="宋体"/>
          <w:b/>
          <w:sz w:val="84"/>
          <w:szCs w:val="84"/>
        </w:rPr>
      </w:pPr>
    </w:p>
    <w:p w14:paraId="4851C457">
      <w:pPr>
        <w:rPr>
          <w:rFonts w:hAnsi="宋体"/>
          <w:b/>
          <w:sz w:val="84"/>
          <w:szCs w:val="84"/>
        </w:rPr>
      </w:pPr>
    </w:p>
    <w:p w14:paraId="7F575215">
      <w:pPr>
        <w:pStyle w:val="45"/>
      </w:pPr>
    </w:p>
    <w:p w14:paraId="0B963506">
      <w:pPr>
        <w:pStyle w:val="25"/>
        <w:spacing w:after="124"/>
        <w:ind w:left="1265" w:hanging="1265"/>
        <w:jc w:val="center"/>
        <w:rPr>
          <w:rFonts w:hAnsi="宋体"/>
          <w:b/>
          <w:sz w:val="84"/>
          <w:szCs w:val="84"/>
        </w:rPr>
      </w:pPr>
    </w:p>
    <w:bookmarkEnd w:id="39"/>
    <w:bookmarkEnd w:id="40"/>
    <w:bookmarkEnd w:id="41"/>
    <w:bookmarkEnd w:id="42"/>
    <w:bookmarkEnd w:id="43"/>
    <w:bookmarkEnd w:id="44"/>
    <w:bookmarkEnd w:id="45"/>
    <w:p w14:paraId="7CECC8EF">
      <w:pPr>
        <w:pStyle w:val="25"/>
        <w:spacing w:after="124"/>
        <w:ind w:left="1265" w:hanging="1265"/>
        <w:jc w:val="center"/>
        <w:rPr>
          <w:rFonts w:hAnsi="宋体"/>
          <w:b/>
          <w:sz w:val="84"/>
          <w:szCs w:val="84"/>
        </w:rPr>
      </w:pPr>
      <w:bookmarkStart w:id="46" w:name="_Toc1134"/>
      <w:bookmarkStart w:id="47" w:name="_Toc1910"/>
      <w:bookmarkStart w:id="48" w:name="_Toc5419"/>
      <w:bookmarkStart w:id="49" w:name="_Toc11780"/>
      <w:bookmarkStart w:id="50" w:name="_Toc29790"/>
      <w:bookmarkStart w:id="51" w:name="_Toc22952"/>
      <w:bookmarkStart w:id="52" w:name="_Toc30002"/>
      <w:r>
        <w:rPr>
          <w:rFonts w:hint="eastAsia" w:hAnsi="宋体"/>
          <w:b/>
          <w:sz w:val="84"/>
          <w:szCs w:val="84"/>
        </w:rPr>
        <w:t>竞争性磋商文件</w:t>
      </w:r>
      <w:bookmarkEnd w:id="46"/>
      <w:bookmarkEnd w:id="47"/>
      <w:bookmarkEnd w:id="48"/>
      <w:bookmarkEnd w:id="49"/>
      <w:bookmarkEnd w:id="50"/>
      <w:bookmarkEnd w:id="51"/>
      <w:bookmarkEnd w:id="52"/>
    </w:p>
    <w:p w14:paraId="06CD3AF6">
      <w:pPr>
        <w:pStyle w:val="25"/>
        <w:adjustRightInd w:val="0"/>
        <w:snapToGrid w:val="0"/>
        <w:spacing w:after="124" w:line="360" w:lineRule="auto"/>
        <w:ind w:left="661" w:hanging="661"/>
        <w:jc w:val="center"/>
        <w:rPr>
          <w:rFonts w:ascii="华文中宋" w:hAnsi="华文中宋" w:eastAsia="华文中宋"/>
          <w:b/>
          <w:sz w:val="44"/>
          <w:szCs w:val="44"/>
        </w:rPr>
      </w:pPr>
    </w:p>
    <w:p w14:paraId="6EF640A5">
      <w:pPr>
        <w:pStyle w:val="25"/>
        <w:adjustRightInd w:val="0"/>
        <w:snapToGrid w:val="0"/>
        <w:spacing w:after="124" w:line="360" w:lineRule="auto"/>
        <w:ind w:left="663" w:hanging="663"/>
        <w:jc w:val="center"/>
        <w:rPr>
          <w:rFonts w:hAnsi="宋体"/>
          <w:b/>
          <w:sz w:val="44"/>
          <w:szCs w:val="44"/>
        </w:rPr>
      </w:pPr>
      <w:r>
        <w:rPr>
          <w:rFonts w:hint="eastAsia" w:hAnsi="宋体"/>
          <w:b/>
          <w:sz w:val="44"/>
          <w:szCs w:val="44"/>
        </w:rPr>
        <w:t>(第一部分)</w:t>
      </w:r>
    </w:p>
    <w:p w14:paraId="509ABC68">
      <w:pPr>
        <w:pStyle w:val="25"/>
        <w:spacing w:after="124"/>
        <w:ind w:left="482" w:hanging="482"/>
        <w:jc w:val="center"/>
        <w:rPr>
          <w:rFonts w:ascii="黑体" w:eastAsia="黑体"/>
          <w:b/>
          <w:sz w:val="32"/>
          <w:szCs w:val="32"/>
        </w:rPr>
      </w:pPr>
    </w:p>
    <w:p w14:paraId="5D64AB23">
      <w:pPr>
        <w:pStyle w:val="25"/>
        <w:spacing w:after="124"/>
        <w:ind w:left="482" w:hanging="482"/>
        <w:rPr>
          <w:rFonts w:ascii="黑体" w:eastAsia="黑体"/>
          <w:b/>
          <w:sz w:val="32"/>
          <w:szCs w:val="32"/>
        </w:rPr>
      </w:pPr>
    </w:p>
    <w:p w14:paraId="0F67DF7B">
      <w:pPr>
        <w:pStyle w:val="25"/>
        <w:spacing w:after="124"/>
        <w:ind w:left="482" w:hanging="482"/>
        <w:jc w:val="center"/>
        <w:rPr>
          <w:rFonts w:ascii="黑体" w:eastAsia="黑体"/>
          <w:b/>
          <w:sz w:val="32"/>
          <w:szCs w:val="32"/>
        </w:rPr>
      </w:pPr>
    </w:p>
    <w:p w14:paraId="32390958">
      <w:pPr>
        <w:pStyle w:val="25"/>
        <w:spacing w:after="124"/>
        <w:ind w:left="482" w:hanging="482"/>
        <w:jc w:val="center"/>
        <w:rPr>
          <w:rFonts w:ascii="黑体" w:eastAsia="黑体"/>
          <w:b/>
          <w:sz w:val="32"/>
          <w:szCs w:val="32"/>
        </w:rPr>
      </w:pPr>
    </w:p>
    <w:p w14:paraId="4F383AA6">
      <w:pPr>
        <w:pStyle w:val="25"/>
        <w:spacing w:after="124"/>
        <w:ind w:left="482" w:hanging="482"/>
        <w:jc w:val="center"/>
        <w:rPr>
          <w:rFonts w:ascii="黑体" w:eastAsia="黑体"/>
          <w:b/>
          <w:sz w:val="32"/>
          <w:szCs w:val="32"/>
        </w:rPr>
      </w:pPr>
    </w:p>
    <w:p w14:paraId="3BAC2DCC">
      <w:pPr>
        <w:rPr>
          <w:rFonts w:hint="eastAsia"/>
        </w:rPr>
      </w:pPr>
      <w:bookmarkStart w:id="53" w:name="_Toc21003"/>
      <w:bookmarkStart w:id="54" w:name="_Toc19528"/>
      <w:bookmarkStart w:id="55" w:name="_Toc15521"/>
      <w:bookmarkStart w:id="56" w:name="_Toc11601"/>
      <w:bookmarkStart w:id="57" w:name="_Toc4871"/>
      <w:bookmarkStart w:id="58" w:name="_Toc20388"/>
      <w:r>
        <w:rPr>
          <w:rFonts w:hint="eastAsia"/>
        </w:rPr>
        <w:br w:type="page"/>
      </w:r>
    </w:p>
    <w:p w14:paraId="124763EA">
      <w:pPr>
        <w:pStyle w:val="3"/>
        <w:ind w:left="482" w:hanging="482"/>
      </w:pPr>
      <w:bookmarkStart w:id="59" w:name="_Toc27084"/>
      <w:r>
        <w:rPr>
          <w:rFonts w:hint="eastAsia"/>
        </w:rPr>
        <w:t>第二章 磋商须知</w:t>
      </w:r>
      <w:bookmarkEnd w:id="53"/>
      <w:bookmarkEnd w:id="54"/>
      <w:bookmarkEnd w:id="55"/>
      <w:bookmarkEnd w:id="56"/>
      <w:bookmarkEnd w:id="57"/>
      <w:bookmarkEnd w:id="58"/>
      <w:bookmarkEnd w:id="59"/>
    </w:p>
    <w:p w14:paraId="6C91AC94">
      <w:pPr>
        <w:pStyle w:val="4"/>
        <w:spacing w:after="124"/>
        <w:ind w:left="316" w:hanging="316"/>
        <w:jc w:val="center"/>
      </w:pPr>
      <w:bookmarkStart w:id="60" w:name="_Toc2094"/>
      <w:bookmarkStart w:id="61" w:name="_Toc29825"/>
      <w:bookmarkStart w:id="62" w:name="_Toc4523"/>
      <w:bookmarkStart w:id="63" w:name="_Toc418"/>
      <w:bookmarkStart w:id="64" w:name="_Toc31483"/>
      <w:r>
        <w:rPr>
          <w:rFonts w:hint="eastAsia"/>
        </w:rPr>
        <w:t>第一节 磋商须知前附表</w:t>
      </w:r>
      <w:bookmarkEnd w:id="60"/>
      <w:bookmarkEnd w:id="61"/>
      <w:bookmarkEnd w:id="62"/>
      <w:bookmarkEnd w:id="63"/>
      <w:bookmarkEnd w:id="64"/>
    </w:p>
    <w:p w14:paraId="59CC1D55">
      <w:pPr>
        <w:pStyle w:val="25"/>
        <w:spacing w:after="124"/>
        <w:ind w:hanging="315"/>
        <w:rPr>
          <w:rFonts w:hAnsi="宋体"/>
        </w:rPr>
      </w:pPr>
      <w:r>
        <w:rPr>
          <w:rFonts w:hint="eastAsia" w:hAnsi="宋体"/>
        </w:rPr>
        <w:t>注：请在方框□内划√选择，在“条款号”内限选一项。（本项目采用的条款用“■”标示）</w:t>
      </w:r>
    </w:p>
    <w:tbl>
      <w:tblPr>
        <w:tblStyle w:val="46"/>
        <w:tblW w:w="827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1847"/>
        <w:gridCol w:w="1917"/>
        <w:gridCol w:w="4510"/>
      </w:tblGrid>
      <w:tr w14:paraId="2B0096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0" w:hRule="atLeast"/>
          <w:tblHeader/>
          <w:jc w:val="center"/>
        </w:trPr>
        <w:tc>
          <w:tcPr>
            <w:tcW w:w="1847" w:type="dxa"/>
            <w:shd w:val="clear" w:color="auto" w:fill="auto"/>
            <w:vAlign w:val="center"/>
          </w:tcPr>
          <w:p w14:paraId="54BF60C3">
            <w:pPr>
              <w:pageBreakBefore w:val="0"/>
              <w:widowControl w:val="0"/>
              <w:kinsoku/>
              <w:wordWrap w:val="0"/>
              <w:overflowPunct/>
              <w:topLinePunct w:val="0"/>
              <w:autoSpaceDE/>
              <w:autoSpaceDN/>
              <w:bidi w:val="0"/>
              <w:snapToGrid/>
              <w:spacing w:line="240" w:lineRule="auto"/>
              <w:ind w:left="0" w:leftChars="0" w:firstLine="0" w:firstLineChars="0"/>
              <w:jc w:val="center"/>
              <w:rPr>
                <w:rFonts w:ascii="宋体" w:hAnsi="宋体"/>
                <w:b/>
                <w:bCs/>
              </w:rPr>
            </w:pPr>
            <w:r>
              <w:rPr>
                <w:rFonts w:hint="eastAsia" w:ascii="宋体" w:hAnsi="宋体"/>
                <w:b/>
                <w:bCs/>
              </w:rPr>
              <w:t>条款号</w:t>
            </w:r>
          </w:p>
        </w:tc>
        <w:tc>
          <w:tcPr>
            <w:tcW w:w="1917" w:type="dxa"/>
            <w:shd w:val="clear" w:color="auto" w:fill="auto"/>
            <w:vAlign w:val="center"/>
          </w:tcPr>
          <w:p w14:paraId="67DA0021">
            <w:pPr>
              <w:pageBreakBefore w:val="0"/>
              <w:widowControl w:val="0"/>
              <w:kinsoku/>
              <w:wordWrap w:val="0"/>
              <w:overflowPunct/>
              <w:topLinePunct w:val="0"/>
              <w:autoSpaceDE/>
              <w:autoSpaceDN/>
              <w:bidi w:val="0"/>
              <w:snapToGrid/>
              <w:spacing w:line="240" w:lineRule="auto"/>
              <w:ind w:left="0" w:leftChars="0" w:firstLine="0" w:firstLineChars="0"/>
              <w:jc w:val="center"/>
              <w:rPr>
                <w:rFonts w:ascii="宋体" w:hAnsi="宋体"/>
                <w:b/>
                <w:bCs/>
              </w:rPr>
            </w:pPr>
            <w:r>
              <w:rPr>
                <w:rFonts w:hint="eastAsia" w:ascii="宋体" w:hAnsi="宋体"/>
                <w:b/>
                <w:bCs/>
              </w:rPr>
              <w:t>条款名称</w:t>
            </w:r>
          </w:p>
        </w:tc>
        <w:tc>
          <w:tcPr>
            <w:tcW w:w="4510" w:type="dxa"/>
            <w:shd w:val="clear" w:color="auto" w:fill="auto"/>
            <w:vAlign w:val="center"/>
          </w:tcPr>
          <w:p w14:paraId="2A654398">
            <w:pPr>
              <w:pageBreakBefore w:val="0"/>
              <w:widowControl w:val="0"/>
              <w:kinsoku/>
              <w:wordWrap w:val="0"/>
              <w:overflowPunct/>
              <w:topLinePunct w:val="0"/>
              <w:autoSpaceDE/>
              <w:autoSpaceDN/>
              <w:bidi w:val="0"/>
              <w:snapToGrid/>
              <w:spacing w:line="240" w:lineRule="auto"/>
              <w:ind w:left="0" w:leftChars="0" w:firstLine="0" w:firstLineChars="0"/>
              <w:jc w:val="center"/>
              <w:rPr>
                <w:rFonts w:ascii="宋体" w:hAnsi="宋体"/>
                <w:b/>
                <w:bCs/>
              </w:rPr>
            </w:pPr>
            <w:r>
              <w:rPr>
                <w:rFonts w:hint="eastAsia" w:ascii="宋体" w:hAnsi="宋体"/>
                <w:b/>
                <w:bCs/>
              </w:rPr>
              <w:t>编列内容规定</w:t>
            </w:r>
          </w:p>
        </w:tc>
      </w:tr>
      <w:tr w14:paraId="0A5A11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09" w:hRule="atLeast"/>
          <w:jc w:val="center"/>
        </w:trPr>
        <w:tc>
          <w:tcPr>
            <w:tcW w:w="8274" w:type="dxa"/>
            <w:gridSpan w:val="3"/>
            <w:shd w:val="clear" w:color="auto" w:fill="auto"/>
            <w:vAlign w:val="center"/>
          </w:tcPr>
          <w:p w14:paraId="53CAAF91">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b/>
                <w:bCs/>
              </w:rPr>
              <w:t>一、说明</w:t>
            </w:r>
          </w:p>
        </w:tc>
      </w:tr>
      <w:tr w14:paraId="2D07DE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847" w:type="dxa"/>
            <w:shd w:val="clear" w:color="auto" w:fill="auto"/>
            <w:vAlign w:val="center"/>
          </w:tcPr>
          <w:p w14:paraId="7B8B421D">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第二章第1.1款</w:t>
            </w:r>
          </w:p>
        </w:tc>
        <w:tc>
          <w:tcPr>
            <w:tcW w:w="1917" w:type="dxa"/>
            <w:shd w:val="clear" w:color="auto" w:fill="auto"/>
            <w:vAlign w:val="center"/>
          </w:tcPr>
          <w:p w14:paraId="6D5A2BB0">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采购项目</w:t>
            </w:r>
          </w:p>
        </w:tc>
        <w:tc>
          <w:tcPr>
            <w:tcW w:w="4510" w:type="dxa"/>
            <w:shd w:val="clear" w:color="auto" w:fill="auto"/>
            <w:vAlign w:val="center"/>
          </w:tcPr>
          <w:p w14:paraId="3C663C90">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ascii="宋体" w:hAnsi="宋体"/>
                <w:szCs w:val="21"/>
                <w:lang w:eastAsia="zh-CN"/>
              </w:rPr>
              <w:t>湘潭大学综合实验大楼地下室提质改造工程</w:t>
            </w:r>
          </w:p>
        </w:tc>
      </w:tr>
      <w:tr w14:paraId="0B2C26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0" w:hRule="atLeast"/>
          <w:jc w:val="center"/>
        </w:trPr>
        <w:tc>
          <w:tcPr>
            <w:tcW w:w="1847" w:type="dxa"/>
            <w:shd w:val="clear" w:color="auto" w:fill="auto"/>
            <w:vAlign w:val="center"/>
          </w:tcPr>
          <w:p w14:paraId="61FA338B">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第二章第2.1款</w:t>
            </w:r>
          </w:p>
        </w:tc>
        <w:tc>
          <w:tcPr>
            <w:tcW w:w="1917" w:type="dxa"/>
            <w:shd w:val="clear" w:color="auto" w:fill="auto"/>
            <w:vAlign w:val="center"/>
          </w:tcPr>
          <w:p w14:paraId="10E1C93F">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采购人</w:t>
            </w:r>
          </w:p>
        </w:tc>
        <w:tc>
          <w:tcPr>
            <w:tcW w:w="4510" w:type="dxa"/>
            <w:shd w:val="clear" w:color="auto" w:fill="auto"/>
            <w:vAlign w:val="center"/>
          </w:tcPr>
          <w:p w14:paraId="3A2886D6">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eastAsia="宋体" w:cs="宋体"/>
                <w:kern w:val="0"/>
                <w:szCs w:val="21"/>
              </w:rPr>
            </w:pPr>
            <w:r>
              <w:rPr>
                <w:rFonts w:hint="eastAsia" w:ascii="宋体" w:hAnsi="宋体" w:eastAsia="宋体" w:cs="宋体"/>
                <w:kern w:val="0"/>
                <w:szCs w:val="21"/>
              </w:rPr>
              <w:t>采购人：湘潭大学</w:t>
            </w:r>
          </w:p>
          <w:p w14:paraId="130E53BE">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eastAsia="宋体" w:cs="宋体"/>
                <w:kern w:val="0"/>
                <w:szCs w:val="21"/>
              </w:rPr>
            </w:pPr>
            <w:r>
              <w:rPr>
                <w:rFonts w:hint="eastAsia" w:ascii="宋体" w:hAnsi="宋体" w:eastAsia="宋体" w:cs="宋体"/>
                <w:kern w:val="0"/>
                <w:szCs w:val="21"/>
              </w:rPr>
              <w:t>地址：</w:t>
            </w:r>
            <w:r>
              <w:rPr>
                <w:rFonts w:hint="eastAsia" w:ascii="宋体" w:hAnsi="宋体" w:cs="宋体"/>
                <w:color w:val="auto"/>
                <w:szCs w:val="21"/>
                <w:highlight w:val="none"/>
              </w:rPr>
              <w:t>湖南省湘潭市雨湖区北二环路</w:t>
            </w:r>
          </w:p>
          <w:p w14:paraId="0D8115B7">
            <w:pPr>
              <w:pageBreakBefore w:val="0"/>
              <w:widowControl w:val="0"/>
              <w:kinsoku/>
              <w:wordWrap w:val="0"/>
              <w:overflowPunct/>
              <w:topLinePunct w:val="0"/>
              <w:autoSpaceDE/>
              <w:autoSpaceDN/>
              <w:bidi w:val="0"/>
              <w:snapToGrid/>
              <w:spacing w:line="240" w:lineRule="auto"/>
              <w:ind w:left="0" w:leftChars="0" w:firstLine="0" w:firstLineChars="0"/>
              <w:rPr>
                <w:rFonts w:hint="eastAsia" w:ascii="宋体" w:hAnsi="宋体" w:eastAsia="宋体" w:cs="宋体"/>
                <w:kern w:val="0"/>
                <w:szCs w:val="21"/>
                <w:lang w:eastAsia="zh-CN"/>
              </w:rPr>
            </w:pPr>
            <w:r>
              <w:rPr>
                <w:rFonts w:hint="eastAsia" w:ascii="宋体" w:hAnsi="宋体" w:eastAsia="宋体" w:cs="宋体"/>
                <w:kern w:val="0"/>
                <w:szCs w:val="21"/>
              </w:rPr>
              <w:t>联系人：</w:t>
            </w:r>
            <w:r>
              <w:rPr>
                <w:rFonts w:hint="eastAsia" w:ascii="宋体" w:hAnsi="宋体" w:cs="宋体"/>
                <w:color w:val="auto"/>
                <w:szCs w:val="21"/>
                <w:highlight w:val="none"/>
                <w:lang w:eastAsia="zh-CN"/>
              </w:rPr>
              <w:t>祝老师</w:t>
            </w:r>
          </w:p>
          <w:p w14:paraId="1336C022">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cs="宋体"/>
                <w:kern w:val="0"/>
                <w:szCs w:val="21"/>
              </w:rPr>
            </w:pPr>
            <w:r>
              <w:rPr>
                <w:rFonts w:hint="eastAsia" w:ascii="宋体" w:hAnsi="宋体" w:eastAsia="宋体" w:cs="宋体"/>
                <w:kern w:val="0"/>
                <w:szCs w:val="21"/>
              </w:rPr>
              <w:t>电话：</w:t>
            </w:r>
            <w:r>
              <w:rPr>
                <w:rFonts w:hint="eastAsia" w:ascii="宋体" w:hAnsi="宋体" w:cs="宋体"/>
                <w:kern w:val="0"/>
                <w:szCs w:val="21"/>
                <w:lang w:val="en-US" w:eastAsia="zh-CN"/>
              </w:rPr>
              <w:t>0731-58293956</w:t>
            </w:r>
          </w:p>
        </w:tc>
      </w:tr>
      <w:tr w14:paraId="60A523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97" w:hRule="atLeast"/>
          <w:jc w:val="center"/>
        </w:trPr>
        <w:tc>
          <w:tcPr>
            <w:tcW w:w="1847" w:type="dxa"/>
            <w:shd w:val="clear" w:color="auto" w:fill="auto"/>
            <w:vAlign w:val="center"/>
          </w:tcPr>
          <w:p w14:paraId="08A67277">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第二章第2.2款</w:t>
            </w:r>
          </w:p>
        </w:tc>
        <w:tc>
          <w:tcPr>
            <w:tcW w:w="1917" w:type="dxa"/>
            <w:shd w:val="clear" w:color="auto" w:fill="auto"/>
            <w:vAlign w:val="center"/>
          </w:tcPr>
          <w:p w14:paraId="13B26C1D">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采购代理机构</w:t>
            </w:r>
          </w:p>
        </w:tc>
        <w:tc>
          <w:tcPr>
            <w:tcW w:w="4510" w:type="dxa"/>
            <w:shd w:val="clear" w:color="auto" w:fill="auto"/>
            <w:vAlign w:val="center"/>
          </w:tcPr>
          <w:p w14:paraId="4F5E59A3">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hint="eastAsia" w:ascii="宋体" w:hAnsi="宋体" w:eastAsia="宋体" w:cs="Times New Roman"/>
                <w:bCs/>
                <w:szCs w:val="21"/>
                <w:lang w:eastAsia="zh-CN"/>
              </w:rPr>
            </w:pPr>
            <w:r>
              <w:rPr>
                <w:rFonts w:hint="eastAsia" w:ascii="宋体" w:hAnsi="宋体" w:eastAsia="宋体" w:cs="Times New Roman"/>
                <w:bCs/>
                <w:szCs w:val="21"/>
              </w:rPr>
              <w:t>采购代理机构：</w:t>
            </w:r>
            <w:r>
              <w:rPr>
                <w:rFonts w:hint="eastAsia" w:ascii="宋体" w:hAnsi="宋体" w:eastAsia="宋体" w:cs="Times New Roman"/>
                <w:bCs/>
                <w:szCs w:val="21"/>
                <w:lang w:eastAsia="zh-CN"/>
              </w:rPr>
              <w:t>能力项目咨询有限公司</w:t>
            </w:r>
          </w:p>
          <w:p w14:paraId="78959141">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hint="eastAsia" w:ascii="宋体" w:hAnsi="宋体" w:eastAsia="宋体" w:cs="Times New Roman"/>
                <w:bCs/>
                <w:color w:val="FF0000"/>
                <w:szCs w:val="21"/>
                <w:lang w:val="en-US" w:eastAsia="zh-CN"/>
              </w:rPr>
            </w:pPr>
            <w:r>
              <w:rPr>
                <w:rFonts w:hint="eastAsia" w:ascii="宋体" w:hAnsi="宋体" w:eastAsia="宋体" w:cs="Times New Roman"/>
                <w:bCs/>
                <w:szCs w:val="21"/>
              </w:rPr>
              <w:t>联系人：</w:t>
            </w:r>
            <w:r>
              <w:rPr>
                <w:rFonts w:hint="eastAsia" w:ascii="宋体" w:hAnsi="宋体" w:cs="宋体"/>
                <w:color w:val="auto"/>
                <w:szCs w:val="21"/>
                <w:highlight w:val="none"/>
                <w:lang w:eastAsia="zh-CN"/>
              </w:rPr>
              <w:t>吴艳、杨娟、刘平</w:t>
            </w:r>
          </w:p>
          <w:p w14:paraId="37F0DFD8">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hint="eastAsia" w:ascii="宋体" w:hAnsi="宋体" w:eastAsia="宋体" w:cs="Times New Roman"/>
                <w:bCs/>
                <w:szCs w:val="21"/>
                <w:lang w:eastAsia="zh-CN"/>
              </w:rPr>
            </w:pPr>
            <w:r>
              <w:rPr>
                <w:rFonts w:hint="eastAsia" w:ascii="宋体" w:hAnsi="宋体" w:eastAsia="宋体" w:cs="Times New Roman"/>
                <w:bCs/>
                <w:szCs w:val="21"/>
              </w:rPr>
              <w:t>电话：</w:t>
            </w:r>
            <w:r>
              <w:rPr>
                <w:rFonts w:hint="eastAsia" w:ascii="宋体" w:hAnsi="宋体" w:cs="Times New Roman"/>
                <w:bCs/>
                <w:szCs w:val="21"/>
                <w:lang w:eastAsia="zh-CN"/>
              </w:rPr>
              <w:t>0731-89699711、19807317711</w:t>
            </w:r>
          </w:p>
          <w:p w14:paraId="5FAAF537">
            <w:pPr>
              <w:pageBreakBefore w:val="0"/>
              <w:widowControl w:val="0"/>
              <w:kinsoku/>
              <w:wordWrap w:val="0"/>
              <w:overflowPunct/>
              <w:topLinePunct w:val="0"/>
              <w:autoSpaceDE/>
              <w:autoSpaceDN/>
              <w:bidi w:val="0"/>
              <w:snapToGrid/>
              <w:spacing w:line="240" w:lineRule="auto"/>
              <w:ind w:left="0" w:leftChars="0" w:firstLine="0" w:firstLineChars="0"/>
              <w:rPr>
                <w:rFonts w:hint="eastAsia" w:ascii="宋体" w:hAnsi="宋体" w:eastAsia="宋体" w:cs="宋体"/>
                <w:kern w:val="0"/>
                <w:szCs w:val="21"/>
                <w:lang w:eastAsia="zh-CN"/>
              </w:rPr>
            </w:pPr>
            <w:r>
              <w:rPr>
                <w:rFonts w:hint="eastAsia" w:ascii="宋体" w:hAnsi="宋体" w:eastAsia="宋体" w:cs="Times New Roman"/>
                <w:bCs/>
                <w:szCs w:val="21"/>
              </w:rPr>
              <w:t>地址：</w:t>
            </w:r>
            <w:r>
              <w:rPr>
                <w:rFonts w:hint="eastAsia" w:ascii="宋体" w:hAnsi="宋体" w:cs="宋体"/>
                <w:color w:val="auto"/>
                <w:szCs w:val="21"/>
                <w:highlight w:val="none"/>
                <w:lang w:eastAsia="zh-CN"/>
              </w:rPr>
              <w:t>长沙市雨花区时代阳光大道西388号轻盐阳光CEO大厦711室</w:t>
            </w:r>
          </w:p>
        </w:tc>
      </w:tr>
      <w:tr w14:paraId="5EB206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24" w:hRule="atLeast"/>
          <w:jc w:val="center"/>
        </w:trPr>
        <w:tc>
          <w:tcPr>
            <w:tcW w:w="1847" w:type="dxa"/>
            <w:shd w:val="clear" w:color="auto" w:fill="auto"/>
            <w:vAlign w:val="center"/>
          </w:tcPr>
          <w:p w14:paraId="239F8AD2">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第二章第2.3款</w:t>
            </w:r>
          </w:p>
        </w:tc>
        <w:tc>
          <w:tcPr>
            <w:tcW w:w="1917" w:type="dxa"/>
            <w:shd w:val="clear" w:color="auto" w:fill="auto"/>
            <w:vAlign w:val="center"/>
          </w:tcPr>
          <w:p w14:paraId="15635073">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供应商的邀请方式</w:t>
            </w:r>
          </w:p>
        </w:tc>
        <w:tc>
          <w:tcPr>
            <w:tcW w:w="4510" w:type="dxa"/>
            <w:shd w:val="clear" w:color="auto" w:fill="auto"/>
            <w:vAlign w:val="center"/>
          </w:tcPr>
          <w:p w14:paraId="52C71035">
            <w:pPr>
              <w:keepNext w:val="0"/>
              <w:keepLines w:val="0"/>
              <w:pageBreakBefore w:val="0"/>
              <w:widowControl w:val="0"/>
              <w:kinsoku/>
              <w:wordWrap w:val="0"/>
              <w:overflowPunct/>
              <w:topLinePunct w:val="0"/>
              <w:autoSpaceDE/>
              <w:autoSpaceDN/>
              <w:bidi w:val="0"/>
              <w:adjustRightInd/>
              <w:snapToGrid/>
              <w:spacing w:line="240" w:lineRule="auto"/>
              <w:ind w:left="0" w:leftChars="0" w:firstLine="0" w:firstLineChars="0"/>
              <w:jc w:val="both"/>
              <w:textAlignment w:val="auto"/>
              <w:rPr>
                <w:rFonts w:hint="default" w:ascii="宋体" w:hAnsi="宋体" w:eastAsia="宋体"/>
                <w:lang w:val="en-US" w:eastAsia="zh-CN"/>
              </w:rPr>
            </w:pPr>
            <w:r>
              <w:rPr>
                <w:rFonts w:hint="eastAsia" w:ascii="宋体" w:hAnsi="宋体"/>
                <w:lang w:val="en-US" w:eastAsia="zh-CN"/>
              </w:rPr>
              <w:t>公告邀请</w:t>
            </w:r>
          </w:p>
        </w:tc>
      </w:tr>
      <w:tr w14:paraId="28F5E3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154" w:hRule="atLeast"/>
          <w:jc w:val="center"/>
        </w:trPr>
        <w:tc>
          <w:tcPr>
            <w:tcW w:w="1847" w:type="dxa"/>
            <w:shd w:val="clear" w:color="auto" w:fill="auto"/>
            <w:vAlign w:val="center"/>
          </w:tcPr>
          <w:p w14:paraId="10114AB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第二章第3.1款</w:t>
            </w:r>
          </w:p>
        </w:tc>
        <w:tc>
          <w:tcPr>
            <w:tcW w:w="1917" w:type="dxa"/>
            <w:shd w:val="clear" w:color="auto" w:fill="auto"/>
            <w:vAlign w:val="center"/>
          </w:tcPr>
          <w:p w14:paraId="760E07CD">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供应商资格条件</w:t>
            </w:r>
          </w:p>
        </w:tc>
        <w:tc>
          <w:tcPr>
            <w:tcW w:w="4510" w:type="dxa"/>
            <w:shd w:val="clear" w:color="auto" w:fill="auto"/>
            <w:vAlign w:val="center"/>
          </w:tcPr>
          <w:p w14:paraId="1317E586">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（一）基本资格条件：</w:t>
            </w:r>
          </w:p>
          <w:p w14:paraId="30C547DF">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1、供应商的基本资格条件：供应商必须是在中华人民共和国境内注册登记的法人、其他组织或者自然人，且应当符合《政府采购法》第二十二条第一款的规定，即：</w:t>
            </w:r>
          </w:p>
          <w:p w14:paraId="6E9761B4">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（1）具有独立承担民事责任的能力；</w:t>
            </w:r>
          </w:p>
          <w:p w14:paraId="137E47D1">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（2）具有良好的商业信誉和健全的财务会计制度；</w:t>
            </w:r>
          </w:p>
          <w:p w14:paraId="70452D2C">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（3）具有履行合同所必需的设备和专业技术能力；</w:t>
            </w:r>
          </w:p>
          <w:p w14:paraId="572FAA9F">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（4）有依法缴纳税收和社会保障资金的良好记录；</w:t>
            </w:r>
          </w:p>
          <w:p w14:paraId="04219516">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（5）参加政府采购活动前三年内，在经营活动中没有重大违法记录；</w:t>
            </w:r>
          </w:p>
          <w:p w14:paraId="6A5ED686">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（6）法律、行政法规规定的其他条件。</w:t>
            </w:r>
          </w:p>
          <w:p w14:paraId="24AE8B6C">
            <w:pPr>
              <w:pageBreakBefore w:val="0"/>
              <w:widowControl w:val="0"/>
              <w:kinsoku/>
              <w:wordWrap w:val="0"/>
              <w:overflowPunct/>
              <w:topLinePunct w:val="0"/>
              <w:autoSpaceDE/>
              <w:autoSpaceDN/>
              <w:bidi w:val="0"/>
              <w:snapToGrid/>
              <w:spacing w:line="240" w:lineRule="auto"/>
              <w:rPr>
                <w:rFonts w:hint="eastAsia" w:ascii="宋体" w:hAnsi="宋体" w:eastAsia="宋体" w:cs="宋体"/>
                <w:color w:val="auto"/>
                <w:lang w:val="en-US" w:eastAsia="zh-CN"/>
              </w:rPr>
            </w:pPr>
            <w:r>
              <w:rPr>
                <w:rFonts w:hint="eastAsia" w:ascii="宋体" w:hAnsi="宋体" w:eastAsia="宋体" w:cs="宋体"/>
                <w:lang w:val="en-US" w:eastAsia="zh-CN"/>
              </w:rPr>
              <w:t>2、供应商的特定资格条件：</w:t>
            </w:r>
          </w:p>
          <w:p w14:paraId="5BD794C1">
            <w:pPr>
              <w:keepLines w:val="0"/>
              <w:pageBreakBefore w:val="0"/>
              <w:kinsoku/>
              <w:overflowPunct/>
              <w:topLinePunct w:val="0"/>
              <w:autoSpaceDE/>
              <w:autoSpaceDN/>
              <w:bidi w:val="0"/>
              <w:adjustRightInd w:val="0"/>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（1）投标人具有建设行政主管部门颁发的建筑工程施工总承包叁级（含叁级）</w:t>
            </w:r>
            <w:r>
              <w:rPr>
                <w:rFonts w:hint="eastAsia" w:ascii="宋体" w:hAnsi="宋体" w:eastAsia="宋体" w:cs="宋体"/>
                <w:color w:val="auto"/>
                <w:sz w:val="21"/>
                <w:szCs w:val="21"/>
                <w:lang w:val="en-US" w:eastAsia="zh-CN"/>
              </w:rPr>
              <w:t>或建筑装修装饰工程专业承包贰级(含贰级)及以上资质证书</w:t>
            </w:r>
            <w:r>
              <w:rPr>
                <w:rFonts w:hint="eastAsia" w:ascii="宋体" w:hAnsi="宋体" w:eastAsia="宋体" w:cs="宋体"/>
                <w:color w:val="auto"/>
                <w:sz w:val="21"/>
                <w:szCs w:val="21"/>
              </w:rPr>
              <w:t>。且安全生产许可证处于有效期内；</w:t>
            </w:r>
          </w:p>
          <w:p w14:paraId="346DDEDE">
            <w:pPr>
              <w:keepLines w:val="0"/>
              <w:pageBreakBefore w:val="0"/>
              <w:kinsoku/>
              <w:overflowPunct/>
              <w:topLinePunct w:val="0"/>
              <w:autoSpaceDE/>
              <w:autoSpaceDN/>
              <w:bidi w:val="0"/>
              <w:adjustRightInd w:val="0"/>
              <w:snapToGrid/>
              <w:spacing w:line="240" w:lineRule="auto"/>
              <w:textAlignment w:val="auto"/>
              <w:rPr>
                <w:rFonts w:hint="eastAsia" w:ascii="宋体" w:hAnsi="宋体" w:eastAsia="宋体" w:cs="宋体"/>
                <w:sz w:val="21"/>
                <w:szCs w:val="21"/>
              </w:rPr>
            </w:pPr>
            <w:r>
              <w:rPr>
                <w:rFonts w:hint="eastAsia" w:ascii="宋体" w:hAnsi="宋体" w:eastAsia="宋体" w:cs="宋体"/>
                <w:color w:val="auto"/>
                <w:sz w:val="21"/>
                <w:szCs w:val="21"/>
              </w:rPr>
              <w:t>（2）拟任项目负责人须具有建设行政主管部门颁发的</w:t>
            </w:r>
            <w:r>
              <w:rPr>
                <w:rFonts w:hint="eastAsia" w:ascii="宋体" w:hAnsi="宋体" w:eastAsia="宋体" w:cs="宋体"/>
                <w:color w:val="auto"/>
                <w:sz w:val="21"/>
                <w:szCs w:val="21"/>
                <w:lang w:eastAsia="zh-CN"/>
              </w:rPr>
              <w:t>建筑工程</w:t>
            </w:r>
            <w:r>
              <w:rPr>
                <w:rFonts w:hint="eastAsia" w:ascii="宋体" w:hAnsi="宋体" w:eastAsia="宋体" w:cs="宋体"/>
                <w:color w:val="auto"/>
                <w:sz w:val="21"/>
                <w:szCs w:val="21"/>
              </w:rPr>
              <w:t>专业贰级（含贰级）或以上注册建造师证，以及有效的B类安全生产考核</w:t>
            </w:r>
            <w:r>
              <w:rPr>
                <w:rFonts w:hint="eastAsia" w:ascii="宋体" w:hAnsi="宋体" w:eastAsia="宋体" w:cs="宋体"/>
                <w:sz w:val="21"/>
                <w:szCs w:val="21"/>
              </w:rPr>
              <w:t>合格证；</w:t>
            </w:r>
          </w:p>
          <w:p w14:paraId="5E50C35F">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3、法人提交企业法人营业执照副本(或者法人登记证书）、组织机构代码证副本、基本户开户证明复印件或银行开户基本信息；</w:t>
            </w:r>
          </w:p>
          <w:p w14:paraId="5266C238">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4、法人提交法定代表人资格证明书复印件或者法定代表人授权委托书原件并附法定代表人身份证明复印件；自然人提交身份证明复印件；</w:t>
            </w:r>
          </w:p>
          <w:p w14:paraId="0D26B707">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5、单位负责人为同一人或者存在直接控股、管理关系的不同供应商，不得参加同一合同项下的政府采购活动。</w:t>
            </w:r>
          </w:p>
          <w:p w14:paraId="1D7E5AD7">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6、为本采购项目提供整体设计、规范编制或者项目管理、监理、检测等服务的，不得再参加此项目的其他采购活动。</w:t>
            </w:r>
          </w:p>
          <w:p w14:paraId="227C0BC2">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7、供应商提供未列入失信被执行人、重大税收违法案件当事人名单、政府采购严重违法失信行为记录名单的书面承诺（格式自拟）。</w:t>
            </w:r>
          </w:p>
          <w:p w14:paraId="63B5EBCD">
            <w:pPr>
              <w:pageBreakBefore w:val="0"/>
              <w:widowControl w:val="0"/>
              <w:kinsoku/>
              <w:wordWrap w:val="0"/>
              <w:overflowPunct/>
              <w:topLinePunct w:val="0"/>
              <w:autoSpaceDE/>
              <w:autoSpaceDN/>
              <w:bidi w:val="0"/>
              <w:snapToGrid/>
              <w:spacing w:line="240" w:lineRule="auto"/>
              <w:rPr>
                <w:rFonts w:hint="eastAsia" w:ascii="宋体" w:hAnsi="宋体" w:eastAsia="宋体" w:cs="宋体"/>
              </w:rPr>
            </w:pPr>
            <w:r>
              <w:rPr>
                <w:rFonts w:hint="eastAsia" w:ascii="宋体" w:hAnsi="宋体" w:eastAsia="宋体" w:cs="宋体"/>
              </w:rPr>
              <w:t>8、本次磋商采购不接受(接受或不接受)供应商为联合体形式。</w:t>
            </w:r>
          </w:p>
        </w:tc>
      </w:tr>
      <w:tr w14:paraId="2F797E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1847" w:type="dxa"/>
            <w:shd w:val="clear" w:color="auto" w:fill="auto"/>
            <w:vAlign w:val="center"/>
          </w:tcPr>
          <w:p w14:paraId="56DE9C7E">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第二章第6.1款</w:t>
            </w:r>
          </w:p>
        </w:tc>
        <w:tc>
          <w:tcPr>
            <w:tcW w:w="1917" w:type="dxa"/>
            <w:shd w:val="clear" w:color="auto" w:fill="auto"/>
            <w:vAlign w:val="center"/>
          </w:tcPr>
          <w:p w14:paraId="6DAFC200">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联合体形式</w:t>
            </w:r>
          </w:p>
        </w:tc>
        <w:tc>
          <w:tcPr>
            <w:tcW w:w="4510" w:type="dxa"/>
            <w:shd w:val="clear" w:color="auto" w:fill="auto"/>
            <w:vAlign w:val="center"/>
          </w:tcPr>
          <w:p w14:paraId="13176A53">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szCs w:val="21"/>
              </w:rPr>
              <w:t>■不接受</w:t>
            </w:r>
          </w:p>
          <w:p w14:paraId="4C003415">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□接受</w:t>
            </w:r>
          </w:p>
        </w:tc>
      </w:tr>
      <w:tr w14:paraId="540B0F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9" w:hRule="atLeast"/>
          <w:jc w:val="center"/>
        </w:trPr>
        <w:tc>
          <w:tcPr>
            <w:tcW w:w="1847" w:type="dxa"/>
            <w:shd w:val="clear" w:color="auto" w:fill="auto"/>
            <w:vAlign w:val="center"/>
          </w:tcPr>
          <w:p w14:paraId="77F8654C">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第二章第6.2款</w:t>
            </w:r>
          </w:p>
        </w:tc>
        <w:tc>
          <w:tcPr>
            <w:tcW w:w="1917" w:type="dxa"/>
            <w:shd w:val="clear" w:color="auto" w:fill="auto"/>
            <w:vAlign w:val="center"/>
          </w:tcPr>
          <w:p w14:paraId="1FBDDE10">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对联合体各方的要求</w:t>
            </w:r>
          </w:p>
        </w:tc>
        <w:tc>
          <w:tcPr>
            <w:tcW w:w="4510" w:type="dxa"/>
            <w:shd w:val="clear" w:color="auto" w:fill="auto"/>
            <w:vAlign w:val="center"/>
          </w:tcPr>
          <w:p w14:paraId="5F2549C5">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本项目不接受联合体投标</w:t>
            </w:r>
          </w:p>
        </w:tc>
      </w:tr>
      <w:tr w14:paraId="0EF298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27" w:hRule="atLeast"/>
          <w:jc w:val="center"/>
        </w:trPr>
        <w:tc>
          <w:tcPr>
            <w:tcW w:w="1847" w:type="dxa"/>
            <w:shd w:val="clear" w:color="auto" w:fill="auto"/>
            <w:vAlign w:val="center"/>
          </w:tcPr>
          <w:p w14:paraId="23B34F5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第二章第7.1款</w:t>
            </w:r>
          </w:p>
        </w:tc>
        <w:tc>
          <w:tcPr>
            <w:tcW w:w="1917" w:type="dxa"/>
            <w:shd w:val="clear" w:color="auto" w:fill="auto"/>
            <w:vAlign w:val="center"/>
          </w:tcPr>
          <w:p w14:paraId="26B88B95">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现场勘察</w:t>
            </w:r>
          </w:p>
        </w:tc>
        <w:tc>
          <w:tcPr>
            <w:tcW w:w="4510" w:type="dxa"/>
            <w:shd w:val="clear" w:color="auto" w:fill="auto"/>
            <w:vAlign w:val="center"/>
          </w:tcPr>
          <w:p w14:paraId="53066A71">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szCs w:val="21"/>
              </w:rPr>
              <w:t>■采购人不组织</w:t>
            </w:r>
          </w:p>
          <w:p w14:paraId="51129CAD">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□采购人组织，时间：地点：联系人：</w:t>
            </w:r>
          </w:p>
        </w:tc>
      </w:tr>
      <w:tr w14:paraId="7375C2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35" w:hRule="atLeast"/>
          <w:jc w:val="center"/>
        </w:trPr>
        <w:tc>
          <w:tcPr>
            <w:tcW w:w="1847" w:type="dxa"/>
            <w:shd w:val="clear" w:color="auto" w:fill="auto"/>
            <w:vAlign w:val="center"/>
          </w:tcPr>
          <w:p w14:paraId="1AAE2D73">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第二章第8.1款</w:t>
            </w:r>
          </w:p>
        </w:tc>
        <w:tc>
          <w:tcPr>
            <w:tcW w:w="1917" w:type="dxa"/>
            <w:shd w:val="clear" w:color="auto" w:fill="auto"/>
            <w:vAlign w:val="center"/>
          </w:tcPr>
          <w:p w14:paraId="36461695">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szCs w:val="21"/>
              </w:rPr>
              <w:t>采购进口产品</w:t>
            </w:r>
          </w:p>
        </w:tc>
        <w:tc>
          <w:tcPr>
            <w:tcW w:w="4510" w:type="dxa"/>
            <w:shd w:val="clear" w:color="auto" w:fill="auto"/>
            <w:vAlign w:val="center"/>
          </w:tcPr>
          <w:p w14:paraId="0839FC60">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szCs w:val="21"/>
              </w:rPr>
              <w:t>■本项目拒绝采购进口产品</w:t>
            </w:r>
          </w:p>
          <w:p w14:paraId="1268F095">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szCs w:val="21"/>
              </w:rPr>
              <w:t>□本项目已经财政部门审核同意购买进口产品</w:t>
            </w:r>
          </w:p>
        </w:tc>
      </w:tr>
      <w:tr w14:paraId="5C6556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35" w:hRule="atLeast"/>
          <w:jc w:val="center"/>
        </w:trPr>
        <w:tc>
          <w:tcPr>
            <w:tcW w:w="1847" w:type="dxa"/>
            <w:shd w:val="clear" w:color="auto" w:fill="auto"/>
            <w:vAlign w:val="center"/>
          </w:tcPr>
          <w:p w14:paraId="513C0FD3">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p>
        </w:tc>
        <w:tc>
          <w:tcPr>
            <w:tcW w:w="1917" w:type="dxa"/>
            <w:shd w:val="clear" w:color="auto" w:fill="auto"/>
            <w:vAlign w:val="center"/>
          </w:tcPr>
          <w:p w14:paraId="2A3E6AAF">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szCs w:val="21"/>
              </w:rPr>
              <w:t>政府采购优先采购</w:t>
            </w:r>
            <w:r>
              <w:rPr>
                <w:rFonts w:hint="eastAsia" w:ascii="宋体" w:hAnsi="宋体" w:cs="宋体"/>
                <w:szCs w:val="21"/>
              </w:rPr>
              <w:t>节能产品或环境标志产品</w:t>
            </w:r>
          </w:p>
        </w:tc>
        <w:tc>
          <w:tcPr>
            <w:tcW w:w="4510" w:type="dxa"/>
            <w:shd w:val="clear" w:color="auto" w:fill="auto"/>
            <w:vAlign w:val="center"/>
          </w:tcPr>
          <w:p w14:paraId="6D2D937C">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szCs w:val="21"/>
              </w:rPr>
            </w:pPr>
            <w:r>
              <w:rPr>
                <w:rFonts w:hint="eastAsia"/>
                <w:szCs w:val="21"/>
              </w:rPr>
              <w:t>依据品目清单和认证证书实施政府优先采购。采购人拟采购的产品属于品目清单范围的，采购人及其委托的采购代理机构应当依据国家确定的认证机构出具的、处于有效期之内的节能产品、环境标志产品认证证书，对获得证书的产品实施政府优先采购。</w:t>
            </w:r>
            <w:r>
              <w:rPr>
                <w:rFonts w:hint="eastAsia" w:ascii="宋体" w:hAnsi="宋体" w:cs="宋体"/>
                <w:szCs w:val="21"/>
              </w:rPr>
              <w:t>供应商必需提供节能或环境标志产品认证证书复印件，未按以上要求提供认证证书复印件或不是清单内的产品，评审时不予优先采购：</w:t>
            </w:r>
          </w:p>
          <w:p w14:paraId="50D3B85D">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ascii="宋体" w:hAnsi="宋体"/>
                <w:szCs w:val="21"/>
              </w:rPr>
              <w:t>采用综合评分法时，对于技术和价格分，应分别给予总分值4%-8%的加分。本项目具体加分比例分别为：技术部分</w:t>
            </w:r>
            <w:r>
              <w:rPr>
                <w:rFonts w:hint="eastAsia" w:ascii="宋体" w:hAnsi="宋体"/>
                <w:szCs w:val="21"/>
              </w:rPr>
              <w:t>/</w:t>
            </w:r>
            <w:r>
              <w:rPr>
                <w:rFonts w:ascii="宋体" w:hAnsi="宋体"/>
                <w:szCs w:val="21"/>
              </w:rPr>
              <w:t>%、价格部分</w:t>
            </w:r>
            <w:r>
              <w:rPr>
                <w:rFonts w:hint="eastAsia" w:ascii="宋体" w:hAnsi="宋体"/>
                <w:szCs w:val="21"/>
              </w:rPr>
              <w:t>/</w:t>
            </w:r>
            <w:r>
              <w:rPr>
                <w:rFonts w:ascii="宋体" w:hAnsi="宋体"/>
                <w:szCs w:val="21"/>
              </w:rPr>
              <w:t>%。</w:t>
            </w:r>
          </w:p>
        </w:tc>
      </w:tr>
      <w:tr w14:paraId="7BBDE5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37" w:hRule="atLeast"/>
          <w:jc w:val="center"/>
        </w:trPr>
        <w:tc>
          <w:tcPr>
            <w:tcW w:w="1847" w:type="dxa"/>
            <w:vMerge w:val="restart"/>
            <w:shd w:val="clear" w:color="auto" w:fill="auto"/>
            <w:vAlign w:val="center"/>
          </w:tcPr>
          <w:p w14:paraId="3D4BF40A">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ascii="宋体" w:hAnsi="宋体"/>
              </w:rPr>
              <w:t>第二章第9.2款</w:t>
            </w:r>
          </w:p>
        </w:tc>
        <w:tc>
          <w:tcPr>
            <w:tcW w:w="1917" w:type="dxa"/>
            <w:tcBorders>
              <w:top w:val="single" w:color="auto" w:sz="4" w:space="0"/>
              <w:bottom w:val="single" w:color="auto" w:sz="4" w:space="0"/>
            </w:tcBorders>
            <w:shd w:val="clear" w:color="auto" w:fill="auto"/>
            <w:vAlign w:val="center"/>
          </w:tcPr>
          <w:p w14:paraId="1E9D7680">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政府采购</w:t>
            </w:r>
            <w:r>
              <w:rPr>
                <w:rFonts w:hint="eastAsia" w:ascii="宋体" w:hAnsi="宋体" w:cs="宋体"/>
                <w:bCs/>
                <w:kern w:val="0"/>
                <w:szCs w:val="21"/>
              </w:rPr>
              <w:t>支持</w:t>
            </w:r>
            <w:r>
              <w:rPr>
                <w:rFonts w:hint="eastAsia" w:ascii="宋体" w:hAnsi="宋体"/>
                <w:szCs w:val="21"/>
              </w:rPr>
              <w:t>中小企业发展</w:t>
            </w:r>
          </w:p>
        </w:tc>
        <w:tc>
          <w:tcPr>
            <w:tcW w:w="4510" w:type="dxa"/>
            <w:tcBorders>
              <w:top w:val="single" w:color="auto" w:sz="4" w:space="0"/>
              <w:bottom w:val="single" w:color="auto" w:sz="4" w:space="0"/>
            </w:tcBorders>
            <w:shd w:val="clear" w:color="auto" w:fill="auto"/>
            <w:vAlign w:val="center"/>
          </w:tcPr>
          <w:p w14:paraId="2DE9874B">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cs="宋体"/>
                <w:kern w:val="0"/>
                <w:szCs w:val="21"/>
              </w:rPr>
            </w:pPr>
            <w:r>
              <w:rPr>
                <w:rFonts w:hint="eastAsia" w:ascii="宋体" w:hAnsi="宋体" w:cs="宋体"/>
                <w:szCs w:val="21"/>
              </w:rPr>
              <w:t>■</w:t>
            </w:r>
            <w:r>
              <w:rPr>
                <w:rFonts w:hint="eastAsia" w:ascii="宋体" w:hAnsi="宋体"/>
                <w:szCs w:val="21"/>
              </w:rPr>
              <w:t>专门面向中小企业采购（应同时在邀请公告中注明）</w:t>
            </w:r>
            <w:r>
              <w:rPr>
                <w:rFonts w:hint="eastAsia" w:ascii="宋体" w:hAnsi="宋体" w:cs="宋体"/>
                <w:kern w:val="0"/>
                <w:szCs w:val="21"/>
              </w:rPr>
              <w:t>。</w:t>
            </w:r>
          </w:p>
          <w:p w14:paraId="0D32195C">
            <w:pPr>
              <w:pageBreakBefore w:val="0"/>
              <w:widowControl w:val="0"/>
              <w:kinsoku/>
              <w:wordWrap w:val="0"/>
              <w:overflowPunct/>
              <w:topLinePunct w:val="0"/>
              <w:autoSpaceDE/>
              <w:autoSpaceDN/>
              <w:bidi w:val="0"/>
              <w:snapToGrid/>
              <w:spacing w:line="240" w:lineRule="auto"/>
              <w:ind w:left="0" w:leftChars="0" w:firstLine="0" w:firstLineChars="0"/>
              <w:textAlignment w:val="baseline"/>
              <w:rPr>
                <w:rStyle w:val="100"/>
                <w:rFonts w:ascii="宋体" w:hAnsi="宋体"/>
                <w:szCs w:val="21"/>
              </w:rPr>
            </w:pPr>
            <w:r>
              <w:rPr>
                <w:rStyle w:val="100"/>
                <w:rFonts w:ascii="宋体" w:hAnsi="宋体"/>
                <w:kern w:val="0"/>
                <w:szCs w:val="21"/>
              </w:rPr>
              <w:t>本项目专门面向中小企业采购，不再执行价格评审优惠的扶持政策。</w:t>
            </w:r>
          </w:p>
          <w:p w14:paraId="25B4DCE5">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szCs w:val="21"/>
              </w:rPr>
              <w:t>□非专门面向中小企业采购：</w:t>
            </w:r>
            <w:r>
              <w:rPr>
                <w:rFonts w:ascii="宋体" w:hAnsi="宋体" w:cs="宋体"/>
                <w:szCs w:val="21"/>
              </w:rPr>
              <w:t>（</w:t>
            </w:r>
            <w:r>
              <w:rPr>
                <w:rFonts w:hint="eastAsia" w:ascii="宋体" w:hAnsi="宋体" w:cs="宋体"/>
                <w:szCs w:val="21"/>
              </w:rPr>
              <w:t>供应商</w:t>
            </w:r>
            <w:r>
              <w:rPr>
                <w:rFonts w:ascii="宋体" w:hAnsi="宋体" w:cs="宋体"/>
                <w:szCs w:val="21"/>
              </w:rPr>
              <w:t>如提供有中小企业产品，投标文件必需按磋商文件对中小企业所列要求特别标注说明所投中小企业产品所在品目、品牌、型号，否则评审时不予以考虑）：</w:t>
            </w:r>
          </w:p>
          <w:p w14:paraId="28E70C48">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cs="宋体"/>
                <w:szCs w:val="21"/>
              </w:rPr>
            </w:pPr>
            <w:r>
              <w:rPr>
                <w:rFonts w:hint="eastAsia" w:ascii="宋体" w:hAnsi="宋体" w:cs="宋体"/>
                <w:szCs w:val="21"/>
              </w:rPr>
              <w:t>1、给予小型和微型企业产品的价格给予10%-20%的扣除，用扣除后的价格参与评审，本项目具体扣除比例为</w:t>
            </w:r>
            <w:r>
              <w:rPr>
                <w:rFonts w:hint="eastAsia" w:ascii="宋体" w:hAnsi="宋体" w:cs="宋体"/>
                <w:szCs w:val="21"/>
                <w:u w:val="single"/>
                <w:lang w:val="en-US" w:eastAsia="zh-CN"/>
              </w:rPr>
              <w:t>/</w:t>
            </w:r>
            <w:r>
              <w:rPr>
                <w:rFonts w:hint="eastAsia" w:ascii="宋体" w:hAnsi="宋体" w:cs="宋体"/>
                <w:szCs w:val="21"/>
              </w:rPr>
              <w:t>％。</w:t>
            </w:r>
          </w:p>
          <w:p w14:paraId="32E99945">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szCs w:val="21"/>
              </w:rPr>
              <w:t>2、</w:t>
            </w:r>
            <w:r>
              <w:rPr>
                <w:rFonts w:hint="eastAsia" w:ascii="宋体" w:hAnsi="宋体" w:cs="宋体"/>
                <w:szCs w:val="21"/>
              </w:rPr>
              <w:t>给予联合体小型和微型企业产品的价格给予2%-3%的扣除，用扣除后的价格参与评审，本项目具体扣除比例为</w:t>
            </w:r>
            <w:r>
              <w:rPr>
                <w:rFonts w:hint="eastAsia" w:ascii="宋体" w:hAnsi="宋体" w:cs="宋体"/>
                <w:szCs w:val="21"/>
                <w:u w:val="single"/>
              </w:rPr>
              <w:t>/</w:t>
            </w:r>
            <w:r>
              <w:rPr>
                <w:rFonts w:hint="eastAsia" w:ascii="宋体" w:hAnsi="宋体" w:cs="宋体"/>
                <w:szCs w:val="21"/>
              </w:rPr>
              <w:t>％。</w:t>
            </w:r>
          </w:p>
          <w:p w14:paraId="1B9FD553">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szCs w:val="21"/>
              </w:rPr>
              <w:t>3、给予中型企业产品的价格给予3%-5%的扣除，用扣除后的价格参与评审，本项目具体扣除比例为</w:t>
            </w:r>
            <w:r>
              <w:rPr>
                <w:rFonts w:hint="eastAsia" w:ascii="宋体" w:hAnsi="宋体"/>
                <w:szCs w:val="21"/>
                <w:u w:val="single"/>
              </w:rPr>
              <w:t>/</w:t>
            </w:r>
            <w:r>
              <w:rPr>
                <w:rFonts w:hint="eastAsia" w:ascii="宋体" w:hAnsi="宋体"/>
                <w:szCs w:val="21"/>
              </w:rPr>
              <w:t>％。</w:t>
            </w:r>
          </w:p>
        </w:tc>
      </w:tr>
      <w:tr w14:paraId="69C0C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6" w:hRule="atLeast"/>
          <w:jc w:val="center"/>
        </w:trPr>
        <w:tc>
          <w:tcPr>
            <w:tcW w:w="1847" w:type="dxa"/>
            <w:vMerge w:val="continue"/>
            <w:tcBorders>
              <w:bottom w:val="single" w:color="auto" w:sz="4" w:space="0"/>
            </w:tcBorders>
            <w:shd w:val="clear" w:color="auto" w:fill="auto"/>
            <w:vAlign w:val="center"/>
          </w:tcPr>
          <w:p w14:paraId="37C8C6C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p>
        </w:tc>
        <w:tc>
          <w:tcPr>
            <w:tcW w:w="1917" w:type="dxa"/>
            <w:tcBorders>
              <w:top w:val="single" w:color="auto" w:sz="4" w:space="0"/>
              <w:bottom w:val="single" w:color="auto" w:sz="4" w:space="0"/>
            </w:tcBorders>
            <w:shd w:val="clear" w:color="auto" w:fill="auto"/>
            <w:vAlign w:val="center"/>
          </w:tcPr>
          <w:p w14:paraId="42A4A14C">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ascii="宋体" w:hAnsi="宋体" w:cs="宋体"/>
                <w:szCs w:val="21"/>
              </w:rPr>
              <w:t>残疾人福利性单位</w:t>
            </w:r>
          </w:p>
        </w:tc>
        <w:tc>
          <w:tcPr>
            <w:tcW w:w="4510" w:type="dxa"/>
            <w:tcBorders>
              <w:top w:val="single" w:color="auto" w:sz="4" w:space="0"/>
              <w:bottom w:val="single" w:color="auto" w:sz="4" w:space="0"/>
            </w:tcBorders>
            <w:shd w:val="clear" w:color="auto" w:fill="auto"/>
            <w:vAlign w:val="center"/>
          </w:tcPr>
          <w:p w14:paraId="03468880">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cs="宋体"/>
                <w:szCs w:val="21"/>
              </w:rPr>
            </w:pPr>
            <w:r>
              <w:rPr>
                <w:rFonts w:hint="eastAsia" w:ascii="宋体" w:hAnsi="宋体" w:cs="宋体"/>
                <w:szCs w:val="21"/>
              </w:rPr>
              <w:t>□否</w:t>
            </w:r>
          </w:p>
          <w:p w14:paraId="4F2E0387">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ascii="宋体" w:hAnsi="宋体" w:cs="宋体"/>
                <w:szCs w:val="21"/>
              </w:rPr>
              <w:t>■是，</w:t>
            </w:r>
            <w:r>
              <w:rPr>
                <w:rFonts w:ascii="宋体" w:hAnsi="宋体" w:cs="宋体"/>
                <w:szCs w:val="21"/>
              </w:rPr>
              <w:t>非专门面向残疾人福利单位采购（</w:t>
            </w:r>
            <w:r>
              <w:rPr>
                <w:rFonts w:hint="eastAsia" w:ascii="宋体" w:hAnsi="宋体" w:cs="宋体"/>
                <w:szCs w:val="21"/>
              </w:rPr>
              <w:t>供应商</w:t>
            </w:r>
            <w:r>
              <w:rPr>
                <w:rFonts w:ascii="宋体" w:hAnsi="宋体" w:cs="宋体"/>
                <w:szCs w:val="21"/>
              </w:rPr>
              <w:t>如提供残疾人福利性单位生产的产品，投标文件必须按磋商文件对残疾人福利性单位所列要求特别标注说明所投残疾人福利性单位生产的产品所在品目、品牌、型号，否则评审时不予以考虑）：</w:t>
            </w:r>
          </w:p>
          <w:p w14:paraId="1013B352">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ascii="宋体" w:hAnsi="宋体" w:cs="宋体"/>
                <w:szCs w:val="21"/>
              </w:rPr>
              <w:t>残疾人福利性单位生产的产品的价格给予6%-10%的扣除，用扣除后的价格参与评审，本项目具体扣除比例为：</w:t>
            </w:r>
            <w:r>
              <w:rPr>
                <w:rFonts w:hint="eastAsia" w:ascii="宋体" w:hAnsi="宋体" w:cs="宋体"/>
                <w:szCs w:val="21"/>
              </w:rPr>
              <w:t>10%。残疾人福利性单位属于小型、微型企业的，不重复享受扶持中小企业发展的优惠政策。</w:t>
            </w:r>
          </w:p>
        </w:tc>
      </w:tr>
      <w:tr w14:paraId="414926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82" w:hRule="atLeast"/>
          <w:jc w:val="center"/>
        </w:trPr>
        <w:tc>
          <w:tcPr>
            <w:tcW w:w="1847" w:type="dxa"/>
            <w:vMerge w:val="continue"/>
            <w:tcBorders>
              <w:bottom w:val="single" w:color="auto" w:sz="4" w:space="0"/>
            </w:tcBorders>
            <w:shd w:val="clear" w:color="auto" w:fill="auto"/>
            <w:vAlign w:val="center"/>
          </w:tcPr>
          <w:p w14:paraId="33088032">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p>
        </w:tc>
        <w:tc>
          <w:tcPr>
            <w:tcW w:w="1917" w:type="dxa"/>
            <w:tcBorders>
              <w:top w:val="single" w:color="auto" w:sz="4" w:space="0"/>
            </w:tcBorders>
            <w:shd w:val="clear" w:color="auto" w:fill="auto"/>
            <w:vAlign w:val="center"/>
          </w:tcPr>
          <w:p w14:paraId="6F6B01C6">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cs="宋体"/>
                <w:szCs w:val="21"/>
              </w:rPr>
              <w:t>监狱企业</w:t>
            </w:r>
          </w:p>
        </w:tc>
        <w:tc>
          <w:tcPr>
            <w:tcW w:w="4510" w:type="dxa"/>
            <w:tcBorders>
              <w:top w:val="single" w:color="auto" w:sz="4" w:space="0"/>
            </w:tcBorders>
            <w:shd w:val="clear" w:color="auto" w:fill="auto"/>
            <w:vAlign w:val="center"/>
          </w:tcPr>
          <w:p w14:paraId="11D6CA33">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cs="宋体"/>
                <w:szCs w:val="21"/>
              </w:rPr>
            </w:pPr>
            <w:r>
              <w:rPr>
                <w:rFonts w:hint="eastAsia" w:ascii="宋体" w:hAnsi="宋体" w:cs="宋体"/>
                <w:szCs w:val="21"/>
              </w:rPr>
              <w:t>□否</w:t>
            </w:r>
          </w:p>
          <w:p w14:paraId="3822AB0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cs="宋体"/>
                <w:szCs w:val="21"/>
              </w:rPr>
            </w:pPr>
            <w:r>
              <w:rPr>
                <w:rFonts w:hint="eastAsia" w:ascii="宋体" w:hAnsi="宋体" w:cs="宋体"/>
                <w:szCs w:val="21"/>
              </w:rPr>
              <w:t>■是，非专门面向监狱企业采购（供应商如提供监狱企业生产的产品，投标文件必须按磋商文件对监狱企业所列要求特别标注说明所监狱企业生产的产品所在品目、品牌、型号，否则评审时不予以考虑）：</w:t>
            </w:r>
          </w:p>
          <w:p w14:paraId="53287BF8">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cs="宋体"/>
                <w:szCs w:val="21"/>
              </w:rPr>
            </w:pPr>
            <w:r>
              <w:rPr>
                <w:rFonts w:hint="eastAsia" w:ascii="宋体" w:hAnsi="宋体" w:cs="宋体"/>
                <w:szCs w:val="21"/>
              </w:rPr>
              <w:t>监狱企业生产的产品的价格给予6%-10%的扣除，用扣除后的价格参与评审，本项目具体扣除比例为：</w:t>
            </w:r>
            <w:r>
              <w:rPr>
                <w:rFonts w:hint="eastAsia" w:ascii="宋体" w:hAnsi="宋体" w:cs="宋体"/>
                <w:szCs w:val="21"/>
                <w:u w:val="single"/>
                <w:lang w:val="en-US" w:eastAsia="zh-CN"/>
              </w:rPr>
              <w:t>/</w:t>
            </w:r>
            <w:r>
              <w:rPr>
                <w:rFonts w:hint="eastAsia" w:ascii="宋体" w:hAnsi="宋体" w:cs="宋体"/>
                <w:szCs w:val="21"/>
              </w:rPr>
              <w:t>%。</w:t>
            </w:r>
          </w:p>
          <w:p w14:paraId="59D9BA6E">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cs="宋体"/>
                <w:szCs w:val="21"/>
              </w:rPr>
              <w:t>监狱企业属于小型、微型企业的，不重复享受扶持中小企业发展的优惠政策。</w:t>
            </w:r>
          </w:p>
        </w:tc>
      </w:tr>
      <w:tr w14:paraId="124CAC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847" w:type="dxa"/>
            <w:vMerge w:val="restart"/>
            <w:tcBorders>
              <w:top w:val="single" w:color="auto" w:sz="4" w:space="0"/>
            </w:tcBorders>
            <w:shd w:val="clear" w:color="auto" w:fill="auto"/>
            <w:vAlign w:val="center"/>
          </w:tcPr>
          <w:p w14:paraId="04696B2D">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第二章第9.6款</w:t>
            </w:r>
          </w:p>
        </w:tc>
        <w:tc>
          <w:tcPr>
            <w:tcW w:w="1917" w:type="dxa"/>
            <w:tcBorders>
              <w:top w:val="single" w:color="auto" w:sz="4" w:space="0"/>
            </w:tcBorders>
            <w:shd w:val="clear" w:color="auto" w:fill="auto"/>
            <w:vAlign w:val="center"/>
          </w:tcPr>
          <w:p w14:paraId="0E3EF747">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政府采购支持中小企业融资</w:t>
            </w:r>
          </w:p>
        </w:tc>
        <w:tc>
          <w:tcPr>
            <w:tcW w:w="4510" w:type="dxa"/>
            <w:tcBorders>
              <w:top w:val="single" w:color="auto" w:sz="4" w:space="0"/>
            </w:tcBorders>
            <w:shd w:val="clear" w:color="auto" w:fill="auto"/>
          </w:tcPr>
          <w:p w14:paraId="6A6D207F">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有融资需求的，登陆中国湖南政府采购网查询。</w:t>
            </w:r>
          </w:p>
        </w:tc>
      </w:tr>
      <w:tr w14:paraId="7C99F6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3" w:hRule="atLeast"/>
          <w:jc w:val="center"/>
        </w:trPr>
        <w:tc>
          <w:tcPr>
            <w:tcW w:w="1847" w:type="dxa"/>
            <w:vMerge w:val="continue"/>
            <w:shd w:val="clear" w:color="auto" w:fill="auto"/>
            <w:vAlign w:val="center"/>
          </w:tcPr>
          <w:p w14:paraId="67638FE0">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p>
        </w:tc>
        <w:tc>
          <w:tcPr>
            <w:tcW w:w="1917" w:type="dxa"/>
            <w:tcBorders>
              <w:top w:val="single" w:color="auto" w:sz="4" w:space="0"/>
            </w:tcBorders>
            <w:shd w:val="clear" w:color="auto" w:fill="auto"/>
            <w:vAlign w:val="center"/>
          </w:tcPr>
          <w:p w14:paraId="05B5E9E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政府采购信用担保</w:t>
            </w:r>
          </w:p>
        </w:tc>
        <w:tc>
          <w:tcPr>
            <w:tcW w:w="4510" w:type="dxa"/>
            <w:shd w:val="clear" w:color="auto" w:fill="auto"/>
            <w:vAlign w:val="center"/>
          </w:tcPr>
          <w:p w14:paraId="3757E0B3">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有履约担保或融资担保需求的，登陆中国湖南政府采购网查询。</w:t>
            </w:r>
          </w:p>
        </w:tc>
      </w:tr>
      <w:tr w14:paraId="51D82A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8274" w:type="dxa"/>
            <w:gridSpan w:val="3"/>
            <w:shd w:val="clear" w:color="auto" w:fill="auto"/>
            <w:vAlign w:val="center"/>
          </w:tcPr>
          <w:p w14:paraId="487D9B3B">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b/>
                <w:bCs/>
              </w:rPr>
              <w:t>二、磋商文件</w:t>
            </w:r>
          </w:p>
        </w:tc>
      </w:tr>
      <w:tr w14:paraId="01D869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847" w:type="dxa"/>
            <w:shd w:val="clear" w:color="auto" w:fill="auto"/>
            <w:vAlign w:val="center"/>
          </w:tcPr>
          <w:p w14:paraId="32C918AD">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第二章第10.2款</w:t>
            </w:r>
          </w:p>
        </w:tc>
        <w:tc>
          <w:tcPr>
            <w:tcW w:w="1917" w:type="dxa"/>
            <w:shd w:val="clear" w:color="auto" w:fill="auto"/>
            <w:vAlign w:val="center"/>
          </w:tcPr>
          <w:p w14:paraId="39E7B60F">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磋商文件的可能实质性变动内容</w:t>
            </w:r>
          </w:p>
        </w:tc>
        <w:tc>
          <w:tcPr>
            <w:tcW w:w="4510" w:type="dxa"/>
            <w:shd w:val="clear" w:color="auto" w:fill="auto"/>
            <w:vAlign w:val="center"/>
          </w:tcPr>
          <w:p w14:paraId="02C99B67">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服务要求、合同条款</w:t>
            </w:r>
          </w:p>
        </w:tc>
      </w:tr>
      <w:tr w14:paraId="54334A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7" w:hRule="atLeast"/>
          <w:jc w:val="center"/>
        </w:trPr>
        <w:tc>
          <w:tcPr>
            <w:tcW w:w="1847" w:type="dxa"/>
            <w:shd w:val="clear" w:color="auto" w:fill="auto"/>
            <w:vAlign w:val="center"/>
          </w:tcPr>
          <w:p w14:paraId="0891D3D6">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第二章第11.1款</w:t>
            </w:r>
          </w:p>
        </w:tc>
        <w:tc>
          <w:tcPr>
            <w:tcW w:w="1917" w:type="dxa"/>
            <w:shd w:val="clear" w:color="auto" w:fill="auto"/>
            <w:vAlign w:val="center"/>
          </w:tcPr>
          <w:p w14:paraId="26134759">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提供磋商文件期限</w:t>
            </w:r>
          </w:p>
        </w:tc>
        <w:tc>
          <w:tcPr>
            <w:tcW w:w="4510" w:type="dxa"/>
            <w:shd w:val="clear" w:color="auto" w:fill="auto"/>
            <w:vAlign w:val="center"/>
          </w:tcPr>
          <w:p w14:paraId="3A875F05">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以磋商公告为准</w:t>
            </w:r>
          </w:p>
        </w:tc>
      </w:tr>
      <w:tr w14:paraId="3CF961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43" w:hRule="atLeast"/>
          <w:jc w:val="center"/>
        </w:trPr>
        <w:tc>
          <w:tcPr>
            <w:tcW w:w="1847" w:type="dxa"/>
            <w:shd w:val="clear" w:color="auto" w:fill="auto"/>
            <w:vAlign w:val="center"/>
          </w:tcPr>
          <w:p w14:paraId="12D030D2">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第二章第11.2款</w:t>
            </w:r>
          </w:p>
        </w:tc>
        <w:tc>
          <w:tcPr>
            <w:tcW w:w="1917" w:type="dxa"/>
            <w:shd w:val="clear" w:color="auto" w:fill="auto"/>
          </w:tcPr>
          <w:p w14:paraId="095941AB">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szCs w:val="21"/>
              </w:rPr>
              <w:t>报名需提交的资料</w:t>
            </w:r>
          </w:p>
        </w:tc>
        <w:tc>
          <w:tcPr>
            <w:tcW w:w="4510" w:type="dxa"/>
            <w:shd w:val="clear" w:color="auto" w:fill="auto"/>
          </w:tcPr>
          <w:p w14:paraId="38C21201">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szCs w:val="21"/>
              </w:rPr>
              <w:t>以磋商公告为准</w:t>
            </w:r>
          </w:p>
        </w:tc>
      </w:tr>
      <w:tr w14:paraId="5C79D5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847" w:type="dxa"/>
            <w:shd w:val="clear" w:color="auto" w:fill="auto"/>
            <w:vAlign w:val="center"/>
          </w:tcPr>
          <w:p w14:paraId="29567FC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第二章第12.1款</w:t>
            </w:r>
          </w:p>
        </w:tc>
        <w:tc>
          <w:tcPr>
            <w:tcW w:w="1917" w:type="dxa"/>
            <w:shd w:val="clear" w:color="auto" w:fill="auto"/>
            <w:vAlign w:val="center"/>
          </w:tcPr>
          <w:p w14:paraId="2DC065CB">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highlight w:val="none"/>
              </w:rPr>
            </w:pPr>
            <w:r>
              <w:rPr>
                <w:rFonts w:hint="eastAsia" w:ascii="宋体" w:hAnsi="宋体"/>
                <w:highlight w:val="none"/>
              </w:rPr>
              <w:t>提交首次响应文件的截止时间</w:t>
            </w:r>
          </w:p>
        </w:tc>
        <w:tc>
          <w:tcPr>
            <w:tcW w:w="4510" w:type="dxa"/>
            <w:shd w:val="clear" w:color="auto" w:fill="auto"/>
            <w:vAlign w:val="center"/>
          </w:tcPr>
          <w:p w14:paraId="1A06AE98">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highlight w:val="none"/>
              </w:rPr>
            </w:pPr>
            <w:r>
              <w:rPr>
                <w:rFonts w:hint="eastAsia" w:ascii="宋体" w:hAnsi="宋体"/>
                <w:b/>
                <w:bCs/>
                <w:color w:val="auto"/>
                <w:highlight w:val="none"/>
              </w:rPr>
              <w:t>2026年0</w:t>
            </w:r>
            <w:r>
              <w:rPr>
                <w:rFonts w:hint="eastAsia" w:ascii="宋体" w:hAnsi="宋体"/>
                <w:b/>
                <w:bCs/>
                <w:color w:val="auto"/>
                <w:highlight w:val="none"/>
                <w:lang w:val="en-US" w:eastAsia="zh-CN"/>
              </w:rPr>
              <w:t>4</w:t>
            </w:r>
            <w:r>
              <w:rPr>
                <w:rFonts w:hint="eastAsia" w:ascii="宋体" w:hAnsi="宋体"/>
                <w:b/>
                <w:bCs/>
                <w:color w:val="auto"/>
                <w:highlight w:val="none"/>
              </w:rPr>
              <w:t>月</w:t>
            </w:r>
            <w:r>
              <w:rPr>
                <w:rFonts w:hint="eastAsia" w:ascii="宋体" w:hAnsi="宋体"/>
                <w:b/>
                <w:bCs/>
                <w:color w:val="auto"/>
                <w:highlight w:val="none"/>
                <w:lang w:val="en-US" w:eastAsia="zh-CN"/>
              </w:rPr>
              <w:t>20</w:t>
            </w:r>
            <w:r>
              <w:rPr>
                <w:rFonts w:hint="eastAsia" w:ascii="宋体" w:hAnsi="宋体"/>
                <w:b/>
                <w:bCs/>
                <w:color w:val="auto"/>
                <w:highlight w:val="none"/>
              </w:rPr>
              <w:t>日</w:t>
            </w:r>
            <w:r>
              <w:rPr>
                <w:rFonts w:hint="eastAsia" w:ascii="宋体" w:hAnsi="宋体"/>
                <w:b/>
                <w:bCs/>
                <w:color w:val="auto"/>
                <w:highlight w:val="none"/>
                <w:lang w:val="en-US" w:eastAsia="zh-CN"/>
              </w:rPr>
              <w:t>10</w:t>
            </w:r>
            <w:r>
              <w:rPr>
                <w:rFonts w:hint="eastAsia" w:ascii="宋体" w:hAnsi="宋体"/>
                <w:b/>
                <w:bCs/>
                <w:color w:val="auto"/>
                <w:highlight w:val="none"/>
              </w:rPr>
              <w:t>时</w:t>
            </w:r>
            <w:r>
              <w:rPr>
                <w:rFonts w:hint="eastAsia" w:ascii="宋体" w:hAnsi="宋体"/>
                <w:b/>
                <w:bCs/>
                <w:color w:val="auto"/>
                <w:highlight w:val="none"/>
                <w:lang w:val="en-US" w:eastAsia="zh-CN"/>
              </w:rPr>
              <w:t>00</w:t>
            </w:r>
            <w:r>
              <w:rPr>
                <w:rFonts w:hint="eastAsia" w:ascii="宋体" w:hAnsi="宋体"/>
                <w:b/>
                <w:bCs/>
                <w:color w:val="auto"/>
                <w:highlight w:val="none"/>
              </w:rPr>
              <w:t>分(北京时间)</w:t>
            </w:r>
          </w:p>
        </w:tc>
      </w:tr>
      <w:tr w14:paraId="39C40C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43" w:hRule="atLeast"/>
          <w:jc w:val="center"/>
        </w:trPr>
        <w:tc>
          <w:tcPr>
            <w:tcW w:w="8274" w:type="dxa"/>
            <w:gridSpan w:val="3"/>
            <w:shd w:val="clear" w:color="auto" w:fill="auto"/>
            <w:vAlign w:val="center"/>
          </w:tcPr>
          <w:p w14:paraId="38C8A6BB">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b/>
                <w:bCs/>
              </w:rPr>
              <w:t>三、响应文件的编写</w:t>
            </w:r>
          </w:p>
        </w:tc>
      </w:tr>
      <w:tr w14:paraId="6802CC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1847" w:type="dxa"/>
            <w:shd w:val="clear" w:color="auto" w:fill="auto"/>
            <w:vAlign w:val="center"/>
          </w:tcPr>
          <w:p w14:paraId="712D2122">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第二章第16.4款</w:t>
            </w:r>
          </w:p>
        </w:tc>
        <w:tc>
          <w:tcPr>
            <w:tcW w:w="1917" w:type="dxa"/>
            <w:shd w:val="clear" w:color="auto" w:fill="auto"/>
            <w:vAlign w:val="center"/>
          </w:tcPr>
          <w:p w14:paraId="68E83118">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szCs w:val="21"/>
                <w:highlight w:val="none"/>
              </w:rPr>
            </w:pPr>
            <w:r>
              <w:rPr>
                <w:rFonts w:hint="eastAsia" w:ascii="宋体" w:hAnsi="宋体"/>
                <w:szCs w:val="21"/>
                <w:highlight w:val="none"/>
              </w:rPr>
              <w:t>采购项目预算</w:t>
            </w:r>
          </w:p>
        </w:tc>
        <w:tc>
          <w:tcPr>
            <w:tcW w:w="4510" w:type="dxa"/>
            <w:shd w:val="clear" w:color="auto" w:fill="auto"/>
            <w:vAlign w:val="center"/>
          </w:tcPr>
          <w:p w14:paraId="0DAC5974">
            <w:pPr>
              <w:pageBreakBefore w:val="0"/>
              <w:widowControl w:val="0"/>
              <w:kinsoku/>
              <w:wordWrap w:val="0"/>
              <w:overflowPunct/>
              <w:topLinePunct w:val="0"/>
              <w:autoSpaceDE/>
              <w:autoSpaceDN/>
              <w:bidi w:val="0"/>
              <w:snapToGrid/>
              <w:spacing w:line="240" w:lineRule="auto"/>
              <w:ind w:left="0" w:leftChars="0" w:firstLine="0" w:firstLineChars="0"/>
              <w:rPr>
                <w:highlight w:val="none"/>
              </w:rPr>
            </w:pPr>
            <w:r>
              <w:rPr>
                <w:rFonts w:hint="eastAsia" w:ascii="宋体" w:hAnsi="宋体"/>
                <w:szCs w:val="21"/>
                <w:highlight w:val="none"/>
              </w:rPr>
              <w:t>本项目采购总预算为</w:t>
            </w:r>
            <w:r>
              <w:rPr>
                <w:rFonts w:hint="eastAsia" w:ascii="宋体" w:hAnsi="宋体"/>
                <w:szCs w:val="21"/>
                <w:highlight w:val="none"/>
                <w:lang w:val="en-US" w:eastAsia="zh-CN"/>
              </w:rPr>
              <w:t>1418176.75</w:t>
            </w:r>
            <w:r>
              <w:rPr>
                <w:rFonts w:hint="eastAsia" w:ascii="宋体" w:hAnsi="宋体"/>
                <w:szCs w:val="21"/>
                <w:highlight w:val="none"/>
              </w:rPr>
              <w:t>元，最高限价为</w:t>
            </w:r>
            <w:r>
              <w:rPr>
                <w:rFonts w:hint="eastAsia" w:ascii="宋体" w:hAnsi="宋体"/>
                <w:szCs w:val="21"/>
                <w:highlight w:val="none"/>
                <w:lang w:val="en-US" w:eastAsia="zh-CN"/>
              </w:rPr>
              <w:t>1418176.75</w:t>
            </w:r>
            <w:r>
              <w:rPr>
                <w:rFonts w:hint="eastAsia" w:ascii="宋体" w:hAnsi="宋体"/>
                <w:szCs w:val="21"/>
                <w:highlight w:val="none"/>
              </w:rPr>
              <w:t>元</w:t>
            </w:r>
            <w:r>
              <w:rPr>
                <w:rFonts w:hint="eastAsia" w:ascii="宋体" w:hAnsi="宋体"/>
                <w:szCs w:val="21"/>
                <w:highlight w:val="none"/>
                <w:lang w:eastAsia="zh-CN"/>
              </w:rPr>
              <w:t>（</w:t>
            </w:r>
            <w:r>
              <w:rPr>
                <w:rFonts w:hint="eastAsia" w:ascii="宋体" w:hAnsi="宋体"/>
                <w:szCs w:val="21"/>
                <w:highlight w:val="none"/>
                <w:lang w:val="en-US" w:eastAsia="zh-CN"/>
              </w:rPr>
              <w:t>暂列金69973.2元</w:t>
            </w:r>
            <w:r>
              <w:rPr>
                <w:rFonts w:hint="eastAsia" w:ascii="宋体" w:hAnsi="宋体"/>
                <w:szCs w:val="21"/>
                <w:highlight w:val="none"/>
                <w:lang w:eastAsia="zh-CN"/>
              </w:rPr>
              <w:t>）</w:t>
            </w:r>
            <w:r>
              <w:rPr>
                <w:rFonts w:hint="eastAsia" w:ascii="宋体" w:hAnsi="宋体"/>
                <w:szCs w:val="21"/>
                <w:highlight w:val="none"/>
              </w:rPr>
              <w:t>。</w:t>
            </w:r>
          </w:p>
        </w:tc>
      </w:tr>
      <w:tr w14:paraId="2C9AAD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5" w:hRule="atLeast"/>
          <w:jc w:val="center"/>
        </w:trPr>
        <w:tc>
          <w:tcPr>
            <w:tcW w:w="1847" w:type="dxa"/>
            <w:shd w:val="clear" w:color="auto" w:fill="auto"/>
            <w:vAlign w:val="center"/>
          </w:tcPr>
          <w:p w14:paraId="1BE2E8E9">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第二章第19.1款</w:t>
            </w:r>
          </w:p>
        </w:tc>
        <w:tc>
          <w:tcPr>
            <w:tcW w:w="1917" w:type="dxa"/>
            <w:shd w:val="clear" w:color="auto" w:fill="auto"/>
            <w:vAlign w:val="center"/>
          </w:tcPr>
          <w:p w14:paraId="09941D2B">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磋商保证金</w:t>
            </w:r>
          </w:p>
        </w:tc>
        <w:tc>
          <w:tcPr>
            <w:tcW w:w="4510" w:type="dxa"/>
            <w:shd w:val="clear" w:color="auto" w:fill="auto"/>
            <w:vAlign w:val="center"/>
          </w:tcPr>
          <w:p w14:paraId="19FB8BF6">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bCs/>
                <w:szCs w:val="21"/>
              </w:rPr>
            </w:pPr>
            <w:r>
              <w:rPr>
                <w:rFonts w:hint="eastAsia" w:ascii="宋体" w:hAnsi="宋体" w:cs="宋体"/>
              </w:rPr>
              <w:t>不要求</w:t>
            </w:r>
          </w:p>
        </w:tc>
      </w:tr>
      <w:tr w14:paraId="54DABC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1847" w:type="dxa"/>
            <w:shd w:val="clear" w:color="auto" w:fill="auto"/>
            <w:vAlign w:val="center"/>
          </w:tcPr>
          <w:p w14:paraId="665DBBEF">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第二章第20.1款</w:t>
            </w:r>
          </w:p>
        </w:tc>
        <w:tc>
          <w:tcPr>
            <w:tcW w:w="1917" w:type="dxa"/>
            <w:shd w:val="clear" w:color="auto" w:fill="auto"/>
            <w:vAlign w:val="center"/>
          </w:tcPr>
          <w:p w14:paraId="3C8FF1D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响应文件有效期</w:t>
            </w:r>
          </w:p>
        </w:tc>
        <w:tc>
          <w:tcPr>
            <w:tcW w:w="4510" w:type="dxa"/>
            <w:shd w:val="clear" w:color="auto" w:fill="auto"/>
            <w:vAlign w:val="center"/>
          </w:tcPr>
          <w:p w14:paraId="121ADE38">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60日（日历日）</w:t>
            </w:r>
          </w:p>
        </w:tc>
      </w:tr>
      <w:tr w14:paraId="20EDDD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07" w:hRule="atLeast"/>
          <w:jc w:val="center"/>
        </w:trPr>
        <w:tc>
          <w:tcPr>
            <w:tcW w:w="1847" w:type="dxa"/>
            <w:shd w:val="clear" w:color="auto" w:fill="auto"/>
            <w:vAlign w:val="center"/>
          </w:tcPr>
          <w:p w14:paraId="23025A65">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第二章第21.1款</w:t>
            </w:r>
          </w:p>
        </w:tc>
        <w:tc>
          <w:tcPr>
            <w:tcW w:w="1917" w:type="dxa"/>
            <w:shd w:val="clear" w:color="auto" w:fill="auto"/>
            <w:vAlign w:val="center"/>
          </w:tcPr>
          <w:p w14:paraId="7C6BDE9D">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响应文件副本份数</w:t>
            </w:r>
          </w:p>
        </w:tc>
        <w:tc>
          <w:tcPr>
            <w:tcW w:w="4510" w:type="dxa"/>
            <w:shd w:val="clear" w:color="auto" w:fill="auto"/>
            <w:vAlign w:val="center"/>
          </w:tcPr>
          <w:p w14:paraId="1694E536">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cs="宋体"/>
                <w:szCs w:val="21"/>
              </w:rPr>
            </w:pPr>
            <w:r>
              <w:rPr>
                <w:rFonts w:hint="eastAsia" w:ascii="宋体" w:hAnsi="宋体"/>
                <w:b/>
                <w:szCs w:val="21"/>
              </w:rPr>
              <w:t>正本一份（须每页加盖公章），副本二份，</w:t>
            </w:r>
            <w:r>
              <w:rPr>
                <w:rFonts w:hint="eastAsia" w:ascii="宋体" w:hAnsi="宋体" w:cs="宋体"/>
                <w:b/>
                <w:bCs/>
                <w:szCs w:val="21"/>
              </w:rPr>
              <w:t>电子文档壹份</w:t>
            </w:r>
            <w:r>
              <w:rPr>
                <w:rFonts w:hint="eastAsia" w:ascii="宋体" w:hAnsi="宋体" w:cs="宋体"/>
                <w:szCs w:val="21"/>
              </w:rPr>
              <w:t>（电子文件须以PDF的格式存入U盘，内容与纸质投标文件的正本一致)。</w:t>
            </w:r>
          </w:p>
          <w:p w14:paraId="5676D238">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b/>
                <w:szCs w:val="21"/>
                <w:lang w:val="zh-CN"/>
              </w:rPr>
              <w:t>投标文件打印后均采用胶装方式装订</w:t>
            </w:r>
            <w:r>
              <w:rPr>
                <w:rFonts w:hint="eastAsia" w:ascii="宋体" w:hAnsi="宋体"/>
                <w:b/>
                <w:szCs w:val="21"/>
              </w:rPr>
              <w:t>，装订应牢固、不易拆散和换页，不得采用活页装订。</w:t>
            </w:r>
          </w:p>
        </w:tc>
      </w:tr>
      <w:tr w14:paraId="64F512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8274" w:type="dxa"/>
            <w:gridSpan w:val="3"/>
            <w:shd w:val="clear" w:color="auto" w:fill="auto"/>
            <w:vAlign w:val="center"/>
          </w:tcPr>
          <w:p w14:paraId="1D09740F">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b/>
                <w:bCs/>
              </w:rPr>
              <w:t>四、响应文件的递交</w:t>
            </w:r>
          </w:p>
        </w:tc>
      </w:tr>
      <w:tr w14:paraId="0E6B49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73" w:hRule="atLeast"/>
          <w:jc w:val="center"/>
        </w:trPr>
        <w:tc>
          <w:tcPr>
            <w:tcW w:w="1847" w:type="dxa"/>
            <w:shd w:val="clear" w:color="auto" w:fill="auto"/>
            <w:vAlign w:val="center"/>
          </w:tcPr>
          <w:p w14:paraId="4F654EC2">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第二章第22.2款</w:t>
            </w:r>
          </w:p>
        </w:tc>
        <w:tc>
          <w:tcPr>
            <w:tcW w:w="1917" w:type="dxa"/>
            <w:shd w:val="clear" w:color="auto" w:fill="auto"/>
            <w:vAlign w:val="center"/>
          </w:tcPr>
          <w:p w14:paraId="2162FF76">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封套上应载明的信息</w:t>
            </w:r>
          </w:p>
        </w:tc>
        <w:tc>
          <w:tcPr>
            <w:tcW w:w="4510" w:type="dxa"/>
            <w:shd w:val="clear" w:color="auto" w:fill="auto"/>
            <w:vAlign w:val="center"/>
          </w:tcPr>
          <w:p w14:paraId="214A7B56">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Theme="minorEastAsia" w:hAnsiTheme="minorEastAsia" w:eastAsiaTheme="minorEastAsia" w:cstheme="minorEastAsia"/>
                <w:szCs w:val="21"/>
              </w:rPr>
              <w:t>XXXX</w:t>
            </w:r>
            <w:r>
              <w:rPr>
                <w:rFonts w:hint="eastAsia" w:ascii="宋体" w:hAnsi="宋体"/>
                <w:szCs w:val="21"/>
              </w:rPr>
              <w:t>响应文件</w:t>
            </w:r>
          </w:p>
          <w:p w14:paraId="360BF36C">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u w:val="single"/>
              </w:rPr>
            </w:pPr>
            <w:r>
              <w:rPr>
                <w:rFonts w:hint="eastAsia" w:ascii="宋体" w:hAnsi="宋体"/>
                <w:szCs w:val="21"/>
              </w:rPr>
              <w:t>采购代理编号：</w:t>
            </w:r>
            <w:r>
              <w:rPr>
                <w:rFonts w:hint="eastAsia" w:ascii="宋体" w:hAnsi="宋体"/>
                <w:szCs w:val="21"/>
                <w:u w:val="single"/>
              </w:rPr>
              <w:t>XXXX</w:t>
            </w:r>
          </w:p>
          <w:p w14:paraId="125F4358">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szCs w:val="21"/>
              </w:rPr>
              <w:t>供应商名称：</w:t>
            </w:r>
          </w:p>
          <w:p w14:paraId="350D959E">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在</w:t>
            </w:r>
            <w:r>
              <w:rPr>
                <w:rFonts w:hint="eastAsia" w:ascii="宋体" w:hAnsi="宋体"/>
                <w:szCs w:val="21"/>
                <w:u w:val="none"/>
                <w:lang w:eastAsia="zh-CN"/>
              </w:rPr>
              <w:t>2026</w:t>
            </w:r>
            <w:r>
              <w:rPr>
                <w:rFonts w:hint="eastAsia" w:ascii="宋体" w:hAnsi="宋体"/>
                <w:szCs w:val="21"/>
              </w:rPr>
              <w:t>年</w:t>
            </w:r>
            <w:r>
              <w:rPr>
                <w:rFonts w:hint="eastAsia" w:ascii="宋体" w:hAnsi="宋体"/>
                <w:szCs w:val="21"/>
                <w:lang w:val="en-US" w:eastAsia="zh-CN"/>
              </w:rPr>
              <w:t>4</w:t>
            </w:r>
            <w:r>
              <w:rPr>
                <w:rFonts w:hint="eastAsia" w:ascii="宋体" w:hAnsi="宋体"/>
                <w:szCs w:val="21"/>
              </w:rPr>
              <w:t>月</w:t>
            </w:r>
            <w:r>
              <w:rPr>
                <w:rFonts w:hint="eastAsia" w:ascii="宋体" w:hAnsi="宋体"/>
                <w:szCs w:val="21"/>
                <w:lang w:val="en-US" w:eastAsia="zh-CN"/>
              </w:rPr>
              <w:t>20</w:t>
            </w:r>
            <w:r>
              <w:rPr>
                <w:rFonts w:hint="eastAsia" w:ascii="宋体" w:hAnsi="宋体"/>
                <w:szCs w:val="21"/>
              </w:rPr>
              <w:t>日</w:t>
            </w:r>
            <w:r>
              <w:rPr>
                <w:rFonts w:hint="eastAsia" w:ascii="宋体" w:hAnsi="宋体"/>
                <w:szCs w:val="21"/>
                <w:lang w:val="en-US" w:eastAsia="zh-CN"/>
              </w:rPr>
              <w:t>10</w:t>
            </w:r>
            <w:r>
              <w:rPr>
                <w:rFonts w:hint="eastAsia" w:ascii="宋体" w:hAnsi="宋体"/>
                <w:szCs w:val="21"/>
              </w:rPr>
              <w:t>时</w:t>
            </w:r>
            <w:r>
              <w:rPr>
                <w:rFonts w:hint="eastAsia" w:ascii="宋体" w:hAnsi="宋体"/>
                <w:szCs w:val="21"/>
                <w:lang w:val="en-US" w:eastAsia="zh-CN"/>
              </w:rPr>
              <w:t>00</w:t>
            </w:r>
            <w:r>
              <w:rPr>
                <w:rFonts w:hint="eastAsia" w:ascii="宋体" w:hAnsi="宋体"/>
                <w:szCs w:val="21"/>
              </w:rPr>
              <w:t>分之前不得启封</w:t>
            </w:r>
          </w:p>
        </w:tc>
      </w:tr>
      <w:tr w14:paraId="5CEDF5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jc w:val="center"/>
        </w:trPr>
        <w:tc>
          <w:tcPr>
            <w:tcW w:w="1847" w:type="dxa"/>
            <w:shd w:val="clear" w:color="auto" w:fill="auto"/>
            <w:vAlign w:val="center"/>
          </w:tcPr>
          <w:p w14:paraId="4FAB112E">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第二章第24.1款</w:t>
            </w:r>
          </w:p>
        </w:tc>
        <w:tc>
          <w:tcPr>
            <w:tcW w:w="1917" w:type="dxa"/>
            <w:shd w:val="clear" w:color="auto" w:fill="auto"/>
            <w:vAlign w:val="center"/>
          </w:tcPr>
          <w:p w14:paraId="5ACA21E8">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szCs w:val="21"/>
              </w:rPr>
              <w:t>响应文件的递交地点</w:t>
            </w:r>
          </w:p>
        </w:tc>
        <w:tc>
          <w:tcPr>
            <w:tcW w:w="4510" w:type="dxa"/>
            <w:shd w:val="clear" w:color="auto" w:fill="auto"/>
            <w:vAlign w:val="center"/>
          </w:tcPr>
          <w:p w14:paraId="05B53EFC">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b/>
              </w:rPr>
            </w:pPr>
            <w:r>
              <w:rPr>
                <w:rFonts w:hint="eastAsia" w:asciiTheme="minorEastAsia" w:hAnsiTheme="minorEastAsia" w:eastAsiaTheme="minorEastAsia" w:cstheme="minorEastAsia"/>
                <w:b/>
                <w:color w:val="auto"/>
                <w:szCs w:val="21"/>
                <w:highlight w:val="none"/>
                <w:lang w:eastAsia="zh-CN"/>
              </w:rPr>
              <w:t>能力项目咨询有限公司</w:t>
            </w:r>
            <w:r>
              <w:rPr>
                <w:rFonts w:hint="eastAsia" w:ascii="宋体" w:hAnsi="宋体"/>
                <w:b/>
              </w:rPr>
              <w:t>（地址：</w:t>
            </w:r>
            <w:r>
              <w:rPr>
                <w:rFonts w:hint="eastAsia" w:ascii="宋体" w:hAnsi="宋体" w:cs="宋体"/>
                <w:b/>
                <w:bCs/>
                <w:color w:val="auto"/>
                <w:szCs w:val="21"/>
                <w:highlight w:val="none"/>
                <w:lang w:eastAsia="zh-CN"/>
              </w:rPr>
              <w:t>长沙市雨花区时代阳光大道西388号轻盐阳光CEO大厦711室</w:t>
            </w:r>
            <w:r>
              <w:rPr>
                <w:rFonts w:hint="eastAsia" w:ascii="宋体" w:hAnsi="宋体"/>
                <w:b/>
                <w:bCs/>
              </w:rPr>
              <w:t>）</w:t>
            </w:r>
          </w:p>
        </w:tc>
      </w:tr>
      <w:tr w14:paraId="1E84B3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8274" w:type="dxa"/>
            <w:gridSpan w:val="3"/>
            <w:shd w:val="clear" w:color="auto" w:fill="auto"/>
            <w:vAlign w:val="center"/>
          </w:tcPr>
          <w:p w14:paraId="08714A67">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b/>
                <w:bCs/>
              </w:rPr>
              <w:t>五、响应文件的磋商与评审</w:t>
            </w:r>
          </w:p>
        </w:tc>
      </w:tr>
      <w:tr w14:paraId="431886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1847" w:type="dxa"/>
            <w:shd w:val="clear" w:color="auto" w:fill="auto"/>
            <w:vAlign w:val="center"/>
          </w:tcPr>
          <w:p w14:paraId="33891CD6">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第二章第31.2款</w:t>
            </w:r>
          </w:p>
        </w:tc>
        <w:tc>
          <w:tcPr>
            <w:tcW w:w="1917" w:type="dxa"/>
            <w:shd w:val="clear" w:color="auto" w:fill="auto"/>
            <w:vAlign w:val="center"/>
          </w:tcPr>
          <w:p w14:paraId="397BBE08">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评审因素和标准</w:t>
            </w:r>
          </w:p>
        </w:tc>
        <w:tc>
          <w:tcPr>
            <w:tcW w:w="4510" w:type="dxa"/>
            <w:shd w:val="clear" w:color="auto" w:fill="auto"/>
            <w:vAlign w:val="center"/>
          </w:tcPr>
          <w:p w14:paraId="6F38769A">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详见“评审因素和标准”</w:t>
            </w:r>
          </w:p>
        </w:tc>
      </w:tr>
      <w:tr w14:paraId="153895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6" w:hRule="atLeast"/>
          <w:jc w:val="center"/>
        </w:trPr>
        <w:tc>
          <w:tcPr>
            <w:tcW w:w="1847" w:type="dxa"/>
            <w:shd w:val="clear" w:color="auto" w:fill="auto"/>
            <w:vAlign w:val="center"/>
          </w:tcPr>
          <w:p w14:paraId="17412AC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 xml:space="preserve">第二章第31.3款 </w:t>
            </w:r>
          </w:p>
        </w:tc>
        <w:tc>
          <w:tcPr>
            <w:tcW w:w="1917" w:type="dxa"/>
            <w:shd w:val="clear" w:color="auto" w:fill="auto"/>
            <w:vAlign w:val="center"/>
          </w:tcPr>
          <w:p w14:paraId="3C441F36">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cs="宋体"/>
                <w:kern w:val="0"/>
                <w:szCs w:val="21"/>
              </w:rPr>
              <w:t>最后报价</w:t>
            </w:r>
            <w:r>
              <w:rPr>
                <w:rFonts w:hint="eastAsia" w:ascii="宋体" w:hAnsi="宋体"/>
                <w:szCs w:val="21"/>
              </w:rPr>
              <w:t>调整</w:t>
            </w:r>
          </w:p>
        </w:tc>
        <w:tc>
          <w:tcPr>
            <w:tcW w:w="4510" w:type="dxa"/>
            <w:shd w:val="clear" w:color="auto" w:fill="auto"/>
            <w:vAlign w:val="center"/>
          </w:tcPr>
          <w:p w14:paraId="63D20F0B">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ascii="宋体" w:hAnsi="宋体" w:cs="宋体"/>
                <w:szCs w:val="21"/>
              </w:rPr>
              <w:t>1、给予小型和微型企业产品的价格给予10%-20%的扣除，用扣除后的价格参与评审，本项目具体扣除比例为</w:t>
            </w:r>
            <w:r>
              <w:rPr>
                <w:rFonts w:hint="eastAsia" w:ascii="宋体" w:hAnsi="宋体" w:cs="宋体"/>
                <w:szCs w:val="21"/>
                <w:u w:val="single"/>
                <w:lang w:val="en-US" w:eastAsia="zh-CN"/>
              </w:rPr>
              <w:t>/</w:t>
            </w:r>
            <w:r>
              <w:rPr>
                <w:rFonts w:hint="eastAsia" w:ascii="宋体" w:hAnsi="宋体" w:cs="宋体"/>
                <w:szCs w:val="21"/>
                <w:u w:val="single"/>
              </w:rPr>
              <w:t>％</w:t>
            </w:r>
            <w:r>
              <w:rPr>
                <w:rFonts w:hint="eastAsia" w:ascii="宋体" w:hAnsi="宋体" w:cs="宋体"/>
                <w:szCs w:val="21"/>
              </w:rPr>
              <w:t>。</w:t>
            </w:r>
          </w:p>
          <w:p w14:paraId="3A89620D">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szCs w:val="21"/>
              </w:rPr>
            </w:pPr>
            <w:r>
              <w:rPr>
                <w:rFonts w:hint="eastAsia"/>
              </w:rPr>
              <w:t>2、残疾人福利性单位视同小型、微型企业。用扣除后的价格参与评审，本项目具体扣除比例为：</w:t>
            </w:r>
            <w:r>
              <w:rPr>
                <w:rFonts w:hint="eastAsia"/>
                <w:u w:val="single"/>
                <w:lang w:val="en-US" w:eastAsia="zh-CN"/>
              </w:rPr>
              <w:t>/</w:t>
            </w:r>
            <w:r>
              <w:rPr>
                <w:rFonts w:hint="eastAsia"/>
                <w:u w:val="single"/>
              </w:rPr>
              <w:t>%</w:t>
            </w:r>
            <w:r>
              <w:rPr>
                <w:rFonts w:hint="eastAsia" w:ascii="宋体" w:hAnsi="宋体"/>
                <w:szCs w:val="21"/>
              </w:rPr>
              <w:t>。监狱企业、残疾人福利性单位属于小型、微型企业的，不重复享受扶持中小企业发展的优惠政策。</w:t>
            </w:r>
          </w:p>
        </w:tc>
      </w:tr>
      <w:tr w14:paraId="43CD71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6" w:hRule="atLeast"/>
          <w:jc w:val="center"/>
        </w:trPr>
        <w:tc>
          <w:tcPr>
            <w:tcW w:w="1847" w:type="dxa"/>
            <w:shd w:val="clear" w:color="auto" w:fill="auto"/>
            <w:vAlign w:val="center"/>
          </w:tcPr>
          <w:p w14:paraId="5587C1CB">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第二章第31.5款</w:t>
            </w:r>
          </w:p>
        </w:tc>
        <w:tc>
          <w:tcPr>
            <w:tcW w:w="1917" w:type="dxa"/>
            <w:shd w:val="clear" w:color="auto" w:fill="auto"/>
            <w:vAlign w:val="center"/>
          </w:tcPr>
          <w:p w14:paraId="2D9B78F6">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技术、商务、价格得分或总得分调整</w:t>
            </w:r>
          </w:p>
        </w:tc>
        <w:tc>
          <w:tcPr>
            <w:tcW w:w="4510" w:type="dxa"/>
            <w:shd w:val="clear" w:color="auto" w:fill="auto"/>
            <w:vAlign w:val="center"/>
          </w:tcPr>
          <w:p w14:paraId="7573DA6E">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符合第二章第9</w:t>
            </w:r>
            <w:r>
              <w:rPr>
                <w:rFonts w:ascii="宋体" w:hAnsi="宋体"/>
              </w:rPr>
              <w:t>.</w:t>
            </w:r>
            <w:r>
              <w:rPr>
                <w:rFonts w:hint="eastAsia" w:ascii="宋体" w:hAnsi="宋体"/>
              </w:rPr>
              <w:t>1款规定，按第二章第31.6款规定及本款分值调整：</w:t>
            </w:r>
          </w:p>
          <w:p w14:paraId="1494A38D">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节能产品：</w:t>
            </w:r>
          </w:p>
          <w:p w14:paraId="0AEF026A">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技术加分＝技术分值×加分比例×（节能产品最后报价÷最后总报价）；</w:t>
            </w:r>
          </w:p>
          <w:p w14:paraId="34B06EE1">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价格加分＝价格分值×加分比例×（节能产品最后</w:t>
            </w:r>
          </w:p>
          <w:p w14:paraId="1A1C67EB">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报价÷最后总报价）。</w:t>
            </w:r>
          </w:p>
          <w:p w14:paraId="5ECC76FC">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2、环境标志产品：</w:t>
            </w:r>
          </w:p>
          <w:p w14:paraId="35618B75">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技术加分＝技术分值×加分比例×（环境标志产品最后报价÷最后总报价）；</w:t>
            </w:r>
          </w:p>
          <w:p w14:paraId="73C9BBE8">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价格加分＝价格分值×加分比例×（环境标志产品</w:t>
            </w:r>
          </w:p>
          <w:p w14:paraId="526973FE">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最后报价÷最后总报价）。</w:t>
            </w:r>
          </w:p>
        </w:tc>
      </w:tr>
      <w:tr w14:paraId="2EC12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38" w:hRule="atLeast"/>
          <w:jc w:val="center"/>
        </w:trPr>
        <w:tc>
          <w:tcPr>
            <w:tcW w:w="1847" w:type="dxa"/>
            <w:shd w:val="clear" w:color="auto" w:fill="auto"/>
            <w:vAlign w:val="center"/>
          </w:tcPr>
          <w:p w14:paraId="1F19082D">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ascii="宋体" w:hAnsi="宋体"/>
              </w:rPr>
              <w:t>第二章第31.6款</w:t>
            </w:r>
          </w:p>
        </w:tc>
        <w:tc>
          <w:tcPr>
            <w:tcW w:w="1917" w:type="dxa"/>
            <w:shd w:val="clear" w:color="auto" w:fill="auto"/>
            <w:vAlign w:val="center"/>
          </w:tcPr>
          <w:p w14:paraId="65781C40">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szCs w:val="21"/>
              </w:rPr>
              <w:t>多处或部分获得政府采购政策优惠的计算方法</w:t>
            </w:r>
          </w:p>
        </w:tc>
        <w:tc>
          <w:tcPr>
            <w:tcW w:w="4510" w:type="dxa"/>
            <w:shd w:val="clear" w:color="auto" w:fill="auto"/>
            <w:vAlign w:val="center"/>
          </w:tcPr>
          <w:p w14:paraId="798FCB26">
            <w:pPr>
              <w:pageBreakBefore w:val="0"/>
              <w:widowControl w:val="0"/>
              <w:kinsoku/>
              <w:wordWrap w:val="0"/>
              <w:overflowPunct/>
              <w:topLinePunct w:val="0"/>
              <w:autoSpaceDE/>
              <w:autoSpaceDN/>
              <w:bidi w:val="0"/>
              <w:snapToGrid/>
              <w:spacing w:line="240" w:lineRule="auto"/>
              <w:ind w:left="0" w:leftChars="0" w:firstLine="0" w:firstLineChars="0"/>
            </w:pPr>
            <w:r>
              <w:t>1、</w:t>
            </w:r>
            <w:r>
              <w:rPr>
                <w:rFonts w:hint="eastAsia"/>
              </w:rPr>
              <w:t>供应商</w:t>
            </w:r>
            <w:r>
              <w:t>投标产品具备政府采购优先采购环境标志的，标委员会评审时，</w:t>
            </w:r>
            <w:r>
              <w:rPr>
                <w:rFonts w:hint="eastAsia"/>
              </w:rPr>
              <w:t>对其</w:t>
            </w:r>
            <w:r>
              <w:t>优惠政策进行评审。</w:t>
            </w:r>
          </w:p>
          <w:p w14:paraId="36C166B7">
            <w:pPr>
              <w:pageBreakBefore w:val="0"/>
              <w:widowControl w:val="0"/>
              <w:kinsoku/>
              <w:wordWrap w:val="0"/>
              <w:overflowPunct/>
              <w:topLinePunct w:val="0"/>
              <w:autoSpaceDE/>
              <w:autoSpaceDN/>
              <w:bidi w:val="0"/>
              <w:snapToGrid/>
              <w:spacing w:line="240" w:lineRule="auto"/>
              <w:ind w:left="0" w:leftChars="0" w:firstLine="0" w:firstLineChars="0"/>
            </w:pPr>
            <w:r>
              <w:t>2、扶持中小企业发展的优惠政策可以叠加享受。</w:t>
            </w:r>
          </w:p>
          <w:p w14:paraId="6CA86059">
            <w:pPr>
              <w:pageBreakBefore w:val="0"/>
              <w:widowControl w:val="0"/>
              <w:kinsoku/>
              <w:wordWrap w:val="0"/>
              <w:overflowPunct/>
              <w:topLinePunct w:val="0"/>
              <w:autoSpaceDE/>
              <w:autoSpaceDN/>
              <w:bidi w:val="0"/>
              <w:snapToGrid/>
              <w:spacing w:line="240" w:lineRule="auto"/>
              <w:ind w:left="0" w:leftChars="0" w:firstLine="0" w:firstLineChars="0"/>
            </w:pPr>
            <w:r>
              <w:t>3、残疾人福利性单位属于小型、微型企业的，不重复享受扶持中小企业发展的优惠政策。</w:t>
            </w:r>
          </w:p>
          <w:p w14:paraId="38A08BE8">
            <w:pPr>
              <w:pageBreakBefore w:val="0"/>
              <w:widowControl w:val="0"/>
              <w:kinsoku/>
              <w:wordWrap w:val="0"/>
              <w:overflowPunct/>
              <w:topLinePunct w:val="0"/>
              <w:autoSpaceDE/>
              <w:autoSpaceDN/>
              <w:bidi w:val="0"/>
              <w:adjustRightInd w:val="0"/>
              <w:snapToGrid/>
              <w:spacing w:line="240" w:lineRule="auto"/>
              <w:ind w:left="0" w:leftChars="0" w:firstLine="0" w:firstLineChars="0"/>
            </w:pPr>
            <w:r>
              <w:t>4、</w:t>
            </w:r>
            <w:r>
              <w:rPr>
                <w:rFonts w:hint="eastAsia"/>
              </w:rPr>
              <w:t>供应商</w:t>
            </w:r>
            <w:r>
              <w:t>按磋商文件要求提供相关的证明文件：所投产品为中小企业生产的，应如实填写并提供生产厂家的《中小企业声明函》及《提供中型、小型、微型企业产品清单》；产品属于“节能产品”或“环境标志产品”的，应如实填写并提供《提供“节能产品”、“环境标志产品”清单》并提供《节能产品政府采购清单》、《环境标志产品政府采购清单》中该产品所在页复印件。否则，</w:t>
            </w:r>
            <w:r>
              <w:rPr>
                <w:rFonts w:hint="eastAsia"/>
              </w:rPr>
              <w:t>磋商小组</w:t>
            </w:r>
            <w:r>
              <w:t>不予认可。</w:t>
            </w:r>
          </w:p>
          <w:p w14:paraId="0005AF95">
            <w:pPr>
              <w:pStyle w:val="13"/>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5、为贯彻落实《湖南省财政厅 湖南省农业农村厅 湖南省乡村振兴局 湖南省供销合作总社关于运用政府采购政策支持乡村振兴有关事项的通知》（湘财购〔2021〕11号）文件精神，深入开展政府采购脱贫地区农副产品工作，助力推进乡村振兴进程。</w:t>
            </w:r>
          </w:p>
        </w:tc>
      </w:tr>
      <w:tr w14:paraId="6E1479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43" w:hRule="atLeast"/>
          <w:jc w:val="center"/>
        </w:trPr>
        <w:tc>
          <w:tcPr>
            <w:tcW w:w="8274" w:type="dxa"/>
            <w:gridSpan w:val="3"/>
            <w:shd w:val="clear" w:color="auto" w:fill="auto"/>
            <w:vAlign w:val="center"/>
          </w:tcPr>
          <w:p w14:paraId="0C4554B7">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b/>
                <w:bCs/>
              </w:rPr>
              <w:t>六、成交结果信息公布与授予合同</w:t>
            </w:r>
          </w:p>
        </w:tc>
      </w:tr>
      <w:tr w14:paraId="43CF65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298" w:hRule="atLeast"/>
          <w:jc w:val="center"/>
        </w:trPr>
        <w:tc>
          <w:tcPr>
            <w:tcW w:w="1847" w:type="dxa"/>
            <w:shd w:val="clear" w:color="auto" w:fill="auto"/>
            <w:vAlign w:val="center"/>
          </w:tcPr>
          <w:p w14:paraId="03A2680F">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第二章第37.1款、</w:t>
            </w:r>
          </w:p>
        </w:tc>
        <w:tc>
          <w:tcPr>
            <w:tcW w:w="1917" w:type="dxa"/>
            <w:shd w:val="clear" w:color="auto" w:fill="auto"/>
            <w:vAlign w:val="center"/>
          </w:tcPr>
          <w:p w14:paraId="77A39C1E">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财政部门指定的媒体</w:t>
            </w:r>
          </w:p>
        </w:tc>
        <w:tc>
          <w:tcPr>
            <w:tcW w:w="4510" w:type="dxa"/>
            <w:shd w:val="clear" w:color="auto" w:fill="auto"/>
            <w:vAlign w:val="center"/>
          </w:tcPr>
          <w:p w14:paraId="329635F5">
            <w:pPr>
              <w:pageBreakBefore w:val="0"/>
              <w:widowControl w:val="0"/>
              <w:kinsoku/>
              <w:wordWrap w:val="0"/>
              <w:overflowPunct/>
              <w:topLinePunct w:val="0"/>
              <w:autoSpaceDE/>
              <w:autoSpaceDN/>
              <w:bidi w:val="0"/>
              <w:adjustRightInd w:val="0"/>
              <w:snapToGrid/>
              <w:spacing w:line="240" w:lineRule="auto"/>
              <w:ind w:left="0" w:leftChars="0" w:firstLine="0" w:firstLineChars="0"/>
            </w:pPr>
            <w:r>
              <w:rPr>
                <w:rFonts w:hint="eastAsia" w:ascii="宋体" w:hAnsi="宋体" w:cs="宋体"/>
                <w:szCs w:val="21"/>
              </w:rPr>
              <w:t>中国湖南政府采购网（www.ccgp-hunan.gov.cn）发布</w:t>
            </w:r>
          </w:p>
        </w:tc>
      </w:tr>
      <w:tr w14:paraId="4C43AC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7" w:hRule="atLeast"/>
          <w:jc w:val="center"/>
        </w:trPr>
        <w:tc>
          <w:tcPr>
            <w:tcW w:w="1847" w:type="dxa"/>
            <w:shd w:val="clear" w:color="auto" w:fill="auto"/>
            <w:vAlign w:val="center"/>
          </w:tcPr>
          <w:p w14:paraId="617F2F2D">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第二章第39.3款</w:t>
            </w:r>
          </w:p>
        </w:tc>
        <w:tc>
          <w:tcPr>
            <w:tcW w:w="1917" w:type="dxa"/>
            <w:shd w:val="clear" w:color="auto" w:fill="auto"/>
            <w:vAlign w:val="center"/>
          </w:tcPr>
          <w:p w14:paraId="3464AF9F">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cs="宋体"/>
                <w:szCs w:val="21"/>
              </w:rPr>
              <w:t>履约担保</w:t>
            </w:r>
          </w:p>
        </w:tc>
        <w:tc>
          <w:tcPr>
            <w:tcW w:w="4510" w:type="dxa"/>
            <w:shd w:val="clear" w:color="auto" w:fill="auto"/>
            <w:vAlign w:val="center"/>
          </w:tcPr>
          <w:p w14:paraId="6271B35D">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Times New Roman" w:hAnsi="Times New Roman" w:eastAsia="宋体" w:cs="Times New Roman"/>
              </w:rPr>
            </w:pPr>
            <w:r>
              <w:rPr>
                <w:rFonts w:hint="eastAsia" w:ascii="Times New Roman" w:hAnsi="Times New Roman" w:eastAsia="宋体" w:cs="Times New Roman"/>
              </w:rPr>
              <w:t>■</w:t>
            </w:r>
            <w:r>
              <w:rPr>
                <w:rFonts w:hint="eastAsia" w:ascii="宋体" w:hAnsi="宋体" w:eastAsia="宋体" w:cs="Times New Roman"/>
                <w:szCs w:val="21"/>
              </w:rPr>
              <w:t>不要求提供</w:t>
            </w:r>
          </w:p>
          <w:p w14:paraId="253AD402">
            <w:pPr>
              <w:pageBreakBefore w:val="0"/>
              <w:widowControl w:val="0"/>
              <w:kinsoku/>
              <w:wordWrap w:val="0"/>
              <w:overflowPunct/>
              <w:topLinePunct w:val="0"/>
              <w:autoSpaceDE/>
              <w:autoSpaceDN/>
              <w:bidi w:val="0"/>
              <w:snapToGrid/>
              <w:spacing w:line="240" w:lineRule="auto"/>
              <w:ind w:left="0" w:leftChars="0" w:firstLine="0" w:firstLineChars="0"/>
              <w:jc w:val="both"/>
              <w:rPr>
                <w:rFonts w:ascii="宋体" w:hAnsi="宋体"/>
                <w:szCs w:val="21"/>
              </w:rPr>
            </w:pPr>
            <w:r>
              <w:rPr>
                <w:rFonts w:hint="eastAsia" w:ascii="宋体" w:hAnsi="宋体"/>
                <w:szCs w:val="21"/>
              </w:rPr>
              <w:t>□</w:t>
            </w:r>
            <w:r>
              <w:rPr>
                <w:rFonts w:hint="eastAsia"/>
              </w:rPr>
              <w:t>要求提供</w:t>
            </w:r>
          </w:p>
        </w:tc>
      </w:tr>
      <w:tr w14:paraId="04D6E4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3" w:hRule="atLeast"/>
          <w:jc w:val="center"/>
        </w:trPr>
        <w:tc>
          <w:tcPr>
            <w:tcW w:w="8274" w:type="dxa"/>
            <w:gridSpan w:val="3"/>
            <w:shd w:val="clear" w:color="auto" w:fill="auto"/>
            <w:vAlign w:val="center"/>
          </w:tcPr>
          <w:p w14:paraId="487A7CC1">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b/>
                <w:bCs/>
              </w:rPr>
              <w:t>七、其他规定</w:t>
            </w:r>
          </w:p>
        </w:tc>
      </w:tr>
      <w:tr w14:paraId="02362D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9" w:hRule="atLeast"/>
          <w:jc w:val="center"/>
        </w:trPr>
        <w:tc>
          <w:tcPr>
            <w:tcW w:w="1847" w:type="dxa"/>
            <w:shd w:val="clear" w:color="auto" w:fill="auto"/>
            <w:vAlign w:val="center"/>
          </w:tcPr>
          <w:p w14:paraId="1D15A8AE">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第二章第41.1款</w:t>
            </w:r>
          </w:p>
        </w:tc>
        <w:tc>
          <w:tcPr>
            <w:tcW w:w="1917" w:type="dxa"/>
            <w:shd w:val="clear" w:color="auto" w:fill="auto"/>
            <w:vAlign w:val="center"/>
          </w:tcPr>
          <w:p w14:paraId="5ED6AF01">
            <w:pPr>
              <w:pageBreakBefore w:val="0"/>
              <w:widowControl w:val="0"/>
              <w:kinsoku/>
              <w:wordWrap w:val="0"/>
              <w:overflowPunct/>
              <w:topLinePunct w:val="0"/>
              <w:autoSpaceDE/>
              <w:autoSpaceDN/>
              <w:bidi w:val="0"/>
              <w:snapToGrid/>
              <w:spacing w:line="240" w:lineRule="auto"/>
              <w:ind w:left="0" w:leftChars="0" w:firstLine="0" w:firstLineChars="0"/>
              <w:rPr>
                <w:rFonts w:ascii="宋体" w:hAnsi="宋体"/>
              </w:rPr>
            </w:pPr>
            <w:r>
              <w:rPr>
                <w:rFonts w:hint="eastAsia" w:ascii="宋体" w:hAnsi="宋体"/>
              </w:rPr>
              <w:t>采购代理服务费</w:t>
            </w:r>
          </w:p>
        </w:tc>
        <w:tc>
          <w:tcPr>
            <w:tcW w:w="4510" w:type="dxa"/>
            <w:shd w:val="clear" w:color="auto" w:fill="auto"/>
            <w:vAlign w:val="center"/>
          </w:tcPr>
          <w:p w14:paraId="386A3891">
            <w:pPr>
              <w:pageBreakBefore w:val="0"/>
              <w:widowControl w:val="0"/>
              <w:kinsoku/>
              <w:wordWrap w:val="0"/>
              <w:overflowPunct/>
              <w:topLinePunct w:val="0"/>
              <w:autoSpaceDE/>
              <w:autoSpaceDN/>
              <w:bidi w:val="0"/>
              <w:snapToGrid/>
              <w:spacing w:line="240" w:lineRule="auto"/>
              <w:ind w:left="0" w:leftChars="0" w:firstLine="0" w:firstLineChars="0"/>
              <w:outlineLvl w:val="9"/>
              <w:rPr>
                <w:rFonts w:ascii="Times New Roman" w:hAnsi="Times New Roman"/>
                <w:b w:val="0"/>
                <w:bCs w:val="0"/>
                <w:szCs w:val="24"/>
              </w:rPr>
            </w:pPr>
            <w:bookmarkStart w:id="65" w:name="_Toc11560"/>
            <w:r>
              <w:rPr>
                <w:rFonts w:hint="eastAsia" w:ascii="Times New Roman" w:hAnsi="Times New Roman"/>
                <w:b w:val="0"/>
                <w:bCs w:val="0"/>
                <w:szCs w:val="24"/>
              </w:rPr>
              <w:t>本项目将依据湘建建〔2024〕19号规定的收费标准及代理优惠率计取招标代理服务费，以实际中标金额据实结算。</w:t>
            </w:r>
            <w:bookmarkEnd w:id="65"/>
          </w:p>
        </w:tc>
      </w:tr>
      <w:tr w14:paraId="572BB2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41" w:hRule="atLeast"/>
          <w:jc w:val="center"/>
        </w:trPr>
        <w:tc>
          <w:tcPr>
            <w:tcW w:w="1847" w:type="dxa"/>
            <w:shd w:val="clear" w:color="auto" w:fill="auto"/>
            <w:vAlign w:val="center"/>
          </w:tcPr>
          <w:p w14:paraId="123FA80A">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cs="宋体"/>
                <w:szCs w:val="21"/>
              </w:rPr>
              <w:t>第二章第42.1款</w:t>
            </w:r>
          </w:p>
        </w:tc>
        <w:tc>
          <w:tcPr>
            <w:tcW w:w="1917" w:type="dxa"/>
            <w:shd w:val="clear" w:color="auto" w:fill="auto"/>
            <w:vAlign w:val="center"/>
          </w:tcPr>
          <w:p w14:paraId="4A9FADB9">
            <w:pPr>
              <w:pageBreakBefore w:val="0"/>
              <w:widowControl w:val="0"/>
              <w:kinsoku/>
              <w:wordWrap w:val="0"/>
              <w:overflowPunct/>
              <w:topLinePunct w:val="0"/>
              <w:autoSpaceDE/>
              <w:autoSpaceDN/>
              <w:bidi w:val="0"/>
              <w:adjustRightInd w:val="0"/>
              <w:snapToGrid/>
              <w:spacing w:line="240" w:lineRule="auto"/>
              <w:ind w:left="0" w:leftChars="0" w:firstLine="0" w:firstLineChars="0"/>
              <w:rPr>
                <w:rFonts w:ascii="宋体" w:hAnsi="宋体"/>
              </w:rPr>
            </w:pPr>
            <w:r>
              <w:rPr>
                <w:rFonts w:hint="eastAsia" w:ascii="宋体" w:hAnsi="宋体" w:cs="宋体"/>
                <w:szCs w:val="21"/>
              </w:rPr>
              <w:t>其他规定</w:t>
            </w:r>
          </w:p>
        </w:tc>
        <w:tc>
          <w:tcPr>
            <w:tcW w:w="4510" w:type="dxa"/>
            <w:shd w:val="clear" w:color="auto" w:fill="auto"/>
            <w:vAlign w:val="center"/>
          </w:tcPr>
          <w:p w14:paraId="2D2B1858">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根据《财政部关于在政府采购活动中查询及使用信用记录有关问题的通知》（财库〔2016〕125号）的规定，对列入失信被执行人、重大税收违法案件当事人名单、政府采购严重违法失信行为记录名单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0D2D1C8">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1、信用信息查询的查询渠道：“信用中国”网站（www.creditchina.gov.cn）、中国政府采购网（www.ccgp.gov.cn）、湖南信用网（www.hncredit.gov.cn)和湖南政府采购网（www.ccgp-hunan.gov.cn)。</w:t>
            </w:r>
          </w:p>
          <w:p w14:paraId="6194C319">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2、信用信息查询的截止时点：至本项目响应文件递交截止时间止。</w:t>
            </w:r>
          </w:p>
          <w:p w14:paraId="20727C0D">
            <w:pPr>
              <w:pageBreakBefore w:val="0"/>
              <w:widowControl w:val="0"/>
              <w:kinsoku/>
              <w:wordWrap w:val="0"/>
              <w:overflowPunct/>
              <w:topLinePunct w:val="0"/>
              <w:autoSpaceDE/>
              <w:autoSpaceDN/>
              <w:bidi w:val="0"/>
              <w:snapToGrid/>
              <w:spacing w:line="240" w:lineRule="auto"/>
              <w:ind w:left="0" w:leftChars="0" w:firstLine="0" w:firstLineChars="0"/>
            </w:pPr>
            <w:r>
              <w:rPr>
                <w:rFonts w:hint="eastAsia"/>
              </w:rPr>
              <w:t>3、信用信息查询记录的具体方式：采购人或采购代理机构在开标时在规定的查询渠道进行查询。</w:t>
            </w:r>
          </w:p>
          <w:p w14:paraId="4794859E">
            <w:pPr>
              <w:pageBreakBefore w:val="0"/>
              <w:widowControl w:val="0"/>
              <w:kinsoku/>
              <w:wordWrap w:val="0"/>
              <w:overflowPunct/>
              <w:topLinePunct w:val="0"/>
              <w:autoSpaceDE/>
              <w:autoSpaceDN/>
              <w:bidi w:val="0"/>
              <w:adjustRightInd w:val="0"/>
              <w:snapToGrid/>
              <w:spacing w:line="240" w:lineRule="auto"/>
              <w:ind w:left="0" w:leftChars="0" w:firstLine="0" w:firstLineChars="0"/>
              <w:jc w:val="left"/>
              <w:rPr>
                <w:rFonts w:ascii="宋体" w:hAnsi="宋体"/>
                <w:szCs w:val="21"/>
              </w:rPr>
            </w:pPr>
            <w:r>
              <w:rPr>
                <w:rFonts w:hint="eastAsia"/>
              </w:rPr>
              <w:t>4、信用信息查询记录证据留存的具体方式：查询记录的网上打印件。</w:t>
            </w:r>
          </w:p>
        </w:tc>
      </w:tr>
    </w:tbl>
    <w:p w14:paraId="2EB36726">
      <w:pPr>
        <w:rPr>
          <w:rFonts w:hint="eastAsia"/>
        </w:rPr>
      </w:pPr>
      <w:bookmarkStart w:id="66" w:name="_Toc8358"/>
      <w:bookmarkStart w:id="67" w:name="_Toc10408"/>
      <w:bookmarkStart w:id="68" w:name="_Toc11317"/>
      <w:bookmarkStart w:id="69" w:name="_Toc24203"/>
      <w:bookmarkStart w:id="70" w:name="_Toc21947"/>
      <w:r>
        <w:rPr>
          <w:rFonts w:hint="eastAsia"/>
        </w:rPr>
        <w:br w:type="page"/>
      </w:r>
    </w:p>
    <w:bookmarkEnd w:id="66"/>
    <w:bookmarkEnd w:id="67"/>
    <w:bookmarkEnd w:id="68"/>
    <w:bookmarkEnd w:id="69"/>
    <w:bookmarkEnd w:id="70"/>
    <w:p w14:paraId="46EA9D95">
      <w:pPr>
        <w:pStyle w:val="4"/>
        <w:ind w:left="316" w:hanging="316"/>
        <w:jc w:val="center"/>
      </w:pPr>
      <w:bookmarkStart w:id="71" w:name="_Toc29538858"/>
      <w:bookmarkStart w:id="72" w:name="_Toc3451"/>
      <w:bookmarkStart w:id="73" w:name="_Toc20409"/>
      <w:bookmarkStart w:id="74" w:name="_Toc16215"/>
      <w:bookmarkStart w:id="75" w:name="_Toc17880"/>
      <w:bookmarkStart w:id="76" w:name="_Toc10226"/>
      <w:bookmarkStart w:id="77" w:name="_Toc6571"/>
      <w:bookmarkStart w:id="78" w:name="_Toc23711"/>
      <w:r>
        <w:rPr>
          <w:rFonts w:hint="eastAsia"/>
        </w:rPr>
        <w:t>第二节</w:t>
      </w:r>
      <w:bookmarkEnd w:id="71"/>
      <w:r>
        <w:rPr>
          <w:rFonts w:hint="eastAsia"/>
        </w:rPr>
        <w:t xml:space="preserve"> 磋商须知正文</w:t>
      </w:r>
      <w:bookmarkEnd w:id="72"/>
      <w:bookmarkEnd w:id="73"/>
      <w:bookmarkEnd w:id="74"/>
      <w:bookmarkEnd w:id="75"/>
      <w:bookmarkEnd w:id="76"/>
      <w:bookmarkEnd w:id="77"/>
      <w:bookmarkEnd w:id="78"/>
    </w:p>
    <w:p w14:paraId="497BF124">
      <w:pPr>
        <w:keepNext w:val="0"/>
        <w:keepLines w:val="0"/>
        <w:pageBreakBefore w:val="0"/>
        <w:kinsoku/>
        <w:wordWrap/>
        <w:overflowPunct/>
        <w:topLinePunct w:val="0"/>
        <w:autoSpaceDE/>
        <w:bidi w:val="0"/>
        <w:adjustRightInd w:val="0"/>
        <w:snapToGrid/>
        <w:spacing w:line="360" w:lineRule="auto"/>
        <w:ind w:left="360" w:hanging="360"/>
        <w:textAlignment w:val="auto"/>
        <w:rPr>
          <w:rFonts w:ascii="黑体" w:hAnsi="宋体" w:eastAsia="黑体"/>
          <w:sz w:val="24"/>
        </w:rPr>
      </w:pPr>
      <w:r>
        <w:rPr>
          <w:rFonts w:hint="eastAsia" w:ascii="黑体" w:hAnsi="宋体" w:eastAsia="黑体"/>
          <w:sz w:val="24"/>
        </w:rPr>
        <w:t>一、说明</w:t>
      </w:r>
    </w:p>
    <w:p w14:paraId="0CD2ECE2">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1.适用范围</w:t>
      </w:r>
    </w:p>
    <w:p w14:paraId="099B7153">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1.1本磋商文件仅适用于磋商须知前附表(以下简称</w:t>
      </w:r>
      <w:r>
        <w:rPr>
          <w:rFonts w:hint="eastAsia" w:ascii="宋体" w:hAnsi="宋体"/>
          <w:b/>
          <w:szCs w:val="21"/>
        </w:rPr>
        <w:t>磋商须知前附表)</w:t>
      </w:r>
      <w:r>
        <w:rPr>
          <w:rFonts w:hint="eastAsia" w:ascii="宋体" w:hAnsi="宋体"/>
          <w:szCs w:val="21"/>
        </w:rPr>
        <w:t>中所叙述的采购项目。</w:t>
      </w:r>
    </w:p>
    <w:p w14:paraId="569224F2">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2.定义</w:t>
      </w:r>
    </w:p>
    <w:p w14:paraId="3D4D87C3">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b/>
          <w:szCs w:val="21"/>
        </w:rPr>
      </w:pPr>
      <w:r>
        <w:rPr>
          <w:rFonts w:hint="eastAsia" w:ascii="宋体" w:hAnsi="宋体"/>
          <w:szCs w:val="21"/>
        </w:rPr>
        <w:t>2.1“采购人”是指依法进行政府采购的国家机关、事业单位、团体组织。本次政府采购的采购人名称、地址、电话、联系人见</w:t>
      </w:r>
      <w:r>
        <w:rPr>
          <w:rFonts w:hint="eastAsia" w:ascii="宋体" w:hAnsi="宋体"/>
          <w:b/>
          <w:szCs w:val="21"/>
        </w:rPr>
        <w:t>磋商须知前附表</w:t>
      </w:r>
      <w:r>
        <w:rPr>
          <w:rFonts w:hint="eastAsia" w:ascii="宋体" w:hAnsi="宋体"/>
          <w:szCs w:val="21"/>
        </w:rPr>
        <w:t>。</w:t>
      </w:r>
    </w:p>
    <w:p w14:paraId="3761B87B">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b/>
          <w:szCs w:val="21"/>
        </w:rPr>
      </w:pPr>
      <w:r>
        <w:rPr>
          <w:rFonts w:hint="eastAsia" w:ascii="宋体" w:hAnsi="宋体"/>
          <w:szCs w:val="21"/>
        </w:rPr>
        <w:t>2.2“采购代理机构”是指接受采购人委托，代理采购项目的集中采购机构和其他采购代理机构。本次政府采购的采购代理机构名称、地址、电话、联系人见</w:t>
      </w:r>
      <w:r>
        <w:rPr>
          <w:rFonts w:hint="eastAsia" w:ascii="宋体" w:hAnsi="宋体"/>
          <w:b/>
          <w:szCs w:val="21"/>
        </w:rPr>
        <w:t>磋商须知前附表。</w:t>
      </w:r>
    </w:p>
    <w:p w14:paraId="25C24CCF">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cs="宋体"/>
          <w:bCs/>
          <w:kern w:val="36"/>
          <w:szCs w:val="21"/>
        </w:rPr>
      </w:pPr>
      <w:r>
        <w:rPr>
          <w:rFonts w:hint="eastAsia" w:ascii="宋体" w:hAnsi="宋体"/>
          <w:szCs w:val="21"/>
        </w:rPr>
        <w:t>2.3“供应商”是指响应磋商文件要求、参加竞争性磋商采购的法人、其他组织或者自然人。本次政府采购项目</w:t>
      </w:r>
      <w:r>
        <w:rPr>
          <w:rFonts w:hint="eastAsia" w:ascii="宋体" w:hAnsi="宋体" w:cs="宋体"/>
          <w:kern w:val="0"/>
          <w:szCs w:val="21"/>
        </w:rPr>
        <w:t>邀请</w:t>
      </w:r>
      <w:r>
        <w:rPr>
          <w:rFonts w:hint="eastAsia" w:ascii="宋体" w:hAnsi="宋体"/>
          <w:szCs w:val="21"/>
        </w:rPr>
        <w:t>的</w:t>
      </w:r>
      <w:r>
        <w:rPr>
          <w:rFonts w:hint="eastAsia" w:ascii="宋体" w:hAnsi="宋体" w:cs="宋体"/>
          <w:kern w:val="0"/>
          <w:szCs w:val="21"/>
        </w:rPr>
        <w:t>供应商通过</w:t>
      </w:r>
      <w:r>
        <w:rPr>
          <w:rFonts w:hint="eastAsia" w:ascii="宋体" w:hAnsi="宋体"/>
          <w:b/>
          <w:szCs w:val="21"/>
        </w:rPr>
        <w:t>磋商须知前附表</w:t>
      </w:r>
      <w:r>
        <w:rPr>
          <w:rFonts w:hint="eastAsia" w:ascii="宋体" w:hAnsi="宋体"/>
          <w:szCs w:val="21"/>
        </w:rPr>
        <w:t>所述方式</w:t>
      </w:r>
      <w:r>
        <w:rPr>
          <w:rFonts w:hint="eastAsia" w:ascii="宋体" w:hAnsi="宋体" w:cs="宋体"/>
          <w:kern w:val="0"/>
          <w:szCs w:val="21"/>
        </w:rPr>
        <w:t>，邀请符合资格条件的供应商提交响应文件（含资格证明资料），参与竞争性磋商采购活动。</w:t>
      </w:r>
    </w:p>
    <w:p w14:paraId="3E1C855C">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cs="宋体"/>
          <w:kern w:val="0"/>
          <w:szCs w:val="21"/>
        </w:rPr>
      </w:pPr>
      <w:r>
        <w:rPr>
          <w:rFonts w:hint="eastAsia" w:ascii="宋体" w:hAnsi="宋体"/>
          <w:szCs w:val="21"/>
        </w:rPr>
        <w:t>2.4“磋商小组”是指</w:t>
      </w:r>
      <w:r>
        <w:rPr>
          <w:rFonts w:hint="eastAsia" w:ascii="宋体" w:hAnsi="宋体" w:cs="宋体"/>
          <w:kern w:val="0"/>
          <w:szCs w:val="21"/>
        </w:rPr>
        <w:t>依据财政部</w:t>
      </w:r>
      <w:r>
        <w:rPr>
          <w:rFonts w:ascii="宋体" w:hAnsi="宋体" w:cs="宋体"/>
          <w:bCs/>
          <w:kern w:val="36"/>
          <w:szCs w:val="21"/>
        </w:rPr>
        <w:t>《</w:t>
      </w:r>
      <w:r>
        <w:rPr>
          <w:rFonts w:hint="eastAsia" w:ascii="宋体" w:hAnsi="宋体" w:cs="宋体"/>
          <w:bCs/>
          <w:kern w:val="36"/>
          <w:szCs w:val="21"/>
        </w:rPr>
        <w:t>政府采购竞争性磋商采购方式管理暂行办法</w:t>
      </w:r>
      <w:r>
        <w:rPr>
          <w:rFonts w:ascii="宋体" w:hAnsi="宋体" w:cs="宋体"/>
          <w:bCs/>
          <w:kern w:val="36"/>
          <w:szCs w:val="21"/>
        </w:rPr>
        <w:t>》</w:t>
      </w:r>
      <w:r>
        <w:rPr>
          <w:rFonts w:hint="eastAsia" w:ascii="宋体" w:hAnsi="宋体" w:cs="宋体"/>
          <w:bCs/>
          <w:kern w:val="36"/>
          <w:szCs w:val="21"/>
        </w:rPr>
        <w:t>有关规定组建，依法依规</w:t>
      </w:r>
      <w:r>
        <w:rPr>
          <w:rFonts w:hint="eastAsia" w:ascii="宋体" w:hAnsi="宋体" w:cs="宋体"/>
          <w:kern w:val="0"/>
          <w:szCs w:val="21"/>
        </w:rPr>
        <w:t>履行其职责和义务的机构。</w:t>
      </w:r>
    </w:p>
    <w:p w14:paraId="66BCC21F">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2.5“货物”是指各种形态和种类的物品，包括原资料、燃料、设备、产品等，详见《政府采购品目分类目录》(</w:t>
      </w:r>
      <w:r>
        <w:rPr>
          <w:rStyle w:val="49"/>
          <w:rFonts w:ascii="宋体" w:hAnsi="宋体" w:eastAsia="宋体" w:cs="Times New Roman"/>
          <w:b w:val="0"/>
          <w:color w:val="auto"/>
        </w:rPr>
        <w:t>财库</w:t>
      </w:r>
      <w:r>
        <w:rPr>
          <w:rStyle w:val="49"/>
          <w:rFonts w:hint="eastAsia" w:ascii="宋体" w:hAnsi="宋体" w:eastAsia="宋体" w:cs="Times New Roman"/>
          <w:b w:val="0"/>
          <w:color w:val="auto"/>
          <w:lang w:eastAsia="zh-CN"/>
        </w:rPr>
        <w:t>〔</w:t>
      </w:r>
      <w:r>
        <w:rPr>
          <w:rStyle w:val="49"/>
          <w:rFonts w:hint="eastAsia" w:ascii="宋体" w:hAnsi="宋体" w:eastAsia="宋体" w:cs="Times New Roman"/>
          <w:b w:val="0"/>
          <w:color w:val="auto"/>
          <w:lang w:val="en-US" w:eastAsia="zh-CN"/>
        </w:rPr>
        <w:t>2022</w:t>
      </w:r>
      <w:r>
        <w:rPr>
          <w:rStyle w:val="49"/>
          <w:rFonts w:hint="eastAsia" w:ascii="宋体" w:hAnsi="宋体" w:eastAsia="宋体" w:cs="Times New Roman"/>
          <w:b w:val="0"/>
          <w:color w:val="auto"/>
          <w:lang w:eastAsia="zh-CN"/>
        </w:rPr>
        <w:t>〕</w:t>
      </w:r>
      <w:r>
        <w:rPr>
          <w:rStyle w:val="49"/>
          <w:rFonts w:hint="eastAsia" w:ascii="宋体" w:hAnsi="宋体" w:eastAsia="宋体" w:cs="Times New Roman"/>
          <w:b w:val="0"/>
          <w:color w:val="auto"/>
          <w:lang w:val="en-US" w:eastAsia="zh-CN"/>
        </w:rPr>
        <w:t>31</w:t>
      </w:r>
      <w:r>
        <w:rPr>
          <w:rFonts w:hint="eastAsia" w:ascii="宋体" w:hAnsi="宋体"/>
          <w:szCs w:val="21"/>
        </w:rPr>
        <w:t>)。</w:t>
      </w:r>
    </w:p>
    <w:p w14:paraId="7700E931">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2.6“工程”是指建设工程，包括建筑物和构筑物的新建、改建、扩建、装修、拆除、修缮等，详见《政府采购品目分类目录》(</w:t>
      </w:r>
      <w:r>
        <w:rPr>
          <w:rStyle w:val="49"/>
          <w:rFonts w:ascii="宋体" w:hAnsi="宋体" w:eastAsia="宋体" w:cs="Times New Roman"/>
          <w:b w:val="0"/>
          <w:color w:val="auto"/>
        </w:rPr>
        <w:t>财库</w:t>
      </w:r>
      <w:r>
        <w:rPr>
          <w:rStyle w:val="49"/>
          <w:rFonts w:hint="eastAsia" w:ascii="宋体" w:hAnsi="宋体" w:eastAsia="宋体" w:cs="Times New Roman"/>
          <w:b w:val="0"/>
          <w:color w:val="auto"/>
          <w:lang w:eastAsia="zh-CN"/>
        </w:rPr>
        <w:t>〔</w:t>
      </w:r>
      <w:r>
        <w:rPr>
          <w:rStyle w:val="49"/>
          <w:rFonts w:hint="eastAsia" w:ascii="宋体" w:hAnsi="宋体" w:eastAsia="宋体" w:cs="Times New Roman"/>
          <w:b w:val="0"/>
          <w:color w:val="auto"/>
          <w:lang w:val="en-US" w:eastAsia="zh-CN"/>
        </w:rPr>
        <w:t>2022</w:t>
      </w:r>
      <w:r>
        <w:rPr>
          <w:rStyle w:val="49"/>
          <w:rFonts w:hint="eastAsia" w:ascii="宋体" w:hAnsi="宋体" w:eastAsia="宋体" w:cs="Times New Roman"/>
          <w:b w:val="0"/>
          <w:color w:val="auto"/>
          <w:lang w:eastAsia="zh-CN"/>
        </w:rPr>
        <w:t>〕</w:t>
      </w:r>
      <w:r>
        <w:rPr>
          <w:rStyle w:val="49"/>
          <w:rFonts w:hint="eastAsia" w:ascii="宋体" w:hAnsi="宋体" w:eastAsia="宋体" w:cs="Times New Roman"/>
          <w:b w:val="0"/>
          <w:color w:val="auto"/>
          <w:lang w:val="en-US" w:eastAsia="zh-CN"/>
        </w:rPr>
        <w:t>31</w:t>
      </w:r>
      <w:r>
        <w:rPr>
          <w:rFonts w:hint="eastAsia" w:ascii="宋体" w:hAnsi="宋体"/>
          <w:szCs w:val="21"/>
        </w:rPr>
        <w:t>)。</w:t>
      </w:r>
    </w:p>
    <w:p w14:paraId="2C9B14E2">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2.7“服务”是指除货物和工程以外的其他政府采购对象，详见《政府采购品目分类目录》</w:t>
      </w:r>
      <w:r>
        <w:rPr>
          <w:rStyle w:val="49"/>
          <w:rFonts w:ascii="宋体" w:hAnsi="宋体" w:eastAsia="宋体" w:cs="Times New Roman"/>
          <w:b w:val="0"/>
          <w:color w:val="auto"/>
        </w:rPr>
        <w:t>财库</w:t>
      </w:r>
      <w:r>
        <w:rPr>
          <w:rStyle w:val="49"/>
          <w:rFonts w:hint="eastAsia" w:ascii="宋体" w:hAnsi="宋体" w:eastAsia="宋体" w:cs="Times New Roman"/>
          <w:b w:val="0"/>
          <w:color w:val="auto"/>
          <w:lang w:eastAsia="zh-CN"/>
        </w:rPr>
        <w:t>〔</w:t>
      </w:r>
      <w:r>
        <w:rPr>
          <w:rStyle w:val="49"/>
          <w:rFonts w:hint="eastAsia" w:ascii="宋体" w:hAnsi="宋体" w:eastAsia="宋体" w:cs="Times New Roman"/>
          <w:b w:val="0"/>
          <w:color w:val="auto"/>
          <w:lang w:val="en-US" w:eastAsia="zh-CN"/>
        </w:rPr>
        <w:t>2022</w:t>
      </w:r>
      <w:r>
        <w:rPr>
          <w:rStyle w:val="49"/>
          <w:rFonts w:hint="eastAsia" w:ascii="宋体" w:hAnsi="宋体" w:eastAsia="宋体" w:cs="Times New Roman"/>
          <w:b w:val="0"/>
          <w:color w:val="auto"/>
          <w:lang w:eastAsia="zh-CN"/>
        </w:rPr>
        <w:t>〕</w:t>
      </w:r>
      <w:r>
        <w:rPr>
          <w:rStyle w:val="49"/>
          <w:rFonts w:hint="eastAsia" w:ascii="宋体" w:hAnsi="宋体" w:eastAsia="宋体" w:cs="Times New Roman"/>
          <w:b w:val="0"/>
          <w:color w:val="auto"/>
          <w:lang w:val="en-US" w:eastAsia="zh-CN"/>
        </w:rPr>
        <w:t>31</w:t>
      </w:r>
      <w:r>
        <w:rPr>
          <w:rFonts w:hint="eastAsia" w:ascii="宋体" w:hAnsi="宋体"/>
          <w:szCs w:val="21"/>
        </w:rPr>
        <w:t>)。</w:t>
      </w:r>
    </w:p>
    <w:p w14:paraId="58A6628B">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cs="宋体"/>
          <w:kern w:val="0"/>
          <w:szCs w:val="21"/>
        </w:rPr>
        <w:t>2.8</w:t>
      </w:r>
      <w:r>
        <w:rPr>
          <w:rFonts w:hint="eastAsia" w:ascii="宋体" w:hAnsi="宋体"/>
          <w:szCs w:val="21"/>
        </w:rPr>
        <w:t>“节能产品”或者“环保产品”是指财政部发布的《节能产品政府采购清单》或者《环境标志产品政府采购清单》的产品。</w:t>
      </w:r>
    </w:p>
    <w:p w14:paraId="6EFEEA1D">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cs="宋体"/>
          <w:kern w:val="0"/>
          <w:szCs w:val="21"/>
        </w:rPr>
      </w:pPr>
      <w:r>
        <w:rPr>
          <w:rFonts w:hint="eastAsia" w:ascii="宋体" w:hAnsi="宋体"/>
          <w:szCs w:val="21"/>
        </w:rPr>
        <w:t>2.9</w:t>
      </w:r>
      <w:r>
        <w:rPr>
          <w:rFonts w:hint="eastAsia" w:ascii="宋体" w:hAnsi="宋体" w:cs="宋体"/>
          <w:kern w:val="0"/>
          <w:szCs w:val="21"/>
        </w:rPr>
        <w:t>“进口产品”是指通过中国海关报关验放进入中国境内且产自关境外的产品，详见《</w:t>
      </w:r>
      <w:r>
        <w:rPr>
          <w:rFonts w:ascii="宋体" w:hAnsi="宋体" w:cs="宋体"/>
          <w:kern w:val="0"/>
          <w:szCs w:val="21"/>
        </w:rPr>
        <w:t>关于政府采购进口产品管理有关问题的通知</w:t>
      </w:r>
      <w:r>
        <w:rPr>
          <w:rFonts w:hint="eastAsia" w:ascii="宋体" w:hAnsi="宋体" w:cs="宋体"/>
          <w:kern w:val="0"/>
          <w:szCs w:val="21"/>
        </w:rPr>
        <w:t>》(财库[2007]119号)。</w:t>
      </w:r>
    </w:p>
    <w:p w14:paraId="3A61C544">
      <w:pPr>
        <w:keepNext w:val="0"/>
        <w:keepLines w:val="0"/>
        <w:pageBreakBefore w:val="0"/>
        <w:kinsoku/>
        <w:wordWrap/>
        <w:overflowPunct/>
        <w:topLinePunct w:val="0"/>
        <w:autoSpaceDE/>
        <w:bidi w:val="0"/>
        <w:adjustRightInd w:val="0"/>
        <w:snapToGrid/>
        <w:spacing w:line="360" w:lineRule="auto"/>
        <w:ind w:firstLine="420" w:firstLineChars="200"/>
        <w:textAlignment w:val="auto"/>
      </w:pPr>
      <w:r>
        <w:rPr>
          <w:rFonts w:hint="eastAsia" w:ascii="宋体" w:hAnsi="宋体"/>
          <w:szCs w:val="21"/>
        </w:rPr>
        <w:t>为贯彻落实《湖南省财政厅 湖南省农业农村厅 湖南省乡村振兴局 湖南省供销合作总社关于运用政府采购政策支持乡村振兴有关事项的通知》（湘财购〔2021〕11号）文件精神，深入开展政府采购脱贫地区农副产品工作，助力推进乡村振兴进程。</w:t>
      </w:r>
    </w:p>
    <w:p w14:paraId="747B8868">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3.供应商的资格要求</w:t>
      </w:r>
    </w:p>
    <w:p w14:paraId="003A403E">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3.1供应商应当符合</w:t>
      </w:r>
      <w:r>
        <w:rPr>
          <w:rFonts w:hint="eastAsia" w:ascii="宋体" w:hAnsi="宋体"/>
          <w:b/>
          <w:szCs w:val="21"/>
        </w:rPr>
        <w:t>磋商须知前附表</w:t>
      </w:r>
      <w:r>
        <w:rPr>
          <w:rFonts w:hint="eastAsia" w:ascii="宋体" w:hAnsi="宋体"/>
          <w:szCs w:val="21"/>
        </w:rPr>
        <w:t>中规定的资格条件要求。</w:t>
      </w:r>
    </w:p>
    <w:p w14:paraId="59FAA4BF">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3.2供应商不得存在下列情形之一：</w:t>
      </w:r>
    </w:p>
    <w:p w14:paraId="49175318">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（l）与采购人、采购代理机构存在</w:t>
      </w:r>
      <w:r>
        <w:rPr>
          <w:rFonts w:hint="eastAsia" w:ascii="宋体" w:hAnsi="宋体"/>
          <w:bCs/>
          <w:szCs w:val="21"/>
        </w:rPr>
        <w:t>隶属关系或者其他利害关系</w:t>
      </w:r>
      <w:r>
        <w:rPr>
          <w:rFonts w:hint="eastAsia" w:ascii="宋体" w:hAnsi="宋体"/>
          <w:szCs w:val="21"/>
        </w:rPr>
        <w:t>。</w:t>
      </w:r>
    </w:p>
    <w:p w14:paraId="6136EC84">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（2）与其他供应商的法定代表人（或者负责人）为同一人，或者与其他供应商存在直接控股、管理关系。</w:t>
      </w:r>
    </w:p>
    <w:p w14:paraId="2FFB8AA1">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（3）</w:t>
      </w:r>
      <w:r>
        <w:rPr>
          <w:rFonts w:hint="eastAsia" w:ascii="宋体" w:hAnsi="宋体"/>
          <w:bCs/>
          <w:szCs w:val="21"/>
        </w:rPr>
        <w:t>受到刑事处罚，或者受到</w:t>
      </w:r>
      <w:r>
        <w:rPr>
          <w:rFonts w:hint="eastAsia" w:ascii="宋体" w:hAnsi="宋体" w:cs="宋体"/>
          <w:kern w:val="0"/>
          <w:szCs w:val="21"/>
          <w:lang w:val="zh-CN"/>
        </w:rPr>
        <w:t>较大数额罚款（较大数额罚款”认定为200万元以上的罚款，法律、行政法规以及国务院有关部门明确规定相关领域“较大数额罚款”标准高于200万元的，从其规定。）、</w:t>
      </w:r>
      <w:r>
        <w:rPr>
          <w:rFonts w:hint="eastAsia" w:ascii="宋体" w:hAnsi="宋体"/>
          <w:bCs/>
          <w:szCs w:val="21"/>
        </w:rPr>
        <w:t>责令停产停业、在一至三年内禁止参加政府采购活动、暂扣或者吊销许可证、暂扣或者吊销执照等情形之一的行政处罚，或者存在</w:t>
      </w:r>
      <w:r>
        <w:rPr>
          <w:rFonts w:hint="eastAsia" w:ascii="宋体" w:hAnsi="宋体"/>
          <w:szCs w:val="21"/>
        </w:rPr>
        <w:t>财政部门认定的其他重大违法记录。</w:t>
      </w:r>
    </w:p>
    <w:p w14:paraId="12990317">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4.参与磋商的费用</w:t>
      </w:r>
    </w:p>
    <w:p w14:paraId="23B7AA98">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4.1无论磋商的结果如何，供应商应自行承担所有与竞争性磋商采购活动有关的全部费用。</w:t>
      </w:r>
    </w:p>
    <w:p w14:paraId="0156AA57">
      <w:pPr>
        <w:pStyle w:val="25"/>
        <w:keepNext w:val="0"/>
        <w:keepLines w:val="0"/>
        <w:pageBreakBefore w:val="0"/>
        <w:kinsoku/>
        <w:wordWrap/>
        <w:overflowPunct/>
        <w:topLinePunct w:val="0"/>
        <w:autoSpaceDE/>
        <w:bidi w:val="0"/>
        <w:adjustRightInd w:val="0"/>
        <w:snapToGrid/>
        <w:spacing w:line="360" w:lineRule="auto"/>
        <w:ind w:left="316" w:hanging="316"/>
        <w:textAlignment w:val="auto"/>
        <w:rPr>
          <w:rFonts w:hAnsi="宋体"/>
          <w:b/>
          <w:bCs/>
        </w:rPr>
      </w:pPr>
      <w:r>
        <w:rPr>
          <w:rFonts w:hint="eastAsia" w:hAnsi="宋体"/>
          <w:b/>
        </w:rPr>
        <w:t>5．</w:t>
      </w:r>
      <w:r>
        <w:rPr>
          <w:rFonts w:hint="eastAsia" w:hAnsi="宋体"/>
          <w:b/>
          <w:bCs/>
        </w:rPr>
        <w:t>授权委托</w:t>
      </w:r>
    </w:p>
    <w:p w14:paraId="53F6E351">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cs="宋体"/>
        </w:rPr>
      </w:pPr>
      <w:r>
        <w:rPr>
          <w:rFonts w:hint="eastAsia" w:hAnsi="宋体"/>
        </w:rPr>
        <w:t>5.1供应商代表为供应商法定代表人的，应持有法定代表人身份证明。供应商代表不是供应商法定代表人的，应持有法定代表人授权书，并附法定代表人身份证明。</w:t>
      </w:r>
      <w:r>
        <w:rPr>
          <w:rFonts w:hint="eastAsia" w:hAnsi="宋体" w:cs="宋体"/>
        </w:rPr>
        <w:t>请供应商的法人代表（或授权代表）凭法人证明（或授权委托书原件）及身份证原件准时参加磋商会议，否则，其磋商响应文件将被拒绝</w:t>
      </w:r>
      <w:r>
        <w:rPr>
          <w:rFonts w:hint="eastAsia" w:hAnsi="宋体"/>
        </w:rPr>
        <w:t>。</w:t>
      </w:r>
    </w:p>
    <w:p w14:paraId="0EE1E6F3">
      <w:pPr>
        <w:pStyle w:val="25"/>
        <w:keepNext w:val="0"/>
        <w:keepLines w:val="0"/>
        <w:pageBreakBefore w:val="0"/>
        <w:kinsoku/>
        <w:wordWrap/>
        <w:overflowPunct/>
        <w:topLinePunct w:val="0"/>
        <w:autoSpaceDE/>
        <w:bidi w:val="0"/>
        <w:adjustRightInd w:val="0"/>
        <w:snapToGrid/>
        <w:spacing w:line="360" w:lineRule="auto"/>
        <w:ind w:left="316" w:hanging="316"/>
        <w:textAlignment w:val="auto"/>
        <w:rPr>
          <w:rFonts w:hAnsi="宋体"/>
          <w:b/>
        </w:rPr>
      </w:pPr>
      <w:r>
        <w:rPr>
          <w:rFonts w:hint="eastAsia" w:hAnsi="宋体"/>
          <w:b/>
        </w:rPr>
        <w:t>6．联合体形式</w:t>
      </w:r>
    </w:p>
    <w:p w14:paraId="68CA899F">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6.1除</w:t>
      </w:r>
      <w:r>
        <w:rPr>
          <w:rFonts w:hint="eastAsia" w:hAnsi="宋体"/>
          <w:b/>
        </w:rPr>
        <w:t>磋商须知前附表</w:t>
      </w:r>
      <w:r>
        <w:rPr>
          <w:rFonts w:hint="eastAsia" w:hAnsi="宋体"/>
        </w:rPr>
        <w:t>中另有规定，本次磋商采购不接受为联合体形式的供应商。</w:t>
      </w:r>
    </w:p>
    <w:p w14:paraId="3C5A1FF9">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6.2供应商</w:t>
      </w:r>
      <w:r>
        <w:rPr>
          <w:rFonts w:hint="eastAsia" w:hAnsi="宋体"/>
        </w:rPr>
        <w:t>为联合体形式的</w:t>
      </w:r>
      <w:r>
        <w:rPr>
          <w:rFonts w:hint="eastAsia" w:ascii="宋体" w:hAnsi="宋体"/>
          <w:szCs w:val="21"/>
        </w:rPr>
        <w:t>，除应符合本章第3条规定外，还应遵守以下规定：</w:t>
      </w:r>
    </w:p>
    <w:p w14:paraId="71187D81">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（l）联合体各方必须签订联合体协议书，明确联合体牵头人和各方的义务、工作、合同工作量比例；</w:t>
      </w:r>
    </w:p>
    <w:p w14:paraId="64372D77">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（2）联合体各方均应当符合本章第3.1</w:t>
      </w:r>
      <w:r>
        <w:rPr>
          <w:rFonts w:hint="eastAsia" w:ascii="宋体" w:hAnsi="宋体" w:cs="宋体"/>
          <w:kern w:val="0"/>
          <w:szCs w:val="21"/>
          <w:lang w:val="zh-CN"/>
        </w:rPr>
        <w:t>款</w:t>
      </w:r>
      <w:r>
        <w:rPr>
          <w:rFonts w:hint="eastAsia" w:ascii="宋体" w:hAnsi="宋体"/>
          <w:szCs w:val="21"/>
        </w:rPr>
        <w:t>规定的供应商基本资格条件；</w:t>
      </w:r>
    </w:p>
    <w:p w14:paraId="771D1072">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（3）</w:t>
      </w:r>
      <w:r>
        <w:rPr>
          <w:rFonts w:hint="eastAsia" w:ascii="宋体" w:hAnsi="宋体"/>
        </w:rPr>
        <w:t>除</w:t>
      </w:r>
      <w:r>
        <w:rPr>
          <w:rFonts w:hint="eastAsia" w:ascii="宋体" w:hAnsi="宋体"/>
          <w:b/>
        </w:rPr>
        <w:t>磋商须知前附表</w:t>
      </w:r>
      <w:r>
        <w:rPr>
          <w:rFonts w:hint="eastAsia" w:ascii="宋体" w:hAnsi="宋体"/>
        </w:rPr>
        <w:t>中另有规定，</w:t>
      </w:r>
      <w:r>
        <w:rPr>
          <w:rFonts w:hint="eastAsia" w:ascii="宋体" w:hAnsi="宋体"/>
          <w:szCs w:val="21"/>
        </w:rPr>
        <w:t>联合体各方中至少有一方应当符合本章第3.1</w:t>
      </w:r>
      <w:r>
        <w:rPr>
          <w:rFonts w:hint="eastAsia" w:ascii="宋体" w:hAnsi="宋体" w:cs="宋体"/>
          <w:kern w:val="0"/>
          <w:szCs w:val="21"/>
          <w:lang w:val="zh-CN"/>
        </w:rPr>
        <w:t>款</w:t>
      </w:r>
      <w:r>
        <w:rPr>
          <w:rFonts w:hint="eastAsia" w:ascii="宋体" w:hAnsi="宋体"/>
          <w:szCs w:val="21"/>
        </w:rPr>
        <w:t>规定的供应商特定资格条件；</w:t>
      </w:r>
    </w:p>
    <w:p w14:paraId="1EC8E6AA">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lang w:val="zh-CN"/>
        </w:rPr>
      </w:pPr>
      <w:r>
        <w:rPr>
          <w:rFonts w:hint="eastAsia" w:ascii="宋体" w:hAnsi="宋体"/>
          <w:szCs w:val="21"/>
        </w:rPr>
        <w:t>（4）</w:t>
      </w:r>
      <w:r>
        <w:rPr>
          <w:rFonts w:hint="eastAsia" w:ascii="宋体" w:hAnsi="宋体" w:cs="宋体"/>
          <w:kern w:val="0"/>
          <w:szCs w:val="21"/>
          <w:lang w:val="zh-CN"/>
        </w:rPr>
        <w:t>联合体各方不得再单独或与其他供应商组成新的联合体参加同一项目的采购活动。</w:t>
      </w:r>
    </w:p>
    <w:p w14:paraId="3DC71E45">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szCs w:val="21"/>
        </w:rPr>
      </w:pPr>
      <w:r>
        <w:rPr>
          <w:rFonts w:hint="eastAsia" w:ascii="宋体" w:hAnsi="宋体"/>
          <w:b/>
          <w:szCs w:val="21"/>
        </w:rPr>
        <w:t>7.现场勘察</w:t>
      </w:r>
    </w:p>
    <w:p w14:paraId="4533D25F">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7.1供应商应按</w:t>
      </w:r>
      <w:r>
        <w:rPr>
          <w:rFonts w:hint="eastAsia" w:hAnsi="宋体"/>
          <w:b/>
        </w:rPr>
        <w:t>磋商须知前附表</w:t>
      </w:r>
      <w:r>
        <w:rPr>
          <w:rFonts w:hint="eastAsia" w:hAnsi="宋体"/>
        </w:rPr>
        <w:t>中规定</w:t>
      </w:r>
      <w:r>
        <w:rPr>
          <w:rFonts w:hint="eastAsia" w:ascii="宋体" w:hAnsi="宋体"/>
          <w:szCs w:val="21"/>
        </w:rPr>
        <w:t>对采购项目现场和周围环境的现场考察。</w:t>
      </w:r>
    </w:p>
    <w:p w14:paraId="43A4F7AB">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7.2勘查现场的费用由供应商自己承担，勘察期间所发生的人身伤害及财产损失由供应商自己负责。</w:t>
      </w:r>
    </w:p>
    <w:p w14:paraId="1889E1A3">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b/>
          <w:szCs w:val="21"/>
        </w:rPr>
      </w:pPr>
      <w:r>
        <w:rPr>
          <w:rFonts w:hint="eastAsia" w:ascii="宋体" w:hAnsi="宋体"/>
          <w:szCs w:val="21"/>
        </w:rPr>
        <w:t>7.3采购人不对供应商据此而做出的推论、理解和结论负责。一旦成交，供应商不得以任何借口，提出额外补偿，或延长合同期限的要求。</w:t>
      </w:r>
    </w:p>
    <w:p w14:paraId="55AF7F7E">
      <w:pPr>
        <w:keepNext w:val="0"/>
        <w:keepLines w:val="0"/>
        <w:pageBreakBefore w:val="0"/>
        <w:kinsoku/>
        <w:wordWrap/>
        <w:overflowPunct/>
        <w:topLinePunct w:val="0"/>
        <w:autoSpaceDE/>
        <w:bidi w:val="0"/>
        <w:adjustRightInd w:val="0"/>
        <w:snapToGrid/>
        <w:spacing w:line="360" w:lineRule="auto"/>
        <w:ind w:left="316" w:hanging="316"/>
        <w:jc w:val="left"/>
        <w:textAlignment w:val="auto"/>
        <w:rPr>
          <w:rFonts w:ascii="宋体" w:hAnsi="宋体"/>
          <w:b/>
          <w:szCs w:val="21"/>
        </w:rPr>
      </w:pPr>
      <w:r>
        <w:rPr>
          <w:rFonts w:hint="eastAsia" w:ascii="宋体" w:hAnsi="宋体"/>
          <w:b/>
          <w:szCs w:val="21"/>
        </w:rPr>
        <w:t>8.采购进口产品</w:t>
      </w:r>
    </w:p>
    <w:p w14:paraId="48D70D69">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szCs w:val="21"/>
        </w:rPr>
        <w:t>8.1除</w:t>
      </w:r>
      <w:r>
        <w:rPr>
          <w:rFonts w:hint="eastAsia" w:ascii="宋体" w:hAnsi="宋体"/>
          <w:b/>
          <w:szCs w:val="21"/>
        </w:rPr>
        <w:t>磋商文件前附表</w:t>
      </w:r>
      <w:r>
        <w:rPr>
          <w:rFonts w:hint="eastAsia" w:ascii="宋体" w:hAnsi="宋体"/>
          <w:szCs w:val="21"/>
        </w:rPr>
        <w:t>另有规定外，本项目</w:t>
      </w:r>
      <w:r>
        <w:rPr>
          <w:rFonts w:hint="eastAsia" w:ascii="宋体" w:hAnsi="宋体" w:cs="宋体"/>
          <w:kern w:val="0"/>
          <w:szCs w:val="21"/>
        </w:rPr>
        <w:t>拒绝进口产品参加</w:t>
      </w:r>
      <w:r>
        <w:rPr>
          <w:rFonts w:hint="eastAsia" w:ascii="宋体" w:hAnsi="宋体"/>
          <w:szCs w:val="21"/>
        </w:rPr>
        <w:t>竞争性磋商采购活动</w:t>
      </w:r>
      <w:r>
        <w:rPr>
          <w:rFonts w:hint="eastAsia" w:ascii="宋体" w:hAnsi="宋体" w:cs="宋体"/>
          <w:kern w:val="0"/>
          <w:szCs w:val="21"/>
        </w:rPr>
        <w:t>。</w:t>
      </w:r>
    </w:p>
    <w:p w14:paraId="3BB86EA5">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8.2</w:t>
      </w:r>
      <w:r>
        <w:rPr>
          <w:rFonts w:hint="eastAsia" w:ascii="宋体" w:hAnsi="宋体"/>
          <w:szCs w:val="21"/>
        </w:rPr>
        <w:t>本章第7.1</w:t>
      </w:r>
      <w:r>
        <w:rPr>
          <w:rFonts w:hint="eastAsia" w:ascii="宋体" w:hAnsi="宋体" w:cs="宋体"/>
          <w:kern w:val="0"/>
          <w:szCs w:val="21"/>
          <w:lang w:val="zh-CN"/>
        </w:rPr>
        <w:t>款</w:t>
      </w:r>
      <w:r>
        <w:rPr>
          <w:rFonts w:hint="eastAsia" w:ascii="宋体" w:hAnsi="宋体"/>
          <w:szCs w:val="21"/>
        </w:rPr>
        <w:t>规定</w:t>
      </w:r>
      <w:r>
        <w:rPr>
          <w:rFonts w:ascii="宋体" w:hAnsi="宋体" w:cs="宋体"/>
          <w:kern w:val="0"/>
          <w:szCs w:val="21"/>
        </w:rPr>
        <w:t>同意购买进口产品的</w:t>
      </w:r>
      <w:r>
        <w:rPr>
          <w:rFonts w:hint="eastAsia" w:ascii="宋体" w:hAnsi="宋体" w:cs="宋体"/>
          <w:kern w:val="0"/>
          <w:szCs w:val="21"/>
        </w:rPr>
        <w:t>，</w:t>
      </w:r>
      <w:r>
        <w:rPr>
          <w:rFonts w:hint="eastAsia" w:ascii="宋体" w:hAnsi="宋体"/>
          <w:szCs w:val="21"/>
        </w:rPr>
        <w:t>本项目</w:t>
      </w:r>
      <w:r>
        <w:rPr>
          <w:rFonts w:hint="eastAsia" w:ascii="宋体" w:hAnsi="宋体" w:cs="宋体"/>
          <w:kern w:val="0"/>
          <w:szCs w:val="21"/>
          <w:lang w:val="zh-CN"/>
        </w:rPr>
        <w:t>采购活动</w:t>
      </w:r>
      <w:r>
        <w:rPr>
          <w:rFonts w:hint="eastAsia" w:ascii="宋体" w:hAnsi="宋体" w:cs="宋体"/>
          <w:kern w:val="0"/>
          <w:szCs w:val="21"/>
        </w:rPr>
        <w:t>不</w:t>
      </w:r>
      <w:r>
        <w:rPr>
          <w:rFonts w:ascii="宋体" w:hAnsi="宋体" w:cs="宋体"/>
          <w:kern w:val="0"/>
          <w:szCs w:val="21"/>
        </w:rPr>
        <w:t>限制满足</w:t>
      </w:r>
      <w:r>
        <w:rPr>
          <w:rFonts w:hint="eastAsia" w:ascii="宋体" w:hAnsi="宋体"/>
          <w:szCs w:val="21"/>
        </w:rPr>
        <w:t>磋商文件要求</w:t>
      </w:r>
      <w:r>
        <w:rPr>
          <w:rFonts w:ascii="宋体" w:hAnsi="宋体" w:cs="宋体"/>
          <w:kern w:val="0"/>
          <w:szCs w:val="21"/>
        </w:rPr>
        <w:t>的国内产品参与</w:t>
      </w:r>
      <w:r>
        <w:rPr>
          <w:rFonts w:hint="eastAsia" w:ascii="宋体" w:hAnsi="宋体"/>
          <w:szCs w:val="21"/>
        </w:rPr>
        <w:t>竞争性磋商</w:t>
      </w:r>
      <w:r>
        <w:rPr>
          <w:rFonts w:ascii="宋体" w:hAnsi="宋体" w:cs="宋体"/>
          <w:kern w:val="0"/>
          <w:szCs w:val="21"/>
        </w:rPr>
        <w:t>。</w:t>
      </w:r>
    </w:p>
    <w:p w14:paraId="25F313F9">
      <w:pPr>
        <w:keepNext w:val="0"/>
        <w:keepLines w:val="0"/>
        <w:pageBreakBefore w:val="0"/>
        <w:kinsoku/>
        <w:wordWrap/>
        <w:overflowPunct/>
        <w:topLinePunct w:val="0"/>
        <w:autoSpaceDE/>
        <w:bidi w:val="0"/>
        <w:adjustRightInd w:val="0"/>
        <w:snapToGrid/>
        <w:spacing w:line="360" w:lineRule="auto"/>
        <w:ind w:left="316" w:hanging="316"/>
        <w:jc w:val="left"/>
        <w:textAlignment w:val="auto"/>
        <w:rPr>
          <w:rFonts w:ascii="宋体" w:hAnsi="宋体"/>
          <w:b/>
          <w:szCs w:val="21"/>
        </w:rPr>
      </w:pPr>
      <w:r>
        <w:rPr>
          <w:rFonts w:hint="eastAsia" w:ascii="宋体" w:hAnsi="宋体"/>
          <w:b/>
          <w:bCs/>
          <w:szCs w:val="21"/>
        </w:rPr>
        <w:t>9.</w:t>
      </w:r>
      <w:r>
        <w:rPr>
          <w:rFonts w:hint="eastAsia" w:ascii="宋体" w:hAnsi="宋体"/>
          <w:b/>
          <w:szCs w:val="21"/>
        </w:rPr>
        <w:t>政府采购政策支持</w:t>
      </w:r>
    </w:p>
    <w:p w14:paraId="12BF104D">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cs="宋体"/>
          <w:kern w:val="0"/>
          <w:szCs w:val="21"/>
        </w:rPr>
      </w:pPr>
      <w:r>
        <w:rPr>
          <w:rFonts w:hint="eastAsia" w:ascii="宋体" w:hAnsi="宋体" w:cs="宋体"/>
          <w:kern w:val="0"/>
          <w:szCs w:val="21"/>
        </w:rPr>
        <w:t>9.1对列入财政部、国家发展改革委发布的《节能产品政府采购清单》且属于应当“强制采购的节能产品”，按照规定实行强制采购。实行政府采购强制采购的节能产品见</w:t>
      </w:r>
      <w:r>
        <w:rPr>
          <w:rFonts w:hint="eastAsia" w:ascii="宋体" w:hAnsi="宋体" w:cs="宋体"/>
          <w:b/>
          <w:kern w:val="0"/>
          <w:szCs w:val="21"/>
        </w:rPr>
        <w:t>磋商文件前附表。</w:t>
      </w:r>
    </w:p>
    <w:p w14:paraId="18780B0D">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pPr>
      <w:r>
        <w:rPr>
          <w:rFonts w:hint="eastAsia" w:hAnsi="宋体" w:cs="宋体"/>
          <w:kern w:val="0"/>
        </w:rPr>
        <w:t>9.2对列入财政部、国家发展改革委发布的《节能产品政府采购清单》的“非强制采购节能产品”，财政部、环境保护部发布的《环境标志产品政府采购清单》的“环境标志产品”以及中小企业，实行优先采购，按照省级以上财政部门有关政策规定，评审时进行价格扣除或加分。实行政府采购优先采购的优惠率见</w:t>
      </w:r>
      <w:r>
        <w:rPr>
          <w:rFonts w:hint="eastAsia" w:hAnsi="宋体" w:cs="宋体"/>
          <w:b/>
          <w:kern w:val="0"/>
        </w:rPr>
        <w:t>磋商文件前附表。</w:t>
      </w:r>
    </w:p>
    <w:p w14:paraId="65FD895B">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cs="宋体"/>
          <w:kern w:val="0"/>
          <w:szCs w:val="21"/>
        </w:rPr>
      </w:pPr>
      <w:r>
        <w:rPr>
          <w:rFonts w:hint="eastAsia" w:ascii="宋体" w:hAnsi="宋体" w:cs="宋体"/>
          <w:kern w:val="0"/>
          <w:szCs w:val="21"/>
        </w:rPr>
        <w:t>9.3产品同时属于“非强制采购节能产品”、“环境标志产品”的，评审时只有其中一项能享受优先待遇(供应商自行选择，并在报价文件中并填报相关信息及数据)；中小企业可以与同时属于“非强制采购节能产品”、“环境标志产品”中的一项重复计算。</w:t>
      </w:r>
    </w:p>
    <w:p w14:paraId="09B3E8FE">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9.4同一项目中部分产品属于优先采购政策的，评审时只对该部分产品的报价实行价格扣除及加分。</w:t>
      </w:r>
    </w:p>
    <w:p w14:paraId="22CAC9C0">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9.5为贯彻落实《湖南省财政厅 湖南省农业农村厅 湖南省乡村振兴局 湖南省供销合作总社关于运用政府采购政策支持乡村振兴有关事项的通知》（湘财购〔2021〕11号）文件精神，深入开展政府采购脱贫地区农副产品工作，助力推进乡村振兴进程。</w:t>
      </w:r>
    </w:p>
    <w:p w14:paraId="52E15524">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9.6符合本章第9.1</w:t>
      </w:r>
      <w:r>
        <w:rPr>
          <w:rFonts w:hint="eastAsia" w:ascii="宋体" w:hAnsi="宋体" w:cs="宋体"/>
          <w:kern w:val="0"/>
          <w:szCs w:val="21"/>
          <w:lang w:val="zh-CN"/>
        </w:rPr>
        <w:t>款、</w:t>
      </w:r>
      <w:r>
        <w:rPr>
          <w:rFonts w:hint="eastAsia" w:ascii="宋体" w:hAnsi="宋体"/>
          <w:szCs w:val="21"/>
        </w:rPr>
        <w:t>第9.2</w:t>
      </w:r>
      <w:r>
        <w:rPr>
          <w:rFonts w:hint="eastAsia" w:ascii="宋体" w:hAnsi="宋体" w:cs="宋体"/>
          <w:kern w:val="0"/>
          <w:szCs w:val="21"/>
          <w:lang w:val="zh-CN"/>
        </w:rPr>
        <w:t>款</w:t>
      </w:r>
      <w:r>
        <w:rPr>
          <w:rFonts w:hint="eastAsia" w:ascii="宋体" w:hAnsi="宋体"/>
          <w:szCs w:val="21"/>
        </w:rPr>
        <w:t>规定的，应提供相关证明资料。</w:t>
      </w:r>
    </w:p>
    <w:p w14:paraId="06900E7D">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9.7供应商有融资、担保需求的，具体办理流程可向</w:t>
      </w:r>
      <w:r>
        <w:rPr>
          <w:rFonts w:hint="eastAsia" w:ascii="宋体" w:hAnsi="宋体"/>
          <w:b/>
          <w:szCs w:val="21"/>
        </w:rPr>
        <w:t>磋商须知前附表</w:t>
      </w:r>
      <w:r>
        <w:rPr>
          <w:rFonts w:hint="eastAsia" w:ascii="宋体" w:hAnsi="宋体"/>
          <w:szCs w:val="21"/>
        </w:rPr>
        <w:t>所列金融机构和担保机构询问。</w:t>
      </w:r>
    </w:p>
    <w:p w14:paraId="7BCBB8F4">
      <w:pPr>
        <w:keepNext w:val="0"/>
        <w:keepLines w:val="0"/>
        <w:pageBreakBefore w:val="0"/>
        <w:kinsoku/>
        <w:wordWrap/>
        <w:overflowPunct/>
        <w:topLinePunct w:val="0"/>
        <w:autoSpaceDE/>
        <w:bidi w:val="0"/>
        <w:adjustRightInd w:val="0"/>
        <w:snapToGrid/>
        <w:spacing w:line="360" w:lineRule="auto"/>
        <w:ind w:left="902" w:hanging="902" w:hangingChars="376"/>
        <w:textAlignment w:val="auto"/>
        <w:rPr>
          <w:rFonts w:ascii="黑体" w:hAnsi="宋体" w:eastAsia="黑体"/>
          <w:sz w:val="24"/>
        </w:rPr>
      </w:pPr>
      <w:r>
        <w:rPr>
          <w:rFonts w:hint="eastAsia" w:ascii="黑体" w:hAnsi="宋体" w:eastAsia="黑体"/>
          <w:sz w:val="24"/>
        </w:rPr>
        <w:t>二、磋商文件</w:t>
      </w:r>
    </w:p>
    <w:p w14:paraId="11A9E899">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10．磋商文件的组成</w:t>
      </w:r>
    </w:p>
    <w:p w14:paraId="5C401EC7">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10.1磋商文件由下列文件组成：</w:t>
      </w:r>
    </w:p>
    <w:p w14:paraId="228C3F48">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第一章磋商邀请</w:t>
      </w:r>
    </w:p>
    <w:p w14:paraId="688F038B">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第二章磋商须知</w:t>
      </w:r>
    </w:p>
    <w:p w14:paraId="790A1222">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第三章政府采购合同格式条款</w:t>
      </w:r>
    </w:p>
    <w:p w14:paraId="39AC2A62">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第四章采购需求</w:t>
      </w:r>
    </w:p>
    <w:p w14:paraId="6A9C49DE">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第五章响应文件组成</w:t>
      </w:r>
    </w:p>
    <w:p w14:paraId="4D4CF1E5">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cs="宋体"/>
          <w:kern w:val="0"/>
        </w:rPr>
      </w:pPr>
      <w:r>
        <w:rPr>
          <w:rFonts w:hint="eastAsia"/>
        </w:rPr>
        <w:t>10.2</w:t>
      </w:r>
      <w:r>
        <w:rPr>
          <w:rFonts w:hint="eastAsia" w:hAnsi="宋体" w:cs="宋体"/>
          <w:kern w:val="0"/>
        </w:rPr>
        <w:t>磋商小组根据与供应商磋商情况可能实质性变动的内容，包括采购需求中的技术、服务要求以及合同条款，</w:t>
      </w:r>
      <w:r>
        <w:rPr>
          <w:rFonts w:hint="eastAsia"/>
        </w:rPr>
        <w:t>在</w:t>
      </w:r>
      <w:r>
        <w:rPr>
          <w:rFonts w:hint="eastAsia"/>
          <w:b/>
        </w:rPr>
        <w:t>磋商须知前附表</w:t>
      </w:r>
      <w:r>
        <w:rPr>
          <w:rFonts w:hint="eastAsia"/>
        </w:rPr>
        <w:t>中明确。</w:t>
      </w:r>
    </w:p>
    <w:p w14:paraId="3FD0F7C6">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rPr>
        <w:t>10.3</w:t>
      </w:r>
      <w:r>
        <w:rPr>
          <w:rFonts w:hint="eastAsia" w:ascii="宋体" w:hAnsi="宋体"/>
          <w:szCs w:val="21"/>
        </w:rPr>
        <w:t>供应商应仔细阅读</w:t>
      </w:r>
      <w:r>
        <w:rPr>
          <w:rFonts w:hint="eastAsia" w:ascii="宋体" w:hAnsi="宋体"/>
          <w:bCs/>
          <w:szCs w:val="21"/>
        </w:rPr>
        <w:t>磋商</w:t>
      </w:r>
      <w:r>
        <w:rPr>
          <w:rFonts w:hint="eastAsia" w:ascii="宋体" w:hAnsi="宋体"/>
          <w:szCs w:val="21"/>
        </w:rPr>
        <w:t>文件的全部内容，按照</w:t>
      </w:r>
      <w:r>
        <w:rPr>
          <w:rFonts w:hint="eastAsia" w:ascii="宋体" w:hAnsi="宋体"/>
          <w:bCs/>
          <w:szCs w:val="21"/>
        </w:rPr>
        <w:t>磋商</w:t>
      </w:r>
      <w:r>
        <w:rPr>
          <w:rFonts w:hint="eastAsia" w:ascii="宋体" w:hAnsi="宋体"/>
          <w:szCs w:val="21"/>
        </w:rPr>
        <w:t>文件要求编制</w:t>
      </w:r>
      <w:r>
        <w:rPr>
          <w:rFonts w:hint="eastAsia"/>
          <w:szCs w:val="21"/>
        </w:rPr>
        <w:t>响应</w:t>
      </w:r>
      <w:r>
        <w:rPr>
          <w:rFonts w:hint="eastAsia" w:ascii="宋体" w:hAnsi="宋体"/>
          <w:szCs w:val="21"/>
        </w:rPr>
        <w:t>文件。任何对</w:t>
      </w:r>
      <w:r>
        <w:rPr>
          <w:rFonts w:hint="eastAsia" w:ascii="宋体" w:hAnsi="宋体"/>
          <w:bCs/>
          <w:szCs w:val="21"/>
        </w:rPr>
        <w:t>磋商</w:t>
      </w:r>
      <w:r>
        <w:rPr>
          <w:rFonts w:hint="eastAsia" w:ascii="宋体" w:hAnsi="宋体"/>
          <w:szCs w:val="21"/>
        </w:rPr>
        <w:t>文件的忽略或误解不能作为</w:t>
      </w:r>
      <w:r>
        <w:rPr>
          <w:rFonts w:hint="eastAsia"/>
          <w:szCs w:val="21"/>
        </w:rPr>
        <w:t>响应</w:t>
      </w:r>
      <w:r>
        <w:rPr>
          <w:rFonts w:hint="eastAsia" w:ascii="宋体" w:hAnsi="宋体"/>
          <w:szCs w:val="21"/>
        </w:rPr>
        <w:t>文件存在缺陷或瑕疵的理由，其风险由供应商承担。</w:t>
      </w:r>
    </w:p>
    <w:p w14:paraId="001B5998">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szCs w:val="21"/>
        </w:rPr>
      </w:pPr>
      <w:r>
        <w:rPr>
          <w:rFonts w:hint="eastAsia" w:ascii="宋体" w:hAnsi="宋体"/>
          <w:b/>
          <w:szCs w:val="21"/>
        </w:rPr>
        <w:t>11.磋商文件的提供期限</w:t>
      </w:r>
    </w:p>
    <w:p w14:paraId="3B7607EA">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11.1磋商文件的提供期限自开始发出之日起不得少于五个工作日。具体提供期限见</w:t>
      </w:r>
      <w:r>
        <w:rPr>
          <w:rFonts w:hint="eastAsia" w:ascii="宋体" w:hAnsi="宋体"/>
          <w:b/>
          <w:szCs w:val="21"/>
        </w:rPr>
        <w:t>磋商文件前附表</w:t>
      </w:r>
      <w:r>
        <w:rPr>
          <w:rFonts w:hint="eastAsia" w:ascii="宋体" w:hAnsi="宋体"/>
          <w:szCs w:val="21"/>
        </w:rPr>
        <w:t>。</w:t>
      </w:r>
    </w:p>
    <w:p w14:paraId="72003487">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11.2供应商应持</w:t>
      </w:r>
      <w:r>
        <w:rPr>
          <w:rFonts w:hint="eastAsia" w:ascii="宋体" w:hAnsi="宋体"/>
          <w:b/>
          <w:szCs w:val="21"/>
        </w:rPr>
        <w:t>磋商文件前附表</w:t>
      </w:r>
      <w:r>
        <w:rPr>
          <w:rFonts w:hint="eastAsia" w:ascii="宋体" w:hAnsi="宋体"/>
          <w:szCs w:val="21"/>
        </w:rPr>
        <w:t>规定的资料领取磋商文件。</w:t>
      </w:r>
    </w:p>
    <w:p w14:paraId="2F6B3827">
      <w:pPr>
        <w:pStyle w:val="25"/>
        <w:keepNext w:val="0"/>
        <w:keepLines w:val="0"/>
        <w:pageBreakBefore w:val="0"/>
        <w:kinsoku/>
        <w:wordWrap/>
        <w:overflowPunct/>
        <w:topLinePunct w:val="0"/>
        <w:autoSpaceDE/>
        <w:bidi w:val="0"/>
        <w:adjustRightInd w:val="0"/>
        <w:snapToGrid/>
        <w:spacing w:line="360" w:lineRule="auto"/>
        <w:ind w:left="316" w:hanging="316"/>
        <w:textAlignment w:val="auto"/>
        <w:rPr>
          <w:rFonts w:hAnsi="宋体"/>
        </w:rPr>
      </w:pPr>
      <w:r>
        <w:rPr>
          <w:rFonts w:hint="eastAsia" w:hAnsi="宋体"/>
          <w:b/>
        </w:rPr>
        <w:t>12.</w:t>
      </w:r>
      <w:r>
        <w:rPr>
          <w:rFonts w:hint="eastAsia" w:hAnsi="宋体" w:cs="宋体"/>
          <w:b/>
          <w:kern w:val="0"/>
        </w:rPr>
        <w:t>提交首次响应文件</w:t>
      </w:r>
      <w:r>
        <w:rPr>
          <w:rFonts w:hint="eastAsia" w:hAnsi="宋体"/>
          <w:b/>
        </w:rPr>
        <w:t>的</w:t>
      </w:r>
      <w:r>
        <w:rPr>
          <w:rFonts w:hint="eastAsia" w:hAnsi="宋体" w:cs="宋体"/>
          <w:b/>
          <w:kern w:val="0"/>
        </w:rPr>
        <w:t>截止</w:t>
      </w:r>
      <w:r>
        <w:rPr>
          <w:rFonts w:hint="eastAsia" w:hAnsi="宋体"/>
          <w:b/>
        </w:rPr>
        <w:t>时间</w:t>
      </w:r>
    </w:p>
    <w:p w14:paraId="54CDC3E3">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12.1</w:t>
      </w:r>
      <w:r>
        <w:rPr>
          <w:rFonts w:hint="eastAsia" w:hAnsi="宋体" w:cs="宋体"/>
          <w:kern w:val="0"/>
        </w:rPr>
        <w:t>供应商提交首次响应文件截止</w:t>
      </w:r>
      <w:r>
        <w:rPr>
          <w:rFonts w:hint="eastAsia" w:hAnsi="宋体"/>
        </w:rPr>
        <w:t>时间见</w:t>
      </w:r>
      <w:r>
        <w:rPr>
          <w:rFonts w:hint="eastAsia" w:hAnsi="宋体"/>
          <w:b/>
        </w:rPr>
        <w:t>磋商须知前附表</w:t>
      </w:r>
      <w:r>
        <w:rPr>
          <w:rFonts w:hint="eastAsia" w:hAnsi="宋体"/>
        </w:rPr>
        <w:t>。</w:t>
      </w:r>
    </w:p>
    <w:p w14:paraId="0EB7D26E">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13.磋商文件的澄清</w:t>
      </w:r>
      <w:r>
        <w:rPr>
          <w:rFonts w:hint="eastAsia" w:ascii="宋体" w:hAnsi="宋体"/>
          <w:b/>
          <w:kern w:val="0"/>
          <w:szCs w:val="21"/>
          <w:lang w:val="zh-CN"/>
        </w:rPr>
        <w:t>或者</w:t>
      </w:r>
      <w:r>
        <w:rPr>
          <w:rFonts w:hint="eastAsia" w:ascii="宋体" w:hAnsi="宋体"/>
          <w:b/>
          <w:bCs/>
          <w:szCs w:val="21"/>
        </w:rPr>
        <w:t>修改</w:t>
      </w:r>
    </w:p>
    <w:p w14:paraId="6FCBA988">
      <w:pPr>
        <w:keepNext w:val="0"/>
        <w:keepLines w:val="0"/>
        <w:pageBreakBefore w:val="0"/>
        <w:kinsoku/>
        <w:wordWrap/>
        <w:overflowPunct/>
        <w:topLinePunct w:val="0"/>
        <w:autoSpaceDE/>
        <w:bidi w:val="0"/>
        <w:adjustRightInd w:val="0"/>
        <w:snapToGrid/>
        <w:spacing w:line="360" w:lineRule="auto"/>
        <w:ind w:right="-105" w:rightChars="-50" w:firstLine="420" w:firstLineChars="200"/>
        <w:textAlignment w:val="auto"/>
        <w:rPr>
          <w:rFonts w:ascii="宋体" w:hAnsi="宋体" w:cs="宋体"/>
          <w:kern w:val="0"/>
          <w:szCs w:val="21"/>
        </w:rPr>
      </w:pPr>
      <w:r>
        <w:rPr>
          <w:rFonts w:hint="eastAsia" w:ascii="宋体" w:hAnsi="宋体"/>
          <w:szCs w:val="21"/>
        </w:rPr>
        <w:t>13.1在</w:t>
      </w:r>
      <w:r>
        <w:rPr>
          <w:rFonts w:hint="eastAsia" w:ascii="宋体" w:hAnsi="宋体" w:cs="宋体"/>
          <w:kern w:val="0"/>
          <w:szCs w:val="21"/>
        </w:rPr>
        <w:t>提交首次响应文件截止之日前，采购人、采购代理机构可以对已发出的磋商文件进行必要的澄清或者修改。</w:t>
      </w:r>
    </w:p>
    <w:p w14:paraId="62CC3A24">
      <w:pPr>
        <w:keepNext w:val="0"/>
        <w:keepLines w:val="0"/>
        <w:pageBreakBefore w:val="0"/>
        <w:kinsoku/>
        <w:wordWrap/>
        <w:overflowPunct/>
        <w:topLinePunct w:val="0"/>
        <w:autoSpaceDE/>
        <w:bidi w:val="0"/>
        <w:adjustRightInd w:val="0"/>
        <w:snapToGrid/>
        <w:spacing w:line="360" w:lineRule="auto"/>
        <w:ind w:right="-105" w:rightChars="-50" w:firstLine="420" w:firstLineChars="200"/>
        <w:textAlignment w:val="auto"/>
        <w:rPr>
          <w:rFonts w:ascii="宋体" w:hAnsi="宋体" w:cs="宋体"/>
          <w:kern w:val="0"/>
          <w:szCs w:val="21"/>
        </w:rPr>
      </w:pPr>
      <w:r>
        <w:rPr>
          <w:rFonts w:hint="eastAsia" w:ascii="宋体" w:hAnsi="宋体"/>
          <w:szCs w:val="21"/>
        </w:rPr>
        <w:t>13.2</w:t>
      </w:r>
      <w:r>
        <w:rPr>
          <w:rFonts w:hint="eastAsia" w:ascii="宋体" w:hAnsi="宋体" w:cs="宋体"/>
          <w:kern w:val="0"/>
          <w:szCs w:val="21"/>
        </w:rPr>
        <w:t>澄清或者修改的内容可能影响响应文件编制的，采购人、采购代理机构应当在提交首次响应文件截止之日5日前，通过网上形式通知所有接收磋商文件的供应商，不足5日的，顺延供应商提交首次响应文件截止时间。</w:t>
      </w:r>
    </w:p>
    <w:p w14:paraId="2E4D92BD">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pPr>
      <w:r>
        <w:rPr>
          <w:rFonts w:hint="eastAsia"/>
        </w:rPr>
        <w:t>13.2</w:t>
      </w:r>
      <w:r>
        <w:rPr>
          <w:rFonts w:hint="eastAsia" w:hAnsi="宋体" w:cs="宋体"/>
          <w:kern w:val="0"/>
        </w:rPr>
        <w:t>提交首次响应文件截止时间前对磋商文件澄清或者修改内容，为磋商文件的组成部分。</w:t>
      </w:r>
    </w:p>
    <w:p w14:paraId="026A5541">
      <w:pPr>
        <w:keepNext w:val="0"/>
        <w:keepLines w:val="0"/>
        <w:pageBreakBefore w:val="0"/>
        <w:kinsoku/>
        <w:wordWrap/>
        <w:overflowPunct/>
        <w:topLinePunct w:val="0"/>
        <w:autoSpaceDE/>
        <w:bidi w:val="0"/>
        <w:adjustRightInd w:val="0"/>
        <w:snapToGrid/>
        <w:spacing w:line="360" w:lineRule="auto"/>
        <w:ind w:left="902" w:hanging="902" w:hangingChars="376"/>
        <w:textAlignment w:val="auto"/>
        <w:rPr>
          <w:rFonts w:ascii="黑体" w:hAnsi="宋体" w:eastAsia="黑体"/>
          <w:sz w:val="24"/>
        </w:rPr>
      </w:pPr>
      <w:r>
        <w:rPr>
          <w:rFonts w:hint="eastAsia" w:ascii="黑体" w:hAnsi="宋体" w:eastAsia="黑体"/>
          <w:sz w:val="24"/>
        </w:rPr>
        <w:t>三、响应文件</w:t>
      </w:r>
    </w:p>
    <w:p w14:paraId="73157574">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14.一般要求</w:t>
      </w:r>
    </w:p>
    <w:p w14:paraId="48D7B462">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bCs/>
          <w:szCs w:val="21"/>
        </w:rPr>
      </w:pPr>
      <w:r>
        <w:rPr>
          <w:rFonts w:hint="eastAsia" w:ascii="宋体" w:hAnsi="宋体"/>
          <w:bCs/>
          <w:szCs w:val="21"/>
        </w:rPr>
        <w:t>14.1供应商应仔细阅读磋商文件的所有内容，按磋商文件的要求编制响应文件，并保证所提供的全部资料的真实性，以使其响应文件对磋商文件做出实质性的响应。</w:t>
      </w:r>
    </w:p>
    <w:p w14:paraId="5EFF9B27">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bCs/>
          <w:szCs w:val="21"/>
        </w:rPr>
      </w:pPr>
      <w:r>
        <w:rPr>
          <w:rFonts w:hint="eastAsia" w:ascii="宋体" w:hAnsi="宋体"/>
          <w:bCs/>
          <w:szCs w:val="21"/>
        </w:rPr>
        <w:t>14.2</w:t>
      </w:r>
      <w:r>
        <w:rPr>
          <w:rFonts w:hint="eastAsia" w:ascii="宋体" w:hAnsi="宋体"/>
          <w:szCs w:val="21"/>
        </w:rPr>
        <w:t>供应商提交的响应文件及供应商与采购人或采购代理机构、磋商小组就有关磋商的所有来往函电均使用中文。供应商可以提交其它语言的资料，但应附中文注释，在有差异时以中文为准。</w:t>
      </w:r>
    </w:p>
    <w:p w14:paraId="625EF0A1">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bCs/>
        </w:rPr>
        <w:t>14.3</w:t>
      </w:r>
      <w:r>
        <w:rPr>
          <w:rFonts w:hint="eastAsia" w:hAnsi="宋体"/>
        </w:rPr>
        <w:t>计量单位应使用我国法定计量单位，未列明时应默认为我国法定计量单位。</w:t>
      </w:r>
    </w:p>
    <w:p w14:paraId="0AD27E4E">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14.4响应文件应采用书面形式，电报、传真、电子邮件形式的响应文件概不接受。</w:t>
      </w:r>
    </w:p>
    <w:p w14:paraId="40043C99">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14.5供应商应按磋商文件中提供的响应文件格式填写。</w:t>
      </w:r>
    </w:p>
    <w:p w14:paraId="57D98924">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15.</w:t>
      </w:r>
      <w:r>
        <w:rPr>
          <w:rFonts w:hint="eastAsia" w:ascii="宋体" w:hAnsi="宋体"/>
          <w:b/>
          <w:szCs w:val="21"/>
        </w:rPr>
        <w:t>响应文件</w:t>
      </w:r>
      <w:r>
        <w:rPr>
          <w:rFonts w:hint="eastAsia" w:ascii="宋体" w:hAnsi="宋体"/>
          <w:b/>
          <w:bCs/>
          <w:szCs w:val="21"/>
        </w:rPr>
        <w:t>的组成</w:t>
      </w:r>
    </w:p>
    <w:p w14:paraId="74A28B19">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outlineLvl w:val="9"/>
        <w:rPr>
          <w:rFonts w:ascii="宋体" w:hAnsi="宋体"/>
          <w:szCs w:val="21"/>
        </w:rPr>
      </w:pPr>
      <w:bookmarkStart w:id="79" w:name="_Toc32371"/>
      <w:bookmarkStart w:id="80" w:name="_Toc26808"/>
      <w:r>
        <w:rPr>
          <w:rFonts w:hint="eastAsia" w:ascii="宋体" w:hAnsi="宋体"/>
        </w:rPr>
        <w:t>15.1</w:t>
      </w:r>
      <w:r>
        <w:rPr>
          <w:rFonts w:hint="eastAsia" w:hAnsi="宋体"/>
        </w:rPr>
        <w:t xml:space="preserve"> 响应文件包括下列内容：</w:t>
      </w:r>
      <w:bookmarkEnd w:id="79"/>
      <w:bookmarkEnd w:id="80"/>
      <w:r>
        <w:rPr>
          <w:rFonts w:hint="eastAsia" w:ascii="宋体" w:hAnsi="宋体"/>
          <w:szCs w:val="21"/>
        </w:rPr>
        <w:t xml:space="preserve"> </w:t>
      </w:r>
    </w:p>
    <w:p w14:paraId="7590D909">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第一章 磋商通知</w:t>
      </w:r>
    </w:p>
    <w:p w14:paraId="44F0AB11">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第二章 磋商须知</w:t>
      </w:r>
    </w:p>
    <w:p w14:paraId="28861959">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第三章 评审方法及标准</w:t>
      </w:r>
    </w:p>
    <w:p w14:paraId="25A2BFDF">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第四章 政府采购合同格式条款</w:t>
      </w:r>
    </w:p>
    <w:p w14:paraId="0819B2BC">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第五章 采购需求</w:t>
      </w:r>
    </w:p>
    <w:p w14:paraId="5A1752B3">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第六章 响应文件组成</w:t>
      </w:r>
    </w:p>
    <w:p w14:paraId="3CA43F5D">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ascii="宋体" w:hAnsi="宋体"/>
        </w:rPr>
        <w:t>15.2在磋商过程中，</w:t>
      </w:r>
      <w:r>
        <w:rPr>
          <w:rFonts w:hint="eastAsia" w:ascii="宋体" w:hAnsi="宋体"/>
          <w:szCs w:val="21"/>
        </w:rPr>
        <w:t>供应商</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w:t>
      </w:r>
      <w:r>
        <w:rPr>
          <w:rFonts w:hint="eastAsia" w:ascii="宋体" w:hAnsi="宋体" w:cs="宋体"/>
          <w:kern w:val="0"/>
          <w:szCs w:val="21"/>
        </w:rPr>
        <w:t>提交的</w:t>
      </w:r>
      <w:r>
        <w:rPr>
          <w:rFonts w:hint="eastAsia" w:hAnsi="宋体"/>
        </w:rPr>
        <w:t>最后报价(或者</w:t>
      </w:r>
      <w:r>
        <w:rPr>
          <w:rFonts w:hint="eastAsia" w:ascii="宋体" w:hAnsi="宋体"/>
          <w:bCs/>
          <w:szCs w:val="21"/>
        </w:rPr>
        <w:t>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p w14:paraId="4D41FF4C">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b/>
        </w:rPr>
      </w:pPr>
      <w:r>
        <w:rPr>
          <w:rFonts w:hint="eastAsia" w:ascii="宋体" w:hAnsi="宋体"/>
        </w:rPr>
        <w:t>15.3</w:t>
      </w:r>
      <w:r>
        <w:rPr>
          <w:rFonts w:hint="eastAsia" w:ascii="宋体" w:hAnsi="宋体" w:cs="宋体"/>
          <w:kern w:val="0"/>
          <w:szCs w:val="21"/>
        </w:rPr>
        <w:t>磋商文件规定可能发生实质性变动的，供应商应当在</w:t>
      </w:r>
      <w:r>
        <w:rPr>
          <w:rFonts w:hint="eastAsia" w:hAnsi="宋体"/>
        </w:rPr>
        <w:t>《技术/商务响应与偏离表》中对应内容注明。</w:t>
      </w:r>
    </w:p>
    <w:p w14:paraId="2F1BD84E">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rPr>
        <w:t>15.4</w:t>
      </w:r>
      <w:r>
        <w:rPr>
          <w:rFonts w:hint="eastAsia" w:ascii="宋体" w:hAnsi="宋体"/>
          <w:szCs w:val="21"/>
        </w:rPr>
        <w:t>根据《政府采购法》第四十二条的规定，供应商无论成交与否，其响应文件不予退还。</w:t>
      </w:r>
    </w:p>
    <w:p w14:paraId="78B34E26">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16.报价</w:t>
      </w:r>
    </w:p>
    <w:p w14:paraId="6F4C37FA">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16.1供应商应当根据磋商文件要求和范围，以</w:t>
      </w:r>
      <w:r>
        <w:rPr>
          <w:rFonts w:hint="eastAsia" w:ascii="宋体" w:hAnsi="宋体"/>
          <w:bCs/>
          <w:szCs w:val="21"/>
        </w:rPr>
        <w:t>人民币</w:t>
      </w:r>
      <w:r>
        <w:rPr>
          <w:rFonts w:hint="eastAsia" w:ascii="宋体" w:hAnsi="宋体"/>
          <w:szCs w:val="21"/>
        </w:rPr>
        <w:t>报价，以元为单位，保留小数点后两位。</w:t>
      </w:r>
    </w:p>
    <w:p w14:paraId="4A599ADB">
      <w:pPr>
        <w:pStyle w:val="119"/>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rPr>
      </w:pPr>
      <w:r>
        <w:rPr>
          <w:rFonts w:hint="eastAsia" w:ascii="宋体" w:hAnsi="宋体"/>
        </w:rPr>
        <w:t>16.2供应商应按第五章响应文件组成格式填写。</w:t>
      </w:r>
    </w:p>
    <w:p w14:paraId="2CE219CA">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16.3响应文件中标明的价格在合同执行过程中是固定不变的，不得以任何理由予以变更。以可变动价格提交的报价将被认为是非实质响应而被拒绝。</w:t>
      </w:r>
    </w:p>
    <w:p w14:paraId="37E45E98">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16.4</w:t>
      </w:r>
      <w:r>
        <w:rPr>
          <w:rFonts w:hint="eastAsia" w:hAnsi="宋体" w:cs="宋体"/>
          <w:kern w:val="0"/>
          <w:lang w:val="zh-CN"/>
        </w:rPr>
        <w:t>供应商</w:t>
      </w:r>
      <w:r>
        <w:rPr>
          <w:rFonts w:hint="eastAsia" w:hAnsi="宋体"/>
        </w:rPr>
        <w:t>的报价不得超过采购项目预算，采购项目预算或其计算方法见</w:t>
      </w:r>
      <w:r>
        <w:rPr>
          <w:rFonts w:hint="eastAsia" w:hAnsi="宋体"/>
          <w:b/>
        </w:rPr>
        <w:t>磋商须知前附表</w:t>
      </w:r>
      <w:r>
        <w:rPr>
          <w:rFonts w:hint="eastAsia" w:hAnsi="宋体"/>
        </w:rPr>
        <w:t>。</w:t>
      </w:r>
    </w:p>
    <w:p w14:paraId="67784C60">
      <w:pPr>
        <w:pStyle w:val="25"/>
        <w:keepNext w:val="0"/>
        <w:keepLines w:val="0"/>
        <w:pageBreakBefore w:val="0"/>
        <w:kinsoku/>
        <w:wordWrap/>
        <w:overflowPunct/>
        <w:topLinePunct w:val="0"/>
        <w:autoSpaceDE/>
        <w:bidi w:val="0"/>
        <w:adjustRightInd w:val="0"/>
        <w:snapToGrid/>
        <w:spacing w:line="360" w:lineRule="auto"/>
        <w:ind w:left="316" w:hanging="316"/>
        <w:textAlignment w:val="auto"/>
        <w:rPr>
          <w:b/>
        </w:rPr>
      </w:pPr>
      <w:r>
        <w:rPr>
          <w:rFonts w:hint="eastAsia"/>
          <w:b/>
        </w:rPr>
        <w:t>17.供应商符合磋商文件规定的证明文件</w:t>
      </w:r>
    </w:p>
    <w:p w14:paraId="4A3F893A">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rPr>
      </w:pPr>
      <w:r>
        <w:rPr>
          <w:rFonts w:hint="eastAsia" w:ascii="宋体" w:hAnsi="宋体"/>
        </w:rPr>
        <w:t>17.1供应商应提交满足本章第3.1款规定的资格条件要求的证明文件,该证明文件作为响应文件的一部分。</w:t>
      </w:r>
    </w:p>
    <w:p w14:paraId="7968ECD4">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rPr>
      </w:pPr>
      <w:r>
        <w:rPr>
          <w:rFonts w:hint="eastAsia" w:ascii="宋体" w:hAnsi="宋体"/>
        </w:rPr>
        <w:t>17.2如果供应商为联合体，则应提交联合体各方资格证明文件、联合体协议。否则，在评审时将其视为无效响应。</w:t>
      </w:r>
    </w:p>
    <w:p w14:paraId="0D941038">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17.3除</w:t>
      </w:r>
      <w:r>
        <w:rPr>
          <w:rFonts w:hint="eastAsia" w:ascii="宋体" w:hAnsi="宋体"/>
          <w:b/>
          <w:szCs w:val="21"/>
        </w:rPr>
        <w:t>磋商须知前附表</w:t>
      </w:r>
      <w:r>
        <w:rPr>
          <w:rFonts w:hint="eastAsia" w:ascii="宋体" w:hAnsi="宋体"/>
          <w:szCs w:val="21"/>
        </w:rPr>
        <w:t>另有规定外，供应商提供的货物及服务不是供应商制造或拥有的，则必须提供经销、或代理采购货物、或采购货物提供售后服务的证明文件。</w:t>
      </w:r>
    </w:p>
    <w:p w14:paraId="2FE52E14">
      <w:pPr>
        <w:keepNext w:val="0"/>
        <w:keepLines w:val="0"/>
        <w:pageBreakBefore w:val="0"/>
        <w:kinsoku/>
        <w:wordWrap/>
        <w:overflowPunct/>
        <w:topLinePunct w:val="0"/>
        <w:autoSpaceDE/>
        <w:bidi w:val="0"/>
        <w:adjustRightInd w:val="0"/>
        <w:snapToGrid/>
        <w:spacing w:line="360" w:lineRule="auto"/>
        <w:ind w:left="316" w:hanging="316"/>
        <w:jc w:val="left"/>
        <w:textAlignment w:val="auto"/>
        <w:rPr>
          <w:rFonts w:ascii="宋体" w:hAnsi="宋体"/>
          <w:b/>
          <w:szCs w:val="21"/>
        </w:rPr>
      </w:pPr>
      <w:r>
        <w:rPr>
          <w:rFonts w:hint="eastAsia" w:ascii="宋体" w:hAnsi="宋体"/>
          <w:b/>
          <w:szCs w:val="21"/>
        </w:rPr>
        <w:t>18．样品提供</w:t>
      </w:r>
    </w:p>
    <w:p w14:paraId="3BB00898">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18.1</w:t>
      </w:r>
      <w:r>
        <w:rPr>
          <w:rFonts w:hint="eastAsia" w:ascii="宋体" w:hAnsi="宋体"/>
          <w:b/>
        </w:rPr>
        <w:t>磋商须知前附表</w:t>
      </w:r>
      <w:r>
        <w:rPr>
          <w:rFonts w:hint="eastAsia" w:ascii="宋体" w:hAnsi="宋体"/>
          <w:szCs w:val="21"/>
        </w:rPr>
        <w:t>规定</w:t>
      </w:r>
      <w:r>
        <w:rPr>
          <w:rFonts w:hint="eastAsia" w:ascii="宋体" w:hAnsi="宋体"/>
          <w:bCs/>
        </w:rPr>
        <w:t>供应商</w:t>
      </w:r>
      <w:r>
        <w:rPr>
          <w:rFonts w:hint="eastAsia" w:ascii="宋体" w:hAnsi="宋体"/>
          <w:szCs w:val="21"/>
        </w:rPr>
        <w:t>在</w:t>
      </w:r>
      <w:r>
        <w:rPr>
          <w:rFonts w:hint="eastAsia" w:ascii="宋体" w:hAnsi="宋体"/>
        </w:rPr>
        <w:t>磋商</w:t>
      </w:r>
      <w:r>
        <w:rPr>
          <w:rFonts w:hint="eastAsia" w:ascii="宋体" w:hAnsi="宋体"/>
          <w:szCs w:val="21"/>
        </w:rPr>
        <w:t>时提供样品的，</w:t>
      </w:r>
      <w:r>
        <w:rPr>
          <w:rFonts w:hint="eastAsia" w:ascii="宋体" w:hAnsi="宋体"/>
          <w:bCs/>
        </w:rPr>
        <w:t>供应商</w:t>
      </w:r>
      <w:r>
        <w:rPr>
          <w:rFonts w:ascii="宋体" w:hAnsi="宋体"/>
          <w:szCs w:val="21"/>
        </w:rPr>
        <w:t>有以下情形之一的</w:t>
      </w:r>
      <w:r>
        <w:rPr>
          <w:rFonts w:hint="eastAsia" w:ascii="宋体" w:hAnsi="宋体"/>
          <w:szCs w:val="21"/>
        </w:rPr>
        <w:t>，在评审时将其视为无效响应。</w:t>
      </w:r>
    </w:p>
    <w:p w14:paraId="18B346D5">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（1）未在</w:t>
      </w:r>
      <w:r>
        <w:rPr>
          <w:rFonts w:hint="eastAsia" w:ascii="宋体" w:hAnsi="宋体"/>
          <w:b/>
        </w:rPr>
        <w:t>磋商须知前附表</w:t>
      </w:r>
      <w:r>
        <w:rPr>
          <w:rFonts w:hint="eastAsia" w:ascii="宋体" w:hAnsi="宋体"/>
          <w:szCs w:val="21"/>
        </w:rPr>
        <w:t>规定的提交时间、地点提交</w:t>
      </w:r>
      <w:r>
        <w:rPr>
          <w:rFonts w:ascii="宋体" w:hAnsi="宋体"/>
          <w:szCs w:val="21"/>
        </w:rPr>
        <w:t>的</w:t>
      </w:r>
      <w:r>
        <w:rPr>
          <w:rFonts w:hint="eastAsia" w:ascii="宋体" w:hAnsi="宋体"/>
          <w:szCs w:val="21"/>
        </w:rPr>
        <w:t>；</w:t>
      </w:r>
    </w:p>
    <w:p w14:paraId="78D5AD5C">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（2）</w:t>
      </w:r>
      <w:r>
        <w:rPr>
          <w:rFonts w:hint="eastAsia" w:ascii="宋体" w:hAnsi="宋体"/>
          <w:bCs/>
        </w:rPr>
        <w:t>供应商</w:t>
      </w:r>
      <w:r>
        <w:rPr>
          <w:rFonts w:hint="eastAsia" w:ascii="宋体" w:hAnsi="宋体"/>
          <w:szCs w:val="21"/>
        </w:rPr>
        <w:t>提供的样品与响应文件中提供样品的型号、规格不一致</w:t>
      </w:r>
      <w:r>
        <w:rPr>
          <w:rFonts w:ascii="宋体" w:hAnsi="宋体"/>
          <w:szCs w:val="21"/>
        </w:rPr>
        <w:t>的</w:t>
      </w:r>
      <w:r>
        <w:rPr>
          <w:rFonts w:hint="eastAsia" w:ascii="宋体" w:hAnsi="宋体"/>
          <w:szCs w:val="21"/>
        </w:rPr>
        <w:t>。</w:t>
      </w:r>
    </w:p>
    <w:p w14:paraId="2AED6D80">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19.磋商保证金</w:t>
      </w:r>
    </w:p>
    <w:p w14:paraId="1F8B193F">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bCs/>
        </w:rPr>
      </w:pPr>
      <w:r>
        <w:rPr>
          <w:rFonts w:hint="eastAsia" w:hAnsi="宋体"/>
        </w:rPr>
        <w:t>19.1</w:t>
      </w:r>
      <w:r>
        <w:rPr>
          <w:rFonts w:hint="eastAsia" w:hAnsi="宋体"/>
          <w:b/>
        </w:rPr>
        <w:t>磋商须知前附表</w:t>
      </w:r>
      <w:r>
        <w:rPr>
          <w:rFonts w:hint="eastAsia" w:hAnsi="宋体"/>
        </w:rPr>
        <w:t>规定交纳磋商</w:t>
      </w:r>
      <w:r>
        <w:rPr>
          <w:rFonts w:hint="eastAsia" w:hAnsi="宋体"/>
          <w:bCs/>
        </w:rPr>
        <w:t>保证金的</w:t>
      </w:r>
      <w:r>
        <w:rPr>
          <w:rFonts w:hint="eastAsia" w:hAnsi="宋体"/>
        </w:rPr>
        <w:t>，在</w:t>
      </w:r>
      <w:r>
        <w:rPr>
          <w:rFonts w:hint="eastAsia" w:hAnsi="宋体" w:cs="宋体"/>
          <w:kern w:val="0"/>
        </w:rPr>
        <w:t>提交首次响应文件截止时间</w:t>
      </w:r>
      <w:r>
        <w:rPr>
          <w:rFonts w:hint="eastAsia" w:hAnsi="宋体"/>
        </w:rPr>
        <w:t>前应按</w:t>
      </w:r>
      <w:r>
        <w:rPr>
          <w:rFonts w:hint="eastAsia" w:hAnsi="宋体"/>
          <w:b/>
        </w:rPr>
        <w:t>磋商须知前附表</w:t>
      </w:r>
      <w:r>
        <w:rPr>
          <w:rFonts w:hint="eastAsia" w:hAnsi="宋体"/>
        </w:rPr>
        <w:t>规定的磋商</w:t>
      </w:r>
      <w:r>
        <w:rPr>
          <w:rFonts w:hint="eastAsia" w:hAnsi="宋体"/>
          <w:bCs/>
        </w:rPr>
        <w:t>保证金形式交纳，不得以现金方式交纳</w:t>
      </w:r>
      <w:r>
        <w:rPr>
          <w:rFonts w:hint="eastAsia" w:hAnsi="宋体"/>
        </w:rPr>
        <w:t>。磋商</w:t>
      </w:r>
      <w:r>
        <w:rPr>
          <w:rFonts w:hint="eastAsia" w:hAnsi="宋体"/>
          <w:bCs/>
        </w:rPr>
        <w:t>保证金有效期应当与</w:t>
      </w:r>
      <w:r>
        <w:rPr>
          <w:rFonts w:hint="eastAsia" w:hAnsi="宋体"/>
        </w:rPr>
        <w:t>本章第20.1</w:t>
      </w:r>
      <w:r>
        <w:rPr>
          <w:rFonts w:hint="eastAsia" w:hAnsi="宋体" w:cs="宋体"/>
          <w:kern w:val="0"/>
          <w:lang w:val="zh-CN"/>
        </w:rPr>
        <w:t>款</w:t>
      </w:r>
      <w:r>
        <w:rPr>
          <w:rFonts w:hint="eastAsia" w:hAnsi="宋体"/>
        </w:rPr>
        <w:t>规定的</w:t>
      </w:r>
      <w:r>
        <w:rPr>
          <w:rFonts w:hint="eastAsia" w:hAnsi="宋体"/>
          <w:bCs/>
        </w:rPr>
        <w:t>响应文件有效期一致。</w:t>
      </w:r>
    </w:p>
    <w:p w14:paraId="1BFA5140">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b/>
          <w:szCs w:val="21"/>
        </w:rPr>
      </w:pPr>
      <w:r>
        <w:rPr>
          <w:rFonts w:hint="eastAsia" w:ascii="宋体" w:hAnsi="宋体"/>
          <w:szCs w:val="21"/>
        </w:rPr>
        <w:t>19.2</w:t>
      </w:r>
      <w:r>
        <w:rPr>
          <w:rFonts w:hint="eastAsia" w:ascii="宋体" w:hAnsi="宋体" w:cs="宋体"/>
          <w:kern w:val="0"/>
          <w:szCs w:val="21"/>
          <w:lang w:val="zh-CN"/>
        </w:rPr>
        <w:t>供应商为联合体的，可以由联合体中的一方或者共同交纳磋商保证金，其交纳的磋商保证金，对联合体各方均具有约束力。</w:t>
      </w:r>
    </w:p>
    <w:p w14:paraId="1888FA0C">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19.3供应商未按照磋商文件要求提交磋商保证金的，响应无效。</w:t>
      </w:r>
    </w:p>
    <w:p w14:paraId="791A0FD1">
      <w:pPr>
        <w:pStyle w:val="25"/>
        <w:keepNext w:val="0"/>
        <w:keepLines w:val="0"/>
        <w:pageBreakBefore w:val="0"/>
        <w:tabs>
          <w:tab w:val="left" w:pos="6300"/>
        </w:tabs>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19.4采购代理机构在成交通知书发出后5个工作日内退还未成交供应商的磋商保证金；在采购合同签订后5个工作日内退还成交供应商的磋商保证金，但因供应商自身原因导致无法及时退还的除外。</w:t>
      </w:r>
    </w:p>
    <w:p w14:paraId="000A18B0">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kern w:val="0"/>
        </w:rPr>
      </w:pPr>
      <w:r>
        <w:rPr>
          <w:rFonts w:hint="eastAsia"/>
        </w:rPr>
        <w:t>19.5</w:t>
      </w:r>
      <w:r>
        <w:rPr>
          <w:rFonts w:hint="eastAsia"/>
          <w:kern w:val="0"/>
        </w:rPr>
        <w:t>有下列情形之一的，磋商保证金不予退还，并上缴本级财政国库：</w:t>
      </w:r>
    </w:p>
    <w:p w14:paraId="185B99EA">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（1）供应商在提交首次响应文件截止时间后撤回响应文件的；</w:t>
      </w:r>
    </w:p>
    <w:p w14:paraId="340D48B4">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kern w:val="0"/>
        </w:rPr>
      </w:pPr>
      <w:r>
        <w:rPr>
          <w:rFonts w:hint="eastAsia"/>
          <w:kern w:val="0"/>
        </w:rPr>
        <w:t>（2）供应商在响应文件中提供虚假资料的；</w:t>
      </w:r>
    </w:p>
    <w:p w14:paraId="1D248F04">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kern w:val="0"/>
        </w:rPr>
        <w:t>（3）</w:t>
      </w:r>
      <w:r>
        <w:rPr>
          <w:rFonts w:hint="eastAsia"/>
        </w:rPr>
        <w:t>确定成交结果后，无正当理由放弃成交资格的；</w:t>
      </w:r>
    </w:p>
    <w:p w14:paraId="032D017B">
      <w:pPr>
        <w:keepNext w:val="0"/>
        <w:keepLines w:val="0"/>
        <w:pageBreakBefore w:val="0"/>
        <w:widowControl/>
        <w:kinsoku/>
        <w:wordWrap/>
        <w:overflowPunct/>
        <w:topLinePunct w:val="0"/>
        <w:autoSpaceDE/>
        <w:bidi w:val="0"/>
        <w:adjustRightInd w:val="0"/>
        <w:snapToGrid/>
        <w:spacing w:line="360" w:lineRule="auto"/>
        <w:ind w:firstLine="525" w:firstLineChars="250"/>
        <w:jc w:val="left"/>
        <w:textAlignment w:val="auto"/>
        <w:rPr>
          <w:rFonts w:ascii="宋体" w:hAnsi="宋体" w:cs="宋体"/>
          <w:kern w:val="0"/>
          <w:szCs w:val="21"/>
        </w:rPr>
      </w:pPr>
      <w:r>
        <w:rPr>
          <w:rFonts w:hint="eastAsia" w:ascii="宋体" w:hAnsi="宋体" w:cs="宋体"/>
          <w:kern w:val="0"/>
          <w:szCs w:val="21"/>
        </w:rPr>
        <w:t>(4)除因不可抗力或磋商文件认可的情形以外，成交供应商不与采购人签订合同的；</w:t>
      </w:r>
    </w:p>
    <w:p w14:paraId="4976C940">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（5）供应商与采购人、其他供应商或者采购代理机构恶意串通的；</w:t>
      </w:r>
    </w:p>
    <w:p w14:paraId="062DDA62">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（6）磋商文件规定的其他情形。</w:t>
      </w:r>
    </w:p>
    <w:p w14:paraId="3678B737">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20.</w:t>
      </w:r>
      <w:r>
        <w:rPr>
          <w:rFonts w:hint="eastAsia" w:hAnsi="宋体"/>
          <w:b/>
        </w:rPr>
        <w:t>响应文件</w:t>
      </w:r>
      <w:r>
        <w:rPr>
          <w:rFonts w:hint="eastAsia" w:ascii="宋体" w:hAnsi="宋体"/>
          <w:b/>
          <w:szCs w:val="21"/>
        </w:rPr>
        <w:t>有效期</w:t>
      </w:r>
    </w:p>
    <w:p w14:paraId="7F0EA0BE">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hAnsi="宋体"/>
        </w:rPr>
      </w:pPr>
      <w:r>
        <w:rPr>
          <w:rFonts w:hint="eastAsia" w:ascii="宋体" w:hAnsi="宋体"/>
        </w:rPr>
        <w:t>20.1响应文件</w:t>
      </w:r>
      <w:r>
        <w:rPr>
          <w:rFonts w:hint="eastAsia" w:ascii="宋体" w:hAnsi="宋体"/>
          <w:szCs w:val="21"/>
        </w:rPr>
        <w:t>有效期见</w:t>
      </w:r>
      <w:r>
        <w:rPr>
          <w:rFonts w:hint="eastAsia" w:ascii="宋体" w:hAnsi="宋体"/>
          <w:b/>
        </w:rPr>
        <w:t>磋商须知前附表</w:t>
      </w:r>
      <w:r>
        <w:rPr>
          <w:rFonts w:hint="eastAsia" w:ascii="宋体" w:hAnsi="宋体"/>
          <w:szCs w:val="21"/>
        </w:rPr>
        <w:t>，在此期间</w:t>
      </w:r>
      <w:r>
        <w:rPr>
          <w:rFonts w:hint="eastAsia" w:ascii="宋体" w:hAnsi="宋体"/>
        </w:rPr>
        <w:t>响应</w:t>
      </w:r>
      <w:r>
        <w:rPr>
          <w:rFonts w:hint="eastAsia" w:ascii="宋体" w:hAnsi="宋体"/>
          <w:szCs w:val="21"/>
        </w:rPr>
        <w:t>文件对供应商具有法律约束力，</w:t>
      </w:r>
      <w:r>
        <w:rPr>
          <w:rFonts w:hint="eastAsia" w:ascii="宋体" w:hAnsi="宋体" w:cs="Arial"/>
        </w:rPr>
        <w:t>从</w:t>
      </w:r>
      <w:r>
        <w:rPr>
          <w:rFonts w:hint="eastAsia" w:ascii="宋体" w:hAnsi="宋体" w:cs="宋体"/>
          <w:kern w:val="0"/>
          <w:szCs w:val="21"/>
        </w:rPr>
        <w:t>提交首次响应文件截止时间</w:t>
      </w:r>
      <w:r>
        <w:rPr>
          <w:rFonts w:hint="eastAsia" w:hAnsi="宋体"/>
        </w:rPr>
        <w:t>之日</w:t>
      </w:r>
      <w:r>
        <w:rPr>
          <w:rFonts w:hint="eastAsia" w:hAnsi="宋体" w:cs="Arial"/>
        </w:rPr>
        <w:t>起计算。</w:t>
      </w:r>
      <w:r>
        <w:rPr>
          <w:rFonts w:hint="eastAsia" w:hAnsi="宋体"/>
        </w:rPr>
        <w:t>响应文件有效期不足的将被视为无效响应。</w:t>
      </w:r>
    </w:p>
    <w:p w14:paraId="479CA8F0">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21.响应文件的签署及规定</w:t>
      </w:r>
    </w:p>
    <w:p w14:paraId="1AA40969">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b/>
          <w:bCs/>
        </w:rPr>
      </w:pPr>
      <w:r>
        <w:rPr>
          <w:rFonts w:hint="eastAsia" w:hAnsi="宋体"/>
        </w:rPr>
        <w:t>21.1响应文件的正本和副本应装订成册，正本一份，副本份数见</w:t>
      </w:r>
      <w:r>
        <w:rPr>
          <w:rFonts w:hint="eastAsia" w:hAnsi="宋体"/>
          <w:b/>
        </w:rPr>
        <w:t>磋商须知前附表</w:t>
      </w:r>
      <w:r>
        <w:rPr>
          <w:rFonts w:hint="eastAsia" w:hAnsi="宋体"/>
        </w:rPr>
        <w:t>。正本和副本的封面上应标记“正本”或“副本”的字样，当正本和副本有差异时，以正本为准。电子版</w:t>
      </w:r>
      <w:r>
        <w:rPr>
          <w:rFonts w:hint="eastAsia" w:hAnsi="宋体"/>
          <w:b/>
          <w:bCs/>
        </w:rPr>
        <w:t>（电子文件须以PDF的格式存入U盘，内容与纸质投标文件的正本一致）。</w:t>
      </w:r>
    </w:p>
    <w:p w14:paraId="2B84B158">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21.2响应文件正本和副本应按磋商文件要求签章处盖单位章和由法定代表人或其委托代理人签字；任何加行、涂改、增删，应有法定代表人或其委托代理人在旁边签字。否则，将导致响应文件无效。</w:t>
      </w:r>
    </w:p>
    <w:p w14:paraId="7B3A3E90">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21.3在磋商过程中，供应商按磋商文件规定和磋商小组要求</w:t>
      </w:r>
      <w:r>
        <w:rPr>
          <w:rFonts w:hint="eastAsia" w:hAnsi="宋体" w:cs="宋体"/>
          <w:kern w:val="0"/>
        </w:rPr>
        <w:t>提交的</w:t>
      </w:r>
      <w:r>
        <w:rPr>
          <w:rFonts w:hint="eastAsia" w:hAnsi="宋体"/>
        </w:rPr>
        <w:t>最后报价(或者</w:t>
      </w:r>
      <w:r>
        <w:rPr>
          <w:rFonts w:hint="eastAsia" w:hAnsi="宋体"/>
          <w:bCs/>
        </w:rPr>
        <w:t>重</w:t>
      </w:r>
      <w:r>
        <w:rPr>
          <w:rFonts w:hint="eastAsia" w:hAnsi="宋体" w:cs="宋体"/>
          <w:kern w:val="0"/>
        </w:rPr>
        <w:t>新提交的响应文件和</w:t>
      </w:r>
      <w:r>
        <w:rPr>
          <w:rFonts w:hint="eastAsia" w:hAnsi="宋体"/>
        </w:rPr>
        <w:t>最后报价)，可打印或用不退色墨水书写，但需经法定代表人或其委托代理人签字，</w:t>
      </w:r>
      <w:r>
        <w:rPr>
          <w:rFonts w:hint="eastAsia" w:hAnsi="宋体" w:cs="宋体"/>
          <w:kern w:val="0"/>
        </w:rPr>
        <w:t>或者加盖供应商单位章</w:t>
      </w:r>
      <w:r>
        <w:rPr>
          <w:rFonts w:hint="eastAsia" w:hAnsi="宋体"/>
        </w:rPr>
        <w:t>。否则，将导致响应文件无效。</w:t>
      </w:r>
    </w:p>
    <w:p w14:paraId="5E05FAB7">
      <w:pPr>
        <w:keepNext w:val="0"/>
        <w:keepLines w:val="0"/>
        <w:pageBreakBefore w:val="0"/>
        <w:kinsoku/>
        <w:wordWrap/>
        <w:overflowPunct/>
        <w:topLinePunct w:val="0"/>
        <w:autoSpaceDE/>
        <w:bidi w:val="0"/>
        <w:adjustRightInd w:val="0"/>
        <w:snapToGrid/>
        <w:spacing w:line="360" w:lineRule="auto"/>
        <w:ind w:left="360" w:hanging="360"/>
        <w:textAlignment w:val="auto"/>
        <w:rPr>
          <w:rFonts w:ascii="黑体" w:hAnsi="宋体" w:eastAsia="黑体"/>
          <w:sz w:val="24"/>
        </w:rPr>
      </w:pPr>
      <w:r>
        <w:rPr>
          <w:rFonts w:hint="eastAsia" w:ascii="黑体" w:hAnsi="宋体" w:eastAsia="黑体"/>
          <w:sz w:val="24"/>
        </w:rPr>
        <w:t>四、响应文件的递交</w:t>
      </w:r>
    </w:p>
    <w:p w14:paraId="49C961DA">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22.</w:t>
      </w:r>
      <w:r>
        <w:rPr>
          <w:rFonts w:hint="eastAsia" w:ascii="宋体" w:hAnsi="宋体"/>
          <w:b/>
          <w:szCs w:val="21"/>
        </w:rPr>
        <w:t>响应文件</w:t>
      </w:r>
      <w:r>
        <w:rPr>
          <w:rFonts w:hint="eastAsia" w:ascii="宋体" w:hAnsi="宋体"/>
          <w:b/>
          <w:bCs/>
          <w:szCs w:val="21"/>
        </w:rPr>
        <w:t>的密封和标记</w:t>
      </w:r>
    </w:p>
    <w:p w14:paraId="4501C740">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22.1</w:t>
      </w:r>
      <w:r>
        <w:rPr>
          <w:rFonts w:hint="eastAsia" w:hAnsi="宋体" w:cs="宋体"/>
        </w:rPr>
        <w:t>各供应商必须将响应文件正本、副本、电子档U盘、所有原件（如磋商文件有规定提交的，须列明详细清单），各自单独密封，分别独立包装，分别加贴封条，并在封套的封口处（封套两端折叠封口处）盖供应商单位章并由法定代表人或授权委托人签字，一并递交，不得混装</w:t>
      </w:r>
      <w:r>
        <w:rPr>
          <w:rFonts w:hint="eastAsia" w:hAnsi="宋体"/>
        </w:rPr>
        <w:t>。</w:t>
      </w:r>
    </w:p>
    <w:p w14:paraId="017DE6A8">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22.2响应文件封套上应写明的内容见</w:t>
      </w:r>
      <w:r>
        <w:rPr>
          <w:rFonts w:hint="eastAsia" w:ascii="宋体" w:hAnsi="宋体"/>
          <w:b/>
          <w:szCs w:val="21"/>
        </w:rPr>
        <w:t>磋商须知前附表。</w:t>
      </w:r>
    </w:p>
    <w:p w14:paraId="171F8592">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22.3响应文件如果未按上述规定密封和加写标记，采购人或采购代理机构将拒绝接收。</w:t>
      </w:r>
    </w:p>
    <w:p w14:paraId="6CE33461">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23.响应文件的</w:t>
      </w:r>
      <w:r>
        <w:rPr>
          <w:rFonts w:hint="eastAsia" w:ascii="宋体" w:hAnsi="宋体" w:cs="宋体"/>
          <w:b/>
          <w:kern w:val="0"/>
          <w:szCs w:val="21"/>
          <w:lang w:val="zh-CN"/>
        </w:rPr>
        <w:t>补充、修改或者撤回</w:t>
      </w:r>
    </w:p>
    <w:p w14:paraId="1C3BE9AD">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23.1</w:t>
      </w:r>
      <w:r>
        <w:rPr>
          <w:rFonts w:hint="eastAsia" w:hAnsi="宋体" w:cs="宋体"/>
          <w:kern w:val="0"/>
        </w:rPr>
        <w:t>供应商在提交首次响应文件截止时间前，可以对所提交的首次响应文件进行补充、修改或者撤回，并书面通知采购人、采购代理机构。</w:t>
      </w:r>
      <w:r>
        <w:rPr>
          <w:rFonts w:hint="eastAsia" w:hAnsi="宋体"/>
        </w:rPr>
        <w:t>该通知应有供应商法定代表人或其委托代理人签字。</w:t>
      </w:r>
    </w:p>
    <w:p w14:paraId="09AAE8A8">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23.2</w:t>
      </w:r>
      <w:r>
        <w:rPr>
          <w:rFonts w:hint="eastAsia" w:hAnsi="宋体" w:cs="宋体"/>
          <w:kern w:val="0"/>
          <w:lang w:val="zh-CN"/>
        </w:rPr>
        <w:t>补充、修改的内容与响应文件不一致时，以补充、修改的内容为准。</w:t>
      </w:r>
    </w:p>
    <w:p w14:paraId="0AEB604C">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24.响应文件的递交与接收</w:t>
      </w:r>
    </w:p>
    <w:p w14:paraId="4D9D82D3">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24.1供应商应在</w:t>
      </w:r>
      <w:r>
        <w:rPr>
          <w:rFonts w:hint="eastAsia" w:ascii="宋体" w:hAnsi="宋体" w:cs="宋体"/>
          <w:kern w:val="0"/>
          <w:szCs w:val="21"/>
        </w:rPr>
        <w:t>提交首次响应文件截止时间</w:t>
      </w:r>
      <w:r>
        <w:rPr>
          <w:rFonts w:hint="eastAsia" w:ascii="宋体" w:hAnsi="宋体"/>
          <w:szCs w:val="21"/>
        </w:rPr>
        <w:t>前，将响应文件送</w:t>
      </w:r>
      <w:r>
        <w:rPr>
          <w:rFonts w:hint="eastAsia" w:ascii="宋体" w:hAnsi="宋体" w:cs="Arial"/>
          <w:szCs w:val="21"/>
        </w:rPr>
        <w:t>达</w:t>
      </w:r>
      <w:r>
        <w:rPr>
          <w:rFonts w:hint="eastAsia" w:ascii="宋体" w:hAnsi="宋体"/>
          <w:b/>
          <w:szCs w:val="21"/>
        </w:rPr>
        <w:t>磋商须知前附表</w:t>
      </w:r>
      <w:r>
        <w:rPr>
          <w:rFonts w:hint="eastAsia" w:ascii="宋体" w:hAnsi="宋体"/>
          <w:szCs w:val="21"/>
        </w:rPr>
        <w:t>中指定的地点。</w:t>
      </w:r>
      <w:r>
        <w:rPr>
          <w:rFonts w:hint="eastAsia" w:hAnsi="宋体" w:cs="宋体"/>
          <w:kern w:val="0"/>
        </w:rPr>
        <w:t>在截止时间后送达的响应文件，采购人、采购代理机构或者磋商小组应当拒收。</w:t>
      </w:r>
    </w:p>
    <w:p w14:paraId="17849E3D">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24.2</w:t>
      </w:r>
      <w:r>
        <w:rPr>
          <w:rFonts w:hint="eastAsia" w:hAnsi="宋体" w:cs="宋体"/>
          <w:kern w:val="0"/>
        </w:rPr>
        <w:t>在提交首次响应文件截止时间后，</w:t>
      </w:r>
      <w:r>
        <w:rPr>
          <w:rFonts w:hint="eastAsia" w:hAnsi="宋体"/>
        </w:rPr>
        <w:t>由</w:t>
      </w:r>
      <w:r>
        <w:rPr>
          <w:rFonts w:hint="eastAsia" w:hAnsi="宋体"/>
          <w:bCs/>
        </w:rPr>
        <w:t>供应商代表</w:t>
      </w:r>
      <w:r>
        <w:rPr>
          <w:rFonts w:hint="eastAsia" w:hAnsi="宋体"/>
        </w:rPr>
        <w:t>当场查验</w:t>
      </w:r>
      <w:r>
        <w:rPr>
          <w:rFonts w:hint="eastAsia" w:hAnsi="宋体"/>
          <w:bCs/>
        </w:rPr>
        <w:t>响应文件</w:t>
      </w:r>
      <w:r>
        <w:rPr>
          <w:rFonts w:hint="eastAsia" w:hAnsi="宋体"/>
        </w:rPr>
        <w:t>的密封状况，采购人或</w:t>
      </w:r>
      <w:r>
        <w:rPr>
          <w:rFonts w:hint="eastAsia" w:hAnsi="宋体"/>
          <w:bCs/>
        </w:rPr>
        <w:t>采购代理机构</w:t>
      </w:r>
      <w:r>
        <w:rPr>
          <w:rFonts w:hint="eastAsia" w:hAnsi="宋体"/>
        </w:rPr>
        <w:t>不当场拆封</w:t>
      </w:r>
      <w:r>
        <w:rPr>
          <w:rFonts w:hint="eastAsia" w:hAnsi="宋体"/>
          <w:bCs/>
        </w:rPr>
        <w:t>响应文件</w:t>
      </w:r>
      <w:r>
        <w:rPr>
          <w:rFonts w:hint="eastAsia" w:hAnsi="宋体"/>
        </w:rPr>
        <w:t>。</w:t>
      </w:r>
    </w:p>
    <w:p w14:paraId="5828AC05">
      <w:pPr>
        <w:keepNext w:val="0"/>
        <w:keepLines w:val="0"/>
        <w:pageBreakBefore w:val="0"/>
        <w:kinsoku/>
        <w:wordWrap/>
        <w:overflowPunct/>
        <w:topLinePunct w:val="0"/>
        <w:autoSpaceDE/>
        <w:bidi w:val="0"/>
        <w:adjustRightInd w:val="0"/>
        <w:snapToGrid/>
        <w:spacing w:line="360" w:lineRule="auto"/>
        <w:ind w:left="360" w:hanging="360"/>
        <w:textAlignment w:val="auto"/>
        <w:rPr>
          <w:rFonts w:ascii="黑体" w:hAnsi="宋体" w:eastAsia="黑体"/>
          <w:sz w:val="24"/>
        </w:rPr>
      </w:pPr>
      <w:r>
        <w:rPr>
          <w:rFonts w:hint="eastAsia" w:ascii="黑体" w:hAnsi="宋体" w:eastAsia="黑体"/>
          <w:sz w:val="24"/>
        </w:rPr>
        <w:t>五、响应文件的磋商与评审</w:t>
      </w:r>
    </w:p>
    <w:p w14:paraId="47E44CD1">
      <w:pPr>
        <w:keepNext w:val="0"/>
        <w:keepLines w:val="0"/>
        <w:pageBreakBefore w:val="0"/>
        <w:tabs>
          <w:tab w:val="left" w:pos="0"/>
        </w:tabs>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25.磋商程序</w:t>
      </w:r>
    </w:p>
    <w:p w14:paraId="097628AC">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25.1磋商程序：响应文件审查、磋商（包括澄清）、响应文件评审、提出成交供应商。其中，磋商按本章第30.1</w:t>
      </w:r>
      <w:r>
        <w:rPr>
          <w:rFonts w:hint="eastAsia" w:ascii="宋体" w:hAnsi="宋体" w:eastAsia="宋体"/>
          <w:lang w:val="zh-CN"/>
        </w:rPr>
        <w:t>款或者</w:t>
      </w:r>
      <w:r>
        <w:rPr>
          <w:rFonts w:hint="eastAsia" w:ascii="宋体" w:hAnsi="宋体" w:eastAsia="宋体"/>
        </w:rPr>
        <w:t>第30.2</w:t>
      </w:r>
      <w:r>
        <w:rPr>
          <w:rFonts w:hint="eastAsia" w:ascii="宋体" w:hAnsi="宋体" w:eastAsia="宋体"/>
          <w:lang w:val="zh-CN"/>
        </w:rPr>
        <w:t>款</w:t>
      </w:r>
      <w:r>
        <w:rPr>
          <w:rFonts w:hint="eastAsia" w:ascii="宋体" w:hAnsi="宋体" w:eastAsia="宋体"/>
        </w:rPr>
        <w:t>情形进行。</w:t>
      </w:r>
    </w:p>
    <w:p w14:paraId="7108EFD2">
      <w:pPr>
        <w:keepNext w:val="0"/>
        <w:keepLines w:val="0"/>
        <w:pageBreakBefore w:val="0"/>
        <w:widowControl/>
        <w:kinsoku/>
        <w:wordWrap/>
        <w:overflowPunct/>
        <w:topLinePunct w:val="0"/>
        <w:autoSpaceDE/>
        <w:bidi w:val="0"/>
        <w:adjustRightInd w:val="0"/>
        <w:snapToGrid/>
        <w:spacing w:line="360" w:lineRule="auto"/>
        <w:ind w:left="316" w:hanging="316"/>
        <w:textAlignment w:val="auto"/>
        <w:rPr>
          <w:rFonts w:ascii="宋体" w:hAnsi="宋体"/>
          <w:b/>
          <w:szCs w:val="21"/>
        </w:rPr>
      </w:pPr>
      <w:r>
        <w:rPr>
          <w:rFonts w:hint="eastAsia" w:ascii="宋体" w:hAnsi="宋体" w:cs="宋体"/>
          <w:b/>
          <w:kern w:val="0"/>
          <w:szCs w:val="21"/>
        </w:rPr>
        <w:t>26.响应文件审查</w:t>
      </w:r>
    </w:p>
    <w:p w14:paraId="14353B8C">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26.1资格性审查：根据本章第3.1项规定的供应商资格条件要求，对</w:t>
      </w:r>
      <w:r>
        <w:rPr>
          <w:rFonts w:hint="eastAsia" w:ascii="宋体" w:hAnsi="宋体"/>
        </w:rPr>
        <w:t>响应</w:t>
      </w:r>
      <w:r>
        <w:rPr>
          <w:rFonts w:hint="eastAsia" w:ascii="宋体" w:hAnsi="宋体"/>
          <w:szCs w:val="21"/>
        </w:rPr>
        <w:t>文件的资格证明等进行审查，以确定供应商是否具备磋商资格条件。</w:t>
      </w:r>
    </w:p>
    <w:p w14:paraId="4CD4FF53">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26.2符合性审查:对响应文件(包括首次提交的响应文件、重新提交的响应文件)的有效性、完整性和响应程度进行审查，以确定是否对磋商文件的实质性要求作出响应。</w:t>
      </w:r>
    </w:p>
    <w:p w14:paraId="7DA908B8">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26.3响应文件审查结束后，磋商小组所有成员集中与单一供应商分别进行磋商，并给予所有参加磋商的供应商平等的磋商机会。供应商应派其法定代表人或委托代理人参加磋商。</w:t>
      </w:r>
    </w:p>
    <w:p w14:paraId="54692B97">
      <w:pPr>
        <w:pStyle w:val="25"/>
        <w:keepNext w:val="0"/>
        <w:keepLines w:val="0"/>
        <w:pageBreakBefore w:val="0"/>
        <w:kinsoku/>
        <w:wordWrap/>
        <w:overflowPunct/>
        <w:topLinePunct w:val="0"/>
        <w:autoSpaceDE/>
        <w:bidi w:val="0"/>
        <w:adjustRightInd w:val="0"/>
        <w:snapToGrid/>
        <w:spacing w:line="360" w:lineRule="auto"/>
        <w:ind w:left="316" w:hanging="316"/>
        <w:textAlignment w:val="auto"/>
        <w:rPr>
          <w:rFonts w:hAnsi="宋体" w:cs="宋体"/>
          <w:b/>
          <w:kern w:val="0"/>
        </w:rPr>
      </w:pPr>
      <w:r>
        <w:rPr>
          <w:rFonts w:hint="eastAsia" w:hAnsi="宋体" w:cs="宋体"/>
          <w:b/>
          <w:kern w:val="0"/>
        </w:rPr>
        <w:t>27.实质性响应</w:t>
      </w:r>
    </w:p>
    <w:p w14:paraId="0137E1D8">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cs="Arial"/>
          <w:kern w:val="0"/>
          <w:u w:val="single"/>
        </w:rPr>
      </w:pPr>
      <w:r>
        <w:rPr>
          <w:rFonts w:hint="eastAsia" w:hAnsi="宋体" w:cs="宋体"/>
          <w:kern w:val="0"/>
        </w:rPr>
        <w:t>27.1</w:t>
      </w:r>
      <w:r>
        <w:rPr>
          <w:rFonts w:hint="eastAsia" w:hAnsi="宋体"/>
        </w:rPr>
        <w:t>实质性响应是指响应文件(包括首次响应文件、重新提交的响应文件)与磋商文件要求的所有条款、条件和规格相符，没有偏离。偏离</w:t>
      </w:r>
      <w:r>
        <w:rPr>
          <w:rFonts w:hint="eastAsia"/>
        </w:rPr>
        <w:t>指不满足、或不响应</w:t>
      </w:r>
      <w:r>
        <w:rPr>
          <w:rFonts w:hint="eastAsia" w:hAnsi="宋体"/>
        </w:rPr>
        <w:t>磋商文件</w:t>
      </w:r>
      <w:r>
        <w:rPr>
          <w:rFonts w:hint="eastAsia"/>
        </w:rPr>
        <w:t>的要求。</w:t>
      </w:r>
    </w:p>
    <w:p w14:paraId="56C32094">
      <w:pPr>
        <w:keepNext w:val="0"/>
        <w:keepLines w:val="0"/>
        <w:pageBreakBefore w:val="0"/>
        <w:tabs>
          <w:tab w:val="left" w:pos="0"/>
          <w:tab w:val="left" w:pos="7560"/>
          <w:tab w:val="left" w:pos="7740"/>
          <w:tab w:val="left" w:pos="7920"/>
        </w:tabs>
        <w:kinsoku/>
        <w:wordWrap/>
        <w:overflowPunct/>
        <w:topLinePunct w:val="0"/>
        <w:autoSpaceDE/>
        <w:bidi w:val="0"/>
        <w:adjustRightInd w:val="0"/>
        <w:snapToGrid/>
        <w:spacing w:line="360" w:lineRule="auto"/>
        <w:ind w:right="23" w:rightChars="11" w:firstLine="420" w:firstLineChars="200"/>
        <w:textAlignment w:val="auto"/>
        <w:rPr>
          <w:rFonts w:ascii="宋体" w:hAnsi="宋体"/>
          <w:szCs w:val="21"/>
        </w:rPr>
      </w:pPr>
      <w:r>
        <w:rPr>
          <w:rFonts w:hint="eastAsia" w:ascii="宋体" w:hAnsi="宋体"/>
          <w:szCs w:val="21"/>
        </w:rPr>
        <w:t>27.2</w:t>
      </w:r>
      <w:r>
        <w:rPr>
          <w:rFonts w:hint="eastAsia" w:ascii="宋体" w:hAnsi="宋体"/>
        </w:rPr>
        <w:t>响应文件是否实质性响应磋商文件要求由磋商小组依据磋商文件规定认定。</w:t>
      </w:r>
      <w:r>
        <w:rPr>
          <w:rFonts w:hint="eastAsia" w:ascii="宋体" w:hAnsi="宋体" w:cs="宋体"/>
          <w:kern w:val="0"/>
          <w:szCs w:val="21"/>
        </w:rPr>
        <w:t>磋商小组</w:t>
      </w:r>
      <w:r>
        <w:rPr>
          <w:rFonts w:hint="eastAsia" w:ascii="宋体" w:hAnsi="宋体"/>
          <w:szCs w:val="21"/>
        </w:rPr>
        <w:t>决定</w:t>
      </w:r>
      <w:r>
        <w:rPr>
          <w:rFonts w:hint="eastAsia" w:ascii="宋体" w:hAnsi="宋体"/>
        </w:rPr>
        <w:t>响应文件</w:t>
      </w:r>
      <w:r>
        <w:rPr>
          <w:rFonts w:hint="eastAsia" w:ascii="宋体" w:hAnsi="宋体"/>
          <w:szCs w:val="21"/>
        </w:rPr>
        <w:t>的响应性只根据</w:t>
      </w:r>
      <w:r>
        <w:rPr>
          <w:rFonts w:hint="eastAsia" w:ascii="宋体" w:hAnsi="宋体"/>
        </w:rPr>
        <w:t>响应文件</w:t>
      </w:r>
      <w:r>
        <w:rPr>
          <w:rFonts w:hint="eastAsia" w:ascii="宋体" w:hAnsi="宋体"/>
          <w:szCs w:val="21"/>
        </w:rPr>
        <w:t>本身的真实无误的内容，而不依据外部的证据。</w:t>
      </w:r>
    </w:p>
    <w:p w14:paraId="1E7EF0E7">
      <w:pPr>
        <w:pStyle w:val="25"/>
        <w:keepNext w:val="0"/>
        <w:keepLines w:val="0"/>
        <w:pageBreakBefore w:val="0"/>
        <w:kinsoku/>
        <w:wordWrap/>
        <w:overflowPunct/>
        <w:topLinePunct w:val="0"/>
        <w:autoSpaceDE/>
        <w:bidi w:val="0"/>
        <w:adjustRightInd w:val="0"/>
        <w:snapToGrid/>
        <w:spacing w:line="360" w:lineRule="auto"/>
        <w:ind w:left="316" w:hanging="316"/>
        <w:textAlignment w:val="auto"/>
        <w:rPr>
          <w:rFonts w:cs="宋体"/>
          <w:b/>
          <w:kern w:val="0"/>
        </w:rPr>
      </w:pPr>
      <w:r>
        <w:rPr>
          <w:rFonts w:hint="eastAsia" w:cs="宋体"/>
          <w:b/>
          <w:kern w:val="0"/>
        </w:rPr>
        <w:t>28.无效响应</w:t>
      </w:r>
    </w:p>
    <w:p w14:paraId="7CA8CF98">
      <w:pPr>
        <w:pStyle w:val="25"/>
        <w:keepNext w:val="0"/>
        <w:keepLines w:val="0"/>
        <w:pageBreakBefore w:val="0"/>
        <w:kinsoku/>
        <w:wordWrap/>
        <w:overflowPunct/>
        <w:topLinePunct w:val="0"/>
        <w:autoSpaceDE/>
        <w:bidi w:val="0"/>
        <w:adjustRightInd w:val="0"/>
        <w:snapToGrid/>
        <w:spacing w:line="360" w:lineRule="auto"/>
        <w:ind w:firstLine="411" w:firstLineChars="196"/>
        <w:textAlignment w:val="auto"/>
        <w:rPr>
          <w:rFonts w:hAnsi="宋体" w:cs="宋体"/>
          <w:b/>
          <w:kern w:val="0"/>
        </w:rPr>
      </w:pPr>
      <w:r>
        <w:rPr>
          <w:rFonts w:hint="eastAsia" w:cs="宋体"/>
          <w:kern w:val="0"/>
        </w:rPr>
        <w:t>28.1</w:t>
      </w:r>
      <w:r>
        <w:rPr>
          <w:rFonts w:hint="eastAsia"/>
        </w:rPr>
        <w:t>磋商小组在对资格性和符合性进行审查时，有下列情况之一的，属无效响应，</w:t>
      </w:r>
      <w:r>
        <w:rPr>
          <w:rFonts w:hint="eastAsia" w:cs="宋体"/>
          <w:kern w:val="0"/>
        </w:rPr>
        <w:t>磋商小组应当告知有关供应商</w:t>
      </w:r>
      <w:r>
        <w:rPr>
          <w:rFonts w:hint="eastAsia"/>
        </w:rPr>
        <w:t>：</w:t>
      </w:r>
    </w:p>
    <w:p w14:paraId="0F8B44AD">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（1）供应商不具备本章第3.1款规定的供应商资格条件要求，或存在本章第3.3款情形的；</w:t>
      </w:r>
    </w:p>
    <w:p w14:paraId="01F838B0">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（2）联合体不符合本章第3.2款规定的；</w:t>
      </w:r>
    </w:p>
    <w:p w14:paraId="08945436">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（3）应交未交磋商保证金或金额不足、磋商保证金缴纳形式不符合磋商文件要求的；</w:t>
      </w:r>
    </w:p>
    <w:p w14:paraId="6FE4EF81">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（4）响应文件未按照磋商文件要求签署、盖章的；</w:t>
      </w:r>
    </w:p>
    <w:p w14:paraId="7AFD4021">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（5）响应文件不满足本章第27.1款规定的实质性要求的；</w:t>
      </w:r>
    </w:p>
    <w:p w14:paraId="35470E9D">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（6）报价超过采购项目预算的；</w:t>
      </w:r>
    </w:p>
    <w:p w14:paraId="0E20C03C">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（7）响应文件有效期不足的；</w:t>
      </w:r>
    </w:p>
    <w:p w14:paraId="3620C2AB">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（8）响应文件不符合法律、规章、规范性文件和磋商文件规定及要求的。</w:t>
      </w:r>
    </w:p>
    <w:p w14:paraId="10A74397">
      <w:pPr>
        <w:keepNext w:val="0"/>
        <w:keepLines w:val="0"/>
        <w:pageBreakBefore w:val="0"/>
        <w:widowControl/>
        <w:kinsoku/>
        <w:wordWrap/>
        <w:overflowPunct/>
        <w:topLinePunct w:val="0"/>
        <w:autoSpaceDE/>
        <w:bidi w:val="0"/>
        <w:adjustRightInd w:val="0"/>
        <w:snapToGrid/>
        <w:spacing w:line="360" w:lineRule="auto"/>
        <w:ind w:left="316" w:hanging="316"/>
        <w:jc w:val="left"/>
        <w:textAlignment w:val="auto"/>
        <w:rPr>
          <w:rFonts w:ascii="宋体" w:hAnsi="宋体" w:cs="宋体"/>
          <w:b/>
          <w:kern w:val="0"/>
          <w:szCs w:val="21"/>
        </w:rPr>
      </w:pPr>
      <w:r>
        <w:rPr>
          <w:rFonts w:hint="eastAsia" w:ascii="宋体" w:hAnsi="宋体" w:cs="宋体"/>
          <w:b/>
          <w:kern w:val="0"/>
          <w:szCs w:val="21"/>
        </w:rPr>
        <w:t>29.澄清</w:t>
      </w:r>
    </w:p>
    <w:p w14:paraId="72950617">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29.1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30D41F8D">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29.2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41E00166">
      <w:pPr>
        <w:keepNext w:val="0"/>
        <w:keepLines w:val="0"/>
        <w:pageBreakBefore w:val="0"/>
        <w:widowControl/>
        <w:kinsoku/>
        <w:wordWrap/>
        <w:overflowPunct/>
        <w:topLinePunct w:val="0"/>
        <w:autoSpaceDE/>
        <w:bidi w:val="0"/>
        <w:adjustRightInd w:val="0"/>
        <w:snapToGrid/>
        <w:spacing w:line="360" w:lineRule="auto"/>
        <w:ind w:left="316" w:hanging="316"/>
        <w:jc w:val="left"/>
        <w:textAlignment w:val="auto"/>
        <w:rPr>
          <w:rFonts w:ascii="宋体" w:hAnsi="宋体" w:cs="宋体"/>
          <w:b/>
          <w:kern w:val="0"/>
          <w:szCs w:val="21"/>
        </w:rPr>
      </w:pPr>
      <w:r>
        <w:rPr>
          <w:rFonts w:hint="eastAsia" w:ascii="宋体" w:hAnsi="宋体" w:cs="宋体"/>
          <w:b/>
          <w:kern w:val="0"/>
          <w:szCs w:val="21"/>
        </w:rPr>
        <w:t>30.磋商</w:t>
      </w:r>
    </w:p>
    <w:p w14:paraId="5DC48D91">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30.1本章第10.2项未明确磋商文件实质性变动内容的，或者磋商文件明确了可能发生实质性变动内容，但在磋商过程中，磋商小组根据磋商情况认为磋商文件无需发生实质性变动的，磋商小组应当直接与响应文件审查合格的供应商就价格组织多轮磋商。</w:t>
      </w:r>
    </w:p>
    <w:p w14:paraId="7EFFD11B">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（1）磋商结束后，磋商小组应当要求所有继续参加磋商的供应商在磋商小组规定时间内提交最后报价。</w:t>
      </w:r>
    </w:p>
    <w:p w14:paraId="29137CC7">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（2）磋商文件明确可能发生实质性变动，但在磋商过程中磋商小组根据磋商情况认为磋商文件无需发生实质性变动的，磋商小组不另行通知。</w:t>
      </w:r>
    </w:p>
    <w:p w14:paraId="4DC2F9B9">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cs="宋体"/>
          <w:kern w:val="0"/>
          <w:szCs w:val="21"/>
        </w:rPr>
      </w:pPr>
      <w:r>
        <w:rPr>
          <w:rFonts w:hint="eastAsia" w:ascii="宋体" w:hAnsi="宋体" w:eastAsia="宋体"/>
        </w:rPr>
        <w:t>30.2本章第10.2</w:t>
      </w:r>
      <w:r>
        <w:rPr>
          <w:rFonts w:hint="eastAsia" w:ascii="宋体" w:hAnsi="宋体" w:eastAsia="宋体"/>
          <w:lang w:val="zh-CN"/>
        </w:rPr>
        <w:t>款</w:t>
      </w:r>
      <w:r>
        <w:rPr>
          <w:rFonts w:hint="eastAsia" w:ascii="宋体" w:hAnsi="宋体" w:eastAsia="宋体"/>
        </w:rPr>
        <w:t>明确磋商文件实质性变动内容的，磋商小组可以组织多轮磋商。在每一轮磋商中，磋商小组可以根据磋商文件规定和磋商情况，对磋商文件的采购需求中的技术、服务要求以及合同草案条款作实质性变动(磋商文件的实质性变动内容为磋商文件的组成部分)，并以书面形式要求响应文件审查合格的供应商，在规定的截止时间前重新提交响应文件。磋商小组应当根据本章</w:t>
      </w:r>
      <w:r>
        <w:rPr>
          <w:rFonts w:hint="eastAsia" w:ascii="宋体" w:hAnsi="宋体"/>
          <w:szCs w:val="21"/>
        </w:rPr>
        <w:t>第26.2</w:t>
      </w:r>
      <w:r>
        <w:rPr>
          <w:rFonts w:hint="eastAsia" w:ascii="宋体" w:hAnsi="宋体" w:cs="宋体"/>
          <w:kern w:val="0"/>
          <w:szCs w:val="21"/>
          <w:lang w:val="zh-CN"/>
        </w:rPr>
        <w:t>款</w:t>
      </w:r>
      <w:r>
        <w:rPr>
          <w:rFonts w:hint="eastAsia" w:ascii="宋体" w:hAnsi="宋体"/>
          <w:szCs w:val="21"/>
        </w:rPr>
        <w:t>规定</w:t>
      </w:r>
      <w:r>
        <w:rPr>
          <w:rFonts w:hint="eastAsia" w:ascii="宋体" w:hAnsi="宋体" w:cs="宋体"/>
          <w:kern w:val="0"/>
          <w:szCs w:val="21"/>
        </w:rPr>
        <w:t>对供应商重新提交的响应文件进行审查。供应商重新提交的响应文件审查不合格的，不得进入下一轮磋商，也不得要求提交最后报价。</w:t>
      </w:r>
    </w:p>
    <w:p w14:paraId="0566F280">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cs="宋体"/>
          <w:kern w:val="0"/>
          <w:szCs w:val="21"/>
        </w:rPr>
      </w:pPr>
      <w:r>
        <w:rPr>
          <w:rFonts w:hint="eastAsia" w:ascii="宋体" w:hAnsi="宋体" w:cs="宋体"/>
          <w:kern w:val="0"/>
          <w:szCs w:val="21"/>
        </w:rPr>
        <w:t>（1）磋商文件能够详细列明采购需求的技术、服务要求的，磋商结束后，磋商小组应当要求所有继续参加磋商的供应商在规定时间内提交最后报价。</w:t>
      </w:r>
    </w:p>
    <w:p w14:paraId="2D8BE9B5">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D1DA2DF">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30.3重新提交的响应文件或者最后报价应按本章第21.3</w:t>
      </w:r>
      <w:r>
        <w:rPr>
          <w:rFonts w:hint="eastAsia" w:ascii="宋体" w:hAnsi="宋体" w:eastAsia="宋体"/>
          <w:lang w:val="zh-CN"/>
        </w:rPr>
        <w:t>款</w:t>
      </w:r>
      <w:r>
        <w:rPr>
          <w:rFonts w:hint="eastAsia" w:ascii="宋体" w:hAnsi="宋体" w:eastAsia="宋体"/>
        </w:rPr>
        <w:t>规定，由其法定代表人或其委托代理人签字或者加盖供应商单位章，在规定时间内密封递交给磋商小组。</w:t>
      </w:r>
    </w:p>
    <w:p w14:paraId="0AA04582">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30.4</w:t>
      </w:r>
      <w:r>
        <w:rPr>
          <w:rFonts w:hint="eastAsia" w:ascii="宋体" w:hAnsi="宋体" w:eastAsia="宋体"/>
          <w:lang w:val="zh-CN"/>
        </w:rPr>
        <w:t>供应商的</w:t>
      </w:r>
      <w:r>
        <w:rPr>
          <w:rFonts w:hint="eastAsia" w:ascii="宋体" w:hAnsi="宋体" w:eastAsia="宋体"/>
        </w:rPr>
        <w:t>最</w:t>
      </w:r>
      <w:r>
        <w:rPr>
          <w:rFonts w:hint="eastAsia" w:ascii="宋体" w:hAnsi="宋体" w:eastAsia="宋体"/>
          <w:lang w:val="zh-CN"/>
        </w:rPr>
        <w:t>后</w:t>
      </w:r>
      <w:r>
        <w:rPr>
          <w:rFonts w:hint="eastAsia" w:ascii="宋体" w:hAnsi="宋体" w:eastAsia="宋体"/>
        </w:rPr>
        <w:t>报价及政府采购政策规定的价格扣除情况，磋商小组应召集所有参加最后报价的供应商当场开封公布，并由供应商代表签字确认。投标单位每次磋商的报价应比前一次更具有优势，不能超出前一次报价。磋商小组认为供应商最后报价明显不合理或低于成本，有可能影响项目实施和不能诚信履约的，可要求其在规定期限内提供书面文件及相关证明材料解释说明，否则，按无效响应处理。</w:t>
      </w:r>
    </w:p>
    <w:p w14:paraId="2E29EF1F">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30.5提交首次响应文件的供应商，在提交最后报价之前，可以根据磋商情况退出磋商，并书面通知采购代理机构或者磋商小组。该通知由供应商法定代表人或其委托代理人签字。采购代理机构按本章第19.4</w:t>
      </w:r>
      <w:r>
        <w:rPr>
          <w:rFonts w:hint="eastAsia" w:ascii="宋体" w:hAnsi="宋体" w:eastAsia="宋体"/>
          <w:lang w:val="zh-CN"/>
        </w:rPr>
        <w:t>款</w:t>
      </w:r>
      <w:r>
        <w:rPr>
          <w:rFonts w:hint="eastAsia" w:ascii="宋体" w:hAnsi="宋体" w:eastAsia="宋体"/>
        </w:rPr>
        <w:t>规定退还退出磋商的供应商的磋商保证金。</w:t>
      </w:r>
    </w:p>
    <w:p w14:paraId="17150CDB">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cs="宋体"/>
          <w:kern w:val="0"/>
          <w:szCs w:val="21"/>
        </w:rPr>
      </w:pPr>
      <w:r>
        <w:rPr>
          <w:rFonts w:hint="eastAsia" w:ascii="宋体" w:hAnsi="宋体"/>
          <w:bCs/>
          <w:szCs w:val="21"/>
        </w:rPr>
        <w:t>30.6</w:t>
      </w:r>
      <w:r>
        <w:rPr>
          <w:rFonts w:hint="eastAsia" w:ascii="宋体" w:hAnsi="宋体" w:cs="宋体"/>
          <w:kern w:val="0"/>
          <w:szCs w:val="21"/>
        </w:rPr>
        <w:t>提交首次响应文件的供应商，未按磋商文件规定及磋商小组要求提交最后报价(或者</w:t>
      </w:r>
      <w:r>
        <w:rPr>
          <w:rFonts w:hint="eastAsia" w:ascii="宋体" w:hAnsi="宋体"/>
          <w:bCs/>
          <w:szCs w:val="21"/>
        </w:rPr>
        <w:t>重</w:t>
      </w:r>
      <w:r>
        <w:rPr>
          <w:rFonts w:hint="eastAsia" w:ascii="宋体" w:hAnsi="宋体" w:cs="宋体"/>
          <w:kern w:val="0"/>
          <w:szCs w:val="21"/>
        </w:rPr>
        <w:t>新提交的响应文件和最后报价)，且又</w:t>
      </w:r>
      <w:r>
        <w:rPr>
          <w:rFonts w:hint="eastAsia" w:ascii="宋体" w:hAnsi="宋体" w:cs="宋体"/>
          <w:kern w:val="0"/>
        </w:rPr>
        <w:t>未按</w:t>
      </w:r>
      <w:r>
        <w:rPr>
          <w:rFonts w:hint="eastAsia" w:ascii="宋体" w:hAnsi="宋体" w:cs="宋体"/>
          <w:kern w:val="0"/>
          <w:szCs w:val="21"/>
        </w:rPr>
        <w:t>本章第</w:t>
      </w:r>
      <w:r>
        <w:rPr>
          <w:rFonts w:hint="eastAsia" w:ascii="宋体" w:hAnsi="宋体"/>
        </w:rPr>
        <w:t>30.5</w:t>
      </w:r>
      <w:r>
        <w:rPr>
          <w:rFonts w:hint="eastAsia" w:ascii="宋体" w:hAnsi="宋体" w:cs="宋体"/>
          <w:kern w:val="0"/>
          <w:szCs w:val="21"/>
          <w:lang w:val="zh-CN"/>
        </w:rPr>
        <w:t>款</w:t>
      </w:r>
      <w:r>
        <w:rPr>
          <w:rFonts w:hint="eastAsia" w:ascii="宋体" w:hAnsi="宋体"/>
        </w:rPr>
        <w:t>规定</w:t>
      </w:r>
      <w:r>
        <w:rPr>
          <w:rFonts w:hint="eastAsia" w:ascii="宋体" w:hAnsi="宋体" w:cs="宋体"/>
          <w:kern w:val="0"/>
          <w:szCs w:val="21"/>
        </w:rPr>
        <w:t>退出磋商的，供应商的磋商保证金不予退还。</w:t>
      </w:r>
    </w:p>
    <w:p w14:paraId="7E267996">
      <w:pPr>
        <w:keepNext w:val="0"/>
        <w:keepLines w:val="0"/>
        <w:pageBreakBefore w:val="0"/>
        <w:widowControl/>
        <w:tabs>
          <w:tab w:val="left" w:pos="6358"/>
        </w:tabs>
        <w:kinsoku/>
        <w:wordWrap/>
        <w:overflowPunct/>
        <w:topLinePunct w:val="0"/>
        <w:autoSpaceDE/>
        <w:bidi w:val="0"/>
        <w:adjustRightInd w:val="0"/>
        <w:snapToGrid/>
        <w:spacing w:line="360" w:lineRule="auto"/>
        <w:ind w:left="316" w:hanging="316"/>
        <w:jc w:val="left"/>
        <w:textAlignment w:val="auto"/>
        <w:rPr>
          <w:rFonts w:ascii="宋体" w:hAnsi="宋体"/>
          <w:b/>
          <w:bCs/>
          <w:szCs w:val="21"/>
        </w:rPr>
      </w:pPr>
      <w:r>
        <w:rPr>
          <w:rFonts w:hint="eastAsia" w:ascii="宋体" w:hAnsi="宋体" w:cs="宋体"/>
          <w:b/>
          <w:kern w:val="0"/>
          <w:szCs w:val="21"/>
        </w:rPr>
        <w:t>31.响应文件评审</w:t>
      </w:r>
      <w:r>
        <w:rPr>
          <w:rFonts w:ascii="宋体" w:hAnsi="宋体" w:cs="宋体"/>
          <w:b/>
          <w:kern w:val="0"/>
          <w:szCs w:val="21"/>
        </w:rPr>
        <w:tab/>
      </w:r>
    </w:p>
    <w:p w14:paraId="68AAA5CB">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bCs/>
          <w:szCs w:val="21"/>
        </w:rPr>
      </w:pPr>
      <w:r>
        <w:rPr>
          <w:rFonts w:hint="eastAsia" w:ascii="宋体" w:hAnsi="宋体"/>
          <w:bCs/>
          <w:szCs w:val="21"/>
        </w:rPr>
        <w:t>31.1经磋商确定最终采购需求和提交最后报价的供应商后，由磋商小组采用综合评分法对提交最后报价的供应商的响应文件和最后报价进行综合评价。</w:t>
      </w:r>
    </w:p>
    <w:p w14:paraId="6B4A1DD7">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bCs/>
          <w:szCs w:val="21"/>
        </w:rPr>
      </w:pPr>
      <w:r>
        <w:rPr>
          <w:rFonts w:hint="eastAsia" w:ascii="宋体" w:hAnsi="宋体"/>
          <w:bCs/>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szCs w:val="21"/>
        </w:rPr>
        <w:t>磋商须知前附表。</w:t>
      </w:r>
    </w:p>
    <w:p w14:paraId="35E85EDE">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bCs/>
          <w:szCs w:val="21"/>
        </w:rPr>
      </w:pPr>
      <w:r>
        <w:rPr>
          <w:rFonts w:hint="eastAsia" w:ascii="宋体" w:hAnsi="宋体" w:cs="宋体"/>
          <w:kern w:val="0"/>
          <w:szCs w:val="21"/>
        </w:rPr>
        <w:t>31.3</w:t>
      </w:r>
      <w:r>
        <w:rPr>
          <w:rFonts w:hint="eastAsia" w:ascii="宋体" w:hAnsi="宋体"/>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b/>
          <w:szCs w:val="21"/>
        </w:rPr>
        <w:t>磋商须知前附表</w:t>
      </w:r>
      <w:r>
        <w:rPr>
          <w:rFonts w:hint="eastAsia" w:ascii="宋体" w:hAnsi="宋体"/>
          <w:szCs w:val="21"/>
        </w:rPr>
        <w:t>。</w:t>
      </w:r>
    </w:p>
    <w:p w14:paraId="14222BB1">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14:paraId="3CBD7473">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磋商报价得分=（磋商基准价/最后磋商报价）×价格权值×100</w:t>
      </w:r>
    </w:p>
    <w:p w14:paraId="61F2FE48">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项目评审过程中，不得去掉最后报价中的最高报价和最低报价。</w:t>
      </w:r>
    </w:p>
    <w:p w14:paraId="5B28FD9F">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bCs/>
          <w:szCs w:val="21"/>
        </w:rPr>
        <w:t>31.5</w:t>
      </w:r>
      <w:r>
        <w:rPr>
          <w:rFonts w:hint="eastAsia" w:ascii="宋体" w:hAnsi="宋体"/>
          <w:szCs w:val="21"/>
        </w:rPr>
        <w:t>涉及政府采购政策优惠对供应商分值进行调整的，</w:t>
      </w:r>
      <w:r>
        <w:rPr>
          <w:rFonts w:hint="eastAsia" w:ascii="宋体" w:hAnsi="宋体"/>
          <w:bCs/>
          <w:szCs w:val="21"/>
        </w:rPr>
        <w:t>按</w:t>
      </w:r>
      <w:r>
        <w:rPr>
          <w:rFonts w:hint="eastAsia" w:ascii="宋体" w:hAnsi="宋体"/>
          <w:b/>
          <w:szCs w:val="21"/>
        </w:rPr>
        <w:t>磋商须知前附表</w:t>
      </w:r>
      <w:r>
        <w:rPr>
          <w:rFonts w:hint="eastAsia" w:ascii="宋体" w:hAnsi="宋体"/>
          <w:bCs/>
          <w:szCs w:val="21"/>
        </w:rPr>
        <w:t>规定</w:t>
      </w:r>
      <w:r>
        <w:rPr>
          <w:rFonts w:hint="eastAsia" w:ascii="宋体" w:hAnsi="宋体"/>
          <w:szCs w:val="21"/>
        </w:rPr>
        <w:t>调整供应商的技术、商务、价格</w:t>
      </w:r>
      <w:r>
        <w:rPr>
          <w:rFonts w:hint="eastAsia" w:ascii="宋体" w:hAnsi="宋体" w:cs="宋体"/>
          <w:kern w:val="0"/>
          <w:szCs w:val="21"/>
        </w:rPr>
        <w:t>得分或总得分</w:t>
      </w:r>
      <w:r>
        <w:rPr>
          <w:rFonts w:hint="eastAsia" w:ascii="宋体" w:hAnsi="宋体"/>
          <w:szCs w:val="21"/>
        </w:rPr>
        <w:t>。</w:t>
      </w:r>
    </w:p>
    <w:p w14:paraId="2FA85B49">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31.6涉及多处或部分获得政府采购政策优惠的，其多处或部分享受政府采购优惠政策的计算方法见</w:t>
      </w:r>
      <w:r>
        <w:rPr>
          <w:rFonts w:hint="eastAsia" w:ascii="宋体" w:hAnsi="宋体"/>
          <w:b/>
          <w:szCs w:val="21"/>
        </w:rPr>
        <w:t>磋商须知前附表</w:t>
      </w:r>
      <w:r>
        <w:rPr>
          <w:rFonts w:hint="eastAsia" w:ascii="宋体" w:hAnsi="宋体"/>
          <w:szCs w:val="21"/>
        </w:rPr>
        <w:t>相关规定。</w:t>
      </w:r>
    </w:p>
    <w:p w14:paraId="6BCD0483">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cs="宋体"/>
          <w:kern w:val="0"/>
          <w:szCs w:val="21"/>
        </w:rPr>
        <w:t>31.7</w:t>
      </w:r>
      <w:r>
        <w:rPr>
          <w:rFonts w:hint="eastAsia" w:ascii="宋体" w:hAnsi="宋体"/>
          <w:szCs w:val="21"/>
        </w:rPr>
        <w:t>评审时，磋商小组各成员应当独立对每个供应商的</w:t>
      </w:r>
      <w:r>
        <w:rPr>
          <w:rFonts w:hint="eastAsia" w:ascii="宋体" w:hAnsi="宋体"/>
          <w:bCs/>
          <w:szCs w:val="21"/>
        </w:rPr>
        <w:t>响应文件</w:t>
      </w:r>
      <w:r>
        <w:rPr>
          <w:rFonts w:hint="eastAsia" w:ascii="宋体" w:hAnsi="宋体"/>
          <w:szCs w:val="21"/>
        </w:rPr>
        <w:t>进行评价、评分，并按照政府采购优惠政策对最后报价进行价格扣除和技术、商务、价格加分后，汇总各供应商的总得分。</w:t>
      </w:r>
    </w:p>
    <w:p w14:paraId="48874FFA">
      <w:pPr>
        <w:keepNext w:val="0"/>
        <w:keepLines w:val="0"/>
        <w:pageBreakBefore w:val="0"/>
        <w:widowControl/>
        <w:kinsoku/>
        <w:wordWrap/>
        <w:overflowPunct/>
        <w:topLinePunct w:val="0"/>
        <w:autoSpaceDE/>
        <w:bidi w:val="0"/>
        <w:adjustRightInd w:val="0"/>
        <w:snapToGrid/>
        <w:spacing w:line="360" w:lineRule="auto"/>
        <w:ind w:left="316" w:hanging="316"/>
        <w:jc w:val="left"/>
        <w:textAlignment w:val="auto"/>
        <w:rPr>
          <w:rFonts w:ascii="宋体" w:hAnsi="宋体"/>
          <w:b/>
          <w:bCs/>
          <w:szCs w:val="21"/>
        </w:rPr>
      </w:pPr>
      <w:r>
        <w:rPr>
          <w:rFonts w:hint="eastAsia" w:ascii="宋体" w:hAnsi="宋体"/>
          <w:b/>
          <w:bCs/>
          <w:szCs w:val="21"/>
        </w:rPr>
        <w:t>32</w:t>
      </w:r>
      <w:r>
        <w:rPr>
          <w:rFonts w:hint="eastAsia" w:ascii="宋体" w:hAnsi="宋体" w:cs="宋体"/>
          <w:b/>
          <w:kern w:val="0"/>
          <w:szCs w:val="21"/>
        </w:rPr>
        <w:t>.</w:t>
      </w:r>
      <w:r>
        <w:rPr>
          <w:rFonts w:hint="eastAsia" w:ascii="宋体" w:hAnsi="宋体"/>
          <w:b/>
          <w:bCs/>
          <w:szCs w:val="21"/>
        </w:rPr>
        <w:t>提出成交供应商</w:t>
      </w:r>
    </w:p>
    <w:p w14:paraId="37E67D0B">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32.1磋商小组应当根据综合评分情况，按照评审得分由高到低顺序推荐3名（含）以上成交候选供应商，并编写评审报告。评审得分相同的，按照最后报价由低到高的顺序推荐。评审得分且最后报价相同的，按照技术指标优劣顺序推荐。符合《政府采购竞争性磋商采购方式管理暂行办法》(财库〔2014〕214号)和《财政部关于政府采购竞争性磋商采购方式管理暂行办法有关问题的补充通知》（财库〔2015〕124号）所列“政府购买服务项目（含政府和社会资本合作项目）、市场竞争不充分的科研项目以及需要扶持的科技成果转化项目”情形的，可以推荐2家成交候选供应商。</w:t>
      </w:r>
    </w:p>
    <w:p w14:paraId="4B5C32B5">
      <w:pPr>
        <w:keepNext w:val="0"/>
        <w:keepLines w:val="0"/>
        <w:pageBreakBefore w:val="0"/>
        <w:widowControl/>
        <w:kinsoku/>
        <w:wordWrap/>
        <w:overflowPunct/>
        <w:topLinePunct w:val="0"/>
        <w:autoSpaceDE/>
        <w:bidi w:val="0"/>
        <w:snapToGrid/>
        <w:spacing w:line="360" w:lineRule="auto"/>
        <w:ind w:left="316" w:hanging="316"/>
        <w:jc w:val="left"/>
        <w:textAlignment w:val="auto"/>
        <w:rPr>
          <w:rFonts w:ascii="宋体" w:hAnsi="宋体"/>
          <w:b/>
          <w:bCs/>
          <w:szCs w:val="21"/>
        </w:rPr>
      </w:pPr>
      <w:r>
        <w:rPr>
          <w:rFonts w:hint="eastAsia" w:ascii="宋体" w:hAnsi="宋体"/>
          <w:b/>
          <w:bCs/>
          <w:szCs w:val="21"/>
        </w:rPr>
        <w:t>33.确定成交供应商</w:t>
      </w:r>
    </w:p>
    <w:p w14:paraId="41E84A67">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33.1采购代理机构应当在评审结束后2个工作日内将评审报告送采购人确认。</w:t>
      </w:r>
    </w:p>
    <w:p w14:paraId="0F18F3AE">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int="eastAsia" w:ascii="宋体" w:hAnsi="宋体" w:eastAsia="宋体"/>
        </w:rPr>
      </w:pPr>
      <w:r>
        <w:rPr>
          <w:rFonts w:hint="eastAsia" w:ascii="宋体" w:hAnsi="宋体" w:eastAsia="宋体"/>
        </w:rPr>
        <w:t>33.2采购人应当在收到评审报告后5个工作日内，从评审报告提出的成交候选供应商中，按照排序由高到低的原则确定成交供应商，也可以书面授权磋商小组直接确定成交供应商。</w:t>
      </w:r>
    </w:p>
    <w:p w14:paraId="6FF6E1F6">
      <w:pPr>
        <w:pStyle w:val="25"/>
        <w:keepNext w:val="0"/>
        <w:keepLines w:val="0"/>
        <w:pageBreakBefore w:val="0"/>
        <w:kinsoku/>
        <w:wordWrap/>
        <w:overflowPunct/>
        <w:topLinePunct w:val="0"/>
        <w:autoSpaceDE/>
        <w:bidi w:val="0"/>
        <w:adjustRightInd w:val="0"/>
        <w:snapToGrid/>
        <w:spacing w:line="360" w:lineRule="auto"/>
        <w:ind w:left="632" w:hanging="630" w:hangingChars="300"/>
        <w:textAlignment w:val="auto"/>
        <w:rPr>
          <w:rFonts w:hAnsi="宋体"/>
          <w:b/>
        </w:rPr>
      </w:pPr>
      <w:r>
        <w:rPr>
          <w:rFonts w:hint="eastAsia" w:hAnsi="宋体"/>
          <w:b/>
        </w:rPr>
        <w:t>34.磋商终止</w:t>
      </w:r>
    </w:p>
    <w:p w14:paraId="0E676E8D">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bCs/>
          <w:szCs w:val="21"/>
        </w:rPr>
        <w:t>34.1</w:t>
      </w:r>
      <w:r>
        <w:rPr>
          <w:rFonts w:hint="eastAsia" w:ascii="宋体" w:hAnsi="宋体" w:cs="宋体"/>
          <w:kern w:val="0"/>
          <w:szCs w:val="21"/>
        </w:rPr>
        <w:t>出现下列情形之一的，采购人或者采购代理机构应当终止竞争性磋商采购活动，</w:t>
      </w:r>
      <w:r>
        <w:rPr>
          <w:rFonts w:hint="eastAsia" w:ascii="宋体" w:hAnsi="宋体"/>
        </w:rPr>
        <w:t>在本章第37.1款指定的媒体上</w:t>
      </w:r>
      <w:r>
        <w:rPr>
          <w:rFonts w:hint="eastAsia" w:ascii="宋体" w:hAnsi="宋体" w:cs="宋体"/>
          <w:kern w:val="0"/>
          <w:szCs w:val="21"/>
        </w:rPr>
        <w:t>发布项目终止公告并说明原因，重新开展采购活动：</w:t>
      </w:r>
    </w:p>
    <w:p w14:paraId="5530703C">
      <w:pPr>
        <w:keepNext w:val="0"/>
        <w:keepLines w:val="0"/>
        <w:pageBreakBefore w:val="0"/>
        <w:widowControl/>
        <w:kinsoku/>
        <w:wordWrap/>
        <w:overflowPunct/>
        <w:topLinePunct w:val="0"/>
        <w:autoSpaceDE/>
        <w:autoSpaceDN/>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（1）因情况变化，不再符合规定的竞争性磋商采购方式适用情形的；</w:t>
      </w:r>
    </w:p>
    <w:p w14:paraId="6EE58A17">
      <w:pPr>
        <w:keepNext w:val="0"/>
        <w:keepLines w:val="0"/>
        <w:pageBreakBefore w:val="0"/>
        <w:widowControl/>
        <w:kinsoku/>
        <w:wordWrap/>
        <w:overflowPunct/>
        <w:topLinePunct w:val="0"/>
        <w:autoSpaceDE/>
        <w:autoSpaceDN/>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（2）出现影响采购公正的违法、违规行为的；</w:t>
      </w:r>
    </w:p>
    <w:p w14:paraId="03373CFA">
      <w:pPr>
        <w:keepNext w:val="0"/>
        <w:keepLines w:val="0"/>
        <w:pageBreakBefore w:val="0"/>
        <w:widowControl/>
        <w:kinsoku/>
        <w:wordWrap/>
        <w:overflowPunct/>
        <w:topLinePunct w:val="0"/>
        <w:autoSpaceDE/>
        <w:autoSpaceDN/>
        <w:bidi w:val="0"/>
        <w:adjustRightInd w:val="0"/>
        <w:snapToGrid/>
        <w:spacing w:line="360" w:lineRule="auto"/>
        <w:ind w:firstLine="420" w:firstLineChars="200"/>
        <w:jc w:val="left"/>
        <w:textAlignment w:val="auto"/>
        <w:rPr>
          <w:rFonts w:ascii="宋体" w:hAnsi="宋体"/>
          <w:bCs/>
          <w:szCs w:val="21"/>
        </w:rPr>
      </w:pPr>
      <w:r>
        <w:rPr>
          <w:rFonts w:hint="eastAsia" w:ascii="宋体" w:hAnsi="宋体" w:cs="宋体"/>
          <w:kern w:val="0"/>
          <w:szCs w:val="21"/>
        </w:rPr>
        <w:t>（3）</w:t>
      </w:r>
      <w:r>
        <w:rPr>
          <w:rFonts w:hint="eastAsia" w:ascii="宋体" w:hAnsi="宋体"/>
          <w:bCs/>
          <w:szCs w:val="21"/>
        </w:rPr>
        <w:t>除《政府采购竞争性磋商采购方式管理暂行办法》(财库〔2014〕214号)</w:t>
      </w:r>
      <w:r>
        <w:rPr>
          <w:rFonts w:hint="eastAsia" w:ascii="宋体" w:hAnsi="宋体" w:cs="宋体"/>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szCs w:val="21"/>
        </w:rPr>
        <w:t>情形外，在采购过程中符合要求的供应商或者报价未超过采购预算的供应商不足3家的；</w:t>
      </w:r>
    </w:p>
    <w:p w14:paraId="5D09276A">
      <w:pPr>
        <w:keepNext w:val="0"/>
        <w:keepLines w:val="0"/>
        <w:pageBreakBefore w:val="0"/>
        <w:widowControl/>
        <w:kinsoku/>
        <w:wordWrap/>
        <w:overflowPunct/>
        <w:topLinePunct w:val="0"/>
        <w:autoSpaceDE/>
        <w:autoSpaceDN/>
        <w:bidi w:val="0"/>
        <w:adjustRightInd w:val="0"/>
        <w:snapToGrid/>
        <w:spacing w:line="360" w:lineRule="auto"/>
        <w:ind w:firstLine="420" w:firstLineChars="200"/>
        <w:jc w:val="left"/>
        <w:textAlignment w:val="auto"/>
        <w:rPr>
          <w:rFonts w:ascii="宋体" w:hAnsi="宋体"/>
          <w:bCs/>
          <w:szCs w:val="21"/>
        </w:rPr>
      </w:pPr>
      <w:r>
        <w:rPr>
          <w:rFonts w:hint="eastAsia" w:ascii="宋体" w:hAnsi="宋体" w:cs="宋体"/>
          <w:kern w:val="0"/>
          <w:szCs w:val="21"/>
        </w:rPr>
        <w:t>（4）因重大变故，采购任务取消的。</w:t>
      </w:r>
    </w:p>
    <w:p w14:paraId="2A978AA2">
      <w:pPr>
        <w:keepNext w:val="0"/>
        <w:keepLines w:val="0"/>
        <w:pageBreakBefore w:val="0"/>
        <w:widowControl/>
        <w:kinsoku/>
        <w:wordWrap/>
        <w:overflowPunct/>
        <w:topLinePunct w:val="0"/>
        <w:autoSpaceDE/>
        <w:bidi w:val="0"/>
        <w:adjustRightInd w:val="0"/>
        <w:snapToGrid/>
        <w:spacing w:line="360" w:lineRule="auto"/>
        <w:ind w:left="316" w:hanging="316"/>
        <w:jc w:val="left"/>
        <w:textAlignment w:val="auto"/>
        <w:rPr>
          <w:rFonts w:ascii="宋体" w:hAnsi="宋体" w:cs="宋体"/>
          <w:b/>
          <w:kern w:val="0"/>
          <w:szCs w:val="21"/>
        </w:rPr>
      </w:pPr>
      <w:r>
        <w:rPr>
          <w:rFonts w:hint="eastAsia" w:ascii="宋体" w:hAnsi="宋体" w:cs="宋体"/>
          <w:b/>
          <w:kern w:val="0"/>
          <w:szCs w:val="21"/>
        </w:rPr>
        <w:t>35．重新评审</w:t>
      </w:r>
    </w:p>
    <w:p w14:paraId="04AFA0B2">
      <w:pPr>
        <w:keepNext w:val="0"/>
        <w:keepLines w:val="0"/>
        <w:pageBreakBefore w:val="0"/>
        <w:widowControl/>
        <w:kinsoku/>
        <w:wordWrap/>
        <w:overflowPunct/>
        <w:topLinePunct w:val="0"/>
        <w:autoSpaceDE/>
        <w:bidi w:val="0"/>
        <w:adjustRightInd w:val="0"/>
        <w:snapToGrid/>
        <w:spacing w:line="360" w:lineRule="auto"/>
        <w:ind w:firstLine="420" w:firstLineChars="200"/>
        <w:jc w:val="left"/>
        <w:textAlignment w:val="auto"/>
        <w:rPr>
          <w:rFonts w:ascii="宋体" w:hAnsi="宋体" w:cs="宋体"/>
          <w:kern w:val="0"/>
          <w:szCs w:val="21"/>
        </w:rPr>
      </w:pPr>
      <w:r>
        <w:rPr>
          <w:rFonts w:hint="eastAsia" w:ascii="宋体" w:hAnsi="宋体" w:cs="宋体"/>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223343C7">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36.保密及串通行为</w:t>
      </w:r>
    </w:p>
    <w:p w14:paraId="3B094BB4">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rPr>
      </w:pPr>
      <w:r>
        <w:rPr>
          <w:rFonts w:hint="eastAsia" w:ascii="宋体" w:hAnsi="宋体"/>
        </w:rPr>
        <w:t>36.1磋商小组成员以及与评审工作有关的人员不得泄露评审情况以及评审过程中获悉的国家秘密、商业秘密。</w:t>
      </w:r>
    </w:p>
    <w:p w14:paraId="0659ABB5">
      <w:pPr>
        <w:keepNext w:val="0"/>
        <w:keepLines w:val="0"/>
        <w:pageBreakBefore w:val="0"/>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36.2</w:t>
      </w:r>
      <w:r>
        <w:rPr>
          <w:rFonts w:hint="eastAsia" w:ascii="宋体" w:hAnsi="宋体" w:cs="宋体"/>
          <w:kern w:val="0"/>
          <w:szCs w:val="21"/>
        </w:rPr>
        <w:t>供应商</w:t>
      </w:r>
      <w:r>
        <w:rPr>
          <w:rFonts w:hint="eastAsia" w:ascii="宋体" w:hAnsi="宋体"/>
          <w:szCs w:val="21"/>
        </w:rPr>
        <w:t>不得与</w:t>
      </w:r>
      <w:r>
        <w:rPr>
          <w:rFonts w:hint="eastAsia" w:ascii="宋体" w:hAnsi="宋体" w:cs="宋体"/>
          <w:kern w:val="0"/>
          <w:szCs w:val="21"/>
        </w:rPr>
        <w:t>采购人、采购代理机构、其他供应商恶意</w:t>
      </w:r>
      <w:r>
        <w:rPr>
          <w:rFonts w:hint="eastAsia" w:ascii="宋体" w:hAnsi="宋体"/>
          <w:szCs w:val="21"/>
        </w:rPr>
        <w:t>串通；不得向</w:t>
      </w:r>
      <w:r>
        <w:rPr>
          <w:rFonts w:hint="eastAsia" w:ascii="宋体" w:hAnsi="宋体" w:cs="宋体"/>
          <w:kern w:val="0"/>
          <w:szCs w:val="21"/>
        </w:rPr>
        <w:t>采购人、采购代理机构</w:t>
      </w:r>
      <w:r>
        <w:rPr>
          <w:rFonts w:hint="eastAsia" w:ascii="宋体" w:hAnsi="宋体"/>
          <w:szCs w:val="21"/>
        </w:rPr>
        <w:t>或者磋商小组成员行贿或者提供其他不正当利益；不得提供虚假资料谋取成交；不得以任何方式干扰、影响采购工作。</w:t>
      </w:r>
    </w:p>
    <w:p w14:paraId="55207968">
      <w:pPr>
        <w:pStyle w:val="40"/>
        <w:keepNext w:val="0"/>
        <w:keepLines w:val="0"/>
        <w:pageBreakBefore w:val="0"/>
        <w:kinsoku/>
        <w:wordWrap/>
        <w:overflowPunct/>
        <w:topLinePunct w:val="0"/>
        <w:autoSpaceDE/>
        <w:bidi w:val="0"/>
        <w:adjustRightInd w:val="0"/>
        <w:snapToGrid/>
        <w:spacing w:before="0" w:beforeAutospacing="0" w:after="0" w:afterAutospacing="0" w:line="360" w:lineRule="auto"/>
        <w:ind w:firstLine="420" w:firstLineChars="200"/>
        <w:textAlignment w:val="auto"/>
        <w:rPr>
          <w:sz w:val="21"/>
          <w:szCs w:val="21"/>
          <w:lang w:val="zh-CN"/>
        </w:rPr>
      </w:pPr>
      <w:r>
        <w:rPr>
          <w:rFonts w:hint="eastAsia" w:cs="Arial"/>
          <w:sz w:val="21"/>
          <w:szCs w:val="21"/>
        </w:rPr>
        <w:t>36.3</w:t>
      </w:r>
      <w:r>
        <w:rPr>
          <w:rFonts w:hint="eastAsia"/>
          <w:sz w:val="21"/>
          <w:szCs w:val="21"/>
          <w:lang w:val="zh-CN"/>
        </w:rPr>
        <w:t>有下列情形之一的，属于恶意串通，对供应商依照政府采购法第七十七条第一款的规定追究法律责任：</w:t>
      </w:r>
    </w:p>
    <w:p w14:paraId="736D35AD">
      <w:pPr>
        <w:pStyle w:val="40"/>
        <w:keepNext w:val="0"/>
        <w:keepLines w:val="0"/>
        <w:pageBreakBefore w:val="0"/>
        <w:kinsoku/>
        <w:wordWrap/>
        <w:overflowPunct/>
        <w:topLinePunct w:val="0"/>
        <w:autoSpaceDE/>
        <w:bidi w:val="0"/>
        <w:adjustRightInd w:val="0"/>
        <w:snapToGrid/>
        <w:spacing w:before="0" w:beforeAutospacing="0" w:after="0" w:afterAutospacing="0" w:line="360" w:lineRule="auto"/>
        <w:ind w:firstLine="420" w:firstLineChars="200"/>
        <w:textAlignment w:val="auto"/>
        <w:rPr>
          <w:sz w:val="21"/>
          <w:szCs w:val="21"/>
          <w:lang w:val="zh-CN"/>
        </w:rPr>
      </w:pPr>
      <w:r>
        <w:rPr>
          <w:rFonts w:hint="eastAsia"/>
          <w:sz w:val="21"/>
          <w:szCs w:val="21"/>
          <w:lang w:val="zh-CN"/>
        </w:rPr>
        <w:t>（一）供应商直接或者间接从采购人或者采购代理机构处获得其他供应商的相关情况并修改其投标文件或者响应文件；</w:t>
      </w:r>
    </w:p>
    <w:p w14:paraId="422211E5">
      <w:pPr>
        <w:pStyle w:val="40"/>
        <w:keepNext w:val="0"/>
        <w:keepLines w:val="0"/>
        <w:pageBreakBefore w:val="0"/>
        <w:kinsoku/>
        <w:wordWrap/>
        <w:overflowPunct/>
        <w:topLinePunct w:val="0"/>
        <w:autoSpaceDE/>
        <w:bidi w:val="0"/>
        <w:adjustRightInd w:val="0"/>
        <w:snapToGrid/>
        <w:spacing w:before="0" w:beforeAutospacing="0" w:after="0" w:afterAutospacing="0" w:line="360" w:lineRule="auto"/>
        <w:ind w:firstLine="420" w:firstLineChars="200"/>
        <w:textAlignment w:val="auto"/>
        <w:rPr>
          <w:sz w:val="21"/>
          <w:szCs w:val="21"/>
          <w:lang w:val="zh-CN"/>
        </w:rPr>
      </w:pPr>
      <w:r>
        <w:rPr>
          <w:rFonts w:hint="eastAsia"/>
          <w:sz w:val="21"/>
          <w:szCs w:val="21"/>
          <w:lang w:val="zh-CN"/>
        </w:rPr>
        <w:t>（二）供应商按照采购人或者采购代理机构的授意撤换、修改投标文件或者响应文件；</w:t>
      </w:r>
    </w:p>
    <w:p w14:paraId="126C49F0">
      <w:pPr>
        <w:pStyle w:val="40"/>
        <w:keepNext w:val="0"/>
        <w:keepLines w:val="0"/>
        <w:pageBreakBefore w:val="0"/>
        <w:kinsoku/>
        <w:wordWrap/>
        <w:overflowPunct/>
        <w:topLinePunct w:val="0"/>
        <w:autoSpaceDE/>
        <w:bidi w:val="0"/>
        <w:adjustRightInd w:val="0"/>
        <w:snapToGrid/>
        <w:spacing w:before="0" w:beforeAutospacing="0" w:after="0" w:afterAutospacing="0" w:line="360" w:lineRule="auto"/>
        <w:ind w:firstLine="420" w:firstLineChars="200"/>
        <w:textAlignment w:val="auto"/>
        <w:rPr>
          <w:sz w:val="21"/>
          <w:szCs w:val="21"/>
          <w:lang w:val="zh-CN"/>
        </w:rPr>
      </w:pPr>
      <w:r>
        <w:rPr>
          <w:rFonts w:hint="eastAsia"/>
          <w:sz w:val="21"/>
          <w:szCs w:val="21"/>
          <w:lang w:val="zh-CN"/>
        </w:rPr>
        <w:t>（三）供应商之间协商报价、技术方案等投标文件或者响应文件的实质性内容；</w:t>
      </w:r>
    </w:p>
    <w:p w14:paraId="3C49E374">
      <w:pPr>
        <w:pStyle w:val="40"/>
        <w:keepNext w:val="0"/>
        <w:keepLines w:val="0"/>
        <w:pageBreakBefore w:val="0"/>
        <w:kinsoku/>
        <w:wordWrap/>
        <w:overflowPunct/>
        <w:topLinePunct w:val="0"/>
        <w:autoSpaceDE/>
        <w:bidi w:val="0"/>
        <w:adjustRightInd w:val="0"/>
        <w:snapToGrid/>
        <w:spacing w:before="0" w:beforeAutospacing="0" w:after="0" w:afterAutospacing="0" w:line="360" w:lineRule="auto"/>
        <w:ind w:firstLine="420" w:firstLineChars="200"/>
        <w:textAlignment w:val="auto"/>
        <w:rPr>
          <w:sz w:val="21"/>
          <w:szCs w:val="21"/>
          <w:lang w:val="zh-CN"/>
        </w:rPr>
      </w:pPr>
      <w:r>
        <w:rPr>
          <w:rFonts w:hint="eastAsia"/>
          <w:sz w:val="21"/>
          <w:szCs w:val="21"/>
          <w:lang w:val="zh-CN"/>
        </w:rPr>
        <w:t>（四）属于同一集团、协会、商会等组织成员的供应商按照该组织要求协同参加政府采购活动；</w:t>
      </w:r>
    </w:p>
    <w:p w14:paraId="61F3FEC1">
      <w:pPr>
        <w:pStyle w:val="40"/>
        <w:keepNext w:val="0"/>
        <w:keepLines w:val="0"/>
        <w:pageBreakBefore w:val="0"/>
        <w:kinsoku/>
        <w:wordWrap/>
        <w:overflowPunct/>
        <w:topLinePunct w:val="0"/>
        <w:autoSpaceDE/>
        <w:bidi w:val="0"/>
        <w:adjustRightInd w:val="0"/>
        <w:snapToGrid/>
        <w:spacing w:before="0" w:beforeAutospacing="0" w:after="0" w:afterAutospacing="0" w:line="360" w:lineRule="auto"/>
        <w:ind w:firstLine="420" w:firstLineChars="200"/>
        <w:textAlignment w:val="auto"/>
        <w:rPr>
          <w:sz w:val="21"/>
          <w:szCs w:val="21"/>
          <w:lang w:val="zh-CN"/>
        </w:rPr>
      </w:pPr>
      <w:r>
        <w:rPr>
          <w:rFonts w:hint="eastAsia"/>
          <w:sz w:val="21"/>
          <w:szCs w:val="21"/>
          <w:lang w:val="zh-CN"/>
        </w:rPr>
        <w:t>（五）供应商之间事先约定由某一特定供应商中标、成交；</w:t>
      </w:r>
    </w:p>
    <w:p w14:paraId="581A4A1C">
      <w:pPr>
        <w:pStyle w:val="40"/>
        <w:keepNext w:val="0"/>
        <w:keepLines w:val="0"/>
        <w:pageBreakBefore w:val="0"/>
        <w:kinsoku/>
        <w:wordWrap/>
        <w:overflowPunct/>
        <w:topLinePunct w:val="0"/>
        <w:autoSpaceDE/>
        <w:bidi w:val="0"/>
        <w:adjustRightInd w:val="0"/>
        <w:snapToGrid/>
        <w:spacing w:before="0" w:beforeAutospacing="0" w:after="0" w:afterAutospacing="0" w:line="360" w:lineRule="auto"/>
        <w:ind w:firstLine="420" w:firstLineChars="200"/>
        <w:textAlignment w:val="auto"/>
        <w:rPr>
          <w:sz w:val="21"/>
          <w:szCs w:val="21"/>
          <w:lang w:val="zh-CN"/>
        </w:rPr>
      </w:pPr>
      <w:r>
        <w:rPr>
          <w:rFonts w:hint="eastAsia"/>
          <w:sz w:val="21"/>
          <w:szCs w:val="21"/>
          <w:lang w:val="zh-CN"/>
        </w:rPr>
        <w:t>（六）供应商之间商定部分供应商放弃参加政府采购活动或者放弃中标、成交；</w:t>
      </w:r>
    </w:p>
    <w:p w14:paraId="199FE717">
      <w:pPr>
        <w:pStyle w:val="40"/>
        <w:keepNext w:val="0"/>
        <w:keepLines w:val="0"/>
        <w:pageBreakBefore w:val="0"/>
        <w:kinsoku/>
        <w:wordWrap/>
        <w:overflowPunct/>
        <w:topLinePunct w:val="0"/>
        <w:autoSpaceDE/>
        <w:bidi w:val="0"/>
        <w:adjustRightInd w:val="0"/>
        <w:snapToGrid/>
        <w:spacing w:before="0" w:beforeAutospacing="0" w:after="0" w:afterAutospacing="0" w:line="360" w:lineRule="auto"/>
        <w:ind w:firstLine="420" w:firstLineChars="200"/>
        <w:textAlignment w:val="auto"/>
        <w:rPr>
          <w:sz w:val="21"/>
          <w:szCs w:val="21"/>
          <w:lang w:val="zh-CN"/>
        </w:rPr>
      </w:pPr>
      <w:r>
        <w:rPr>
          <w:rFonts w:hint="eastAsia"/>
          <w:sz w:val="21"/>
          <w:szCs w:val="21"/>
          <w:lang w:val="zh-CN"/>
        </w:rPr>
        <w:t>（七）供应商与采购人或者采购代理机构之间、供应商相互之间，为谋求特定供应商中标、成交或者排斥其他供应商的其他串通行为。</w:t>
      </w:r>
    </w:p>
    <w:p w14:paraId="3D17FA72">
      <w:pPr>
        <w:keepNext w:val="0"/>
        <w:keepLines w:val="0"/>
        <w:pageBreakBefore w:val="0"/>
        <w:kinsoku/>
        <w:wordWrap/>
        <w:overflowPunct/>
        <w:topLinePunct w:val="0"/>
        <w:autoSpaceDE/>
        <w:bidi w:val="0"/>
        <w:adjustRightInd w:val="0"/>
        <w:snapToGrid/>
        <w:spacing w:line="360" w:lineRule="auto"/>
        <w:ind w:left="360" w:hanging="360"/>
        <w:textAlignment w:val="auto"/>
        <w:rPr>
          <w:rFonts w:ascii="黑体" w:hAnsi="宋体" w:eastAsia="黑体"/>
          <w:sz w:val="24"/>
        </w:rPr>
      </w:pPr>
      <w:r>
        <w:rPr>
          <w:rFonts w:hint="eastAsia" w:ascii="黑体" w:hAnsi="宋体" w:eastAsia="黑体"/>
          <w:sz w:val="24"/>
        </w:rPr>
        <w:t>六、成交结果信息公布与授予合同</w:t>
      </w:r>
    </w:p>
    <w:p w14:paraId="66D1D8FB">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37.成交信息的公布</w:t>
      </w:r>
    </w:p>
    <w:p w14:paraId="34CB8F1C">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37.1成交供应商确定后2个工作日内，成交结果信息将在</w:t>
      </w:r>
      <w:r>
        <w:rPr>
          <w:rFonts w:hint="eastAsia" w:hAnsi="宋体"/>
          <w:b/>
        </w:rPr>
        <w:t>磋商须知前附表</w:t>
      </w:r>
      <w:r>
        <w:rPr>
          <w:rFonts w:hint="eastAsia" w:hAnsi="宋体"/>
        </w:rPr>
        <w:t>指定的媒体上公布。</w:t>
      </w:r>
    </w:p>
    <w:p w14:paraId="300728EA">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38.询问及质疑</w:t>
      </w:r>
    </w:p>
    <w:p w14:paraId="74402D00">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hAnsi="宋体"/>
        </w:rPr>
      </w:pPr>
      <w:r>
        <w:rPr>
          <w:rFonts w:hint="eastAsia" w:ascii="宋体" w:hAnsi="宋体"/>
          <w:szCs w:val="21"/>
        </w:rPr>
        <w:t>38.1供应商对政府采购活动事项有疑问的，可以向采购人或采购代理机构提出询问。</w:t>
      </w:r>
    </w:p>
    <w:p w14:paraId="23FDEAE9">
      <w:pPr>
        <w:keepNext w:val="0"/>
        <w:keepLines w:val="0"/>
        <w:pageBreakBefore w:val="0"/>
        <w:kinsoku/>
        <w:wordWrap/>
        <w:overflowPunct/>
        <w:topLinePunct w:val="0"/>
        <w:autoSpaceDE/>
        <w:bidi w:val="0"/>
        <w:adjustRightInd w:val="0"/>
        <w:snapToGrid/>
        <w:spacing w:line="360" w:lineRule="auto"/>
        <w:ind w:firstLine="420" w:firstLineChars="200"/>
        <w:jc w:val="left"/>
        <w:textAlignment w:val="auto"/>
        <w:rPr>
          <w:rFonts w:ascii="宋体" w:hAnsi="宋体"/>
          <w:szCs w:val="21"/>
        </w:rPr>
      </w:pPr>
      <w:r>
        <w:rPr>
          <w:rFonts w:hint="eastAsia" w:ascii="宋体" w:hAnsi="宋体"/>
          <w:szCs w:val="21"/>
        </w:rPr>
        <w:t>38.2供应商若认为磋商文件、采购过程和成交结果使自己的权益受到损害，可以按法律、行政法规及湖南省财政厅规范性文件规定向采购人或采购代理机构提出质疑。</w:t>
      </w:r>
    </w:p>
    <w:p w14:paraId="15DF875B">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39.成交通知</w:t>
      </w:r>
    </w:p>
    <w:p w14:paraId="082D4D52">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39.1成交供应商确定后，采购人或采购代理机构将以书面形式向成交供应商发出成交通知书。成交通知书对采购人和成交供应商具有同等法律效力。</w:t>
      </w:r>
    </w:p>
    <w:p w14:paraId="43AD0AEE">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39.2成交通知书是合同文件的组成部分。</w:t>
      </w:r>
    </w:p>
    <w:p w14:paraId="155CB104">
      <w:pPr>
        <w:keepNext w:val="0"/>
        <w:keepLines w:val="0"/>
        <w:pageBreakBefore w:val="0"/>
        <w:tabs>
          <w:tab w:val="left" w:pos="7560"/>
          <w:tab w:val="left" w:pos="7740"/>
          <w:tab w:val="left" w:pos="7920"/>
        </w:tabs>
        <w:kinsoku/>
        <w:wordWrap/>
        <w:overflowPunct/>
        <w:topLinePunct w:val="0"/>
        <w:autoSpaceDE/>
        <w:autoSpaceDN w:val="0"/>
        <w:bidi w:val="0"/>
        <w:adjustRightInd w:val="0"/>
        <w:snapToGrid/>
        <w:spacing w:line="360" w:lineRule="auto"/>
        <w:ind w:firstLine="420" w:firstLineChars="200"/>
        <w:textAlignment w:val="auto"/>
        <w:rPr>
          <w:rFonts w:ascii="宋体" w:hAnsi="宋体"/>
          <w:szCs w:val="21"/>
        </w:rPr>
      </w:pPr>
      <w:r>
        <w:rPr>
          <w:rFonts w:hint="eastAsia" w:ascii="宋体" w:hAnsi="宋体" w:cs="宋体"/>
          <w:kern w:val="0"/>
          <w:szCs w:val="21"/>
        </w:rPr>
        <w:t>39.3</w:t>
      </w:r>
      <w:r>
        <w:rPr>
          <w:rFonts w:hint="eastAsia" w:ascii="宋体" w:hAnsi="宋体"/>
          <w:szCs w:val="21"/>
        </w:rPr>
        <w:t>成交供应商在收到采购代理机构的成交通知书后10日内，应按照</w:t>
      </w:r>
      <w:r>
        <w:rPr>
          <w:rFonts w:hint="eastAsia" w:ascii="宋体" w:hAnsi="宋体"/>
          <w:b/>
          <w:szCs w:val="21"/>
        </w:rPr>
        <w:t>磋商须知前附表</w:t>
      </w:r>
      <w:r>
        <w:rPr>
          <w:rFonts w:hint="eastAsia" w:ascii="宋体" w:hAnsi="宋体"/>
          <w:szCs w:val="21"/>
        </w:rPr>
        <w:t>的规定，向采购人提交履约担保。</w:t>
      </w:r>
    </w:p>
    <w:p w14:paraId="35AE6E63">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39.4成交供应商</w:t>
      </w:r>
      <w:r>
        <w:rPr>
          <w:rFonts w:hint="eastAsia" w:hAnsi="宋体"/>
          <w:spacing w:val="4"/>
        </w:rPr>
        <w:t>没有按照本章第39.3</w:t>
      </w:r>
      <w:r>
        <w:rPr>
          <w:rFonts w:hint="eastAsia" w:hAnsi="宋体" w:cs="宋体"/>
          <w:kern w:val="0"/>
          <w:lang w:val="zh-CN"/>
        </w:rPr>
        <w:t>款</w:t>
      </w:r>
      <w:r>
        <w:rPr>
          <w:rFonts w:hint="eastAsia" w:hAnsi="宋体"/>
          <w:spacing w:val="4"/>
        </w:rPr>
        <w:t>规定</w:t>
      </w:r>
      <w:r>
        <w:rPr>
          <w:rFonts w:hint="eastAsia" w:hAnsi="宋体"/>
        </w:rPr>
        <w:t>提交履约担保的</w:t>
      </w:r>
      <w:r>
        <w:rPr>
          <w:rFonts w:hint="eastAsia" w:hAnsi="宋体"/>
          <w:spacing w:val="4"/>
        </w:rPr>
        <w:t>，视为放弃</w:t>
      </w:r>
      <w:r>
        <w:rPr>
          <w:rFonts w:hint="eastAsia" w:hAnsi="宋体"/>
        </w:rPr>
        <w:t>成交资格</w:t>
      </w:r>
      <w:r>
        <w:rPr>
          <w:rFonts w:hint="eastAsia" w:hAnsi="宋体"/>
          <w:spacing w:val="4"/>
        </w:rPr>
        <w:t>，</w:t>
      </w:r>
      <w:r>
        <w:rPr>
          <w:rFonts w:hint="eastAsia" w:hAnsi="宋体"/>
          <w:spacing w:val="2"/>
        </w:rPr>
        <w:t>其保证金不予退还。</w:t>
      </w:r>
    </w:p>
    <w:p w14:paraId="2F6DC5D9">
      <w:pPr>
        <w:keepNext w:val="0"/>
        <w:keepLines w:val="0"/>
        <w:pageBreakBefore w:val="0"/>
        <w:kinsoku/>
        <w:wordWrap/>
        <w:overflowPunct/>
        <w:topLinePunct w:val="0"/>
        <w:autoSpaceDE/>
        <w:bidi w:val="0"/>
        <w:adjustRightInd w:val="0"/>
        <w:snapToGrid/>
        <w:spacing w:line="360" w:lineRule="auto"/>
        <w:ind w:left="316" w:hanging="316"/>
        <w:textAlignment w:val="auto"/>
        <w:rPr>
          <w:rFonts w:ascii="宋体" w:hAnsi="宋体"/>
          <w:b/>
          <w:bCs/>
          <w:szCs w:val="21"/>
        </w:rPr>
      </w:pPr>
      <w:r>
        <w:rPr>
          <w:rFonts w:hint="eastAsia" w:ascii="宋体" w:hAnsi="宋体"/>
          <w:b/>
          <w:bCs/>
          <w:szCs w:val="21"/>
        </w:rPr>
        <w:t>40.签订合同</w:t>
      </w:r>
    </w:p>
    <w:p w14:paraId="09C99674">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40.1成交供应商应当在成交通知书发出之日起30日内与采购人签订政府采购合同。</w:t>
      </w:r>
    </w:p>
    <w:p w14:paraId="40495CAE">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40.2磋商文件、成交供应商的响应文件等均为签订政府采购合同的依据。</w:t>
      </w:r>
    </w:p>
    <w:p w14:paraId="683591FE">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40.3成交供应商应当按照合同约定履行义务。成交供应商不得向他人转让成交项目，也不得将成交项目分包后分别向他人转让。</w:t>
      </w:r>
    </w:p>
    <w:p w14:paraId="1F2E4859">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40.4成交供应商有下列情形之一的，责令限期改正，情节严重的，列入不良行为记录名单，在1至3年内禁止参加政府采购活动，并予以通报：</w:t>
      </w:r>
    </w:p>
    <w:p w14:paraId="5CBA5B2C">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（一）成交后无正当理由不与采购人签订合同的；</w:t>
      </w:r>
    </w:p>
    <w:p w14:paraId="4ADDA67D">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（二）未按照采购文件确定的事项签订政府采购合同，或者与采购人另行订立背离合同实质性内容的协议的；</w:t>
      </w:r>
    </w:p>
    <w:p w14:paraId="4E28715D">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rPr>
      </w:pPr>
      <w:r>
        <w:rPr>
          <w:rFonts w:hint="eastAsia" w:hAnsi="宋体"/>
        </w:rPr>
        <w:t>（三）拒绝履行合同义务的；</w:t>
      </w:r>
    </w:p>
    <w:p w14:paraId="0B9437FF">
      <w:pPr>
        <w:pStyle w:val="25"/>
        <w:keepNext w:val="0"/>
        <w:keepLines w:val="0"/>
        <w:pageBreakBefore w:val="0"/>
        <w:kinsoku/>
        <w:wordWrap/>
        <w:overflowPunct/>
        <w:topLinePunct w:val="0"/>
        <w:autoSpaceDE/>
        <w:bidi w:val="0"/>
        <w:adjustRightInd w:val="0"/>
        <w:snapToGrid/>
        <w:spacing w:line="360" w:lineRule="auto"/>
        <w:ind w:firstLine="420" w:firstLineChars="200"/>
        <w:textAlignment w:val="auto"/>
        <w:rPr>
          <w:rFonts w:hAnsi="宋体" w:cs="宋体"/>
          <w:kern w:val="0"/>
        </w:rPr>
      </w:pPr>
      <w:r>
        <w:rPr>
          <w:rFonts w:hint="eastAsia" w:hAnsi="宋体"/>
        </w:rPr>
        <w:t>（四）</w:t>
      </w:r>
      <w:r>
        <w:rPr>
          <w:rFonts w:hint="eastAsia" w:hAnsi="宋体" w:cs="宋体"/>
          <w:kern w:val="0"/>
        </w:rPr>
        <w:t>违反法律、规章、规范性文件规定的。</w:t>
      </w:r>
    </w:p>
    <w:p w14:paraId="6F284C7D">
      <w:pPr>
        <w:keepNext w:val="0"/>
        <w:keepLines w:val="0"/>
        <w:pageBreakBefore w:val="0"/>
        <w:kinsoku/>
        <w:wordWrap/>
        <w:overflowPunct/>
        <w:topLinePunct w:val="0"/>
        <w:autoSpaceDE/>
        <w:bidi w:val="0"/>
        <w:adjustRightInd w:val="0"/>
        <w:snapToGrid/>
        <w:spacing w:line="360" w:lineRule="auto"/>
        <w:ind w:left="360" w:hanging="360"/>
        <w:textAlignment w:val="auto"/>
        <w:rPr>
          <w:rFonts w:ascii="黑体" w:hAnsi="宋体" w:eastAsia="黑体"/>
          <w:sz w:val="24"/>
        </w:rPr>
      </w:pPr>
      <w:r>
        <w:rPr>
          <w:rFonts w:hint="eastAsia" w:ascii="黑体" w:hAnsi="宋体" w:eastAsia="黑体"/>
          <w:sz w:val="24"/>
        </w:rPr>
        <w:t>七、其他规定</w:t>
      </w:r>
    </w:p>
    <w:p w14:paraId="2B29A7C2">
      <w:pPr>
        <w:keepNext w:val="0"/>
        <w:keepLines w:val="0"/>
        <w:pageBreakBefore w:val="0"/>
        <w:kinsoku/>
        <w:wordWrap/>
        <w:overflowPunct/>
        <w:topLinePunct w:val="0"/>
        <w:autoSpaceDE/>
        <w:bidi w:val="0"/>
        <w:adjustRightInd w:val="0"/>
        <w:snapToGrid/>
        <w:spacing w:line="360" w:lineRule="auto"/>
        <w:ind w:left="316" w:hanging="316"/>
        <w:jc w:val="left"/>
        <w:textAlignment w:val="auto"/>
        <w:rPr>
          <w:rFonts w:ascii="宋体" w:hAnsi="宋体"/>
          <w:b/>
          <w:szCs w:val="21"/>
        </w:rPr>
      </w:pPr>
      <w:r>
        <w:rPr>
          <w:rFonts w:hint="eastAsia" w:ascii="宋体" w:hAnsi="宋体"/>
          <w:b/>
          <w:szCs w:val="21"/>
        </w:rPr>
        <w:t>41.1采购代理服务费</w:t>
      </w:r>
    </w:p>
    <w:p w14:paraId="5B9F568D">
      <w:pPr>
        <w:keepNext w:val="0"/>
        <w:keepLines w:val="0"/>
        <w:pageBreakBefore w:val="0"/>
        <w:tabs>
          <w:tab w:val="left" w:pos="420"/>
          <w:tab w:val="left" w:pos="7560"/>
          <w:tab w:val="left" w:pos="7740"/>
          <w:tab w:val="left" w:pos="7920"/>
        </w:tabs>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41.1采购代理机构应按</w:t>
      </w:r>
      <w:r>
        <w:rPr>
          <w:rFonts w:hint="eastAsia" w:ascii="宋体" w:hAnsi="宋体"/>
          <w:b/>
          <w:szCs w:val="21"/>
        </w:rPr>
        <w:t>磋商须知前附表</w:t>
      </w:r>
      <w:r>
        <w:rPr>
          <w:rFonts w:hint="eastAsia" w:ascii="宋体" w:hAnsi="宋体"/>
          <w:szCs w:val="21"/>
        </w:rPr>
        <w:t>规定收取采购代理服务费。</w:t>
      </w:r>
    </w:p>
    <w:p w14:paraId="0B44BAB3">
      <w:pPr>
        <w:keepNext w:val="0"/>
        <w:keepLines w:val="0"/>
        <w:pageBreakBefore w:val="0"/>
        <w:tabs>
          <w:tab w:val="left" w:pos="420"/>
          <w:tab w:val="left" w:pos="7560"/>
          <w:tab w:val="left" w:pos="7740"/>
          <w:tab w:val="left" w:pos="7920"/>
        </w:tabs>
        <w:kinsoku/>
        <w:wordWrap/>
        <w:overflowPunct/>
        <w:topLinePunct w:val="0"/>
        <w:autoSpaceDE/>
        <w:bidi w:val="0"/>
        <w:adjustRightInd w:val="0"/>
        <w:snapToGrid/>
        <w:spacing w:line="360" w:lineRule="auto"/>
        <w:ind w:firstLine="420" w:firstLineChars="200"/>
        <w:textAlignment w:val="auto"/>
        <w:rPr>
          <w:rFonts w:ascii="宋体" w:hAnsi="宋体"/>
          <w:szCs w:val="21"/>
        </w:rPr>
      </w:pPr>
      <w:r>
        <w:rPr>
          <w:rFonts w:hint="eastAsia" w:ascii="宋体" w:hAnsi="宋体"/>
          <w:szCs w:val="21"/>
        </w:rPr>
        <w:t>41.2集中采购机构不得收取采购代理服务费。</w:t>
      </w:r>
    </w:p>
    <w:p w14:paraId="20D0B17F">
      <w:pPr>
        <w:keepNext w:val="0"/>
        <w:keepLines w:val="0"/>
        <w:pageBreakBefore w:val="0"/>
        <w:tabs>
          <w:tab w:val="left" w:pos="420"/>
          <w:tab w:val="left" w:pos="7560"/>
          <w:tab w:val="left" w:pos="7740"/>
          <w:tab w:val="left" w:pos="7920"/>
        </w:tabs>
        <w:kinsoku/>
        <w:wordWrap/>
        <w:overflowPunct/>
        <w:topLinePunct w:val="0"/>
        <w:autoSpaceDE/>
        <w:bidi w:val="0"/>
        <w:adjustRightInd w:val="0"/>
        <w:snapToGrid/>
        <w:spacing w:line="360" w:lineRule="auto"/>
        <w:ind w:left="316" w:hanging="316"/>
        <w:textAlignment w:val="auto"/>
        <w:rPr>
          <w:rFonts w:hAnsi="宋体"/>
          <w:b/>
        </w:rPr>
      </w:pPr>
      <w:r>
        <w:rPr>
          <w:rFonts w:hint="eastAsia" w:ascii="宋体" w:hAnsi="宋体"/>
          <w:b/>
          <w:szCs w:val="21"/>
        </w:rPr>
        <w:t>42.</w:t>
      </w:r>
      <w:r>
        <w:rPr>
          <w:rFonts w:hint="eastAsia" w:hAnsi="宋体"/>
          <w:b/>
        </w:rPr>
        <w:t>其他规定</w:t>
      </w:r>
    </w:p>
    <w:p w14:paraId="7937C18F">
      <w:pPr>
        <w:keepNext w:val="0"/>
        <w:keepLines w:val="0"/>
        <w:pageBreakBefore w:val="0"/>
        <w:tabs>
          <w:tab w:val="left" w:pos="420"/>
          <w:tab w:val="left" w:pos="7560"/>
          <w:tab w:val="left" w:pos="7740"/>
          <w:tab w:val="left" w:pos="7920"/>
        </w:tabs>
        <w:kinsoku/>
        <w:wordWrap/>
        <w:overflowPunct/>
        <w:topLinePunct w:val="0"/>
        <w:autoSpaceDE/>
        <w:bidi w:val="0"/>
        <w:adjustRightInd w:val="0"/>
        <w:snapToGrid/>
        <w:spacing w:line="360" w:lineRule="auto"/>
        <w:ind w:firstLine="420" w:firstLineChars="200"/>
        <w:textAlignment w:val="auto"/>
        <w:rPr>
          <w:rFonts w:asciiTheme="majorEastAsia" w:hAnsiTheme="majorEastAsia" w:eastAsiaTheme="majorEastAsia" w:cstheme="majorEastAsia"/>
          <w:b/>
          <w:bCs/>
          <w:sz w:val="32"/>
          <w:szCs w:val="32"/>
        </w:rPr>
      </w:pPr>
      <w:r>
        <w:rPr>
          <w:rFonts w:hint="eastAsia" w:ascii="宋体" w:hAnsi="宋体"/>
        </w:rPr>
        <w:t>42.1</w:t>
      </w: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磋商须知前附表</w:t>
      </w:r>
      <w:r>
        <w:rPr>
          <w:rFonts w:hint="eastAsia" w:ascii="宋体" w:hAnsi="宋体"/>
          <w:szCs w:val="21"/>
        </w:rPr>
        <w:t>。</w:t>
      </w:r>
      <w:r>
        <w:rPr>
          <w:rFonts w:asciiTheme="majorEastAsia" w:hAnsiTheme="majorEastAsia" w:eastAsiaTheme="majorEastAsia" w:cstheme="majorEastAsia"/>
          <w:b/>
          <w:bCs/>
          <w:sz w:val="32"/>
          <w:szCs w:val="32"/>
        </w:rPr>
        <w:br w:type="page"/>
      </w:r>
    </w:p>
    <w:p w14:paraId="64FDDB0C">
      <w:pPr>
        <w:pStyle w:val="3"/>
        <w:bidi w:val="0"/>
      </w:pPr>
      <w:bookmarkStart w:id="81" w:name="_Toc20658"/>
      <w:r>
        <w:rPr>
          <w:rFonts w:hint="eastAsia"/>
        </w:rPr>
        <w:t>第三章 评审办法及标准</w:t>
      </w:r>
      <w:bookmarkEnd w:id="81"/>
    </w:p>
    <w:p w14:paraId="3FE99334">
      <w:pPr>
        <w:adjustRightInd w:val="0"/>
        <w:snapToGrid w:val="0"/>
        <w:spacing w:before="156" w:beforeLines="50" w:line="360" w:lineRule="auto"/>
        <w:ind w:left="316" w:hanging="316"/>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1.磋商小组</w:t>
      </w:r>
    </w:p>
    <w:p w14:paraId="4E709B78">
      <w:pPr>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1.1评审由依法组成的磋商小组负责。</w:t>
      </w:r>
    </w:p>
    <w:p w14:paraId="3BCB507B">
      <w:pPr>
        <w:adjustRightInd w:val="0"/>
        <w:snapToGrid w:val="0"/>
        <w:spacing w:before="156" w:beforeLines="50" w:line="360" w:lineRule="auto"/>
        <w:ind w:left="316" w:hanging="316"/>
        <w:rPr>
          <w:rFonts w:asciiTheme="minorEastAsia" w:hAnsiTheme="minorEastAsia" w:eastAsiaTheme="minorEastAsia" w:cstheme="minorEastAsia"/>
          <w:b/>
          <w:szCs w:val="21"/>
        </w:rPr>
      </w:pPr>
      <w:r>
        <w:rPr>
          <w:rFonts w:hint="eastAsia" w:asciiTheme="minorEastAsia" w:hAnsiTheme="minorEastAsia" w:eastAsiaTheme="minorEastAsia" w:cstheme="minorEastAsia"/>
          <w:b/>
          <w:bCs/>
          <w:szCs w:val="21"/>
        </w:rPr>
        <w:t>2.</w:t>
      </w:r>
      <w:r>
        <w:rPr>
          <w:rFonts w:hint="eastAsia" w:asciiTheme="minorEastAsia" w:hAnsiTheme="minorEastAsia" w:eastAsiaTheme="minorEastAsia" w:cstheme="minorEastAsia"/>
          <w:b/>
          <w:szCs w:val="21"/>
        </w:rPr>
        <w:t>评审方法</w:t>
      </w:r>
    </w:p>
    <w:p w14:paraId="1F4D1225">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2.1评审方法：综合评分法，即响应文件能够最大限度的满足磋商文件规定的各项综合评价标准且经评审得分最高的供应商为成交供应商的评标方法。</w:t>
      </w:r>
    </w:p>
    <w:p w14:paraId="1FB820F9">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2.2本采购项目</w:t>
      </w:r>
      <w:r>
        <w:rPr>
          <w:rFonts w:hint="eastAsia" w:asciiTheme="minorEastAsia" w:hAnsiTheme="minorEastAsia" w:eastAsiaTheme="minorEastAsia" w:cstheme="minorEastAsia"/>
          <w:szCs w:val="21"/>
        </w:rPr>
        <w:t>的评审因素和标准见</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不得对响应文件优于磋商文件要求的评审因素给予加分。</w:t>
      </w:r>
    </w:p>
    <w:p w14:paraId="2C03D756">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评审因素：价格、技术、财务状况、信誉、业绩、服务、对磋商文件的响应程度，以及相应的比重或者权值等，但不包括第二章“磋商须知”第3.1</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规定的供应商资格条件。</w:t>
      </w:r>
    </w:p>
    <w:p w14:paraId="7B11ABAD">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2.3</w:t>
      </w:r>
      <w:r>
        <w:rPr>
          <w:rFonts w:hint="eastAsia" w:asciiTheme="minorEastAsia" w:hAnsiTheme="minorEastAsia" w:eastAsiaTheme="minorEastAsia" w:cstheme="minorEastAsia"/>
          <w:szCs w:val="21"/>
        </w:rPr>
        <w:t>权值的取值范围见下表，本采购项目的权值见</w:t>
      </w:r>
      <w:r>
        <w:rPr>
          <w:rFonts w:hint="eastAsia" w:asciiTheme="minorEastAsia" w:hAnsiTheme="minorEastAsia" w:eastAsiaTheme="minorEastAsia" w:cstheme="minorEastAsia"/>
          <w:b/>
          <w:szCs w:val="21"/>
        </w:rPr>
        <w:t>磋商文件前附表。</w:t>
      </w:r>
    </w:p>
    <w:tbl>
      <w:tblPr>
        <w:tblStyle w:val="46"/>
        <w:tblW w:w="882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0"/>
        <w:gridCol w:w="4680"/>
        <w:gridCol w:w="3420"/>
      </w:tblGrid>
      <w:tr w14:paraId="0C8AD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20" w:type="dxa"/>
            <w:tcBorders>
              <w:top w:val="single" w:color="auto" w:sz="12" w:space="0"/>
            </w:tcBorders>
            <w:vAlign w:val="center"/>
          </w:tcPr>
          <w:p w14:paraId="70C0215F">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序号</w:t>
            </w:r>
          </w:p>
        </w:tc>
        <w:tc>
          <w:tcPr>
            <w:tcW w:w="4680" w:type="dxa"/>
            <w:tcBorders>
              <w:top w:val="single" w:color="auto" w:sz="12" w:space="0"/>
            </w:tcBorders>
            <w:vAlign w:val="center"/>
          </w:tcPr>
          <w:p w14:paraId="0E5BB506">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项     目</w:t>
            </w:r>
          </w:p>
        </w:tc>
        <w:tc>
          <w:tcPr>
            <w:tcW w:w="3420" w:type="dxa"/>
            <w:tcBorders>
              <w:top w:val="single" w:color="auto" w:sz="12" w:space="0"/>
            </w:tcBorders>
            <w:vAlign w:val="center"/>
          </w:tcPr>
          <w:p w14:paraId="3792B148">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权值的取值</w:t>
            </w:r>
          </w:p>
        </w:tc>
      </w:tr>
      <w:tr w14:paraId="75E49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720" w:type="dxa"/>
            <w:vAlign w:val="center"/>
          </w:tcPr>
          <w:p w14:paraId="0A1271A7">
            <w:pPr>
              <w:adjustRightInd w:val="0"/>
              <w:snapToGrid w:val="0"/>
              <w:spacing w:line="240" w:lineRule="auto"/>
              <w:ind w:firstLine="200" w:firstLineChars="1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1</w:t>
            </w:r>
          </w:p>
        </w:tc>
        <w:tc>
          <w:tcPr>
            <w:tcW w:w="4680" w:type="dxa"/>
            <w:vAlign w:val="center"/>
          </w:tcPr>
          <w:p w14:paraId="65B08105">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商务</w:t>
            </w:r>
          </w:p>
        </w:tc>
        <w:tc>
          <w:tcPr>
            <w:tcW w:w="3420" w:type="dxa"/>
            <w:vMerge w:val="restart"/>
            <w:vAlign w:val="center"/>
          </w:tcPr>
          <w:p w14:paraId="5206BA3C">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详见评分细则</w:t>
            </w:r>
          </w:p>
        </w:tc>
      </w:tr>
      <w:tr w14:paraId="038BE1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20" w:type="dxa"/>
            <w:vAlign w:val="center"/>
          </w:tcPr>
          <w:p w14:paraId="3F69CD68">
            <w:pPr>
              <w:adjustRightInd w:val="0"/>
              <w:snapToGrid w:val="0"/>
              <w:spacing w:line="240" w:lineRule="auto"/>
              <w:ind w:firstLine="200" w:firstLineChars="1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2</w:t>
            </w:r>
          </w:p>
        </w:tc>
        <w:tc>
          <w:tcPr>
            <w:tcW w:w="4680" w:type="dxa"/>
            <w:vAlign w:val="center"/>
          </w:tcPr>
          <w:p w14:paraId="291ABFF6">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技术</w:t>
            </w:r>
          </w:p>
        </w:tc>
        <w:tc>
          <w:tcPr>
            <w:tcW w:w="3420" w:type="dxa"/>
            <w:vMerge w:val="continue"/>
            <w:vAlign w:val="center"/>
          </w:tcPr>
          <w:p w14:paraId="1E66C37C">
            <w:pPr>
              <w:adjustRightInd w:val="0"/>
              <w:snapToGrid w:val="0"/>
              <w:spacing w:line="240" w:lineRule="auto"/>
              <w:ind w:left="300" w:hanging="300"/>
              <w:jc w:val="center"/>
              <w:rPr>
                <w:rFonts w:asciiTheme="minorEastAsia" w:hAnsiTheme="minorEastAsia" w:eastAsiaTheme="minorEastAsia" w:cstheme="minorEastAsia"/>
                <w:kern w:val="0"/>
                <w:sz w:val="20"/>
                <w:szCs w:val="21"/>
              </w:rPr>
            </w:pPr>
          </w:p>
        </w:tc>
      </w:tr>
      <w:tr w14:paraId="61A7AF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720" w:type="dxa"/>
            <w:vAlign w:val="center"/>
          </w:tcPr>
          <w:p w14:paraId="02B9F3D0">
            <w:pPr>
              <w:adjustRightInd w:val="0"/>
              <w:snapToGrid w:val="0"/>
              <w:spacing w:line="240" w:lineRule="auto"/>
              <w:ind w:firstLine="200" w:firstLineChars="1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3</w:t>
            </w:r>
          </w:p>
        </w:tc>
        <w:tc>
          <w:tcPr>
            <w:tcW w:w="4680" w:type="dxa"/>
            <w:vAlign w:val="center"/>
          </w:tcPr>
          <w:p w14:paraId="1FFF9962">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价格</w:t>
            </w:r>
          </w:p>
        </w:tc>
        <w:tc>
          <w:tcPr>
            <w:tcW w:w="3420" w:type="dxa"/>
            <w:vMerge w:val="continue"/>
            <w:vAlign w:val="center"/>
          </w:tcPr>
          <w:p w14:paraId="79747B6D">
            <w:pPr>
              <w:adjustRightInd w:val="0"/>
              <w:snapToGrid w:val="0"/>
              <w:spacing w:line="240" w:lineRule="auto"/>
              <w:ind w:left="300" w:hanging="300"/>
              <w:jc w:val="center"/>
              <w:rPr>
                <w:rFonts w:asciiTheme="minorEastAsia" w:hAnsiTheme="minorEastAsia" w:eastAsiaTheme="minorEastAsia" w:cstheme="minorEastAsia"/>
                <w:kern w:val="0"/>
                <w:sz w:val="20"/>
                <w:szCs w:val="21"/>
              </w:rPr>
            </w:pPr>
          </w:p>
        </w:tc>
      </w:tr>
      <w:tr w14:paraId="6E1EE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5400" w:type="dxa"/>
            <w:gridSpan w:val="2"/>
            <w:tcBorders>
              <w:bottom w:val="single" w:color="auto" w:sz="12" w:space="0"/>
            </w:tcBorders>
            <w:vAlign w:val="center"/>
          </w:tcPr>
          <w:p w14:paraId="35BFE31D">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∑(1+2+3)=100</w:t>
            </w:r>
          </w:p>
        </w:tc>
        <w:tc>
          <w:tcPr>
            <w:tcW w:w="3420" w:type="dxa"/>
            <w:tcBorders>
              <w:bottom w:val="single" w:color="auto" w:sz="12" w:space="0"/>
            </w:tcBorders>
            <w:vAlign w:val="center"/>
          </w:tcPr>
          <w:p w14:paraId="03B9F0C5">
            <w:pPr>
              <w:adjustRightInd w:val="0"/>
              <w:snapToGrid w:val="0"/>
              <w:spacing w:line="240" w:lineRule="auto"/>
              <w:ind w:left="300" w:hanging="300"/>
              <w:jc w:val="center"/>
              <w:rPr>
                <w:rFonts w:asciiTheme="minorEastAsia" w:hAnsiTheme="minorEastAsia" w:eastAsiaTheme="minorEastAsia" w:cstheme="minorEastAsia"/>
                <w:kern w:val="0"/>
                <w:sz w:val="20"/>
                <w:szCs w:val="21"/>
              </w:rPr>
            </w:pPr>
            <w:r>
              <w:rPr>
                <w:rFonts w:hint="eastAsia" w:asciiTheme="minorEastAsia" w:hAnsiTheme="minorEastAsia" w:eastAsiaTheme="minorEastAsia" w:cstheme="minorEastAsia"/>
                <w:kern w:val="0"/>
                <w:sz w:val="20"/>
                <w:szCs w:val="21"/>
              </w:rPr>
              <w:t>100</w:t>
            </w:r>
          </w:p>
        </w:tc>
      </w:tr>
    </w:tbl>
    <w:p w14:paraId="11A98651">
      <w:pPr>
        <w:tabs>
          <w:tab w:val="left" w:pos="0"/>
        </w:tabs>
        <w:adjustRightInd w:val="0"/>
        <w:snapToGrid w:val="0"/>
        <w:spacing w:before="156" w:beforeLines="50" w:line="360" w:lineRule="auto"/>
        <w:ind w:left="316" w:hanging="316"/>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3.比较与评价</w:t>
      </w:r>
    </w:p>
    <w:p w14:paraId="225CD375">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3.1磋商小组应按照磋商文件中规定的评审方法、</w:t>
      </w:r>
      <w:r>
        <w:rPr>
          <w:rFonts w:hint="eastAsia" w:asciiTheme="minorEastAsia" w:hAnsiTheme="minorEastAsia" w:eastAsiaTheme="minorEastAsia" w:cstheme="minorEastAsia"/>
          <w:szCs w:val="21"/>
        </w:rPr>
        <w:t>标准和评标因素，</w:t>
      </w:r>
      <w:r>
        <w:rPr>
          <w:rFonts w:hint="eastAsia" w:asciiTheme="minorEastAsia" w:hAnsiTheme="minorEastAsia" w:eastAsiaTheme="minorEastAsia" w:cstheme="minorEastAsia"/>
          <w:bCs/>
          <w:szCs w:val="21"/>
        </w:rPr>
        <w:t>对</w:t>
      </w:r>
      <w:r>
        <w:rPr>
          <w:rFonts w:hint="eastAsia" w:asciiTheme="minorEastAsia" w:hAnsiTheme="minorEastAsia" w:eastAsiaTheme="minorEastAsia" w:cstheme="minorEastAsia"/>
          <w:szCs w:val="21"/>
        </w:rPr>
        <w:t>资格性检查和符合性检查</w:t>
      </w:r>
      <w:r>
        <w:rPr>
          <w:rFonts w:hint="eastAsia" w:asciiTheme="minorEastAsia" w:hAnsiTheme="minorEastAsia" w:eastAsiaTheme="minorEastAsia" w:cstheme="minorEastAsia"/>
          <w:bCs/>
          <w:szCs w:val="21"/>
        </w:rPr>
        <w:t>合格的响应文件进行评估，综合比较与评价。</w:t>
      </w:r>
    </w:p>
    <w:p w14:paraId="44CEE5C2">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3.2最终</w:t>
      </w:r>
      <w:r>
        <w:rPr>
          <w:rFonts w:hint="eastAsia" w:asciiTheme="minorEastAsia" w:hAnsiTheme="minorEastAsia" w:eastAsiaTheme="minorEastAsia" w:cstheme="minorEastAsia"/>
          <w:szCs w:val="21"/>
        </w:rPr>
        <w:t>报价评价。磋商小组以最终报价为基础，</w:t>
      </w:r>
      <w:r>
        <w:rPr>
          <w:rFonts w:hint="eastAsia" w:asciiTheme="minorEastAsia" w:hAnsiTheme="minorEastAsia" w:eastAsiaTheme="minorEastAsia" w:cstheme="minorEastAsia"/>
          <w:kern w:val="0"/>
          <w:szCs w:val="21"/>
        </w:rPr>
        <w:t>依次</w:t>
      </w:r>
      <w:r>
        <w:rPr>
          <w:rFonts w:hint="eastAsia" w:asciiTheme="minorEastAsia" w:hAnsiTheme="minorEastAsia" w:eastAsiaTheme="minorEastAsia" w:cstheme="minorEastAsia"/>
          <w:szCs w:val="21"/>
        </w:rPr>
        <w:t>对最终报价进行</w:t>
      </w:r>
      <w:r>
        <w:rPr>
          <w:rFonts w:hint="eastAsia" w:asciiTheme="minorEastAsia" w:hAnsiTheme="minorEastAsia" w:eastAsiaTheme="minorEastAsia" w:cstheme="minorEastAsia"/>
          <w:kern w:val="0"/>
          <w:szCs w:val="21"/>
        </w:rPr>
        <w:t>算术</w:t>
      </w:r>
      <w:r>
        <w:rPr>
          <w:rFonts w:hint="eastAsia" w:asciiTheme="minorEastAsia" w:hAnsiTheme="minorEastAsia" w:eastAsiaTheme="minorEastAsia" w:cstheme="minorEastAsia"/>
          <w:szCs w:val="21"/>
        </w:rPr>
        <w:t>修正和政府采购政策优惠价格扣除计算。</w:t>
      </w:r>
    </w:p>
    <w:p w14:paraId="2033884B">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3.3价格分采用低价优先法计算，即满足磋商文件要求且最终报价最低的价格为评审基准价，其价格分为满分，其他有效供应商的价格分按照下列公式计算：</w:t>
      </w:r>
    </w:p>
    <w:p w14:paraId="436D22D8">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磋商报价得分=（磋商基准价/最后磋商报价）×</w:t>
      </w:r>
      <w:r>
        <w:rPr>
          <w:rFonts w:asciiTheme="minorEastAsia" w:hAnsiTheme="minorEastAsia" w:eastAsiaTheme="minorEastAsia" w:cstheme="minorEastAsia"/>
          <w:szCs w:val="21"/>
        </w:rPr>
        <w:t>50</w:t>
      </w:r>
    </w:p>
    <w:p w14:paraId="140CAA8A">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本项所称最终报价为按本章第3.2款规定价值扣除后的最终报价。</w:t>
      </w:r>
    </w:p>
    <w:p w14:paraId="4A60F81F">
      <w:pPr>
        <w:widowControl/>
        <w:adjustRightInd w:val="0"/>
        <w:snapToGrid w:val="0"/>
        <w:spacing w:before="156" w:beforeLines="50" w:line="360" w:lineRule="auto"/>
        <w:ind w:firstLine="420" w:firstLineChars="200"/>
        <w:jc w:val="left"/>
        <w:rPr>
          <w:rFonts w:asciiTheme="minorEastAsia" w:hAnsiTheme="minorEastAsia" w:eastAsiaTheme="minorEastAsia" w:cstheme="minorEastAsia"/>
          <w:spacing w:val="-4"/>
          <w:szCs w:val="21"/>
        </w:rPr>
      </w:pPr>
      <w:r>
        <w:rPr>
          <w:rFonts w:hint="eastAsia" w:asciiTheme="minorEastAsia" w:hAnsiTheme="minorEastAsia" w:eastAsiaTheme="minorEastAsia" w:cstheme="minorEastAsia"/>
          <w:bCs/>
          <w:szCs w:val="21"/>
        </w:rPr>
        <w:t>3.4</w:t>
      </w:r>
      <w:r>
        <w:rPr>
          <w:rFonts w:hint="eastAsia" w:asciiTheme="minorEastAsia" w:hAnsiTheme="minorEastAsia" w:eastAsiaTheme="minorEastAsia" w:cstheme="minorEastAsia"/>
          <w:spacing w:val="-4"/>
          <w:szCs w:val="21"/>
        </w:rPr>
        <w:t>涉及政府采购政策优惠的，</w:t>
      </w:r>
      <w:r>
        <w:rPr>
          <w:rFonts w:hint="eastAsia" w:asciiTheme="minorEastAsia" w:hAnsiTheme="minorEastAsia" w:eastAsiaTheme="minorEastAsia" w:cstheme="minorEastAsia"/>
          <w:bCs/>
          <w:spacing w:val="-4"/>
          <w:szCs w:val="21"/>
        </w:rPr>
        <w:t>按</w:t>
      </w:r>
      <w:r>
        <w:rPr>
          <w:rFonts w:hint="eastAsia" w:asciiTheme="minorEastAsia" w:hAnsiTheme="minorEastAsia" w:eastAsiaTheme="minorEastAsia" w:cstheme="minorEastAsia"/>
          <w:b/>
          <w:spacing w:val="-4"/>
          <w:szCs w:val="21"/>
        </w:rPr>
        <w:t>磋商文件前附表</w:t>
      </w:r>
      <w:r>
        <w:rPr>
          <w:rFonts w:hint="eastAsia" w:asciiTheme="minorEastAsia" w:hAnsiTheme="minorEastAsia" w:eastAsiaTheme="minorEastAsia" w:cstheme="minorEastAsia"/>
          <w:bCs/>
          <w:spacing w:val="-4"/>
          <w:szCs w:val="21"/>
        </w:rPr>
        <w:t>规定</w:t>
      </w:r>
      <w:r>
        <w:rPr>
          <w:rFonts w:hint="eastAsia" w:asciiTheme="minorEastAsia" w:hAnsiTheme="minorEastAsia" w:eastAsiaTheme="minorEastAsia" w:cstheme="minorEastAsia"/>
          <w:spacing w:val="-4"/>
          <w:szCs w:val="21"/>
        </w:rPr>
        <w:t>调整供应商的技术、价格</w:t>
      </w:r>
      <w:r>
        <w:rPr>
          <w:rFonts w:hint="eastAsia" w:asciiTheme="minorEastAsia" w:hAnsiTheme="minorEastAsia" w:eastAsiaTheme="minorEastAsia" w:cstheme="minorEastAsia"/>
          <w:spacing w:val="-4"/>
          <w:kern w:val="0"/>
          <w:szCs w:val="21"/>
        </w:rPr>
        <w:t>得分或总得分</w:t>
      </w:r>
      <w:r>
        <w:rPr>
          <w:rFonts w:hint="eastAsia" w:asciiTheme="minorEastAsia" w:hAnsiTheme="minorEastAsia" w:eastAsiaTheme="minorEastAsia" w:cstheme="minorEastAsia"/>
          <w:spacing w:val="-4"/>
          <w:szCs w:val="21"/>
        </w:rPr>
        <w:t>。</w:t>
      </w:r>
    </w:p>
    <w:p w14:paraId="586E7149">
      <w:pPr>
        <w:adjustRightInd w:val="0"/>
        <w:snapToGrid w:val="0"/>
        <w:spacing w:before="156" w:beforeLines="50" w:line="360" w:lineRule="auto"/>
        <w:ind w:firstLine="420" w:firstLineChars="200"/>
        <w:jc w:val="left"/>
        <w:rPr>
          <w:rFonts w:ascii="宋体" w:hAnsi="宋体" w:cs="宋体"/>
          <w:kern w:val="0"/>
        </w:rPr>
      </w:pPr>
      <w:r>
        <w:rPr>
          <w:rFonts w:hint="eastAsia" w:ascii="宋体" w:hAnsi="宋体" w:cs="宋体"/>
          <w:kern w:val="0"/>
        </w:rPr>
        <w:t xml:space="preserve">3.4.1 </w:t>
      </w:r>
      <w:r>
        <w:rPr>
          <w:rFonts w:hint="eastAsia" w:ascii="宋体" w:hAnsi="宋体" w:cs="宋体"/>
        </w:rPr>
        <w:t>价格评审优惠：</w:t>
      </w:r>
    </w:p>
    <w:p w14:paraId="6AF44439">
      <w:pPr>
        <w:adjustRightInd w:val="0"/>
        <w:snapToGrid w:val="0"/>
        <w:spacing w:before="156" w:beforeLines="50" w:line="360" w:lineRule="auto"/>
        <w:ind w:firstLine="420" w:firstLineChars="200"/>
        <w:jc w:val="left"/>
        <w:rPr>
          <w:rFonts w:ascii="宋体" w:hAnsi="宋体" w:cs="宋体"/>
        </w:rPr>
      </w:pPr>
      <w:r>
        <w:rPr>
          <w:rFonts w:hint="eastAsia" w:ascii="宋体" w:hAnsi="宋体" w:cs="宋体"/>
        </w:rPr>
        <w:t>（1）供应商</w:t>
      </w:r>
      <w:r>
        <w:rPr>
          <w:rFonts w:hint="eastAsia" w:asciiTheme="minorEastAsia" w:hAnsiTheme="minorEastAsia" w:eastAsiaTheme="minorEastAsia" w:cstheme="minorEastAsia"/>
          <w:bCs/>
          <w:szCs w:val="21"/>
        </w:rPr>
        <w:t>全部为符合政策要求的中小企业，</w:t>
      </w:r>
      <w:r>
        <w:rPr>
          <w:rFonts w:hint="eastAsia" w:ascii="宋体" w:hAnsi="宋体" w:cs="宋体"/>
        </w:rPr>
        <w:t>投标价格按</w:t>
      </w:r>
      <w:r>
        <w:rPr>
          <w:rFonts w:hint="eastAsia" w:asciiTheme="minorEastAsia" w:hAnsiTheme="minorEastAsia" w:eastAsiaTheme="minorEastAsia" w:cstheme="minorEastAsia"/>
          <w:b/>
          <w:szCs w:val="21"/>
        </w:rPr>
        <w:t>磋商文件前附表</w:t>
      </w:r>
      <w:r>
        <w:rPr>
          <w:rFonts w:hint="eastAsia" w:ascii="宋体" w:hAnsi="宋体" w:cs="宋体"/>
          <w:szCs w:val="21"/>
        </w:rPr>
        <w:t>有关规定</w:t>
      </w:r>
      <w:r>
        <w:rPr>
          <w:rFonts w:hint="eastAsia" w:ascii="宋体" w:hAnsi="宋体" w:cs="宋体"/>
        </w:rPr>
        <w:t>给予一定比例的价格折扣，用扣除后的价格参与评审。</w:t>
      </w:r>
    </w:p>
    <w:p w14:paraId="6FF04EB5">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宋体" w:hAnsi="宋体" w:cs="宋体"/>
        </w:rPr>
        <w:t>（2）小型、微型企业参加联合体投标并在联合体协议中明确其在合同金额占联合体合同总金额 30%以上的，该联合体投标价格按</w:t>
      </w:r>
      <w:r>
        <w:rPr>
          <w:rFonts w:hint="eastAsia" w:ascii="宋体" w:hAnsi="宋体" w:cs="宋体"/>
          <w:szCs w:val="21"/>
        </w:rPr>
        <w:t>招标文件第四章第一节有关规定</w:t>
      </w:r>
      <w:r>
        <w:rPr>
          <w:rFonts w:hint="eastAsia" w:ascii="宋体" w:hAnsi="宋体" w:cs="宋体"/>
        </w:rPr>
        <w:t>给予一定比例的价格</w:t>
      </w:r>
      <w:r>
        <w:rPr>
          <w:rFonts w:hint="eastAsia" w:asciiTheme="minorEastAsia" w:hAnsiTheme="minorEastAsia" w:eastAsiaTheme="minorEastAsia" w:cstheme="minorEastAsia"/>
          <w:bCs/>
          <w:szCs w:val="21"/>
        </w:rPr>
        <w:t>折扣，用扣除后的价格参与评审。联合体各方均为小型、微型企业的，联合体视同为小型、微型企业；</w:t>
      </w:r>
    </w:p>
    <w:p w14:paraId="0E7C2623">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（3）监狱企业、残疾人福利性单位视同小型、微型企业，享受评审中价格扣除等促进中小企业发展的政府采购政策。</w:t>
      </w:r>
    </w:p>
    <w:p w14:paraId="2745A121">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3.4.2政府采购政策交叉与叠加</w:t>
      </w:r>
    </w:p>
    <w:p w14:paraId="6C98FA9A">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（1）供应商同时符合小型、微型企业及监狱企业、残疾人福利性单位要求的，评审时只有一种类型享受价格评审优惠政策；</w:t>
      </w:r>
    </w:p>
    <w:p w14:paraId="0436A692">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（2）供应商应按本章第3.4.3款规定提供相关证明资料（包括提供相关报价）。</w:t>
      </w:r>
    </w:p>
    <w:p w14:paraId="5E058881">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3.4.3供应商符合本章第3.4.1款规定的，应提供相关证明资料。</w:t>
      </w:r>
    </w:p>
    <w:p w14:paraId="0E76753A">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（1）中小企业：按《政府采购促进中小企业发展管理办法》（财库【2020】46号）</w:t>
      </w:r>
      <w:r>
        <w:rPr>
          <w:rFonts w:hint="eastAsia" w:asciiTheme="minorEastAsia" w:hAnsiTheme="minorEastAsia" w:eastAsiaTheme="minorEastAsia"/>
          <w:szCs w:val="21"/>
        </w:rPr>
        <w:t>、</w:t>
      </w:r>
      <w:r>
        <w:rPr>
          <w:rFonts w:hint="eastAsia" w:ascii="宋体" w:hAnsi="宋体"/>
        </w:rPr>
        <w:t>湖南省财政厅关于政府采购促进中小企业发展有关措施的通知（</w:t>
      </w:r>
      <w:r>
        <w:rPr>
          <w:rFonts w:hint="eastAsia" w:asciiTheme="minorEastAsia" w:hAnsiTheme="minorEastAsia" w:eastAsiaTheme="minorEastAsia"/>
        </w:rPr>
        <w:t>湘财购[2022]17号</w:t>
      </w:r>
      <w:r>
        <w:rPr>
          <w:rFonts w:hint="eastAsia" w:ascii="宋体" w:hAnsi="宋体"/>
        </w:rPr>
        <w:t>）</w:t>
      </w:r>
      <w:r>
        <w:rPr>
          <w:rFonts w:hint="eastAsia" w:asciiTheme="minorEastAsia" w:hAnsiTheme="minorEastAsia" w:eastAsiaTheme="minorEastAsia" w:cstheme="minorEastAsia"/>
          <w:bCs/>
          <w:szCs w:val="21"/>
        </w:rPr>
        <w:t>规定，供应商提供《小型、微型企业声明函》（格式）。</w:t>
      </w:r>
    </w:p>
    <w:p w14:paraId="6C10635C">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（2）监狱企业：按《关于政府采购支持监狱企业发展有关问题的通知》(财库〔2014〕68号)文件规定提供证明文件（复印件）。</w:t>
      </w:r>
    </w:p>
    <w:p w14:paraId="5BA1941C">
      <w:pPr>
        <w:tabs>
          <w:tab w:val="left" w:pos="0"/>
        </w:tabs>
        <w:adjustRightInd w:val="0"/>
        <w:snapToGrid w:val="0"/>
        <w:spacing w:before="156" w:beforeLines="50" w:line="360" w:lineRule="auto"/>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（4）残疾人福利性单位：按《关于促进残疾人就业政府采购政策的通知》(财库〔2017〕141号)文件规定提供《残疾人福利性单位声明函》（格式）</w:t>
      </w:r>
    </w:p>
    <w:p w14:paraId="1A7C7E8E">
      <w:pPr>
        <w:adjustRightInd w:val="0"/>
        <w:snapToGrid w:val="0"/>
        <w:spacing w:before="156" w:beforeLines="50"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3.5涉及多处获得政府采购政策优惠的，涉及调整得分的，</w:t>
      </w:r>
      <w:r>
        <w:rPr>
          <w:rFonts w:hint="eastAsia" w:asciiTheme="minorEastAsia" w:hAnsiTheme="minorEastAsia" w:eastAsiaTheme="minorEastAsia" w:cstheme="minorEastAsia"/>
          <w:kern w:val="0"/>
          <w:szCs w:val="21"/>
        </w:rPr>
        <w:t>按</w:t>
      </w:r>
      <w:r>
        <w:rPr>
          <w:rFonts w:hint="eastAsia" w:asciiTheme="minorEastAsia" w:hAnsiTheme="minorEastAsia" w:eastAsiaTheme="minorEastAsia" w:cstheme="minorEastAsia"/>
          <w:bCs/>
          <w:szCs w:val="21"/>
        </w:rPr>
        <w:t>本章第3.4</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bCs/>
          <w:szCs w:val="21"/>
        </w:rPr>
        <w:t>规定</w:t>
      </w:r>
      <w:r>
        <w:rPr>
          <w:rFonts w:hint="eastAsia" w:asciiTheme="minorEastAsia" w:hAnsiTheme="minorEastAsia" w:eastAsiaTheme="minorEastAsia" w:cstheme="minorEastAsia"/>
          <w:szCs w:val="21"/>
        </w:rPr>
        <w:t>调整得分；涉及调整价格的，</w:t>
      </w:r>
      <w:r>
        <w:rPr>
          <w:rFonts w:hint="eastAsia" w:asciiTheme="minorEastAsia" w:hAnsiTheme="minorEastAsia" w:eastAsiaTheme="minorEastAsia" w:cstheme="minorEastAsia"/>
          <w:kern w:val="0"/>
          <w:szCs w:val="21"/>
        </w:rPr>
        <w:t>按</w:t>
      </w:r>
      <w:r>
        <w:rPr>
          <w:rFonts w:hint="eastAsia" w:asciiTheme="minorEastAsia" w:hAnsiTheme="minorEastAsia" w:eastAsiaTheme="minorEastAsia" w:cstheme="minorEastAsia"/>
          <w:bCs/>
          <w:szCs w:val="21"/>
        </w:rPr>
        <w:t>本章第3.2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bCs/>
          <w:szCs w:val="21"/>
        </w:rPr>
        <w:t>规定</w:t>
      </w:r>
      <w:r>
        <w:rPr>
          <w:rFonts w:hint="eastAsia" w:asciiTheme="minorEastAsia" w:hAnsiTheme="minorEastAsia" w:eastAsiaTheme="minorEastAsia" w:cstheme="minorEastAsia"/>
          <w:szCs w:val="21"/>
        </w:rPr>
        <w:t>调整价格。综合调整见</w:t>
      </w:r>
      <w:r>
        <w:rPr>
          <w:rFonts w:hint="eastAsia" w:asciiTheme="minorEastAsia" w:hAnsiTheme="minorEastAsia" w:eastAsiaTheme="minorEastAsia" w:cstheme="minorEastAsia"/>
          <w:b/>
          <w:szCs w:val="21"/>
        </w:rPr>
        <w:t>磋商文件前附表</w:t>
      </w:r>
      <w:r>
        <w:rPr>
          <w:rFonts w:hint="eastAsia" w:asciiTheme="minorEastAsia" w:hAnsiTheme="minorEastAsia" w:eastAsiaTheme="minorEastAsia" w:cstheme="minorEastAsia"/>
          <w:szCs w:val="21"/>
        </w:rPr>
        <w:t>相关规定。</w:t>
      </w:r>
    </w:p>
    <w:p w14:paraId="6333E096">
      <w:pPr>
        <w:widowControl/>
        <w:adjustRightInd w:val="0"/>
        <w:snapToGrid w:val="0"/>
        <w:spacing w:before="156"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3.6</w:t>
      </w:r>
      <w:r>
        <w:rPr>
          <w:rFonts w:hint="eastAsia" w:asciiTheme="minorEastAsia" w:hAnsiTheme="minorEastAsia" w:eastAsiaTheme="minorEastAsia" w:cstheme="minorEastAsia"/>
          <w:szCs w:val="21"/>
        </w:rPr>
        <w:t>评审时，磋商小组各成员应当独立对每个供应商的</w:t>
      </w:r>
      <w:r>
        <w:rPr>
          <w:rFonts w:hint="eastAsia" w:asciiTheme="minorEastAsia" w:hAnsiTheme="minorEastAsia" w:eastAsiaTheme="minorEastAsia" w:cstheme="minorEastAsia"/>
          <w:bCs/>
          <w:szCs w:val="21"/>
        </w:rPr>
        <w:t>响应文件</w:t>
      </w:r>
      <w:r>
        <w:rPr>
          <w:rFonts w:hint="eastAsia" w:asciiTheme="minorEastAsia" w:hAnsiTheme="minorEastAsia" w:eastAsiaTheme="minorEastAsia" w:cstheme="minorEastAsia"/>
          <w:szCs w:val="21"/>
        </w:rPr>
        <w:t>进行评价、评分，然后汇总每个供应商项评分因素的得分。</w:t>
      </w:r>
    </w:p>
    <w:p w14:paraId="5F08E5BC">
      <w:pPr>
        <w:widowControl/>
        <w:adjustRightInd w:val="0"/>
        <w:snapToGrid w:val="0"/>
        <w:spacing w:before="156" w:beforeLines="50"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3.7评分细则</w:t>
      </w:r>
    </w:p>
    <w:p w14:paraId="6BCE4120">
      <w:pPr>
        <w:adjustRightInd w:val="0"/>
        <w:snapToGrid w:val="0"/>
        <w:spacing w:before="156" w:beforeLines="50" w:line="360" w:lineRule="auto"/>
        <w:ind w:firstLine="420" w:firstLineChars="200"/>
        <w:jc w:val="left"/>
        <w:rPr>
          <w:rFonts w:ascii="宋体" w:hAnsi="宋体"/>
          <w:bCs/>
          <w:szCs w:val="21"/>
        </w:rPr>
      </w:pPr>
    </w:p>
    <w:p w14:paraId="38520229">
      <w:pPr>
        <w:bidi w:val="0"/>
        <w:jc w:val="center"/>
        <w:outlineLvl w:val="9"/>
        <w:rPr>
          <w:rFonts w:ascii="黑体" w:hAnsi="华文中宋" w:eastAsia="黑体"/>
          <w:sz w:val="24"/>
        </w:rPr>
      </w:pPr>
      <w:r>
        <w:rPr>
          <w:rFonts w:ascii="宋体" w:hAnsi="宋体"/>
          <w:bCs/>
          <w:szCs w:val="21"/>
        </w:rPr>
        <w:br w:type="page"/>
      </w:r>
      <w:r>
        <w:rPr>
          <w:rFonts w:hint="eastAsia" w:ascii="黑体" w:hAnsi="华文中宋" w:eastAsia="黑体"/>
          <w:b/>
          <w:bCs/>
          <w:sz w:val="24"/>
        </w:rPr>
        <w:t>评分标准表</w:t>
      </w:r>
    </w:p>
    <w:tbl>
      <w:tblPr>
        <w:tblStyle w:val="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089"/>
        <w:gridCol w:w="1159"/>
        <w:gridCol w:w="682"/>
        <w:gridCol w:w="6165"/>
      </w:tblGrid>
      <w:tr w14:paraId="48F4F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blHeader/>
        </w:trPr>
        <w:tc>
          <w:tcPr>
            <w:tcW w:w="1236" w:type="pct"/>
            <w:gridSpan w:val="2"/>
            <w:vAlign w:val="center"/>
          </w:tcPr>
          <w:p w14:paraId="2514ABA8">
            <w:pPr>
              <w:bidi w:val="0"/>
              <w:spacing w:line="360" w:lineRule="auto"/>
              <w:jc w:val="center"/>
              <w:rPr>
                <w:rFonts w:hint="eastAsia" w:ascii="宋体" w:hAnsi="宋体" w:eastAsia="宋体" w:cs="宋体"/>
                <w:b/>
                <w:bCs/>
                <w:sz w:val="21"/>
                <w:szCs w:val="21"/>
              </w:rPr>
            </w:pPr>
            <w:bookmarkStart w:id="82" w:name="_Toc17538"/>
            <w:bookmarkStart w:id="83" w:name="_Toc12809"/>
            <w:bookmarkStart w:id="84" w:name="_Toc22540"/>
            <w:bookmarkStart w:id="85" w:name="_Toc6810"/>
            <w:bookmarkStart w:id="86" w:name="_Toc27253"/>
            <w:bookmarkStart w:id="87" w:name="_Toc29054"/>
            <w:r>
              <w:rPr>
                <w:rFonts w:hint="eastAsia" w:ascii="宋体" w:hAnsi="宋体" w:eastAsia="宋体" w:cs="宋体"/>
                <w:b/>
                <w:bCs/>
                <w:sz w:val="21"/>
                <w:szCs w:val="21"/>
              </w:rPr>
              <w:t>项目</w:t>
            </w:r>
          </w:p>
        </w:tc>
        <w:tc>
          <w:tcPr>
            <w:tcW w:w="375" w:type="pct"/>
            <w:vAlign w:val="center"/>
          </w:tcPr>
          <w:p w14:paraId="58C0BEFD">
            <w:pPr>
              <w:bidi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分值</w:t>
            </w:r>
          </w:p>
        </w:tc>
        <w:tc>
          <w:tcPr>
            <w:tcW w:w="3389" w:type="pct"/>
            <w:vAlign w:val="center"/>
          </w:tcPr>
          <w:p w14:paraId="6A21A4A2">
            <w:pPr>
              <w:bidi w:val="0"/>
              <w:spacing w:line="360" w:lineRule="auto"/>
              <w:jc w:val="center"/>
              <w:rPr>
                <w:rFonts w:hint="eastAsia" w:ascii="宋体" w:hAnsi="宋体" w:eastAsia="宋体" w:cs="宋体"/>
                <w:b/>
                <w:bCs/>
                <w:sz w:val="21"/>
                <w:szCs w:val="21"/>
              </w:rPr>
            </w:pPr>
            <w:r>
              <w:rPr>
                <w:rFonts w:hint="eastAsia" w:ascii="宋体" w:hAnsi="宋体" w:eastAsia="宋体" w:cs="宋体"/>
                <w:b/>
                <w:bCs/>
                <w:sz w:val="21"/>
                <w:szCs w:val="21"/>
              </w:rPr>
              <w:t>分值细则</w:t>
            </w:r>
          </w:p>
        </w:tc>
      </w:tr>
      <w:tr w14:paraId="44A8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90" w:hRule="atLeast"/>
        </w:trPr>
        <w:tc>
          <w:tcPr>
            <w:tcW w:w="1236" w:type="pct"/>
            <w:gridSpan w:val="2"/>
            <w:vAlign w:val="center"/>
          </w:tcPr>
          <w:p w14:paraId="62BBF3B7">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投标报价（50分）</w:t>
            </w:r>
          </w:p>
        </w:tc>
        <w:tc>
          <w:tcPr>
            <w:tcW w:w="375" w:type="pct"/>
            <w:vAlign w:val="center"/>
          </w:tcPr>
          <w:p w14:paraId="56E0751C">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50</w:t>
            </w:r>
          </w:p>
        </w:tc>
        <w:tc>
          <w:tcPr>
            <w:tcW w:w="3389" w:type="pct"/>
            <w:vAlign w:val="center"/>
          </w:tcPr>
          <w:p w14:paraId="2249E20D">
            <w:pPr>
              <w:bidi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报价调整：本项目专门面向中小企业采购，不再执行价格评审优惠的扶持政策。</w:t>
            </w:r>
          </w:p>
          <w:p w14:paraId="61B18DD7">
            <w:pPr>
              <w:bidi w:val="0"/>
              <w:spacing w:line="360" w:lineRule="auto"/>
              <w:rPr>
                <w:rFonts w:hint="eastAsia" w:ascii="宋体" w:hAnsi="宋体" w:eastAsia="宋体" w:cs="宋体"/>
                <w:sz w:val="21"/>
                <w:szCs w:val="21"/>
              </w:rPr>
            </w:pPr>
            <w:r>
              <w:rPr>
                <w:rFonts w:hint="eastAsia" w:ascii="宋体" w:hAnsi="宋体" w:eastAsia="宋体" w:cs="宋体"/>
                <w:sz w:val="21"/>
                <w:szCs w:val="21"/>
              </w:rPr>
              <w:t>2、以经磋商小组一致认定满足采购文件要求且最后报价最低的投标人的价格为磋商基准价，其价格分为满分50分。其他投标人的价格分统一按照下列公式计算：磋商报价得分=（磋商基准价/最后磋商报价）×50</w:t>
            </w:r>
          </w:p>
          <w:p w14:paraId="387DED26">
            <w:pPr>
              <w:bidi w:val="0"/>
              <w:spacing w:line="360" w:lineRule="auto"/>
              <w:rPr>
                <w:rFonts w:hint="eastAsia" w:ascii="宋体" w:hAnsi="宋体" w:eastAsia="宋体" w:cs="宋体"/>
                <w:sz w:val="21"/>
                <w:szCs w:val="21"/>
              </w:rPr>
            </w:pPr>
            <w:r>
              <w:rPr>
                <w:rFonts w:hint="eastAsia" w:ascii="宋体" w:hAnsi="宋体" w:eastAsia="宋体" w:cs="宋体"/>
                <w:b w:val="0"/>
                <w:bCs w:val="0"/>
                <w:color w:val="auto"/>
                <w:sz w:val="21"/>
                <w:szCs w:val="21"/>
              </w:rPr>
              <w:t>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37AF4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Pr>
        <w:tc>
          <w:tcPr>
            <w:tcW w:w="599" w:type="pct"/>
            <w:vMerge w:val="restart"/>
            <w:vAlign w:val="center"/>
          </w:tcPr>
          <w:p w14:paraId="23DBC7E1">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技术部分</w:t>
            </w:r>
          </w:p>
          <w:p w14:paraId="6CFA5B5B">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（30分）</w:t>
            </w:r>
          </w:p>
        </w:tc>
        <w:tc>
          <w:tcPr>
            <w:tcW w:w="636" w:type="pct"/>
            <w:vAlign w:val="center"/>
          </w:tcPr>
          <w:p w14:paraId="29534058">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施工方案与技术措施</w:t>
            </w:r>
          </w:p>
        </w:tc>
        <w:tc>
          <w:tcPr>
            <w:tcW w:w="375" w:type="pct"/>
            <w:vAlign w:val="center"/>
          </w:tcPr>
          <w:p w14:paraId="4A9C8FBA">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6089" w:type="dxa"/>
            <w:vAlign w:val="center"/>
          </w:tcPr>
          <w:p w14:paraId="26610802">
            <w:pPr>
              <w:bidi w:val="0"/>
              <w:spacing w:line="360" w:lineRule="auto"/>
              <w:rPr>
                <w:rFonts w:hint="eastAsia" w:ascii="宋体" w:hAnsi="宋体" w:eastAsia="宋体" w:cs="宋体"/>
                <w:sz w:val="21"/>
                <w:szCs w:val="21"/>
              </w:rPr>
            </w:pPr>
            <w:r>
              <w:rPr>
                <w:rFonts w:hint="eastAsia" w:ascii="宋体" w:hAnsi="宋体" w:eastAsia="宋体" w:cs="宋体"/>
                <w:sz w:val="21"/>
                <w:szCs w:val="21"/>
              </w:rPr>
              <w:t>根据供应商提供针对本项目特点的施工方案(包括但不限于总体概况表述，项目主要及关键方案、施工顺序、施工工艺、作业方法、作业流程、操作要领阐述、工程进度计划与保证措施等)的完整性、详细程度、专业性、合理性、针对性、可行程度进行综合评定:</w:t>
            </w:r>
          </w:p>
          <w:p w14:paraId="59742A3B">
            <w:pPr>
              <w:bidi w:val="0"/>
              <w:spacing w:line="360" w:lineRule="auto"/>
              <w:rPr>
                <w:rFonts w:hint="eastAsia" w:ascii="宋体" w:hAnsi="宋体" w:eastAsia="宋体" w:cs="宋体"/>
                <w:sz w:val="21"/>
                <w:szCs w:val="21"/>
              </w:rPr>
            </w:pPr>
            <w:r>
              <w:rPr>
                <w:rFonts w:hint="eastAsia" w:ascii="宋体" w:hAnsi="宋体" w:eastAsia="宋体" w:cs="宋体"/>
                <w:sz w:val="21"/>
                <w:szCs w:val="21"/>
              </w:rPr>
              <w:t>对项目总体概况表述全面、清晰、完整、准确，图文并茂；部署及措施先进、可靠；对项目主要及关键方案有深入的表述，对重点、难点分析透彻，解决方案切实可行；施工平面布置有针对性、合理，较好满足施工需要，符合安全、文明生产要求、提出的总工期及节点工期进度计划符合采购人工期要求、完全满足本项目要求的计10分，每有一项遗漏缺失或可行性不高的扣2分，扣完为止，无方案的不计分。</w:t>
            </w:r>
          </w:p>
        </w:tc>
      </w:tr>
      <w:tr w14:paraId="33BD7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Pr>
        <w:tc>
          <w:tcPr>
            <w:tcW w:w="599" w:type="pct"/>
            <w:vMerge w:val="continue"/>
            <w:vAlign w:val="center"/>
          </w:tcPr>
          <w:p w14:paraId="43A06073">
            <w:pPr>
              <w:bidi w:val="0"/>
              <w:spacing w:line="360" w:lineRule="auto"/>
              <w:jc w:val="center"/>
              <w:rPr>
                <w:rFonts w:hint="eastAsia" w:ascii="宋体" w:hAnsi="宋体" w:eastAsia="宋体" w:cs="宋体"/>
                <w:sz w:val="21"/>
                <w:szCs w:val="21"/>
              </w:rPr>
            </w:pPr>
          </w:p>
        </w:tc>
        <w:tc>
          <w:tcPr>
            <w:tcW w:w="636" w:type="pct"/>
            <w:vAlign w:val="center"/>
          </w:tcPr>
          <w:p w14:paraId="16CE9BE9">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质量管理体系与措施</w:t>
            </w:r>
          </w:p>
        </w:tc>
        <w:tc>
          <w:tcPr>
            <w:tcW w:w="375" w:type="pct"/>
            <w:vAlign w:val="center"/>
          </w:tcPr>
          <w:p w14:paraId="231A0356">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6089" w:type="dxa"/>
            <w:vAlign w:val="center"/>
          </w:tcPr>
          <w:p w14:paraId="346C643D">
            <w:pPr>
              <w:bidi w:val="0"/>
              <w:spacing w:line="360" w:lineRule="auto"/>
              <w:rPr>
                <w:rFonts w:hint="eastAsia" w:ascii="宋体" w:hAnsi="宋体" w:eastAsia="宋体" w:cs="宋体"/>
                <w:sz w:val="21"/>
                <w:szCs w:val="21"/>
              </w:rPr>
            </w:pPr>
            <w:r>
              <w:rPr>
                <w:rFonts w:hint="eastAsia" w:ascii="宋体" w:hAnsi="宋体" w:eastAsia="宋体" w:cs="宋体"/>
                <w:sz w:val="21"/>
                <w:szCs w:val="21"/>
              </w:rPr>
              <w:t>根据供应商针对本项目特点制定的质量保证管理体系与措施的严密性、合理性、完善性、针对性等因素综合评定：</w:t>
            </w:r>
          </w:p>
          <w:p w14:paraId="51518456">
            <w:pPr>
              <w:bidi w:val="0"/>
              <w:spacing w:line="360" w:lineRule="auto"/>
              <w:rPr>
                <w:rFonts w:hint="eastAsia" w:ascii="宋体" w:hAnsi="宋体" w:eastAsia="宋体" w:cs="宋体"/>
                <w:sz w:val="21"/>
                <w:szCs w:val="21"/>
              </w:rPr>
            </w:pPr>
            <w:r>
              <w:rPr>
                <w:rFonts w:hint="eastAsia" w:ascii="宋体" w:hAnsi="宋体" w:eastAsia="宋体" w:cs="宋体"/>
                <w:sz w:val="21"/>
                <w:szCs w:val="21"/>
              </w:rPr>
              <w:t>方案针对性突出、体系严密、质量目标明确，管理机构健全，职责分工明确；管理制度完整；实施与监控措施全面、有效，措施得体完全符合本项目情况的计5分，每有一项遗漏缺失或可行性不高的扣1分，扣完为止，无方案的不计分。</w:t>
            </w:r>
          </w:p>
        </w:tc>
      </w:tr>
      <w:tr w14:paraId="24B6D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542" w:hRule="atLeast"/>
        </w:trPr>
        <w:tc>
          <w:tcPr>
            <w:tcW w:w="599" w:type="pct"/>
            <w:vMerge w:val="continue"/>
            <w:vAlign w:val="center"/>
          </w:tcPr>
          <w:p w14:paraId="6A63382D">
            <w:pPr>
              <w:bidi w:val="0"/>
              <w:spacing w:line="360" w:lineRule="auto"/>
              <w:jc w:val="center"/>
              <w:rPr>
                <w:rFonts w:hint="eastAsia" w:ascii="宋体" w:hAnsi="宋体" w:eastAsia="宋体" w:cs="宋体"/>
                <w:sz w:val="21"/>
                <w:szCs w:val="21"/>
              </w:rPr>
            </w:pPr>
          </w:p>
        </w:tc>
        <w:tc>
          <w:tcPr>
            <w:tcW w:w="636" w:type="pct"/>
            <w:vAlign w:val="center"/>
          </w:tcPr>
          <w:p w14:paraId="0E1BFA4C">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安全管理体系与措施</w:t>
            </w:r>
          </w:p>
        </w:tc>
        <w:tc>
          <w:tcPr>
            <w:tcW w:w="375" w:type="pct"/>
            <w:vAlign w:val="center"/>
          </w:tcPr>
          <w:p w14:paraId="634EB045">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6089" w:type="dxa"/>
            <w:vAlign w:val="center"/>
          </w:tcPr>
          <w:p w14:paraId="454CE5D5">
            <w:pPr>
              <w:bidi w:val="0"/>
              <w:spacing w:line="360" w:lineRule="auto"/>
              <w:rPr>
                <w:rFonts w:hint="eastAsia" w:ascii="宋体" w:hAnsi="宋体" w:eastAsia="宋体" w:cs="宋体"/>
                <w:sz w:val="21"/>
                <w:szCs w:val="21"/>
              </w:rPr>
            </w:pPr>
            <w:r>
              <w:rPr>
                <w:rFonts w:hint="eastAsia" w:ascii="宋体" w:hAnsi="宋体" w:eastAsia="宋体" w:cs="宋体"/>
                <w:sz w:val="21"/>
                <w:szCs w:val="21"/>
              </w:rPr>
              <w:t>根据供应商针对本项目的安全管理体系与措施的严密性、合理性、完善性、针对性等因素综合评定：</w:t>
            </w:r>
          </w:p>
          <w:p w14:paraId="78BE3F67">
            <w:pPr>
              <w:bidi w:val="0"/>
              <w:spacing w:line="360" w:lineRule="auto"/>
              <w:rPr>
                <w:rFonts w:hint="eastAsia" w:ascii="宋体" w:hAnsi="宋体" w:eastAsia="宋体" w:cs="宋体"/>
                <w:sz w:val="21"/>
                <w:szCs w:val="21"/>
              </w:rPr>
            </w:pPr>
            <w:r>
              <w:rPr>
                <w:rFonts w:hint="eastAsia" w:ascii="宋体" w:hAnsi="宋体" w:eastAsia="宋体" w:cs="宋体"/>
                <w:sz w:val="21"/>
                <w:szCs w:val="21"/>
              </w:rPr>
              <w:t>安全目标明确，管理机构健全，职责分工明确；管理制度齐全；实施与监控措施全面、有效、针对可能出现的风险采取预防和应急处置措施得力，方案针对性突出、体系严密、措施得体完全符合本项目情况的计5分，每有一项遗漏缺失或可行性不高的扣1分，扣完为止，无方案的不计分。</w:t>
            </w:r>
          </w:p>
        </w:tc>
      </w:tr>
      <w:tr w14:paraId="285E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90" w:hRule="atLeast"/>
        </w:trPr>
        <w:tc>
          <w:tcPr>
            <w:tcW w:w="599" w:type="pct"/>
            <w:vMerge w:val="continue"/>
            <w:vAlign w:val="center"/>
          </w:tcPr>
          <w:p w14:paraId="3B634997">
            <w:pPr>
              <w:bidi w:val="0"/>
              <w:spacing w:line="360" w:lineRule="auto"/>
              <w:jc w:val="center"/>
              <w:rPr>
                <w:rFonts w:hint="eastAsia" w:ascii="宋体" w:hAnsi="宋体" w:eastAsia="宋体" w:cs="宋体"/>
                <w:sz w:val="21"/>
                <w:szCs w:val="21"/>
              </w:rPr>
            </w:pPr>
          </w:p>
        </w:tc>
        <w:tc>
          <w:tcPr>
            <w:tcW w:w="636" w:type="pct"/>
            <w:vAlign w:val="center"/>
          </w:tcPr>
          <w:p w14:paraId="3251AB01">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环境保护体系与措施</w:t>
            </w:r>
          </w:p>
        </w:tc>
        <w:tc>
          <w:tcPr>
            <w:tcW w:w="375" w:type="pct"/>
            <w:vAlign w:val="center"/>
          </w:tcPr>
          <w:p w14:paraId="643EDD4B">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6089" w:type="dxa"/>
            <w:vAlign w:val="center"/>
          </w:tcPr>
          <w:p w14:paraId="08E4E6CB">
            <w:pPr>
              <w:bidi w:val="0"/>
              <w:spacing w:line="360" w:lineRule="auto"/>
              <w:rPr>
                <w:rFonts w:hint="eastAsia" w:ascii="宋体" w:hAnsi="宋体" w:eastAsia="宋体" w:cs="宋体"/>
                <w:sz w:val="21"/>
                <w:szCs w:val="21"/>
              </w:rPr>
            </w:pPr>
            <w:r>
              <w:rPr>
                <w:rFonts w:hint="eastAsia" w:ascii="宋体" w:hAnsi="宋体" w:eastAsia="宋体" w:cs="宋体"/>
                <w:sz w:val="21"/>
                <w:szCs w:val="21"/>
              </w:rPr>
              <w:t>根据供应商提供的环境保护体系与措施，结合本项目实际情况，提供的项目现场情况分析符合实际，噪音控制、污水控制、扬尘控制，材料堆放等表述全面且方案完善、环境管理目标明确，管理机构健全，职责分工明确；管理制度齐全；实施与监控措施全面、有效，方案整体针对性强，且具有可行性的计6分，每有一项遗漏缺失或可行性不高的扣1分，扣完为止，无方案的不计分。</w:t>
            </w:r>
          </w:p>
        </w:tc>
      </w:tr>
      <w:tr w14:paraId="3565D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401" w:hRule="atLeast"/>
        </w:trPr>
        <w:tc>
          <w:tcPr>
            <w:tcW w:w="599" w:type="pct"/>
            <w:vMerge w:val="continue"/>
            <w:vAlign w:val="center"/>
          </w:tcPr>
          <w:p w14:paraId="005A4277">
            <w:pPr>
              <w:bidi w:val="0"/>
              <w:spacing w:line="360" w:lineRule="auto"/>
              <w:jc w:val="center"/>
              <w:rPr>
                <w:rFonts w:hint="eastAsia" w:ascii="宋体" w:hAnsi="宋体" w:eastAsia="宋体" w:cs="宋体"/>
                <w:sz w:val="21"/>
                <w:szCs w:val="21"/>
              </w:rPr>
            </w:pPr>
          </w:p>
        </w:tc>
        <w:tc>
          <w:tcPr>
            <w:tcW w:w="636" w:type="pct"/>
            <w:vAlign w:val="center"/>
          </w:tcPr>
          <w:p w14:paraId="68CDF8ED">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资源配备计划</w:t>
            </w:r>
          </w:p>
        </w:tc>
        <w:tc>
          <w:tcPr>
            <w:tcW w:w="375" w:type="pct"/>
            <w:vAlign w:val="center"/>
          </w:tcPr>
          <w:p w14:paraId="4E0472C2">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6089" w:type="dxa"/>
            <w:vAlign w:val="center"/>
          </w:tcPr>
          <w:p w14:paraId="64DEA69F">
            <w:pPr>
              <w:bidi w:val="0"/>
              <w:spacing w:line="360" w:lineRule="auto"/>
              <w:rPr>
                <w:rFonts w:hint="eastAsia" w:ascii="宋体" w:hAnsi="宋体" w:eastAsia="宋体" w:cs="宋体"/>
                <w:sz w:val="21"/>
                <w:szCs w:val="21"/>
              </w:rPr>
            </w:pPr>
            <w:r>
              <w:rPr>
                <w:rFonts w:hint="eastAsia" w:ascii="宋体" w:hAnsi="宋体" w:eastAsia="宋体" w:cs="宋体"/>
                <w:sz w:val="21"/>
                <w:szCs w:val="21"/>
              </w:rPr>
              <w:t>依据项目实地情况,拟投入本项目的机械设备及管理措施、主要人员的专业、经验、职称等综合评定：资源投入计划与施工部署、施工方法及进度计划呼应，满足施工需要，调配投入计划方案完善、措施合理，且具有可行性的计4分，每有一项遗漏缺失或可行性不高的扣1分，扣完为止，无方案的不计分。</w:t>
            </w:r>
          </w:p>
        </w:tc>
      </w:tr>
      <w:tr w14:paraId="0A93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987" w:hRule="atLeast"/>
        </w:trPr>
        <w:tc>
          <w:tcPr>
            <w:tcW w:w="599" w:type="pct"/>
            <w:vMerge w:val="restart"/>
            <w:vAlign w:val="center"/>
          </w:tcPr>
          <w:p w14:paraId="2C821916">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商务部分（20分）</w:t>
            </w:r>
          </w:p>
        </w:tc>
        <w:tc>
          <w:tcPr>
            <w:tcW w:w="636" w:type="pct"/>
            <w:vAlign w:val="center"/>
          </w:tcPr>
          <w:p w14:paraId="5FF69AE6">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类似业绩</w:t>
            </w:r>
          </w:p>
        </w:tc>
        <w:tc>
          <w:tcPr>
            <w:tcW w:w="375" w:type="pct"/>
            <w:vAlign w:val="center"/>
          </w:tcPr>
          <w:p w14:paraId="7D10FA5F">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12</w:t>
            </w:r>
          </w:p>
        </w:tc>
        <w:tc>
          <w:tcPr>
            <w:tcW w:w="3389" w:type="pct"/>
            <w:vAlign w:val="center"/>
          </w:tcPr>
          <w:p w14:paraId="644838B1">
            <w:pPr>
              <w:bidi w:val="0"/>
              <w:spacing w:line="360" w:lineRule="auto"/>
              <w:rPr>
                <w:rFonts w:hint="eastAsia" w:ascii="宋体" w:hAnsi="宋体" w:eastAsia="宋体" w:cs="宋体"/>
                <w:sz w:val="21"/>
                <w:szCs w:val="21"/>
              </w:rPr>
            </w:pPr>
            <w:r>
              <w:rPr>
                <w:rFonts w:hint="eastAsia" w:ascii="宋体" w:hAnsi="宋体" w:eastAsia="宋体" w:cs="宋体"/>
                <w:sz w:val="21"/>
                <w:szCs w:val="21"/>
              </w:rPr>
              <w:t>供应商自2022年1</w:t>
            </w:r>
            <w:r>
              <w:rPr>
                <w:rFonts w:hint="eastAsia" w:ascii="宋体" w:hAnsi="宋体" w:cs="宋体"/>
                <w:sz w:val="21"/>
                <w:szCs w:val="21"/>
                <w:lang w:val="en-US" w:eastAsia="zh-CN"/>
              </w:rPr>
              <w:t>1</w:t>
            </w:r>
            <w:r>
              <w:rPr>
                <w:rFonts w:hint="eastAsia" w:ascii="宋体" w:hAnsi="宋体" w:eastAsia="宋体" w:cs="宋体"/>
                <w:sz w:val="21"/>
                <w:szCs w:val="21"/>
              </w:rPr>
              <w:t>月1日至投标截止时间止，具备同类（</w:t>
            </w:r>
            <w:r>
              <w:rPr>
                <w:rFonts w:hint="eastAsia" w:ascii="宋体" w:hAnsi="宋体" w:cs="宋体"/>
                <w:sz w:val="21"/>
                <w:szCs w:val="21"/>
                <w:lang w:val="en-US" w:eastAsia="zh-CN"/>
              </w:rPr>
              <w:t>建筑工程</w:t>
            </w:r>
            <w:r>
              <w:rPr>
                <w:rFonts w:hint="eastAsia" w:ascii="宋体" w:hAnsi="宋体" w:eastAsia="宋体" w:cs="宋体"/>
                <w:sz w:val="21"/>
                <w:szCs w:val="21"/>
              </w:rPr>
              <w:t>）项目业绩的，每提供一个计3分，最多计12分。</w:t>
            </w:r>
          </w:p>
          <w:p w14:paraId="33B38514">
            <w:pPr>
              <w:bidi w:val="0"/>
              <w:spacing w:line="360" w:lineRule="auto"/>
              <w:rPr>
                <w:rFonts w:hint="eastAsia" w:ascii="宋体" w:hAnsi="宋体" w:eastAsia="宋体" w:cs="宋体"/>
                <w:sz w:val="21"/>
                <w:szCs w:val="21"/>
              </w:rPr>
            </w:pPr>
            <w:r>
              <w:rPr>
                <w:rFonts w:hint="eastAsia" w:ascii="宋体" w:hAnsi="宋体" w:eastAsia="宋体" w:cs="宋体"/>
                <w:sz w:val="21"/>
                <w:szCs w:val="21"/>
              </w:rPr>
              <w:t>以项目合同签订时间为准，须提供施工合同复印件，否则不计分。</w:t>
            </w:r>
          </w:p>
        </w:tc>
      </w:tr>
      <w:tr w14:paraId="1F27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987" w:hRule="atLeast"/>
        </w:trPr>
        <w:tc>
          <w:tcPr>
            <w:tcW w:w="599" w:type="pct"/>
            <w:vMerge w:val="continue"/>
            <w:vAlign w:val="center"/>
          </w:tcPr>
          <w:p w14:paraId="03F2345D">
            <w:pPr>
              <w:bidi w:val="0"/>
              <w:spacing w:line="360" w:lineRule="auto"/>
              <w:jc w:val="center"/>
              <w:rPr>
                <w:rFonts w:hint="eastAsia" w:ascii="宋体" w:hAnsi="宋体" w:eastAsia="宋体" w:cs="宋体"/>
                <w:sz w:val="21"/>
                <w:szCs w:val="21"/>
              </w:rPr>
            </w:pPr>
          </w:p>
        </w:tc>
        <w:tc>
          <w:tcPr>
            <w:tcW w:w="636" w:type="pct"/>
            <w:vAlign w:val="center"/>
          </w:tcPr>
          <w:p w14:paraId="75B85E8B">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售后服务</w:t>
            </w:r>
          </w:p>
        </w:tc>
        <w:tc>
          <w:tcPr>
            <w:tcW w:w="375" w:type="pct"/>
            <w:vAlign w:val="center"/>
          </w:tcPr>
          <w:p w14:paraId="03D450EC">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3389" w:type="pct"/>
            <w:vAlign w:val="center"/>
          </w:tcPr>
          <w:p w14:paraId="582FBC48">
            <w:pPr>
              <w:bidi w:val="0"/>
              <w:spacing w:line="360" w:lineRule="auto"/>
              <w:rPr>
                <w:rFonts w:hint="eastAsia" w:ascii="宋体" w:hAnsi="宋体" w:eastAsia="宋体" w:cs="宋体"/>
                <w:sz w:val="21"/>
                <w:szCs w:val="21"/>
              </w:rPr>
            </w:pPr>
            <w:r>
              <w:rPr>
                <w:rFonts w:hint="eastAsia" w:ascii="宋体" w:hAnsi="宋体" w:eastAsia="宋体" w:cs="宋体"/>
                <w:sz w:val="21"/>
                <w:szCs w:val="21"/>
              </w:rPr>
              <w:t>针对本项目提供详细、合理、具体的售后服务方案计划，在满足本项目基础条件的前提下，对规定质保期内有令采购单位满意的优质售后服务承诺，售后服务承诺方案全面完善、具体、可行性强的计4分，每有一项遗漏缺失或可行性不高的扣1分，扣完为止，无方案的不计分。</w:t>
            </w:r>
          </w:p>
        </w:tc>
      </w:tr>
      <w:tr w14:paraId="393C4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Height w:val="261" w:hRule="atLeast"/>
        </w:trPr>
        <w:tc>
          <w:tcPr>
            <w:tcW w:w="599" w:type="pct"/>
            <w:vMerge w:val="continue"/>
            <w:vAlign w:val="center"/>
          </w:tcPr>
          <w:p w14:paraId="4D82DA9B">
            <w:pPr>
              <w:bidi w:val="0"/>
              <w:spacing w:line="360" w:lineRule="auto"/>
              <w:jc w:val="center"/>
              <w:rPr>
                <w:rFonts w:hint="eastAsia" w:ascii="宋体" w:hAnsi="宋体" w:eastAsia="宋体" w:cs="宋体"/>
                <w:sz w:val="21"/>
                <w:szCs w:val="21"/>
              </w:rPr>
            </w:pPr>
          </w:p>
        </w:tc>
        <w:tc>
          <w:tcPr>
            <w:tcW w:w="636" w:type="pct"/>
            <w:vAlign w:val="center"/>
          </w:tcPr>
          <w:p w14:paraId="6B3FDA26">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无不良行为</w:t>
            </w:r>
          </w:p>
        </w:tc>
        <w:tc>
          <w:tcPr>
            <w:tcW w:w="375" w:type="pct"/>
            <w:vAlign w:val="center"/>
          </w:tcPr>
          <w:p w14:paraId="224C3DC1">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3389" w:type="pct"/>
            <w:vAlign w:val="center"/>
          </w:tcPr>
          <w:p w14:paraId="4226A66A">
            <w:pPr>
              <w:bidi w:val="0"/>
              <w:spacing w:line="360" w:lineRule="auto"/>
              <w:rPr>
                <w:rFonts w:hint="eastAsia" w:ascii="宋体" w:hAnsi="宋体" w:eastAsia="宋体" w:cs="宋体"/>
                <w:sz w:val="21"/>
                <w:szCs w:val="21"/>
              </w:rPr>
            </w:pPr>
            <w:r>
              <w:rPr>
                <w:rFonts w:hint="eastAsia" w:ascii="宋体" w:hAnsi="宋体" w:eastAsia="宋体" w:cs="宋体"/>
                <w:sz w:val="21"/>
                <w:szCs w:val="21"/>
              </w:rPr>
              <w:t>根据供应商及拟任项目负责人近三年以来的不良行为记录情况，供应商应在响应文件中如实反映其单位及拟任项目负责人2021年以来的不良行为记录，无不良行为记录的计4分，发生一次不良行为记录该项不计分。</w:t>
            </w:r>
          </w:p>
          <w:p w14:paraId="67267452">
            <w:pPr>
              <w:bidi w:val="0"/>
              <w:spacing w:line="360" w:lineRule="auto"/>
              <w:rPr>
                <w:rFonts w:hint="eastAsia" w:ascii="宋体" w:hAnsi="宋体" w:eastAsia="宋体" w:cs="宋体"/>
                <w:sz w:val="21"/>
                <w:szCs w:val="21"/>
              </w:rPr>
            </w:pPr>
            <w:r>
              <w:rPr>
                <w:rFonts w:hint="eastAsia" w:ascii="宋体" w:hAnsi="宋体" w:eastAsia="宋体" w:cs="宋体"/>
                <w:sz w:val="21"/>
                <w:szCs w:val="21"/>
              </w:rPr>
              <w:t>注：须提供官网查询结果或无不良行为记录承诺函。以省级及以上建设行政主管部门公布的不良行为记录为准。一旦发现弄虚作假，取消投标资格或成交资格。</w:t>
            </w:r>
          </w:p>
        </w:tc>
      </w:tr>
      <w:tr w14:paraId="01580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36" w:type="pct"/>
            <w:gridSpan w:val="2"/>
            <w:vAlign w:val="center"/>
          </w:tcPr>
          <w:p w14:paraId="4DF41002">
            <w:pPr>
              <w:bidi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375" w:type="pct"/>
            <w:vAlign w:val="center"/>
          </w:tcPr>
          <w:p w14:paraId="543F39F9">
            <w:pPr>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100</w:t>
            </w:r>
          </w:p>
        </w:tc>
        <w:tc>
          <w:tcPr>
            <w:tcW w:w="3389" w:type="pct"/>
            <w:vAlign w:val="center"/>
          </w:tcPr>
          <w:p w14:paraId="19277E48">
            <w:pPr>
              <w:bidi w:val="0"/>
              <w:spacing w:line="360" w:lineRule="auto"/>
              <w:rPr>
                <w:rFonts w:hint="eastAsia" w:ascii="宋体" w:hAnsi="宋体" w:eastAsia="宋体" w:cs="宋体"/>
                <w:sz w:val="21"/>
                <w:szCs w:val="21"/>
              </w:rPr>
            </w:pPr>
          </w:p>
        </w:tc>
      </w:tr>
      <w:tr w14:paraId="3BCEC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cantSplit/>
        </w:trPr>
        <w:tc>
          <w:tcPr>
            <w:tcW w:w="5000" w:type="pct"/>
            <w:gridSpan w:val="4"/>
            <w:vAlign w:val="center"/>
          </w:tcPr>
          <w:p w14:paraId="221975BD">
            <w:pPr>
              <w:bidi w:val="0"/>
              <w:spacing w:line="360" w:lineRule="auto"/>
              <w:rPr>
                <w:rFonts w:hint="eastAsia" w:ascii="宋体" w:hAnsi="宋体" w:eastAsia="宋体" w:cs="宋体"/>
                <w:sz w:val="21"/>
                <w:szCs w:val="21"/>
              </w:rPr>
            </w:pPr>
            <w:r>
              <w:rPr>
                <w:rFonts w:hint="eastAsia" w:ascii="宋体" w:hAnsi="宋体" w:eastAsia="宋体" w:cs="宋体"/>
                <w:sz w:val="21"/>
                <w:szCs w:val="21"/>
              </w:rPr>
              <w:t>说明：</w:t>
            </w:r>
          </w:p>
          <w:p w14:paraId="28D9B85A">
            <w:pPr>
              <w:bidi w:val="0"/>
              <w:spacing w:line="360" w:lineRule="auto"/>
              <w:rPr>
                <w:rFonts w:hint="eastAsia" w:ascii="宋体" w:hAnsi="宋体" w:eastAsia="宋体" w:cs="宋体"/>
                <w:sz w:val="21"/>
                <w:szCs w:val="21"/>
              </w:rPr>
            </w:pPr>
            <w:r>
              <w:rPr>
                <w:rFonts w:hint="eastAsia" w:ascii="宋体" w:hAnsi="宋体" w:eastAsia="宋体" w:cs="宋体"/>
                <w:sz w:val="21"/>
                <w:szCs w:val="21"/>
              </w:rPr>
              <w:t>1、评分依据评标标准，对照响应文件进行。评标标准涉及要求提供复印件的，响应文件中须附相关证书和证明文件的复印件并加盖单位公章，否则相应计分项不予计分。评标标准或资格条件中涉及要求递交原件备查的，供应商须在投标截止时间前将要求提供的原件单独密封包装（外包装上注明供应商名称和证件明细）与投标文件一起递交，否则相应计分项不予计分。</w:t>
            </w:r>
          </w:p>
          <w:p w14:paraId="6D9A58D7">
            <w:pPr>
              <w:bidi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2、磋商小组认为供应商的报价明显低于其他供应商报价，使得其投标报价可能低于本招标项目成本价的，有可能影响项目质量或不能诚信履约的，给采购人带来严重风险的，供应商应按磋商小组要求作出书面说明并提供相关证明材料，不做说明、不能合理说明或不能提供相关证明材料或拒绝说明的，将被认定为恶意低价竞标并作无效投标处理。</w:t>
            </w:r>
          </w:p>
          <w:p w14:paraId="16B0A1F7">
            <w:pPr>
              <w:bidi w:val="0"/>
              <w:spacing w:line="360" w:lineRule="auto"/>
              <w:rPr>
                <w:rFonts w:hint="eastAsia" w:ascii="宋体" w:hAnsi="宋体" w:eastAsia="宋体" w:cs="宋体"/>
                <w:sz w:val="21"/>
                <w:szCs w:val="21"/>
              </w:rPr>
            </w:pPr>
            <w:r>
              <w:rPr>
                <w:rFonts w:hint="eastAsia" w:ascii="宋体" w:hAnsi="宋体" w:eastAsia="宋体" w:cs="宋体"/>
                <w:sz w:val="21"/>
                <w:szCs w:val="21"/>
              </w:rPr>
              <w:t>3、评分所指缺陷为：有标题无实质性描述、非专门针对本项目或不适用项目特性的情形、内容不完整或缺少关键节点、套用其他项目方案、内容前后矛盾、涉及的规范及标准错误、不利于项目实施、不可能实现的情形等任意一种情形。</w:t>
            </w:r>
          </w:p>
        </w:tc>
      </w:tr>
    </w:tbl>
    <w:p w14:paraId="3377A558">
      <w:pPr>
        <w:ind w:hanging="315"/>
      </w:pPr>
    </w:p>
    <w:p w14:paraId="05A021E9">
      <w:pPr>
        <w:numPr>
          <w:ilvl w:val="0"/>
          <w:numId w:val="1"/>
        </w:numPr>
        <w:adjustRightInd w:val="0"/>
        <w:snapToGrid w:val="0"/>
        <w:spacing w:before="156" w:beforeLines="50" w:line="440" w:lineRule="exact"/>
        <w:ind w:left="316" w:hanging="316"/>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rPr>
        <w:t>推荐成交候选人名单</w:t>
      </w:r>
    </w:p>
    <w:p w14:paraId="0942EC8F">
      <w:pPr>
        <w:adjustRightInd w:val="0"/>
        <w:snapToGrid w:val="0"/>
        <w:spacing w:before="156" w:beforeLines="50" w:line="440" w:lineRule="exact"/>
        <w:ind w:firstLine="420" w:firstLineChars="200"/>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szCs w:val="21"/>
        </w:rPr>
        <w:t>4.1按评审后得分由高到低顺序排列。得分相同的，按最终报价由低到高顺序排列。得分且最终报价相同的，按技术指标优劣顺序排列。</w:t>
      </w:r>
    </w:p>
    <w:p w14:paraId="0ABEAFE9">
      <w:pPr>
        <w:ind w:hanging="315"/>
      </w:pPr>
      <w:r>
        <w:rPr>
          <w:rFonts w:hint="eastAsia"/>
        </w:rPr>
        <w:br w:type="page"/>
      </w:r>
    </w:p>
    <w:p w14:paraId="47804B63">
      <w:pPr>
        <w:pStyle w:val="3"/>
        <w:ind w:left="482" w:hanging="482"/>
      </w:pPr>
      <w:bookmarkStart w:id="88" w:name="_Toc31165"/>
      <w:r>
        <w:rPr>
          <w:rFonts w:hint="eastAsia"/>
        </w:rPr>
        <w:t>第四章 政府采购合同</w:t>
      </w:r>
      <w:bookmarkEnd w:id="82"/>
      <w:bookmarkEnd w:id="83"/>
      <w:bookmarkEnd w:id="84"/>
      <w:bookmarkEnd w:id="85"/>
      <w:bookmarkEnd w:id="86"/>
      <w:bookmarkEnd w:id="87"/>
      <w:r>
        <w:rPr>
          <w:rFonts w:hint="eastAsia"/>
        </w:rPr>
        <w:t>格式</w:t>
      </w:r>
      <w:bookmarkEnd w:id="88"/>
    </w:p>
    <w:p w14:paraId="408F171C">
      <w:pPr>
        <w:spacing w:line="500" w:lineRule="exact"/>
        <w:ind w:left="843" w:hanging="843"/>
        <w:jc w:val="center"/>
        <w:rPr>
          <w:rFonts w:eastAsia="方正小标宋简体"/>
          <w:b/>
          <w:spacing w:val="20"/>
          <w:sz w:val="52"/>
          <w:szCs w:val="52"/>
        </w:rPr>
      </w:pPr>
      <w:bookmarkStart w:id="89" w:name="_Toc10693"/>
      <w:bookmarkStart w:id="90" w:name="_Toc27247"/>
      <w:bookmarkStart w:id="91" w:name="_Toc28848"/>
      <w:bookmarkStart w:id="92" w:name="_Toc30309"/>
      <w:bookmarkStart w:id="93" w:name="_Toc539"/>
      <w:bookmarkStart w:id="94" w:name="_Toc2181"/>
    </w:p>
    <w:p w14:paraId="0FC679C3">
      <w:pPr>
        <w:ind w:left="452" w:hanging="452"/>
        <w:rPr>
          <w:rFonts w:ascii="仿宋_GB2312" w:hAnsi="宋体" w:eastAsia="仿宋_GB2312"/>
          <w:b/>
          <w:color w:val="000000"/>
          <w:sz w:val="30"/>
          <w:szCs w:val="30"/>
        </w:rPr>
      </w:pPr>
      <w:bookmarkStart w:id="95" w:name="_Toc21013"/>
      <w:bookmarkStart w:id="96" w:name="_Toc25666"/>
    </w:p>
    <w:bookmarkEnd w:id="95"/>
    <w:bookmarkEnd w:id="96"/>
    <w:p w14:paraId="702F1250">
      <w:pPr>
        <w:rPr>
          <w:rFonts w:ascii="仿宋_GB2312" w:hAnsi="宋体" w:eastAsia="仿宋_GB2312" w:cs="Times New Roman"/>
          <w:b/>
          <w:color w:val="000000"/>
          <w:sz w:val="30"/>
          <w:szCs w:val="30"/>
        </w:rPr>
      </w:pPr>
      <w:r>
        <w:rPr>
          <w:rFonts w:ascii="仿宋_GB2312" w:hAnsi="宋体" w:eastAsia="仿宋_GB2312" w:cs="Times New Roman"/>
          <w:b/>
          <w:color w:val="000000"/>
          <w:sz w:val="30"/>
          <w:szCs w:val="30"/>
        </w:rPr>
        <w:t>立项编号：</w:t>
      </w:r>
      <w:r>
        <w:rPr>
          <w:rFonts w:hint="eastAsia" w:ascii="仿宋_GB2312" w:hAnsi="宋体" w:eastAsia="仿宋_GB2312" w:cs="Times New Roman"/>
          <w:b/>
          <w:color w:val="000000"/>
          <w:sz w:val="30"/>
          <w:szCs w:val="30"/>
          <w:u w:val="single"/>
        </w:rPr>
        <w:t xml:space="preserve"> </w:t>
      </w:r>
      <w:r>
        <w:rPr>
          <w:rFonts w:ascii="仿宋_GB2312" w:hAnsi="宋体" w:eastAsia="仿宋_GB2312" w:cs="Times New Roman"/>
          <w:b/>
          <w:color w:val="000000"/>
          <w:sz w:val="30"/>
          <w:szCs w:val="30"/>
          <w:u w:val="single"/>
        </w:rPr>
        <w:t>　</w:t>
      </w:r>
      <w:r>
        <w:rPr>
          <w:rFonts w:ascii="Times New Roman" w:hAnsi="Times New Roman" w:eastAsia="新宋体" w:cs="Times New Roman"/>
          <w:b/>
          <w:sz w:val="30"/>
          <w:szCs w:val="30"/>
          <w:u w:val="single"/>
        </w:rPr>
        <w:t>　　　　</w:t>
      </w:r>
    </w:p>
    <w:p w14:paraId="18232ECE">
      <w:pPr>
        <w:rPr>
          <w:rFonts w:ascii="仿宋_GB2312" w:hAnsi="宋体" w:eastAsia="仿宋_GB2312" w:cs="Times New Roman"/>
          <w:b/>
          <w:color w:val="000000"/>
          <w:sz w:val="30"/>
          <w:szCs w:val="30"/>
          <w:u w:val="single"/>
        </w:rPr>
      </w:pPr>
      <w:r>
        <w:rPr>
          <w:rFonts w:hint="eastAsia" w:ascii="仿宋_GB2312" w:hAnsi="宋体" w:eastAsia="仿宋_GB2312" w:cs="Times New Roman"/>
          <w:b/>
          <w:color w:val="000000"/>
          <w:sz w:val="30"/>
          <w:szCs w:val="30"/>
        </w:rPr>
        <w:t>合同编号：</w:t>
      </w:r>
      <w:r>
        <w:rPr>
          <w:rFonts w:ascii="仿宋_GB2312" w:hAnsi="宋体" w:eastAsia="仿宋_GB2312" w:cs="Times New Roman"/>
          <w:b/>
          <w:color w:val="000000"/>
          <w:sz w:val="30"/>
          <w:szCs w:val="30"/>
          <w:u w:val="single"/>
        </w:rPr>
        <w:t>　</w:t>
      </w:r>
      <w:r>
        <w:rPr>
          <w:rFonts w:ascii="Times New Roman" w:hAnsi="Times New Roman" w:eastAsia="新宋体" w:cs="Times New Roman"/>
          <w:b/>
          <w:sz w:val="30"/>
          <w:szCs w:val="30"/>
          <w:u w:val="single"/>
        </w:rPr>
        <w:t>　　　　</w:t>
      </w:r>
    </w:p>
    <w:p w14:paraId="13F2E215">
      <w:pPr>
        <w:jc w:val="center"/>
        <w:rPr>
          <w:rFonts w:ascii="隶书" w:hAnsi="华文中宋" w:eastAsia="隶书" w:cs="Courier New"/>
          <w:sz w:val="84"/>
          <w:szCs w:val="84"/>
        </w:rPr>
      </w:pPr>
    </w:p>
    <w:p w14:paraId="46427716">
      <w:pPr>
        <w:snapToGrid w:val="0"/>
        <w:spacing w:before="156" w:beforeLines="50" w:line="360" w:lineRule="auto"/>
        <w:jc w:val="center"/>
        <w:rPr>
          <w:rFonts w:ascii="黑体" w:hAnsi="宋体" w:eastAsia="黑体" w:cs="Times New Roman"/>
          <w:b/>
          <w:bCs/>
          <w:snapToGrid w:val="0"/>
          <w:kern w:val="0"/>
          <w:sz w:val="84"/>
          <w:szCs w:val="84"/>
        </w:rPr>
      </w:pPr>
      <w:r>
        <w:rPr>
          <w:rFonts w:hint="eastAsia" w:ascii="黑体" w:hAnsi="宋体" w:eastAsia="黑体" w:cs="黑体"/>
          <w:b/>
          <w:bCs/>
          <w:snapToGrid w:val="0"/>
          <w:kern w:val="0"/>
          <w:sz w:val="84"/>
          <w:szCs w:val="84"/>
        </w:rPr>
        <w:t>政府采购合同</w:t>
      </w:r>
    </w:p>
    <w:p w14:paraId="78E2E50D">
      <w:pPr>
        <w:snapToGrid w:val="0"/>
        <w:spacing w:line="540" w:lineRule="exact"/>
        <w:jc w:val="center"/>
        <w:rPr>
          <w:rFonts w:ascii="仿宋_GB2312" w:hAnsi="宋体" w:eastAsia="仿宋_GB2312" w:cs="Times New Roman"/>
          <w:b/>
          <w:bCs/>
          <w:snapToGrid w:val="0"/>
          <w:kern w:val="0"/>
          <w:sz w:val="30"/>
          <w:szCs w:val="30"/>
        </w:rPr>
      </w:pPr>
    </w:p>
    <w:p w14:paraId="5F198C6B">
      <w:pPr>
        <w:widowControl w:val="0"/>
        <w:ind w:firstLine="420" w:firstLineChars="200"/>
        <w:jc w:val="both"/>
        <w:rPr>
          <w:rFonts w:ascii="Calibri" w:hAnsi="Calibri" w:eastAsia="宋体" w:cs="Times New Roman"/>
          <w:kern w:val="2"/>
          <w:sz w:val="21"/>
          <w:szCs w:val="21"/>
          <w:lang w:val="en-US" w:eastAsia="zh-CN" w:bidi="ar-SA"/>
        </w:rPr>
      </w:pPr>
    </w:p>
    <w:p w14:paraId="21E1B501">
      <w:pPr>
        <w:widowControl w:val="0"/>
        <w:ind w:firstLine="420" w:firstLineChars="200"/>
        <w:jc w:val="both"/>
        <w:rPr>
          <w:rFonts w:ascii="Calibri" w:hAnsi="Calibri" w:eastAsia="宋体" w:cs="Times New Roman"/>
          <w:kern w:val="2"/>
          <w:sz w:val="21"/>
          <w:szCs w:val="21"/>
          <w:lang w:val="en-US" w:eastAsia="zh-CN" w:bidi="ar-SA"/>
        </w:rPr>
      </w:pPr>
    </w:p>
    <w:p w14:paraId="169F28A2">
      <w:pPr>
        <w:adjustRightInd w:val="0"/>
        <w:snapToGrid w:val="0"/>
        <w:spacing w:line="360" w:lineRule="auto"/>
        <w:ind w:left="2563" w:leftChars="554" w:hanging="1400" w:hangingChars="700"/>
        <w:rPr>
          <w:rFonts w:ascii="Tahoma" w:hAnsi="Tahoma" w:eastAsia="宋体" w:cs="Tahoma"/>
          <w:sz w:val="20"/>
          <w:szCs w:val="20"/>
        </w:rPr>
      </w:pPr>
    </w:p>
    <w:p w14:paraId="5E3790DD">
      <w:pPr>
        <w:adjustRightInd w:val="0"/>
        <w:snapToGrid w:val="0"/>
        <w:spacing w:line="360" w:lineRule="auto"/>
        <w:ind w:left="2563" w:leftChars="554" w:hanging="1400" w:hangingChars="700"/>
        <w:rPr>
          <w:rFonts w:ascii="Tahoma" w:hAnsi="Tahoma" w:eastAsia="宋体" w:cs="Tahoma"/>
          <w:sz w:val="20"/>
          <w:szCs w:val="20"/>
        </w:rPr>
      </w:pPr>
    </w:p>
    <w:p w14:paraId="2CB02E7D">
      <w:pPr>
        <w:adjustRightInd w:val="0"/>
        <w:snapToGrid w:val="0"/>
        <w:spacing w:line="360" w:lineRule="auto"/>
        <w:ind w:left="3341" w:leftChars="534" w:hanging="2220" w:hangingChars="694"/>
        <w:rPr>
          <w:rFonts w:ascii="Times New Roman" w:hAnsi="Times New Roman" w:eastAsia="宋体" w:cs="Times New Roman"/>
          <w:b/>
          <w:szCs w:val="21"/>
          <w:u w:val="single"/>
        </w:rPr>
      </w:pPr>
      <w:r>
        <w:rPr>
          <w:rFonts w:hint="eastAsia" w:ascii="Times New Roman" w:hAnsi="宋体" w:eastAsia="宋体" w:cs="Times New Roman"/>
          <w:b/>
          <w:sz w:val="32"/>
          <w:szCs w:val="32"/>
        </w:rPr>
        <w:t>采购项目名称：</w:t>
      </w:r>
      <w:r>
        <w:rPr>
          <w:rFonts w:hint="eastAsia" w:ascii="Times New Roman" w:hAnsi="宋体" w:eastAsia="宋体" w:cs="Times New Roman"/>
          <w:b/>
          <w:sz w:val="32"/>
          <w:szCs w:val="32"/>
          <w:u w:val="single"/>
        </w:rPr>
        <w:t>湘潭大学X</w:t>
      </w:r>
      <w:r>
        <w:rPr>
          <w:rFonts w:ascii="Times New Roman" w:hAnsi="宋体" w:eastAsia="宋体" w:cs="Times New Roman"/>
          <w:b/>
          <w:sz w:val="32"/>
          <w:szCs w:val="32"/>
          <w:u w:val="single"/>
        </w:rPr>
        <w:t>XXX工程</w:t>
      </w:r>
      <w:r>
        <w:rPr>
          <w:rFonts w:hint="eastAsia" w:ascii="Times New Roman" w:hAnsi="宋体" w:eastAsia="宋体" w:cs="Times New Roman"/>
          <w:b/>
          <w:sz w:val="32"/>
          <w:szCs w:val="32"/>
          <w:u w:val="single"/>
        </w:rPr>
        <w:t xml:space="preserve"> </w:t>
      </w:r>
    </w:p>
    <w:p w14:paraId="422262F3">
      <w:pPr>
        <w:adjustRightInd w:val="0"/>
        <w:snapToGrid w:val="0"/>
        <w:spacing w:line="360" w:lineRule="auto"/>
        <w:ind w:firstLine="1120" w:firstLineChars="350"/>
        <w:rPr>
          <w:rFonts w:ascii="Times New Roman" w:hAnsi="宋体" w:eastAsia="宋体" w:cs="Times New Roman"/>
          <w:b/>
          <w:sz w:val="32"/>
          <w:szCs w:val="32"/>
          <w:u w:val="single"/>
        </w:rPr>
      </w:pPr>
      <w:r>
        <w:rPr>
          <w:rFonts w:hint="eastAsia" w:ascii="Times New Roman" w:hAnsi="宋体" w:eastAsia="宋体" w:cs="Times New Roman"/>
          <w:b/>
          <w:sz w:val="32"/>
          <w:szCs w:val="32"/>
        </w:rPr>
        <w:t>采</w:t>
      </w:r>
      <w:r>
        <w:rPr>
          <w:rFonts w:ascii="Times New Roman" w:hAnsi="宋体" w:eastAsia="宋体" w:cs="Times New Roman"/>
          <w:b/>
          <w:sz w:val="32"/>
          <w:szCs w:val="32"/>
        </w:rPr>
        <w:t xml:space="preserve">   </w:t>
      </w:r>
      <w:r>
        <w:rPr>
          <w:rFonts w:hint="eastAsia" w:ascii="Times New Roman" w:hAnsi="宋体" w:eastAsia="宋体" w:cs="Times New Roman"/>
          <w:b/>
          <w:sz w:val="32"/>
          <w:szCs w:val="32"/>
        </w:rPr>
        <w:t>购</w:t>
      </w:r>
      <w:r>
        <w:rPr>
          <w:rFonts w:ascii="Times New Roman" w:hAnsi="宋体" w:eastAsia="宋体" w:cs="Times New Roman"/>
          <w:b/>
          <w:sz w:val="32"/>
          <w:szCs w:val="32"/>
        </w:rPr>
        <w:t xml:space="preserve">   </w:t>
      </w:r>
      <w:r>
        <w:rPr>
          <w:rFonts w:hint="eastAsia" w:ascii="Times New Roman" w:hAnsi="宋体" w:eastAsia="宋体" w:cs="Times New Roman"/>
          <w:b/>
          <w:sz w:val="32"/>
          <w:szCs w:val="32"/>
        </w:rPr>
        <w:t>人：</w:t>
      </w:r>
      <w:r>
        <w:rPr>
          <w:rFonts w:hint="eastAsia" w:ascii="Times New Roman" w:hAnsi="宋体" w:eastAsia="宋体" w:cs="Times New Roman"/>
          <w:b/>
          <w:sz w:val="32"/>
          <w:szCs w:val="32"/>
          <w:u w:val="single"/>
        </w:rPr>
        <w:t xml:space="preserve">湘潭大学         </w:t>
      </w:r>
    </w:p>
    <w:p w14:paraId="5854ADE3">
      <w:pPr>
        <w:widowControl w:val="0"/>
        <w:adjustRightInd w:val="0"/>
        <w:snapToGrid w:val="0"/>
        <w:spacing w:line="360" w:lineRule="auto"/>
        <w:ind w:firstLine="1120" w:firstLineChars="350"/>
        <w:jc w:val="both"/>
        <w:rPr>
          <w:rFonts w:ascii="仿宋_GB2312" w:hAnsi="华文中宋" w:eastAsia="仿宋_GB2312" w:cs="仿宋_GB2312"/>
          <w:b/>
          <w:bCs/>
          <w:kern w:val="2"/>
          <w:sz w:val="32"/>
          <w:szCs w:val="32"/>
          <w:lang w:val="en-US" w:eastAsia="zh-CN" w:bidi="ar-SA"/>
        </w:rPr>
      </w:pPr>
      <w:r>
        <w:rPr>
          <w:rFonts w:hint="eastAsia" w:ascii="Times New Roman" w:hAnsi="宋体" w:eastAsia="宋体" w:cs="Courier New"/>
          <w:b/>
          <w:kern w:val="2"/>
          <w:sz w:val="32"/>
          <w:szCs w:val="32"/>
          <w:lang w:val="en-US" w:eastAsia="zh-CN" w:bidi="ar-SA"/>
        </w:rPr>
        <w:t xml:space="preserve">供  </w:t>
      </w:r>
      <w:r>
        <w:rPr>
          <w:rFonts w:ascii="Times New Roman" w:hAnsi="宋体" w:eastAsia="宋体" w:cs="Courier New"/>
          <w:b/>
          <w:kern w:val="2"/>
          <w:sz w:val="32"/>
          <w:szCs w:val="32"/>
          <w:lang w:val="en-US" w:eastAsia="zh-CN" w:bidi="ar-SA"/>
        </w:rPr>
        <w:t xml:space="preserve"> </w:t>
      </w:r>
      <w:r>
        <w:rPr>
          <w:rFonts w:hint="eastAsia" w:ascii="Times New Roman" w:hAnsi="宋体" w:eastAsia="宋体" w:cs="Courier New"/>
          <w:b/>
          <w:kern w:val="2"/>
          <w:sz w:val="32"/>
          <w:szCs w:val="32"/>
          <w:lang w:val="en-US" w:eastAsia="zh-CN" w:bidi="ar-SA"/>
        </w:rPr>
        <w:t xml:space="preserve">应 </w:t>
      </w:r>
      <w:r>
        <w:rPr>
          <w:rFonts w:ascii="Times New Roman" w:hAnsi="宋体" w:eastAsia="宋体" w:cs="Courier New"/>
          <w:b/>
          <w:kern w:val="2"/>
          <w:sz w:val="32"/>
          <w:szCs w:val="32"/>
          <w:lang w:val="en-US" w:eastAsia="zh-CN" w:bidi="ar-SA"/>
        </w:rPr>
        <w:t xml:space="preserve"> </w:t>
      </w:r>
      <w:r>
        <w:rPr>
          <w:rFonts w:hint="eastAsia" w:ascii="Times New Roman" w:hAnsi="宋体" w:eastAsia="宋体" w:cs="Courier New"/>
          <w:b/>
          <w:kern w:val="2"/>
          <w:sz w:val="32"/>
          <w:szCs w:val="32"/>
          <w:lang w:val="en-US" w:eastAsia="zh-CN" w:bidi="ar-SA"/>
        </w:rPr>
        <w:t xml:space="preserve"> 商：</w:t>
      </w:r>
      <w:r>
        <w:rPr>
          <w:rFonts w:hint="eastAsia" w:ascii="宋体" w:hAnsi="宋体" w:eastAsia="宋体" w:cs="Courier New"/>
          <w:b/>
          <w:kern w:val="2"/>
          <w:sz w:val="32"/>
          <w:szCs w:val="32"/>
          <w:u w:val="thick"/>
          <w:lang w:val="en-US" w:eastAsia="zh-CN" w:bidi="ar-SA"/>
        </w:rPr>
        <w:t xml:space="preserve"> </w:t>
      </w:r>
      <w:r>
        <w:rPr>
          <w:rFonts w:ascii="宋体" w:hAnsi="宋体" w:eastAsia="宋体" w:cs="Courier New"/>
          <w:b/>
          <w:kern w:val="2"/>
          <w:sz w:val="32"/>
          <w:szCs w:val="32"/>
          <w:u w:val="thick"/>
          <w:lang w:val="en-US" w:eastAsia="zh-CN" w:bidi="ar-SA"/>
        </w:rPr>
        <w:t xml:space="preserve">              </w:t>
      </w:r>
      <w:r>
        <w:rPr>
          <w:rFonts w:hint="eastAsia" w:ascii="Times New Roman" w:hAnsi="宋体" w:eastAsia="宋体" w:cs="Courier New"/>
          <w:b/>
          <w:kern w:val="2"/>
          <w:sz w:val="32"/>
          <w:szCs w:val="32"/>
          <w:u w:val="thick"/>
          <w:lang w:val="en-US" w:eastAsia="zh-CN" w:bidi="ar-SA"/>
        </w:rPr>
        <w:t xml:space="preserve">   </w:t>
      </w:r>
    </w:p>
    <w:p w14:paraId="68E1B7AB">
      <w:pPr>
        <w:adjustRightInd w:val="0"/>
        <w:snapToGrid w:val="0"/>
        <w:spacing w:line="360" w:lineRule="auto"/>
        <w:ind w:firstLine="1120" w:firstLineChars="350"/>
        <w:rPr>
          <w:rFonts w:ascii="Times New Roman" w:hAnsi="宋体" w:eastAsia="宋体" w:cs="Times New Roman"/>
          <w:b/>
          <w:sz w:val="32"/>
          <w:szCs w:val="32"/>
        </w:rPr>
      </w:pPr>
      <w:r>
        <w:rPr>
          <w:rFonts w:hint="eastAsia" w:ascii="Times New Roman" w:hAnsi="宋体" w:eastAsia="宋体" w:cs="Times New Roman"/>
          <w:b/>
          <w:sz w:val="32"/>
          <w:szCs w:val="32"/>
        </w:rPr>
        <w:t>政府采购计划编号：</w:t>
      </w:r>
      <w:r>
        <w:rPr>
          <w:rFonts w:hint="eastAsia" w:ascii="Times New Roman" w:hAnsi="宋体" w:eastAsia="宋体" w:cs="Times New Roman"/>
          <w:b/>
          <w:sz w:val="32"/>
          <w:szCs w:val="32"/>
          <w:u w:val="single"/>
        </w:rPr>
        <w:t xml:space="preserve"> </w:t>
      </w:r>
      <w:r>
        <w:rPr>
          <w:rFonts w:ascii="Times New Roman" w:hAnsi="宋体" w:eastAsia="宋体" w:cs="Times New Roman"/>
          <w:b/>
          <w:sz w:val="32"/>
          <w:szCs w:val="32"/>
          <w:u w:val="single"/>
        </w:rPr>
        <w:t xml:space="preserve">          </w:t>
      </w:r>
      <w:r>
        <w:rPr>
          <w:rFonts w:hint="eastAsia" w:ascii="Times New Roman" w:hAnsi="宋体" w:eastAsia="宋体" w:cs="Times New Roman"/>
          <w:b/>
          <w:sz w:val="32"/>
          <w:szCs w:val="32"/>
          <w:u w:val="single"/>
        </w:rPr>
        <w:t xml:space="preserve">   </w:t>
      </w:r>
    </w:p>
    <w:p w14:paraId="2F06D20A">
      <w:pPr>
        <w:adjustRightInd w:val="0"/>
        <w:snapToGrid w:val="0"/>
        <w:spacing w:line="360" w:lineRule="auto"/>
        <w:rPr>
          <w:rFonts w:ascii="仿宋_GB2312" w:hAnsi="宋体" w:eastAsia="仿宋_GB2312" w:cs="Courier New"/>
          <w:b/>
          <w:sz w:val="32"/>
          <w:szCs w:val="21"/>
        </w:rPr>
      </w:pPr>
    </w:p>
    <w:p w14:paraId="0069F2AB">
      <w:pPr>
        <w:adjustRightInd w:val="0"/>
        <w:snapToGrid w:val="0"/>
        <w:spacing w:line="360" w:lineRule="auto"/>
        <w:jc w:val="center"/>
        <w:rPr>
          <w:rFonts w:ascii="仿宋_GB2312" w:hAnsi="宋体" w:eastAsia="仿宋_GB2312" w:cs="Courier New"/>
          <w:b/>
          <w:sz w:val="32"/>
          <w:szCs w:val="21"/>
        </w:rPr>
      </w:pPr>
    </w:p>
    <w:p w14:paraId="3A9CAAF9">
      <w:pPr>
        <w:widowControl w:val="0"/>
        <w:ind w:left="420" w:leftChars="200"/>
        <w:jc w:val="both"/>
        <w:rPr>
          <w:rFonts w:ascii="Times New Roman" w:hAnsi="Times New Roman" w:eastAsia="宋体" w:cs="Times New Roman"/>
          <w:kern w:val="2"/>
          <w:sz w:val="21"/>
          <w:szCs w:val="24"/>
          <w:lang w:val="en-US" w:eastAsia="zh-CN" w:bidi="ar-SA"/>
        </w:rPr>
      </w:pPr>
    </w:p>
    <w:p w14:paraId="7CA95304">
      <w:pPr>
        <w:adjustRightInd w:val="0"/>
        <w:snapToGrid w:val="0"/>
        <w:spacing w:line="360" w:lineRule="auto"/>
        <w:rPr>
          <w:rFonts w:ascii="仿宋_GB2312" w:hAnsi="宋体" w:eastAsia="仿宋_GB2312" w:cs="Courier New"/>
          <w:b/>
          <w:sz w:val="32"/>
          <w:szCs w:val="21"/>
        </w:rPr>
      </w:pPr>
    </w:p>
    <w:p w14:paraId="1138C081">
      <w:pPr>
        <w:adjustRightInd w:val="0"/>
        <w:snapToGrid w:val="0"/>
        <w:spacing w:line="360" w:lineRule="auto"/>
        <w:jc w:val="center"/>
        <w:rPr>
          <w:rFonts w:ascii="宋体" w:hAnsi="宋体" w:eastAsia="宋体" w:cs="Courier New"/>
          <w:b/>
          <w:sz w:val="32"/>
          <w:szCs w:val="21"/>
        </w:rPr>
      </w:pPr>
      <w:r>
        <w:rPr>
          <w:rFonts w:hint="eastAsia" w:ascii="宋体" w:hAnsi="宋体" w:eastAsia="宋体" w:cs="Courier New"/>
          <w:b/>
          <w:sz w:val="32"/>
          <w:szCs w:val="21"/>
        </w:rPr>
        <w:t>二〇二</w:t>
      </w:r>
      <w:r>
        <w:rPr>
          <w:rFonts w:hint="eastAsia" w:ascii="宋体" w:hAnsi="宋体" w:cs="Courier New"/>
          <w:b/>
          <w:sz w:val="32"/>
          <w:szCs w:val="21"/>
          <w:lang w:val="en-US" w:eastAsia="zh-CN"/>
        </w:rPr>
        <w:t xml:space="preserve">六年 </w:t>
      </w:r>
      <w:r>
        <w:rPr>
          <w:rFonts w:hint="eastAsia" w:ascii="宋体" w:hAnsi="宋体" w:eastAsia="宋体" w:cs="Courier New"/>
          <w:b/>
          <w:sz w:val="32"/>
          <w:szCs w:val="21"/>
        </w:rPr>
        <w:t>月</w:t>
      </w:r>
    </w:p>
    <w:p w14:paraId="45DCA0D0">
      <w:pPr>
        <w:jc w:val="center"/>
        <w:outlineLvl w:val="1"/>
        <w:rPr>
          <w:rFonts w:ascii="宋体" w:hAnsi="宋体" w:eastAsia="宋体" w:cs="宋体"/>
          <w:b/>
          <w:bCs/>
          <w:sz w:val="28"/>
          <w:szCs w:val="28"/>
        </w:rPr>
      </w:pPr>
    </w:p>
    <w:p w14:paraId="64EBB2AE">
      <w:pPr>
        <w:keepNext/>
        <w:keepLines/>
        <w:widowControl w:val="0"/>
        <w:spacing w:before="260" w:after="260" w:line="416" w:lineRule="auto"/>
        <w:jc w:val="both"/>
        <w:outlineLvl w:val="1"/>
        <w:rPr>
          <w:rFonts w:ascii="Calibri Light" w:hAnsi="Calibri Light" w:eastAsia="宋体" w:cs="Times New Roman"/>
          <w:b/>
          <w:bCs/>
          <w:kern w:val="2"/>
          <w:sz w:val="32"/>
          <w:szCs w:val="32"/>
          <w:lang w:val="en-US" w:eastAsia="zh-CN" w:bidi="ar-SA"/>
        </w:rPr>
      </w:pPr>
      <w:r>
        <w:rPr>
          <w:rFonts w:ascii="Calibri Light" w:hAnsi="Calibri Light" w:eastAsia="宋体" w:cs="Times New Roman"/>
          <w:b/>
          <w:bCs/>
          <w:kern w:val="2"/>
          <w:sz w:val="32"/>
          <w:szCs w:val="32"/>
          <w:lang w:val="en-US" w:eastAsia="zh-CN" w:bidi="ar-SA"/>
        </w:rPr>
        <w:br w:type="page"/>
      </w:r>
    </w:p>
    <w:p w14:paraId="2E78A00B">
      <w:pPr>
        <w:jc w:val="center"/>
        <w:outlineLvl w:val="2"/>
        <w:rPr>
          <w:rFonts w:ascii="宋体" w:hAnsi="Times New Roman" w:eastAsia="宋体" w:cs="Times New Roman"/>
          <w:b/>
          <w:bCs/>
          <w:sz w:val="28"/>
          <w:szCs w:val="28"/>
        </w:rPr>
      </w:pPr>
      <w:r>
        <w:rPr>
          <w:rFonts w:hint="eastAsia" w:ascii="宋体" w:hAnsi="宋体" w:eastAsia="宋体" w:cs="宋体"/>
          <w:b/>
          <w:bCs/>
          <w:sz w:val="28"/>
          <w:szCs w:val="28"/>
        </w:rPr>
        <w:t>政府采购合同协议书</w:t>
      </w:r>
    </w:p>
    <w:p w14:paraId="456F1AEA">
      <w:pPr>
        <w:spacing w:line="400" w:lineRule="exact"/>
        <w:ind w:right="23" w:rightChars="11"/>
        <w:jc w:val="center"/>
        <w:rPr>
          <w:rFonts w:ascii="宋体" w:hAnsi="Times New Roman" w:eastAsia="宋体" w:cs="Times New Roman"/>
        </w:rPr>
      </w:pPr>
    </w:p>
    <w:p w14:paraId="529B8BE8">
      <w:pPr>
        <w:adjustRightInd w:val="0"/>
        <w:snapToGrid w:val="0"/>
        <w:spacing w:line="360" w:lineRule="auto"/>
        <w:ind w:right="23" w:rightChars="11" w:firstLine="420" w:firstLineChars="200"/>
        <w:rPr>
          <w:rFonts w:ascii="宋体" w:hAnsi="宋体" w:eastAsia="宋体" w:cs="宋体"/>
          <w:color w:val="000000"/>
        </w:rPr>
      </w:pPr>
      <w:r>
        <w:rPr>
          <w:rFonts w:hint="eastAsia" w:ascii="宋体" w:hAnsi="宋体" w:eastAsia="宋体" w:cs="宋体"/>
          <w:color w:val="000000"/>
        </w:rPr>
        <w:t>采购人（全称）：</w:t>
      </w:r>
      <w:r>
        <w:rPr>
          <w:rFonts w:hint="eastAsia" w:ascii="宋体" w:hAnsi="宋体" w:eastAsia="宋体" w:cs="宋体"/>
          <w:color w:val="000000"/>
          <w:u w:val="single"/>
        </w:rPr>
        <w:t xml:space="preserve">       湘潭大学                      </w:t>
      </w:r>
      <w:r>
        <w:rPr>
          <w:rFonts w:hint="eastAsia" w:ascii="宋体" w:hAnsi="宋体" w:eastAsia="宋体" w:cs="宋体"/>
          <w:color w:val="000000"/>
        </w:rPr>
        <w:t>（甲方）</w:t>
      </w:r>
    </w:p>
    <w:p w14:paraId="2B1E9320">
      <w:pPr>
        <w:adjustRightInd w:val="0"/>
        <w:snapToGrid w:val="0"/>
        <w:spacing w:line="360" w:lineRule="auto"/>
        <w:ind w:right="23" w:rightChars="11" w:firstLine="420" w:firstLineChars="200"/>
        <w:rPr>
          <w:rFonts w:ascii="宋体" w:hAnsi="宋体" w:eastAsia="宋体" w:cs="宋体"/>
        </w:rPr>
      </w:pPr>
      <w:r>
        <w:rPr>
          <w:rFonts w:hint="eastAsia" w:ascii="宋体" w:hAnsi="宋体" w:eastAsia="宋体" w:cs="宋体"/>
          <w:color w:val="000000"/>
        </w:rPr>
        <w:t>供应商（全称）：</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（乙方）</w:t>
      </w:r>
    </w:p>
    <w:p w14:paraId="44ED14C1">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为了保护甲、乙双方合法权益，根据《中华人民共和国民法典》、《中华人民共和国政府采购法》及其他有关法律、法规、规章，双方签订本合同协议书。</w:t>
      </w:r>
    </w:p>
    <w:p w14:paraId="3B49D6E4">
      <w:pPr>
        <w:adjustRightInd w:val="0"/>
        <w:snapToGrid w:val="0"/>
        <w:spacing w:line="360" w:lineRule="auto"/>
        <w:ind w:right="23" w:rightChars="11"/>
        <w:rPr>
          <w:rFonts w:ascii="宋体" w:hAnsi="Times New Roman" w:eastAsia="宋体" w:cs="Times New Roman"/>
          <w:b/>
          <w:bCs/>
        </w:rPr>
      </w:pPr>
      <w:r>
        <w:rPr>
          <w:rFonts w:ascii="宋体" w:hAnsi="宋体" w:eastAsia="宋体" w:cs="宋体"/>
          <w:b/>
          <w:bCs/>
        </w:rPr>
        <w:t>1</w:t>
      </w:r>
      <w:r>
        <w:rPr>
          <w:rFonts w:hint="eastAsia" w:ascii="宋体" w:hAnsi="宋体" w:eastAsia="宋体" w:cs="宋体"/>
          <w:b/>
          <w:bCs/>
        </w:rPr>
        <w:t>、项目信息</w:t>
      </w:r>
    </w:p>
    <w:p w14:paraId="5EAF7F94">
      <w:pPr>
        <w:adjustRightInd w:val="0"/>
        <w:snapToGrid w:val="0"/>
        <w:spacing w:line="360" w:lineRule="auto"/>
        <w:rPr>
          <w:rFonts w:ascii="宋体" w:hAnsi="宋体" w:eastAsia="宋体" w:cs="Times New Roman"/>
          <w:szCs w:val="21"/>
        </w:rPr>
      </w:pPr>
      <w:r>
        <w:rPr>
          <w:rFonts w:hint="eastAsia" w:ascii="宋体" w:hAnsi="宋体" w:eastAsia="宋体" w:cs="Times New Roman"/>
          <w:szCs w:val="21"/>
        </w:rPr>
        <w:t>（1）采购项目名称：</w:t>
      </w:r>
      <w:r>
        <w:rPr>
          <w:rFonts w:ascii="宋体" w:hAnsi="宋体" w:eastAsia="宋体" w:cs="Times New Roman"/>
          <w:szCs w:val="21"/>
          <w:u w:val="single"/>
        </w:rPr>
        <w:t xml:space="preserve"> </w:t>
      </w:r>
      <w:r>
        <w:rPr>
          <w:rFonts w:hint="eastAsia" w:ascii="Times New Roman" w:hAnsi="宋体" w:eastAsia="宋体" w:cs="Times New Roman"/>
          <w:szCs w:val="21"/>
          <w:u w:val="single"/>
        </w:rPr>
        <w:t>湘潭大学</w:t>
      </w:r>
      <w:r>
        <w:rPr>
          <w:rFonts w:ascii="宋体" w:hAnsi="宋体" w:eastAsia="宋体" w:cs="宋体"/>
          <w:color w:val="000000"/>
          <w:u w:val="single"/>
        </w:rPr>
        <w:t>　　　　</w:t>
      </w:r>
      <w:r>
        <w:rPr>
          <w:rFonts w:ascii="宋体" w:hAnsi="宋体" w:eastAsia="宋体" w:cs="Times New Roman"/>
          <w:szCs w:val="21"/>
          <w:u w:val="single"/>
        </w:rPr>
        <w:t xml:space="preserve">   </w:t>
      </w:r>
    </w:p>
    <w:p w14:paraId="3FE64094">
      <w:pPr>
        <w:adjustRightInd w:val="0"/>
        <w:snapToGrid w:val="0"/>
        <w:spacing w:line="360" w:lineRule="auto"/>
        <w:rPr>
          <w:rFonts w:ascii="宋体" w:hAnsi="宋体" w:eastAsia="宋体" w:cs="Times New Roman"/>
          <w:szCs w:val="21"/>
        </w:rPr>
      </w:pPr>
      <w:r>
        <w:rPr>
          <w:rFonts w:hint="eastAsia" w:ascii="宋体" w:hAnsi="宋体" w:eastAsia="宋体" w:cs="Times New Roman"/>
          <w:szCs w:val="21"/>
        </w:rPr>
        <w:t>（2）政府采购计划编号：</w:t>
      </w:r>
      <w:r>
        <w:rPr>
          <w:rFonts w:hint="eastAsia" w:ascii="宋体" w:hAnsi="宋体" w:eastAsia="宋体" w:cs="宋体"/>
          <w:szCs w:val="21"/>
          <w:u w:val="single"/>
        </w:rPr>
        <w:t xml:space="preserve">     </w:t>
      </w:r>
      <w:r>
        <w:rPr>
          <w:rFonts w:ascii="宋体" w:hAnsi="宋体" w:eastAsia="宋体" w:cs="宋体"/>
          <w:szCs w:val="21"/>
          <w:u w:val="single"/>
        </w:rPr>
        <w:t xml:space="preserve">         </w:t>
      </w:r>
      <w:r>
        <w:rPr>
          <w:rFonts w:hint="eastAsia" w:ascii="宋体" w:hAnsi="宋体" w:eastAsia="宋体" w:cs="宋体"/>
          <w:szCs w:val="21"/>
          <w:u w:val="single"/>
        </w:rPr>
        <w:t xml:space="preserve">  </w:t>
      </w:r>
    </w:p>
    <w:p w14:paraId="49C36579">
      <w:pPr>
        <w:adjustRightInd w:val="0"/>
        <w:snapToGrid w:val="0"/>
        <w:spacing w:line="360" w:lineRule="auto"/>
        <w:rPr>
          <w:rFonts w:ascii="宋体" w:hAnsi="宋体" w:eastAsia="宋体" w:cs="Times New Roman"/>
          <w:szCs w:val="21"/>
        </w:rPr>
      </w:pPr>
      <w:r>
        <w:rPr>
          <w:rFonts w:hint="eastAsia" w:ascii="宋体" w:hAnsi="宋体" w:eastAsia="宋体" w:cs="Times New Roman"/>
          <w:szCs w:val="21"/>
        </w:rPr>
        <w:t>（3）项目内容：</w:t>
      </w:r>
      <w:r>
        <w:rPr>
          <w:rFonts w:hint="eastAsia" w:ascii="宋体" w:hAnsi="宋体" w:eastAsia="宋体" w:cs="Times New Roman"/>
          <w:szCs w:val="21"/>
          <w:u w:val="single"/>
        </w:rPr>
        <w:t xml:space="preserve">     </w:t>
      </w:r>
      <w:r>
        <w:rPr>
          <w:rFonts w:hint="eastAsia" w:ascii="宋体" w:hAnsi="宋体" w:eastAsia="宋体" w:cs="Times New Roman"/>
          <w:bCs/>
          <w:u w:val="single"/>
        </w:rPr>
        <w:t>包括工程量清单及所提供施工图所示的全部</w:t>
      </w:r>
      <w:r>
        <w:rPr>
          <w:rFonts w:hint="eastAsia" w:ascii="宋体" w:hAnsi="宋体" w:eastAsia="宋体" w:cs="宋体"/>
          <w:u w:val="single"/>
        </w:rPr>
        <w:t>内容</w:t>
      </w:r>
      <w:r>
        <w:rPr>
          <w:rFonts w:ascii="宋体" w:hAnsi="宋体" w:eastAsia="宋体" w:cs="宋体"/>
          <w:u w:val="single"/>
        </w:rPr>
        <w:t xml:space="preserve">  </w:t>
      </w:r>
      <w:r>
        <w:rPr>
          <w:rFonts w:hint="eastAsia" w:ascii="宋体" w:hAnsi="宋体" w:eastAsia="宋体" w:cs="Times New Roman"/>
          <w:szCs w:val="21"/>
          <w:u w:val="single"/>
        </w:rPr>
        <w:t xml:space="preserve">       </w:t>
      </w:r>
    </w:p>
    <w:p w14:paraId="7988C61B">
      <w:pPr>
        <w:adjustRightInd w:val="0"/>
        <w:snapToGrid w:val="0"/>
        <w:spacing w:line="360" w:lineRule="auto"/>
        <w:rPr>
          <w:rFonts w:ascii="宋体" w:hAnsi="宋体" w:eastAsia="宋体" w:cs="Times New Roman"/>
          <w:szCs w:val="21"/>
        </w:rPr>
      </w:pPr>
      <w:r>
        <w:rPr>
          <w:rFonts w:hint="eastAsia" w:ascii="宋体" w:hAnsi="宋体" w:eastAsia="宋体" w:cs="Times New Roman"/>
          <w:szCs w:val="21"/>
        </w:rPr>
        <w:t>（4）是否分包：</w:t>
      </w:r>
      <w:r>
        <w:rPr>
          <w:rFonts w:hint="eastAsia" w:ascii="宋体" w:hAnsi="宋体" w:eastAsia="宋体" w:cs="Times New Roman"/>
          <w:szCs w:val="21"/>
          <w:u w:val="single"/>
        </w:rPr>
        <w:t xml:space="preserve">       否        </w:t>
      </w:r>
      <w:r>
        <w:rPr>
          <w:rFonts w:hint="eastAsia" w:ascii="宋体" w:hAnsi="宋体" w:eastAsia="宋体" w:cs="Times New Roman"/>
          <w:szCs w:val="21"/>
        </w:rPr>
        <w:t>。</w:t>
      </w:r>
    </w:p>
    <w:p w14:paraId="24B2BEE2">
      <w:pPr>
        <w:adjustRightInd w:val="0"/>
        <w:snapToGrid w:val="0"/>
        <w:spacing w:before="156" w:beforeLines="50" w:line="360" w:lineRule="auto"/>
        <w:rPr>
          <w:rFonts w:ascii="宋体" w:hAnsi="宋体" w:eastAsia="宋体" w:cs="Times New Roman"/>
          <w:b/>
          <w:szCs w:val="21"/>
        </w:rPr>
      </w:pPr>
      <w:r>
        <w:rPr>
          <w:rFonts w:hint="eastAsia" w:ascii="宋体" w:hAnsi="宋体" w:eastAsia="宋体" w:cs="Times New Roman"/>
          <w:b/>
          <w:szCs w:val="21"/>
        </w:rPr>
        <w:t>2.合同金额</w:t>
      </w:r>
    </w:p>
    <w:p w14:paraId="68CDF04F">
      <w:pPr>
        <w:adjustRightInd w:val="0"/>
        <w:snapToGrid w:val="0"/>
        <w:spacing w:line="360" w:lineRule="auto"/>
        <w:rPr>
          <w:rFonts w:ascii="宋体" w:hAnsi="宋体" w:eastAsia="宋体" w:cs="Times New Roman"/>
          <w:color w:val="auto"/>
          <w:szCs w:val="21"/>
        </w:rPr>
      </w:pPr>
      <w:r>
        <w:rPr>
          <w:rFonts w:hint="eastAsia" w:ascii="宋体" w:hAnsi="宋体" w:eastAsia="宋体" w:cs="Times New Roman"/>
          <w:szCs w:val="21"/>
        </w:rPr>
        <w:t>（1）合同金额</w:t>
      </w:r>
      <w:r>
        <w:rPr>
          <w:rFonts w:hint="eastAsia" w:ascii="宋体" w:hAnsi="宋体" w:eastAsia="宋体" w:cs="Times New Roman"/>
          <w:color w:val="auto"/>
          <w:szCs w:val="21"/>
        </w:rPr>
        <w:t>：小写：</w:t>
      </w:r>
      <w:r>
        <w:rPr>
          <w:rFonts w:ascii="宋体" w:hAnsi="宋体" w:eastAsia="宋体" w:cs="宋体"/>
          <w:color w:val="auto"/>
          <w:u w:val="single"/>
        </w:rPr>
        <w:t>　　</w:t>
      </w:r>
      <w:r>
        <w:rPr>
          <w:rFonts w:hint="eastAsia" w:ascii="宋体" w:hAnsi="宋体" w:eastAsia="宋体" w:cs="Times New Roman"/>
          <w:color w:val="auto"/>
          <w:szCs w:val="21"/>
          <w:u w:val="single"/>
        </w:rPr>
        <w:t>；</w:t>
      </w:r>
      <w:r>
        <w:rPr>
          <w:rFonts w:ascii="宋体" w:hAnsi="宋体" w:eastAsia="宋体" w:cs="Times New Roman"/>
          <w:color w:val="auto"/>
          <w:szCs w:val="21"/>
          <w:u w:val="single"/>
        </w:rPr>
        <w:t xml:space="preserve"> </w:t>
      </w:r>
      <w:r>
        <w:rPr>
          <w:rFonts w:hint="eastAsia" w:ascii="宋体" w:hAnsi="宋体" w:eastAsia="宋体" w:cs="Times New Roman"/>
          <w:color w:val="auto"/>
          <w:szCs w:val="21"/>
        </w:rPr>
        <w:t>大写：</w:t>
      </w:r>
      <w:r>
        <w:rPr>
          <w:rFonts w:ascii="宋体" w:hAnsi="宋体" w:eastAsia="宋体" w:cs="宋体"/>
          <w:color w:val="auto"/>
          <w:u w:val="single"/>
        </w:rPr>
        <w:t>　</w:t>
      </w:r>
      <w:r>
        <w:rPr>
          <w:rFonts w:hint="eastAsia" w:ascii="宋体" w:hAnsi="宋体" w:eastAsia="宋体" w:cs="Times New Roman"/>
          <w:color w:val="auto"/>
          <w:szCs w:val="21"/>
          <w:u w:val="single"/>
        </w:rPr>
        <w:t>，</w:t>
      </w:r>
      <w:r>
        <w:rPr>
          <w:rFonts w:ascii="宋体" w:hAnsi="宋体" w:eastAsia="宋体" w:cs="Times New Roman"/>
          <w:color w:val="auto"/>
          <w:szCs w:val="21"/>
          <w:u w:val="single"/>
        </w:rPr>
        <w:t>其中暂列金额为：小写</w:t>
      </w:r>
      <w:r>
        <w:rPr>
          <w:rFonts w:ascii="宋体" w:hAnsi="宋体" w:eastAsia="宋体" w:cs="宋体"/>
          <w:color w:val="auto"/>
          <w:u w:val="single"/>
        </w:rPr>
        <w:t>　　　　（大写　　　　）</w:t>
      </w:r>
      <w:r>
        <w:rPr>
          <w:rFonts w:ascii="宋体" w:hAnsi="宋体" w:eastAsia="宋体" w:cs="Times New Roman"/>
          <w:color w:val="auto"/>
          <w:szCs w:val="21"/>
          <w:u w:val="single"/>
        </w:rPr>
        <w:t xml:space="preserve">  。   </w:t>
      </w:r>
    </w:p>
    <w:p w14:paraId="40A6563E">
      <w:pPr>
        <w:widowControl w:val="0"/>
        <w:spacing w:line="360" w:lineRule="auto"/>
        <w:ind w:left="0" w:leftChars="0" w:firstLine="420" w:firstLineChars="200"/>
        <w:jc w:val="both"/>
        <w:rPr>
          <w:rFonts w:ascii="Times New Roman" w:hAnsi="Times New Roman" w:eastAsia="宋体" w:cs="Times New Roman"/>
          <w:kern w:val="2"/>
          <w:sz w:val="21"/>
          <w:szCs w:val="24"/>
          <w:lang w:val="en-US" w:eastAsia="zh-CN" w:bidi="ar-SA"/>
        </w:rPr>
      </w:pPr>
      <w:r>
        <w:rPr>
          <w:rFonts w:hint="eastAsia" w:ascii="宋体" w:hAnsi="宋体" w:eastAsia="宋体" w:cs="宋体"/>
          <w:color w:val="auto"/>
          <w:kern w:val="2"/>
          <w:sz w:val="21"/>
          <w:szCs w:val="24"/>
          <w:lang w:val="en-US" w:eastAsia="zh-CN" w:bidi="ar-SA"/>
        </w:rPr>
        <w:t>项目中标金额不能作为总价包干依据，最终结算价以省教育厅、省财政厅规定程序审计的审计</w:t>
      </w:r>
      <w:r>
        <w:rPr>
          <w:rFonts w:hint="eastAsia" w:ascii="宋体" w:hAnsi="宋体" w:eastAsia="宋体" w:cs="宋体"/>
          <w:kern w:val="2"/>
          <w:sz w:val="21"/>
          <w:szCs w:val="24"/>
          <w:lang w:val="en-US" w:eastAsia="zh-CN" w:bidi="ar-SA"/>
        </w:rPr>
        <w:t>结论为准。供应商应根据项目要求和现场情况，详细列明项目所需的设备、材料以及所有人工、管理、财务等所有费用，如供应商遗漏谈判文件所列工程量清单内容，均由成交人自负，采购人不再支付任何费用。</w:t>
      </w:r>
    </w:p>
    <w:p w14:paraId="20CC54C1">
      <w:pPr>
        <w:adjustRightInd w:val="0"/>
        <w:snapToGrid w:val="0"/>
        <w:spacing w:line="360" w:lineRule="auto"/>
        <w:rPr>
          <w:rFonts w:ascii="宋体" w:hAnsi="宋体" w:eastAsia="宋体" w:cs="Times New Roman"/>
          <w:szCs w:val="21"/>
        </w:rPr>
      </w:pPr>
      <w:r>
        <w:rPr>
          <w:rFonts w:hint="eastAsia" w:ascii="宋体" w:hAnsi="宋体" w:eastAsia="宋体" w:cs="Times New Roman"/>
          <w:szCs w:val="21"/>
        </w:rPr>
        <w:t>（2）具体标的见附件。</w:t>
      </w:r>
    </w:p>
    <w:p w14:paraId="32B512D8">
      <w:pPr>
        <w:spacing w:line="360" w:lineRule="auto"/>
        <w:rPr>
          <w:rFonts w:ascii="宋体" w:hAnsi="Times New Roman" w:eastAsia="宋体" w:cs="Times New Roman"/>
        </w:rPr>
      </w:pPr>
      <w:r>
        <w:rPr>
          <w:rFonts w:hint="eastAsia" w:ascii="宋体" w:hAnsi="宋体" w:eastAsia="宋体" w:cs="Times New Roman"/>
          <w:szCs w:val="21"/>
        </w:rPr>
        <w:t>（</w:t>
      </w:r>
      <w:r>
        <w:rPr>
          <w:rFonts w:ascii="宋体" w:hAnsi="宋体" w:eastAsia="宋体" w:cs="Times New Roman"/>
          <w:szCs w:val="21"/>
        </w:rPr>
        <w:t>3</w:t>
      </w:r>
      <w:r>
        <w:rPr>
          <w:rFonts w:hint="eastAsia" w:ascii="宋体" w:hAnsi="宋体" w:eastAsia="宋体" w:cs="Times New Roman"/>
          <w:szCs w:val="21"/>
        </w:rPr>
        <w:t>）付款方式：</w:t>
      </w:r>
      <w:r>
        <w:rPr>
          <w:rFonts w:hint="eastAsia" w:ascii="宋体" w:hAnsi="宋体" w:eastAsia="宋体" w:cs="宋体"/>
          <w:u w:val="single"/>
        </w:rPr>
        <w:t>按专用</w:t>
      </w:r>
      <w:r>
        <w:rPr>
          <w:rFonts w:ascii="宋体" w:hAnsi="宋体" w:eastAsia="宋体" w:cs="宋体"/>
          <w:u w:val="single"/>
        </w:rPr>
        <w:t>合同条款</w:t>
      </w:r>
      <w:r>
        <w:rPr>
          <w:rFonts w:hint="eastAsia" w:ascii="宋体" w:hAnsi="宋体" w:eastAsia="宋体" w:cs="宋体"/>
          <w:u w:val="single"/>
        </w:rPr>
        <w:t>12.4（工程</w:t>
      </w:r>
      <w:r>
        <w:rPr>
          <w:rFonts w:ascii="宋体" w:hAnsi="宋体" w:eastAsia="宋体" w:cs="宋体"/>
          <w:u w:val="single"/>
        </w:rPr>
        <w:t>进度款</w:t>
      </w:r>
      <w:r>
        <w:rPr>
          <w:rFonts w:hint="eastAsia" w:ascii="宋体" w:hAnsi="宋体" w:eastAsia="宋体" w:cs="宋体"/>
          <w:u w:val="single"/>
        </w:rPr>
        <w:t>）支付</w:t>
      </w:r>
      <w:r>
        <w:rPr>
          <w:rFonts w:ascii="宋体" w:hAnsi="宋体" w:eastAsia="宋体" w:cs="宋体"/>
          <w:u w:val="single"/>
        </w:rPr>
        <w:t>。</w:t>
      </w:r>
    </w:p>
    <w:p w14:paraId="34BEFFAB">
      <w:pPr>
        <w:adjustRightInd w:val="0"/>
        <w:snapToGrid w:val="0"/>
        <w:spacing w:before="156" w:beforeLines="50" w:line="360" w:lineRule="auto"/>
        <w:ind w:firstLine="420" w:firstLineChars="200"/>
        <w:rPr>
          <w:rFonts w:ascii="宋体" w:hAnsi="宋体" w:eastAsia="宋体" w:cs="Times New Roman"/>
          <w:szCs w:val="21"/>
          <w:u w:val="single"/>
        </w:rPr>
      </w:pPr>
      <w:r>
        <w:rPr>
          <w:rFonts w:hint="eastAsia" w:ascii="宋体" w:hAnsi="宋体" w:eastAsia="宋体" w:cs="Times New Roman"/>
          <w:b/>
          <w:szCs w:val="21"/>
        </w:rPr>
        <w:t>3.合同履行</w:t>
      </w:r>
    </w:p>
    <w:p w14:paraId="4548D406">
      <w:pPr>
        <w:adjustRightInd w:val="0"/>
        <w:snapToGrid w:val="0"/>
        <w:spacing w:before="156" w:beforeLines="50" w:line="360" w:lineRule="auto"/>
        <w:ind w:left="420" w:leftChars="200"/>
        <w:rPr>
          <w:rFonts w:ascii="宋体" w:hAnsi="宋体" w:eastAsia="宋体" w:cs="Times New Roman"/>
          <w:szCs w:val="21"/>
        </w:rPr>
      </w:pPr>
      <w:r>
        <w:rPr>
          <w:rFonts w:hint="eastAsia" w:ascii="宋体" w:hAnsi="宋体" w:eastAsia="宋体" w:cs="Times New Roman"/>
          <w:szCs w:val="21"/>
        </w:rPr>
        <w:t>（1）起始日期：</w:t>
      </w:r>
      <w:r>
        <w:rPr>
          <w:rFonts w:ascii="宋体" w:hAnsi="宋体" w:eastAsia="宋体" w:cs="Times New Roman"/>
          <w:szCs w:val="21"/>
          <w:u w:val="single"/>
        </w:rPr>
        <w:t xml:space="preserve">    </w:t>
      </w:r>
      <w:r>
        <w:rPr>
          <w:rFonts w:hint="eastAsia" w:ascii="宋体" w:hAnsi="宋体" w:eastAsia="宋体" w:cs="Times New Roman"/>
          <w:szCs w:val="21"/>
        </w:rPr>
        <w:t>年</w:t>
      </w:r>
      <w:r>
        <w:rPr>
          <w:rFonts w:ascii="宋体" w:hAnsi="宋体" w:eastAsia="宋体" w:cs="宋体"/>
          <w:color w:val="000000"/>
          <w:u w:val="single"/>
        </w:rPr>
        <w:t>　</w:t>
      </w:r>
      <w:r>
        <w:rPr>
          <w:rFonts w:hint="eastAsia" w:ascii="宋体" w:hAnsi="宋体" w:eastAsia="宋体" w:cs="宋体"/>
          <w:color w:val="000000"/>
          <w:u w:val="single"/>
        </w:rPr>
        <w:t xml:space="preserve"> </w:t>
      </w:r>
      <w:r>
        <w:rPr>
          <w:rFonts w:ascii="宋体" w:hAnsi="宋体" w:eastAsia="宋体" w:cs="宋体"/>
          <w:color w:val="000000"/>
          <w:u w:val="single"/>
        </w:rPr>
        <w:t xml:space="preserve">  </w:t>
      </w:r>
      <w:r>
        <w:rPr>
          <w:rFonts w:hint="eastAsia" w:ascii="宋体" w:hAnsi="宋体" w:eastAsia="宋体" w:cs="Times New Roman"/>
          <w:szCs w:val="21"/>
        </w:rPr>
        <w:t>月</w:t>
      </w:r>
      <w:r>
        <w:rPr>
          <w:rFonts w:ascii="宋体" w:hAnsi="宋体" w:eastAsia="宋体" w:cs="Times New Roman"/>
          <w:szCs w:val="21"/>
          <w:u w:val="single"/>
        </w:rPr>
        <w:t xml:space="preserve">    </w:t>
      </w:r>
      <w:r>
        <w:rPr>
          <w:rFonts w:hint="eastAsia" w:ascii="宋体" w:hAnsi="宋体" w:eastAsia="宋体" w:cs="Times New Roman"/>
          <w:szCs w:val="21"/>
        </w:rPr>
        <w:t>日，完成日期：</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ascii="宋体" w:hAnsi="宋体" w:eastAsia="宋体" w:cs="宋体"/>
          <w:color w:val="000000"/>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hint="eastAsia" w:ascii="宋体" w:hAnsi="宋体" w:eastAsia="宋体" w:cs="Times New Roman"/>
          <w:szCs w:val="21"/>
          <w:u w:val="single"/>
        </w:rPr>
        <w:t xml:space="preserve"> </w:t>
      </w:r>
      <w:r>
        <w:rPr>
          <w:rFonts w:ascii="宋体" w:hAnsi="宋体" w:eastAsia="宋体" w:cs="宋体"/>
          <w:color w:val="000000"/>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日。</w:t>
      </w:r>
    </w:p>
    <w:p w14:paraId="2BE04823">
      <w:pPr>
        <w:adjustRightInd w:val="0"/>
        <w:snapToGrid w:val="0"/>
        <w:spacing w:before="156" w:beforeLines="50" w:line="360" w:lineRule="auto"/>
        <w:ind w:left="420" w:leftChars="200"/>
        <w:rPr>
          <w:rFonts w:ascii="宋体" w:hAnsi="宋体" w:eastAsia="宋体" w:cs="Times New Roman"/>
          <w:szCs w:val="21"/>
        </w:rPr>
      </w:pPr>
      <w:r>
        <w:rPr>
          <w:rFonts w:hint="eastAsia" w:ascii="宋体" w:hAnsi="宋体" w:eastAsia="宋体" w:cs="Times New Roman"/>
          <w:szCs w:val="21"/>
        </w:rPr>
        <w:t>总日历天数：</w:t>
      </w:r>
      <w:r>
        <w:rPr>
          <w:rFonts w:ascii="宋体" w:hAnsi="宋体" w:eastAsia="宋体" w:cs="Times New Roman"/>
          <w:szCs w:val="21"/>
          <w:u w:val="single"/>
        </w:rPr>
        <w:t xml:space="preserve">   </w:t>
      </w:r>
      <w:r>
        <w:rPr>
          <w:rFonts w:ascii="宋体" w:hAnsi="宋体" w:eastAsia="宋体" w:cs="宋体"/>
          <w:color w:val="000000"/>
          <w:u w:val="single"/>
        </w:rPr>
        <w:t>　　</w:t>
      </w:r>
      <w:r>
        <w:rPr>
          <w:rFonts w:hint="eastAsia" w:ascii="宋体" w:hAnsi="宋体" w:eastAsia="宋体" w:cs="Times New Roman"/>
          <w:szCs w:val="21"/>
        </w:rPr>
        <w:t>天。</w:t>
      </w:r>
    </w:p>
    <w:p w14:paraId="16CD2ADC">
      <w:pPr>
        <w:adjustRightInd w:val="0"/>
        <w:snapToGrid w:val="0"/>
        <w:spacing w:before="156" w:beforeLines="50" w:line="360" w:lineRule="auto"/>
        <w:ind w:firstLine="420" w:firstLineChars="200"/>
        <w:rPr>
          <w:rFonts w:ascii="宋体" w:hAnsi="宋体" w:eastAsia="宋体" w:cs="Times New Roman"/>
          <w:szCs w:val="21"/>
          <w:u w:val="single"/>
        </w:rPr>
      </w:pPr>
      <w:r>
        <w:rPr>
          <w:rFonts w:hint="eastAsia" w:ascii="宋体" w:hAnsi="宋体" w:eastAsia="宋体" w:cs="Times New Roman"/>
          <w:szCs w:val="21"/>
        </w:rPr>
        <w:t>（2）地点</w:t>
      </w:r>
      <w:r>
        <w:rPr>
          <w:rFonts w:hint="eastAsia" w:ascii="宋体" w:hAnsi="宋体" w:eastAsia="宋体" w:cs="Times New Roman"/>
          <w:b/>
          <w:szCs w:val="21"/>
        </w:rPr>
        <w:t>：</w:t>
      </w:r>
      <w:r>
        <w:rPr>
          <w:rFonts w:hint="eastAsia" w:ascii="宋体" w:hAnsi="宋体" w:eastAsia="宋体" w:cs="Times New Roman"/>
          <w:szCs w:val="21"/>
          <w:u w:val="single"/>
        </w:rPr>
        <w:t xml:space="preserve"> 湘潭大学校园内          </w:t>
      </w:r>
    </w:p>
    <w:p w14:paraId="1AF9AD52">
      <w:pPr>
        <w:adjustRightInd w:val="0"/>
        <w:snapToGrid w:val="0"/>
        <w:spacing w:before="156" w:beforeLines="50" w:line="360" w:lineRule="auto"/>
        <w:ind w:firstLine="420" w:firstLineChars="200"/>
        <w:rPr>
          <w:rFonts w:ascii="宋体" w:hAnsi="宋体" w:eastAsia="宋体" w:cs="Times New Roman"/>
          <w:szCs w:val="21"/>
          <w:u w:val="single"/>
        </w:rPr>
      </w:pPr>
      <w:r>
        <w:rPr>
          <w:rFonts w:hint="eastAsia" w:ascii="宋体" w:hAnsi="宋体" w:eastAsia="宋体" w:cs="Times New Roman"/>
          <w:szCs w:val="21"/>
        </w:rPr>
        <w:t>（3）方式：</w:t>
      </w:r>
      <w:r>
        <w:rPr>
          <w:rFonts w:hint="eastAsia" w:ascii="宋体" w:hAnsi="宋体" w:eastAsia="宋体" w:cs="Times New Roman"/>
          <w:szCs w:val="21"/>
          <w:u w:val="single"/>
        </w:rPr>
        <w:t xml:space="preserve">                </w:t>
      </w:r>
      <w:r>
        <w:rPr>
          <w:rFonts w:ascii="宋体" w:hAnsi="宋体" w:eastAsia="宋体" w:cs="Times New Roman"/>
          <w:szCs w:val="21"/>
          <w:u w:val="single"/>
        </w:rPr>
        <w:t>/</w:t>
      </w:r>
      <w:r>
        <w:rPr>
          <w:rFonts w:hint="eastAsia" w:ascii="宋体" w:hAnsi="宋体" w:eastAsia="宋体" w:cs="Times New Roman"/>
          <w:szCs w:val="21"/>
          <w:u w:val="single"/>
        </w:rPr>
        <w:t xml:space="preserve">             </w:t>
      </w:r>
    </w:p>
    <w:p w14:paraId="2A047266">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（4）履约担保：</w:t>
      </w:r>
      <w:r>
        <w:rPr>
          <w:rFonts w:hint="eastAsia" w:ascii="宋体" w:hAnsi="宋体" w:eastAsia="宋体" w:cs="Times New Roman"/>
          <w:szCs w:val="21"/>
          <w:u w:val="single"/>
        </w:rPr>
        <w:t xml:space="preserve">            </w:t>
      </w:r>
      <w:r>
        <w:rPr>
          <w:rFonts w:ascii="宋体" w:hAnsi="宋体" w:eastAsia="宋体" w:cs="Times New Roman"/>
          <w:szCs w:val="21"/>
          <w:u w:val="single"/>
        </w:rPr>
        <w:t>/</w:t>
      </w:r>
      <w:r>
        <w:rPr>
          <w:rFonts w:hint="eastAsia" w:ascii="宋体" w:hAnsi="宋体" w:eastAsia="宋体" w:cs="Times New Roman"/>
          <w:szCs w:val="21"/>
          <w:u w:val="single"/>
        </w:rPr>
        <w:t xml:space="preserve">             </w:t>
      </w:r>
    </w:p>
    <w:p w14:paraId="6A553C0F">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（5）质量保证金：</w:t>
      </w:r>
      <w:r>
        <w:rPr>
          <w:rFonts w:hint="eastAsia" w:ascii="宋体" w:hAnsi="宋体" w:cs="Times New Roman"/>
          <w:bCs/>
          <w:szCs w:val="21"/>
          <w:u w:val="single"/>
          <w:lang w:val="en-US" w:eastAsia="zh-CN"/>
        </w:rPr>
        <w:t xml:space="preserve">       </w:t>
      </w:r>
      <w:r>
        <w:rPr>
          <w:rFonts w:hint="eastAsia" w:ascii="宋体" w:hAnsi="宋体" w:eastAsia="宋体" w:cs="Times New Roman"/>
          <w:bCs/>
          <w:szCs w:val="21"/>
        </w:rPr>
        <w:t>。</w:t>
      </w:r>
    </w:p>
    <w:p w14:paraId="1D1DD0B0">
      <w:pPr>
        <w:adjustRightInd w:val="0"/>
        <w:snapToGrid w:val="0"/>
        <w:spacing w:before="156" w:beforeLines="50" w:line="360" w:lineRule="auto"/>
        <w:ind w:firstLine="420" w:firstLineChars="200"/>
        <w:rPr>
          <w:rFonts w:ascii="宋体" w:hAnsi="宋体" w:eastAsia="宋体" w:cs="Times New Roman"/>
          <w:b/>
          <w:szCs w:val="21"/>
        </w:rPr>
      </w:pPr>
      <w:r>
        <w:rPr>
          <w:rFonts w:hint="eastAsia" w:ascii="宋体" w:hAnsi="宋体" w:eastAsia="宋体" w:cs="Times New Roman"/>
          <w:b/>
          <w:szCs w:val="21"/>
        </w:rPr>
        <w:t>4.合同验收</w:t>
      </w:r>
    </w:p>
    <w:p w14:paraId="1E02B63C">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（1）验收主体：</w:t>
      </w:r>
      <w:r>
        <w:rPr>
          <w:rFonts w:hint="eastAsia" w:ascii="宋体" w:hAnsi="宋体" w:eastAsia="宋体" w:cs="Times New Roman"/>
          <w:bCs/>
          <w:szCs w:val="21"/>
          <w:u w:val="single"/>
        </w:rPr>
        <w:t xml:space="preserve">     湘潭大学基建监管小组 </w:t>
      </w:r>
      <w:r>
        <w:rPr>
          <w:rFonts w:hint="eastAsia" w:ascii="宋体" w:hAnsi="宋体" w:eastAsia="宋体" w:cs="Times New Roman"/>
          <w:bCs/>
          <w:szCs w:val="21"/>
        </w:rPr>
        <w:t>。</w:t>
      </w:r>
    </w:p>
    <w:p w14:paraId="13A4EFD9">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（2）验收方式：</w:t>
      </w:r>
      <w:r>
        <w:rPr>
          <w:rFonts w:hint="eastAsia" w:ascii="宋体" w:hAnsi="宋体" w:eastAsia="宋体" w:cs="Times New Roman"/>
          <w:bCs/>
          <w:szCs w:val="21"/>
          <w:u w:val="single"/>
        </w:rPr>
        <w:t xml:space="preserve">           现场</w:t>
      </w:r>
      <w:r>
        <w:rPr>
          <w:rFonts w:ascii="宋体" w:hAnsi="宋体" w:eastAsia="宋体" w:cs="Times New Roman"/>
          <w:bCs/>
          <w:szCs w:val="21"/>
          <w:u w:val="single"/>
        </w:rPr>
        <w:t>验收</w:t>
      </w:r>
      <w:r>
        <w:rPr>
          <w:rFonts w:hint="eastAsia" w:ascii="宋体" w:hAnsi="宋体" w:eastAsia="宋体" w:cs="Times New Roman"/>
          <w:bCs/>
          <w:szCs w:val="21"/>
          <w:u w:val="single"/>
        </w:rPr>
        <w:t xml:space="preserve">              </w:t>
      </w:r>
      <w:r>
        <w:rPr>
          <w:rFonts w:hint="eastAsia" w:ascii="宋体" w:hAnsi="宋体" w:eastAsia="宋体" w:cs="Times New Roman"/>
          <w:bCs/>
          <w:szCs w:val="21"/>
        </w:rPr>
        <w:t>。</w:t>
      </w:r>
    </w:p>
    <w:p w14:paraId="69C0CD0D">
      <w:pPr>
        <w:adjustRightInd w:val="0"/>
        <w:snapToGrid w:val="0"/>
        <w:spacing w:before="156" w:beforeLines="50" w:line="360" w:lineRule="auto"/>
        <w:ind w:firstLine="420" w:firstLineChars="200"/>
        <w:rPr>
          <w:rFonts w:ascii="宋体" w:hAnsi="宋体" w:eastAsia="宋体" w:cs="Times New Roman"/>
          <w:bCs/>
          <w:szCs w:val="21"/>
        </w:rPr>
      </w:pPr>
      <w:r>
        <w:rPr>
          <w:rFonts w:hint="eastAsia" w:ascii="宋体" w:hAnsi="宋体" w:eastAsia="宋体" w:cs="Times New Roman"/>
          <w:bCs/>
          <w:szCs w:val="21"/>
        </w:rPr>
        <w:t>（3）验收标准：</w:t>
      </w:r>
      <w:r>
        <w:rPr>
          <w:rFonts w:hint="eastAsia" w:ascii="宋体" w:hAnsi="宋体" w:eastAsia="宋体" w:cs="宋体"/>
          <w:u w:val="single"/>
        </w:rPr>
        <w:t>符合《工程施工质量验收规范》要求的合格工程</w:t>
      </w:r>
      <w:r>
        <w:rPr>
          <w:rFonts w:hint="eastAsia" w:ascii="宋体" w:hAnsi="宋体" w:eastAsia="宋体" w:cs="Times New Roman"/>
          <w:bCs/>
          <w:szCs w:val="21"/>
        </w:rPr>
        <w:t>。</w:t>
      </w:r>
    </w:p>
    <w:p w14:paraId="36181FBC">
      <w:pPr>
        <w:adjustRightInd w:val="0"/>
        <w:snapToGrid w:val="0"/>
        <w:spacing w:before="156" w:beforeLines="50" w:line="360" w:lineRule="auto"/>
        <w:ind w:firstLine="420" w:firstLineChars="200"/>
        <w:rPr>
          <w:rFonts w:ascii="宋体" w:hAnsi="宋体" w:eastAsia="宋体" w:cs="Times New Roman"/>
          <w:b/>
          <w:szCs w:val="21"/>
        </w:rPr>
      </w:pPr>
      <w:r>
        <w:rPr>
          <w:rFonts w:hint="eastAsia" w:ascii="宋体" w:hAnsi="宋体" w:eastAsia="宋体" w:cs="Times New Roman"/>
          <w:b/>
          <w:szCs w:val="21"/>
        </w:rPr>
        <w:t>5.组成合同的文件</w:t>
      </w:r>
    </w:p>
    <w:p w14:paraId="34BC6C6F">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本协议书与下列文件一起构成合同文件，如下述文件之间有任何抵触、矛盾或歧义，应按以下顺序解释：</w:t>
      </w:r>
    </w:p>
    <w:p w14:paraId="7004A575">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（1）在采购或合同履行过程中乙方作出的承诺以及双方协商达成的变更或补充协议</w:t>
      </w:r>
    </w:p>
    <w:p w14:paraId="1C5BC66F">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（2）本合同协议书</w:t>
      </w:r>
    </w:p>
    <w:p w14:paraId="10798195">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（3）成交通知书</w:t>
      </w:r>
    </w:p>
    <w:p w14:paraId="2E794FC9">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（4）响应文件</w:t>
      </w:r>
    </w:p>
    <w:p w14:paraId="4843CE83">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（5）政府采购合同专用条款</w:t>
      </w:r>
    </w:p>
    <w:p w14:paraId="0CEB47FF">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（6）政府采购合同通用条款</w:t>
      </w:r>
    </w:p>
    <w:p w14:paraId="37CCE43A">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（7）标准、规范及有关技术文件，图纸。</w:t>
      </w:r>
    </w:p>
    <w:p w14:paraId="362DFE35">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（8）其他合同文件。</w:t>
      </w:r>
    </w:p>
    <w:p w14:paraId="606A31D4">
      <w:pPr>
        <w:adjustRightInd w:val="0"/>
        <w:snapToGrid w:val="0"/>
        <w:spacing w:before="156" w:beforeLines="50" w:line="360" w:lineRule="auto"/>
        <w:ind w:firstLine="308" w:firstLineChars="147"/>
        <w:rPr>
          <w:rFonts w:ascii="宋体" w:hAnsi="宋体" w:eastAsia="宋体" w:cs="Times New Roman"/>
          <w:b/>
          <w:szCs w:val="21"/>
        </w:rPr>
      </w:pPr>
      <w:r>
        <w:rPr>
          <w:rFonts w:hint="eastAsia" w:ascii="宋体" w:hAnsi="宋体" w:eastAsia="宋体" w:cs="Times New Roman"/>
          <w:b/>
          <w:szCs w:val="21"/>
        </w:rPr>
        <w:t>6.合同生效</w:t>
      </w:r>
    </w:p>
    <w:p w14:paraId="7607B925">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本合同自</w:t>
      </w:r>
      <w:r>
        <w:rPr>
          <w:rFonts w:hint="eastAsia" w:ascii="宋体" w:hAnsi="宋体" w:eastAsia="宋体" w:cs="Times New Roman"/>
          <w:szCs w:val="21"/>
          <w:u w:val="single"/>
        </w:rPr>
        <w:t xml:space="preserve">     双方签字、盖章之日起     </w:t>
      </w:r>
      <w:r>
        <w:rPr>
          <w:rFonts w:hint="eastAsia" w:ascii="宋体" w:hAnsi="宋体" w:eastAsia="宋体" w:cs="Times New Roman"/>
          <w:szCs w:val="21"/>
        </w:rPr>
        <w:t>生效。</w:t>
      </w:r>
    </w:p>
    <w:p w14:paraId="6FB0BD2D">
      <w:pPr>
        <w:adjustRightInd w:val="0"/>
        <w:snapToGrid w:val="0"/>
        <w:spacing w:before="156" w:beforeLines="50" w:line="360" w:lineRule="auto"/>
        <w:ind w:firstLine="308" w:firstLineChars="147"/>
        <w:rPr>
          <w:rFonts w:ascii="宋体" w:hAnsi="宋体" w:eastAsia="宋体" w:cs="Times New Roman"/>
          <w:b/>
          <w:szCs w:val="21"/>
        </w:rPr>
      </w:pPr>
      <w:r>
        <w:rPr>
          <w:rFonts w:hint="eastAsia" w:ascii="宋体" w:hAnsi="宋体" w:eastAsia="宋体" w:cs="Times New Roman"/>
          <w:b/>
          <w:szCs w:val="21"/>
        </w:rPr>
        <w:t>7.合同份数</w:t>
      </w:r>
    </w:p>
    <w:p w14:paraId="2F250782">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本合同一式</w:t>
      </w:r>
      <w:r>
        <w:rPr>
          <w:rFonts w:hint="eastAsia" w:ascii="宋体" w:hAnsi="宋体" w:eastAsia="宋体" w:cs="Times New Roman"/>
          <w:szCs w:val="21"/>
          <w:u w:val="single"/>
        </w:rPr>
        <w:t xml:space="preserve"> 陆</w:t>
      </w:r>
      <w:r>
        <w:rPr>
          <w:rFonts w:ascii="宋体" w:hAnsi="宋体" w:eastAsia="宋体" w:cs="Times New Roman"/>
          <w:szCs w:val="21"/>
          <w:u w:val="single"/>
        </w:rPr>
        <w:t xml:space="preserve"> </w:t>
      </w:r>
      <w:r>
        <w:rPr>
          <w:rFonts w:hint="eastAsia" w:ascii="宋体" w:hAnsi="宋体" w:eastAsia="宋体" w:cs="Times New Roman"/>
          <w:szCs w:val="21"/>
        </w:rPr>
        <w:t>份，采购人执</w:t>
      </w:r>
      <w:r>
        <w:rPr>
          <w:rFonts w:hint="eastAsia" w:ascii="宋体" w:hAnsi="宋体" w:eastAsia="宋体" w:cs="Times New Roman"/>
          <w:szCs w:val="21"/>
          <w:u w:val="single"/>
        </w:rPr>
        <w:t xml:space="preserve"> 肆  </w:t>
      </w:r>
      <w:r>
        <w:rPr>
          <w:rFonts w:hint="eastAsia" w:ascii="宋体" w:hAnsi="宋体" w:eastAsia="宋体" w:cs="Times New Roman"/>
          <w:szCs w:val="21"/>
        </w:rPr>
        <w:t>份，供应商执</w:t>
      </w:r>
      <w:r>
        <w:rPr>
          <w:rFonts w:hint="eastAsia" w:ascii="宋体" w:hAnsi="宋体" w:eastAsia="宋体" w:cs="Times New Roman"/>
          <w:szCs w:val="21"/>
          <w:u w:val="single"/>
        </w:rPr>
        <w:t xml:space="preserve">  贰 </w:t>
      </w:r>
      <w:r>
        <w:rPr>
          <w:rFonts w:hint="eastAsia" w:ascii="宋体" w:hAnsi="宋体" w:eastAsia="宋体" w:cs="Times New Roman"/>
          <w:szCs w:val="21"/>
        </w:rPr>
        <w:t>份，均具有同等法律效力。</w:t>
      </w:r>
    </w:p>
    <w:p w14:paraId="1270A6B9">
      <w:pPr>
        <w:adjustRightInd w:val="0"/>
        <w:snapToGrid w:val="0"/>
        <w:spacing w:before="156" w:beforeLines="50" w:line="360" w:lineRule="auto"/>
        <w:ind w:firstLine="420" w:firstLineChars="200"/>
        <w:rPr>
          <w:rFonts w:ascii="宋体" w:hAnsi="宋体" w:eastAsia="宋体" w:cs="Times New Roman"/>
          <w:szCs w:val="21"/>
        </w:rPr>
      </w:pPr>
      <w:r>
        <w:rPr>
          <w:rFonts w:hint="eastAsia" w:ascii="宋体" w:hAnsi="宋体" w:eastAsia="宋体" w:cs="Times New Roman"/>
          <w:szCs w:val="21"/>
        </w:rPr>
        <w:t>合同订立时间：</w:t>
      </w:r>
      <w:r>
        <w:rPr>
          <w:rFonts w:hint="eastAsia"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ascii="宋体" w:hAnsi="宋体" w:eastAsia="宋体" w:cs="宋体"/>
          <w:color w:val="000000"/>
          <w:u w:val="single"/>
        </w:rPr>
        <w:t>　</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ascii="宋体" w:hAnsi="宋体" w:eastAsia="宋体" w:cs="Times New Roman"/>
          <w:szCs w:val="21"/>
          <w:u w:val="single"/>
        </w:rPr>
        <w:t xml:space="preserve"> </w:t>
      </w:r>
      <w:r>
        <w:rPr>
          <w:rFonts w:ascii="宋体" w:hAnsi="宋体" w:eastAsia="宋体" w:cs="宋体"/>
          <w:color w:val="000000"/>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日</w:t>
      </w:r>
    </w:p>
    <w:p w14:paraId="5ADF04E2">
      <w:pPr>
        <w:adjustRightInd w:val="0"/>
        <w:snapToGrid w:val="0"/>
        <w:spacing w:before="156" w:beforeLines="50" w:line="360" w:lineRule="auto"/>
        <w:ind w:firstLine="420" w:firstLineChars="200"/>
        <w:rPr>
          <w:rFonts w:hint="default" w:ascii="宋体" w:hAnsi="宋体" w:eastAsia="宋体" w:cs="Times New Roman"/>
          <w:szCs w:val="21"/>
          <w:u w:val="single"/>
          <w:lang w:val="en-US" w:eastAsia="zh-CN"/>
        </w:rPr>
      </w:pPr>
      <w:r>
        <w:rPr>
          <w:rFonts w:hint="eastAsia" w:ascii="宋体" w:hAnsi="宋体" w:eastAsia="宋体" w:cs="Times New Roman"/>
          <w:szCs w:val="21"/>
        </w:rPr>
        <w:t>合同订立地点</w:t>
      </w:r>
      <w:r>
        <w:rPr>
          <w:rFonts w:hint="eastAsia" w:ascii="宋体" w:hAnsi="宋体" w:eastAsia="宋体" w:cs="Times New Roman"/>
          <w:szCs w:val="21"/>
          <w:u w:val="none"/>
          <w:lang w:eastAsia="zh-CN"/>
        </w:rPr>
        <w:t>：</w:t>
      </w:r>
      <w:r>
        <w:rPr>
          <w:rFonts w:hint="eastAsia" w:ascii="宋体" w:hAnsi="宋体" w:eastAsia="宋体" w:cs="Times New Roman"/>
          <w:szCs w:val="21"/>
          <w:u w:val="single"/>
          <w:lang w:val="en-US" w:eastAsia="zh-CN"/>
        </w:rPr>
        <w:t xml:space="preserve">     </w:t>
      </w:r>
    </w:p>
    <w:p w14:paraId="1585FC13">
      <w:pPr>
        <w:adjustRightInd w:val="0"/>
        <w:snapToGrid w:val="0"/>
        <w:spacing w:before="156" w:beforeLines="50" w:line="360" w:lineRule="auto"/>
        <w:ind w:firstLine="420" w:firstLineChars="200"/>
        <w:rPr>
          <w:rFonts w:hint="default" w:ascii="宋体" w:hAnsi="宋体" w:eastAsia="宋体" w:cs="Times New Roman"/>
          <w:szCs w:val="21"/>
          <w:u w:val="single"/>
          <w:lang w:val="en-US" w:eastAsia="zh-CN"/>
        </w:rPr>
      </w:pPr>
    </w:p>
    <w:p w14:paraId="719F8BE4">
      <w:pPr>
        <w:adjustRightInd w:val="0"/>
        <w:snapToGrid w:val="0"/>
        <w:spacing w:before="156" w:beforeLines="50" w:line="360" w:lineRule="auto"/>
        <w:ind w:firstLine="420" w:firstLineChars="200"/>
        <w:rPr>
          <w:rFonts w:ascii="宋体" w:hAnsi="Times New Roman" w:eastAsia="宋体" w:cs="Times New Roman"/>
        </w:rPr>
      </w:pPr>
      <w:r>
        <w:rPr>
          <w:rFonts w:hint="eastAsia" w:ascii="宋体" w:hAnsi="宋体" w:eastAsia="宋体" w:cs="Times New Roman"/>
          <w:szCs w:val="21"/>
        </w:rPr>
        <w:t xml:space="preserve">附件：具体标的明细、分包合同等。    </w:t>
      </w:r>
      <w:r>
        <w:rPr>
          <w:rFonts w:ascii="宋体" w:hAnsi="宋体" w:eastAsia="宋体" w:cs="宋体"/>
        </w:rPr>
        <w:t xml:space="preserve">    </w:t>
      </w:r>
    </w:p>
    <w:p w14:paraId="116D472F">
      <w:pPr>
        <w:adjustRightInd w:val="0"/>
        <w:snapToGrid w:val="0"/>
        <w:spacing w:line="360" w:lineRule="auto"/>
        <w:ind w:right="23" w:rightChars="11" w:firstLine="420" w:firstLineChars="200"/>
        <w:rPr>
          <w:rFonts w:ascii="宋体" w:hAnsi="Times New Roman" w:eastAsia="宋体" w:cs="Times New Roman"/>
        </w:rPr>
      </w:pPr>
    </w:p>
    <w:p w14:paraId="705064D7">
      <w:pPr>
        <w:adjustRightInd w:val="0"/>
        <w:snapToGrid w:val="0"/>
        <w:spacing w:before="156" w:beforeLines="50" w:line="360" w:lineRule="auto"/>
        <w:rPr>
          <w:rFonts w:ascii="宋体" w:hAnsi="宋体" w:eastAsia="宋体" w:cs="Times New Roman"/>
          <w:szCs w:val="21"/>
        </w:rPr>
      </w:pPr>
    </w:p>
    <w:p w14:paraId="0F1B8A88">
      <w:pPr>
        <w:widowControl w:val="0"/>
        <w:ind w:left="420" w:leftChars="200"/>
        <w:jc w:val="both"/>
        <w:rPr>
          <w:rFonts w:ascii="Times New Roman" w:hAnsi="Times New Roman" w:eastAsia="宋体" w:cs="Times New Roman"/>
          <w:kern w:val="2"/>
          <w:sz w:val="21"/>
          <w:szCs w:val="24"/>
          <w:lang w:val="en-US" w:eastAsia="zh-CN" w:bidi="ar-SA"/>
        </w:rPr>
      </w:pPr>
    </w:p>
    <w:p w14:paraId="7968C5CE">
      <w:pPr>
        <w:rPr>
          <w:rFonts w:ascii="Times New Roman" w:hAnsi="Times New Roman" w:eastAsia="宋体" w:cs="Times New Roman"/>
        </w:rPr>
      </w:pPr>
    </w:p>
    <w:p w14:paraId="0D792CFF">
      <w:pPr>
        <w:widowControl w:val="0"/>
        <w:ind w:left="420" w:leftChars="200"/>
        <w:jc w:val="both"/>
        <w:rPr>
          <w:rFonts w:ascii="Times New Roman" w:hAnsi="Times New Roman" w:eastAsia="宋体" w:cs="Times New Roman"/>
          <w:kern w:val="2"/>
          <w:sz w:val="21"/>
          <w:szCs w:val="24"/>
          <w:lang w:val="en-US" w:eastAsia="zh-CN" w:bidi="ar-SA"/>
        </w:rPr>
      </w:pPr>
    </w:p>
    <w:p w14:paraId="332AA8F8">
      <w:pPr>
        <w:rPr>
          <w:rFonts w:ascii="Times New Roman" w:hAnsi="Times New Roman" w:eastAsia="宋体" w:cs="Times New Roman"/>
        </w:rPr>
      </w:pPr>
    </w:p>
    <w:p w14:paraId="173C4413">
      <w:pPr>
        <w:adjustRightInd w:val="0"/>
        <w:snapToGrid w:val="0"/>
        <w:spacing w:before="156" w:beforeLines="50" w:line="360" w:lineRule="auto"/>
        <w:rPr>
          <w:rFonts w:ascii="宋体" w:hAnsi="宋体" w:eastAsia="宋体" w:cs="Times New Roman"/>
          <w:szCs w:val="21"/>
        </w:rPr>
      </w:pPr>
    </w:p>
    <w:p w14:paraId="088D3F88">
      <w:pPr>
        <w:adjustRightInd w:val="0"/>
        <w:snapToGrid w:val="0"/>
        <w:spacing w:before="156" w:beforeLines="50" w:line="360" w:lineRule="auto"/>
        <w:rPr>
          <w:rFonts w:ascii="宋体" w:hAnsi="宋体" w:eastAsia="宋体" w:cs="Times New Roman"/>
          <w:szCs w:val="21"/>
        </w:rPr>
      </w:pPr>
    </w:p>
    <w:p w14:paraId="5427FCC1">
      <w:pPr>
        <w:adjustRightInd w:val="0"/>
        <w:snapToGrid w:val="0"/>
        <w:spacing w:before="156" w:beforeLines="50" w:line="360" w:lineRule="auto"/>
        <w:rPr>
          <w:rFonts w:ascii="宋体" w:hAnsi="宋体" w:eastAsia="宋体" w:cs="Times New Roman"/>
          <w:szCs w:val="21"/>
        </w:rPr>
      </w:pPr>
    </w:p>
    <w:p w14:paraId="6877DDB0">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甲      方：（公章）                    乙      方：（公章）</w:t>
      </w:r>
    </w:p>
    <w:p w14:paraId="00BD204A">
      <w:pPr>
        <w:adjustRightInd w:val="0"/>
        <w:snapToGrid w:val="0"/>
        <w:spacing w:before="156" w:beforeLines="50" w:line="360" w:lineRule="auto"/>
        <w:rPr>
          <w:rFonts w:ascii="宋体" w:hAnsi="宋体" w:eastAsia="宋体" w:cs="Times New Roman"/>
          <w:szCs w:val="21"/>
        </w:rPr>
      </w:pPr>
    </w:p>
    <w:p w14:paraId="7708EF78">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法定代表人：</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法定代表人：</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14:paraId="1DEDB0B3">
      <w:pPr>
        <w:adjustRightInd w:val="0"/>
        <w:snapToGrid w:val="0"/>
        <w:spacing w:before="156" w:beforeLines="50" w:line="360" w:lineRule="auto"/>
        <w:rPr>
          <w:rFonts w:ascii="宋体" w:hAnsi="宋体" w:eastAsia="宋体" w:cs="Times New Roman"/>
          <w:szCs w:val="21"/>
        </w:rPr>
      </w:pPr>
    </w:p>
    <w:p w14:paraId="5E07EDC3">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委托代理人：</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委托代理人：</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14:paraId="7BD515D0">
      <w:pPr>
        <w:adjustRightInd w:val="0"/>
        <w:snapToGrid w:val="0"/>
        <w:spacing w:before="156" w:beforeLines="50" w:line="360" w:lineRule="auto"/>
        <w:rPr>
          <w:rFonts w:ascii="宋体" w:hAnsi="宋体" w:eastAsia="宋体" w:cs="Times New Roman"/>
          <w:szCs w:val="21"/>
          <w:highlight w:val="green"/>
        </w:rPr>
      </w:pPr>
      <w:r>
        <w:rPr>
          <w:rFonts w:hint="eastAsia" w:ascii="宋体" w:hAnsi="宋体" w:eastAsia="宋体" w:cs="Times New Roman"/>
          <w:szCs w:val="21"/>
        </w:rPr>
        <w:t>电      话：</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电      话：</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14:paraId="33AF1236">
      <w:pPr>
        <w:adjustRightInd w:val="0"/>
        <w:snapToGrid w:val="0"/>
        <w:spacing w:before="156" w:beforeLines="50" w:line="360" w:lineRule="auto"/>
        <w:rPr>
          <w:rFonts w:ascii="宋体" w:hAnsi="宋体" w:eastAsia="宋体" w:cs="Times New Roman"/>
          <w:szCs w:val="21"/>
        </w:rPr>
      </w:pPr>
      <w:r>
        <w:rPr>
          <w:rFonts w:hint="eastAsia" w:ascii="宋体" w:hAnsi="宋体" w:eastAsia="宋体" w:cs="Times New Roman"/>
          <w:szCs w:val="21"/>
        </w:rPr>
        <w:t>传      真：</w:t>
      </w:r>
      <w:r>
        <w:rPr>
          <w:rFonts w:hint="eastAsia" w:ascii="宋体" w:hAnsi="宋体" w:eastAsia="宋体" w:cs="Times New Roman"/>
          <w:szCs w:val="21"/>
          <w:u w:val="single"/>
        </w:rPr>
        <w:t xml:space="preserve">   </w:t>
      </w:r>
      <w:r>
        <w:rPr>
          <w:rFonts w:hint="eastAsia" w:ascii="宋体" w:hAnsi="宋体" w:cs="Times New Roman"/>
          <w:szCs w:val="21"/>
          <w:u w:val="single"/>
          <w:lang w:val="en-US" w:eastAsia="zh-CN"/>
        </w:rPr>
        <w:t xml:space="preserve">              </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传      真：</w:t>
      </w:r>
      <w:r>
        <w:rPr>
          <w:rFonts w:hint="eastAsia" w:ascii="宋体" w:hAnsi="宋体" w:eastAsia="宋体" w:cs="Times New Roman"/>
          <w:szCs w:val="21"/>
          <w:u w:val="single"/>
        </w:rPr>
        <w:t xml:space="preserve">         /         </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p>
    <w:p w14:paraId="2B661836">
      <w:pPr>
        <w:spacing w:line="360" w:lineRule="auto"/>
        <w:ind w:left="5460" w:hanging="5460" w:hangingChars="2600"/>
        <w:rPr>
          <w:rFonts w:ascii="宋体" w:hAnsi="宋体" w:eastAsia="宋体" w:cs="Times New Roman"/>
          <w:szCs w:val="21"/>
        </w:rPr>
      </w:pPr>
      <w:r>
        <w:rPr>
          <w:rFonts w:hint="eastAsia" w:ascii="宋体" w:hAnsi="宋体" w:eastAsia="宋体" w:cs="Times New Roman"/>
          <w:szCs w:val="21"/>
        </w:rPr>
        <w:t xml:space="preserve">                                        开户银行：</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 </w:t>
      </w:r>
    </w:p>
    <w:p w14:paraId="06E12F29">
      <w:pPr>
        <w:spacing w:line="360" w:lineRule="auto"/>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账    号：</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p>
    <w:p w14:paraId="7F3EE659">
      <w:pPr>
        <w:adjustRightInd w:val="0"/>
        <w:snapToGrid w:val="0"/>
        <w:spacing w:before="156" w:beforeLines="50" w:line="360" w:lineRule="auto"/>
        <w:jc w:val="center"/>
        <w:rPr>
          <w:rFonts w:ascii="宋体" w:hAnsi="宋体"/>
          <w:b/>
          <w:szCs w:val="21"/>
        </w:rPr>
        <w:sectPr>
          <w:headerReference r:id="rId6" w:type="default"/>
          <w:footerReference r:id="rId7" w:type="default"/>
          <w:pgSz w:w="11906" w:h="16838"/>
          <w:pgMar w:top="1418" w:right="1418" w:bottom="1134" w:left="1418" w:header="851" w:footer="992" w:gutter="0"/>
          <w:cols w:space="720" w:num="1"/>
          <w:docGrid w:type="linesAndChars" w:linePitch="312" w:charSpace="0"/>
        </w:sectPr>
      </w:pPr>
    </w:p>
    <w:p w14:paraId="073224AD">
      <w:pPr>
        <w:snapToGrid w:val="0"/>
        <w:spacing w:line="360" w:lineRule="auto"/>
        <w:ind w:right="23" w:rightChars="11"/>
        <w:rPr>
          <w:rFonts w:ascii="宋体" w:hAnsi="Times New Roman" w:eastAsia="宋体" w:cs="Times New Roman"/>
          <w:b/>
          <w:bCs/>
        </w:rPr>
      </w:pPr>
    </w:p>
    <w:p w14:paraId="3CF78A33">
      <w:pPr>
        <w:keepNext/>
        <w:keepLines/>
        <w:adjustRightInd w:val="0"/>
        <w:snapToGrid w:val="0"/>
        <w:spacing w:before="156" w:beforeLines="50" w:line="360" w:lineRule="auto"/>
        <w:jc w:val="center"/>
        <w:outlineLvl w:val="9"/>
        <w:rPr>
          <w:rFonts w:ascii="黑体" w:hAnsi="黑体" w:eastAsia="黑体" w:cs="Times New Roman"/>
          <w:b/>
          <w:bCs/>
          <w:sz w:val="28"/>
          <w:szCs w:val="28"/>
        </w:rPr>
      </w:pPr>
      <w:bookmarkStart w:id="97" w:name="_Toc22201111"/>
      <w:bookmarkStart w:id="98" w:name="_Toc4216"/>
      <w:bookmarkStart w:id="99" w:name="_Toc449"/>
      <w:bookmarkStart w:id="100" w:name="_Toc32542"/>
      <w:bookmarkStart w:id="101" w:name="OLE_LINK19"/>
      <w:bookmarkStart w:id="102" w:name="OLE_LINK18"/>
      <w:r>
        <w:rPr>
          <w:rFonts w:hint="eastAsia" w:ascii="黑体" w:hAnsi="黑体" w:eastAsia="黑体" w:cs="Times New Roman"/>
          <w:b/>
          <w:bCs/>
          <w:sz w:val="28"/>
          <w:szCs w:val="28"/>
        </w:rPr>
        <w:t>二、 政府采购合同</w:t>
      </w:r>
      <w:bookmarkEnd w:id="97"/>
      <w:bookmarkEnd w:id="98"/>
      <w:bookmarkEnd w:id="99"/>
      <w:bookmarkEnd w:id="100"/>
    </w:p>
    <w:p w14:paraId="78F3D9EB">
      <w:pPr>
        <w:tabs>
          <w:tab w:val="left" w:pos="8820"/>
          <w:tab w:val="left" w:pos="9345"/>
          <w:tab w:val="left" w:pos="9765"/>
        </w:tabs>
        <w:adjustRightInd w:val="0"/>
        <w:snapToGrid w:val="0"/>
        <w:spacing w:before="156" w:beforeLines="50" w:line="360" w:lineRule="auto"/>
        <w:ind w:right="384" w:rightChars="183"/>
        <w:jc w:val="center"/>
        <w:rPr>
          <w:rFonts w:ascii="黑体" w:hAnsi="华文中宋" w:eastAsia="黑体" w:cs="Times New Roman"/>
          <w:b/>
          <w:bCs/>
          <w:sz w:val="30"/>
          <w:szCs w:val="30"/>
        </w:rPr>
      </w:pPr>
      <w:r>
        <w:rPr>
          <w:rFonts w:hint="eastAsia" w:ascii="黑体" w:hAnsi="华文中宋" w:eastAsia="黑体" w:cs="黑体"/>
          <w:b/>
          <w:bCs/>
          <w:sz w:val="30"/>
          <w:szCs w:val="30"/>
        </w:rPr>
        <w:t>政府采购合同通用条款（工程类）</w:t>
      </w:r>
    </w:p>
    <w:p w14:paraId="0B53DB0D">
      <w:pPr>
        <w:snapToGrid w:val="0"/>
        <w:spacing w:line="360" w:lineRule="auto"/>
        <w:ind w:right="23" w:rightChars="11"/>
        <w:jc w:val="center"/>
        <w:rPr>
          <w:rFonts w:ascii="Times New Roman" w:hAnsi="宋体" w:eastAsia="宋体" w:cs="Times New Roman"/>
          <w:b/>
          <w:bCs/>
        </w:rPr>
      </w:pPr>
      <w:bookmarkStart w:id="103" w:name="_Toc10708"/>
      <w:r>
        <w:rPr>
          <w:rFonts w:hint="eastAsia" w:ascii="Times New Roman" w:hAnsi="宋体" w:eastAsia="宋体" w:cs="Times New Roman"/>
          <w:b/>
          <w:bCs/>
        </w:rPr>
        <w:t>采用“《建设工程施工合同》（示范本）（</w:t>
      </w:r>
      <w:r>
        <w:rPr>
          <w:rFonts w:ascii="Times New Roman" w:hAnsi="宋体" w:eastAsia="宋体" w:cs="Times New Roman"/>
          <w:b/>
          <w:bCs/>
        </w:rPr>
        <w:t>GF—201</w:t>
      </w:r>
      <w:r>
        <w:rPr>
          <w:rFonts w:hint="eastAsia" w:ascii="Times New Roman" w:hAnsi="宋体" w:eastAsia="宋体" w:cs="Times New Roman"/>
          <w:b/>
          <w:bCs/>
        </w:rPr>
        <w:t>7</w:t>
      </w:r>
      <w:r>
        <w:rPr>
          <w:rFonts w:ascii="Times New Roman" w:hAnsi="宋体" w:eastAsia="宋体" w:cs="Times New Roman"/>
          <w:b/>
          <w:bCs/>
        </w:rPr>
        <w:t>—</w:t>
      </w:r>
      <w:r>
        <w:rPr>
          <w:rFonts w:hint="eastAsia" w:ascii="Times New Roman" w:hAnsi="宋体" w:eastAsia="宋体" w:cs="Times New Roman"/>
          <w:b/>
          <w:bCs/>
        </w:rPr>
        <w:t>0201）”通用条款（略）</w:t>
      </w:r>
    </w:p>
    <w:bookmarkEnd w:id="101"/>
    <w:bookmarkEnd w:id="102"/>
    <w:p w14:paraId="78251DF7">
      <w:pPr>
        <w:spacing w:line="660" w:lineRule="exact"/>
        <w:ind w:right="23" w:rightChars="11"/>
        <w:jc w:val="center"/>
        <w:outlineLvl w:val="2"/>
        <w:rPr>
          <w:rFonts w:ascii="宋体" w:hAnsi="宋体" w:eastAsia="宋体" w:cs="宋体"/>
          <w:b/>
          <w:bCs/>
          <w:sz w:val="28"/>
          <w:szCs w:val="28"/>
        </w:rPr>
      </w:pPr>
    </w:p>
    <w:p w14:paraId="055E0EFB">
      <w:pPr>
        <w:spacing w:line="660" w:lineRule="exact"/>
        <w:ind w:right="23" w:rightChars="11"/>
        <w:jc w:val="center"/>
        <w:outlineLvl w:val="2"/>
        <w:rPr>
          <w:rFonts w:ascii="宋体" w:hAnsi="宋体" w:eastAsia="宋体" w:cs="宋体"/>
          <w:b/>
          <w:bCs/>
          <w:sz w:val="28"/>
          <w:szCs w:val="28"/>
        </w:rPr>
      </w:pPr>
    </w:p>
    <w:p w14:paraId="19B38A57">
      <w:pPr>
        <w:spacing w:line="660" w:lineRule="exact"/>
        <w:ind w:right="23" w:rightChars="11"/>
        <w:jc w:val="center"/>
        <w:outlineLvl w:val="2"/>
        <w:rPr>
          <w:rFonts w:ascii="宋体" w:hAnsi="宋体" w:eastAsia="宋体" w:cs="宋体"/>
          <w:b/>
          <w:bCs/>
          <w:sz w:val="28"/>
          <w:szCs w:val="28"/>
        </w:rPr>
      </w:pPr>
    </w:p>
    <w:p w14:paraId="6C14496A">
      <w:pPr>
        <w:spacing w:line="660" w:lineRule="exact"/>
        <w:ind w:right="23" w:rightChars="11"/>
        <w:jc w:val="center"/>
        <w:outlineLvl w:val="2"/>
        <w:rPr>
          <w:rFonts w:ascii="宋体" w:hAnsi="宋体" w:eastAsia="宋体" w:cs="宋体"/>
          <w:b/>
          <w:bCs/>
          <w:sz w:val="28"/>
          <w:szCs w:val="28"/>
        </w:rPr>
      </w:pPr>
    </w:p>
    <w:p w14:paraId="478F43CA">
      <w:pPr>
        <w:spacing w:line="660" w:lineRule="exact"/>
        <w:ind w:right="23" w:rightChars="11"/>
        <w:jc w:val="center"/>
        <w:outlineLvl w:val="2"/>
        <w:rPr>
          <w:rFonts w:ascii="宋体" w:hAnsi="宋体" w:eastAsia="宋体" w:cs="宋体"/>
          <w:b/>
          <w:bCs/>
          <w:sz w:val="28"/>
          <w:szCs w:val="28"/>
        </w:rPr>
      </w:pPr>
    </w:p>
    <w:p w14:paraId="24A7C85F">
      <w:pPr>
        <w:spacing w:line="660" w:lineRule="exact"/>
        <w:ind w:right="23" w:rightChars="11"/>
        <w:jc w:val="center"/>
        <w:outlineLvl w:val="2"/>
        <w:rPr>
          <w:rFonts w:ascii="宋体" w:hAnsi="宋体" w:eastAsia="宋体" w:cs="宋体"/>
          <w:b/>
          <w:bCs/>
          <w:sz w:val="28"/>
          <w:szCs w:val="28"/>
        </w:rPr>
      </w:pPr>
    </w:p>
    <w:p w14:paraId="024D05EF">
      <w:pPr>
        <w:spacing w:line="660" w:lineRule="exact"/>
        <w:ind w:right="23" w:rightChars="11"/>
        <w:jc w:val="center"/>
        <w:outlineLvl w:val="2"/>
        <w:rPr>
          <w:rFonts w:ascii="宋体" w:hAnsi="宋体" w:eastAsia="宋体" w:cs="宋体"/>
          <w:b/>
          <w:bCs/>
          <w:sz w:val="28"/>
          <w:szCs w:val="28"/>
        </w:rPr>
      </w:pPr>
    </w:p>
    <w:p w14:paraId="3A85D9C3">
      <w:pPr>
        <w:spacing w:line="660" w:lineRule="exact"/>
        <w:ind w:right="23" w:rightChars="11"/>
        <w:jc w:val="center"/>
        <w:outlineLvl w:val="2"/>
        <w:rPr>
          <w:rFonts w:ascii="宋体" w:hAnsi="宋体" w:eastAsia="宋体" w:cs="宋体"/>
          <w:b/>
          <w:bCs/>
          <w:sz w:val="28"/>
          <w:szCs w:val="28"/>
        </w:rPr>
      </w:pPr>
    </w:p>
    <w:p w14:paraId="300824D9">
      <w:pPr>
        <w:spacing w:line="660" w:lineRule="exact"/>
        <w:ind w:right="23" w:rightChars="11"/>
        <w:jc w:val="center"/>
        <w:outlineLvl w:val="2"/>
        <w:rPr>
          <w:rFonts w:ascii="宋体" w:hAnsi="宋体" w:eastAsia="宋体" w:cs="宋体"/>
          <w:b/>
          <w:bCs/>
          <w:sz w:val="28"/>
          <w:szCs w:val="28"/>
        </w:rPr>
      </w:pPr>
    </w:p>
    <w:p w14:paraId="75E8556F">
      <w:pPr>
        <w:spacing w:line="660" w:lineRule="exact"/>
        <w:ind w:right="23" w:rightChars="11"/>
        <w:jc w:val="center"/>
        <w:outlineLvl w:val="2"/>
        <w:rPr>
          <w:rFonts w:ascii="宋体" w:hAnsi="宋体" w:eastAsia="宋体" w:cs="宋体"/>
          <w:b/>
          <w:bCs/>
          <w:sz w:val="28"/>
          <w:szCs w:val="28"/>
        </w:rPr>
      </w:pPr>
    </w:p>
    <w:p w14:paraId="0BDF7947">
      <w:pPr>
        <w:spacing w:line="660" w:lineRule="exact"/>
        <w:ind w:right="23" w:rightChars="11"/>
        <w:jc w:val="center"/>
        <w:outlineLvl w:val="2"/>
        <w:rPr>
          <w:rFonts w:ascii="宋体" w:hAnsi="宋体" w:eastAsia="宋体" w:cs="宋体"/>
          <w:b/>
          <w:bCs/>
          <w:sz w:val="28"/>
          <w:szCs w:val="28"/>
        </w:rPr>
      </w:pPr>
    </w:p>
    <w:p w14:paraId="6CD57330">
      <w:pPr>
        <w:spacing w:line="660" w:lineRule="exact"/>
        <w:ind w:right="23" w:rightChars="11"/>
        <w:jc w:val="center"/>
        <w:outlineLvl w:val="2"/>
        <w:rPr>
          <w:rFonts w:ascii="宋体" w:hAnsi="宋体" w:eastAsia="宋体" w:cs="宋体"/>
          <w:b/>
          <w:bCs/>
          <w:sz w:val="28"/>
          <w:szCs w:val="28"/>
        </w:rPr>
      </w:pPr>
    </w:p>
    <w:p w14:paraId="4AD03AD0">
      <w:pPr>
        <w:spacing w:line="660" w:lineRule="exact"/>
        <w:ind w:right="23" w:rightChars="11"/>
        <w:jc w:val="center"/>
        <w:outlineLvl w:val="2"/>
        <w:rPr>
          <w:rFonts w:ascii="宋体" w:hAnsi="宋体" w:eastAsia="宋体" w:cs="宋体"/>
          <w:b/>
          <w:bCs/>
          <w:sz w:val="28"/>
          <w:szCs w:val="28"/>
        </w:rPr>
      </w:pPr>
    </w:p>
    <w:p w14:paraId="29007DF8">
      <w:pPr>
        <w:spacing w:line="660" w:lineRule="exact"/>
        <w:ind w:right="23" w:rightChars="11"/>
        <w:jc w:val="center"/>
        <w:outlineLvl w:val="2"/>
        <w:rPr>
          <w:rFonts w:ascii="宋体" w:hAnsi="宋体" w:eastAsia="宋体" w:cs="宋体"/>
          <w:b/>
          <w:bCs/>
          <w:sz w:val="28"/>
          <w:szCs w:val="28"/>
        </w:rPr>
      </w:pPr>
    </w:p>
    <w:p w14:paraId="719844AB">
      <w:pPr>
        <w:spacing w:line="660" w:lineRule="exact"/>
        <w:ind w:right="23" w:rightChars="11"/>
        <w:jc w:val="center"/>
        <w:outlineLvl w:val="2"/>
        <w:rPr>
          <w:rFonts w:ascii="宋体" w:hAnsi="宋体" w:eastAsia="宋体" w:cs="宋体"/>
          <w:b/>
          <w:bCs/>
          <w:sz w:val="28"/>
          <w:szCs w:val="28"/>
        </w:rPr>
      </w:pPr>
    </w:p>
    <w:p w14:paraId="0A7F291B">
      <w:pPr>
        <w:spacing w:line="660" w:lineRule="exact"/>
        <w:ind w:right="23" w:rightChars="11"/>
        <w:jc w:val="center"/>
        <w:outlineLvl w:val="2"/>
        <w:rPr>
          <w:rFonts w:ascii="宋体" w:hAnsi="宋体" w:eastAsia="宋体" w:cs="宋体"/>
          <w:b/>
          <w:bCs/>
          <w:sz w:val="28"/>
          <w:szCs w:val="28"/>
        </w:rPr>
      </w:pPr>
    </w:p>
    <w:p w14:paraId="66652D39">
      <w:pPr>
        <w:spacing w:line="660" w:lineRule="exact"/>
        <w:ind w:right="23" w:rightChars="11"/>
        <w:jc w:val="center"/>
        <w:outlineLvl w:val="2"/>
        <w:rPr>
          <w:rFonts w:ascii="宋体" w:hAnsi="宋体" w:eastAsia="宋体" w:cs="宋体"/>
          <w:b/>
          <w:bCs/>
          <w:sz w:val="28"/>
          <w:szCs w:val="28"/>
        </w:rPr>
      </w:pPr>
    </w:p>
    <w:p w14:paraId="0BBE82DA">
      <w:pPr>
        <w:spacing w:line="660" w:lineRule="exact"/>
        <w:ind w:right="23" w:rightChars="11"/>
        <w:jc w:val="center"/>
        <w:outlineLvl w:val="2"/>
        <w:rPr>
          <w:rFonts w:ascii="宋体" w:hAnsi="Times New Roman" w:eastAsia="宋体" w:cs="Times New Roman"/>
          <w:b/>
          <w:bCs/>
        </w:rPr>
      </w:pPr>
      <w:r>
        <w:rPr>
          <w:rFonts w:hint="eastAsia" w:ascii="宋体" w:hAnsi="宋体" w:eastAsia="宋体" w:cs="宋体"/>
          <w:b/>
          <w:bCs/>
          <w:sz w:val="28"/>
          <w:szCs w:val="28"/>
        </w:rPr>
        <w:t>三、专用合同条款</w:t>
      </w:r>
      <w:bookmarkEnd w:id="103"/>
    </w:p>
    <w:p w14:paraId="1F0A8F0A">
      <w:pPr>
        <w:spacing w:line="360" w:lineRule="auto"/>
        <w:jc w:val="center"/>
        <w:outlineLvl w:val="3"/>
        <w:rPr>
          <w:rFonts w:ascii="宋体" w:hAnsi="宋体" w:eastAsia="宋体" w:cs="宋体"/>
          <w:b/>
          <w:bCs/>
        </w:rPr>
      </w:pPr>
      <w:r>
        <w:rPr>
          <w:rFonts w:hint="eastAsia" w:ascii="宋体" w:hAnsi="宋体" w:eastAsia="宋体" w:cs="宋体"/>
          <w:b/>
          <w:bCs/>
        </w:rPr>
        <w:t>（专用合同以具体签订为准）</w:t>
      </w:r>
    </w:p>
    <w:p w14:paraId="51A3BFB3">
      <w:pPr>
        <w:spacing w:line="760" w:lineRule="exact"/>
        <w:jc w:val="center"/>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湘潭大学</w:t>
      </w:r>
    </w:p>
    <w:p w14:paraId="469D84E7">
      <w:pPr>
        <w:spacing w:line="760" w:lineRule="exact"/>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20"/>
          <w:sz w:val="21"/>
          <w:szCs w:val="21"/>
          <w:highlight w:val="none"/>
        </w:rPr>
        <w:t>建设工程施工合同</w:t>
      </w:r>
    </w:p>
    <w:p w14:paraId="7DE8CA05">
      <w:pPr>
        <w:spacing w:line="500" w:lineRule="exact"/>
        <w:rPr>
          <w:rFonts w:hint="eastAsia" w:ascii="宋体" w:hAnsi="宋体" w:eastAsia="宋体" w:cs="宋体"/>
          <w:b/>
          <w:color w:val="auto"/>
          <w:sz w:val="21"/>
          <w:szCs w:val="21"/>
          <w:highlight w:val="none"/>
        </w:rPr>
      </w:pPr>
    </w:p>
    <w:p w14:paraId="04F89189">
      <w:pPr>
        <w:spacing w:line="500" w:lineRule="exact"/>
        <w:ind w:firstLine="628" w:firstLineChars="2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工程名称：</w:t>
      </w:r>
      <w:r>
        <w:rPr>
          <w:rFonts w:hint="eastAsia" w:ascii="宋体" w:hAnsi="宋体" w:eastAsia="宋体" w:cs="宋体"/>
          <w:b/>
          <w:color w:val="auto"/>
          <w:sz w:val="21"/>
          <w:szCs w:val="21"/>
          <w:highlight w:val="none"/>
          <w:u w:val="single"/>
        </w:rPr>
        <w:t>　　　　　　　　　　　　　</w:t>
      </w:r>
    </w:p>
    <w:p w14:paraId="48CE86D2">
      <w:pPr>
        <w:spacing w:line="500" w:lineRule="exact"/>
        <w:ind w:firstLine="628" w:firstLineChars="298"/>
        <w:rPr>
          <w:rFonts w:hint="eastAsia" w:ascii="宋体" w:hAnsi="宋体" w:eastAsia="宋体" w:cs="宋体"/>
          <w:b/>
          <w:color w:val="auto"/>
          <w:sz w:val="21"/>
          <w:szCs w:val="21"/>
          <w:highlight w:val="none"/>
        </w:rPr>
      </w:pPr>
    </w:p>
    <w:p w14:paraId="6165110F">
      <w:pPr>
        <w:spacing w:line="500" w:lineRule="exact"/>
        <w:ind w:firstLine="628" w:firstLineChars="298"/>
        <w:rPr>
          <w:rFonts w:hint="eastAsia" w:ascii="宋体" w:hAnsi="宋体" w:eastAsia="宋体" w:cs="宋体"/>
          <w:b/>
          <w:color w:val="auto"/>
          <w:sz w:val="21"/>
          <w:szCs w:val="21"/>
          <w:highlight w:val="none"/>
        </w:rPr>
      </w:pPr>
    </w:p>
    <w:p w14:paraId="6E556A42">
      <w:pPr>
        <w:spacing w:line="500" w:lineRule="exact"/>
        <w:ind w:firstLine="628" w:firstLineChars="2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发包人（甲方）：</w:t>
      </w:r>
      <w:r>
        <w:rPr>
          <w:rFonts w:hint="eastAsia" w:ascii="宋体" w:hAnsi="宋体" w:eastAsia="宋体" w:cs="宋体"/>
          <w:b/>
          <w:color w:val="auto"/>
          <w:sz w:val="21"/>
          <w:szCs w:val="21"/>
          <w:highlight w:val="none"/>
          <w:u w:val="single"/>
        </w:rPr>
        <w:t xml:space="preserve">湘潭大学    </w:t>
      </w:r>
    </w:p>
    <w:p w14:paraId="2B2E8AD8">
      <w:pPr>
        <w:spacing w:line="500" w:lineRule="exact"/>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  法人代表：      </w:t>
      </w:r>
      <w:r>
        <w:rPr>
          <w:rFonts w:hint="eastAsia" w:ascii="宋体" w:hAnsi="宋体" w:eastAsia="宋体" w:cs="宋体"/>
          <w:b/>
          <w:color w:val="auto"/>
          <w:sz w:val="21"/>
          <w:szCs w:val="21"/>
          <w:highlight w:val="none"/>
          <w:u w:val="single"/>
        </w:rPr>
        <w:t>廖永安   　　　　 　</w:t>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u w:val="single"/>
        </w:rPr>
        <w:t>　　　　　　　　　　</w:t>
      </w:r>
    </w:p>
    <w:p w14:paraId="27178F41">
      <w:pPr>
        <w:spacing w:line="500" w:lineRule="exact"/>
        <w:ind w:firstLine="417" w:firstLineChars="1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  所在地：     </w:t>
      </w:r>
      <w:r>
        <w:rPr>
          <w:rFonts w:hint="eastAsia" w:ascii="宋体" w:hAnsi="宋体" w:eastAsia="宋体" w:cs="宋体"/>
          <w:b/>
          <w:color w:val="auto"/>
          <w:sz w:val="21"/>
          <w:szCs w:val="21"/>
          <w:highlight w:val="none"/>
          <w:u w:val="single"/>
        </w:rPr>
        <w:t>湖南省湘潭市雨湖区北二环路　</w:t>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u w:val="single"/>
        </w:rPr>
        <w:t>　　　　　　　　　　</w:t>
      </w:r>
    </w:p>
    <w:p w14:paraId="65F0B407">
      <w:pPr>
        <w:spacing w:line="500" w:lineRule="exact"/>
        <w:ind w:firstLine="940" w:firstLineChars="446"/>
        <w:rPr>
          <w:rFonts w:hint="eastAsia" w:ascii="宋体" w:hAnsi="宋体" w:eastAsia="宋体" w:cs="宋体"/>
          <w:b/>
          <w:color w:val="auto"/>
          <w:sz w:val="21"/>
          <w:szCs w:val="21"/>
          <w:highlight w:val="none"/>
        </w:rPr>
      </w:pPr>
    </w:p>
    <w:p w14:paraId="098CC6E1">
      <w:pPr>
        <w:spacing w:line="500" w:lineRule="exact"/>
        <w:ind w:firstLine="628" w:firstLineChars="298"/>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承包人（乙方）：</w:t>
      </w:r>
      <w:r>
        <w:rPr>
          <w:rFonts w:hint="eastAsia" w:ascii="宋体" w:hAnsi="宋体" w:eastAsia="宋体" w:cs="宋体"/>
          <w:b/>
          <w:color w:val="auto"/>
          <w:sz w:val="21"/>
          <w:szCs w:val="21"/>
          <w:highlight w:val="none"/>
          <w:u w:val="single"/>
        </w:rPr>
        <w:t>　　　　　　　　　　</w:t>
      </w:r>
    </w:p>
    <w:p w14:paraId="7D9F6772">
      <w:pPr>
        <w:spacing w:line="500" w:lineRule="exact"/>
        <w:ind w:firstLine="628" w:firstLineChars="298"/>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法人代表：     </w:t>
      </w:r>
      <w:r>
        <w:rPr>
          <w:rFonts w:hint="eastAsia" w:ascii="宋体" w:hAnsi="宋体" w:eastAsia="宋体" w:cs="宋体"/>
          <w:b/>
          <w:color w:val="auto"/>
          <w:sz w:val="21"/>
          <w:szCs w:val="21"/>
          <w:highlight w:val="none"/>
          <w:u w:val="single"/>
        </w:rPr>
        <w:t>　　　　　　　　　　</w:t>
      </w:r>
    </w:p>
    <w:p w14:paraId="373DE5A7">
      <w:pPr>
        <w:spacing w:line="50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所在地：       </w:t>
      </w:r>
      <w:r>
        <w:rPr>
          <w:rFonts w:hint="eastAsia" w:ascii="宋体" w:hAnsi="宋体" w:eastAsia="宋体" w:cs="宋体"/>
          <w:b/>
          <w:color w:val="auto"/>
          <w:sz w:val="21"/>
          <w:szCs w:val="21"/>
          <w:highlight w:val="none"/>
          <w:u w:val="single"/>
        </w:rPr>
        <w:t>　　　　　　　　　　</w:t>
      </w:r>
    </w:p>
    <w:p w14:paraId="0A6E5B61">
      <w:pPr>
        <w:spacing w:line="500" w:lineRule="exact"/>
        <w:ind w:firstLine="420" w:firstLineChars="200"/>
        <w:rPr>
          <w:rFonts w:hint="eastAsia" w:ascii="宋体" w:hAnsi="宋体" w:eastAsia="宋体" w:cs="宋体"/>
          <w:color w:val="auto"/>
          <w:sz w:val="21"/>
          <w:szCs w:val="21"/>
          <w:highlight w:val="none"/>
        </w:rPr>
      </w:pPr>
    </w:p>
    <w:p w14:paraId="11DC2959">
      <w:pPr>
        <w:spacing w:line="500" w:lineRule="exact"/>
        <w:ind w:firstLine="420" w:firstLineChars="200"/>
        <w:rPr>
          <w:rFonts w:hint="eastAsia" w:ascii="宋体" w:hAnsi="宋体" w:eastAsia="宋体" w:cs="宋体"/>
          <w:color w:val="auto"/>
          <w:sz w:val="21"/>
          <w:szCs w:val="21"/>
          <w:highlight w:val="none"/>
        </w:rPr>
      </w:pPr>
    </w:p>
    <w:p w14:paraId="7EA1F0B2">
      <w:pPr>
        <w:spacing w:line="500" w:lineRule="exact"/>
        <w:ind w:firstLine="420" w:firstLineChars="200"/>
        <w:rPr>
          <w:rFonts w:hint="eastAsia" w:ascii="宋体" w:hAnsi="宋体" w:eastAsia="宋体" w:cs="宋体"/>
          <w:color w:val="auto"/>
          <w:sz w:val="21"/>
          <w:szCs w:val="21"/>
          <w:highlight w:val="none"/>
        </w:rPr>
      </w:pPr>
    </w:p>
    <w:p w14:paraId="0D28D972">
      <w:pPr>
        <w:spacing w:line="500" w:lineRule="exact"/>
        <w:ind w:firstLine="420" w:firstLineChars="200"/>
        <w:rPr>
          <w:rFonts w:hint="eastAsia" w:ascii="宋体" w:hAnsi="宋体" w:eastAsia="宋体" w:cs="宋体"/>
          <w:color w:val="auto"/>
          <w:sz w:val="21"/>
          <w:szCs w:val="21"/>
          <w:highlight w:val="none"/>
        </w:rPr>
      </w:pPr>
    </w:p>
    <w:p w14:paraId="4457B0DB">
      <w:pPr>
        <w:spacing w:line="500" w:lineRule="exact"/>
        <w:ind w:firstLine="420" w:firstLineChars="200"/>
        <w:rPr>
          <w:rFonts w:hint="eastAsia" w:ascii="宋体" w:hAnsi="宋体" w:eastAsia="宋体" w:cs="宋体"/>
          <w:color w:val="auto"/>
          <w:sz w:val="21"/>
          <w:szCs w:val="21"/>
          <w:highlight w:val="none"/>
        </w:rPr>
      </w:pPr>
    </w:p>
    <w:p w14:paraId="59BDD76B">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为维护甲乙双方的合法权益，根据《中华人民共和国民法典》和《中华人民共和国建筑法》及其它有关法律法规、国家规定，遵循平等、自愿、公平和诚实守信的原则，经双方协商一致，订立本合同，以资信守。</w:t>
      </w:r>
    </w:p>
    <w:p w14:paraId="4808F671">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一、工程概况</w:t>
      </w:r>
    </w:p>
    <w:p w14:paraId="050984DC">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rPr>
        <w:t>　　　　　　　　　　　　</w:t>
      </w:r>
    </w:p>
    <w:p w14:paraId="3F27E0BB">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工程地点：湘潭大学校园内</w:t>
      </w:r>
      <w:r>
        <w:rPr>
          <w:rFonts w:hint="eastAsia" w:ascii="宋体" w:hAnsi="宋体" w:eastAsia="宋体" w:cs="宋体"/>
          <w:color w:val="auto"/>
          <w:sz w:val="21"/>
          <w:szCs w:val="21"/>
          <w:highlight w:val="none"/>
          <w:u w:val="single"/>
        </w:rPr>
        <w:t>　　　　　　　　　　　</w:t>
      </w:r>
    </w:p>
    <w:p w14:paraId="33A8822C">
      <w:pPr>
        <w:spacing w:line="400" w:lineRule="exact"/>
        <w:ind w:firstLine="5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二、工程内容</w:t>
      </w:r>
    </w:p>
    <w:p w14:paraId="2B33EF81">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主要工程项目：工程量清单及所提供施工图所示的全部内容，具体包括</w:t>
      </w:r>
    </w:p>
    <w:p w14:paraId="29B96E25">
      <w:pPr>
        <w:spacing w:line="400" w:lineRule="exact"/>
        <w:ind w:left="7980" w:leftChars="250" w:hanging="7455" w:hangingChars="355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t>　　　　　　　　　　　　　　　　　　　　　　　　　　　　　　　　　　　</w:t>
      </w:r>
    </w:p>
    <w:p w14:paraId="5601695D">
      <w:pPr>
        <w:spacing w:line="400" w:lineRule="exact"/>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三、工程工期</w:t>
      </w:r>
    </w:p>
    <w:p w14:paraId="00B8D655">
      <w:pPr>
        <w:spacing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本工程于</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开工，</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竣工，工期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天。</w:t>
      </w:r>
    </w:p>
    <w:p w14:paraId="3CA93A93">
      <w:pPr>
        <w:spacing w:line="400" w:lineRule="exact"/>
        <w:ind w:firstLine="422" w:firstLineChars="200"/>
        <w:rPr>
          <w:rFonts w:hint="eastAsia" w:ascii="宋体" w:hAnsi="宋体" w:eastAsia="宋体" w:cs="宋体"/>
          <w:bCs/>
          <w:color w:val="auto"/>
          <w:sz w:val="21"/>
          <w:szCs w:val="21"/>
          <w:highlight w:val="none"/>
          <w:u w:val="single"/>
        </w:rPr>
      </w:pPr>
      <w:r>
        <w:rPr>
          <w:rFonts w:hint="eastAsia" w:ascii="宋体" w:hAnsi="宋体" w:eastAsia="宋体" w:cs="宋体"/>
          <w:b/>
          <w:bCs/>
          <w:color w:val="auto"/>
          <w:sz w:val="21"/>
          <w:szCs w:val="21"/>
          <w:highlight w:val="none"/>
        </w:rPr>
        <w:t>四、工程质量要求</w:t>
      </w:r>
    </w:p>
    <w:p w14:paraId="2210B386">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工程施工应当严格按照相关国家标准规范执行，国家标准不明确的，乙方应当本着确保施工安全、质量可靠的原则进行施工。甲方有权自行或委托第三方按照相关国家标准规范和行业标准规范，对乙方的施工过程进行检查，乙方施工不规范的，甲方有权责令改正并要求返工。</w:t>
      </w:r>
    </w:p>
    <w:p w14:paraId="7AD0F31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甲方按照《建筑工程施工质量评价标准》（</w:t>
      </w:r>
      <w:r>
        <w:rPr>
          <w:rFonts w:hint="eastAsia" w:ascii="宋体" w:hAnsi="宋体" w:eastAsia="宋体" w:cs="宋体"/>
          <w:color w:val="auto"/>
          <w:sz w:val="21"/>
          <w:szCs w:val="21"/>
          <w:highlight w:val="none"/>
          <w:shd w:val="clear" w:color="auto" w:fill="FFFFFF"/>
        </w:rPr>
        <w:t>GB/T50375-2016</w:t>
      </w:r>
      <w:r>
        <w:rPr>
          <w:rFonts w:hint="eastAsia" w:ascii="宋体" w:hAnsi="宋体" w:eastAsia="宋体" w:cs="宋体"/>
          <w:color w:val="auto"/>
          <w:sz w:val="21"/>
          <w:szCs w:val="21"/>
          <w:highlight w:val="none"/>
        </w:rPr>
        <w:t>）、《建筑装饰装修工程质量验收标准》（GB 50210-2018）、《建筑工程施工质量验收统一标准》（GB 50300-2013）等相关现行国家标准规范作为工程质量检查和验收依据。</w:t>
      </w:r>
    </w:p>
    <w:p w14:paraId="754379F3">
      <w:pPr>
        <w:spacing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五、材料设备供应</w:t>
      </w:r>
    </w:p>
    <w:p w14:paraId="678014B3">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（一）乙方按照合同约定和工程需求，负责供应本合同项下工程所需的所有材料设备。所使用的材料设备本合同没有明确约定的，以本合同授权的现场代表签字同意使用的材料设备为准。</w:t>
      </w:r>
    </w:p>
    <w:p w14:paraId="3FAECA02">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应按照合同约定、设计图纸和有关标准要求采购材料设备，并提供产品合格证明，对材料设备的质量负责。乙方采购的材料设备，应在使用前按甲方代表的要求进行检验或试验，并经甲方现场代表签字同意后才能使用，不合格的不得使用，检验或试验费用由乙方承担。</w:t>
      </w:r>
    </w:p>
    <w:p w14:paraId="658BD80E">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乙方应在材料设备到货后24小时内通知甲方代表清点、检验。乙方采购的材料设备与设计、国家标准要求不符时，乙方应负责更换、修复、拆除或运出施工场地重新采购，并承担由此发生的费用，由此延误的工期不予顺延。</w:t>
      </w:r>
    </w:p>
    <w:p w14:paraId="201A818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（四）乙方提供的材料设备均由乙方负责采购、运输和保管。在本合同项下工程正式验收前，乙方应负责保管、维护所有材料设备，因材料设备损坏、丢失造成的损失，由乙方承担。</w:t>
      </w:r>
    </w:p>
    <w:p w14:paraId="0198F9B1">
      <w:pPr>
        <w:spacing w:line="400" w:lineRule="exact"/>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六、施工过程管理</w:t>
      </w:r>
    </w:p>
    <w:p w14:paraId="1AC7665B">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w:t>
      </w:r>
    </w:p>
    <w:p w14:paraId="3BB1C300">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同志为现场代表。对工程质量、进度、安全进行全面监督管理，办理有关经济签证。</w:t>
      </w:r>
    </w:p>
    <w:p w14:paraId="755BB31A">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2.甲方应按合同约定向乙方提供施工场地，并在施工期间负责提供学校主干道进入施工场地的道路，满足施工运输需要。</w:t>
      </w:r>
    </w:p>
    <w:p w14:paraId="28654C2C">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3.甲方应协助乙方办理法律规定应由甲方办理的有关施工证件和批件。</w:t>
      </w:r>
    </w:p>
    <w:p w14:paraId="13DC784E">
      <w:pPr>
        <w:spacing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（二）乙方</w:t>
      </w:r>
    </w:p>
    <w:p w14:paraId="46F5F859">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1.乙方应当具备完成本合同约定施工项目的企业资质，在合同签订时向甲方交验资质材料原件，并将复印件交付甲方备案，因乙方不具备资质导致的所有法律后果，由乙方承担。</w:t>
      </w:r>
    </w:p>
    <w:p w14:paraId="595068B5">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2.乙方委派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为项目负责人，全面负责施工现场的施工组织管理，确保按设计、施工规范和进度要求施工。乙方为履行合同发出的一切函件均应盖有乙方公章，并由乙方项目负责人或其授权代表签字。项目负责人不向甲方说明情况，无故未来工地应向甲方支付300元／天的违约金，从工程结算款中扣除。若项目负责人变更，应提前</w:t>
      </w:r>
      <w:r>
        <w:rPr>
          <w:rFonts w:hint="eastAsia" w:ascii="宋体" w:hAnsi="宋体" w:eastAsia="宋体" w:cs="宋体"/>
          <w:color w:val="auto"/>
          <w:sz w:val="21"/>
          <w:szCs w:val="21"/>
          <w:highlight w:val="none"/>
          <w:u w:val="single"/>
        </w:rPr>
        <w:t>3日</w:t>
      </w:r>
      <w:r>
        <w:rPr>
          <w:rFonts w:hint="eastAsia" w:ascii="宋体" w:hAnsi="宋体" w:eastAsia="宋体" w:cs="宋体"/>
          <w:color w:val="auto"/>
          <w:sz w:val="21"/>
          <w:szCs w:val="21"/>
          <w:highlight w:val="none"/>
        </w:rPr>
        <w:t>书面通知甲方并经同意后，由变更后的负责人继续承担前任应负的责任和承诺。</w:t>
      </w:r>
    </w:p>
    <w:p w14:paraId="5BEF0A2D">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应向施工场地派遣或雇佣足够数量的下列人员：（1）具有相应资格的专业技工和合格的普工；（2）具有相应施工经验的技术人员；（3）具有相应岗位资格的各级管理人员。乙方安排在施工场地的主要管理人员和技术骨干应相对稳定。乙方更换主要管理人员和技术骨干时，应取得甲方的同意。特珠岗位的工作人员均应持有相应的资格证明，甲方有权随时检查。甲方认为有必要时，可进行现场考核。乙方应对其项目负责人和其他人员进行有效管理。甲方要求撤换不能胜任本职工作、行为不端或玩忽职守的乙方项目负责人和其他人员的，乙方应予以撤换。</w:t>
      </w:r>
    </w:p>
    <w:p w14:paraId="722F1021">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4.乙方应当自行承担修建临时设施的费用，需要临时占地的，在甲方指定的范围内可免费使用，但乙方在指定范围外另行申请使用临时用地的，应经甲方同意，并承担临时用地的费用。</w:t>
      </w:r>
    </w:p>
    <w:p w14:paraId="5393D844">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应当服从学校有关部门管理，维护学校环境卫生保持路面整洁。所有施工车辆进出要按学校指定路线行走，并及时清理被施工污染的道路、场地，保证校内卫生。施工临时设施、设备、材料只能位于甲方指定地点。因施工造成周边环境破坏或干扰甲方、第三方的作业或生活的，由乙方承担相应责任。</w:t>
      </w:r>
    </w:p>
    <w:p w14:paraId="01D48765">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（三）工程施工的水、电费用按表计量，费用按学校水、电单价（水4.67元/吨、电0.8503元/度，如遇政策调整，按调整后的单价收取）计价缴纳，结算时从工程款中扣回。</w:t>
      </w:r>
    </w:p>
    <w:p w14:paraId="22D25884">
      <w:pPr>
        <w:spacing w:line="400" w:lineRule="exact"/>
        <w:ind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四）乙方承担工程施工期间、质保期及修补任何缺陷的过程中的安全生产责任，应严格按照国家安全标准制定施工安全操作规程，配备必要的安全生产和劳动保护设施，加强对乙方人员的安全教育，设置安全警示和防护标志，发放安全工作手册和劳动保护用具，提供安全保卫所必须的一切照明、临时道路、人行道、防护棚、施工围挡、警告信号和看守等，并保证其正常使用，确保工程及其人员、材料、设备和设施的安全，防止因工程施工造成的人身伤害和财产损失。施工场地及施工中所发生的安全事故，由乙方负责处理并承担全部责任，因安全事故造成乙方员工、雇员或第三人到甲方闹事或向甲方主张赔偿的，甲方有权暂缓支付全部工程款项，直至乙方将事故妥善处理完毕。由此造成甲方损失的，乙方还应当承担赔偿责任。</w:t>
      </w:r>
    </w:p>
    <w:p w14:paraId="1589DB9F">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（五）乙方承担其雇佣人员的管理职责，</w:t>
      </w:r>
      <w:r>
        <w:rPr>
          <w:rFonts w:hint="eastAsia" w:ascii="宋体" w:hAnsi="宋体" w:eastAsia="宋体" w:cs="宋体"/>
          <w:color w:val="auto"/>
          <w:sz w:val="21"/>
          <w:szCs w:val="21"/>
          <w:highlight w:val="none"/>
        </w:rPr>
        <w:t>应与所雇员工签订劳动合同，并按时发放工资，购买各项国家规定应当购买的社会保险，如因拖欠所雇人员工资问题造成闹事的，甲方有权将工程款作为工资根据乙方与员工订立的劳动合同或按市场行情标准直接支付给乙方员工。乙方拖欠员工工资致使员工有不当行为造成甲方无法正常使用项目工程或造成其他方面损失的，乙方应当承担或连带承担赔偿责任。</w:t>
      </w:r>
    </w:p>
    <w:p w14:paraId="790C691C">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（六）乙方应当为履行本合同购买下列保险：</w:t>
      </w:r>
      <w:r>
        <w:rPr>
          <w:rFonts w:hint="eastAsia" w:ascii="宋体" w:hAnsi="宋体" w:eastAsia="宋体" w:cs="宋体"/>
          <w:color w:val="auto"/>
          <w:sz w:val="21"/>
          <w:szCs w:val="21"/>
          <w:highlight w:val="none"/>
          <w:u w:val="single"/>
        </w:rPr>
        <w:t>为订立了劳动合同的员工购买工伤保险，为雇佣人员购买意外伤害保险，为乙方企业购买雇主责任保险，</w:t>
      </w:r>
      <w:r>
        <w:rPr>
          <w:rFonts w:hint="eastAsia" w:ascii="宋体" w:hAnsi="宋体" w:eastAsia="宋体" w:cs="宋体"/>
          <w:color w:val="auto"/>
          <w:sz w:val="21"/>
          <w:szCs w:val="21"/>
          <w:highlight w:val="none"/>
        </w:rPr>
        <w:t>乙方不购买上述保险的，应由保险理赔的所有费用由乙方承担。</w:t>
      </w:r>
    </w:p>
    <w:p w14:paraId="345395AE">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本合同项下工程竣工验收后，乙方应按以下要求对施工场地进行清理，竣工清场费用由乙方承担，乙方未按甲方的要求恢复临时占地，或者场地清理未达到合同约定的，甲方有权委托其他人恢复或清理，所发生的费用从拟支付给乙方的款项中扣除：</w:t>
      </w:r>
    </w:p>
    <w:p w14:paraId="4703B798">
      <w:pPr>
        <w:adjustRightInd w:val="0"/>
        <w:snapToGrid w:val="0"/>
        <w:spacing w:line="400" w:lineRule="exact"/>
        <w:ind w:firstLine="466" w:firstLineChars="2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1.清除施工场地内残留的全部垃圾；</w:t>
      </w:r>
    </w:p>
    <w:p w14:paraId="3AF7CAEE">
      <w:pPr>
        <w:adjustRightInd w:val="0"/>
        <w:snapToGrid w:val="0"/>
        <w:spacing w:line="400" w:lineRule="exact"/>
        <w:ind w:firstLine="466" w:firstLineChars="2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2.拆除临时工程，清理、平整或复原场地；</w:t>
      </w:r>
    </w:p>
    <w:p w14:paraId="38F8FCEF">
      <w:pPr>
        <w:adjustRightInd w:val="0"/>
        <w:snapToGrid w:val="0"/>
        <w:spacing w:line="400" w:lineRule="exact"/>
        <w:ind w:firstLine="466" w:firstLineChars="2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3.撤离乙方的设备和剩余材料，包括废弃的施工设备和材料；</w:t>
      </w:r>
    </w:p>
    <w:p w14:paraId="19D2632E">
      <w:pPr>
        <w:adjustRightInd w:val="0"/>
        <w:snapToGrid w:val="0"/>
        <w:spacing w:line="400" w:lineRule="exact"/>
        <w:ind w:firstLine="466" w:firstLineChars="2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4.清理工程建筑物周边及其附近道路、河道的施工堆积物。</w:t>
      </w:r>
    </w:p>
    <w:p w14:paraId="690E43CE">
      <w:pPr>
        <w:spacing w:line="400" w:lineRule="exact"/>
        <w:ind w:firstLine="422" w:firstLineChars="200"/>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七、隐蔽工程验收</w:t>
      </w:r>
    </w:p>
    <w:p w14:paraId="1B715435">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乙方自检确认的工程隐蔽部位具备覆盖条件后，乙方应通知甲方在约定的期限内检查确认签字。乙方的通知应附有自检记录和必要的检查资料。甲方应按时到场检查确认。经甲方检查确认质量符合隐蔽要求，并在检查记录上签字后，乙方才能进行覆盖。甲方检查确认质量不符合要求的，乙方应在甲方指示的时间内修整返工，由甲方重新检查。乙方未通知甲方到场检查，私自将工程隐蔽部位覆盖的，甲方有权指示乙方钻孔探测或揭开检查，由此增加的费用和（或）工期延误由乙方承坦。</w:t>
      </w:r>
    </w:p>
    <w:p w14:paraId="08F26E30">
      <w:pPr>
        <w:spacing w:line="400" w:lineRule="exact"/>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八、</w:t>
      </w:r>
      <w:r>
        <w:rPr>
          <w:rFonts w:hint="eastAsia" w:ascii="宋体" w:hAnsi="宋体" w:eastAsia="宋体" w:cs="宋体"/>
          <w:b/>
          <w:bCs/>
          <w:color w:val="auto"/>
          <w:sz w:val="21"/>
          <w:szCs w:val="21"/>
          <w:highlight w:val="none"/>
        </w:rPr>
        <w:t>承包方式与工程价款</w:t>
      </w:r>
    </w:p>
    <w:p w14:paraId="4254EAFB">
      <w:pPr>
        <w:spacing w:line="40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（一）承包方式：本工程实行第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种承包方式。</w:t>
      </w:r>
    </w:p>
    <w:p w14:paraId="0AD195FF">
      <w:pPr>
        <w:adjustRightInd w:val="0"/>
        <w:snapToGrid w:val="0"/>
        <w:spacing w:line="40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1.包工包料，综合单价包干承包方式，签约合同价为</w:t>
      </w:r>
      <w:r>
        <w:rPr>
          <w:rFonts w:hint="eastAsia" w:ascii="宋体" w:hAnsi="宋体" w:eastAsia="宋体" w:cs="宋体"/>
          <w:color w:val="auto"/>
          <w:sz w:val="21"/>
          <w:szCs w:val="21"/>
          <w:highlight w:val="none"/>
          <w:u w:val="single"/>
        </w:rPr>
        <w:t xml:space="preserve">    （￥     元）</w:t>
      </w:r>
      <w:r>
        <w:rPr>
          <w:rFonts w:hint="eastAsia" w:ascii="宋体" w:hAnsi="宋体" w:eastAsia="宋体" w:cs="宋体"/>
          <w:color w:val="auto"/>
          <w:sz w:val="21"/>
          <w:szCs w:val="21"/>
          <w:highlight w:val="none"/>
        </w:rPr>
        <w:t>，其中暂列金额为</w:t>
      </w:r>
      <w:r>
        <w:rPr>
          <w:rFonts w:hint="eastAsia" w:ascii="宋体" w:hAnsi="宋体" w:eastAsia="宋体" w:cs="宋体"/>
          <w:color w:val="auto"/>
          <w:sz w:val="21"/>
          <w:szCs w:val="21"/>
          <w:highlight w:val="none"/>
          <w:u w:val="single"/>
        </w:rPr>
        <w:t xml:space="preserve">         （￥     元）。最终结算付款金额以甲方审计结算金额为准。</w:t>
      </w:r>
    </w:p>
    <w:p w14:paraId="40F5383E">
      <w:pPr>
        <w:adjustRightInd w:val="0"/>
        <w:snapToGrid w:val="0"/>
        <w:spacing w:line="400" w:lineRule="exact"/>
        <w:ind w:firstLine="420" w:firstLineChars="200"/>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2.包工包料、按实结算的承包方式。</w:t>
      </w:r>
      <w:r>
        <w:rPr>
          <w:rFonts w:hint="eastAsia" w:ascii="宋体" w:hAnsi="宋体" w:eastAsia="宋体" w:cs="宋体"/>
          <w:color w:val="auto"/>
          <w:sz w:val="21"/>
          <w:szCs w:val="21"/>
          <w:highlight w:val="none"/>
          <w:u w:val="single"/>
        </w:rPr>
        <w:t>按《建设工程工程量清单计价标准》及现行消耗量标准、相关法律法规及规范性文件计价。</w:t>
      </w:r>
    </w:p>
    <w:p w14:paraId="15C856AE">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（二）乙方账户</w:t>
      </w:r>
    </w:p>
    <w:p w14:paraId="5487B595">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u w:val="single"/>
        </w:rPr>
        <w:t xml:space="preserve">                                          </w:t>
      </w:r>
    </w:p>
    <w:p w14:paraId="30B88C04">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户    名：</w:t>
      </w:r>
      <w:r>
        <w:rPr>
          <w:rFonts w:hint="eastAsia" w:ascii="宋体" w:hAnsi="宋体" w:eastAsia="宋体" w:cs="宋体"/>
          <w:color w:val="auto"/>
          <w:sz w:val="21"/>
          <w:szCs w:val="21"/>
          <w:highlight w:val="none"/>
          <w:u w:val="single"/>
        </w:rPr>
        <w:t xml:space="preserve">                                          </w:t>
      </w:r>
    </w:p>
    <w:p w14:paraId="55367A50">
      <w:pPr>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帐    号：</w:t>
      </w:r>
      <w:r>
        <w:rPr>
          <w:rFonts w:hint="eastAsia" w:ascii="宋体" w:hAnsi="宋体" w:eastAsia="宋体" w:cs="宋体"/>
          <w:color w:val="auto"/>
          <w:sz w:val="21"/>
          <w:szCs w:val="21"/>
          <w:highlight w:val="none"/>
          <w:u w:val="single"/>
        </w:rPr>
        <w:t xml:space="preserve">                                          </w:t>
      </w:r>
    </w:p>
    <w:p w14:paraId="2CCB5FB2">
      <w:pPr>
        <w:spacing w:line="400" w:lineRule="exact"/>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九、合同的变更</w:t>
      </w:r>
    </w:p>
    <w:p w14:paraId="31A606E9">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（一）合同履行过程中发生以下情形的：</w:t>
      </w:r>
      <w:r>
        <w:rPr>
          <w:rFonts w:hint="eastAsia" w:ascii="宋体" w:hAnsi="宋体" w:eastAsia="宋体" w:cs="宋体"/>
          <w:color w:val="auto"/>
          <w:sz w:val="21"/>
          <w:szCs w:val="21"/>
          <w:highlight w:val="none"/>
          <w:u w:val="single"/>
        </w:rPr>
        <w:t>①增加或减少合同中任何工程量，或追加额外的工程量；②改变合同中任何工作的质量标准或其他特性；③改变工程的基线、标高、位置和尺寸；④改变工程的时间安排或实施顺序，</w:t>
      </w:r>
      <w:r>
        <w:rPr>
          <w:rFonts w:hint="eastAsia" w:ascii="宋体" w:hAnsi="宋体" w:eastAsia="宋体" w:cs="宋体"/>
          <w:color w:val="auto"/>
          <w:sz w:val="21"/>
          <w:szCs w:val="21"/>
          <w:highlight w:val="none"/>
        </w:rPr>
        <w:t>甲方可以提出工程内容变更，并向乙方发出变更指示（应说明计划变更的工程范围和变更的内容），乙方应当按照变更后的工程内容执行。变更部分按照省住建厅关于执行《建设工程工程量清单计价标准》及配套工程量计价标准的通知（湘建科函[2025]150号）、省住建厅关于发布2025《湖南省建设工程消耗量标准》的通知（湘建科函[2025]151号）、现行法律法规及规范性文件执行。</w:t>
      </w:r>
    </w:p>
    <w:p w14:paraId="404E898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（二）甲乙双方协商一致，可以变更本合同的相关内容，由甲乙双方以书面形式确定合同变更的内容。</w:t>
      </w:r>
    </w:p>
    <w:p w14:paraId="1272A21B">
      <w:pPr>
        <w:spacing w:line="400" w:lineRule="exact"/>
        <w:ind w:firstLine="411" w:firstLineChars="196"/>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（三）合同履行期间，如合同项下约定内容或依据遇政策调整，按调整后的政策执行。</w:t>
      </w:r>
    </w:p>
    <w:p w14:paraId="179B0B64">
      <w:pPr>
        <w:spacing w:line="400" w:lineRule="exact"/>
        <w:ind w:firstLine="413" w:firstLineChars="19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十、工程款支付</w:t>
      </w:r>
    </w:p>
    <w:p w14:paraId="5EDB3FC4">
      <w:pPr>
        <w:spacing w:line="400" w:lineRule="exact"/>
        <w:ind w:firstLine="342" w:firstLineChars="16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本工程不支付进度款。</w:t>
      </w:r>
    </w:p>
    <w:p w14:paraId="4C5E44A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（一）整个工程完成并正式竣工验收合格后，付至合同价款（扣减暂列金额和原合同范围内取消的工作）的50%；</w:t>
      </w:r>
    </w:p>
    <w:p w14:paraId="616829C9">
      <w:pPr>
        <w:pStyle w:val="64"/>
        <w:ind w:firstLine="5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（二）乙方向甲方审计部门提交基建工程竣工结算验证所需资料清单后，付至合同价款（扣减暂列金额和原合同范围内取消的工作）的80%；</w:t>
      </w:r>
    </w:p>
    <w:p w14:paraId="36F5DBB3">
      <w:pPr>
        <w:spacing w:line="400" w:lineRule="exact"/>
        <w:ind w:firstLine="342" w:firstLineChars="16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（三）经审计部门审计，乙方提交完整的竣工资料存档后</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个工作日内，凭国家规定税务发票付至审定总价款的</w:t>
      </w:r>
      <w:r>
        <w:rPr>
          <w:rFonts w:hint="eastAsia" w:ascii="宋体" w:hAnsi="宋体" w:eastAsia="宋体" w:cs="宋体"/>
          <w:color w:val="auto"/>
          <w:sz w:val="21"/>
          <w:szCs w:val="21"/>
          <w:highlight w:val="none"/>
          <w:u w:val="single"/>
        </w:rPr>
        <w:t>97%</w:t>
      </w:r>
      <w:r>
        <w:rPr>
          <w:rFonts w:hint="eastAsia" w:ascii="宋体" w:hAnsi="宋体" w:eastAsia="宋体" w:cs="宋体"/>
          <w:color w:val="auto"/>
          <w:sz w:val="21"/>
          <w:szCs w:val="21"/>
          <w:highlight w:val="none"/>
        </w:rPr>
        <w:t>。</w:t>
      </w:r>
    </w:p>
    <w:p w14:paraId="4DDE392F">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（四）余款</w:t>
      </w:r>
      <w:r>
        <w:rPr>
          <w:rFonts w:hint="eastAsia"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rPr>
        <w:t>作为工程质量保证金（不计息），支付方式为：</w:t>
      </w:r>
      <w:r>
        <w:rPr>
          <w:rFonts w:hint="eastAsia" w:ascii="宋体" w:hAnsi="宋体" w:eastAsia="宋体" w:cs="宋体"/>
          <w:color w:val="auto"/>
          <w:sz w:val="21"/>
          <w:szCs w:val="21"/>
          <w:highlight w:val="none"/>
          <w:u w:val="single"/>
        </w:rPr>
        <w:t>保修期满乙方履行保修责任后一次性付清。</w:t>
      </w:r>
      <w:r>
        <w:rPr>
          <w:rFonts w:hint="eastAsia" w:ascii="宋体" w:hAnsi="宋体" w:eastAsia="宋体" w:cs="宋体"/>
          <w:color w:val="auto"/>
          <w:sz w:val="21"/>
          <w:szCs w:val="21"/>
          <w:highlight w:val="none"/>
        </w:rPr>
        <w:t xml:space="preserve">  </w:t>
      </w:r>
    </w:p>
    <w:p w14:paraId="1CE0F034">
      <w:pPr>
        <w:spacing w:line="40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（五）乙方应在甲方付款前向甲方出具合法、等额、有效的增值税发票，如未按约提供，甲方有权相应顺延付款日期。</w:t>
      </w:r>
    </w:p>
    <w:p w14:paraId="0CE4C54D">
      <w:pPr>
        <w:spacing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十一、</w:t>
      </w:r>
      <w:r>
        <w:rPr>
          <w:rFonts w:hint="eastAsia" w:ascii="宋体" w:hAnsi="宋体" w:eastAsia="宋体" w:cs="宋体"/>
          <w:b/>
          <w:color w:val="auto"/>
          <w:sz w:val="21"/>
          <w:szCs w:val="21"/>
          <w:highlight w:val="none"/>
        </w:rPr>
        <w:t>竣工验收与结算</w:t>
      </w:r>
    </w:p>
    <w:p w14:paraId="6ED325E0">
      <w:pPr>
        <w:spacing w:line="400" w:lineRule="exact"/>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（一）验收内容和标准：合同约定的工程内容，包括但不限于设计图纸、预算文件、审计文件、甲方现场代表要求等其他本合同相关文件要求以及第四条约定的工程质量。</w:t>
      </w:r>
    </w:p>
    <w:p w14:paraId="0F4618F4">
      <w:pPr>
        <w:spacing w:line="400" w:lineRule="exact"/>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（二）验收方式：工程竣工后，乙方提交竣工验收申请，甲方维修部门同意后组织学校相关部门进行验收，乙方予以配合。</w:t>
      </w:r>
    </w:p>
    <w:p w14:paraId="328BAD3C">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乙方应当于竣工验收合格之日起10日内向甲方提交竣工报告及完整的结算资料，经最终审定的结算造价作为双方结算工程款的有效依据。工程结算前，乙方应负责提供全套工程审计资料交至甲方。乙方在办理竣工结算时的资料应全面真实，最终审减额超出乙方的结算送审金额5%以上的部分，按超出部分金额的10%承担违约金，甲方有权从乙方的工程款中扣除。</w:t>
      </w:r>
    </w:p>
    <w:p w14:paraId="45ADB4BB">
      <w:pPr>
        <w:adjustRightInd w:val="0"/>
        <w:snapToGrid w:val="0"/>
        <w:spacing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十二、保修条款</w:t>
      </w:r>
    </w:p>
    <w:p w14:paraId="6D7C7295">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（一）乙方按《建设工程质量管理条例》、《房屋建筑工程质量保修办法》等国家有关规定，对交付甲方使用的工程在质量保修期内承担质量保修责任。</w:t>
      </w:r>
    </w:p>
    <w:p w14:paraId="7FCE1CD3">
      <w:pPr>
        <w:spacing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（二）工程质量保修范围和内容：</w:t>
      </w:r>
      <w:r>
        <w:rPr>
          <w:rFonts w:hint="eastAsia" w:ascii="宋体" w:hAnsi="宋体" w:eastAsia="宋体" w:cs="宋体"/>
          <w:color w:val="auto"/>
          <w:sz w:val="21"/>
          <w:szCs w:val="21"/>
          <w:highlight w:val="none"/>
          <w:u w:val="single"/>
        </w:rPr>
        <w:t>《建设工程质量管理条例》、《房屋建筑工程质量保修办法》规定了最低保修期限的，按照上述规定期限执行，上述规定中没有规定最低保修期限的部分，包括但不限于工程、工艺、材料等的保修期均为两年。</w:t>
      </w:r>
      <w:r>
        <w:rPr>
          <w:rFonts w:hint="eastAsia" w:ascii="宋体" w:hAnsi="宋体" w:eastAsia="宋体" w:cs="宋体"/>
          <w:b/>
          <w:color w:val="auto"/>
          <w:sz w:val="21"/>
          <w:szCs w:val="21"/>
          <w:highlight w:val="none"/>
          <w:u w:val="single"/>
        </w:rPr>
        <w:t>保修期自工程竣工验收通过之日起计算。</w:t>
      </w:r>
    </w:p>
    <w:p w14:paraId="680683D9">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（三）属于保修范围内容的项目，乙方应当在接到保修通知之日起3日内派人保修。发生紧急抢修事故的，乙方在接到事故通知后，应在4小时内到达事故现场抢修。</w:t>
      </w:r>
    </w:p>
    <w:p w14:paraId="4B27D920">
      <w:pPr>
        <w:adjustRightInd w:val="0"/>
        <w:snapToGrid w:val="0"/>
        <w:spacing w:line="400" w:lineRule="exact"/>
        <w:ind w:firstLine="466" w:firstLineChars="221"/>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十三、</w:t>
      </w:r>
      <w:r>
        <w:rPr>
          <w:rFonts w:hint="eastAsia" w:ascii="宋体" w:hAnsi="宋体" w:eastAsia="宋体" w:cs="宋体"/>
          <w:b/>
          <w:color w:val="auto"/>
          <w:sz w:val="21"/>
          <w:szCs w:val="21"/>
          <w:highlight w:val="none"/>
        </w:rPr>
        <w:t>保密条款</w:t>
      </w:r>
    </w:p>
    <w:p w14:paraId="49CE3552">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（一）乙方不得向第三方扩散、转让甲方提交的图纸等技术经济资料。</w:t>
      </w:r>
    </w:p>
    <w:p w14:paraId="3F126AF4">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（二）竣工图纸等技术经济资料交付甲方后，乙方不得留存复制品。</w:t>
      </w:r>
    </w:p>
    <w:p w14:paraId="76B412A1">
      <w:pPr>
        <w:spacing w:line="40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十四、</w:t>
      </w:r>
      <w:r>
        <w:rPr>
          <w:rFonts w:hint="eastAsia" w:ascii="宋体" w:hAnsi="宋体" w:eastAsia="宋体" w:cs="宋体"/>
          <w:b/>
          <w:bCs/>
          <w:color w:val="auto"/>
          <w:sz w:val="21"/>
          <w:szCs w:val="21"/>
          <w:highlight w:val="none"/>
        </w:rPr>
        <w:t>违约责任</w:t>
      </w:r>
    </w:p>
    <w:p w14:paraId="347636AA">
      <w:pPr>
        <w:adjustRightInd w:val="0"/>
        <w:snapToGrid w:val="0"/>
        <w:spacing w:line="400" w:lineRule="exact"/>
        <w:ind w:firstLine="464" w:firstLineChars="22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（一）甲方违约责任</w:t>
      </w:r>
    </w:p>
    <w:p w14:paraId="1C51C730">
      <w:pPr>
        <w:adjustRightInd w:val="0"/>
        <w:snapToGrid w:val="0"/>
        <w:spacing w:line="400" w:lineRule="exact"/>
        <w:ind w:firstLine="464" w:firstLineChars="22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在履行合同过程中，因甲方原因造成工期延误的，乙方的履行期限相应顺延。</w:t>
      </w:r>
    </w:p>
    <w:p w14:paraId="7B4C7AFB">
      <w:pPr>
        <w:adjustRightInd w:val="0"/>
        <w:snapToGrid w:val="0"/>
        <w:spacing w:line="400" w:lineRule="exact"/>
        <w:ind w:firstLine="464" w:firstLineChars="22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（二）乙方违约责任</w:t>
      </w:r>
    </w:p>
    <w:p w14:paraId="42674728">
      <w:pPr>
        <w:adjustRightInd w:val="0"/>
        <w:snapToGrid w:val="0"/>
        <w:spacing w:line="400" w:lineRule="exact"/>
        <w:ind w:firstLine="464" w:firstLineChars="221"/>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1.因乙方原因造成工程无法按期竣工验收的，每延迟1日，应当承担总合同价款的</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作为违约金，甲方有权从工程结算款中扣除。延迟累计达</w:t>
      </w:r>
      <w:r>
        <w:rPr>
          <w:rFonts w:hint="eastAsia" w:ascii="宋体" w:hAnsi="宋体" w:eastAsia="宋体" w:cs="宋体"/>
          <w:color w:val="auto"/>
          <w:sz w:val="21"/>
          <w:szCs w:val="21"/>
          <w:highlight w:val="none"/>
          <w:u w:val="single"/>
        </w:rPr>
        <w:t>30</w:t>
      </w:r>
      <w:r>
        <w:rPr>
          <w:rFonts w:hint="eastAsia" w:ascii="宋体" w:hAnsi="宋体" w:eastAsia="宋体" w:cs="宋体"/>
          <w:color w:val="auto"/>
          <w:sz w:val="21"/>
          <w:szCs w:val="21"/>
          <w:highlight w:val="none"/>
        </w:rPr>
        <w:t>日的，甲方有权单方</w:t>
      </w:r>
      <w:r>
        <w:rPr>
          <w:rFonts w:hint="eastAsia" w:ascii="宋体" w:hAnsi="宋体" w:eastAsia="宋体" w:cs="宋体"/>
          <w:bCs/>
          <w:color w:val="auto"/>
          <w:sz w:val="21"/>
          <w:szCs w:val="21"/>
          <w:highlight w:val="none"/>
        </w:rPr>
        <w:t>解除合同或另行委托第三方完成剩余工程，委托第三方产生的费用由乙方承担，且乙方应当承担合同总价款的</w:t>
      </w:r>
      <w:r>
        <w:rPr>
          <w:rFonts w:hint="eastAsia" w:ascii="宋体" w:hAnsi="宋体" w:eastAsia="宋体" w:cs="宋体"/>
          <w:bCs/>
          <w:color w:val="auto"/>
          <w:sz w:val="21"/>
          <w:szCs w:val="21"/>
          <w:highlight w:val="none"/>
          <w:u w:val="single"/>
        </w:rPr>
        <w:t>10%</w:t>
      </w:r>
      <w:r>
        <w:rPr>
          <w:rFonts w:hint="eastAsia" w:ascii="宋体" w:hAnsi="宋体" w:eastAsia="宋体" w:cs="宋体"/>
          <w:bCs/>
          <w:color w:val="auto"/>
          <w:sz w:val="21"/>
          <w:szCs w:val="21"/>
          <w:highlight w:val="none"/>
        </w:rPr>
        <w:t>作为违约金。</w:t>
      </w:r>
    </w:p>
    <w:p w14:paraId="355E5389">
      <w:pPr>
        <w:numPr>
          <w:ilvl w:val="0"/>
          <w:numId w:val="2"/>
        </w:numPr>
        <w:adjustRightInd w:val="0"/>
        <w:snapToGrid w:val="0"/>
        <w:spacing w:line="400" w:lineRule="exact"/>
        <w:ind w:firstLine="464" w:firstLineChars="22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乙方不得将本合同项下工程以任何形式转包或分包给第三方，否则应承担合同总价款的</w:t>
      </w:r>
      <w:r>
        <w:rPr>
          <w:rFonts w:hint="eastAsia" w:ascii="宋体" w:hAnsi="宋体" w:eastAsia="宋体" w:cs="宋体"/>
          <w:bCs/>
          <w:color w:val="auto"/>
          <w:sz w:val="21"/>
          <w:szCs w:val="21"/>
          <w:highlight w:val="none"/>
          <w:u w:val="single"/>
        </w:rPr>
        <w:t>10%</w:t>
      </w:r>
      <w:r>
        <w:rPr>
          <w:rFonts w:hint="eastAsia" w:ascii="宋体" w:hAnsi="宋体" w:eastAsia="宋体" w:cs="宋体"/>
          <w:bCs/>
          <w:color w:val="auto"/>
          <w:sz w:val="21"/>
          <w:szCs w:val="21"/>
          <w:highlight w:val="none"/>
        </w:rPr>
        <w:t>作为违约金，甲方有权单方解除合同或要求乙方继续按合同将剩余工程建设完毕至验收合格，由此造成工期延误的，还应当承担延期竣工的违约责任。</w:t>
      </w:r>
    </w:p>
    <w:p w14:paraId="6FE7DC8F">
      <w:pPr>
        <w:adjustRightInd w:val="0"/>
        <w:snapToGrid w:val="0"/>
        <w:spacing w:line="400" w:lineRule="exact"/>
        <w:ind w:firstLine="464" w:firstLineChars="221"/>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3.乙方应按期保证工程竣工并验收合格，对不合格的部分，应负责返工至合格为止，由此增加的一切费用由乙方承担。</w:t>
      </w:r>
      <w:r>
        <w:rPr>
          <w:rFonts w:hint="eastAsia" w:ascii="宋体" w:hAnsi="宋体" w:eastAsia="宋体" w:cs="宋体"/>
          <w:color w:val="auto"/>
          <w:sz w:val="21"/>
          <w:szCs w:val="21"/>
          <w:highlight w:val="none"/>
        </w:rPr>
        <w:t>造成工程不能按期竣工验收的，乙方还应当承担延迟竣工验收的违约责任。</w:t>
      </w:r>
    </w:p>
    <w:p w14:paraId="11C810FD">
      <w:pPr>
        <w:adjustRightInd w:val="0"/>
        <w:snapToGrid w:val="0"/>
        <w:spacing w:line="400" w:lineRule="exact"/>
        <w:ind w:firstLine="464" w:firstLineChars="22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4.乙方无法继续履行或明确表示不履行或实质上已停止履行合同的，甲方有权立即单方解除合同，乙方还应当支付合同总价款的</w:t>
      </w:r>
      <w:r>
        <w:rPr>
          <w:rFonts w:hint="eastAsia" w:ascii="宋体" w:hAnsi="宋体" w:eastAsia="宋体" w:cs="宋体"/>
          <w:bCs/>
          <w:color w:val="auto"/>
          <w:sz w:val="21"/>
          <w:szCs w:val="21"/>
          <w:highlight w:val="none"/>
          <w:u w:val="single"/>
        </w:rPr>
        <w:t>10%</w:t>
      </w:r>
      <w:r>
        <w:rPr>
          <w:rFonts w:hint="eastAsia" w:ascii="宋体" w:hAnsi="宋体" w:eastAsia="宋体" w:cs="宋体"/>
          <w:bCs/>
          <w:color w:val="auto"/>
          <w:sz w:val="21"/>
          <w:szCs w:val="21"/>
          <w:highlight w:val="none"/>
        </w:rPr>
        <w:t>作为违约金。</w:t>
      </w:r>
    </w:p>
    <w:p w14:paraId="14D549A0">
      <w:pPr>
        <w:adjustRightInd w:val="0"/>
        <w:snapToGrid w:val="0"/>
        <w:spacing w:line="400" w:lineRule="exact"/>
        <w:ind w:firstLine="464" w:firstLineChars="22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5.甲方有权拒绝乙方提供的不合格材料或工程设备，并要求乙方立即进行更换。甲方在更换后再次进行检查和检验，由此增加的费用和工期延误由乙方承担。</w:t>
      </w:r>
    </w:p>
    <w:p w14:paraId="4C67B27B">
      <w:pPr>
        <w:adjustRightInd w:val="0"/>
        <w:snapToGrid w:val="0"/>
        <w:spacing w:line="400" w:lineRule="exact"/>
        <w:ind w:firstLine="464" w:firstLineChars="221"/>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6.乙方由于自身原因未能按合同进度计划完成工作，或乙方施工进度明显不能满足合同工期要求的，乙方应采取措施加快进度，并承担加快进度所增加的费用。</w:t>
      </w:r>
    </w:p>
    <w:p w14:paraId="203C61D9">
      <w:pPr>
        <w:adjustRightInd w:val="0"/>
        <w:snapToGrid w:val="0"/>
        <w:spacing w:line="400" w:lineRule="exact"/>
        <w:ind w:firstLine="464" w:firstLineChars="221"/>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7.乙方不按本合同第十一条第三项的约定</w:t>
      </w:r>
      <w:r>
        <w:rPr>
          <w:rFonts w:hint="eastAsia" w:ascii="宋体" w:hAnsi="宋体" w:eastAsia="宋体" w:cs="宋体"/>
          <w:color w:val="auto"/>
          <w:sz w:val="21"/>
          <w:szCs w:val="21"/>
          <w:highlight w:val="none"/>
        </w:rPr>
        <w:t>时间报送结算书，逾期满</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个月后，每日承担审定总价的</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的违约金，最多不超过</w:t>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rPr>
        <w:t>。</w:t>
      </w:r>
    </w:p>
    <w:p w14:paraId="0198A12B">
      <w:pPr>
        <w:adjustRightInd w:val="0"/>
        <w:snapToGrid w:val="0"/>
        <w:spacing w:line="400" w:lineRule="exact"/>
        <w:ind w:firstLine="464" w:firstLineChars="22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8.乙方向第三方扩散、转让甲方提交的图纸等技术经济资料，或乙方留工程图纸等技术经济资料的复制品及其他技术资料的，由此造成甲方的损失，乙方应当承担赔偿责任。</w:t>
      </w:r>
    </w:p>
    <w:p w14:paraId="2384ABCD">
      <w:pPr>
        <w:adjustRightInd w:val="0"/>
        <w:snapToGrid w:val="0"/>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9.乙方未能按第十二条保修条款的约定承担保修责任的，甲方有权自行或</w:t>
      </w:r>
      <w:r>
        <w:rPr>
          <w:rFonts w:hint="eastAsia" w:ascii="宋体" w:hAnsi="宋体" w:eastAsia="宋体" w:cs="宋体"/>
          <w:bCs/>
          <w:color w:val="auto"/>
          <w:sz w:val="21"/>
          <w:szCs w:val="21"/>
          <w:highlight w:val="none"/>
        </w:rPr>
        <w:t>另行委托第三方进行维修，由此产生的费用由乙方承担，乙方还应当支付合同总价款的</w:t>
      </w:r>
      <w:r>
        <w:rPr>
          <w:rFonts w:hint="eastAsia" w:ascii="宋体" w:hAnsi="宋体" w:eastAsia="宋体" w:cs="宋体"/>
          <w:bCs/>
          <w:color w:val="auto"/>
          <w:sz w:val="21"/>
          <w:szCs w:val="21"/>
          <w:highlight w:val="none"/>
          <w:u w:val="single"/>
        </w:rPr>
        <w:t>1%</w:t>
      </w:r>
      <w:r>
        <w:rPr>
          <w:rFonts w:hint="eastAsia" w:ascii="宋体" w:hAnsi="宋体" w:eastAsia="宋体" w:cs="宋体"/>
          <w:bCs/>
          <w:color w:val="auto"/>
          <w:sz w:val="21"/>
          <w:szCs w:val="21"/>
          <w:highlight w:val="none"/>
        </w:rPr>
        <w:t>作为违约金，甲方有权从质保金中扣除。</w:t>
      </w:r>
    </w:p>
    <w:p w14:paraId="088F1507">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10.乙方不按本合同约定进行安全文明施工的（包括但不限于运输污损道路环境、场地清理不及时不彻底等情形），甲方有权自行或委托第三方进行处理，所产生的费用甲方有权在工程款项中扣除。</w:t>
      </w:r>
    </w:p>
    <w:p w14:paraId="08FAC72E">
      <w:pPr>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11.在国家规定的工程合理使用期限内，乙方应确保工程质量。若因乙方原因致使工程在合理使用期限内产生人身和财产损害的，乙方应承担损害赔偿责任。</w:t>
      </w:r>
    </w:p>
    <w:p w14:paraId="73E12FD4">
      <w:pPr>
        <w:spacing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十五、</w:t>
      </w:r>
      <w:r>
        <w:rPr>
          <w:rFonts w:hint="eastAsia" w:ascii="宋体" w:hAnsi="宋体" w:eastAsia="宋体" w:cs="宋体"/>
          <w:b/>
          <w:color w:val="auto"/>
          <w:sz w:val="21"/>
          <w:szCs w:val="21"/>
          <w:highlight w:val="none"/>
        </w:rPr>
        <w:t>不可抗力</w:t>
      </w:r>
    </w:p>
    <w:p w14:paraId="4A8A4E97">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（一）遭受不可抗力的一方应于</w:t>
      </w:r>
      <w:r>
        <w:rPr>
          <w:rFonts w:hint="eastAsia" w:ascii="宋体" w:hAnsi="宋体" w:eastAsia="宋体" w:cs="宋体"/>
          <w:color w:val="auto"/>
          <w:sz w:val="21"/>
          <w:szCs w:val="21"/>
          <w:highlight w:val="none"/>
          <w:u w:val="single"/>
        </w:rPr>
        <w:t>12小时内</w:t>
      </w:r>
      <w:r>
        <w:rPr>
          <w:rFonts w:hint="eastAsia" w:ascii="宋体" w:hAnsi="宋体" w:eastAsia="宋体" w:cs="宋体"/>
          <w:color w:val="auto"/>
          <w:sz w:val="21"/>
          <w:szCs w:val="21"/>
          <w:highlight w:val="none"/>
        </w:rPr>
        <w:t>向对方通报不能履行或不能完全履行的理由，并提供不可抗力发生及持续期间的充分证据。</w:t>
      </w:r>
    </w:p>
    <w:p w14:paraId="455023E0">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因不可抗力导致的人员伤亡、财产损失、费用增加和工期延误等后果，由合同双方各自承担其人员伤亡和其他财产损失及其相关费用；乙方设备的损坏和停工损失由乙方承担；不能按期竣工的，应合理延长工期，乙方不需支付逾期竣工违约金。甲方要求赶工的，乙方应采取赶工措施，赶工费用由甲方承担。</w:t>
      </w:r>
    </w:p>
    <w:p w14:paraId="4D6FE8D8">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（三）受不可抗力影响的一方不免除其应当尽可能地及时采取合理措施减少不可抗力对本合同履行所造成的影响的责任。没有采取合理措施致使损失扩大的，该方不得就扩大损失的部分要求免责。</w:t>
      </w:r>
    </w:p>
    <w:p w14:paraId="42065A69">
      <w:pPr>
        <w:spacing w:line="400" w:lineRule="exact"/>
        <w:ind w:firstLine="413" w:firstLineChars="196"/>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十六、合同的解除</w:t>
      </w:r>
    </w:p>
    <w:p w14:paraId="3596B117">
      <w:pPr>
        <w:spacing w:line="400" w:lineRule="exact"/>
        <w:ind w:firstLine="411" w:firstLineChars="196"/>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（一）</w:t>
      </w:r>
      <w:r>
        <w:rPr>
          <w:rFonts w:hint="eastAsia" w:ascii="宋体" w:hAnsi="宋体" w:eastAsia="宋体" w:cs="宋体"/>
          <w:color w:val="auto"/>
          <w:sz w:val="21"/>
          <w:szCs w:val="21"/>
          <w:highlight w:val="none"/>
        </w:rPr>
        <w:t>甲乙双方协商一致，可以解除合同，具体事宜由双方协商决定。</w:t>
      </w:r>
    </w:p>
    <w:p w14:paraId="3EA7D8CB">
      <w:pPr>
        <w:spacing w:line="400" w:lineRule="exact"/>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（二）因乙方违约，甲方单方面解除合同的，合同解除后按如下方式处理：</w:t>
      </w:r>
    </w:p>
    <w:p w14:paraId="656D1422">
      <w:pPr>
        <w:spacing w:line="400" w:lineRule="exact"/>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1.乙方应按照甲方的要求移交工程图纸、相关文件等技术经济资料；</w:t>
      </w:r>
    </w:p>
    <w:p w14:paraId="53402FA1">
      <w:pPr>
        <w:spacing w:line="400" w:lineRule="exact"/>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2.乙方应按照甲方的要求完成施工现场的清理和撤离，由此产生的费用由乙方承担；</w:t>
      </w:r>
    </w:p>
    <w:p w14:paraId="2E31F493">
      <w:pPr>
        <w:spacing w:line="400" w:lineRule="exact"/>
        <w:ind w:firstLine="411" w:firstLineChars="196"/>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3.甲方按照第十一条验收标准确定乙方实际完成的工程量，对合格的工程部分，甲方支付相应的工程款；对不合格或未完成的工程部分，甲方不支付任何价款，由此产生的费用由乙方承担。</w:t>
      </w:r>
    </w:p>
    <w:p w14:paraId="07F5505C">
      <w:pPr>
        <w:spacing w:line="400" w:lineRule="exact"/>
        <w:ind w:firstLine="411" w:firstLineChars="196"/>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4.乙方应按本合同的约定承担相应的违约责任，支付违约金，并赔偿因解除合同给甲方造成的损失。</w:t>
      </w:r>
    </w:p>
    <w:p w14:paraId="2F57BA51">
      <w:pPr>
        <w:spacing w:line="400" w:lineRule="exact"/>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十七、争议的解决</w:t>
      </w:r>
    </w:p>
    <w:p w14:paraId="3125D45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合同在履行过程中所发生的争议，双方应及时协商解决；协商未达成一致的，可提交有关部门调解解决；调解不成的，诉至甲方所在地人民法院。</w:t>
      </w:r>
      <w:r>
        <w:rPr>
          <w:rFonts w:hint="eastAsia" w:ascii="宋体" w:hAnsi="宋体" w:eastAsia="宋体" w:cs="宋体"/>
          <w:b/>
          <w:color w:val="auto"/>
          <w:sz w:val="21"/>
          <w:szCs w:val="21"/>
          <w:highlight w:val="none"/>
        </w:rPr>
        <w:t xml:space="preserve"> </w:t>
      </w:r>
    </w:p>
    <w:p w14:paraId="16D4EB03">
      <w:pPr>
        <w:spacing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十八、其他</w:t>
      </w:r>
    </w:p>
    <w:p w14:paraId="462B5BE4">
      <w:pPr>
        <w:spacing w:line="400" w:lineRule="exact"/>
        <w:ind w:left="139" w:leftChars="66"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（一）本合同涉及的词语定义以《建设工程施工合同（示范文本）》（GF-2017-0201）为依据。</w:t>
      </w:r>
    </w:p>
    <w:p w14:paraId="13714403">
      <w:pPr>
        <w:spacing w:line="400" w:lineRule="exact"/>
        <w:ind w:left="139" w:leftChars="66"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（二）本合同未尽事宜，双方可另行协商或签订补充协议，所达成的一致意见或协议与本合同具有同等效力。本合同履行过程中双方之间产生的书面材料属于本合同的一部分，与本合同具有同等法律效力。</w:t>
      </w:r>
    </w:p>
    <w:p w14:paraId="6A9A9A41">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（三）本合同经双方签字盖章后生效。本合同</w:t>
      </w:r>
      <w:r>
        <w:rPr>
          <w:rFonts w:hint="eastAsia" w:ascii="宋体" w:hAnsi="宋体" w:eastAsia="宋体" w:cs="宋体"/>
          <w:color w:val="auto"/>
          <w:sz w:val="21"/>
          <w:szCs w:val="21"/>
          <w:highlight w:val="none"/>
          <w:u w:val="single"/>
        </w:rPr>
        <w:t>一式陆份，甲方肆份，乙方贰份</w:t>
      </w:r>
      <w:r>
        <w:rPr>
          <w:rFonts w:hint="eastAsia" w:ascii="宋体" w:hAnsi="宋体" w:eastAsia="宋体" w:cs="宋体"/>
          <w:color w:val="auto"/>
          <w:sz w:val="21"/>
          <w:szCs w:val="21"/>
          <w:highlight w:val="none"/>
        </w:rPr>
        <w:t>。</w:t>
      </w:r>
    </w:p>
    <w:p w14:paraId="636DF13A">
      <w:pPr>
        <w:spacing w:line="400" w:lineRule="exact"/>
        <w:ind w:firstLine="420" w:firstLineChars="200"/>
        <w:rPr>
          <w:rFonts w:hint="eastAsia" w:ascii="宋体" w:hAnsi="宋体" w:eastAsia="宋体" w:cs="宋体"/>
          <w:color w:val="auto"/>
          <w:sz w:val="21"/>
          <w:szCs w:val="21"/>
          <w:highlight w:val="none"/>
        </w:rPr>
      </w:pPr>
    </w:p>
    <w:p w14:paraId="18B32E9A">
      <w:pPr>
        <w:pStyle w:val="3"/>
        <w:rPr>
          <w:rFonts w:hint="eastAsia" w:ascii="宋体" w:hAnsi="宋体" w:eastAsia="宋体" w:cs="宋体"/>
          <w:color w:val="auto"/>
          <w:sz w:val="21"/>
          <w:szCs w:val="21"/>
          <w:highlight w:val="none"/>
        </w:rPr>
      </w:pPr>
    </w:p>
    <w:p w14:paraId="0ECA417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(盖章)：                           乙方 (盖章)：</w:t>
      </w:r>
    </w:p>
    <w:p w14:paraId="03725FDF">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法定代表人：</w:t>
      </w:r>
    </w:p>
    <w:p w14:paraId="718A0809">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                           委托代理人：</w:t>
      </w:r>
    </w:p>
    <w:p w14:paraId="1A1BE51C">
      <w:pPr>
        <w:spacing w:line="400" w:lineRule="exact"/>
        <w:ind w:firstLine="3045" w:firstLineChars="14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合同订立时间：＿＿＿年＿＿月＿＿日</w:t>
      </w:r>
    </w:p>
    <w:p w14:paraId="51E49842">
      <w:pPr>
        <w:rPr>
          <w:rFonts w:ascii="宋体" w:hAnsi="宋体" w:cs="宋体"/>
          <w:b/>
          <w:bCs/>
          <w:sz w:val="30"/>
          <w:szCs w:val="30"/>
        </w:rPr>
      </w:pPr>
    </w:p>
    <w:p w14:paraId="7EC08B25">
      <w:pPr>
        <w:spacing w:line="360" w:lineRule="auto"/>
        <w:ind w:left="452" w:hanging="452"/>
        <w:rPr>
          <w:rFonts w:ascii="宋体"/>
          <w:b/>
          <w:bCs/>
          <w:sz w:val="30"/>
          <w:szCs w:val="30"/>
        </w:rPr>
      </w:pPr>
      <w:r>
        <w:rPr>
          <w:rFonts w:hint="eastAsia" w:ascii="宋体" w:hAnsi="宋体" w:cs="宋体"/>
          <w:b/>
          <w:bCs/>
          <w:sz w:val="30"/>
          <w:szCs w:val="30"/>
        </w:rPr>
        <w:t>附件</w:t>
      </w:r>
      <w:r>
        <w:rPr>
          <w:rFonts w:ascii="宋体" w:hAnsi="宋体" w:cs="宋体"/>
          <w:b/>
          <w:bCs/>
          <w:sz w:val="30"/>
          <w:szCs w:val="30"/>
        </w:rPr>
        <w:t xml:space="preserve">  </w:t>
      </w:r>
    </w:p>
    <w:p w14:paraId="59FFA11D">
      <w:pPr>
        <w:spacing w:line="360" w:lineRule="auto"/>
        <w:ind w:left="316" w:hanging="316"/>
        <w:rPr>
          <w:rFonts w:ascii="宋体"/>
          <w:b/>
          <w:bCs/>
        </w:rPr>
      </w:pPr>
      <w:r>
        <w:rPr>
          <w:rFonts w:hint="eastAsia" w:ascii="宋体" w:hAnsi="宋体" w:cs="宋体"/>
          <w:b/>
          <w:bCs/>
        </w:rPr>
        <w:t>专用合同条款附件：</w:t>
      </w:r>
    </w:p>
    <w:p w14:paraId="63D68928">
      <w:pPr>
        <w:spacing w:line="360" w:lineRule="auto"/>
        <w:ind w:left="315" w:hanging="315" w:hangingChars="150"/>
        <w:rPr>
          <w:rFonts w:ascii="宋体" w:hAnsi="宋体" w:cs="宋体"/>
        </w:rPr>
      </w:pPr>
      <w:r>
        <w:rPr>
          <w:rFonts w:hint="eastAsia" w:ascii="宋体" w:hAnsi="宋体" w:cs="宋体"/>
        </w:rPr>
        <w:t>附件1</w:t>
      </w:r>
      <w:r>
        <w:rPr>
          <w:rFonts w:ascii="宋体" w:hAnsi="宋体" w:cs="宋体"/>
        </w:rPr>
        <w:t xml:space="preserve">   工程质量保修书</w:t>
      </w:r>
    </w:p>
    <w:p w14:paraId="5D4E69FA">
      <w:pPr>
        <w:spacing w:line="360" w:lineRule="auto"/>
        <w:ind w:left="315" w:hanging="315" w:hangingChars="150"/>
        <w:rPr>
          <w:rFonts w:ascii="宋体" w:hAnsi="宋体" w:cs="宋体"/>
        </w:rPr>
      </w:pPr>
      <w:r>
        <w:rPr>
          <w:rFonts w:hint="eastAsia" w:ascii="宋体" w:hAnsi="宋体" w:cs="宋体"/>
        </w:rPr>
        <w:t>附件2</w:t>
      </w:r>
      <w:r>
        <w:rPr>
          <w:rFonts w:ascii="宋体" w:hAnsi="宋体" w:cs="宋体"/>
        </w:rPr>
        <w:t xml:space="preserve">   </w:t>
      </w:r>
      <w:r>
        <w:rPr>
          <w:rFonts w:hint="eastAsia" w:ascii="宋体" w:hAnsi="宋体" w:cs="宋体"/>
        </w:rPr>
        <w:t>湘潭大学建设项目安全生产管理协议书（试行）</w:t>
      </w:r>
    </w:p>
    <w:p w14:paraId="3AEECEF9">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rPr>
      </w:pPr>
      <w:r>
        <w:rPr>
          <w:rFonts w:hint="eastAsia" w:ascii="宋体" w:hAnsi="宋体" w:eastAsia="宋体" w:cs="宋体"/>
        </w:rPr>
        <w:t>附件3</w:t>
      </w:r>
      <w:r>
        <w:rPr>
          <w:rFonts w:ascii="宋体" w:hAnsi="宋体" w:eastAsia="宋体" w:cs="宋体"/>
        </w:rPr>
        <w:t xml:space="preserve">   湘潭大学项目建设廉洁从业承诺书</w:t>
      </w:r>
    </w:p>
    <w:p w14:paraId="218C8A35">
      <w:pPr>
        <w:spacing w:after="240" w:afterLines="100" w:line="360" w:lineRule="auto"/>
        <w:rPr>
          <w:rFonts w:ascii="宋体" w:hAnsi="宋体" w:cs="宋体"/>
        </w:rPr>
      </w:pPr>
    </w:p>
    <w:p w14:paraId="41F42E7F">
      <w:pPr>
        <w:spacing w:line="360" w:lineRule="exact"/>
        <w:ind w:left="360" w:hanging="360"/>
        <w:rPr>
          <w:rFonts w:ascii="宋体"/>
          <w:sz w:val="24"/>
        </w:rPr>
      </w:pPr>
    </w:p>
    <w:p w14:paraId="4269F4E5">
      <w:pPr>
        <w:spacing w:line="360" w:lineRule="exact"/>
        <w:ind w:left="360" w:hanging="360"/>
        <w:rPr>
          <w:rFonts w:ascii="宋体"/>
          <w:sz w:val="24"/>
        </w:rPr>
      </w:pPr>
      <w:r>
        <w:rPr>
          <w:rFonts w:ascii="宋体"/>
          <w:sz w:val="24"/>
        </w:rPr>
        <w:br w:type="page"/>
      </w:r>
    </w:p>
    <w:p w14:paraId="6898A1DA">
      <w:pPr>
        <w:spacing w:line="360" w:lineRule="auto"/>
        <w:jc w:val="left"/>
        <w:rPr>
          <w:rFonts w:ascii="宋体" w:hAnsi="宋体" w:eastAsia="宋体" w:cs="宋体"/>
        </w:rPr>
      </w:pPr>
      <w:r>
        <w:rPr>
          <w:rFonts w:ascii="宋体" w:hAnsi="宋体" w:eastAsia="宋体" w:cs="宋体"/>
        </w:rPr>
        <w:t>附件</w:t>
      </w:r>
      <w:r>
        <w:rPr>
          <w:rFonts w:hint="eastAsia" w:ascii="宋体" w:hAnsi="宋体" w:eastAsia="宋体" w:cs="宋体"/>
        </w:rPr>
        <w:t>1</w:t>
      </w:r>
    </w:p>
    <w:p w14:paraId="043D0F46">
      <w:pPr>
        <w:spacing w:line="360" w:lineRule="auto"/>
        <w:jc w:val="center"/>
        <w:outlineLvl w:val="9"/>
        <w:rPr>
          <w:rFonts w:ascii="宋体" w:hAnsi="宋体" w:eastAsia="宋体" w:cs="宋体"/>
          <w:b/>
          <w:bCs/>
          <w:sz w:val="28"/>
          <w:szCs w:val="28"/>
        </w:rPr>
      </w:pPr>
      <w:r>
        <w:rPr>
          <w:rFonts w:ascii="宋体" w:hAnsi="宋体" w:eastAsia="宋体" w:cs="宋体"/>
          <w:b/>
          <w:bCs/>
          <w:sz w:val="28"/>
          <w:szCs w:val="28"/>
        </w:rPr>
        <w:t>工程质量保修书</w:t>
      </w:r>
    </w:p>
    <w:p w14:paraId="30AABE61">
      <w:pPr>
        <w:spacing w:line="440" w:lineRule="exact"/>
        <w:ind w:firstLine="420" w:firstLineChars="200"/>
        <w:outlineLvl w:val="9"/>
        <w:rPr>
          <w:rFonts w:ascii="宋体" w:hAnsi="宋体" w:eastAsia="宋体" w:cs="Times New Roman"/>
          <w:color w:val="000000"/>
          <w:szCs w:val="21"/>
        </w:rPr>
      </w:pPr>
      <w:r>
        <w:rPr>
          <w:rFonts w:ascii="宋体" w:hAnsi="宋体" w:eastAsia="宋体" w:cs="Times New Roman"/>
          <w:color w:val="000000"/>
          <w:szCs w:val="21"/>
        </w:rPr>
        <w:t>发包人（全称）：</w:t>
      </w:r>
      <w:r>
        <w:rPr>
          <w:rFonts w:hint="eastAsia" w:ascii="宋体" w:hAnsi="宋体" w:eastAsia="宋体" w:cs="Times New Roman"/>
          <w:color w:val="auto"/>
          <w:szCs w:val="21"/>
          <w:u w:val="single"/>
        </w:rPr>
        <w:t>湘潭大学</w:t>
      </w:r>
    </w:p>
    <w:p w14:paraId="3C86CEF3">
      <w:pPr>
        <w:spacing w:line="440" w:lineRule="exact"/>
        <w:outlineLvl w:val="9"/>
        <w:rPr>
          <w:rFonts w:ascii="宋体" w:hAnsi="宋体" w:eastAsia="宋体" w:cs="Times New Roman"/>
          <w:color w:val="000000"/>
          <w:szCs w:val="21"/>
        </w:rPr>
      </w:pPr>
      <w:r>
        <w:rPr>
          <w:rFonts w:ascii="宋体" w:hAnsi="宋体" w:eastAsia="宋体" w:cs="Times New Roman"/>
          <w:color w:val="000000"/>
          <w:szCs w:val="21"/>
        </w:rPr>
        <w:t>　　承包人（全称）：</w:t>
      </w:r>
      <w:r>
        <w:rPr>
          <w:rFonts w:ascii="宋体" w:hAnsi="宋体" w:eastAsia="宋体" w:cs="Times New Roman"/>
          <w:color w:val="000000"/>
          <w:szCs w:val="21"/>
          <w:u w:val="single"/>
        </w:rPr>
        <w:t xml:space="preserve">        </w:t>
      </w:r>
    </w:p>
    <w:p w14:paraId="2D1AE8C3">
      <w:pPr>
        <w:spacing w:line="440" w:lineRule="exact"/>
        <w:outlineLvl w:val="9"/>
        <w:rPr>
          <w:rFonts w:ascii="宋体" w:hAnsi="宋体" w:eastAsia="宋体" w:cs="Times New Roman"/>
          <w:color w:val="000000"/>
          <w:szCs w:val="21"/>
        </w:rPr>
      </w:pPr>
    </w:p>
    <w:p w14:paraId="5F03F42B">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　　发包人和承包人根据《中华人民共和国建筑法》和《建设工程质量管理条例》，经协商一致就</w:t>
      </w:r>
      <w:r>
        <w:rPr>
          <w:rFonts w:ascii="宋体" w:hAnsi="宋体" w:eastAsia="宋体" w:cs="Times New Roman"/>
          <w:color w:val="000000"/>
          <w:szCs w:val="21"/>
          <w:u w:val="single"/>
        </w:rPr>
        <w:t xml:space="preserve"> 湘潭大学XXXX工程</w:t>
      </w:r>
      <w:r>
        <w:rPr>
          <w:rFonts w:ascii="宋体" w:hAnsi="宋体" w:eastAsia="宋体" w:cs="Times New Roman"/>
          <w:color w:val="000000"/>
          <w:szCs w:val="21"/>
        </w:rPr>
        <w:t>（工程全称）签订工程质量保修书。</w:t>
      </w:r>
    </w:p>
    <w:p w14:paraId="1803A7A8">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　　一、工程质量保修范围和内容</w:t>
      </w:r>
    </w:p>
    <w:p w14:paraId="21232D7D">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　　承包人在质量保修期内，按照有关法律规定和合同约定，承担工程质量保修责任。</w:t>
      </w:r>
    </w:p>
    <w:p w14:paraId="56CB7056">
      <w:pPr>
        <w:spacing w:line="360" w:lineRule="auto"/>
        <w:outlineLvl w:val="9"/>
        <w:rPr>
          <w:rFonts w:ascii="宋体" w:hAnsi="宋体" w:eastAsia="宋体" w:cs="Times New Roman"/>
          <w:color w:val="auto"/>
          <w:szCs w:val="21"/>
        </w:rPr>
      </w:pPr>
      <w:r>
        <w:rPr>
          <w:rFonts w:ascii="宋体" w:hAnsi="宋体" w:eastAsia="宋体" w:cs="Times New Roman"/>
          <w:color w:val="000000"/>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auto"/>
          <w:szCs w:val="21"/>
          <w:u w:val="single"/>
        </w:rPr>
        <w:t>承包人承包范围内的全部内容</w:t>
      </w:r>
      <w:r>
        <w:rPr>
          <w:rFonts w:ascii="宋体" w:hAnsi="宋体" w:eastAsia="宋体" w:cs="Times New Roman"/>
          <w:color w:val="auto"/>
          <w:szCs w:val="21"/>
          <w:u w:val="single"/>
        </w:rPr>
        <w:t xml:space="preserve">  </w:t>
      </w:r>
      <w:r>
        <w:rPr>
          <w:rFonts w:ascii="宋体" w:hAnsi="宋体" w:eastAsia="宋体" w:cs="Times New Roman"/>
          <w:color w:val="auto"/>
          <w:szCs w:val="21"/>
        </w:rPr>
        <w:t>。</w:t>
      </w:r>
    </w:p>
    <w:p w14:paraId="0CDFC4FE">
      <w:pPr>
        <w:spacing w:line="360" w:lineRule="auto"/>
        <w:outlineLvl w:val="9"/>
        <w:rPr>
          <w:rFonts w:ascii="宋体" w:hAnsi="宋体" w:eastAsia="宋体" w:cs="Times New Roman"/>
          <w:color w:val="auto"/>
          <w:szCs w:val="21"/>
        </w:rPr>
      </w:pPr>
      <w:r>
        <w:rPr>
          <w:rFonts w:ascii="宋体" w:hAnsi="宋体" w:eastAsia="宋体" w:cs="Times New Roman"/>
          <w:b/>
          <w:color w:val="auto"/>
          <w:szCs w:val="21"/>
        </w:rPr>
        <w:t>　　</w:t>
      </w:r>
      <w:r>
        <w:rPr>
          <w:rFonts w:ascii="宋体" w:hAnsi="宋体" w:eastAsia="宋体" w:cs="Times New Roman"/>
          <w:color w:val="auto"/>
          <w:szCs w:val="21"/>
        </w:rPr>
        <w:t>二、质量保修期</w:t>
      </w:r>
    </w:p>
    <w:p w14:paraId="332AABCA">
      <w:pPr>
        <w:spacing w:line="360" w:lineRule="auto"/>
        <w:ind w:firstLine="420" w:firstLineChars="200"/>
        <w:outlineLvl w:val="9"/>
        <w:rPr>
          <w:rFonts w:ascii="宋体" w:hAnsi="宋体" w:eastAsia="宋体" w:cs="Times New Roman"/>
          <w:color w:val="auto"/>
          <w:szCs w:val="21"/>
        </w:rPr>
      </w:pPr>
      <w:r>
        <w:rPr>
          <w:rFonts w:ascii="宋体" w:hAnsi="宋体" w:eastAsia="宋体" w:cs="Times New Roman"/>
          <w:color w:val="auto"/>
          <w:szCs w:val="21"/>
        </w:rPr>
        <w:t>根据《建设工程质量管理条例》及有关规定，工程的质量保修期如下：</w:t>
      </w:r>
    </w:p>
    <w:p w14:paraId="0C6A7AC1">
      <w:pPr>
        <w:spacing w:line="360" w:lineRule="auto"/>
        <w:ind w:firstLine="420" w:firstLineChars="200"/>
        <w:outlineLvl w:val="9"/>
        <w:rPr>
          <w:rFonts w:ascii="宋体" w:hAnsi="宋体" w:eastAsia="宋体" w:cs="Times New Roman"/>
          <w:color w:val="auto"/>
          <w:szCs w:val="21"/>
        </w:rPr>
      </w:pPr>
      <w:r>
        <w:rPr>
          <w:rFonts w:hint="eastAsia" w:ascii="宋体" w:hAnsi="宋体" w:eastAsia="宋体" w:cs="Times New Roman"/>
          <w:color w:val="auto"/>
          <w:szCs w:val="21"/>
        </w:rPr>
        <w:t>1．地基基础工程和主体结构工程为设计文件规定的工程合理使用年限；</w:t>
      </w:r>
    </w:p>
    <w:p w14:paraId="23E6A799">
      <w:pPr>
        <w:spacing w:line="360" w:lineRule="auto"/>
        <w:ind w:firstLine="420" w:firstLineChars="200"/>
        <w:outlineLvl w:val="9"/>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屋面防水工程、有防水要求的卫生间、房间和外墙面的防渗</w:t>
      </w:r>
      <w:r>
        <w:rPr>
          <w:rFonts w:hint="eastAsia" w:ascii="宋体" w:hAnsi="宋体" w:eastAsia="宋体" w:cs="Times New Roman"/>
          <w:color w:val="auto"/>
          <w:szCs w:val="21"/>
        </w:rPr>
        <w:t xml:space="preserve">     为</w:t>
      </w:r>
      <w:r>
        <w:rPr>
          <w:rFonts w:hint="eastAsia" w:ascii="宋体" w:hAnsi="宋体" w:eastAsia="宋体" w:cs="Times New Roman"/>
          <w:color w:val="auto"/>
          <w:szCs w:val="21"/>
          <w:u w:val="single"/>
        </w:rPr>
        <w:t xml:space="preserve">   5  </w:t>
      </w:r>
      <w:r>
        <w:rPr>
          <w:rFonts w:ascii="宋体" w:hAnsi="宋体" w:eastAsia="宋体" w:cs="Times New Roman"/>
          <w:color w:val="auto"/>
          <w:szCs w:val="21"/>
        </w:rPr>
        <w:t>年；</w:t>
      </w:r>
    </w:p>
    <w:p w14:paraId="4F172872">
      <w:pPr>
        <w:spacing w:line="360" w:lineRule="auto"/>
        <w:ind w:firstLine="420" w:firstLineChars="200"/>
        <w:outlineLvl w:val="9"/>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装修工程为</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2</w:t>
      </w:r>
      <w:r>
        <w:rPr>
          <w:rFonts w:ascii="宋体" w:hAnsi="宋体" w:eastAsia="宋体" w:cs="Times New Roman"/>
          <w:color w:val="auto"/>
          <w:szCs w:val="21"/>
          <w:u w:val="single"/>
        </w:rPr>
        <w:t xml:space="preserve">   </w:t>
      </w:r>
      <w:r>
        <w:rPr>
          <w:rFonts w:ascii="宋体" w:hAnsi="宋体" w:eastAsia="宋体" w:cs="Times New Roman"/>
          <w:color w:val="auto"/>
          <w:szCs w:val="21"/>
        </w:rPr>
        <w:t>年；</w:t>
      </w:r>
    </w:p>
    <w:p w14:paraId="07C4745E">
      <w:pPr>
        <w:spacing w:line="360" w:lineRule="auto"/>
        <w:ind w:firstLine="420" w:firstLineChars="200"/>
        <w:outlineLvl w:val="9"/>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电气管线、给排水管道、设备安装工程为</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2</w:t>
      </w:r>
      <w:r>
        <w:rPr>
          <w:rFonts w:ascii="宋体" w:hAnsi="宋体" w:eastAsia="宋体" w:cs="Times New Roman"/>
          <w:color w:val="auto"/>
          <w:szCs w:val="21"/>
          <w:u w:val="single"/>
        </w:rPr>
        <w:t xml:space="preserve">   </w:t>
      </w:r>
      <w:r>
        <w:rPr>
          <w:rFonts w:ascii="宋体" w:hAnsi="宋体" w:eastAsia="宋体" w:cs="Times New Roman"/>
          <w:color w:val="auto"/>
          <w:szCs w:val="21"/>
        </w:rPr>
        <w:t>年；</w:t>
      </w:r>
    </w:p>
    <w:p w14:paraId="49189A82">
      <w:pPr>
        <w:spacing w:line="360" w:lineRule="auto"/>
        <w:ind w:firstLine="420" w:firstLineChars="200"/>
        <w:outlineLvl w:val="9"/>
        <w:rPr>
          <w:rFonts w:ascii="宋体" w:hAnsi="宋体" w:eastAsia="宋体" w:cs="Times New Roman"/>
          <w:color w:val="auto"/>
          <w:szCs w:val="21"/>
        </w:rPr>
      </w:pPr>
      <w:r>
        <w:rPr>
          <w:rFonts w:hint="eastAsia" w:ascii="宋体" w:hAnsi="宋体" w:eastAsia="宋体" w:cs="Times New Roman"/>
          <w:color w:val="auto"/>
          <w:szCs w:val="21"/>
        </w:rPr>
        <w:t>5．</w:t>
      </w:r>
      <w:r>
        <w:rPr>
          <w:rFonts w:ascii="宋体" w:hAnsi="宋体" w:eastAsia="宋体" w:cs="Times New Roman"/>
          <w:color w:val="auto"/>
          <w:szCs w:val="21"/>
        </w:rPr>
        <w:t>供热与供冷系统为</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2</w:t>
      </w:r>
      <w:r>
        <w:rPr>
          <w:rFonts w:ascii="宋体" w:hAnsi="宋体" w:eastAsia="宋体" w:cs="Times New Roman"/>
          <w:color w:val="auto"/>
          <w:szCs w:val="21"/>
          <w:u w:val="single"/>
        </w:rPr>
        <w:t xml:space="preserve">  </w:t>
      </w:r>
      <w:r>
        <w:rPr>
          <w:rFonts w:ascii="宋体" w:hAnsi="宋体" w:eastAsia="宋体" w:cs="Times New Roman"/>
          <w:color w:val="auto"/>
          <w:szCs w:val="21"/>
        </w:rPr>
        <w:t>个采暖期、供冷期；</w:t>
      </w:r>
    </w:p>
    <w:p w14:paraId="1F09679E">
      <w:pPr>
        <w:spacing w:line="360" w:lineRule="auto"/>
        <w:ind w:firstLine="420" w:firstLineChars="200"/>
        <w:outlineLvl w:val="9"/>
        <w:rPr>
          <w:rFonts w:ascii="宋体" w:hAnsi="宋体" w:eastAsia="宋体" w:cs="Times New Roman"/>
          <w:color w:val="auto"/>
          <w:szCs w:val="21"/>
        </w:rPr>
      </w:pPr>
      <w:r>
        <w:rPr>
          <w:rFonts w:hint="eastAsia" w:ascii="宋体" w:hAnsi="宋体" w:eastAsia="宋体" w:cs="Times New Roman"/>
          <w:color w:val="auto"/>
          <w:szCs w:val="21"/>
        </w:rPr>
        <w:t>6．</w:t>
      </w:r>
      <w:r>
        <w:rPr>
          <w:rFonts w:ascii="宋体" w:hAnsi="宋体" w:eastAsia="宋体" w:cs="Times New Roman"/>
          <w:color w:val="auto"/>
          <w:szCs w:val="21"/>
        </w:rPr>
        <w:t>住宅小区内的给排水设施、道路等配套工程为</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2</w:t>
      </w:r>
      <w:r>
        <w:rPr>
          <w:rFonts w:ascii="宋体" w:hAnsi="宋体" w:eastAsia="宋体" w:cs="Times New Roman"/>
          <w:color w:val="auto"/>
          <w:szCs w:val="21"/>
          <w:u w:val="single"/>
        </w:rPr>
        <w:t xml:space="preserve">  </w:t>
      </w:r>
      <w:r>
        <w:rPr>
          <w:rFonts w:ascii="宋体" w:hAnsi="宋体" w:eastAsia="宋体" w:cs="Times New Roman"/>
          <w:color w:val="auto"/>
          <w:szCs w:val="21"/>
        </w:rPr>
        <w:t>年；</w:t>
      </w:r>
    </w:p>
    <w:p w14:paraId="4BAA45FC">
      <w:pPr>
        <w:spacing w:line="360" w:lineRule="auto"/>
        <w:ind w:firstLine="420" w:firstLineChars="200"/>
        <w:outlineLvl w:val="9"/>
        <w:rPr>
          <w:rFonts w:ascii="宋体" w:hAnsi="宋体" w:eastAsia="宋体" w:cs="Times New Roman"/>
          <w:color w:val="auto"/>
          <w:szCs w:val="21"/>
        </w:rPr>
      </w:pPr>
      <w:r>
        <w:rPr>
          <w:rFonts w:hint="eastAsia" w:ascii="宋体" w:hAnsi="宋体" w:eastAsia="宋体" w:cs="Times New Roman"/>
          <w:color w:val="auto"/>
          <w:szCs w:val="21"/>
        </w:rPr>
        <w:t>7．</w:t>
      </w:r>
      <w:r>
        <w:rPr>
          <w:rFonts w:ascii="宋体" w:hAnsi="宋体" w:eastAsia="宋体" w:cs="Times New Roman"/>
          <w:color w:val="auto"/>
          <w:szCs w:val="21"/>
        </w:rPr>
        <w:t>其他项目保修期限约定如下：</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 xml:space="preserve">   2年</w:t>
      </w:r>
      <w:r>
        <w:rPr>
          <w:rFonts w:ascii="宋体" w:hAnsi="宋体" w:eastAsia="宋体" w:cs="Times New Roman"/>
          <w:color w:val="auto"/>
          <w:szCs w:val="21"/>
          <w:u w:val="single"/>
        </w:rPr>
        <w:t xml:space="preserve">  </w:t>
      </w:r>
      <w:r>
        <w:rPr>
          <w:rFonts w:ascii="宋体" w:hAnsi="宋体" w:eastAsia="宋体" w:cs="Times New Roman"/>
          <w:color w:val="auto"/>
          <w:szCs w:val="21"/>
        </w:rPr>
        <w:t>。</w:t>
      </w:r>
    </w:p>
    <w:p w14:paraId="20285E38">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　　质量保修期自工程竣工验收合格之日起计算。</w:t>
      </w:r>
    </w:p>
    <w:p w14:paraId="23E6F11A">
      <w:pPr>
        <w:spacing w:line="360" w:lineRule="auto"/>
        <w:ind w:firstLine="420" w:firstLineChars="200"/>
        <w:outlineLvl w:val="9"/>
        <w:rPr>
          <w:rFonts w:ascii="宋体" w:hAnsi="宋体" w:eastAsia="宋体" w:cs="Times New Roman"/>
          <w:color w:val="000000"/>
          <w:szCs w:val="21"/>
        </w:rPr>
      </w:pPr>
      <w:r>
        <w:rPr>
          <w:rFonts w:ascii="宋体" w:hAnsi="宋体" w:eastAsia="宋体" w:cs="Times New Roman"/>
          <w:color w:val="000000"/>
          <w:szCs w:val="21"/>
        </w:rPr>
        <w:t>三、缺陷责任期</w:t>
      </w:r>
    </w:p>
    <w:p w14:paraId="16D482AC">
      <w:pPr>
        <w:spacing w:line="360" w:lineRule="auto"/>
        <w:ind w:firstLine="420" w:firstLineChars="200"/>
        <w:outlineLvl w:val="9"/>
        <w:rPr>
          <w:rFonts w:ascii="宋体" w:hAnsi="宋体" w:eastAsia="宋体" w:cs="Times New Roman"/>
          <w:color w:val="000000"/>
          <w:szCs w:val="21"/>
        </w:rPr>
      </w:pPr>
      <w:r>
        <w:rPr>
          <w:rFonts w:ascii="宋体" w:hAnsi="宋体" w:eastAsia="宋体" w:cs="Times New Roman"/>
          <w:color w:val="000000"/>
          <w:szCs w:val="21"/>
        </w:rPr>
        <w:t>工程缺陷责任期为</w:t>
      </w:r>
      <w:r>
        <w:rPr>
          <w:rFonts w:ascii="宋体" w:hAnsi="宋体" w:eastAsia="宋体" w:cs="Times New Roman"/>
          <w:color w:val="auto"/>
          <w:szCs w:val="21"/>
          <w:u w:val="single"/>
        </w:rPr>
        <w:t xml:space="preserve">  </w:t>
      </w:r>
      <w:r>
        <w:rPr>
          <w:rFonts w:hint="eastAsia" w:ascii="宋体" w:hAnsi="宋体" w:eastAsia="宋体" w:cs="Times New Roman"/>
          <w:color w:val="auto"/>
          <w:szCs w:val="21"/>
          <w:u w:val="single"/>
        </w:rPr>
        <w:t xml:space="preserve">24 </w:t>
      </w:r>
      <w:r>
        <w:rPr>
          <w:rFonts w:ascii="宋体" w:hAnsi="宋体" w:eastAsia="宋体" w:cs="Times New Roman"/>
          <w:color w:val="auto"/>
          <w:szCs w:val="21"/>
          <w:u w:val="single"/>
        </w:rPr>
        <w:t xml:space="preserve"> </w:t>
      </w:r>
      <w:r>
        <w:rPr>
          <w:rFonts w:ascii="宋体" w:hAnsi="宋体" w:eastAsia="宋体" w:cs="Times New Roman"/>
          <w:color w:val="auto"/>
          <w:szCs w:val="21"/>
        </w:rPr>
        <w:t>个</w:t>
      </w:r>
      <w:r>
        <w:rPr>
          <w:rFonts w:ascii="宋体" w:hAnsi="宋体" w:eastAsia="宋体" w:cs="Times New Roman"/>
          <w:color w:val="000000"/>
          <w:szCs w:val="21"/>
        </w:rPr>
        <w:t>月，缺陷责任期自工程</w:t>
      </w:r>
      <w:r>
        <w:rPr>
          <w:rFonts w:hint="eastAsia" w:ascii="宋体" w:hAnsi="宋体" w:eastAsia="宋体" w:cs="Times New Roman"/>
          <w:color w:val="000000"/>
          <w:szCs w:val="21"/>
        </w:rPr>
        <w:t>通过竣工验收</w:t>
      </w:r>
      <w:r>
        <w:rPr>
          <w:rFonts w:ascii="宋体" w:hAnsi="宋体" w:eastAsia="宋体" w:cs="Times New Roman"/>
          <w:color w:val="000000"/>
          <w:szCs w:val="21"/>
        </w:rPr>
        <w:t>之日起计算。单位工程先于全部工程进行验收，单位工程缺陷责任期自单位工程验收合格之日起算。</w:t>
      </w:r>
    </w:p>
    <w:p w14:paraId="6BAEF669">
      <w:pPr>
        <w:spacing w:line="360" w:lineRule="auto"/>
        <w:ind w:firstLine="420" w:firstLineChars="200"/>
        <w:outlineLvl w:val="9"/>
        <w:rPr>
          <w:rFonts w:ascii="宋体" w:hAnsi="宋体" w:eastAsia="宋体" w:cs="Times New Roman"/>
          <w:color w:val="000000"/>
          <w:szCs w:val="21"/>
        </w:rPr>
      </w:pPr>
      <w:r>
        <w:rPr>
          <w:rFonts w:ascii="宋体" w:hAnsi="宋体" w:eastAsia="宋体" w:cs="Times New Roman"/>
          <w:color w:val="000000"/>
          <w:szCs w:val="21"/>
        </w:rPr>
        <w:t>缺陷责任期终止后，发包人应退还剩余的质量保证金。</w:t>
      </w:r>
    </w:p>
    <w:p w14:paraId="58192486">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 xml:space="preserve">    四、质量保修责任</w:t>
      </w:r>
    </w:p>
    <w:p w14:paraId="577825AB">
      <w:pPr>
        <w:spacing w:line="360" w:lineRule="auto"/>
        <w:ind w:left="105" w:leftChars="50" w:firstLine="430" w:firstLineChars="205"/>
        <w:outlineLvl w:val="9"/>
        <w:rPr>
          <w:rFonts w:ascii="宋体" w:hAnsi="宋体" w:eastAsia="宋体" w:cs="Times New Roman"/>
          <w:color w:val="000000"/>
          <w:szCs w:val="21"/>
        </w:rPr>
      </w:pPr>
      <w:r>
        <w:rPr>
          <w:rFonts w:hint="eastAsia" w:ascii="宋体" w:hAnsi="宋体" w:eastAsia="宋体" w:cs="Times New Roman"/>
          <w:color w:val="000000"/>
          <w:szCs w:val="21"/>
        </w:rPr>
        <w:t>1</w:t>
      </w:r>
      <w:r>
        <w:rPr>
          <w:rFonts w:hint="eastAsia" w:ascii="宋体" w:hAnsi="宋体" w:eastAsia="宋体" w:cs="Times New Roman"/>
          <w:szCs w:val="21"/>
        </w:rPr>
        <w:t>．</w:t>
      </w:r>
      <w:r>
        <w:rPr>
          <w:rFonts w:ascii="宋体" w:hAnsi="宋体" w:eastAsia="宋体" w:cs="Times New Roman"/>
          <w:color w:val="000000"/>
          <w:szCs w:val="21"/>
        </w:rPr>
        <w:t>属于保修范围、内容的项目，承包人应当在接到保修通知之日起7天内派人保修。承包人不在约定期限内派人保修的，发包人可以委托他人修理。</w:t>
      </w:r>
    </w:p>
    <w:p w14:paraId="10AD9985">
      <w:pPr>
        <w:spacing w:line="360" w:lineRule="auto"/>
        <w:ind w:left="105" w:leftChars="50" w:firstLine="430" w:firstLineChars="205"/>
        <w:outlineLvl w:val="9"/>
        <w:rPr>
          <w:rFonts w:ascii="宋体" w:hAnsi="宋体" w:eastAsia="宋体" w:cs="Times New Roman"/>
          <w:color w:val="000000"/>
          <w:szCs w:val="21"/>
        </w:rPr>
      </w:pPr>
      <w:r>
        <w:rPr>
          <w:rFonts w:hint="eastAsia" w:ascii="宋体" w:hAnsi="宋体" w:eastAsia="宋体" w:cs="Times New Roman"/>
          <w:color w:val="000000"/>
          <w:szCs w:val="21"/>
        </w:rPr>
        <w:t>2</w:t>
      </w:r>
      <w:r>
        <w:rPr>
          <w:rFonts w:hint="eastAsia" w:ascii="宋体" w:hAnsi="宋体" w:eastAsia="宋体" w:cs="Times New Roman"/>
          <w:szCs w:val="21"/>
        </w:rPr>
        <w:t>．</w:t>
      </w:r>
      <w:r>
        <w:rPr>
          <w:rFonts w:ascii="宋体" w:hAnsi="宋体" w:eastAsia="宋体" w:cs="Times New Roman"/>
          <w:color w:val="000000"/>
          <w:szCs w:val="21"/>
        </w:rPr>
        <w:t>发生紧急事故需抢修的，承包人在接到事故通知后，应当立即到达事故现场抢修。</w:t>
      </w:r>
    </w:p>
    <w:p w14:paraId="09A0F2AE">
      <w:pPr>
        <w:spacing w:line="360" w:lineRule="auto"/>
        <w:ind w:left="105" w:leftChars="50" w:firstLine="430" w:firstLineChars="205"/>
        <w:outlineLvl w:val="9"/>
        <w:rPr>
          <w:rFonts w:ascii="宋体" w:hAnsi="宋体" w:eastAsia="宋体" w:cs="Times New Roman"/>
          <w:color w:val="000000"/>
          <w:szCs w:val="21"/>
        </w:rPr>
      </w:pPr>
      <w:r>
        <w:rPr>
          <w:rFonts w:hint="eastAsia" w:ascii="宋体" w:hAnsi="宋体" w:eastAsia="宋体" w:cs="Times New Roman"/>
          <w:color w:val="000000"/>
          <w:szCs w:val="21"/>
        </w:rPr>
        <w:t>3</w:t>
      </w:r>
      <w:r>
        <w:rPr>
          <w:rFonts w:hint="eastAsia" w:ascii="宋体" w:hAnsi="宋体" w:eastAsia="宋体" w:cs="Times New Roman"/>
          <w:szCs w:val="21"/>
        </w:rPr>
        <w:t>．</w:t>
      </w:r>
      <w:r>
        <w:rPr>
          <w:rFonts w:ascii="宋体" w:hAnsi="宋体" w:eastAsia="宋体" w:cs="Times New Roman"/>
          <w:color w:val="000000"/>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240988A">
      <w:pPr>
        <w:spacing w:line="360" w:lineRule="auto"/>
        <w:ind w:left="420" w:leftChars="200" w:firstLine="105" w:firstLineChars="50"/>
        <w:outlineLvl w:val="9"/>
        <w:rPr>
          <w:rFonts w:ascii="宋体" w:hAnsi="宋体" w:eastAsia="宋体" w:cs="Times New Roman"/>
          <w:color w:val="000000"/>
          <w:szCs w:val="21"/>
        </w:rPr>
      </w:pPr>
      <w:r>
        <w:rPr>
          <w:rFonts w:hint="eastAsia" w:ascii="宋体" w:hAnsi="宋体" w:eastAsia="宋体" w:cs="Times New Roman"/>
          <w:color w:val="000000"/>
          <w:szCs w:val="21"/>
        </w:rPr>
        <w:t>4</w:t>
      </w:r>
      <w:r>
        <w:rPr>
          <w:rFonts w:hint="eastAsia" w:ascii="宋体" w:hAnsi="宋体" w:eastAsia="宋体" w:cs="Times New Roman"/>
          <w:szCs w:val="21"/>
        </w:rPr>
        <w:t>．</w:t>
      </w:r>
      <w:r>
        <w:rPr>
          <w:rFonts w:ascii="宋体" w:hAnsi="宋体" w:eastAsia="宋体" w:cs="Times New Roman"/>
          <w:color w:val="000000"/>
          <w:szCs w:val="21"/>
        </w:rPr>
        <w:t>质量保修完成后，由发包人组织验收。</w:t>
      </w:r>
    </w:p>
    <w:p w14:paraId="740F853F">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　　五、保修费用</w:t>
      </w:r>
    </w:p>
    <w:p w14:paraId="77ECCEC2">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　　保修费用由造成质量缺陷的责任方承担。</w:t>
      </w:r>
    </w:p>
    <w:p w14:paraId="1C472EB3">
      <w:pPr>
        <w:spacing w:line="360" w:lineRule="auto"/>
        <w:ind w:firstLine="420" w:firstLineChars="200"/>
        <w:jc w:val="left"/>
        <w:outlineLvl w:val="9"/>
        <w:rPr>
          <w:rFonts w:ascii="宋体" w:hAnsi="宋体" w:eastAsia="宋体" w:cs="Times New Roman"/>
          <w:color w:val="000000"/>
          <w:szCs w:val="21"/>
        </w:rPr>
      </w:pPr>
      <w:r>
        <w:rPr>
          <w:rFonts w:ascii="宋体" w:hAnsi="宋体" w:eastAsia="宋体" w:cs="Times New Roman"/>
          <w:color w:val="000000"/>
          <w:szCs w:val="21"/>
        </w:rPr>
        <w:t>六、双方约定的其他工程质量保修事项：</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auto"/>
          <w:szCs w:val="21"/>
          <w:u w:val="single"/>
        </w:rPr>
        <w:t xml:space="preserve">  /   </w:t>
      </w:r>
      <w:r>
        <w:rPr>
          <w:rFonts w:ascii="宋体" w:hAnsi="宋体" w:eastAsia="宋体" w:cs="Times New Roman"/>
          <w:color w:val="auto"/>
          <w:szCs w:val="21"/>
          <w:u w:val="single"/>
        </w:rPr>
        <w:t xml:space="preserve">  </w:t>
      </w:r>
      <w:r>
        <w:rPr>
          <w:rFonts w:ascii="宋体" w:hAnsi="宋体" w:eastAsia="宋体" w:cs="Times New Roman"/>
          <w:color w:val="auto"/>
          <w:szCs w:val="21"/>
        </w:rPr>
        <w:t>。</w:t>
      </w:r>
    </w:p>
    <w:p w14:paraId="30AAC73E">
      <w:pPr>
        <w:spacing w:line="360" w:lineRule="auto"/>
        <w:ind w:firstLine="399" w:firstLineChars="190"/>
        <w:outlineLvl w:val="9"/>
        <w:rPr>
          <w:rFonts w:ascii="宋体" w:hAnsi="宋体" w:eastAsia="宋体" w:cs="Times New Roman"/>
          <w:color w:val="000000"/>
          <w:szCs w:val="21"/>
        </w:rPr>
      </w:pPr>
      <w:r>
        <w:rPr>
          <w:rFonts w:ascii="宋体" w:hAnsi="宋体" w:eastAsia="宋体" w:cs="Times New Roman"/>
          <w:color w:val="000000"/>
          <w:szCs w:val="21"/>
        </w:rPr>
        <w:t>工程质量保修书由发包人、承包人在工程竣工验收前共同签署，作为施工合同附件，其有效期限至保修期满。</w:t>
      </w:r>
    </w:p>
    <w:p w14:paraId="4A368B5D">
      <w:pPr>
        <w:spacing w:line="360" w:lineRule="auto"/>
        <w:ind w:firstLine="420"/>
        <w:outlineLvl w:val="9"/>
        <w:rPr>
          <w:rFonts w:ascii="宋体" w:hAnsi="宋体" w:eastAsia="宋体" w:cs="Times New Roman"/>
          <w:color w:val="000000"/>
          <w:szCs w:val="21"/>
        </w:rPr>
      </w:pPr>
    </w:p>
    <w:p w14:paraId="103B3FA6">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发包人(公章)：</w:t>
      </w:r>
      <w:r>
        <w:rPr>
          <w:rFonts w:ascii="宋体" w:hAnsi="宋体" w:eastAsia="宋体" w:cs="Times New Roman"/>
          <w:color w:val="000000"/>
          <w:szCs w:val="21"/>
          <w:u w:val="single"/>
        </w:rPr>
        <w:t xml:space="preserve">        </w:t>
      </w:r>
      <w:r>
        <w:rPr>
          <w:rFonts w:ascii="宋体" w:hAnsi="宋体" w:eastAsia="宋体" w:cs="Times New Roman"/>
          <w:color w:val="000000"/>
          <w:szCs w:val="21"/>
        </w:rPr>
        <w:t xml:space="preserve"> 承包人(公章)：</w:t>
      </w:r>
      <w:r>
        <w:rPr>
          <w:rFonts w:ascii="宋体" w:hAnsi="宋体" w:eastAsia="宋体" w:cs="Times New Roman"/>
          <w:color w:val="000000"/>
          <w:szCs w:val="21"/>
          <w:u w:val="single"/>
        </w:rPr>
        <w:t></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292A2665">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地  址：</w:t>
      </w:r>
      <w:r>
        <w:rPr>
          <w:rFonts w:ascii="宋体" w:hAnsi="宋体" w:eastAsia="宋体" w:cs="Times New Roman"/>
          <w:color w:val="000000"/>
          <w:szCs w:val="21"/>
          <w:u w:val="single"/>
        </w:rPr>
        <w:t xml:space="preserve">     </w:t>
      </w:r>
      <w:r>
        <w:rPr>
          <w:rFonts w:hint="eastAsia" w:ascii="宋体" w:hAnsi="宋体" w:eastAsia="宋体" w:cs="Times New Roman"/>
          <w:color w:val="000000"/>
          <w:szCs w:val="21"/>
        </w:rPr>
        <w:t xml:space="preserve"> </w:t>
      </w:r>
      <w:r>
        <w:rPr>
          <w:rFonts w:ascii="宋体" w:hAnsi="宋体" w:eastAsia="宋体" w:cs="Times New Roman"/>
          <w:color w:val="000000"/>
          <w:szCs w:val="21"/>
        </w:rPr>
        <w:t>地  址：</w:t>
      </w:r>
      <w:r>
        <w:rPr>
          <w:rFonts w:ascii="宋体" w:hAnsi="宋体" w:eastAsia="宋体" w:cs="Times New Roman"/>
          <w:color w:val="000000"/>
          <w:szCs w:val="21"/>
          <w:u w:val="single"/>
        </w:rPr>
        <w:t></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4337525B">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法定代表人(签字)：</w:t>
      </w:r>
      <w:r>
        <w:rPr>
          <w:rFonts w:ascii="宋体" w:hAnsi="宋体" w:eastAsia="宋体" w:cs="Times New Roman"/>
          <w:color w:val="000000"/>
          <w:szCs w:val="21"/>
          <w:u w:val="single"/>
        </w:rPr>
        <w:t></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法定代表人(签字)：</w:t>
      </w:r>
      <w:r>
        <w:rPr>
          <w:rFonts w:ascii="宋体" w:hAnsi="宋体" w:eastAsia="宋体" w:cs="Times New Roman"/>
          <w:color w:val="000000"/>
          <w:szCs w:val="21"/>
          <w:u w:val="single"/>
        </w:rPr>
        <w:t></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3E0D4507">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委托代理人(签字)：</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委托代理人(签字)：</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267A09CA">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电  话：</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电  话：</w:t>
      </w:r>
      <w:r>
        <w:rPr>
          <w:rFonts w:ascii="宋体" w:hAnsi="宋体" w:eastAsia="宋体" w:cs="Times New Roman"/>
          <w:color w:val="000000"/>
          <w:szCs w:val="21"/>
          <w:u w:val="single"/>
        </w:rPr>
        <w:t></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44152D13">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传  真：</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传  真：</w:t>
      </w:r>
      <w:r>
        <w:rPr>
          <w:rFonts w:ascii="宋体" w:hAnsi="宋体" w:eastAsia="宋体" w:cs="Times New Roman"/>
          <w:color w:val="000000"/>
          <w:szCs w:val="21"/>
          <w:u w:val="single"/>
        </w:rPr>
        <w:t></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p>
    <w:p w14:paraId="5D974457">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开户银行：</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开户银行：</w:t>
      </w:r>
      <w:r>
        <w:rPr>
          <w:rFonts w:ascii="宋体" w:hAnsi="宋体" w:eastAsia="宋体" w:cs="Times New Roman"/>
          <w:color w:val="000000"/>
          <w:szCs w:val="21"/>
          <w:u w:val="single"/>
        </w:rPr>
        <w:t xml:space="preserve">   </w:t>
      </w:r>
    </w:p>
    <w:p w14:paraId="605C2F86">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账  号：</w:t>
      </w:r>
      <w:r>
        <w:rPr>
          <w:rFonts w:ascii="宋体" w:hAnsi="宋体" w:eastAsia="宋体" w:cs="Times New Roman"/>
          <w:color w:val="000000"/>
          <w:szCs w:val="21"/>
          <w:u w:val="single"/>
        </w:rPr>
        <w:t xml:space="preserve">       </w:t>
      </w:r>
      <w:r>
        <w:rPr>
          <w:rFonts w:hint="eastAsia" w:ascii="宋体" w:hAnsi="宋体" w:eastAsia="宋体" w:cs="Times New Roman"/>
          <w:color w:val="000000"/>
          <w:szCs w:val="21"/>
        </w:rPr>
        <w:t xml:space="preserve">  </w:t>
      </w:r>
      <w:r>
        <w:rPr>
          <w:rFonts w:ascii="宋体" w:hAnsi="宋体" w:eastAsia="宋体" w:cs="Times New Roman"/>
          <w:color w:val="000000"/>
          <w:szCs w:val="21"/>
        </w:rPr>
        <w:t>账</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 号：</w:t>
      </w:r>
      <w:r>
        <w:rPr>
          <w:rFonts w:ascii="宋体" w:hAnsi="宋体" w:eastAsia="宋体" w:cs="Times New Roman"/>
          <w:color w:val="000000"/>
          <w:szCs w:val="21"/>
          <w:u w:val="single"/>
        </w:rPr>
        <w:t></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rPr>
        <w:t xml:space="preserve"> </w:t>
      </w:r>
    </w:p>
    <w:p w14:paraId="6F08B0F5">
      <w:pPr>
        <w:spacing w:line="360" w:lineRule="auto"/>
        <w:outlineLvl w:val="9"/>
        <w:rPr>
          <w:rFonts w:ascii="宋体" w:hAnsi="宋体" w:eastAsia="宋体" w:cs="Times New Roman"/>
          <w:color w:val="000000"/>
          <w:szCs w:val="21"/>
        </w:rPr>
      </w:pPr>
      <w:r>
        <w:rPr>
          <w:rFonts w:ascii="宋体" w:hAnsi="宋体" w:eastAsia="宋体" w:cs="Times New Roman"/>
          <w:color w:val="000000"/>
          <w:szCs w:val="21"/>
        </w:rPr>
        <w:t>邮政编码：</w:t>
      </w:r>
      <w:r>
        <w:rPr>
          <w:rFonts w:ascii="宋体" w:hAnsi="宋体" w:eastAsia="宋体" w:cs="Times New Roman"/>
          <w:color w:val="000000"/>
          <w:szCs w:val="21"/>
          <w:u w:val="single"/>
        </w:rPr>
        <w:t xml:space="preserve">     </w:t>
      </w:r>
      <w:r>
        <w:rPr>
          <w:rFonts w:ascii="宋体" w:hAnsi="宋体" w:eastAsia="宋体" w:cs="Times New Roman"/>
          <w:color w:val="000000"/>
          <w:szCs w:val="21"/>
        </w:rPr>
        <w:t xml:space="preserve"> 邮政编码：</w:t>
      </w:r>
      <w:r>
        <w:rPr>
          <w:rFonts w:ascii="宋体" w:hAnsi="宋体" w:eastAsia="宋体" w:cs="Times New Roman"/>
          <w:color w:val="000000"/>
          <w:szCs w:val="21"/>
          <w:u w:val="single"/>
        </w:rPr>
        <w:t xml:space="preserve">   </w:t>
      </w:r>
    </w:p>
    <w:p w14:paraId="3A410401">
      <w:pPr>
        <w:outlineLvl w:val="9"/>
        <w:rPr>
          <w:rFonts w:hint="eastAsia" w:ascii="宋体" w:hAnsi="宋体" w:eastAsia="宋体" w:cs="宋体"/>
        </w:rPr>
      </w:pPr>
      <w:r>
        <w:rPr>
          <w:rFonts w:hint="eastAsia" w:ascii="宋体" w:hAnsi="宋体" w:eastAsia="宋体" w:cs="宋体"/>
        </w:rPr>
        <w:br w:type="page"/>
      </w:r>
    </w:p>
    <w:p w14:paraId="1F1A817A">
      <w:pPr>
        <w:spacing w:line="360" w:lineRule="auto"/>
        <w:rPr>
          <w:rFonts w:ascii="宋体" w:hAnsi="宋体" w:eastAsia="宋体" w:cs="宋体"/>
          <w:b/>
          <w:bCs/>
          <w:sz w:val="28"/>
          <w:szCs w:val="28"/>
        </w:rPr>
      </w:pPr>
      <w:r>
        <w:rPr>
          <w:rFonts w:hint="eastAsia" w:ascii="宋体" w:hAnsi="宋体" w:eastAsia="宋体" w:cs="宋体"/>
        </w:rPr>
        <w:t>附件2</w:t>
      </w:r>
    </w:p>
    <w:p w14:paraId="1AF91598">
      <w:pPr>
        <w:spacing w:after="156" w:afterLines="50" w:line="520" w:lineRule="exact"/>
        <w:ind w:left="630" w:leftChars="300"/>
        <w:jc w:val="center"/>
        <w:rPr>
          <w:rFonts w:ascii="宋体" w:hAnsi="宋体" w:eastAsia="宋体" w:cs="仿宋"/>
          <w:b/>
          <w:bCs/>
          <w:sz w:val="36"/>
          <w:szCs w:val="36"/>
        </w:rPr>
      </w:pPr>
      <w:r>
        <w:rPr>
          <w:rFonts w:hint="eastAsia" w:ascii="宋体" w:hAnsi="宋体" w:eastAsia="宋体" w:cs="仿宋"/>
          <w:b/>
          <w:bCs/>
          <w:sz w:val="36"/>
          <w:szCs w:val="36"/>
        </w:rPr>
        <w:t>建设项目安全生产管理协议书（试行）</w:t>
      </w:r>
    </w:p>
    <w:p w14:paraId="63697E5C">
      <w:pPr>
        <w:spacing w:line="520" w:lineRule="exact"/>
        <w:rPr>
          <w:rFonts w:ascii="宋体" w:hAnsi="宋体" w:eastAsia="宋体" w:cs="仿宋"/>
          <w:color w:val="auto"/>
          <w:szCs w:val="21"/>
        </w:rPr>
      </w:pPr>
      <w:r>
        <w:rPr>
          <w:rFonts w:hint="eastAsia" w:ascii="宋体" w:hAnsi="宋体" w:eastAsia="宋体" w:cs="仿宋"/>
          <w:szCs w:val="21"/>
        </w:rPr>
        <w:t>发包方（全称）：</w:t>
      </w:r>
      <w:r>
        <w:rPr>
          <w:rFonts w:hint="eastAsia" w:ascii="宋体" w:hAnsi="宋体" w:eastAsia="宋体" w:cs="仿宋"/>
          <w:szCs w:val="21"/>
          <w:u w:val="single"/>
        </w:rPr>
        <w:t xml:space="preserve">  </w:t>
      </w:r>
      <w:r>
        <w:rPr>
          <w:rFonts w:hint="eastAsia" w:ascii="宋体" w:hAnsi="宋体" w:eastAsia="宋体" w:cs="仿宋"/>
          <w:color w:val="auto"/>
          <w:szCs w:val="21"/>
          <w:u w:val="single"/>
        </w:rPr>
        <w:t xml:space="preserve">湘潭大学  </w:t>
      </w:r>
      <w:r>
        <w:rPr>
          <w:rFonts w:hint="eastAsia" w:ascii="宋体" w:hAnsi="宋体" w:eastAsia="宋体" w:cs="仿宋"/>
          <w:color w:val="auto"/>
          <w:szCs w:val="21"/>
        </w:rPr>
        <w:t>（以下简称甲方）</w:t>
      </w:r>
    </w:p>
    <w:p w14:paraId="77701653">
      <w:pPr>
        <w:spacing w:line="520" w:lineRule="exact"/>
        <w:rPr>
          <w:rFonts w:ascii="宋体" w:hAnsi="宋体" w:eastAsia="宋体" w:cs="仿宋"/>
          <w:szCs w:val="21"/>
        </w:rPr>
      </w:pPr>
      <w:r>
        <w:rPr>
          <w:rFonts w:hint="eastAsia" w:ascii="宋体" w:hAnsi="宋体" w:eastAsia="宋体" w:cs="仿宋"/>
          <w:color w:val="auto"/>
          <w:szCs w:val="21"/>
        </w:rPr>
        <w:t>承包方（全称）：</w:t>
      </w:r>
      <w:r>
        <w:rPr>
          <w:rFonts w:hint="eastAsia" w:ascii="宋体" w:hAnsi="宋体" w:eastAsia="宋体" w:cs="仿宋"/>
          <w:color w:val="auto"/>
          <w:szCs w:val="21"/>
          <w:u w:val="single"/>
        </w:rPr>
        <w:t xml:space="preserve">  </w:t>
      </w:r>
      <w:r>
        <w:rPr>
          <w:rFonts w:ascii="宋体" w:hAnsi="宋体" w:eastAsia="宋体" w:cs="Times New Roman"/>
          <w:color w:val="auto"/>
          <w:szCs w:val="21"/>
          <w:u w:val="single"/>
        </w:rPr>
        <w:t xml:space="preserve"> </w:t>
      </w:r>
      <w:r>
        <w:rPr>
          <w:rFonts w:hint="eastAsia" w:ascii="宋体" w:hAnsi="宋体" w:eastAsia="宋体" w:cs="仿宋"/>
          <w:color w:val="auto"/>
          <w:szCs w:val="21"/>
          <w:u w:val="single"/>
        </w:rPr>
        <w:t xml:space="preserve">  </w:t>
      </w:r>
      <w:r>
        <w:rPr>
          <w:rFonts w:hint="eastAsia" w:ascii="宋体" w:hAnsi="宋体" w:cs="仿宋"/>
          <w:color w:val="auto"/>
          <w:szCs w:val="21"/>
          <w:u w:val="single"/>
          <w:lang w:val="en-US" w:eastAsia="zh-CN"/>
        </w:rPr>
        <w:t xml:space="preserve">      </w:t>
      </w:r>
      <w:r>
        <w:rPr>
          <w:rFonts w:hint="eastAsia" w:ascii="宋体" w:hAnsi="宋体" w:eastAsia="宋体" w:cs="仿宋"/>
          <w:color w:val="auto"/>
          <w:szCs w:val="21"/>
          <w:u w:val="single"/>
        </w:rPr>
        <w:t xml:space="preserve"> </w:t>
      </w:r>
      <w:r>
        <w:rPr>
          <w:rFonts w:hint="eastAsia" w:ascii="宋体" w:hAnsi="宋体" w:eastAsia="宋体" w:cs="仿宋"/>
          <w:color w:val="auto"/>
          <w:szCs w:val="21"/>
        </w:rPr>
        <w:t>（</w:t>
      </w:r>
      <w:r>
        <w:rPr>
          <w:rFonts w:hint="eastAsia" w:ascii="宋体" w:hAnsi="宋体" w:eastAsia="宋体" w:cs="仿宋"/>
          <w:szCs w:val="21"/>
        </w:rPr>
        <w:t>以下简称乙方）</w:t>
      </w:r>
    </w:p>
    <w:p w14:paraId="1219F335">
      <w:pPr>
        <w:tabs>
          <w:tab w:val="left" w:pos="2760"/>
        </w:tabs>
        <w:adjustRightInd w:val="0"/>
        <w:snapToGrid w:val="0"/>
        <w:spacing w:before="156" w:beforeLines="50" w:line="520" w:lineRule="exact"/>
        <w:ind w:firstLine="420" w:firstLineChars="200"/>
        <w:rPr>
          <w:rFonts w:ascii="宋体" w:hAnsi="宋体" w:eastAsia="宋体" w:cs="Arial"/>
          <w:color w:val="000000"/>
          <w:kern w:val="0"/>
          <w:szCs w:val="21"/>
        </w:rPr>
      </w:pPr>
      <w:r>
        <w:rPr>
          <w:rFonts w:hint="eastAsia" w:ascii="宋体" w:hAnsi="宋体" w:eastAsia="宋体" w:cs="仿宋"/>
          <w:szCs w:val="21"/>
        </w:rPr>
        <w:t>根据《民法典》、《安全生产法》、《建筑法》、《建设工程安全生产管理条例》等法律、法规规定，遵循平等、自愿、公平和诚实信用的原则，双方就</w:t>
      </w:r>
      <w:r>
        <w:rPr>
          <w:rFonts w:ascii="宋体" w:hAnsi="宋体" w:eastAsia="宋体" w:cs="仿宋"/>
          <w:szCs w:val="21"/>
          <w:u w:val="single"/>
        </w:rPr>
        <w:t xml:space="preserve"> </w:t>
      </w:r>
      <w:r>
        <w:rPr>
          <w:rFonts w:hint="eastAsia" w:ascii="宋体" w:hAnsi="宋体" w:cs="Times New Roman"/>
          <w:color w:val="000000"/>
          <w:szCs w:val="21"/>
          <w:u w:val="single"/>
          <w:lang w:val="en-US" w:eastAsia="zh-CN"/>
        </w:rPr>
        <w:t xml:space="preserve">                  </w:t>
      </w:r>
      <w:r>
        <w:rPr>
          <w:rFonts w:ascii="宋体" w:hAnsi="宋体" w:eastAsia="宋体" w:cs="仿宋"/>
          <w:szCs w:val="21"/>
          <w:u w:val="single"/>
        </w:rPr>
        <w:t xml:space="preserve"> </w:t>
      </w:r>
      <w:r>
        <w:rPr>
          <w:rFonts w:hint="eastAsia" w:ascii="宋体" w:hAnsi="宋体" w:eastAsia="宋体" w:cs="仿宋"/>
          <w:szCs w:val="21"/>
        </w:rPr>
        <w:t xml:space="preserve">工程施工安全管理事项协商一致，特签订本协议。经甲乙双方平等协商、意见一致，自愿签订如下安全生产协议，并作为新建、改建、扩建、检修、安装、服务、劳务等发包工程项目合同的必要补充协议。 </w:t>
      </w:r>
    </w:p>
    <w:p w14:paraId="6B42E301">
      <w:pPr>
        <w:spacing w:line="520" w:lineRule="exact"/>
        <w:ind w:firstLine="422" w:firstLineChars="200"/>
        <w:rPr>
          <w:rFonts w:ascii="宋体" w:hAnsi="宋体" w:eastAsia="宋体" w:cs="仿宋"/>
          <w:b/>
          <w:bCs/>
          <w:szCs w:val="21"/>
        </w:rPr>
      </w:pPr>
      <w:r>
        <w:rPr>
          <w:rFonts w:hint="eastAsia" w:ascii="宋体" w:hAnsi="宋体" w:eastAsia="宋体" w:cs="仿宋"/>
          <w:b/>
          <w:bCs/>
          <w:szCs w:val="21"/>
        </w:rPr>
        <w:t>一、工程概况</w:t>
      </w:r>
    </w:p>
    <w:p w14:paraId="363AC131">
      <w:pPr>
        <w:spacing w:line="520" w:lineRule="exact"/>
        <w:ind w:firstLine="420" w:firstLineChars="200"/>
        <w:rPr>
          <w:rFonts w:ascii="宋体" w:hAnsi="宋体" w:eastAsia="宋体" w:cs="仿宋"/>
          <w:szCs w:val="21"/>
        </w:rPr>
      </w:pPr>
      <w:r>
        <w:rPr>
          <w:rFonts w:hint="eastAsia" w:ascii="宋体" w:hAnsi="宋体" w:eastAsia="宋体" w:cs="仿宋"/>
          <w:szCs w:val="21"/>
        </w:rPr>
        <w:t>1.工程名称：</w:t>
      </w:r>
      <w:r>
        <w:rPr>
          <w:rFonts w:hint="eastAsia" w:ascii="宋体" w:hAnsi="宋体" w:eastAsia="宋体" w:cs="仿宋"/>
          <w:szCs w:val="21"/>
          <w:u w:val="single"/>
        </w:rPr>
        <w:t xml:space="preserve"> </w:t>
      </w:r>
      <w:r>
        <w:rPr>
          <w:rFonts w:ascii="宋体" w:hAnsi="宋体" w:eastAsia="宋体" w:cs="Times New Roman"/>
          <w:color w:val="000000"/>
          <w:szCs w:val="21"/>
          <w:u w:val="single"/>
        </w:rPr>
        <w:t>湘潭大学XXXX工程</w:t>
      </w:r>
      <w:r>
        <w:rPr>
          <w:rFonts w:ascii="宋体" w:hAnsi="宋体" w:eastAsia="宋体" w:cs="仿宋"/>
          <w:szCs w:val="21"/>
          <w:u w:val="single"/>
        </w:rPr>
        <w:t xml:space="preserve"> </w:t>
      </w:r>
    </w:p>
    <w:p w14:paraId="1136842F">
      <w:pPr>
        <w:spacing w:line="520" w:lineRule="exact"/>
        <w:ind w:firstLine="420" w:firstLineChars="200"/>
        <w:rPr>
          <w:rFonts w:ascii="宋体" w:hAnsi="宋体" w:eastAsia="宋体" w:cs="仿宋"/>
          <w:szCs w:val="21"/>
        </w:rPr>
      </w:pPr>
      <w:r>
        <w:rPr>
          <w:rFonts w:hint="eastAsia" w:ascii="宋体" w:hAnsi="宋体" w:eastAsia="宋体" w:cs="仿宋"/>
          <w:szCs w:val="21"/>
        </w:rPr>
        <w:t>2.工程地点：湘潭大学校园内</w:t>
      </w:r>
    </w:p>
    <w:p w14:paraId="3889FEC5">
      <w:pPr>
        <w:spacing w:line="520" w:lineRule="exact"/>
        <w:ind w:firstLine="422" w:firstLineChars="200"/>
        <w:rPr>
          <w:rFonts w:ascii="宋体" w:hAnsi="宋体" w:eastAsia="宋体" w:cs="仿宋"/>
          <w:b/>
          <w:bCs/>
          <w:szCs w:val="21"/>
        </w:rPr>
      </w:pPr>
      <w:r>
        <w:rPr>
          <w:rFonts w:hint="eastAsia" w:ascii="宋体" w:hAnsi="宋体" w:eastAsia="宋体" w:cs="仿宋"/>
          <w:b/>
          <w:bCs/>
          <w:szCs w:val="21"/>
        </w:rPr>
        <w:t>二、承包范围及内容</w:t>
      </w:r>
    </w:p>
    <w:p w14:paraId="68F48047">
      <w:pPr>
        <w:spacing w:line="520" w:lineRule="exact"/>
        <w:ind w:firstLine="420" w:firstLineChars="200"/>
        <w:rPr>
          <w:rFonts w:ascii="宋体" w:hAnsi="宋体" w:eastAsia="宋体" w:cs="仿宋"/>
          <w:szCs w:val="21"/>
        </w:rPr>
      </w:pPr>
      <w:r>
        <w:rPr>
          <w:rFonts w:hint="eastAsia" w:ascii="宋体" w:hAnsi="宋体" w:eastAsia="宋体" w:cs="仿宋"/>
          <w:szCs w:val="21"/>
        </w:rPr>
        <w:t>1.承包工程范围：项目图纸及清单里的全部内容。</w:t>
      </w:r>
    </w:p>
    <w:p w14:paraId="264C7EB8">
      <w:pPr>
        <w:spacing w:line="520" w:lineRule="exact"/>
        <w:ind w:firstLine="420" w:firstLineChars="200"/>
        <w:rPr>
          <w:rFonts w:ascii="宋体" w:hAnsi="宋体" w:eastAsia="宋体" w:cs="仿宋"/>
          <w:szCs w:val="21"/>
        </w:rPr>
      </w:pPr>
      <w:r>
        <w:rPr>
          <w:rFonts w:hint="eastAsia" w:ascii="宋体" w:hAnsi="宋体" w:eastAsia="宋体" w:cs="仿宋"/>
          <w:szCs w:val="21"/>
        </w:rPr>
        <w:t>2.承包工程内容：</w:t>
      </w:r>
      <w:r>
        <w:rPr>
          <w:rFonts w:ascii="宋体" w:hAnsi="宋体" w:eastAsia="宋体" w:cs="仿宋"/>
          <w:szCs w:val="21"/>
          <w:u w:val="single"/>
        </w:rPr>
        <w:t xml:space="preserve"> </w:t>
      </w:r>
      <w:r>
        <w:rPr>
          <w:rFonts w:hint="eastAsia" w:ascii="宋体" w:hAnsi="宋体" w:eastAsia="宋体" w:cs="Times New Roman"/>
          <w:color w:val="000000"/>
          <w:szCs w:val="21"/>
          <w:u w:val="single"/>
        </w:rPr>
        <w:t>项目图纸及清单里的全部内容</w:t>
      </w:r>
      <w:r>
        <w:rPr>
          <w:rFonts w:ascii="宋体" w:hAnsi="宋体" w:eastAsia="宋体" w:cs="Times New Roman"/>
          <w:color w:val="000000"/>
          <w:szCs w:val="21"/>
          <w:u w:val="single"/>
        </w:rPr>
        <w:t xml:space="preserve"> </w:t>
      </w:r>
      <w:r>
        <w:rPr>
          <w:rFonts w:ascii="宋体" w:hAnsi="宋体" w:eastAsia="宋体" w:cs="仿宋"/>
          <w:szCs w:val="21"/>
          <w:u w:val="single"/>
        </w:rPr>
        <w:t xml:space="preserve">     </w:t>
      </w:r>
      <w:r>
        <w:rPr>
          <w:rFonts w:hint="eastAsia" w:ascii="宋体" w:hAnsi="宋体" w:eastAsia="宋体" w:cs="仿宋"/>
          <w:szCs w:val="21"/>
        </w:rPr>
        <w:t>。</w:t>
      </w:r>
    </w:p>
    <w:p w14:paraId="104421D8">
      <w:pPr>
        <w:spacing w:line="520" w:lineRule="exact"/>
        <w:ind w:firstLine="422" w:firstLineChars="200"/>
        <w:rPr>
          <w:rFonts w:ascii="宋体" w:hAnsi="宋体" w:eastAsia="宋体" w:cs="仿宋"/>
          <w:b/>
          <w:bCs/>
          <w:szCs w:val="21"/>
        </w:rPr>
      </w:pPr>
      <w:r>
        <w:rPr>
          <w:rFonts w:hint="eastAsia" w:ascii="宋体" w:hAnsi="宋体" w:eastAsia="宋体" w:cs="仿宋"/>
          <w:b/>
          <w:bCs/>
          <w:szCs w:val="21"/>
        </w:rPr>
        <w:t>三、乙方资质情况</w:t>
      </w:r>
    </w:p>
    <w:p w14:paraId="340B5872">
      <w:pPr>
        <w:spacing w:line="520" w:lineRule="exact"/>
        <w:ind w:firstLine="420" w:firstLineChars="200"/>
        <w:rPr>
          <w:rFonts w:ascii="宋体" w:hAnsi="宋体" w:eastAsia="宋体" w:cs="仿宋"/>
          <w:szCs w:val="21"/>
        </w:rPr>
      </w:pPr>
      <w:r>
        <w:rPr>
          <w:rFonts w:hint="eastAsia" w:ascii="宋体" w:hAnsi="宋体" w:eastAsia="宋体" w:cs="仿宋"/>
          <w:szCs w:val="21"/>
        </w:rPr>
        <w:t>1.资质证书号码：</w:t>
      </w:r>
    </w:p>
    <w:p w14:paraId="2AE627E0">
      <w:pPr>
        <w:spacing w:line="520" w:lineRule="exact"/>
        <w:ind w:firstLine="420" w:firstLineChars="200"/>
        <w:rPr>
          <w:rFonts w:ascii="宋体" w:hAnsi="宋体" w:eastAsia="宋体" w:cs="仿宋"/>
          <w:szCs w:val="21"/>
        </w:rPr>
      </w:pPr>
      <w:r>
        <w:rPr>
          <w:rFonts w:hint="eastAsia" w:ascii="宋体" w:hAnsi="宋体" w:eastAsia="宋体" w:cs="仿宋"/>
          <w:szCs w:val="21"/>
        </w:rPr>
        <w:t>2.资质专业及等级：</w:t>
      </w:r>
    </w:p>
    <w:p w14:paraId="280A7C3C">
      <w:pPr>
        <w:spacing w:line="520" w:lineRule="exact"/>
        <w:ind w:firstLine="420" w:firstLineChars="200"/>
        <w:rPr>
          <w:rFonts w:ascii="宋体" w:hAnsi="宋体" w:eastAsia="宋体" w:cs="仿宋"/>
          <w:szCs w:val="21"/>
        </w:rPr>
      </w:pPr>
      <w:r>
        <w:rPr>
          <w:rFonts w:hint="eastAsia" w:ascii="宋体" w:hAnsi="宋体" w:eastAsia="宋体" w:cs="仿宋"/>
          <w:szCs w:val="21"/>
        </w:rPr>
        <w:t>3.安全生产许可证号码：编号：</w:t>
      </w:r>
    </w:p>
    <w:p w14:paraId="15526C4F">
      <w:pPr>
        <w:spacing w:line="520" w:lineRule="exact"/>
        <w:ind w:firstLine="420" w:firstLineChars="200"/>
        <w:rPr>
          <w:rFonts w:ascii="宋体" w:hAnsi="宋体" w:eastAsia="宋体" w:cs="仿宋"/>
          <w:szCs w:val="21"/>
        </w:rPr>
      </w:pPr>
      <w:r>
        <w:rPr>
          <w:rFonts w:hint="eastAsia" w:ascii="宋体" w:hAnsi="宋体" w:eastAsia="宋体" w:cs="仿宋"/>
          <w:szCs w:val="21"/>
        </w:rPr>
        <w:t>4.安全生产许可证复审时间及有效期：</w:t>
      </w:r>
    </w:p>
    <w:p w14:paraId="7BF69FB7">
      <w:pPr>
        <w:spacing w:line="520" w:lineRule="exact"/>
        <w:ind w:firstLine="211" w:firstLineChars="100"/>
        <w:rPr>
          <w:rFonts w:ascii="宋体" w:hAnsi="宋体" w:eastAsia="宋体" w:cs="仿宋"/>
          <w:b/>
          <w:bCs/>
          <w:szCs w:val="21"/>
        </w:rPr>
      </w:pPr>
      <w:r>
        <w:rPr>
          <w:rFonts w:hint="eastAsia" w:ascii="宋体" w:hAnsi="宋体" w:eastAsia="宋体" w:cs="仿宋"/>
          <w:b/>
          <w:bCs/>
          <w:szCs w:val="21"/>
        </w:rPr>
        <w:t>四、甲乙双方共同责任</w:t>
      </w:r>
    </w:p>
    <w:p w14:paraId="0CABD39B">
      <w:pPr>
        <w:spacing w:line="520" w:lineRule="exact"/>
        <w:ind w:firstLine="420" w:firstLineChars="200"/>
        <w:rPr>
          <w:rFonts w:ascii="宋体" w:hAnsi="宋体" w:eastAsia="宋体" w:cs="仿宋"/>
          <w:szCs w:val="21"/>
        </w:rPr>
      </w:pPr>
      <w:r>
        <w:rPr>
          <w:rFonts w:ascii="宋体" w:hAnsi="宋体" w:eastAsia="宋体" w:cs="仿宋"/>
          <w:szCs w:val="21"/>
        </w:rPr>
        <w:t>4.1</w:t>
      </w:r>
      <w:r>
        <w:rPr>
          <w:rFonts w:hint="eastAsia" w:ascii="宋体" w:hAnsi="宋体" w:eastAsia="宋体" w:cs="仿宋"/>
          <w:szCs w:val="21"/>
        </w:rPr>
        <w:t>、甲、乙双方必需认真落实国家、省、市颁发相关安全生产方针、政策、严格实施相关安全生产法律、法规、法令、条例和安全工作规程及建设施工安全管理要求。</w:t>
      </w:r>
    </w:p>
    <w:p w14:paraId="5241BA47">
      <w:pPr>
        <w:spacing w:line="520" w:lineRule="exact"/>
        <w:ind w:firstLine="420" w:firstLineChars="200"/>
        <w:rPr>
          <w:rFonts w:ascii="宋体" w:hAnsi="宋体" w:eastAsia="宋体" w:cs="仿宋"/>
          <w:szCs w:val="21"/>
        </w:rPr>
      </w:pPr>
      <w:r>
        <w:rPr>
          <w:rFonts w:ascii="宋体" w:hAnsi="宋体" w:eastAsia="宋体" w:cs="仿宋"/>
          <w:szCs w:val="21"/>
        </w:rPr>
        <w:t>4</w:t>
      </w:r>
      <w:r>
        <w:rPr>
          <w:rFonts w:hint="eastAsia" w:ascii="宋体" w:hAnsi="宋体" w:eastAsia="宋体" w:cs="仿宋"/>
          <w:szCs w:val="21"/>
        </w:rPr>
        <w:t>.</w:t>
      </w:r>
      <w:r>
        <w:rPr>
          <w:rFonts w:ascii="宋体" w:hAnsi="宋体" w:eastAsia="宋体" w:cs="仿宋"/>
          <w:szCs w:val="21"/>
        </w:rPr>
        <w:t>2</w:t>
      </w:r>
      <w:r>
        <w:rPr>
          <w:rFonts w:hint="eastAsia" w:ascii="宋体" w:hAnsi="宋体" w:eastAsia="宋体" w:cs="仿宋"/>
          <w:szCs w:val="21"/>
        </w:rPr>
        <w:t>、甲、乙双方单位的全员安全生产责任制应当明确各岗位的责任人员、责任范围和考核标准等内容。应当建立相应的机制，加强对全员安全生产责任制落实情况的监督考核，保证全员安全生产责任制的落实。</w:t>
      </w:r>
    </w:p>
    <w:p w14:paraId="7997817C">
      <w:pPr>
        <w:spacing w:line="520" w:lineRule="exact"/>
        <w:ind w:firstLine="420" w:firstLineChars="200"/>
        <w:rPr>
          <w:rFonts w:ascii="宋体" w:hAnsi="宋体" w:eastAsia="宋体" w:cs="仿宋"/>
          <w:szCs w:val="21"/>
        </w:rPr>
      </w:pPr>
      <w:r>
        <w:rPr>
          <w:rFonts w:ascii="宋体" w:hAnsi="宋体" w:eastAsia="宋体" w:cs="仿宋"/>
          <w:szCs w:val="21"/>
        </w:rPr>
        <w:t>4.3</w:t>
      </w:r>
      <w:r>
        <w:rPr>
          <w:rFonts w:hint="eastAsia" w:ascii="宋体" w:hAnsi="宋体" w:eastAsia="宋体" w:cs="仿宋"/>
          <w:szCs w:val="21"/>
        </w:rPr>
        <w:t>、甲、乙双方都应建立健全安全管理组织体制，包含具体负责安全生产领导。乙方施工人员超出30人时，必需配置专职安全员，30人以下设兼职安全员。</w:t>
      </w:r>
    </w:p>
    <w:p w14:paraId="145E2009">
      <w:pPr>
        <w:spacing w:line="520" w:lineRule="exact"/>
        <w:ind w:firstLine="420" w:firstLineChars="200"/>
        <w:rPr>
          <w:rFonts w:ascii="宋体" w:hAnsi="宋体" w:eastAsia="宋体" w:cs="仿宋"/>
          <w:szCs w:val="21"/>
        </w:rPr>
      </w:pPr>
      <w:r>
        <w:rPr>
          <w:rFonts w:ascii="宋体" w:hAnsi="宋体" w:eastAsia="宋体" w:cs="仿宋"/>
          <w:szCs w:val="21"/>
        </w:rPr>
        <w:t>4.4</w:t>
      </w:r>
      <w:r>
        <w:rPr>
          <w:rFonts w:hint="eastAsia" w:ascii="宋体" w:hAnsi="宋体" w:eastAsia="宋体" w:cs="仿宋"/>
          <w:szCs w:val="21"/>
        </w:rPr>
        <w:t>、甲、乙双方在施工前要认真勘察施工现场，甲方对乙方责任人和工程技术人员依据工程项目内容、特点进行全方面安全技术交底。乙方应具体了解工程项目作业环境、施工日期、各类安全方法情况及安全注意事项后拟订施工计划和施工安全技术方法，交甲方或甲方委托监理企业审批立案。</w:t>
      </w:r>
    </w:p>
    <w:p w14:paraId="2EDB1884">
      <w:pPr>
        <w:spacing w:line="520" w:lineRule="exact"/>
        <w:ind w:firstLine="420" w:firstLineChars="200"/>
        <w:rPr>
          <w:rFonts w:ascii="宋体" w:hAnsi="宋体" w:eastAsia="宋体" w:cs="仿宋"/>
          <w:szCs w:val="21"/>
        </w:rPr>
      </w:pPr>
      <w:r>
        <w:rPr>
          <w:rFonts w:ascii="宋体" w:hAnsi="宋体" w:eastAsia="宋体" w:cs="仿宋"/>
          <w:szCs w:val="21"/>
        </w:rPr>
        <w:t>4.5</w:t>
      </w:r>
      <w:r>
        <w:rPr>
          <w:rFonts w:hint="eastAsia" w:ascii="宋体" w:hAnsi="宋体" w:eastAsia="宋体" w:cs="仿宋"/>
          <w:szCs w:val="21"/>
        </w:rPr>
        <w:t>、施工期间，乙方指派</w:t>
      </w:r>
      <w:r>
        <w:rPr>
          <w:rFonts w:hint="eastAsia" w:ascii="宋体" w:hAnsi="宋体" w:eastAsia="宋体" w:cs="仿宋"/>
          <w:szCs w:val="21"/>
          <w:u w:val="single"/>
        </w:rPr>
        <w:t xml:space="preserve"> </w:t>
      </w:r>
      <w:r>
        <w:rPr>
          <w:rFonts w:ascii="宋体" w:hAnsi="宋体" w:eastAsia="宋体" w:cs="仿宋"/>
          <w:szCs w:val="21"/>
          <w:u w:val="single"/>
        </w:rPr>
        <w:t xml:space="preserve"> </w:t>
      </w:r>
      <w:r>
        <w:rPr>
          <w:rFonts w:hint="eastAsia" w:ascii="宋体" w:hAnsi="宋体" w:eastAsia="宋体" w:cs="仿宋"/>
          <w:szCs w:val="21"/>
        </w:rPr>
        <w:t>同志负责本工程项目相关安全、消防工作；甲方指派</w:t>
      </w:r>
      <w:r>
        <w:rPr>
          <w:rFonts w:ascii="宋体" w:hAnsi="宋体" w:eastAsia="宋体" w:cs="仿宋"/>
          <w:szCs w:val="21"/>
          <w:u w:val="single"/>
        </w:rPr>
        <w:t xml:space="preserve">  </w:t>
      </w:r>
      <w:r>
        <w:rPr>
          <w:rFonts w:hint="eastAsia" w:ascii="宋体" w:hAnsi="宋体" w:eastAsia="宋体" w:cs="仿宋"/>
          <w:szCs w:val="21"/>
        </w:rPr>
        <w:t>同志负责联络、检验、监督乙方实施相关安全、消防要求。甲乙双方应常联络，相互帮助检验和处理工程施工中相关安全、消防工作，共同预防事故发生。乙方人员施工中发生不安全情况应立刻向甲方通报，甲方有权对乙方实施安全监督、处罚。</w:t>
      </w:r>
    </w:p>
    <w:p w14:paraId="47EBD8F5">
      <w:pPr>
        <w:spacing w:line="520" w:lineRule="exact"/>
        <w:ind w:firstLine="420" w:firstLineChars="200"/>
        <w:rPr>
          <w:rFonts w:ascii="宋体" w:hAnsi="宋体" w:eastAsia="宋体" w:cs="仿宋"/>
          <w:szCs w:val="21"/>
        </w:rPr>
      </w:pPr>
      <w:r>
        <w:rPr>
          <w:rFonts w:ascii="宋体" w:hAnsi="宋体" w:eastAsia="宋体" w:cs="仿宋"/>
          <w:szCs w:val="21"/>
        </w:rPr>
        <w:t>4.6</w:t>
      </w:r>
      <w:r>
        <w:rPr>
          <w:rFonts w:hint="eastAsia" w:ascii="宋体" w:hAnsi="宋体" w:eastAsia="宋体" w:cs="仿宋"/>
          <w:szCs w:val="21"/>
        </w:rPr>
        <w:t>、施工区域范围各类安全防护设施、遮拦、安全标志牌、警告牌和接地线等不得私自拆除、变动。如确实需要拆除、变动，必需经施工责任人和甲、乙双方指派安全管理人员书面同意，并确定可靠安全方法后方可拆除、变动现场安全防护设施。任何一方人员私自拆除、变动安全防护设施所造成后果，均由该方负责。</w:t>
      </w:r>
    </w:p>
    <w:p w14:paraId="645D3811">
      <w:pPr>
        <w:spacing w:line="520" w:lineRule="exact"/>
        <w:ind w:firstLine="420" w:firstLineChars="200"/>
        <w:rPr>
          <w:rFonts w:ascii="宋体" w:hAnsi="宋体" w:eastAsia="宋体" w:cs="仿宋"/>
          <w:szCs w:val="21"/>
        </w:rPr>
      </w:pPr>
      <w:r>
        <w:rPr>
          <w:rFonts w:ascii="宋体" w:hAnsi="宋体" w:eastAsia="宋体" w:cs="仿宋"/>
          <w:szCs w:val="21"/>
        </w:rPr>
        <w:t>4.7</w:t>
      </w:r>
      <w:r>
        <w:rPr>
          <w:rFonts w:hint="eastAsia" w:ascii="宋体" w:hAnsi="宋体" w:eastAsia="宋体" w:cs="仿宋"/>
          <w:szCs w:val="21"/>
        </w:rPr>
        <w:t>、甲、乙双方必需严格实施禁火区域内动火作业相关要求，正确使用动火作业工作要领。易燃、易爆场所严禁吸烟及动用明火、消防器材不准挪作它用。工地严禁使用电炉，冬季施工如必需采取明火加热防冻方法时，应取得甲方书面同意、落实防火、防爆方法，并指派专员值班负责。焊工必须持有效证件上岗作业，严禁无证操作。</w:t>
      </w:r>
    </w:p>
    <w:p w14:paraId="1D9462E2">
      <w:pPr>
        <w:spacing w:line="520" w:lineRule="exact"/>
        <w:ind w:firstLine="420" w:firstLineChars="200"/>
        <w:rPr>
          <w:rFonts w:ascii="宋体" w:hAnsi="宋体" w:eastAsia="宋体" w:cs="仿宋"/>
          <w:szCs w:val="21"/>
        </w:rPr>
      </w:pPr>
      <w:r>
        <w:rPr>
          <w:rFonts w:ascii="宋体" w:hAnsi="宋体" w:eastAsia="宋体" w:cs="仿宋"/>
          <w:szCs w:val="21"/>
        </w:rPr>
        <w:t>4.8</w:t>
      </w:r>
      <w:r>
        <w:rPr>
          <w:rFonts w:hint="eastAsia" w:ascii="宋体" w:hAnsi="宋体" w:eastAsia="宋体" w:cs="仿宋"/>
          <w:szCs w:val="21"/>
        </w:rPr>
        <w:t>、甲乙双方人员对各自所处的施工区域、作业环境、操作设施设备、工具用具等必须认真检查，发现隐患，立即停止施工，落实整改后方准施工。一经施工，就表示该施工单位确认施工场所、作业环境、设施设备、工具用具等符合安全要求和处于安全状态。</w:t>
      </w:r>
    </w:p>
    <w:p w14:paraId="3DB05BBB">
      <w:pPr>
        <w:spacing w:line="520" w:lineRule="exact"/>
        <w:ind w:firstLine="420" w:firstLineChars="200"/>
        <w:rPr>
          <w:rFonts w:ascii="宋体" w:hAnsi="宋体" w:eastAsia="宋体" w:cs="仿宋"/>
          <w:szCs w:val="21"/>
        </w:rPr>
      </w:pPr>
      <w:r>
        <w:rPr>
          <w:rFonts w:ascii="宋体" w:hAnsi="宋体" w:eastAsia="宋体" w:cs="仿宋"/>
          <w:szCs w:val="21"/>
        </w:rPr>
        <w:t>4.9</w:t>
      </w:r>
      <w:r>
        <w:rPr>
          <w:rFonts w:hint="eastAsia" w:ascii="宋体" w:hAnsi="宋体" w:eastAsia="宋体" w:cs="仿宋"/>
          <w:szCs w:val="21"/>
        </w:rPr>
        <w:t>、甲、乙双方不得将生产经营项目、场所、设备发包或者出租给不具备安全生产条件或者相应资质的单位或者个人。</w:t>
      </w:r>
    </w:p>
    <w:p w14:paraId="3C9455EC">
      <w:pPr>
        <w:spacing w:line="520" w:lineRule="exact"/>
        <w:ind w:firstLine="420" w:firstLineChars="200"/>
        <w:rPr>
          <w:rFonts w:ascii="宋体" w:hAnsi="宋体" w:eastAsia="宋体" w:cs="仿宋"/>
          <w:color w:val="auto"/>
          <w:szCs w:val="21"/>
        </w:rPr>
      </w:pPr>
      <w:r>
        <w:rPr>
          <w:rFonts w:ascii="宋体" w:hAnsi="宋体" w:eastAsia="宋体" w:cs="仿宋"/>
          <w:szCs w:val="21"/>
        </w:rPr>
        <w:t>4.10</w:t>
      </w:r>
      <w:r>
        <w:rPr>
          <w:rFonts w:hint="eastAsia" w:ascii="宋体" w:hAnsi="宋体" w:eastAsia="宋体" w:cs="仿宋"/>
          <w:szCs w:val="21"/>
        </w:rPr>
        <w:t>、发生生产安全事故时</w:t>
      </w:r>
      <w:r>
        <w:rPr>
          <w:rFonts w:hint="eastAsia" w:ascii="宋体" w:hAnsi="宋体" w:eastAsia="宋体" w:cs="仿宋"/>
          <w:color w:val="auto"/>
          <w:szCs w:val="21"/>
        </w:rPr>
        <w:t>，单位的主要负责人应当立即组织抢救，并不得在事故调查处理期间擅离职守。</w:t>
      </w:r>
    </w:p>
    <w:p w14:paraId="464712AA">
      <w:pPr>
        <w:spacing w:line="520" w:lineRule="exact"/>
        <w:ind w:firstLine="422" w:firstLineChars="200"/>
        <w:rPr>
          <w:rFonts w:ascii="宋体" w:hAnsi="宋体" w:eastAsia="宋体" w:cs="仿宋"/>
          <w:b/>
          <w:bCs/>
          <w:color w:val="auto"/>
          <w:szCs w:val="21"/>
        </w:rPr>
      </w:pPr>
      <w:r>
        <w:rPr>
          <w:rFonts w:hint="eastAsia" w:ascii="宋体" w:hAnsi="宋体" w:eastAsia="宋体" w:cs="仿宋"/>
          <w:b/>
          <w:bCs/>
          <w:color w:val="auto"/>
          <w:szCs w:val="21"/>
        </w:rPr>
        <w:t>五、甲方权利义务</w:t>
      </w:r>
    </w:p>
    <w:p w14:paraId="2D3CDC65">
      <w:pPr>
        <w:spacing w:line="520" w:lineRule="exact"/>
        <w:ind w:firstLine="420" w:firstLineChars="200"/>
        <w:rPr>
          <w:rFonts w:ascii="宋体" w:hAnsi="宋体" w:eastAsia="宋体" w:cs="仿宋"/>
          <w:color w:val="auto"/>
          <w:szCs w:val="21"/>
        </w:rPr>
      </w:pPr>
      <w:r>
        <w:rPr>
          <w:rFonts w:ascii="宋体" w:hAnsi="宋体" w:eastAsia="宋体" w:cs="仿宋"/>
          <w:color w:val="auto"/>
          <w:szCs w:val="21"/>
        </w:rPr>
        <w:t>5.1</w:t>
      </w:r>
      <w:r>
        <w:rPr>
          <w:rFonts w:hint="eastAsia" w:ascii="宋体" w:hAnsi="宋体" w:eastAsia="宋体" w:cs="仿宋"/>
          <w:color w:val="auto"/>
          <w:szCs w:val="21"/>
        </w:rPr>
        <w:t>、甲方应按要求对乙方安全资质进行审查，确定乙方承包工程项目与其资质相符合。</w:t>
      </w:r>
    </w:p>
    <w:p w14:paraId="23EEE79A">
      <w:pPr>
        <w:spacing w:line="520" w:lineRule="exact"/>
        <w:ind w:firstLine="420" w:firstLineChars="200"/>
        <w:rPr>
          <w:rFonts w:ascii="宋体" w:hAnsi="宋体" w:eastAsia="宋体" w:cs="仿宋"/>
          <w:color w:val="auto"/>
          <w:szCs w:val="21"/>
        </w:rPr>
      </w:pPr>
      <w:r>
        <w:rPr>
          <w:rFonts w:ascii="宋体" w:hAnsi="宋体" w:eastAsia="宋体" w:cs="仿宋"/>
          <w:color w:val="auto"/>
          <w:szCs w:val="21"/>
        </w:rPr>
        <w:t>5</w:t>
      </w:r>
      <w:r>
        <w:rPr>
          <w:rFonts w:hint="eastAsia" w:ascii="宋体" w:hAnsi="宋体" w:eastAsia="宋体" w:cs="仿宋"/>
          <w:color w:val="auto"/>
          <w:szCs w:val="21"/>
        </w:rPr>
        <w:t>.</w:t>
      </w:r>
      <w:r>
        <w:rPr>
          <w:rFonts w:ascii="宋体" w:hAnsi="宋体" w:eastAsia="宋体" w:cs="仿宋"/>
          <w:color w:val="auto"/>
          <w:szCs w:val="21"/>
        </w:rPr>
        <w:t>2</w:t>
      </w:r>
      <w:r>
        <w:rPr>
          <w:rFonts w:hint="eastAsia" w:ascii="宋体" w:hAnsi="宋体" w:eastAsia="宋体" w:cs="仿宋"/>
          <w:color w:val="auto"/>
          <w:szCs w:val="21"/>
        </w:rPr>
        <w:t>、甲方按照有关安全标准对乙方进行日常监督检查。甲方有权要求乙方必须严格遵守安全生产法律、法规、标准、安全生产规章制度和操作规程，熟练掌握事故防范措施和事故应急处理预案。</w:t>
      </w:r>
    </w:p>
    <w:p w14:paraId="2083F315">
      <w:pPr>
        <w:spacing w:line="520" w:lineRule="exact"/>
        <w:ind w:firstLine="420" w:firstLineChars="200"/>
        <w:rPr>
          <w:rFonts w:ascii="宋体" w:hAnsi="宋体" w:eastAsia="宋体" w:cs="仿宋"/>
          <w:color w:val="auto"/>
          <w:szCs w:val="21"/>
        </w:rPr>
      </w:pPr>
      <w:r>
        <w:rPr>
          <w:rFonts w:ascii="宋体" w:hAnsi="宋体" w:eastAsia="宋体" w:cs="仿宋"/>
          <w:color w:val="auto"/>
          <w:szCs w:val="21"/>
        </w:rPr>
        <w:t>5.3</w:t>
      </w:r>
      <w:r>
        <w:rPr>
          <w:rFonts w:hint="eastAsia" w:ascii="宋体" w:hAnsi="宋体" w:eastAsia="宋体" w:cs="仿宋"/>
          <w:color w:val="auto"/>
          <w:szCs w:val="21"/>
        </w:rPr>
        <w:t>、甲方对乙方使用的临时设施、安全防护用品进行检查和验收，对不符合安全要求和项目管理规定的设施和防护用品有权要求拆除、更换。</w:t>
      </w:r>
    </w:p>
    <w:p w14:paraId="3D034791">
      <w:pPr>
        <w:spacing w:line="520" w:lineRule="exact"/>
        <w:ind w:firstLine="420" w:firstLineChars="200"/>
        <w:rPr>
          <w:rFonts w:ascii="宋体" w:hAnsi="宋体" w:eastAsia="宋体" w:cs="仿宋"/>
          <w:color w:val="auto"/>
          <w:szCs w:val="21"/>
        </w:rPr>
      </w:pPr>
      <w:r>
        <w:rPr>
          <w:rFonts w:ascii="宋体" w:hAnsi="宋体" w:eastAsia="宋体" w:cs="仿宋"/>
          <w:color w:val="auto"/>
          <w:szCs w:val="21"/>
        </w:rPr>
        <w:t>5.4</w:t>
      </w:r>
      <w:r>
        <w:rPr>
          <w:rFonts w:hint="eastAsia" w:ascii="宋体" w:hAnsi="宋体" w:eastAsia="宋体" w:cs="仿宋"/>
          <w:color w:val="auto"/>
          <w:szCs w:val="21"/>
        </w:rPr>
        <w:t>、甲方对施工区域进行安全生产和文明施工检查。对检查中发现的安全隐患发出限期整改通知，有权责令整改、停工整顿或进行经济处罚。</w:t>
      </w:r>
    </w:p>
    <w:p w14:paraId="74E929FD">
      <w:pPr>
        <w:spacing w:line="520" w:lineRule="exact"/>
        <w:ind w:firstLine="420" w:firstLineChars="200"/>
        <w:rPr>
          <w:rFonts w:ascii="宋体" w:hAnsi="宋体" w:eastAsia="宋体" w:cs="仿宋"/>
          <w:color w:val="auto"/>
          <w:szCs w:val="21"/>
        </w:rPr>
      </w:pPr>
      <w:r>
        <w:rPr>
          <w:rFonts w:ascii="宋体" w:hAnsi="宋体" w:eastAsia="宋体" w:cs="仿宋"/>
          <w:color w:val="auto"/>
          <w:szCs w:val="21"/>
        </w:rPr>
        <w:t>5.5</w:t>
      </w:r>
      <w:r>
        <w:rPr>
          <w:rFonts w:hint="eastAsia" w:ascii="宋体" w:hAnsi="宋体" w:eastAsia="宋体" w:cs="仿宋"/>
          <w:color w:val="auto"/>
          <w:szCs w:val="21"/>
        </w:rPr>
        <w:t>、甲方对乙方违反安全生产标准、操作规程、违章指挥、违章作业、违反劳动纪律等行为的人员，甲方有权予以制止、下达整改通知、罚款、停工整顿或清退出场等。</w:t>
      </w:r>
    </w:p>
    <w:p w14:paraId="106679E6">
      <w:pPr>
        <w:spacing w:line="520" w:lineRule="exact"/>
        <w:ind w:firstLine="420" w:firstLineChars="200"/>
        <w:rPr>
          <w:rFonts w:ascii="宋体" w:hAnsi="宋体" w:eastAsia="宋体" w:cs="仿宋"/>
          <w:color w:val="auto"/>
          <w:szCs w:val="21"/>
        </w:rPr>
      </w:pPr>
      <w:r>
        <w:rPr>
          <w:rFonts w:hint="eastAsia" w:ascii="宋体" w:hAnsi="宋体" w:eastAsia="宋体" w:cs="仿宋"/>
          <w:color w:val="auto"/>
          <w:szCs w:val="21"/>
        </w:rPr>
        <w:t>5.6、甲方事先向乙方进行具体安全技术交底，要求乙方制订施工安全技术方法，经甲方或甲方委托监理企业审查合格后监督乙方实施。</w:t>
      </w:r>
    </w:p>
    <w:p w14:paraId="18B28223">
      <w:pPr>
        <w:spacing w:line="520" w:lineRule="exact"/>
        <w:ind w:firstLine="420" w:firstLineChars="200"/>
        <w:rPr>
          <w:rFonts w:ascii="宋体" w:hAnsi="宋体" w:eastAsia="宋体" w:cs="仿宋"/>
          <w:color w:val="auto"/>
          <w:szCs w:val="21"/>
        </w:rPr>
      </w:pPr>
      <w:r>
        <w:rPr>
          <w:rFonts w:hint="eastAsia" w:ascii="宋体" w:hAnsi="宋体" w:eastAsia="宋体" w:cs="仿宋"/>
          <w:color w:val="auto"/>
          <w:szCs w:val="21"/>
        </w:rPr>
        <w:t>5.7、甲方有帮助乙方搞好安全生产、消防管理等监督检验责任，对于查出安全生产事故隐患，乙方必需限期整改。对限期整改不达标，甲方有权责令乙方暂停施工和撤消协议，由此造成损失都由乙方负担。</w:t>
      </w:r>
    </w:p>
    <w:p w14:paraId="55AEEA78">
      <w:pPr>
        <w:spacing w:line="520" w:lineRule="exact"/>
        <w:ind w:firstLine="422" w:firstLineChars="200"/>
        <w:rPr>
          <w:rFonts w:ascii="宋体" w:hAnsi="宋体" w:eastAsia="宋体" w:cs="仿宋"/>
          <w:b/>
          <w:bCs/>
          <w:szCs w:val="21"/>
        </w:rPr>
      </w:pPr>
      <w:r>
        <w:rPr>
          <w:rFonts w:hint="eastAsia" w:ascii="宋体" w:hAnsi="宋体" w:eastAsia="宋体" w:cs="仿宋"/>
          <w:b/>
          <w:bCs/>
          <w:szCs w:val="21"/>
        </w:rPr>
        <w:t>六、乙方权利义务</w:t>
      </w:r>
    </w:p>
    <w:p w14:paraId="08CBB8F9">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6</w:t>
      </w:r>
      <w:r>
        <w:rPr>
          <w:rFonts w:ascii="宋体" w:hAnsi="宋体" w:eastAsia="宋体" w:cs="仿宋"/>
          <w:szCs w:val="21"/>
        </w:rPr>
        <w:t>.1</w:t>
      </w:r>
      <w:r>
        <w:rPr>
          <w:rFonts w:hint="eastAsia" w:ascii="宋体" w:hAnsi="宋体" w:eastAsia="宋体" w:cs="仿宋"/>
          <w:szCs w:val="21"/>
        </w:rPr>
        <w:t>、乙方应具备有关法律、行政法规和国家标准或者行业标准规定的安全生产条件，具有相关部门颁发的安全生产证书。</w:t>
      </w:r>
    </w:p>
    <w:p w14:paraId="37050C92">
      <w:pPr>
        <w:spacing w:line="520" w:lineRule="exact"/>
        <w:ind w:right="-59" w:rightChars="-28" w:firstLine="420" w:firstLineChars="200"/>
        <w:rPr>
          <w:rFonts w:ascii="宋体" w:hAnsi="宋体" w:eastAsia="宋体" w:cs="仿宋"/>
          <w:szCs w:val="21"/>
        </w:rPr>
      </w:pPr>
      <w:r>
        <w:rPr>
          <w:rFonts w:ascii="宋体" w:hAnsi="宋体" w:eastAsia="宋体" w:cs="仿宋"/>
          <w:szCs w:val="21"/>
        </w:rPr>
        <w:t>6</w:t>
      </w:r>
      <w:r>
        <w:rPr>
          <w:rFonts w:hint="eastAsia" w:ascii="宋体" w:hAnsi="宋体" w:eastAsia="宋体" w:cs="仿宋"/>
          <w:szCs w:val="21"/>
        </w:rPr>
        <w:t>.2、乙方的主要负责人和安全生产管理人员必须具备与本单位所从事的生产经营活动相应的安全生产知识和管理能力。并对本单位安全生产工作负有下列职责:</w:t>
      </w:r>
    </w:p>
    <w:p w14:paraId="153B9DB8">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（1）建立健全并落实本单位全员安全生产责任制，加强安全生产标准化建设；</w:t>
      </w:r>
    </w:p>
    <w:p w14:paraId="454FD058">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（2）组织制定并实施本单位安全生产规章制度和操作规程；</w:t>
      </w:r>
    </w:p>
    <w:p w14:paraId="4107263B">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（3）组织制定并实施本单位安全生产教育和培训计划；</w:t>
      </w:r>
    </w:p>
    <w:p w14:paraId="46F7DD2E">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（4）保证本单位安全生产投入的有效实施；</w:t>
      </w:r>
    </w:p>
    <w:p w14:paraId="337A8FC6">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（5）组织建立并落实安全风险分级管控和隐患排查治理双重预防工作机制，督促、检查本单位。</w:t>
      </w:r>
    </w:p>
    <w:p w14:paraId="70B25170">
      <w:pPr>
        <w:spacing w:line="520" w:lineRule="exact"/>
        <w:ind w:right="-59" w:rightChars="-28" w:firstLine="420" w:firstLineChars="200"/>
        <w:rPr>
          <w:rFonts w:ascii="宋体" w:hAnsi="宋体" w:eastAsia="宋体" w:cs="仿宋"/>
          <w:szCs w:val="21"/>
        </w:rPr>
      </w:pPr>
      <w:r>
        <w:rPr>
          <w:rFonts w:ascii="宋体" w:hAnsi="宋体" w:eastAsia="宋体" w:cs="仿宋"/>
          <w:szCs w:val="21"/>
        </w:rPr>
        <w:t>6.3、乙方的安全生产管理机构以及安全生产管理人员履行下列职责:</w:t>
      </w:r>
    </w:p>
    <w:p w14:paraId="28DC270B">
      <w:pPr>
        <w:spacing w:line="520" w:lineRule="exact"/>
        <w:ind w:right="-59" w:rightChars="-28" w:firstLine="420" w:firstLineChars="200"/>
        <w:rPr>
          <w:rFonts w:ascii="宋体" w:hAnsi="宋体" w:eastAsia="宋体" w:cs="仿宋"/>
          <w:szCs w:val="21"/>
        </w:rPr>
      </w:pPr>
      <w:r>
        <w:rPr>
          <w:rFonts w:ascii="宋体" w:hAnsi="宋体" w:eastAsia="宋体" w:cs="仿宋"/>
          <w:szCs w:val="21"/>
        </w:rPr>
        <w:t>（1）组织或者参与拟订本单位安全生产规章制度、操作规程和生产安全事故应急救援预案；</w:t>
      </w:r>
    </w:p>
    <w:p w14:paraId="10C21D4E">
      <w:pPr>
        <w:spacing w:line="520" w:lineRule="exact"/>
        <w:ind w:right="-59" w:rightChars="-28" w:firstLine="420" w:firstLineChars="200"/>
        <w:rPr>
          <w:rFonts w:ascii="宋体" w:hAnsi="宋体" w:eastAsia="宋体" w:cs="仿宋"/>
          <w:szCs w:val="21"/>
        </w:rPr>
      </w:pPr>
      <w:r>
        <w:rPr>
          <w:rFonts w:ascii="宋体" w:hAnsi="宋体" w:eastAsia="宋体" w:cs="仿宋"/>
          <w:szCs w:val="21"/>
        </w:rPr>
        <w:t>（2）组织或者参与本单位安全生产教育和培训，如实记录安全生产教育和培训情况；</w:t>
      </w:r>
    </w:p>
    <w:p w14:paraId="16719A1F">
      <w:pPr>
        <w:spacing w:line="520" w:lineRule="exact"/>
        <w:ind w:right="-59" w:rightChars="-28" w:firstLine="420" w:firstLineChars="200"/>
        <w:rPr>
          <w:rFonts w:ascii="宋体" w:hAnsi="宋体" w:eastAsia="宋体" w:cs="仿宋"/>
          <w:szCs w:val="21"/>
        </w:rPr>
      </w:pPr>
      <w:r>
        <w:rPr>
          <w:rFonts w:ascii="宋体" w:hAnsi="宋体" w:eastAsia="宋体" w:cs="仿宋"/>
          <w:szCs w:val="21"/>
        </w:rPr>
        <w:t>（3）组织开展危险源辨识和评估，督促落实本单位重大危险源的安全管理措施</w:t>
      </w:r>
      <w:r>
        <w:rPr>
          <w:rFonts w:hint="eastAsia" w:ascii="宋体" w:hAnsi="宋体" w:eastAsia="宋体" w:cs="仿宋"/>
          <w:szCs w:val="21"/>
        </w:rPr>
        <w:t>，及时消除生产安全事故隐患；</w:t>
      </w:r>
    </w:p>
    <w:p w14:paraId="2CE6681B">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（4）及时、如实报告生产安全事故。</w:t>
      </w:r>
    </w:p>
    <w:p w14:paraId="0502BACE">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（5）组织或者参与本单位应急救援演练:</w:t>
      </w:r>
    </w:p>
    <w:p w14:paraId="26F7E8D3">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（6）检查本单位的安全生产状况，及时排查生产安全事故隐患，提出改进安全生产管理的建议；</w:t>
      </w:r>
    </w:p>
    <w:p w14:paraId="440D7AAE">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（7）制止和纠正违章指挥、强令冒险作业、违反操作规程的行为；</w:t>
      </w:r>
    </w:p>
    <w:p w14:paraId="7F3550BE">
      <w:pPr>
        <w:spacing w:line="520" w:lineRule="exact"/>
        <w:ind w:right="-59" w:rightChars="-28" w:firstLine="420" w:firstLineChars="200"/>
        <w:rPr>
          <w:rFonts w:ascii="宋体" w:hAnsi="宋体" w:eastAsia="宋体" w:cs="仿宋"/>
          <w:szCs w:val="21"/>
        </w:rPr>
      </w:pPr>
      <w:r>
        <w:rPr>
          <w:rFonts w:hint="eastAsia" w:ascii="宋体" w:hAnsi="宋体" w:eastAsia="宋体" w:cs="仿宋"/>
          <w:szCs w:val="21"/>
        </w:rPr>
        <w:t>（8）督促落实本单位安全生产整改措施。生产经营单位可以设置专职安全生产分管负责人，协助本单位主要负责人履行安全生产管理职责。</w:t>
      </w:r>
    </w:p>
    <w:p w14:paraId="6D417EAB">
      <w:pPr>
        <w:spacing w:line="520" w:lineRule="exact"/>
        <w:ind w:firstLine="420" w:firstLineChars="200"/>
        <w:rPr>
          <w:rFonts w:ascii="宋体" w:hAnsi="宋体" w:eastAsia="宋体" w:cs="仿宋"/>
          <w:szCs w:val="21"/>
        </w:rPr>
      </w:pPr>
      <w:r>
        <w:rPr>
          <w:rFonts w:hint="eastAsia" w:ascii="宋体" w:hAnsi="宋体" w:eastAsia="宋体" w:cs="仿宋"/>
          <w:szCs w:val="21"/>
        </w:rPr>
        <w:t>6</w:t>
      </w:r>
      <w:r>
        <w:rPr>
          <w:rFonts w:ascii="宋体" w:hAnsi="宋体" w:eastAsia="宋体" w:cs="仿宋"/>
          <w:szCs w:val="21"/>
        </w:rPr>
        <w:t>.4</w:t>
      </w:r>
      <w:r>
        <w:rPr>
          <w:rFonts w:hint="eastAsia" w:ascii="宋体" w:hAnsi="宋体" w:eastAsia="宋体" w:cs="仿宋"/>
          <w:szCs w:val="21"/>
        </w:rPr>
        <w:t>、乙方必须按照法律法规的要求在施工现场配备足额的专职安全管理人员，安全管理人员必须持有安全生产考核合格证书。</w:t>
      </w:r>
    </w:p>
    <w:p w14:paraId="353D2CF2">
      <w:pPr>
        <w:spacing w:line="520" w:lineRule="exact"/>
        <w:ind w:firstLine="420" w:firstLineChars="200"/>
        <w:rPr>
          <w:rFonts w:ascii="宋体" w:hAnsi="宋体" w:eastAsia="宋体" w:cs="仿宋"/>
          <w:szCs w:val="21"/>
        </w:rPr>
      </w:pPr>
      <w:r>
        <w:rPr>
          <w:rFonts w:ascii="宋体" w:hAnsi="宋体" w:eastAsia="宋体" w:cs="仿宋"/>
          <w:szCs w:val="21"/>
        </w:rPr>
        <w:t>6.5、</w:t>
      </w:r>
      <w:r>
        <w:rPr>
          <w:rFonts w:hint="eastAsia" w:ascii="宋体" w:hAnsi="宋体" w:eastAsia="宋体" w:cs="仿宋"/>
          <w:szCs w:val="21"/>
        </w:rPr>
        <w:t>乙方必须按图纸、标准和规范以及专项安全方案、安全技术措施、安全技术交底和安全操作规程进行作业。</w:t>
      </w:r>
    </w:p>
    <w:p w14:paraId="5776E7C8">
      <w:pPr>
        <w:spacing w:line="520" w:lineRule="exact"/>
        <w:ind w:firstLine="420" w:firstLineChars="200"/>
        <w:rPr>
          <w:rFonts w:ascii="宋体" w:hAnsi="宋体" w:eastAsia="宋体" w:cs="仿宋"/>
          <w:szCs w:val="21"/>
        </w:rPr>
      </w:pPr>
      <w:r>
        <w:rPr>
          <w:rFonts w:ascii="宋体" w:hAnsi="宋体" w:eastAsia="宋体" w:cs="仿宋"/>
          <w:szCs w:val="21"/>
        </w:rPr>
        <w:t>6.6、</w:t>
      </w:r>
      <w:r>
        <w:rPr>
          <w:rFonts w:hint="eastAsia" w:ascii="宋体" w:hAnsi="宋体" w:eastAsia="宋体" w:cs="仿宋"/>
          <w:szCs w:val="21"/>
        </w:rPr>
        <w:t>乙方组织进场的机械设备、机具、安全防护设施用品、临时用电设施以及自制自建的其他设施应符合国家、地方、行业标准，及时向甲方申报及验收，并对其安全性和使用维护负责，不合格的严禁使用。</w:t>
      </w:r>
    </w:p>
    <w:p w14:paraId="78D49736">
      <w:pPr>
        <w:spacing w:line="520" w:lineRule="exact"/>
        <w:ind w:firstLine="420" w:firstLineChars="200"/>
        <w:rPr>
          <w:rFonts w:ascii="宋体" w:hAnsi="宋体" w:eastAsia="宋体" w:cs="仿宋"/>
          <w:szCs w:val="21"/>
        </w:rPr>
      </w:pPr>
      <w:r>
        <w:rPr>
          <w:rFonts w:ascii="宋体" w:hAnsi="宋体" w:eastAsia="宋体" w:cs="仿宋"/>
          <w:szCs w:val="21"/>
        </w:rPr>
        <w:t>6.7、</w:t>
      </w:r>
      <w:r>
        <w:rPr>
          <w:rFonts w:hint="eastAsia" w:ascii="宋体" w:hAnsi="宋体" w:eastAsia="宋体" w:cs="仿宋"/>
          <w:szCs w:val="21"/>
        </w:rPr>
        <w:t>乙方应按合同约定设置、维护承包范围内的安全防护设施，对甲方提供的各类设施负责按规定使用、维护、保养和维修，不得随意拆除施工现场的各类安全防护设施、警示设施。</w:t>
      </w:r>
    </w:p>
    <w:p w14:paraId="55D21A68">
      <w:pPr>
        <w:spacing w:line="520" w:lineRule="exact"/>
        <w:ind w:firstLine="420" w:firstLineChars="200"/>
        <w:rPr>
          <w:rFonts w:ascii="宋体" w:hAnsi="宋体" w:eastAsia="宋体" w:cs="仿宋"/>
          <w:szCs w:val="21"/>
        </w:rPr>
      </w:pPr>
      <w:r>
        <w:rPr>
          <w:rFonts w:ascii="宋体" w:hAnsi="宋体" w:eastAsia="宋体" w:cs="仿宋"/>
          <w:szCs w:val="21"/>
        </w:rPr>
        <w:t>6.8、</w:t>
      </w:r>
      <w:r>
        <w:rPr>
          <w:rFonts w:hint="eastAsia" w:ascii="宋体" w:hAnsi="宋体" w:eastAsia="宋体" w:cs="仿宋"/>
          <w:szCs w:val="21"/>
        </w:rPr>
        <w:t>乙方在实施有可能发生火灾、爆炸、触电、 高空坠落、坍塌、中毒、窒息、机械伤害、烧烫伤等人身伤亡事故和可能引发严重设备事故情况时，施工前应主动书面通知甲方。</w:t>
      </w:r>
    </w:p>
    <w:p w14:paraId="5424FC30">
      <w:pPr>
        <w:widowControl w:val="0"/>
        <w:spacing w:after="0" w:line="520" w:lineRule="exact"/>
        <w:ind w:left="0" w:leftChars="0" w:right="-59" w:rightChars="-28" w:firstLine="420" w:firstLineChars="200"/>
        <w:jc w:val="both"/>
        <w:rPr>
          <w:rFonts w:ascii="宋体" w:hAnsi="宋体" w:eastAsia="宋体" w:cs="仿宋"/>
          <w:kern w:val="2"/>
          <w:sz w:val="21"/>
          <w:szCs w:val="21"/>
          <w:lang w:val="en-US" w:eastAsia="zh-CN" w:bidi="ar-SA"/>
        </w:rPr>
      </w:pPr>
      <w:r>
        <w:rPr>
          <w:rFonts w:ascii="宋体" w:hAnsi="宋体" w:eastAsia="宋体" w:cs="仿宋"/>
          <w:kern w:val="2"/>
          <w:sz w:val="21"/>
          <w:szCs w:val="21"/>
          <w:lang w:val="en-US" w:eastAsia="zh-CN" w:bidi="ar-SA"/>
        </w:rPr>
        <w:t>6.9</w:t>
      </w:r>
      <w:r>
        <w:rPr>
          <w:rFonts w:hint="eastAsia" w:ascii="宋体" w:hAnsi="宋体" w:eastAsia="宋体" w:cs="仿宋"/>
          <w:kern w:val="2"/>
          <w:sz w:val="21"/>
          <w:szCs w:val="21"/>
          <w:lang w:val="en-US" w:eastAsia="zh-CN" w:bidi="ar-SA"/>
        </w:rPr>
        <w:t>、乙方现场安全设备的设计、制造、安装、使用、检测、维修、改造和报废，应当符合国家标准或者行业标准。必须对安全设备进行经常性维护、保养，并定期检测，保证正常运转。维护、保养、检测应当作好记录，并由有关人员签字。不得关闭、破坏直接关系生产安全的监控、报警、防护、救生设备、设施，或者篡改、隐瞒、销毁其相关数据、信息。</w:t>
      </w:r>
    </w:p>
    <w:p w14:paraId="3B43A9DF">
      <w:pPr>
        <w:widowControl w:val="0"/>
        <w:spacing w:after="0" w:line="520" w:lineRule="exact"/>
        <w:ind w:left="0" w:leftChars="0" w:right="-59" w:rightChars="-28" w:firstLine="420" w:firstLineChars="200"/>
        <w:jc w:val="both"/>
        <w:rPr>
          <w:rFonts w:ascii="宋体" w:hAnsi="宋体" w:eastAsia="宋体" w:cs="仿宋"/>
          <w:kern w:val="2"/>
          <w:sz w:val="21"/>
          <w:szCs w:val="21"/>
          <w:lang w:val="en-US" w:eastAsia="zh-CN" w:bidi="ar-SA"/>
        </w:rPr>
      </w:pPr>
      <w:r>
        <w:rPr>
          <w:rFonts w:ascii="宋体" w:hAnsi="宋体" w:eastAsia="宋体" w:cs="仿宋"/>
          <w:kern w:val="2"/>
          <w:sz w:val="21"/>
          <w:szCs w:val="21"/>
          <w:lang w:val="en-US" w:eastAsia="zh-CN" w:bidi="ar-SA"/>
        </w:rPr>
        <w:t>6.10</w:t>
      </w:r>
      <w:r>
        <w:rPr>
          <w:rFonts w:hint="eastAsia" w:ascii="宋体" w:hAnsi="宋体" w:eastAsia="宋体" w:cs="仿宋"/>
          <w:kern w:val="2"/>
          <w:sz w:val="21"/>
          <w:szCs w:val="21"/>
          <w:lang w:val="en-US" w:eastAsia="zh-CN" w:bidi="ar-SA"/>
        </w:rPr>
        <w:t>、对重大危险源应当登记建档，乙方应进行定期检测、评估、监控，并制定应急预案，告知从业人员和相关人员在紧急情况下应当采取的应急措施。应当教育和督促从业人员严格执行本单位的安全生产规章制度和安全操作规程；并向从业人员如实告知作业场所和工作岗位存在的危险因素、防范措施以及事故应急措施。</w:t>
      </w:r>
    </w:p>
    <w:p w14:paraId="55208028">
      <w:pPr>
        <w:spacing w:line="520" w:lineRule="exact"/>
        <w:ind w:right="-59" w:rightChars="-28" w:firstLine="420" w:firstLineChars="200"/>
        <w:rPr>
          <w:rFonts w:ascii="宋体" w:hAnsi="宋体" w:eastAsia="宋体" w:cs="仿宋"/>
          <w:szCs w:val="21"/>
        </w:rPr>
      </w:pPr>
      <w:r>
        <w:rPr>
          <w:rFonts w:ascii="宋体" w:hAnsi="宋体" w:eastAsia="宋体" w:cs="仿宋"/>
          <w:szCs w:val="21"/>
        </w:rPr>
        <w:t>6.11</w:t>
      </w:r>
      <w:r>
        <w:rPr>
          <w:rFonts w:hint="eastAsia" w:ascii="宋体" w:hAnsi="宋体" w:eastAsia="宋体" w:cs="仿宋"/>
          <w:szCs w:val="21"/>
        </w:rPr>
        <w:t>、乙方从业人员在作业过程中，应当严格落实岗位安全责任，遵守本单位的安全生产规章制度和操作规程，服从管理，正确佩戴和使用劳动防护用品。应当接受安全生产教育和培训，掌握本职工作所需的安全生产知识，提高安全生产技能，增强事故预防和应急处理能力。包含各工种安全操作规程、特种作业人员持证上岗与审查考评制度、各级安全生产岗位责任制和定时安全检验、安全教育制度等， 乙方参与施工人员要求身体健康 (特种作业人员按国家相关文件要求实施)。</w:t>
      </w:r>
    </w:p>
    <w:p w14:paraId="23D6DBE8">
      <w:pPr>
        <w:widowControl w:val="0"/>
        <w:spacing w:after="0" w:line="520" w:lineRule="exact"/>
        <w:ind w:left="0" w:leftChars="0" w:right="-59" w:rightChars="-28" w:firstLine="420" w:firstLineChars="200"/>
        <w:jc w:val="both"/>
        <w:rPr>
          <w:rFonts w:ascii="宋体" w:hAnsi="宋体" w:eastAsia="宋体" w:cs="仿宋"/>
          <w:kern w:val="2"/>
          <w:sz w:val="21"/>
          <w:szCs w:val="21"/>
          <w:lang w:val="en-US" w:eastAsia="zh-CN" w:bidi="ar-SA"/>
        </w:rPr>
      </w:pPr>
      <w:r>
        <w:rPr>
          <w:rFonts w:ascii="宋体" w:hAnsi="宋体" w:eastAsia="宋体" w:cs="仿宋"/>
          <w:kern w:val="2"/>
          <w:sz w:val="21"/>
          <w:szCs w:val="21"/>
          <w:lang w:val="en-US" w:eastAsia="zh-CN" w:bidi="ar-SA"/>
        </w:rPr>
        <w:t>6.12</w:t>
      </w:r>
      <w:r>
        <w:rPr>
          <w:rFonts w:hint="eastAsia" w:ascii="宋体" w:hAnsi="宋体" w:eastAsia="宋体" w:cs="仿宋"/>
          <w:kern w:val="2"/>
          <w:sz w:val="21"/>
          <w:szCs w:val="21"/>
          <w:lang w:val="en-US" w:eastAsia="zh-CN" w:bidi="ar-SA"/>
        </w:rPr>
        <w:t>、乙方的安全生产管理人员应当根据本单位的生产经营特点，对安全生产状况进行经常性检查；对检查中发现的安全问题，应当立即处理；不能处理的，应当及时报告本单位有关负责人，有关负责人应当及时处理。检查及处理情况应当如实记录在案。</w:t>
      </w:r>
    </w:p>
    <w:p w14:paraId="1495AF0C">
      <w:pPr>
        <w:spacing w:line="520" w:lineRule="exact"/>
        <w:ind w:right="-59" w:rightChars="-28" w:firstLine="420" w:firstLineChars="200"/>
        <w:rPr>
          <w:rFonts w:ascii="宋体" w:hAnsi="宋体" w:eastAsia="宋体" w:cs="仿宋"/>
          <w:szCs w:val="21"/>
        </w:rPr>
      </w:pPr>
      <w:r>
        <w:rPr>
          <w:rFonts w:ascii="宋体" w:hAnsi="宋体" w:eastAsia="宋体" w:cs="仿宋"/>
          <w:szCs w:val="21"/>
        </w:rPr>
        <w:t>6.13</w:t>
      </w:r>
      <w:r>
        <w:rPr>
          <w:rFonts w:hint="eastAsia" w:ascii="宋体" w:hAnsi="宋体" w:eastAsia="宋体" w:cs="仿宋"/>
          <w:szCs w:val="21"/>
        </w:rPr>
        <w:t>、乙方在施工期问必需严格遵守和实施甲方在安全生产、消防等方面相关要求，接受甲方监督、检验和指导，并按施工违章考评(处罚)标准给予处罚。甲方违反安全生产法律、制度指令，乙方有权拒绝实施，乙方有权要求甲方改善，甲方应认真整改。</w:t>
      </w:r>
    </w:p>
    <w:p w14:paraId="400720F2">
      <w:pPr>
        <w:spacing w:line="520" w:lineRule="exact"/>
        <w:ind w:right="-59" w:rightChars="-28" w:firstLine="420" w:firstLineChars="200"/>
        <w:rPr>
          <w:rFonts w:ascii="宋体" w:hAnsi="宋体" w:eastAsia="宋体" w:cs="仿宋"/>
          <w:szCs w:val="21"/>
        </w:rPr>
      </w:pPr>
      <w:r>
        <w:rPr>
          <w:rFonts w:ascii="宋体" w:hAnsi="宋体" w:eastAsia="宋体" w:cs="仿宋"/>
          <w:szCs w:val="21"/>
        </w:rPr>
        <w:t>6.14</w:t>
      </w:r>
      <w:r>
        <w:rPr>
          <w:rFonts w:hint="eastAsia" w:ascii="宋体" w:hAnsi="宋体" w:eastAsia="宋体" w:cs="仿宋"/>
          <w:szCs w:val="21"/>
        </w:rPr>
        <w:t>、乙方施工人员应对所在施工区域、作业环境及所使用设施、设备、工器具等进行认真检验。发觉隐患立刻停止施工，并经落实整改后方准继续施工。一经开工，就表示乙方已确定施工场所、作业环境、设备、安全防护设施等均符合安全生产要求和处于安全状态，由此乙方对施工过程中因为上述原因而造成事故负全方面责任。</w:t>
      </w:r>
    </w:p>
    <w:p w14:paraId="2FF8A15F">
      <w:pPr>
        <w:spacing w:line="520" w:lineRule="exact"/>
        <w:ind w:right="-59" w:rightChars="-28" w:firstLine="420" w:firstLineChars="200"/>
        <w:rPr>
          <w:rFonts w:ascii="宋体" w:hAnsi="宋体" w:eastAsia="宋体" w:cs="仿宋"/>
          <w:szCs w:val="21"/>
        </w:rPr>
      </w:pPr>
      <w:r>
        <w:rPr>
          <w:rFonts w:ascii="宋体" w:hAnsi="宋体" w:eastAsia="宋体" w:cs="仿宋"/>
          <w:szCs w:val="21"/>
        </w:rPr>
        <w:t>6.15</w:t>
      </w:r>
      <w:r>
        <w:rPr>
          <w:rFonts w:hint="eastAsia" w:ascii="宋体" w:hAnsi="宋体" w:eastAsia="宋体" w:cs="仿宋"/>
          <w:szCs w:val="21"/>
        </w:rPr>
        <w:t>、乙方使用施工作业脚手架，应由经培训考评取得特种作业证人员进行搭设(或委托有专业资质单位搭建)。乙方负责现场安全责任人要对施工现场所用脚手架天天开工前做必需检验，发觉隐患应立刻整改，检验合格后再登架作业。严禁使用未经验收、检验不合格和超出使用期内脚手架。</w:t>
      </w:r>
    </w:p>
    <w:p w14:paraId="1D4E04EB">
      <w:pPr>
        <w:spacing w:line="520" w:lineRule="exact"/>
        <w:ind w:right="-59" w:rightChars="-28" w:firstLine="420" w:firstLineChars="200"/>
        <w:rPr>
          <w:rFonts w:ascii="宋体" w:hAnsi="宋体" w:eastAsia="宋体" w:cs="仿宋"/>
          <w:szCs w:val="21"/>
        </w:rPr>
      </w:pPr>
      <w:r>
        <w:rPr>
          <w:rFonts w:ascii="宋体" w:hAnsi="宋体" w:eastAsia="宋体" w:cs="仿宋"/>
          <w:szCs w:val="21"/>
        </w:rPr>
        <w:t>6.16</w:t>
      </w:r>
      <w:r>
        <w:rPr>
          <w:rFonts w:hint="eastAsia" w:ascii="宋体" w:hAnsi="宋体" w:eastAsia="宋体" w:cs="仿宋"/>
          <w:szCs w:val="21"/>
        </w:rPr>
        <w:t>、乙方在施工期间所使用多种机械设备及工器具应确保设备和工器具完好并符合安全要求，设备及工器具使用(包含有特殊使用要求说明)必需书面交代清楚。必需进行检验，并做好检验统计。设备和工器具保管、维修应由乙方负责，并严格实施安全操作规程。在使用过程中，因为设备、工器具原因或使用操作不妥而造成伤亡事故，由乙方负责。</w:t>
      </w:r>
    </w:p>
    <w:p w14:paraId="74AEF332">
      <w:pPr>
        <w:spacing w:line="520" w:lineRule="exact"/>
        <w:ind w:right="-59" w:rightChars="-28" w:firstLine="420" w:firstLineChars="200"/>
        <w:rPr>
          <w:rFonts w:ascii="宋体" w:hAnsi="宋体" w:eastAsia="宋体" w:cs="仿宋"/>
          <w:szCs w:val="21"/>
        </w:rPr>
      </w:pPr>
      <w:r>
        <w:rPr>
          <w:rFonts w:ascii="宋体" w:hAnsi="宋体" w:eastAsia="宋体" w:cs="仿宋"/>
          <w:szCs w:val="21"/>
        </w:rPr>
        <w:t>6.17</w:t>
      </w:r>
      <w:r>
        <w:rPr>
          <w:rFonts w:hint="eastAsia" w:ascii="宋体" w:hAnsi="宋体" w:eastAsia="宋体" w:cs="仿宋"/>
          <w:szCs w:val="21"/>
        </w:rPr>
        <w:t>、乙方在施工中，应注意对地下设施(如:电缆、管道、光缆、接地网线等)及高压架空线保护。甲方对地下设施和障碍物应具体交底，明确施工要求。乙方应落实交底要求，如遇有情况，应立刻向甲方工程项目部和甲方指派安全管理人员联络处理，采取保护方法后施工。严禁冒险作业、野蛮作业。</w:t>
      </w:r>
    </w:p>
    <w:p w14:paraId="7E4773B7">
      <w:pPr>
        <w:spacing w:line="520" w:lineRule="exact"/>
        <w:ind w:right="-59" w:rightChars="-28" w:firstLine="420" w:firstLineChars="200"/>
        <w:rPr>
          <w:rFonts w:ascii="宋体" w:hAnsi="宋体" w:eastAsia="宋体" w:cs="仿宋"/>
          <w:szCs w:val="21"/>
        </w:rPr>
      </w:pPr>
      <w:r>
        <w:rPr>
          <w:rFonts w:ascii="宋体" w:hAnsi="宋体" w:eastAsia="宋体" w:cs="仿宋"/>
          <w:szCs w:val="21"/>
        </w:rPr>
        <w:t>6.18</w:t>
      </w:r>
      <w:r>
        <w:rPr>
          <w:rFonts w:hint="eastAsia" w:ascii="宋体" w:hAnsi="宋体" w:eastAsia="宋体" w:cs="仿宋"/>
          <w:szCs w:val="21"/>
        </w:rPr>
        <w:t>、乙方应当建立纵向到底、横向到边的全员安全生产责任制，以保证安全生产工作人人有责、各负其责；各岗位的责任人员、责任范围及相关考核标准一目了然。当管理架构发生变化、岗位设置调整，从业人员变动时，乙方应当及时对全员安全生产责任制内容作出相应修改，以适应安全生产工作的需要。</w:t>
      </w:r>
    </w:p>
    <w:p w14:paraId="554B5730">
      <w:pPr>
        <w:spacing w:line="520" w:lineRule="exact"/>
        <w:ind w:right="-59" w:rightChars="-28" w:firstLine="420" w:firstLineChars="200"/>
        <w:rPr>
          <w:rFonts w:ascii="宋体" w:hAnsi="宋体" w:eastAsia="宋体" w:cs="仿宋"/>
          <w:color w:val="auto"/>
          <w:szCs w:val="21"/>
        </w:rPr>
      </w:pPr>
      <w:r>
        <w:rPr>
          <w:rFonts w:ascii="宋体" w:hAnsi="宋体" w:eastAsia="宋体" w:cs="仿宋"/>
          <w:color w:val="auto"/>
          <w:szCs w:val="21"/>
        </w:rPr>
        <w:t>6.19</w:t>
      </w:r>
      <w:r>
        <w:rPr>
          <w:rFonts w:hint="eastAsia" w:ascii="宋体" w:hAnsi="宋体" w:eastAsia="宋体" w:cs="仿宋"/>
          <w:color w:val="auto"/>
          <w:szCs w:val="21"/>
        </w:rPr>
        <w:t>、乙方应对工作现场的行为完全负责，乙方工作人员不得违章作业，冒险作业，不能疲劳作业，并按规定做好保护工作；工程现场人员必须有配备齐全的安全防护用品，不能满足安全工程需要时，人员不得进入工程现场。</w:t>
      </w:r>
    </w:p>
    <w:p w14:paraId="233BEAFD">
      <w:pPr>
        <w:spacing w:line="520" w:lineRule="exact"/>
        <w:ind w:right="-59" w:rightChars="-28" w:firstLine="420" w:firstLineChars="200"/>
        <w:rPr>
          <w:rFonts w:ascii="宋体" w:hAnsi="宋体" w:eastAsia="宋体" w:cs="仿宋"/>
          <w:color w:val="auto"/>
          <w:szCs w:val="21"/>
        </w:rPr>
      </w:pPr>
      <w:r>
        <w:rPr>
          <w:rFonts w:ascii="宋体" w:hAnsi="宋体" w:eastAsia="宋体" w:cs="仿宋"/>
          <w:color w:val="auto"/>
          <w:szCs w:val="21"/>
        </w:rPr>
        <w:t>6.20</w:t>
      </w:r>
      <w:r>
        <w:rPr>
          <w:rFonts w:hint="eastAsia" w:ascii="宋体" w:hAnsi="宋体" w:eastAsia="宋体" w:cs="仿宋"/>
          <w:color w:val="auto"/>
          <w:szCs w:val="21"/>
        </w:rPr>
        <w:t>、乙方与从业人员订立的劳动合同，应当载明有关保障从业人员劳动安全、防止职业危害的事项，以及依法为从业人员购买安全生产责任险（建筑工程团体人身意外伤害保险）。乙方不得以任何形式与从业人员订立协议，免除或者减轻其对从业人员因生产安全事故伤亡依法应承担的责任。在施工过程中如发生人身伤亡事故，由乙方承担全部负责。</w:t>
      </w:r>
    </w:p>
    <w:p w14:paraId="1C54E2B9">
      <w:pPr>
        <w:spacing w:line="520" w:lineRule="exact"/>
        <w:ind w:firstLine="422" w:firstLineChars="200"/>
        <w:rPr>
          <w:rFonts w:ascii="宋体" w:hAnsi="宋体" w:eastAsia="宋体" w:cs="仿宋"/>
          <w:b/>
          <w:bCs/>
          <w:szCs w:val="21"/>
        </w:rPr>
      </w:pPr>
      <w:r>
        <w:rPr>
          <w:rFonts w:hint="eastAsia" w:ascii="宋体" w:hAnsi="宋体" w:eastAsia="宋体" w:cs="仿宋"/>
          <w:b/>
          <w:bCs/>
          <w:szCs w:val="21"/>
        </w:rPr>
        <w:t>七、其他</w:t>
      </w:r>
    </w:p>
    <w:p w14:paraId="0391FE84">
      <w:pPr>
        <w:spacing w:line="520" w:lineRule="exact"/>
        <w:ind w:firstLine="420" w:firstLineChars="200"/>
        <w:rPr>
          <w:rFonts w:ascii="宋体" w:hAnsi="宋体" w:eastAsia="宋体" w:cs="仿宋"/>
          <w:szCs w:val="21"/>
        </w:rPr>
      </w:pPr>
      <w:r>
        <w:rPr>
          <w:rFonts w:hint="eastAsia" w:ascii="宋体" w:hAnsi="宋体" w:eastAsia="宋体" w:cs="仿宋"/>
          <w:szCs w:val="21"/>
        </w:rPr>
        <w:t>本协议一式</w:t>
      </w:r>
      <w:r>
        <w:rPr>
          <w:rFonts w:hint="eastAsia" w:ascii="宋体" w:hAnsi="宋体" w:eastAsia="宋体" w:cs="仿宋"/>
          <w:b/>
          <w:szCs w:val="21"/>
          <w:u w:val="single"/>
        </w:rPr>
        <w:t>贰</w:t>
      </w:r>
      <w:r>
        <w:rPr>
          <w:rFonts w:hint="eastAsia" w:ascii="宋体" w:hAnsi="宋体" w:eastAsia="宋体" w:cs="仿宋"/>
          <w:szCs w:val="21"/>
        </w:rPr>
        <w:t>份，具有同等法律效力，甲乙双方各持</w:t>
      </w:r>
      <w:r>
        <w:rPr>
          <w:rFonts w:hint="eastAsia" w:ascii="宋体" w:hAnsi="宋体" w:eastAsia="宋体" w:cs="仿宋"/>
          <w:b/>
          <w:szCs w:val="21"/>
          <w:u w:val="single"/>
        </w:rPr>
        <w:t>壹</w:t>
      </w:r>
      <w:r>
        <w:rPr>
          <w:rFonts w:hint="eastAsia" w:ascii="宋体" w:hAnsi="宋体" w:eastAsia="宋体" w:cs="仿宋"/>
          <w:szCs w:val="21"/>
        </w:rPr>
        <w:t>份，本协议经双方签字、盖章之日起即时生效，作为《施工合同》附件并含有相同法律效力。因履行本协议发生纠纷</w:t>
      </w:r>
      <w:r>
        <w:rPr>
          <w:rFonts w:ascii="宋体" w:hAnsi="宋体" w:eastAsia="宋体" w:cs="仿宋"/>
          <w:szCs w:val="21"/>
        </w:rPr>
        <w:t>，</w:t>
      </w:r>
      <w:r>
        <w:rPr>
          <w:rFonts w:hint="eastAsia" w:ascii="宋体" w:hAnsi="宋体" w:eastAsia="宋体" w:cs="仿宋"/>
          <w:szCs w:val="21"/>
        </w:rPr>
        <w:t>双方应友好协商</w:t>
      </w:r>
      <w:r>
        <w:rPr>
          <w:rFonts w:ascii="宋体" w:hAnsi="宋体" w:eastAsia="宋体" w:cs="仿宋"/>
          <w:szCs w:val="21"/>
        </w:rPr>
        <w:t>，</w:t>
      </w:r>
      <w:r>
        <w:rPr>
          <w:rFonts w:hint="eastAsia" w:ascii="宋体" w:hAnsi="宋体" w:eastAsia="宋体" w:cs="仿宋"/>
          <w:szCs w:val="21"/>
        </w:rPr>
        <w:t>协商不成的可以向工程所在地人民法院提起诉讼</w:t>
      </w:r>
      <w:r>
        <w:rPr>
          <w:rFonts w:ascii="宋体" w:hAnsi="宋体" w:eastAsia="宋体" w:cs="仿宋"/>
          <w:szCs w:val="21"/>
        </w:rPr>
        <w:t>。</w:t>
      </w:r>
    </w:p>
    <w:p w14:paraId="0520B024">
      <w:pPr>
        <w:spacing w:line="520" w:lineRule="exact"/>
        <w:ind w:firstLine="420" w:firstLineChars="200"/>
        <w:rPr>
          <w:rFonts w:ascii="宋体" w:hAnsi="宋体" w:eastAsia="宋体" w:cs="仿宋"/>
          <w:szCs w:val="21"/>
        </w:rPr>
      </w:pPr>
    </w:p>
    <w:p w14:paraId="2AD6DF56">
      <w:pPr>
        <w:spacing w:line="520" w:lineRule="exact"/>
        <w:ind w:firstLine="420" w:firstLineChars="200"/>
        <w:rPr>
          <w:rFonts w:ascii="宋体" w:hAnsi="宋体" w:eastAsia="宋体" w:cs="仿宋"/>
          <w:szCs w:val="21"/>
        </w:rPr>
      </w:pPr>
    </w:p>
    <w:p w14:paraId="240775DB">
      <w:pPr>
        <w:spacing w:line="520" w:lineRule="exact"/>
        <w:ind w:firstLine="420" w:firstLineChars="200"/>
        <w:rPr>
          <w:rFonts w:ascii="宋体" w:hAnsi="宋体" w:eastAsia="宋体" w:cs="仿宋"/>
          <w:szCs w:val="21"/>
        </w:rPr>
      </w:pPr>
    </w:p>
    <w:p w14:paraId="19A55C87">
      <w:pPr>
        <w:spacing w:line="520" w:lineRule="exact"/>
        <w:ind w:firstLine="420" w:firstLineChars="200"/>
        <w:rPr>
          <w:rFonts w:ascii="宋体" w:hAnsi="宋体" w:eastAsia="宋体" w:cs="仿宋"/>
          <w:szCs w:val="21"/>
        </w:rPr>
      </w:pPr>
    </w:p>
    <w:p w14:paraId="08EBD00A">
      <w:pPr>
        <w:spacing w:line="520" w:lineRule="exact"/>
        <w:ind w:firstLine="420" w:firstLineChars="200"/>
        <w:rPr>
          <w:rFonts w:ascii="宋体" w:hAnsi="宋体" w:eastAsia="宋体" w:cs="仿宋"/>
          <w:szCs w:val="21"/>
        </w:rPr>
      </w:pPr>
    </w:p>
    <w:p w14:paraId="430BB350">
      <w:pPr>
        <w:spacing w:line="520" w:lineRule="exact"/>
        <w:rPr>
          <w:rFonts w:ascii="宋体" w:hAnsi="宋体" w:eastAsia="宋体" w:cs="仿宋"/>
          <w:color w:val="auto"/>
          <w:szCs w:val="21"/>
        </w:rPr>
      </w:pPr>
      <w:r>
        <w:rPr>
          <w:rFonts w:hint="eastAsia" w:ascii="宋体" w:hAnsi="宋体" w:eastAsia="宋体" w:cs="仿宋"/>
          <w:color w:val="auto"/>
          <w:szCs w:val="21"/>
        </w:rPr>
        <w:t>甲     方：（公章）                乙     方：（公章）</w:t>
      </w:r>
    </w:p>
    <w:p w14:paraId="469243F1">
      <w:pPr>
        <w:spacing w:line="520" w:lineRule="exact"/>
        <w:rPr>
          <w:rFonts w:ascii="宋体" w:hAnsi="宋体" w:eastAsia="宋体" w:cs="仿宋"/>
          <w:color w:val="auto"/>
          <w:szCs w:val="21"/>
        </w:rPr>
      </w:pPr>
      <w:r>
        <w:rPr>
          <w:rFonts w:hint="eastAsia" w:ascii="宋体" w:hAnsi="宋体" w:eastAsia="宋体" w:cs="仿宋"/>
          <w:color w:val="auto"/>
          <w:szCs w:val="21"/>
        </w:rPr>
        <w:t>法定代表人（委托代理人）：         法定代表人：</w:t>
      </w:r>
    </w:p>
    <w:p w14:paraId="05A51E74">
      <w:pPr>
        <w:spacing w:line="520" w:lineRule="exact"/>
        <w:rPr>
          <w:rFonts w:ascii="宋体" w:hAnsi="宋体" w:eastAsia="宋体" w:cs="仿宋"/>
          <w:color w:val="auto"/>
          <w:szCs w:val="21"/>
        </w:rPr>
      </w:pPr>
      <w:r>
        <w:rPr>
          <w:rFonts w:hint="eastAsia" w:ascii="宋体" w:hAnsi="宋体" w:eastAsia="宋体" w:cs="仿宋"/>
          <w:color w:val="auto"/>
          <w:szCs w:val="21"/>
        </w:rPr>
        <w:t>项目负责人：                        委托代理人：</w:t>
      </w:r>
    </w:p>
    <w:p w14:paraId="46003AF4">
      <w:pPr>
        <w:spacing w:line="520" w:lineRule="exact"/>
        <w:rPr>
          <w:rFonts w:ascii="宋体" w:hAnsi="宋体" w:eastAsia="宋体" w:cs="仿宋"/>
          <w:szCs w:val="21"/>
        </w:rPr>
      </w:pPr>
      <w:r>
        <w:rPr>
          <w:rFonts w:hint="eastAsia" w:ascii="宋体" w:hAnsi="宋体" w:eastAsia="宋体" w:cs="仿宋"/>
          <w:color w:val="auto"/>
          <w:szCs w:val="21"/>
        </w:rPr>
        <w:t xml:space="preserve">电    话：       </w:t>
      </w:r>
      <w:r>
        <w:rPr>
          <w:rFonts w:hint="eastAsia" w:ascii="宋体" w:hAnsi="宋体" w:eastAsia="宋体" w:cs="仿宋"/>
          <w:szCs w:val="21"/>
        </w:rPr>
        <w:t xml:space="preserve">                 电      话：          </w:t>
      </w:r>
    </w:p>
    <w:p w14:paraId="49F87BE0">
      <w:pPr>
        <w:spacing w:line="520" w:lineRule="exact"/>
        <w:rPr>
          <w:rFonts w:ascii="宋体" w:hAnsi="宋体" w:eastAsia="宋体" w:cs="仿宋"/>
          <w:szCs w:val="21"/>
        </w:rPr>
      </w:pPr>
      <w:r>
        <w:rPr>
          <w:rFonts w:hint="eastAsia" w:ascii="宋体" w:hAnsi="宋体" w:eastAsia="宋体" w:cs="仿宋"/>
          <w:szCs w:val="21"/>
        </w:rPr>
        <w:t>年  月  日                        年  月  日</w:t>
      </w:r>
    </w:p>
    <w:p w14:paraId="77F390E7">
      <w:pPr>
        <w:rPr>
          <w:rFonts w:ascii="宋体" w:hAnsi="宋体" w:eastAsia="宋体" w:cs="宋体"/>
        </w:rPr>
      </w:pPr>
      <w:r>
        <w:rPr>
          <w:rFonts w:ascii="宋体" w:hAnsi="宋体" w:eastAsia="宋体" w:cs="宋体"/>
        </w:rPr>
        <w:br w:type="page"/>
      </w:r>
    </w:p>
    <w:p w14:paraId="095DA295">
      <w:pPr>
        <w:spacing w:line="360" w:lineRule="auto"/>
        <w:rPr>
          <w:rFonts w:ascii="宋体" w:hAnsi="宋体" w:eastAsia="宋体" w:cs="宋体"/>
        </w:rPr>
      </w:pPr>
      <w:r>
        <w:rPr>
          <w:rFonts w:ascii="宋体" w:hAnsi="宋体" w:eastAsia="宋体" w:cs="宋体"/>
        </w:rPr>
        <w:t>附件</w:t>
      </w:r>
      <w:r>
        <w:rPr>
          <w:rFonts w:hint="eastAsia" w:ascii="宋体" w:hAnsi="宋体" w:eastAsia="宋体" w:cs="宋体"/>
        </w:rPr>
        <w:t>3</w:t>
      </w:r>
    </w:p>
    <w:p w14:paraId="4017511E">
      <w:pPr>
        <w:spacing w:after="312" w:afterLines="100" w:line="500" w:lineRule="exact"/>
        <w:jc w:val="center"/>
        <w:rPr>
          <w:rFonts w:ascii="宋体" w:hAnsi="宋体" w:eastAsia="宋体" w:cs="宋体"/>
          <w:b/>
          <w:sz w:val="44"/>
          <w:szCs w:val="44"/>
        </w:rPr>
      </w:pPr>
      <w:r>
        <w:rPr>
          <w:rFonts w:hint="eastAsia" w:ascii="宋体" w:hAnsi="宋体" w:eastAsia="宋体" w:cs="宋体"/>
          <w:b/>
          <w:sz w:val="36"/>
          <w:szCs w:val="36"/>
        </w:rPr>
        <w:t>湘潭大学项目建设廉洁从业承诺书</w:t>
      </w:r>
    </w:p>
    <w:p w14:paraId="09193269">
      <w:pPr>
        <w:spacing w:line="560" w:lineRule="exact"/>
        <w:ind w:firstLine="420" w:firstLineChars="200"/>
        <w:rPr>
          <w:rFonts w:ascii="宋体" w:hAnsi="宋体" w:eastAsia="宋体" w:cs="宋体"/>
          <w:bCs/>
          <w:szCs w:val="21"/>
        </w:rPr>
      </w:pPr>
      <w:r>
        <w:rPr>
          <w:rFonts w:hint="eastAsia" w:ascii="宋体" w:hAnsi="宋体" w:eastAsia="宋体" w:cs="宋体"/>
          <w:bCs/>
          <w:szCs w:val="21"/>
        </w:rPr>
        <w:t>本人</w:t>
      </w:r>
      <w:r>
        <w:rPr>
          <w:rFonts w:hint="eastAsia" w:ascii="宋体" w:hAnsi="宋体" w:eastAsia="宋体" w:cs="宋体"/>
          <w:bCs/>
          <w:szCs w:val="21"/>
          <w:u w:val="single"/>
        </w:rPr>
        <w:t xml:space="preserve"> </w:t>
      </w:r>
      <w:r>
        <w:rPr>
          <w:rFonts w:ascii="宋体" w:hAnsi="宋体" w:eastAsia="宋体" w:cs="宋体"/>
          <w:bCs/>
          <w:szCs w:val="21"/>
          <w:u w:val="single"/>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作为</w:t>
      </w:r>
      <w:r>
        <w:rPr>
          <w:rFonts w:hint="eastAsia" w:ascii="宋体" w:hAnsi="宋体" w:eastAsia="宋体" w:cs="宋体"/>
          <w:bCs/>
          <w:szCs w:val="21"/>
          <w:u w:val="single"/>
        </w:rPr>
        <w:t xml:space="preserve"> </w:t>
      </w:r>
      <w:r>
        <w:rPr>
          <w:rFonts w:ascii="宋体" w:hAnsi="宋体" w:eastAsia="宋体" w:cs="宋体"/>
          <w:bCs/>
          <w:szCs w:val="21"/>
          <w:u w:val="single"/>
        </w:rPr>
        <w:t xml:space="preserve">        </w:t>
      </w:r>
      <w:r>
        <w:rPr>
          <w:rFonts w:hint="eastAsia" w:ascii="宋体" w:hAnsi="宋体" w:eastAsia="宋体" w:cs="宋体"/>
          <w:bCs/>
          <w:szCs w:val="21"/>
        </w:rPr>
        <w:t>法人代表（法人、委托人），为</w:t>
      </w:r>
      <w:r>
        <w:rPr>
          <w:rFonts w:hint="eastAsia" w:ascii="宋体" w:hAnsi="宋体" w:eastAsia="宋体" w:cs="宋体"/>
          <w:bCs/>
          <w:szCs w:val="21"/>
          <w:u w:val="single"/>
        </w:rPr>
        <w:t xml:space="preserve"> </w:t>
      </w:r>
      <w:r>
        <w:rPr>
          <w:rFonts w:ascii="宋体" w:hAnsi="宋体" w:eastAsia="宋体" w:cs="Times New Roman"/>
          <w:szCs w:val="21"/>
          <w:u w:val="single"/>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项目廉洁从业的第一责任人。根据招投标政策法规和学校要求，郑重承诺:</w:t>
      </w:r>
    </w:p>
    <w:p w14:paraId="5163C31F">
      <w:pPr>
        <w:spacing w:line="560" w:lineRule="exact"/>
        <w:ind w:firstLine="420" w:firstLineChars="200"/>
        <w:rPr>
          <w:rFonts w:ascii="宋体" w:hAnsi="宋体" w:eastAsia="宋体" w:cs="宋体"/>
          <w:bCs/>
          <w:szCs w:val="21"/>
        </w:rPr>
      </w:pPr>
      <w:r>
        <w:rPr>
          <w:rFonts w:hint="eastAsia" w:ascii="宋体" w:hAnsi="宋体" w:eastAsia="宋体" w:cs="宋体"/>
          <w:bCs/>
          <w:szCs w:val="21"/>
        </w:rPr>
        <w:t>（一）严格按合同约定履职尽责，自觉接受学校及相关部门监督；</w:t>
      </w:r>
    </w:p>
    <w:p w14:paraId="475BBF43">
      <w:pPr>
        <w:spacing w:line="560" w:lineRule="exact"/>
        <w:ind w:firstLine="420" w:firstLineChars="200"/>
        <w:rPr>
          <w:rFonts w:ascii="宋体" w:hAnsi="宋体" w:eastAsia="宋体" w:cs="宋体"/>
          <w:bCs/>
          <w:szCs w:val="21"/>
        </w:rPr>
      </w:pPr>
      <w:r>
        <w:rPr>
          <w:rFonts w:hint="eastAsia" w:ascii="宋体" w:hAnsi="宋体" w:eastAsia="宋体" w:cs="宋体"/>
          <w:bCs/>
          <w:szCs w:val="21"/>
        </w:rPr>
        <w:t>（二）确保项目质量，严格按规范和工艺施工，不偷工减料、以次充好；</w:t>
      </w:r>
    </w:p>
    <w:p w14:paraId="01B6FD04">
      <w:pPr>
        <w:spacing w:line="560" w:lineRule="exact"/>
        <w:ind w:firstLine="420" w:firstLineChars="200"/>
        <w:rPr>
          <w:rFonts w:ascii="宋体" w:hAnsi="宋体" w:eastAsia="宋体" w:cs="宋体"/>
          <w:bCs/>
          <w:szCs w:val="21"/>
        </w:rPr>
      </w:pPr>
      <w:r>
        <w:rPr>
          <w:rFonts w:hint="eastAsia" w:ascii="宋体" w:hAnsi="宋体" w:eastAsia="宋体" w:cs="宋体"/>
          <w:bCs/>
          <w:szCs w:val="21"/>
        </w:rPr>
        <w:t>（三）对施工过程中出现的问题严格按要求整改落实；</w:t>
      </w:r>
    </w:p>
    <w:p w14:paraId="7D33E114">
      <w:pPr>
        <w:spacing w:line="560" w:lineRule="exact"/>
        <w:ind w:firstLine="420" w:firstLineChars="200"/>
        <w:rPr>
          <w:rFonts w:ascii="宋体" w:hAnsi="宋体" w:eastAsia="宋体" w:cs="宋体"/>
          <w:bCs/>
          <w:szCs w:val="21"/>
        </w:rPr>
      </w:pPr>
      <w:r>
        <w:rPr>
          <w:rFonts w:hint="eastAsia" w:ascii="宋体" w:hAnsi="宋体" w:eastAsia="宋体" w:cs="宋体"/>
          <w:bCs/>
          <w:szCs w:val="21"/>
        </w:rPr>
        <w:t>（四）严格遵守纪律法规要求，不向相关监管人员进行宴请、赠送礼品礼金有价证券等任何形式的商业贿赂；</w:t>
      </w:r>
    </w:p>
    <w:p w14:paraId="121E1B05">
      <w:pPr>
        <w:spacing w:line="560" w:lineRule="exact"/>
        <w:ind w:firstLine="420" w:firstLineChars="200"/>
        <w:rPr>
          <w:rFonts w:ascii="宋体" w:hAnsi="宋体" w:eastAsia="宋体" w:cs="宋体"/>
          <w:bCs/>
          <w:szCs w:val="21"/>
        </w:rPr>
      </w:pPr>
      <w:r>
        <w:rPr>
          <w:rFonts w:hint="eastAsia" w:ascii="宋体" w:hAnsi="宋体" w:eastAsia="宋体" w:cs="宋体"/>
          <w:bCs/>
          <w:szCs w:val="21"/>
        </w:rPr>
        <w:t>（五）无其他违纪违规违法行为。</w:t>
      </w:r>
    </w:p>
    <w:p w14:paraId="57E6D814">
      <w:pPr>
        <w:spacing w:line="560" w:lineRule="exact"/>
        <w:rPr>
          <w:rFonts w:ascii="宋体" w:hAnsi="宋体" w:eastAsia="宋体" w:cs="宋体"/>
          <w:bCs/>
          <w:szCs w:val="21"/>
        </w:rPr>
      </w:pPr>
      <w:r>
        <w:rPr>
          <w:rFonts w:hint="eastAsia" w:ascii="宋体" w:hAnsi="宋体" w:eastAsia="宋体" w:cs="宋体"/>
          <w:bCs/>
          <w:szCs w:val="21"/>
        </w:rPr>
        <w:t xml:space="preserve"> </w:t>
      </w:r>
    </w:p>
    <w:p w14:paraId="29B53A8A">
      <w:pPr>
        <w:spacing w:line="560" w:lineRule="exact"/>
        <w:ind w:firstLine="2730" w:firstLineChars="1300"/>
        <w:rPr>
          <w:rFonts w:ascii="宋体" w:hAnsi="宋体" w:eastAsia="宋体" w:cs="宋体"/>
          <w:bCs/>
          <w:szCs w:val="21"/>
        </w:rPr>
      </w:pPr>
      <w:r>
        <w:rPr>
          <w:rFonts w:hint="eastAsia" w:ascii="宋体" w:hAnsi="宋体" w:eastAsia="宋体" w:cs="宋体"/>
          <w:bCs/>
          <w:szCs w:val="21"/>
        </w:rPr>
        <w:t xml:space="preserve">承诺人:      （签名、公司章）        </w:t>
      </w:r>
    </w:p>
    <w:p w14:paraId="007E4D69">
      <w:pPr>
        <w:spacing w:line="560" w:lineRule="exact"/>
        <w:ind w:firstLine="2730" w:firstLineChars="1300"/>
        <w:rPr>
          <w:rFonts w:ascii="宋体" w:hAnsi="宋体" w:eastAsia="宋体" w:cs="宋体"/>
          <w:bCs/>
          <w:szCs w:val="21"/>
        </w:rPr>
      </w:pPr>
      <w:r>
        <w:rPr>
          <w:rFonts w:hint="eastAsia" w:ascii="宋体" w:hAnsi="宋体" w:eastAsia="宋体" w:cs="宋体"/>
          <w:bCs/>
          <w:szCs w:val="21"/>
        </w:rPr>
        <w:t>身份证号码：</w:t>
      </w:r>
    </w:p>
    <w:p w14:paraId="59D7B3AD">
      <w:pPr>
        <w:spacing w:line="560" w:lineRule="exact"/>
        <w:ind w:firstLine="2730" w:firstLineChars="1300"/>
        <w:rPr>
          <w:rFonts w:ascii="宋体" w:hAnsi="宋体" w:eastAsia="宋体" w:cs="宋体"/>
          <w:bCs/>
          <w:szCs w:val="21"/>
        </w:rPr>
      </w:pPr>
      <w:r>
        <w:rPr>
          <w:rFonts w:hint="eastAsia" w:ascii="宋体" w:hAnsi="宋体" w:eastAsia="宋体" w:cs="宋体"/>
          <w:bCs/>
          <w:szCs w:val="21"/>
        </w:rPr>
        <w:t xml:space="preserve">联系电话：   </w:t>
      </w:r>
    </w:p>
    <w:p w14:paraId="4136AC81">
      <w:pPr>
        <w:ind w:hanging="315"/>
        <w:jc w:val="right"/>
        <w:rPr>
          <w:rFonts w:hint="eastAsia" w:ascii="宋体" w:hAnsi="宋体" w:cs="宋体"/>
          <w:bCs/>
          <w:szCs w:val="21"/>
        </w:rPr>
      </w:pPr>
      <w:r>
        <w:rPr>
          <w:rFonts w:hint="eastAsia" w:ascii="宋体" w:hAnsi="宋体" w:eastAsia="宋体" w:cs="宋体"/>
          <w:bCs/>
          <w:szCs w:val="21"/>
        </w:rPr>
        <w:t>年   月   日</w:t>
      </w:r>
    </w:p>
    <w:p w14:paraId="54DE7CA3">
      <w:pPr>
        <w:rPr>
          <w:rFonts w:ascii="宋体" w:hAnsi="宋体" w:eastAsia="宋体" w:cs="宋体"/>
        </w:rPr>
      </w:pPr>
      <w:r>
        <w:rPr>
          <w:rFonts w:ascii="宋体" w:hAnsi="宋体" w:eastAsia="宋体" w:cs="宋体"/>
        </w:rPr>
        <w:br w:type="page"/>
      </w:r>
    </w:p>
    <w:p w14:paraId="5B181969">
      <w:pPr>
        <w:jc w:val="both"/>
      </w:pPr>
    </w:p>
    <w:p w14:paraId="244CDDF3">
      <w:pPr>
        <w:pStyle w:val="3"/>
        <w:ind w:left="482" w:hanging="482"/>
      </w:pPr>
      <w:bookmarkStart w:id="104" w:name="_Toc15873"/>
      <w:r>
        <w:rPr>
          <w:rFonts w:hint="eastAsia"/>
        </w:rPr>
        <w:t>第五章 采购需求</w:t>
      </w:r>
      <w:bookmarkEnd w:id="89"/>
      <w:bookmarkEnd w:id="90"/>
      <w:bookmarkEnd w:id="91"/>
      <w:bookmarkEnd w:id="92"/>
      <w:bookmarkEnd w:id="93"/>
      <w:bookmarkEnd w:id="94"/>
      <w:bookmarkEnd w:id="104"/>
    </w:p>
    <w:p w14:paraId="6E5F9129">
      <w:pPr>
        <w:pStyle w:val="188"/>
        <w:widowControl/>
        <w:tabs>
          <w:tab w:val="left" w:pos="9000"/>
        </w:tabs>
        <w:spacing w:line="360" w:lineRule="auto"/>
        <w:ind w:firstLine="0" w:firstLineChars="0"/>
        <w:jc w:val="left"/>
        <w:rPr>
          <w:rFonts w:ascii="宋体" w:hAnsi="宋体" w:cs="宋体"/>
          <w:b/>
          <w:kern w:val="0"/>
          <w:szCs w:val="21"/>
        </w:rPr>
      </w:pPr>
    </w:p>
    <w:p w14:paraId="06ABABCF">
      <w:pPr>
        <w:pStyle w:val="4"/>
        <w:pageBreakBefore w:val="0"/>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rPr>
      </w:pPr>
      <w:bookmarkStart w:id="105" w:name="_Toc7803"/>
      <w:r>
        <w:rPr>
          <w:rFonts w:hint="eastAsia" w:ascii="宋体" w:hAnsi="宋体" w:eastAsia="宋体" w:cs="宋体"/>
        </w:rPr>
        <w:t>一、项目概况</w:t>
      </w:r>
      <w:bookmarkEnd w:id="105"/>
    </w:p>
    <w:p w14:paraId="36DD33ED">
      <w:pPr>
        <w:pageBreakBefore w:val="0"/>
        <w:widowControl/>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项目名称：</w:t>
      </w:r>
      <w:r>
        <w:rPr>
          <w:rFonts w:hint="eastAsia" w:ascii="宋体" w:hAnsi="宋体" w:cs="宋体"/>
          <w:szCs w:val="21"/>
          <w:shd w:val="clear" w:color="auto" w:fill="FFFFFF"/>
          <w:lang w:eastAsia="zh-CN"/>
        </w:rPr>
        <w:t>湘潭大学综合实验大楼地下室提质改造工程</w:t>
      </w:r>
    </w:p>
    <w:p w14:paraId="48A7E78E">
      <w:pPr>
        <w:pStyle w:val="4"/>
        <w:pageBreakBefore w:val="0"/>
        <w:numPr>
          <w:ilvl w:val="0"/>
          <w:numId w:val="3"/>
        </w:numPr>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rPr>
      </w:pPr>
      <w:bookmarkStart w:id="106" w:name="_Toc29426"/>
      <w:r>
        <w:rPr>
          <w:rFonts w:hint="eastAsia" w:ascii="宋体" w:hAnsi="宋体" w:eastAsia="宋体" w:cs="宋体"/>
        </w:rPr>
        <w:t>工程条件：</w:t>
      </w:r>
      <w:bookmarkEnd w:id="106"/>
    </w:p>
    <w:p w14:paraId="4FB7B80D">
      <w:pPr>
        <w:pageBreakBefore w:val="0"/>
        <w:widowControl/>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1、供应商应负责自行解决正常施工所需要的进入施工现场的交通条件。</w:t>
      </w:r>
    </w:p>
    <w:p w14:paraId="45D4CC51">
      <w:pPr>
        <w:pageBreakBefore w:val="0"/>
        <w:widowControl/>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2、采购人负责协调处理施工现场周围地下管线和邻近建筑物、构筑物的保护工作，但相关费用由供应商承担。</w:t>
      </w:r>
    </w:p>
    <w:p w14:paraId="731A1D95">
      <w:pPr>
        <w:pageBreakBefore w:val="0"/>
        <w:widowControl/>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szCs w:val="21"/>
        </w:rPr>
      </w:pPr>
      <w:r>
        <w:rPr>
          <w:rFonts w:hint="eastAsia" w:ascii="宋体" w:hAnsi="宋体" w:eastAsia="宋体" w:cs="宋体"/>
          <w:szCs w:val="21"/>
          <w:shd w:val="clear" w:color="auto" w:fill="FFFFFF"/>
        </w:rPr>
        <w:t>3、施工手续办理：供应商需要办理施工过程中的所有手续包括但不限于城管、卫生、环保、治安、劳动、保险、安监等手续，由投标人负责，需缴纳的相关费用由供应商自行承担。</w:t>
      </w:r>
    </w:p>
    <w:p w14:paraId="740EABAA">
      <w:pPr>
        <w:pStyle w:val="4"/>
        <w:pageBreakBefore w:val="0"/>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rPr>
      </w:pPr>
      <w:bookmarkStart w:id="107" w:name="_Toc23245"/>
      <w:r>
        <w:rPr>
          <w:rFonts w:hint="eastAsia" w:ascii="宋体" w:hAnsi="宋体" w:eastAsia="宋体" w:cs="宋体"/>
        </w:rPr>
        <w:t>三、项目基本情况：</w:t>
      </w:r>
      <w:bookmarkEnd w:id="107"/>
    </w:p>
    <w:p w14:paraId="3DCB2E87">
      <w:pPr>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1、项目地点：湘潭大学指定地点</w:t>
      </w:r>
    </w:p>
    <w:p w14:paraId="7C04E020">
      <w:pPr>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2、工程范围：主要内容详见工程量清单；</w:t>
      </w:r>
    </w:p>
    <w:p w14:paraId="45B454DD">
      <w:pPr>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3、质量要求：合格工程</w:t>
      </w:r>
    </w:p>
    <w:p w14:paraId="57188B0D">
      <w:pPr>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hint="eastAsia" w:ascii="宋体" w:hAnsi="宋体" w:eastAsia="宋体" w:cs="宋体"/>
          <w:color w:val="auto"/>
          <w:szCs w:val="21"/>
          <w:shd w:val="clear" w:color="auto" w:fill="FFFFFF"/>
        </w:rPr>
      </w:pPr>
      <w:r>
        <w:rPr>
          <w:rFonts w:hint="eastAsia" w:ascii="宋体" w:hAnsi="宋体" w:eastAsia="宋体" w:cs="宋体"/>
          <w:szCs w:val="21"/>
          <w:shd w:val="clear" w:color="auto" w:fill="FFFFFF"/>
        </w:rPr>
        <w:t>4、保修及验收要求：</w:t>
      </w:r>
      <w:r>
        <w:rPr>
          <w:rFonts w:hint="eastAsia" w:ascii="宋体" w:hAnsi="宋体" w:eastAsia="宋体" w:cs="宋体"/>
          <w:bCs/>
          <w:szCs w:val="21"/>
        </w:rPr>
        <w:t>保修期内按照相关标准和规范进行施工。整体</w:t>
      </w:r>
      <w:r>
        <w:rPr>
          <w:rFonts w:hint="eastAsia" w:ascii="宋体" w:hAnsi="宋体" w:eastAsia="宋体" w:cs="宋体"/>
          <w:szCs w:val="21"/>
          <w:shd w:val="clear" w:color="auto" w:fill="FFFFFF"/>
          <w:lang w:eastAsia="zh-CN"/>
        </w:rPr>
        <w:t>按国务院【2000】279号令相关保修规定</w:t>
      </w:r>
      <w:r>
        <w:rPr>
          <w:rFonts w:hint="eastAsia" w:ascii="宋体" w:hAnsi="宋体" w:eastAsia="宋体" w:cs="宋体"/>
          <w:szCs w:val="21"/>
          <w:shd w:val="clear" w:color="auto" w:fill="FFFFFF"/>
        </w:rPr>
        <w:t>。</w:t>
      </w:r>
    </w:p>
    <w:p w14:paraId="408A10C1">
      <w:pPr>
        <w:keepLines w:val="0"/>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Cs w:val="21"/>
          <w:shd w:val="clear" w:color="auto" w:fill="FFFFFF"/>
        </w:rPr>
        <w:t>5、工期要求：</w:t>
      </w:r>
      <w:r>
        <w:rPr>
          <w:rFonts w:hint="eastAsia" w:ascii="宋体" w:hAnsi="宋体" w:cs="宋体"/>
          <w:color w:val="auto"/>
          <w:kern w:val="0"/>
          <w:sz w:val="21"/>
          <w:szCs w:val="21"/>
          <w:highlight w:val="none"/>
          <w:lang w:val="en-US" w:eastAsia="zh-CN"/>
        </w:rPr>
        <w:t>自合同签订之日起70日历天完成合同工程</w:t>
      </w:r>
      <w:r>
        <w:rPr>
          <w:rFonts w:hint="eastAsia" w:ascii="宋体" w:hAnsi="宋体" w:eastAsia="宋体" w:cs="宋体"/>
          <w:color w:val="auto"/>
          <w:kern w:val="0"/>
          <w:sz w:val="21"/>
          <w:szCs w:val="21"/>
          <w:highlight w:val="none"/>
        </w:rPr>
        <w:t>。</w:t>
      </w:r>
    </w:p>
    <w:p w14:paraId="3030E213">
      <w:pPr>
        <w:pageBreakBefore w:val="0"/>
        <w:kinsoku/>
        <w:wordWrap/>
        <w:overflowPunct/>
        <w:topLinePunct w:val="0"/>
        <w:autoSpaceDE/>
        <w:autoSpaceDN/>
        <w:bidi w:val="0"/>
        <w:adjustRightInd w:val="0"/>
        <w:snapToGrid w:val="0"/>
        <w:spacing w:line="360" w:lineRule="auto"/>
        <w:ind w:left="0" w:leftChars="0" w:firstLine="420" w:firstLineChars="200"/>
        <w:textAlignment w:val="auto"/>
        <w:rPr>
          <w:rFonts w:ascii="宋体" w:hAnsi="宋体"/>
          <w:color w:val="FF0000"/>
          <w:szCs w:val="21"/>
          <w:highlight w:val="none"/>
          <w:shd w:val="clear" w:color="auto" w:fill="FFFFFF"/>
        </w:rPr>
      </w:pPr>
      <w:r>
        <w:rPr>
          <w:rFonts w:hint="eastAsia" w:ascii="宋体" w:hAnsi="宋体" w:eastAsia="宋体" w:cs="宋体"/>
          <w:color w:val="auto"/>
          <w:szCs w:val="21"/>
          <w:shd w:val="clear" w:color="auto" w:fill="FFFFFF"/>
        </w:rPr>
        <w:t>6、付款方式：</w:t>
      </w:r>
      <w:r>
        <w:rPr>
          <w:rFonts w:hint="eastAsia" w:ascii="宋体" w:hAnsi="宋体" w:cs="宋体"/>
          <w:color w:val="auto"/>
          <w:szCs w:val="21"/>
          <w:highlight w:val="none"/>
        </w:rPr>
        <w:t>本工程不支付进度款，整个工程完成并正式竣工验收合格后，付至合同价款（扣减暂列金额）的</w:t>
      </w:r>
      <w:r>
        <w:rPr>
          <w:rFonts w:ascii="宋体" w:hAnsi="宋体" w:cs="宋体"/>
          <w:color w:val="auto"/>
          <w:szCs w:val="21"/>
          <w:highlight w:val="none"/>
        </w:rPr>
        <w:t>5</w:t>
      </w:r>
      <w:r>
        <w:rPr>
          <w:rFonts w:hint="eastAsia" w:ascii="宋体" w:hAnsi="宋体" w:cs="宋体"/>
          <w:color w:val="auto"/>
          <w:szCs w:val="21"/>
          <w:highlight w:val="none"/>
        </w:rPr>
        <w:t>0%；乙方向甲方审计部门提交基建工程竣工结算验证所需资料清单后，付至合同价款的8</w:t>
      </w:r>
      <w:r>
        <w:rPr>
          <w:rFonts w:ascii="宋体" w:hAnsi="宋体" w:cs="宋体"/>
          <w:color w:val="auto"/>
          <w:szCs w:val="21"/>
          <w:highlight w:val="none"/>
        </w:rPr>
        <w:t>0</w:t>
      </w:r>
      <w:r>
        <w:rPr>
          <w:rFonts w:hint="eastAsia" w:ascii="宋体" w:hAnsi="宋体" w:cs="宋体"/>
          <w:color w:val="auto"/>
          <w:szCs w:val="21"/>
          <w:highlight w:val="none"/>
        </w:rPr>
        <w:t>%（扣减暂列金额）；</w:t>
      </w:r>
      <w:r>
        <w:rPr>
          <w:rFonts w:ascii="宋体" w:hAnsi="宋体" w:cs="宋体"/>
          <w:color w:val="auto"/>
          <w:szCs w:val="21"/>
          <w:highlight w:val="none"/>
        </w:rPr>
        <w:t>经审计部门审计，乙方提交完整的竣工资料存档后10个工作日内，凭国家规定税务发票付至审定总</w:t>
      </w:r>
      <w:r>
        <w:rPr>
          <w:rFonts w:hint="eastAsia" w:ascii="宋体" w:hAnsi="宋体" w:cs="宋体"/>
          <w:color w:val="auto"/>
          <w:szCs w:val="21"/>
          <w:highlight w:val="none"/>
        </w:rPr>
        <w:t>价款</w:t>
      </w:r>
      <w:r>
        <w:rPr>
          <w:rFonts w:ascii="宋体" w:hAnsi="宋体" w:cs="宋体"/>
          <w:color w:val="auto"/>
          <w:szCs w:val="21"/>
          <w:highlight w:val="none"/>
        </w:rPr>
        <w:t>的97%；余款3%作为工程质量保证金（不计息），保修期满乙方履行保修责任后一次性付清</w:t>
      </w:r>
      <w:r>
        <w:rPr>
          <w:rFonts w:eastAsia="仿宋"/>
          <w:color w:val="auto"/>
          <w:sz w:val="26"/>
          <w:szCs w:val="28"/>
          <w:highlight w:val="none"/>
        </w:rPr>
        <w:t>。</w:t>
      </w:r>
    </w:p>
    <w:p w14:paraId="7A021ED5">
      <w:pPr>
        <w:pStyle w:val="4"/>
        <w:pageBreakBefore w:val="0"/>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b/>
          <w:szCs w:val="21"/>
        </w:rPr>
      </w:pPr>
      <w:bookmarkStart w:id="108" w:name="_Toc24233"/>
      <w:r>
        <w:rPr>
          <w:rFonts w:hint="eastAsia" w:ascii="宋体" w:hAnsi="宋体" w:eastAsia="宋体" w:cs="宋体"/>
          <w:b/>
          <w:szCs w:val="21"/>
        </w:rPr>
        <w:t>四、工程承包范围：</w:t>
      </w:r>
      <w:bookmarkEnd w:id="108"/>
    </w:p>
    <w:p w14:paraId="1268FDA8">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rPr>
      </w:pPr>
      <w:r>
        <w:rPr>
          <w:rFonts w:hint="eastAsia" w:ascii="宋体" w:hAnsi="宋体" w:eastAsia="宋体" w:cs="宋体"/>
        </w:rPr>
        <w:t>工程量清单及图纸包含的所有内容。图纸另册。</w:t>
      </w:r>
    </w:p>
    <w:p w14:paraId="71F9A13E">
      <w:pPr>
        <w:pStyle w:val="4"/>
        <w:pageBreakBefore w:val="0"/>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rPr>
      </w:pPr>
      <w:bookmarkStart w:id="109" w:name="_Toc7998"/>
      <w:r>
        <w:rPr>
          <w:rFonts w:hint="eastAsia" w:ascii="宋体" w:hAnsi="宋体" w:eastAsia="宋体" w:cs="宋体"/>
        </w:rPr>
        <w:t>五、施工要求：</w:t>
      </w:r>
      <w:bookmarkEnd w:id="109"/>
    </w:p>
    <w:p w14:paraId="4115DA72">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Cs/>
          <w:szCs w:val="21"/>
        </w:rPr>
      </w:pPr>
      <w:r>
        <w:rPr>
          <w:rFonts w:hint="eastAsia" w:ascii="宋体" w:hAnsi="宋体" w:eastAsia="宋体" w:cs="宋体"/>
          <w:bCs/>
          <w:szCs w:val="21"/>
        </w:rPr>
        <w:t>1、成交单位须保护好施工现场内外的环境及卫生，施工材料及垃圾须集中堆放、清理。</w:t>
      </w:r>
    </w:p>
    <w:p w14:paraId="163F28EE">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Cs/>
          <w:szCs w:val="21"/>
        </w:rPr>
      </w:pPr>
      <w:r>
        <w:rPr>
          <w:rFonts w:hint="eastAsia" w:ascii="宋体" w:hAnsi="宋体" w:eastAsia="宋体" w:cs="宋体"/>
          <w:bCs/>
          <w:szCs w:val="21"/>
        </w:rPr>
        <w:t>2、成交单位须管理好进入采购单位内的施工人员，保证施工现场作业人员的安全，杜绝一切安全事故的发生。</w:t>
      </w:r>
    </w:p>
    <w:p w14:paraId="0ECF039E">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Cs/>
          <w:szCs w:val="21"/>
        </w:rPr>
      </w:pPr>
      <w:r>
        <w:rPr>
          <w:rFonts w:hint="eastAsia" w:ascii="宋体" w:hAnsi="宋体" w:eastAsia="宋体" w:cs="宋体"/>
          <w:bCs/>
          <w:szCs w:val="21"/>
        </w:rPr>
        <w:t>3、成交单位须保证在施工过程中不影响湘潭大学的日常工作，由于施工期间的不规范行为造成的一切安全问题，由成交单位承担全部责任。服从学校有关部门管理，维护学校环境卫生保持路面整洁。所有施工车辆进入要按学校指定路线行走，并及时清理被施工污染的道路、场地，保证校内卫生。施工临时设施、设备、材料只能位于发包方指定地点。</w:t>
      </w:r>
    </w:p>
    <w:p w14:paraId="0C2D38D5">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Cs/>
          <w:szCs w:val="21"/>
        </w:rPr>
      </w:pPr>
      <w:r>
        <w:rPr>
          <w:rFonts w:hint="eastAsia" w:ascii="宋体" w:hAnsi="宋体" w:eastAsia="宋体" w:cs="宋体"/>
          <w:bCs/>
          <w:szCs w:val="21"/>
        </w:rPr>
        <w:t>3、施工中如有损坏原有管线、基础设施、铺砌、构建物、绿化环境等由承包方无偿恢复原状。</w:t>
      </w:r>
    </w:p>
    <w:p w14:paraId="5E8BFA09">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Cs/>
          <w:szCs w:val="21"/>
        </w:rPr>
      </w:pPr>
      <w:r>
        <w:rPr>
          <w:rFonts w:hint="eastAsia" w:ascii="宋体" w:hAnsi="宋体" w:eastAsia="宋体" w:cs="宋体"/>
          <w:bCs/>
          <w:szCs w:val="21"/>
        </w:rPr>
        <w:t>4、设置安全警示和防护标志。</w:t>
      </w:r>
    </w:p>
    <w:p w14:paraId="6B0699FB">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Cs/>
          <w:szCs w:val="21"/>
        </w:rPr>
      </w:pPr>
      <w:r>
        <w:rPr>
          <w:rFonts w:hint="eastAsia" w:ascii="宋体" w:hAnsi="宋体" w:eastAsia="宋体" w:cs="宋体"/>
          <w:bCs/>
          <w:szCs w:val="21"/>
        </w:rPr>
        <w:t>5、成交单位在施工过程中，必须根据磋商文件的要求，选择材料的品牌、品种、规格、质地，采购前必须由采购单位看样定货，签字确认后方可采购进场。</w:t>
      </w:r>
    </w:p>
    <w:p w14:paraId="194D946D">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Cs/>
          <w:szCs w:val="21"/>
        </w:rPr>
      </w:pPr>
      <w:r>
        <w:rPr>
          <w:rFonts w:hint="eastAsia" w:ascii="宋体" w:hAnsi="宋体" w:eastAsia="宋体" w:cs="宋体"/>
          <w:bCs/>
          <w:szCs w:val="21"/>
        </w:rPr>
        <w:t>★6、工程施工须严格按工程量清单所列项目进行，如有漏项必须事先书面报告采购人，经采购人贰人签字认可方可施工，否则不予认定。需要增补的项目，施工前须出具书面通知并进行工程签证。</w:t>
      </w:r>
    </w:p>
    <w:p w14:paraId="550771EC">
      <w:pPr>
        <w:pageBreakBefore w:val="0"/>
        <w:kinsoku/>
        <w:wordWrap/>
        <w:overflowPunct/>
        <w:topLinePunct w:val="0"/>
        <w:autoSpaceDE/>
        <w:autoSpaceDN/>
        <w:bidi w:val="0"/>
        <w:spacing w:line="360" w:lineRule="auto"/>
        <w:ind w:left="0" w:leftChars="0" w:firstLine="420" w:firstLineChars="200"/>
        <w:textAlignment w:val="auto"/>
        <w:rPr>
          <w:rFonts w:hint="eastAsia" w:ascii="宋体" w:hAnsi="宋体" w:eastAsia="宋体" w:cs="宋体"/>
          <w:bCs/>
          <w:szCs w:val="21"/>
        </w:rPr>
      </w:pPr>
      <w:r>
        <w:rPr>
          <w:rFonts w:hint="eastAsia" w:ascii="宋体" w:hAnsi="宋体" w:eastAsia="宋体" w:cs="宋体"/>
          <w:bCs/>
          <w:szCs w:val="21"/>
        </w:rPr>
        <w:t>7、根据磋商文件的要求。所用材料必须是原厂家生产的，新的未使用和未经修复的，必须符合国家规定的相应技术标准，并按相应的国家标准及行业规范完成所有安装。必须严格按《产品质量法》实行三包。本工程项目的材料、设备、施工须达到现行中华人民共和国以及省、自治区、直辖市或行业的工程建设标准、规范的要求。</w:t>
      </w:r>
    </w:p>
    <w:p w14:paraId="3A7C5574">
      <w:pPr>
        <w:pageBreakBefore w:val="0"/>
        <w:kinsoku/>
        <w:wordWrap/>
        <w:overflowPunct/>
        <w:topLinePunct w:val="0"/>
        <w:autoSpaceDE/>
        <w:autoSpaceDN/>
        <w:bidi w:val="0"/>
        <w:spacing w:line="360" w:lineRule="auto"/>
        <w:ind w:left="0" w:leftChars="0" w:firstLine="422" w:firstLineChars="200"/>
        <w:textAlignment w:val="auto"/>
        <w:rPr>
          <w:rFonts w:hint="eastAsia" w:ascii="宋体" w:hAnsi="宋体" w:eastAsia="宋体" w:cs="宋体"/>
          <w:b/>
          <w:bCs/>
          <w:szCs w:val="21"/>
        </w:rPr>
      </w:pPr>
      <w:r>
        <w:rPr>
          <w:rFonts w:hint="eastAsia" w:ascii="宋体" w:hAnsi="宋体" w:eastAsia="宋体" w:cs="宋体"/>
          <w:b/>
          <w:bCs/>
          <w:szCs w:val="21"/>
        </w:rPr>
        <w:t>供应商须对以上7点于投标文件中响应。</w:t>
      </w:r>
    </w:p>
    <w:p w14:paraId="53652B0D">
      <w:pPr>
        <w:spacing w:line="360" w:lineRule="auto"/>
        <w:ind w:firstLine="411" w:firstLineChars="196"/>
        <w:rPr>
          <w:rFonts w:hint="eastAsia" w:ascii="宋体" w:hAnsi="宋体" w:eastAsia="宋体"/>
          <w:b/>
          <w:bCs/>
          <w:color w:val="auto"/>
          <w:szCs w:val="21"/>
          <w:highlight w:val="none"/>
          <w:lang w:eastAsia="zh-CN"/>
        </w:rPr>
      </w:pPr>
      <w:r>
        <w:rPr>
          <w:rFonts w:hint="eastAsia" w:ascii="宋体" w:hAnsi="宋体"/>
          <w:bCs/>
          <w:color w:val="auto"/>
          <w:szCs w:val="21"/>
          <w:highlight w:val="none"/>
        </w:rPr>
        <w:t>★</w:t>
      </w:r>
      <w:r>
        <w:rPr>
          <w:rFonts w:hint="eastAsia" w:ascii="宋体" w:hAnsi="宋体"/>
          <w:b/>
          <w:bCs/>
          <w:color w:val="auto"/>
          <w:szCs w:val="21"/>
          <w:highlight w:val="none"/>
        </w:rPr>
        <w:t>六、人员要求</w:t>
      </w:r>
      <w:r>
        <w:rPr>
          <w:rFonts w:hint="eastAsia" w:ascii="宋体" w:hAnsi="宋体"/>
          <w:b/>
          <w:bCs/>
          <w:color w:val="auto"/>
          <w:szCs w:val="21"/>
          <w:highlight w:val="none"/>
          <w:lang w:eastAsia="zh-CN"/>
        </w:rPr>
        <w:t>：</w:t>
      </w:r>
    </w:p>
    <w:p w14:paraId="58592F54">
      <w:pPr>
        <w:adjustRightInd w:val="0"/>
        <w:snapToGrid w:val="0"/>
        <w:spacing w:before="120" w:beforeLines="50" w:after="124" w:line="360" w:lineRule="auto"/>
        <w:ind w:firstLine="420" w:firstLineChars="200"/>
        <w:rPr>
          <w:rFonts w:ascii="宋体" w:hAnsi="宋体"/>
          <w:color w:val="auto"/>
          <w:szCs w:val="21"/>
          <w:highlight w:val="none"/>
        </w:rPr>
      </w:pPr>
      <w:r>
        <w:rPr>
          <w:rFonts w:hint="eastAsia" w:ascii="宋体" w:hAnsi="宋体"/>
          <w:color w:val="auto"/>
          <w:szCs w:val="21"/>
          <w:highlight w:val="none"/>
        </w:rPr>
        <w:t>（1）拟任技术负责人具有</w:t>
      </w:r>
      <w:r>
        <w:rPr>
          <w:rFonts w:hint="eastAsia" w:ascii="宋体" w:hAnsi="宋体"/>
          <w:b/>
          <w:bCs/>
          <w:color w:val="auto"/>
          <w:szCs w:val="21"/>
          <w:highlight w:val="none"/>
          <w:lang w:eastAsia="zh-CN"/>
        </w:rPr>
        <w:t>建筑工程</w:t>
      </w:r>
      <w:r>
        <w:rPr>
          <w:rFonts w:hint="eastAsia" w:ascii="宋体" w:hAnsi="宋体"/>
          <w:color w:val="auto"/>
          <w:szCs w:val="21"/>
          <w:highlight w:val="none"/>
        </w:rPr>
        <w:t>相关专业工程师以上职称证书；</w:t>
      </w:r>
    </w:p>
    <w:p w14:paraId="1F9E6786">
      <w:pPr>
        <w:adjustRightInd w:val="0"/>
        <w:snapToGrid w:val="0"/>
        <w:spacing w:before="120" w:beforeLines="50" w:after="124" w:line="360" w:lineRule="auto"/>
        <w:ind w:firstLine="420" w:firstLineChars="200"/>
        <w:rPr>
          <w:rFonts w:ascii="宋体" w:hAnsi="宋体"/>
          <w:color w:val="auto"/>
          <w:szCs w:val="21"/>
          <w:highlight w:val="none"/>
        </w:rPr>
      </w:pPr>
      <w:r>
        <w:rPr>
          <w:rFonts w:hint="eastAsia" w:ascii="宋体" w:hAnsi="宋体"/>
          <w:color w:val="auto"/>
          <w:szCs w:val="21"/>
          <w:highlight w:val="none"/>
        </w:rPr>
        <w:t>（2）施工项目部其他关键岗位人员配备参照湘建建[2020]208号文执行，配备施工员1人、安全员1人，质量员1名，关键岗位人员须具备建设行政主管部门颁发的岗位资格证书，其中安全员须具有安全考核合格证书C证；</w:t>
      </w:r>
    </w:p>
    <w:p w14:paraId="6B528AEA">
      <w:pPr>
        <w:adjustRightInd w:val="0"/>
        <w:snapToGrid w:val="0"/>
        <w:spacing w:before="120" w:beforeLines="50" w:after="124" w:line="360" w:lineRule="auto"/>
        <w:ind w:firstLine="420" w:firstLineChars="200"/>
        <w:rPr>
          <w:rFonts w:ascii="宋体" w:hAnsi="宋体"/>
          <w:color w:val="auto"/>
          <w:szCs w:val="21"/>
          <w:highlight w:val="none"/>
        </w:rPr>
      </w:pPr>
      <w:r>
        <w:rPr>
          <w:rFonts w:hint="eastAsia" w:ascii="宋体" w:hAnsi="宋体"/>
          <w:color w:val="auto"/>
          <w:szCs w:val="21"/>
          <w:highlight w:val="none"/>
        </w:rPr>
        <w:t>（3）施工项目部关键岗位人员及本项目被授权人必须是本企业在职人员，提供劳动保障部门出具近三个月的社保证明；施工项目部关键岗位人员均无在建工程；</w:t>
      </w:r>
    </w:p>
    <w:p w14:paraId="5EA2A4C4">
      <w:pPr>
        <w:adjustRightInd w:val="0"/>
        <w:snapToGrid w:val="0"/>
        <w:spacing w:before="120" w:beforeLines="50" w:after="124" w:line="360" w:lineRule="auto"/>
        <w:ind w:firstLine="420" w:firstLineChars="200"/>
        <w:rPr>
          <w:rFonts w:ascii="宋体" w:hAnsi="宋体"/>
          <w:color w:val="auto"/>
          <w:szCs w:val="21"/>
          <w:highlight w:val="none"/>
        </w:rPr>
      </w:pPr>
      <w:r>
        <w:rPr>
          <w:rFonts w:hint="eastAsia" w:ascii="宋体" w:hAnsi="宋体"/>
          <w:color w:val="auto"/>
          <w:szCs w:val="21"/>
          <w:highlight w:val="none"/>
        </w:rPr>
        <w:t>（4）供应商应无严重拖欠农民工工资违法失信行为，并作出承诺（格式自拟）。</w:t>
      </w:r>
    </w:p>
    <w:p w14:paraId="3CB419A7">
      <w:pPr>
        <w:spacing w:line="360" w:lineRule="auto"/>
        <w:ind w:firstLine="413" w:firstLineChars="196"/>
        <w:rPr>
          <w:rFonts w:ascii="宋体" w:hAnsi="宋体"/>
          <w:b/>
          <w:color w:val="auto"/>
          <w:szCs w:val="21"/>
          <w:highlight w:val="none"/>
        </w:rPr>
      </w:pPr>
      <w:r>
        <w:rPr>
          <w:rFonts w:hint="eastAsia" w:ascii="宋体" w:hAnsi="宋体"/>
          <w:b/>
          <w:bCs/>
          <w:color w:val="auto"/>
          <w:szCs w:val="21"/>
          <w:highlight w:val="none"/>
        </w:rPr>
        <w:t>七、</w:t>
      </w:r>
      <w:r>
        <w:rPr>
          <w:rFonts w:hint="eastAsia" w:ascii="宋体" w:hAnsi="宋体"/>
          <w:b/>
          <w:color w:val="auto"/>
          <w:szCs w:val="21"/>
          <w:highlight w:val="none"/>
        </w:rPr>
        <w:t>投标报价说明：</w:t>
      </w:r>
    </w:p>
    <w:p w14:paraId="0C079004">
      <w:pPr>
        <w:spacing w:line="360" w:lineRule="auto"/>
        <w:ind w:left="4" w:leftChars="2" w:firstLine="420" w:firstLineChars="200"/>
        <w:rPr>
          <w:rFonts w:ascii="宋体" w:hAnsi="宋体"/>
          <w:color w:val="auto"/>
          <w:szCs w:val="21"/>
          <w:highlight w:val="none"/>
        </w:rPr>
      </w:pPr>
      <w:r>
        <w:rPr>
          <w:rFonts w:hint="eastAsia" w:ascii="宋体" w:hAnsi="宋体"/>
          <w:color w:val="auto"/>
          <w:szCs w:val="21"/>
          <w:highlight w:val="none"/>
        </w:rPr>
        <w:t>1、依据：本磋商文件；现行《湖南省建筑工程消耗量标准》、《湖南省安装工程消耗量标准》、《湖南省建设工程计价办法》及其它有关配套文件和市场行情。</w:t>
      </w:r>
    </w:p>
    <w:p w14:paraId="78F6A56A">
      <w:pPr>
        <w:spacing w:line="360" w:lineRule="auto"/>
        <w:ind w:firstLine="420" w:firstLineChars="200"/>
        <w:rPr>
          <w:rFonts w:ascii="宋体" w:hAnsi="宋体"/>
          <w:b/>
          <w:color w:val="auto"/>
          <w:szCs w:val="21"/>
          <w:highlight w:val="none"/>
        </w:rPr>
      </w:pPr>
      <w:r>
        <w:rPr>
          <w:rFonts w:hint="eastAsia" w:ascii="宋体" w:hAnsi="宋体"/>
          <w:color w:val="auto"/>
          <w:szCs w:val="21"/>
          <w:highlight w:val="none"/>
        </w:rPr>
        <w:t>2、投标预算文件应有总价与分项构成。</w:t>
      </w:r>
      <w:bookmarkStart w:id="110" w:name="OLE_LINK7"/>
      <w:r>
        <w:rPr>
          <w:rFonts w:hint="eastAsia" w:ascii="宋体" w:hAnsi="宋体"/>
          <w:b/>
          <w:color w:val="auto"/>
          <w:szCs w:val="21"/>
          <w:highlight w:val="none"/>
        </w:rPr>
        <w:t>本次投标采用综合单价包干形式。</w:t>
      </w:r>
    </w:p>
    <w:bookmarkEnd w:id="110"/>
    <w:p w14:paraId="2C02549B">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3、投标报价由供应商自行决定，只允许有一个报价，投标报价应为含税优惠价。</w:t>
      </w:r>
    </w:p>
    <w:p w14:paraId="67F1CF1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 投标报价中应考虑招标文件中要求供应商承担的风险范围以及相关的费用。</w:t>
      </w:r>
    </w:p>
    <w:p w14:paraId="5B10A0CC">
      <w:pPr>
        <w:spacing w:line="360" w:lineRule="auto"/>
        <w:ind w:left="4" w:leftChars="2" w:firstLine="420" w:firstLineChars="200"/>
        <w:rPr>
          <w:rFonts w:ascii="宋体" w:hAnsi="宋体"/>
          <w:color w:val="auto"/>
          <w:szCs w:val="21"/>
          <w:highlight w:val="none"/>
        </w:rPr>
      </w:pPr>
      <w:r>
        <w:rPr>
          <w:rFonts w:hint="eastAsia" w:ascii="宋体" w:hAnsi="宋体"/>
          <w:color w:val="auto"/>
          <w:szCs w:val="21"/>
          <w:highlight w:val="none"/>
        </w:rPr>
        <w:t>5、 投标总价为供应商在投标文件中提出的各项支付金额的总和，为实施、完成招标工程并修补缺陷以及履行招标文件中约定的风险范围内的所有责任和义务所发生的全部费用。</w:t>
      </w:r>
    </w:p>
    <w:p w14:paraId="379471AD">
      <w:pPr>
        <w:spacing w:line="360" w:lineRule="auto"/>
        <w:ind w:firstLine="413" w:firstLineChars="196"/>
        <w:rPr>
          <w:rFonts w:ascii="宋体" w:hAnsi="宋体"/>
          <w:b/>
          <w:bCs/>
          <w:color w:val="auto"/>
          <w:szCs w:val="21"/>
          <w:highlight w:val="none"/>
        </w:rPr>
      </w:pPr>
      <w:r>
        <w:rPr>
          <w:rFonts w:hint="eastAsia" w:ascii="宋体" w:hAnsi="宋体"/>
          <w:b/>
          <w:bCs/>
          <w:color w:val="auto"/>
          <w:szCs w:val="21"/>
          <w:highlight w:val="none"/>
        </w:rPr>
        <w:t>八、其他重要说明：</w:t>
      </w:r>
    </w:p>
    <w:p w14:paraId="4CA17C36">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1、供应商在领取招标工程量清单时，必须对工程量清单详细复核，如发现清单有漏项或工程量有较大出入，必须以书面形式在招标文件截止3个工作日前向招标人提交；如投标时未提出，则视同认可招标工程量清单为全部施工图纸范围（若有图纸的话）。</w:t>
      </w:r>
    </w:p>
    <w:p w14:paraId="64818B06">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2、请供应商务必对施工现场和周围环境进行踏勘，以获取供应商编制有关投标文件和签署合同时所需的有关资料。踏勘现场所发生的费用由供应商自行承担，供应商并应对由此次踏勘现场而造成的死亡、人身伤害、财产损失、损害以及任何其它损失、损害和引起的费用和开支承担责任。</w:t>
      </w:r>
    </w:p>
    <w:p w14:paraId="74D487B0">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3、参加投标的供应商应按照本投标书的要求编制投标书，不得围标和串通投标，不得哄抬或不合理压低报价。</w:t>
      </w:r>
    </w:p>
    <w:p w14:paraId="0FCF908D">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4、参加投标的供应商应互相尊重，整个投标过程不得发生有损于他人合法权益和任何不利于团结的言行。</w:t>
      </w:r>
    </w:p>
    <w:p w14:paraId="52B1049B">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5、整个投标过程中如发生违反投标纪律的情况，将取消该单位投（中）标资格，并影响其今后到湘潭大学参加建设项目投标信誉。供应商参加湘潭大学招投标报名，学校确定入围投标的供应商和项目经理，无正当理由2次及以上不参加投标报价的，或违反投标纪律1次及以上的，学校将取消该供应商、项目经理继续参加学校工程招投标的资格。</w:t>
      </w:r>
    </w:p>
    <w:p w14:paraId="17376414">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6、供应商一旦成交，不得以任何理由将工程转包或分包。</w:t>
      </w:r>
    </w:p>
    <w:p w14:paraId="217FC3E0">
      <w:pPr>
        <w:adjustRightInd w:val="0"/>
        <w:snapToGrid w:val="0"/>
        <w:spacing w:line="360" w:lineRule="auto"/>
        <w:ind w:firstLine="420" w:firstLineChars="200"/>
        <w:rPr>
          <w:rFonts w:ascii="宋体" w:hAnsi="宋体"/>
          <w:bCs/>
          <w:color w:val="auto"/>
          <w:szCs w:val="21"/>
          <w:highlight w:val="none"/>
        </w:rPr>
      </w:pPr>
      <w:r>
        <w:rPr>
          <w:rFonts w:hint="eastAsia" w:ascii="宋体" w:hAnsi="宋体"/>
          <w:bCs/>
          <w:color w:val="auto"/>
          <w:szCs w:val="21"/>
          <w:highlight w:val="none"/>
        </w:rPr>
        <w:t>7、服从采购人的管理，包括用电、用水等。</w:t>
      </w:r>
    </w:p>
    <w:p w14:paraId="6856A2A1">
      <w:pPr>
        <w:adjustRightInd w:val="0"/>
        <w:snapToGrid w:val="0"/>
        <w:spacing w:line="360" w:lineRule="auto"/>
        <w:ind w:firstLine="420" w:firstLineChars="200"/>
        <w:rPr>
          <w:b/>
          <w:bCs w:val="0"/>
          <w:color w:val="auto"/>
          <w:highlight w:val="none"/>
        </w:rPr>
      </w:pPr>
      <w:r>
        <w:rPr>
          <w:rFonts w:hint="eastAsia" w:ascii="宋体" w:hAnsi="宋体"/>
          <w:bCs/>
          <w:color w:val="auto"/>
          <w:szCs w:val="21"/>
          <w:highlight w:val="none"/>
        </w:rPr>
        <w:t>★</w:t>
      </w:r>
      <w:r>
        <w:rPr>
          <w:rFonts w:hint="eastAsia" w:ascii="宋体" w:hAnsi="宋体"/>
          <w:b/>
          <w:bCs w:val="0"/>
          <w:color w:val="auto"/>
          <w:szCs w:val="21"/>
          <w:highlight w:val="none"/>
        </w:rPr>
        <w:t>8、成交</w:t>
      </w:r>
      <w:r>
        <w:rPr>
          <w:rFonts w:ascii="宋体" w:hAnsi="宋体"/>
          <w:b/>
          <w:bCs w:val="0"/>
          <w:color w:val="auto"/>
          <w:szCs w:val="21"/>
          <w:highlight w:val="none"/>
        </w:rPr>
        <w:t>单位</w:t>
      </w:r>
      <w:r>
        <w:rPr>
          <w:rFonts w:hint="eastAsia" w:ascii="宋体" w:hAnsi="宋体"/>
          <w:b/>
          <w:bCs w:val="0"/>
          <w:color w:val="auto"/>
          <w:szCs w:val="21"/>
          <w:highlight w:val="none"/>
        </w:rPr>
        <w:t>在办理竣工结算时应遵循《湘潭大学建设项目审计实施办法》https://sjc.xtu.edu.cn/info/1049/1104.htm的相关规定。</w:t>
      </w:r>
    </w:p>
    <w:p w14:paraId="7A0CF6F7">
      <w:pPr>
        <w:pStyle w:val="25"/>
        <w:adjustRightInd w:val="0"/>
        <w:snapToGrid w:val="0"/>
        <w:spacing w:before="120" w:beforeLines="50" w:line="360" w:lineRule="auto"/>
        <w:ind w:firstLine="420" w:firstLineChars="200"/>
        <w:rPr>
          <w:rFonts w:hAnsi="宋体"/>
        </w:rPr>
      </w:pPr>
    </w:p>
    <w:p w14:paraId="5335EB36">
      <w:pPr>
        <w:pStyle w:val="25"/>
        <w:adjustRightInd w:val="0"/>
        <w:snapToGrid w:val="0"/>
        <w:spacing w:before="120" w:beforeLines="50" w:line="360" w:lineRule="auto"/>
        <w:ind w:left="316" w:hanging="316"/>
        <w:jc w:val="center"/>
        <w:rPr>
          <w:rFonts w:hAnsi="宋体"/>
          <w:b/>
          <w:sz w:val="84"/>
          <w:szCs w:val="84"/>
        </w:rPr>
      </w:pPr>
      <w:r>
        <w:rPr>
          <w:rFonts w:hint="eastAsia" w:hAnsi="宋体"/>
          <w:b/>
          <w:bCs/>
        </w:rPr>
        <w:t>对于上述项目要求，供应商应在响应文件中进行回应，作出承诺及说明。</w:t>
      </w:r>
      <w:bookmarkStart w:id="111" w:name="_Toc6014"/>
      <w:bookmarkStart w:id="112" w:name="_Toc13949"/>
      <w:bookmarkStart w:id="113" w:name="_Toc25360"/>
      <w:bookmarkStart w:id="114" w:name="_Toc12063"/>
      <w:bookmarkStart w:id="115" w:name="_Toc24824"/>
    </w:p>
    <w:p w14:paraId="48CAD4E5">
      <w:pPr>
        <w:pStyle w:val="25"/>
        <w:ind w:left="1265" w:hanging="1265"/>
        <w:jc w:val="center"/>
        <w:rPr>
          <w:rFonts w:hAnsi="宋体"/>
          <w:b/>
          <w:sz w:val="84"/>
          <w:szCs w:val="84"/>
        </w:rPr>
      </w:pPr>
    </w:p>
    <w:p w14:paraId="16326F9D">
      <w:pPr>
        <w:rPr>
          <w:rFonts w:hAnsi="宋体"/>
          <w:b/>
          <w:sz w:val="84"/>
          <w:szCs w:val="84"/>
        </w:rPr>
      </w:pPr>
      <w:bookmarkStart w:id="116" w:name="_Toc31469"/>
      <w:bookmarkStart w:id="117" w:name="_Toc6947"/>
      <w:bookmarkStart w:id="118" w:name="_Toc22060"/>
      <w:r>
        <w:rPr>
          <w:rFonts w:hAnsi="宋体"/>
          <w:b/>
          <w:sz w:val="84"/>
          <w:szCs w:val="84"/>
        </w:rPr>
        <w:br w:type="page"/>
      </w:r>
    </w:p>
    <w:p w14:paraId="3EF45205">
      <w:pPr>
        <w:pStyle w:val="45"/>
      </w:pPr>
    </w:p>
    <w:p w14:paraId="12DCB579">
      <w:pPr>
        <w:ind w:left="1265" w:hanging="1265"/>
        <w:rPr>
          <w:rFonts w:hAnsi="宋体"/>
          <w:b/>
          <w:sz w:val="84"/>
          <w:szCs w:val="84"/>
        </w:rPr>
      </w:pPr>
    </w:p>
    <w:p w14:paraId="5C1308D8">
      <w:pPr>
        <w:ind w:left="1265" w:hanging="1265"/>
        <w:rPr>
          <w:rFonts w:hAnsi="宋体"/>
          <w:b/>
          <w:sz w:val="84"/>
          <w:szCs w:val="84"/>
        </w:rPr>
      </w:pPr>
    </w:p>
    <w:p w14:paraId="1C4E17C9">
      <w:pPr>
        <w:pStyle w:val="25"/>
        <w:ind w:left="1265" w:hanging="1265"/>
        <w:jc w:val="center"/>
        <w:rPr>
          <w:rFonts w:ascii="Times New Roman" w:hAnsi="宋体" w:cs="Times New Roman"/>
          <w:b/>
          <w:sz w:val="84"/>
          <w:szCs w:val="84"/>
        </w:rPr>
      </w:pPr>
    </w:p>
    <w:p w14:paraId="34B94BF8">
      <w:pPr>
        <w:pStyle w:val="25"/>
        <w:ind w:left="1265" w:hanging="1265"/>
        <w:jc w:val="center"/>
        <w:rPr>
          <w:rFonts w:ascii="Times New Roman" w:hAnsi="宋体" w:cs="Times New Roman"/>
          <w:b/>
          <w:sz w:val="84"/>
          <w:szCs w:val="84"/>
        </w:rPr>
      </w:pPr>
    </w:p>
    <w:p w14:paraId="4B659628">
      <w:pPr>
        <w:pStyle w:val="25"/>
        <w:ind w:left="1265" w:hanging="1265"/>
        <w:jc w:val="center"/>
        <w:rPr>
          <w:rFonts w:ascii="Times New Roman" w:hAnsi="宋体" w:cs="Times New Roman"/>
          <w:b/>
          <w:sz w:val="84"/>
          <w:szCs w:val="84"/>
        </w:rPr>
      </w:pPr>
    </w:p>
    <w:p w14:paraId="16C154E4">
      <w:pPr>
        <w:pStyle w:val="25"/>
        <w:jc w:val="center"/>
        <w:rPr>
          <w:rFonts w:hAnsi="宋体"/>
          <w:b/>
          <w:sz w:val="84"/>
          <w:szCs w:val="84"/>
        </w:rPr>
      </w:pPr>
      <w:r>
        <w:rPr>
          <w:rFonts w:hint="eastAsia" w:hAnsi="宋体"/>
          <w:b/>
          <w:sz w:val="84"/>
          <w:szCs w:val="84"/>
        </w:rPr>
        <w:t>政府采购</w:t>
      </w:r>
      <w:bookmarkEnd w:id="111"/>
      <w:bookmarkEnd w:id="112"/>
      <w:bookmarkEnd w:id="113"/>
      <w:bookmarkEnd w:id="114"/>
      <w:bookmarkEnd w:id="115"/>
      <w:bookmarkEnd w:id="116"/>
      <w:bookmarkEnd w:id="117"/>
      <w:bookmarkEnd w:id="118"/>
    </w:p>
    <w:p w14:paraId="32F96BCE">
      <w:pPr>
        <w:pStyle w:val="25"/>
        <w:ind w:left="1265" w:hanging="1265"/>
        <w:jc w:val="center"/>
        <w:rPr>
          <w:rFonts w:hAnsi="宋体"/>
          <w:b/>
          <w:sz w:val="84"/>
          <w:szCs w:val="84"/>
        </w:rPr>
      </w:pPr>
      <w:bookmarkStart w:id="119" w:name="_Toc27659"/>
      <w:bookmarkStart w:id="120" w:name="_Toc21909"/>
      <w:bookmarkStart w:id="121" w:name="_Toc31071"/>
      <w:bookmarkStart w:id="122" w:name="_Toc6744"/>
      <w:bookmarkStart w:id="123" w:name="_Toc27730"/>
      <w:bookmarkStart w:id="124" w:name="_Toc10603"/>
      <w:bookmarkStart w:id="125" w:name="_Toc30589"/>
      <w:bookmarkStart w:id="126" w:name="_Toc6003"/>
      <w:r>
        <w:rPr>
          <w:rFonts w:hint="eastAsia" w:hAnsi="宋体"/>
          <w:b/>
          <w:sz w:val="84"/>
          <w:szCs w:val="84"/>
        </w:rPr>
        <w:t>竞争性磋商文件</w:t>
      </w:r>
      <w:bookmarkEnd w:id="119"/>
      <w:bookmarkEnd w:id="120"/>
      <w:bookmarkEnd w:id="121"/>
      <w:bookmarkEnd w:id="122"/>
      <w:bookmarkEnd w:id="123"/>
      <w:bookmarkEnd w:id="124"/>
      <w:bookmarkEnd w:id="125"/>
      <w:bookmarkEnd w:id="126"/>
    </w:p>
    <w:p w14:paraId="77DB4FE5">
      <w:pPr>
        <w:pStyle w:val="25"/>
        <w:adjustRightInd w:val="0"/>
        <w:snapToGrid w:val="0"/>
        <w:spacing w:line="360" w:lineRule="auto"/>
        <w:ind w:left="661" w:hanging="661"/>
        <w:jc w:val="center"/>
        <w:rPr>
          <w:rFonts w:ascii="华文中宋" w:hAnsi="华文中宋" w:eastAsia="华文中宋"/>
          <w:b/>
          <w:sz w:val="44"/>
          <w:szCs w:val="44"/>
        </w:rPr>
      </w:pPr>
    </w:p>
    <w:p w14:paraId="35B4C18E">
      <w:pPr>
        <w:pStyle w:val="25"/>
        <w:adjustRightInd w:val="0"/>
        <w:snapToGrid w:val="0"/>
        <w:spacing w:line="360" w:lineRule="auto"/>
        <w:ind w:left="663" w:hanging="663"/>
        <w:jc w:val="center"/>
        <w:rPr>
          <w:rFonts w:hAnsi="宋体"/>
          <w:b/>
          <w:sz w:val="44"/>
          <w:szCs w:val="44"/>
        </w:rPr>
      </w:pPr>
      <w:r>
        <w:rPr>
          <w:rFonts w:hint="eastAsia" w:hAnsi="宋体"/>
          <w:b/>
          <w:sz w:val="44"/>
          <w:szCs w:val="44"/>
        </w:rPr>
        <w:t>(第二部分)</w:t>
      </w:r>
    </w:p>
    <w:p w14:paraId="4DECC2DF">
      <w:pPr>
        <w:ind w:left="480" w:hanging="480"/>
        <w:jc w:val="center"/>
        <w:rPr>
          <w:rFonts w:ascii="黑体" w:hAnsi="黑体" w:eastAsia="黑体"/>
          <w:sz w:val="32"/>
        </w:rPr>
      </w:pPr>
    </w:p>
    <w:p w14:paraId="298ED1B6">
      <w:pPr>
        <w:ind w:left="480" w:hanging="480"/>
        <w:jc w:val="center"/>
        <w:rPr>
          <w:rFonts w:ascii="黑体" w:hAnsi="黑体" w:eastAsia="黑体"/>
          <w:sz w:val="32"/>
        </w:rPr>
      </w:pPr>
    </w:p>
    <w:p w14:paraId="12C7B07D">
      <w:pPr>
        <w:ind w:left="480" w:hanging="480"/>
        <w:rPr>
          <w:rFonts w:ascii="黑体" w:hAnsi="黑体" w:eastAsia="黑体"/>
          <w:sz w:val="32"/>
        </w:rPr>
      </w:pPr>
    </w:p>
    <w:p w14:paraId="64B7511A">
      <w:pPr>
        <w:pStyle w:val="45"/>
        <w:spacing w:after="96"/>
        <w:ind w:firstLine="640"/>
        <w:rPr>
          <w:rFonts w:ascii="黑体" w:hAnsi="黑体" w:eastAsia="黑体"/>
          <w:sz w:val="32"/>
        </w:rPr>
      </w:pPr>
    </w:p>
    <w:p w14:paraId="200517B9">
      <w:pPr>
        <w:pStyle w:val="45"/>
        <w:spacing w:after="96"/>
        <w:ind w:firstLine="640"/>
        <w:rPr>
          <w:rFonts w:ascii="黑体" w:hAnsi="黑体" w:eastAsia="黑体"/>
          <w:sz w:val="32"/>
        </w:rPr>
      </w:pPr>
    </w:p>
    <w:p w14:paraId="69F69EE1">
      <w:pPr>
        <w:ind w:hanging="315"/>
      </w:pPr>
    </w:p>
    <w:p w14:paraId="7D20414D">
      <w:pPr>
        <w:ind w:hanging="315"/>
      </w:pPr>
    </w:p>
    <w:p w14:paraId="4C974AE6">
      <w:pPr>
        <w:ind w:hanging="315"/>
      </w:pPr>
    </w:p>
    <w:p w14:paraId="080C4F45">
      <w:pPr>
        <w:pStyle w:val="64"/>
      </w:pPr>
    </w:p>
    <w:p w14:paraId="4880C2E6">
      <w:pPr>
        <w:pStyle w:val="64"/>
      </w:pPr>
    </w:p>
    <w:p w14:paraId="118A72E2">
      <w:pPr>
        <w:ind w:hanging="315"/>
      </w:pPr>
      <w:r>
        <w:rPr>
          <w:rFonts w:hint="eastAsia"/>
        </w:rPr>
        <w:br w:type="page"/>
      </w:r>
    </w:p>
    <w:p w14:paraId="7E41467C">
      <w:pPr>
        <w:pStyle w:val="3"/>
        <w:ind w:left="482" w:hanging="482"/>
      </w:pPr>
      <w:bookmarkStart w:id="127" w:name="_Toc15796"/>
      <w:r>
        <w:rPr>
          <w:rFonts w:hint="eastAsia"/>
        </w:rPr>
        <w:t>第六章 响应文件组成</w:t>
      </w:r>
      <w:bookmarkEnd w:id="127"/>
    </w:p>
    <w:p w14:paraId="2944B4FB">
      <w:pPr>
        <w:spacing w:line="360" w:lineRule="auto"/>
        <w:ind w:hanging="315"/>
        <w:rPr>
          <w:rFonts w:ascii="宋体" w:hAnsi="宋体"/>
        </w:rPr>
      </w:pPr>
    </w:p>
    <w:p w14:paraId="46542276">
      <w:pPr>
        <w:spacing w:line="360" w:lineRule="auto"/>
        <w:ind w:left="315" w:leftChars="100" w:hanging="105" w:hangingChars="50"/>
        <w:rPr>
          <w:rFonts w:ascii="宋体" w:hAnsi="宋体"/>
        </w:rPr>
      </w:pPr>
      <w:r>
        <w:rPr>
          <w:rFonts w:hint="eastAsia" w:ascii="宋体" w:hAnsi="宋体"/>
        </w:rPr>
        <w:t>供应商的响应文件应包含以下几个部分：</w:t>
      </w:r>
    </w:p>
    <w:p w14:paraId="5AC6F7DC">
      <w:pPr>
        <w:adjustRightInd w:val="0"/>
        <w:snapToGrid w:val="0"/>
        <w:spacing w:line="360" w:lineRule="auto"/>
        <w:ind w:left="316" w:hanging="316"/>
        <w:jc w:val="left"/>
        <w:outlineLvl w:val="9"/>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一、磋商响应声明</w:t>
      </w:r>
    </w:p>
    <w:p w14:paraId="20D34878">
      <w:pPr>
        <w:adjustRightInd w:val="0"/>
        <w:snapToGrid w:val="0"/>
        <w:spacing w:line="360" w:lineRule="auto"/>
        <w:ind w:firstLine="420" w:firstLineChars="200"/>
        <w:outlineLvl w:val="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附件1：法定代表人身份证明(法定代表人参加磋商)</w:t>
      </w:r>
    </w:p>
    <w:p w14:paraId="336D4578">
      <w:pPr>
        <w:adjustRightInd w:val="0"/>
        <w:snapToGrid w:val="0"/>
        <w:spacing w:line="360" w:lineRule="auto"/>
        <w:ind w:firstLine="420" w:firstLineChars="200"/>
        <w:outlineLvl w:val="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附件2：法定代表人授权书(委托代理人参加磋商)</w:t>
      </w:r>
    </w:p>
    <w:p w14:paraId="3C8D8A28">
      <w:pPr>
        <w:adjustRightInd w:val="0"/>
        <w:snapToGrid w:val="0"/>
        <w:spacing w:line="360" w:lineRule="auto"/>
        <w:ind w:firstLine="420" w:firstLineChars="200"/>
        <w:outlineLvl w:val="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附件3：湖南省政府采购供应商资格承诺函</w:t>
      </w:r>
    </w:p>
    <w:p w14:paraId="277A9D69">
      <w:pPr>
        <w:adjustRightInd w:val="0"/>
        <w:snapToGrid w:val="0"/>
        <w:spacing w:line="360" w:lineRule="auto"/>
        <w:ind w:firstLine="420" w:firstLineChars="200"/>
        <w:outlineLvl w:val="9"/>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附件4：工程质量保修书</w:t>
      </w:r>
    </w:p>
    <w:p w14:paraId="32DFEFC2">
      <w:pPr>
        <w:adjustRightInd w:val="0"/>
        <w:snapToGrid w:val="0"/>
        <w:spacing w:line="360" w:lineRule="auto"/>
        <w:ind w:left="316" w:hanging="316"/>
        <w:jc w:val="left"/>
        <w:outlineLvl w:val="9"/>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二、保证金</w:t>
      </w:r>
    </w:p>
    <w:p w14:paraId="39078384">
      <w:pPr>
        <w:adjustRightInd w:val="0"/>
        <w:snapToGrid w:val="0"/>
        <w:spacing w:line="360" w:lineRule="auto"/>
        <w:ind w:left="316" w:hanging="316"/>
        <w:jc w:val="left"/>
        <w:outlineLvl w:val="9"/>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三、供应商的资格证明材料</w:t>
      </w:r>
    </w:p>
    <w:p w14:paraId="3FC25E00">
      <w:pPr>
        <w:adjustRightInd w:val="0"/>
        <w:snapToGrid w:val="0"/>
        <w:spacing w:line="360" w:lineRule="auto"/>
        <w:ind w:firstLine="420" w:firstLineChars="200"/>
        <w:jc w:val="left"/>
        <w:outlineLvl w:val="9"/>
        <w:rPr>
          <w:rFonts w:asciiTheme="minorEastAsia" w:hAnsiTheme="minorEastAsia" w:eastAsiaTheme="minorEastAsia" w:cstheme="minorEastAsia"/>
          <w:szCs w:val="21"/>
        </w:rPr>
      </w:pPr>
      <w:bookmarkStart w:id="128" w:name="_Toc18993"/>
      <w:bookmarkStart w:id="129" w:name="_Toc25253"/>
      <w:r>
        <w:rPr>
          <w:rFonts w:hint="eastAsia" w:asciiTheme="minorEastAsia" w:hAnsiTheme="minorEastAsia" w:eastAsiaTheme="minorEastAsia" w:cstheme="minorEastAsia"/>
          <w:szCs w:val="21"/>
        </w:rPr>
        <w:t>附件5：供应商基本情况表</w:t>
      </w:r>
      <w:bookmarkEnd w:id="128"/>
      <w:bookmarkEnd w:id="129"/>
    </w:p>
    <w:p w14:paraId="3B00DA3F">
      <w:pPr>
        <w:adjustRightInd w:val="0"/>
        <w:snapToGrid w:val="0"/>
        <w:spacing w:line="360" w:lineRule="auto"/>
        <w:ind w:firstLine="420" w:firstLineChars="200"/>
        <w:outlineLvl w:val="9"/>
        <w:rPr>
          <w:rFonts w:asciiTheme="minorEastAsia" w:hAnsiTheme="minorEastAsia" w:eastAsiaTheme="minorEastAsia" w:cstheme="minorEastAsia"/>
          <w:szCs w:val="21"/>
        </w:rPr>
      </w:pPr>
      <w:bookmarkStart w:id="130" w:name="_Toc26839"/>
      <w:bookmarkStart w:id="131" w:name="_Toc28494"/>
      <w:r>
        <w:rPr>
          <w:rFonts w:hint="eastAsia" w:asciiTheme="minorEastAsia" w:hAnsiTheme="minorEastAsia" w:eastAsiaTheme="minorEastAsia" w:cstheme="minorEastAsia"/>
          <w:szCs w:val="21"/>
        </w:rPr>
        <w:t>附件6：供应商的资格条件更新材料</w:t>
      </w:r>
      <w:bookmarkEnd w:id="130"/>
      <w:bookmarkEnd w:id="131"/>
    </w:p>
    <w:p w14:paraId="57B2514F">
      <w:pPr>
        <w:adjustRightInd w:val="0"/>
        <w:snapToGrid w:val="0"/>
        <w:spacing w:line="360" w:lineRule="auto"/>
        <w:ind w:firstLine="420" w:firstLineChars="200"/>
        <w:jc w:val="left"/>
        <w:outlineLvl w:val="9"/>
        <w:rPr>
          <w:rFonts w:asciiTheme="minorEastAsia" w:hAnsiTheme="minorEastAsia" w:eastAsiaTheme="minorEastAsia" w:cstheme="minorEastAsia"/>
          <w:szCs w:val="21"/>
        </w:rPr>
      </w:pPr>
      <w:bookmarkStart w:id="132" w:name="_Toc6333"/>
      <w:bookmarkStart w:id="133" w:name="_Toc27599"/>
      <w:r>
        <w:rPr>
          <w:rFonts w:hint="eastAsia" w:asciiTheme="minorEastAsia" w:hAnsiTheme="minorEastAsia" w:eastAsiaTheme="minorEastAsia" w:cstheme="minorEastAsia"/>
          <w:szCs w:val="21"/>
        </w:rPr>
        <w:t>附件7：磋商文件规定的基本资格条件证明资料</w:t>
      </w:r>
      <w:bookmarkEnd w:id="132"/>
      <w:bookmarkEnd w:id="133"/>
    </w:p>
    <w:p w14:paraId="54F8667C">
      <w:pPr>
        <w:adjustRightInd w:val="0"/>
        <w:snapToGrid w:val="0"/>
        <w:spacing w:line="360" w:lineRule="auto"/>
        <w:ind w:firstLine="420" w:firstLineChars="200"/>
        <w:jc w:val="left"/>
        <w:outlineLvl w:val="9"/>
        <w:rPr>
          <w:rFonts w:asciiTheme="minorEastAsia" w:hAnsiTheme="minorEastAsia" w:eastAsiaTheme="minorEastAsia" w:cstheme="minorEastAsia"/>
          <w:szCs w:val="21"/>
        </w:rPr>
      </w:pPr>
      <w:bookmarkStart w:id="134" w:name="_Toc30538"/>
      <w:bookmarkStart w:id="135" w:name="_Toc9712"/>
      <w:r>
        <w:rPr>
          <w:rFonts w:hint="eastAsia" w:asciiTheme="minorEastAsia" w:hAnsiTheme="minorEastAsia" w:eastAsiaTheme="minorEastAsia" w:cstheme="minorEastAsia"/>
          <w:szCs w:val="21"/>
        </w:rPr>
        <w:t>附件8：磋商文件规定的特定资格条件证明资料</w:t>
      </w:r>
      <w:bookmarkEnd w:id="134"/>
      <w:bookmarkEnd w:id="135"/>
    </w:p>
    <w:p w14:paraId="4C01D328">
      <w:pPr>
        <w:adjustRightInd w:val="0"/>
        <w:snapToGrid w:val="0"/>
        <w:spacing w:line="360" w:lineRule="auto"/>
        <w:ind w:left="316" w:hanging="316"/>
        <w:outlineLvl w:val="9"/>
        <w:rPr>
          <w:rFonts w:asciiTheme="minorEastAsia" w:hAnsiTheme="minorEastAsia" w:eastAsiaTheme="minorEastAsia" w:cstheme="minorEastAsia"/>
          <w:szCs w:val="21"/>
        </w:rPr>
      </w:pPr>
      <w:r>
        <w:rPr>
          <w:rFonts w:hint="eastAsia" w:asciiTheme="minorEastAsia" w:hAnsiTheme="minorEastAsia" w:eastAsiaTheme="minorEastAsia" w:cstheme="minorEastAsia"/>
          <w:b/>
        </w:rPr>
        <w:t>四、施工组织设计</w:t>
      </w:r>
    </w:p>
    <w:p w14:paraId="3CC7E33D">
      <w:pPr>
        <w:adjustRightInd w:val="0"/>
        <w:snapToGrid w:val="0"/>
        <w:spacing w:line="360" w:lineRule="auto"/>
        <w:ind w:firstLine="420" w:firstLineChars="200"/>
        <w:outlineLvl w:val="9"/>
        <w:rPr>
          <w:rFonts w:asciiTheme="minorEastAsia" w:hAnsiTheme="minorEastAsia" w:eastAsiaTheme="minorEastAsia" w:cstheme="minorEastAsia"/>
          <w:b/>
          <w:szCs w:val="21"/>
        </w:rPr>
      </w:pPr>
      <w:r>
        <w:rPr>
          <w:rFonts w:hint="eastAsia" w:asciiTheme="minorEastAsia" w:hAnsiTheme="minorEastAsia" w:eastAsiaTheme="minorEastAsia" w:cstheme="minorEastAsia"/>
          <w:szCs w:val="21"/>
        </w:rPr>
        <w:t>附件9：主要人员简历表</w:t>
      </w:r>
    </w:p>
    <w:p w14:paraId="72CFDA65">
      <w:pPr>
        <w:pStyle w:val="25"/>
        <w:adjustRightInd w:val="0"/>
        <w:snapToGrid w:val="0"/>
        <w:spacing w:line="360" w:lineRule="auto"/>
        <w:ind w:left="316" w:hanging="316"/>
        <w:outlineLvl w:val="9"/>
        <w:rPr>
          <w:rFonts w:asciiTheme="minorEastAsia" w:hAnsiTheme="minorEastAsia" w:eastAsiaTheme="minorEastAsia" w:cstheme="minorEastAsia"/>
          <w:b/>
        </w:rPr>
      </w:pPr>
      <w:r>
        <w:rPr>
          <w:rFonts w:hint="eastAsia" w:asciiTheme="minorEastAsia" w:hAnsiTheme="minorEastAsia" w:eastAsiaTheme="minorEastAsia" w:cstheme="minorEastAsia"/>
          <w:b/>
        </w:rPr>
        <w:t>五、技术/商务响应与偏离表</w:t>
      </w:r>
    </w:p>
    <w:p w14:paraId="39B775B9">
      <w:pPr>
        <w:pStyle w:val="25"/>
        <w:adjustRightInd w:val="0"/>
        <w:snapToGrid w:val="0"/>
        <w:spacing w:line="360" w:lineRule="auto"/>
        <w:ind w:left="316" w:hanging="316"/>
        <w:outlineLvl w:val="9"/>
        <w:rPr>
          <w:rFonts w:asciiTheme="minorEastAsia" w:hAnsiTheme="minorEastAsia" w:eastAsiaTheme="minorEastAsia" w:cstheme="minorEastAsia"/>
          <w:b/>
        </w:rPr>
      </w:pPr>
      <w:r>
        <w:rPr>
          <w:rFonts w:hint="eastAsia" w:asciiTheme="minorEastAsia" w:hAnsiTheme="minorEastAsia" w:eastAsiaTheme="minorEastAsia" w:cstheme="minorEastAsia"/>
          <w:b/>
        </w:rPr>
        <w:t>六、提供政府采购政策产品等证明材料</w:t>
      </w:r>
    </w:p>
    <w:p w14:paraId="3852580A">
      <w:pPr>
        <w:pStyle w:val="25"/>
        <w:adjustRightInd w:val="0"/>
        <w:snapToGrid w:val="0"/>
        <w:spacing w:line="360" w:lineRule="auto"/>
        <w:ind w:firstLine="420" w:firstLineChars="200"/>
        <w:outlineLvl w:val="9"/>
        <w:rPr>
          <w:rFonts w:asciiTheme="minorEastAsia" w:hAnsiTheme="minorEastAsia" w:eastAsiaTheme="minorEastAsia" w:cstheme="minorEastAsia"/>
        </w:rPr>
      </w:pPr>
      <w:r>
        <w:rPr>
          <w:rFonts w:hint="eastAsia" w:asciiTheme="minorEastAsia" w:hAnsiTheme="minorEastAsia" w:eastAsiaTheme="minorEastAsia" w:cstheme="minorEastAsia"/>
        </w:rPr>
        <w:t>附件9：中小企业声明函</w:t>
      </w:r>
    </w:p>
    <w:p w14:paraId="2D169689">
      <w:pPr>
        <w:pStyle w:val="25"/>
        <w:adjustRightInd w:val="0"/>
        <w:snapToGrid w:val="0"/>
        <w:spacing w:line="360" w:lineRule="auto"/>
        <w:ind w:left="316" w:hanging="316"/>
        <w:outlineLvl w:val="9"/>
        <w:rPr>
          <w:rFonts w:asciiTheme="minorEastAsia" w:hAnsiTheme="minorEastAsia" w:eastAsiaTheme="minorEastAsia" w:cstheme="minorEastAsia"/>
          <w:b/>
        </w:rPr>
      </w:pPr>
      <w:r>
        <w:rPr>
          <w:rFonts w:hint="eastAsia" w:asciiTheme="minorEastAsia" w:hAnsiTheme="minorEastAsia" w:eastAsiaTheme="minorEastAsia" w:cstheme="minorEastAsia"/>
          <w:b/>
        </w:rPr>
        <w:t>七、报价一览表及报价文件</w:t>
      </w:r>
    </w:p>
    <w:p w14:paraId="31F3E146">
      <w:pPr>
        <w:adjustRightInd w:val="0"/>
        <w:snapToGrid w:val="0"/>
        <w:spacing w:line="360" w:lineRule="auto"/>
        <w:ind w:firstLine="420" w:firstLineChars="200"/>
        <w:jc w:val="left"/>
        <w:outlineLvl w:val="9"/>
        <w:rPr>
          <w:rFonts w:asciiTheme="minorEastAsia" w:hAnsiTheme="minorEastAsia" w:eastAsiaTheme="minorEastAsia" w:cstheme="minorEastAsia"/>
          <w:szCs w:val="21"/>
        </w:rPr>
      </w:pPr>
      <w:bookmarkStart w:id="136" w:name="_Toc2229"/>
      <w:bookmarkStart w:id="137" w:name="_Toc15828"/>
      <w:r>
        <w:rPr>
          <w:rFonts w:hint="eastAsia" w:asciiTheme="minorEastAsia" w:hAnsiTheme="minorEastAsia" w:eastAsiaTheme="minorEastAsia" w:cstheme="minorEastAsia"/>
          <w:szCs w:val="21"/>
        </w:rPr>
        <w:t>附件10：报价一览表及报价文件</w:t>
      </w:r>
      <w:bookmarkEnd w:id="136"/>
      <w:bookmarkEnd w:id="137"/>
    </w:p>
    <w:p w14:paraId="4FA5F696">
      <w:pPr>
        <w:adjustRightInd w:val="0"/>
        <w:snapToGrid w:val="0"/>
        <w:spacing w:line="360" w:lineRule="auto"/>
        <w:ind w:firstLine="420" w:firstLineChars="200"/>
        <w:jc w:val="left"/>
        <w:outlineLvl w:val="9"/>
        <w:rPr>
          <w:rFonts w:asciiTheme="minorEastAsia" w:hAnsiTheme="minorEastAsia" w:eastAsiaTheme="minorEastAsia" w:cstheme="minorEastAsia"/>
          <w:szCs w:val="21"/>
        </w:rPr>
      </w:pPr>
      <w:bookmarkStart w:id="138" w:name="_Toc32209"/>
      <w:bookmarkStart w:id="139" w:name="_Toc23594"/>
      <w:r>
        <w:rPr>
          <w:rFonts w:hint="eastAsia" w:asciiTheme="minorEastAsia" w:hAnsiTheme="minorEastAsia" w:eastAsiaTheme="minorEastAsia" w:cstheme="minorEastAsia"/>
          <w:szCs w:val="21"/>
        </w:rPr>
        <w:t>附件11：分项报价表</w:t>
      </w:r>
      <w:bookmarkEnd w:id="138"/>
      <w:bookmarkEnd w:id="139"/>
    </w:p>
    <w:p w14:paraId="0BD6FADC">
      <w:pPr>
        <w:pStyle w:val="25"/>
        <w:numPr>
          <w:ilvl w:val="0"/>
          <w:numId w:val="0"/>
        </w:numPr>
        <w:adjustRightInd w:val="0"/>
        <w:snapToGrid w:val="0"/>
        <w:spacing w:line="360" w:lineRule="auto"/>
        <w:ind w:left="316" w:leftChars="0" w:hanging="316" w:firstLineChars="0"/>
        <w:outlineLvl w:val="9"/>
        <w:rPr>
          <w:rFonts w:asciiTheme="minorEastAsia" w:hAnsiTheme="minorEastAsia" w:eastAsiaTheme="minorEastAsia" w:cstheme="minorEastAsia"/>
          <w:b/>
        </w:rPr>
      </w:pPr>
      <w:r>
        <w:rPr>
          <w:rFonts w:hint="eastAsia" w:asciiTheme="minorEastAsia" w:hAnsiTheme="minorEastAsia" w:eastAsiaTheme="minorEastAsia" w:cstheme="minorEastAsia"/>
          <w:b/>
          <w:kern w:val="2"/>
          <w:sz w:val="21"/>
          <w:szCs w:val="21"/>
          <w:lang w:val="en-US" w:eastAsia="zh-CN" w:bidi="ar-SA"/>
        </w:rPr>
        <w:t>八、</w:t>
      </w:r>
      <w:r>
        <w:rPr>
          <w:rFonts w:hint="eastAsia" w:asciiTheme="minorEastAsia" w:hAnsiTheme="minorEastAsia" w:eastAsiaTheme="minorEastAsia" w:cstheme="minorEastAsia"/>
          <w:b/>
        </w:rPr>
        <w:t>供应商认为需提供的其它资料</w:t>
      </w:r>
    </w:p>
    <w:p w14:paraId="4EA923D0">
      <w:pPr>
        <w:adjustRightInd w:val="0"/>
        <w:snapToGrid w:val="0"/>
        <w:spacing w:line="360" w:lineRule="auto"/>
        <w:ind w:firstLine="420" w:firstLineChars="200"/>
        <w:outlineLvl w:val="9"/>
      </w:pPr>
      <w:r>
        <w:rPr>
          <w:rFonts w:hint="eastAsia" w:asciiTheme="minorEastAsia" w:hAnsiTheme="minorEastAsia" w:eastAsiaTheme="minorEastAsia" w:cstheme="minorEastAsia"/>
          <w:szCs w:val="21"/>
        </w:rPr>
        <w:t>附件12：主要人员简历表</w:t>
      </w:r>
    </w:p>
    <w:p w14:paraId="0295D488">
      <w:pPr>
        <w:pStyle w:val="25"/>
        <w:adjustRightInd w:val="0"/>
        <w:snapToGrid w:val="0"/>
        <w:spacing w:line="360" w:lineRule="auto"/>
        <w:ind w:left="316" w:hanging="316"/>
        <w:outlineLvl w:val="9"/>
        <w:rPr>
          <w:rFonts w:asciiTheme="minorEastAsia" w:hAnsiTheme="minorEastAsia" w:eastAsiaTheme="minorEastAsia" w:cstheme="minorEastAsia"/>
          <w:b/>
        </w:rPr>
      </w:pPr>
      <w:r>
        <w:rPr>
          <w:rFonts w:hint="eastAsia" w:asciiTheme="minorEastAsia" w:hAnsiTheme="minorEastAsia" w:eastAsiaTheme="minorEastAsia" w:cstheme="minorEastAsia"/>
          <w:b/>
        </w:rPr>
        <w:t>九、最后报价</w:t>
      </w:r>
    </w:p>
    <w:p w14:paraId="4265CD43">
      <w:pPr>
        <w:pStyle w:val="25"/>
        <w:adjustRightInd w:val="0"/>
        <w:snapToGrid w:val="0"/>
        <w:spacing w:line="360" w:lineRule="auto"/>
        <w:ind w:left="482" w:hanging="482"/>
        <w:jc w:val="center"/>
        <w:rPr>
          <w:rFonts w:hAnsi="宋体"/>
          <w:b/>
          <w:sz w:val="32"/>
          <w:szCs w:val="32"/>
        </w:rPr>
      </w:pPr>
      <w:r>
        <w:rPr>
          <w:rFonts w:hint="eastAsia" w:hAnsi="宋体"/>
          <w:b/>
          <w:sz w:val="32"/>
          <w:szCs w:val="32"/>
        </w:rPr>
        <w:br w:type="page"/>
      </w:r>
    </w:p>
    <w:p w14:paraId="716C4098">
      <w:pPr>
        <w:pStyle w:val="25"/>
        <w:adjustRightInd w:val="0"/>
        <w:snapToGrid w:val="0"/>
        <w:spacing w:line="360" w:lineRule="auto"/>
        <w:ind w:left="482" w:hanging="482"/>
        <w:jc w:val="center"/>
        <w:rPr>
          <w:rFonts w:hAnsi="宋体"/>
          <w:b/>
          <w:sz w:val="32"/>
          <w:szCs w:val="32"/>
        </w:rPr>
      </w:pPr>
    </w:p>
    <w:p w14:paraId="06927ABD">
      <w:pPr>
        <w:ind w:left="482" w:hanging="482"/>
        <w:rPr>
          <w:rFonts w:hAnsi="宋体"/>
          <w:b/>
          <w:sz w:val="32"/>
          <w:szCs w:val="32"/>
        </w:rPr>
      </w:pPr>
    </w:p>
    <w:p w14:paraId="3B543BC4">
      <w:pPr>
        <w:ind w:left="482" w:hanging="482"/>
        <w:rPr>
          <w:rFonts w:hAnsi="宋体"/>
          <w:b/>
          <w:sz w:val="32"/>
          <w:szCs w:val="32"/>
        </w:rPr>
      </w:pPr>
    </w:p>
    <w:p w14:paraId="5C043AD6">
      <w:pPr>
        <w:ind w:left="482" w:hanging="482"/>
        <w:rPr>
          <w:rFonts w:hAnsi="宋体"/>
          <w:b/>
          <w:sz w:val="32"/>
          <w:szCs w:val="32"/>
        </w:rPr>
      </w:pPr>
    </w:p>
    <w:p w14:paraId="68110610">
      <w:pPr>
        <w:adjustRightInd w:val="0"/>
        <w:snapToGrid w:val="0"/>
        <w:spacing w:line="360" w:lineRule="auto"/>
        <w:ind w:left="1084" w:hanging="1084"/>
        <w:jc w:val="center"/>
        <w:rPr>
          <w:rFonts w:hAnsi="宋体"/>
          <w:b/>
          <w:bCs/>
          <w:sz w:val="72"/>
          <w:szCs w:val="72"/>
        </w:rPr>
      </w:pPr>
      <w:r>
        <w:rPr>
          <w:rFonts w:hint="eastAsia" w:hAnsi="宋体"/>
          <w:b/>
          <w:bCs/>
          <w:sz w:val="72"/>
          <w:szCs w:val="72"/>
        </w:rPr>
        <w:t>竞争性磋商</w:t>
      </w:r>
    </w:p>
    <w:p w14:paraId="181D228C">
      <w:pPr>
        <w:adjustRightInd w:val="0"/>
        <w:snapToGrid w:val="0"/>
        <w:spacing w:line="360" w:lineRule="auto"/>
        <w:ind w:left="1265" w:hanging="1265"/>
        <w:jc w:val="center"/>
        <w:rPr>
          <w:rFonts w:ascii="宋体" w:hAnsi="宋体"/>
          <w:b/>
          <w:bCs/>
          <w:sz w:val="84"/>
          <w:szCs w:val="84"/>
        </w:rPr>
      </w:pPr>
      <w:r>
        <w:rPr>
          <w:rFonts w:hint="eastAsia" w:ascii="宋体" w:hAnsi="宋体"/>
          <w:b/>
          <w:bCs/>
          <w:sz w:val="84"/>
          <w:szCs w:val="84"/>
        </w:rPr>
        <w:t>响 应 文 件</w:t>
      </w:r>
    </w:p>
    <w:p w14:paraId="59E9384E">
      <w:pPr>
        <w:adjustRightInd w:val="0"/>
        <w:snapToGrid w:val="0"/>
        <w:spacing w:line="360" w:lineRule="auto"/>
        <w:ind w:left="482" w:hanging="482"/>
        <w:rPr>
          <w:rFonts w:ascii="黑体" w:hAnsi="黑体" w:eastAsia="黑体"/>
          <w:b/>
          <w:sz w:val="32"/>
          <w:szCs w:val="32"/>
        </w:rPr>
      </w:pPr>
    </w:p>
    <w:p w14:paraId="366CB507">
      <w:pPr>
        <w:adjustRightInd w:val="0"/>
        <w:snapToGrid w:val="0"/>
        <w:spacing w:line="360" w:lineRule="auto"/>
        <w:ind w:left="482" w:hanging="482"/>
        <w:rPr>
          <w:rFonts w:ascii="宋体" w:hAnsi="宋体"/>
          <w:b/>
          <w:sz w:val="30"/>
          <w:szCs w:val="30"/>
        </w:rPr>
      </w:pPr>
      <w:r>
        <w:rPr>
          <w:rFonts w:hint="eastAsia" w:ascii="宋体" w:hAnsi="宋体"/>
          <w:b/>
          <w:sz w:val="32"/>
          <w:szCs w:val="32"/>
        </w:rPr>
        <w:t xml:space="preserve">                     </w:t>
      </w:r>
    </w:p>
    <w:p w14:paraId="50C078F0">
      <w:pPr>
        <w:pStyle w:val="25"/>
        <w:adjustRightInd w:val="0"/>
        <w:snapToGrid w:val="0"/>
        <w:spacing w:line="360" w:lineRule="auto"/>
        <w:ind w:firstLine="602" w:firstLineChars="200"/>
        <w:rPr>
          <w:rFonts w:hAnsi="宋体" w:cs="宋体"/>
          <w:b/>
          <w:bCs/>
          <w:sz w:val="30"/>
          <w:szCs w:val="30"/>
          <w:u w:val="single"/>
        </w:rPr>
      </w:pPr>
      <w:r>
        <w:rPr>
          <w:rFonts w:hint="eastAsia" w:hAnsi="宋体" w:cs="宋体"/>
          <w:b/>
          <w:bCs/>
          <w:sz w:val="30"/>
          <w:szCs w:val="30"/>
        </w:rPr>
        <w:t xml:space="preserve">采购项目名称： </w:t>
      </w:r>
      <w:r>
        <w:rPr>
          <w:rFonts w:hint="eastAsia" w:hAnsi="宋体" w:cs="宋体"/>
          <w:b/>
          <w:bCs/>
          <w:sz w:val="30"/>
          <w:szCs w:val="30"/>
          <w:u w:val="single"/>
        </w:rPr>
        <w:t xml:space="preserve">                                 </w:t>
      </w:r>
    </w:p>
    <w:p w14:paraId="4F287CEC">
      <w:pPr>
        <w:pStyle w:val="25"/>
        <w:adjustRightInd w:val="0"/>
        <w:snapToGrid w:val="0"/>
        <w:spacing w:line="360" w:lineRule="auto"/>
        <w:ind w:firstLine="602" w:firstLineChars="200"/>
        <w:rPr>
          <w:rFonts w:hAnsi="宋体" w:cs="宋体"/>
          <w:b/>
          <w:bCs/>
          <w:sz w:val="30"/>
          <w:szCs w:val="30"/>
        </w:rPr>
      </w:pPr>
      <w:r>
        <w:rPr>
          <w:rFonts w:hint="eastAsia" w:hAnsi="宋体" w:cs="宋体"/>
          <w:b/>
          <w:bCs/>
          <w:sz w:val="30"/>
          <w:szCs w:val="30"/>
        </w:rPr>
        <w:t>采   购   人：</w:t>
      </w:r>
      <w:r>
        <w:rPr>
          <w:rFonts w:hint="eastAsia" w:hAnsi="宋体" w:cs="宋体"/>
          <w:b/>
          <w:bCs/>
          <w:sz w:val="30"/>
          <w:szCs w:val="30"/>
          <w:u w:val="single"/>
        </w:rPr>
        <w:t xml:space="preserve">                                  </w:t>
      </w:r>
    </w:p>
    <w:p w14:paraId="7404652F">
      <w:pPr>
        <w:pStyle w:val="25"/>
        <w:adjustRightInd w:val="0"/>
        <w:snapToGrid w:val="0"/>
        <w:spacing w:line="360" w:lineRule="auto"/>
        <w:ind w:firstLine="602" w:firstLineChars="200"/>
        <w:rPr>
          <w:rFonts w:hAnsi="宋体" w:cs="宋体"/>
          <w:b/>
          <w:bCs/>
          <w:sz w:val="30"/>
          <w:szCs w:val="30"/>
          <w:u w:val="single"/>
        </w:rPr>
      </w:pPr>
      <w:r>
        <w:rPr>
          <w:rFonts w:hint="eastAsia" w:hAnsi="宋体" w:cs="宋体"/>
          <w:b/>
          <w:bCs/>
          <w:sz w:val="30"/>
          <w:szCs w:val="30"/>
        </w:rPr>
        <w:t>代 理 编 号 ：</w:t>
      </w:r>
      <w:r>
        <w:rPr>
          <w:rFonts w:hint="eastAsia" w:hAnsi="宋体" w:cs="宋体"/>
          <w:b/>
          <w:bCs/>
          <w:sz w:val="30"/>
          <w:szCs w:val="30"/>
          <w:u w:val="single"/>
        </w:rPr>
        <w:t xml:space="preserve">                                  </w:t>
      </w:r>
    </w:p>
    <w:p w14:paraId="448D7783">
      <w:pPr>
        <w:pStyle w:val="25"/>
        <w:adjustRightInd w:val="0"/>
        <w:snapToGrid w:val="0"/>
        <w:spacing w:line="360" w:lineRule="auto"/>
        <w:ind w:firstLine="602" w:firstLineChars="200"/>
        <w:rPr>
          <w:rFonts w:hAnsi="宋体" w:cs="宋体"/>
          <w:b/>
          <w:bCs/>
          <w:sz w:val="30"/>
          <w:szCs w:val="30"/>
          <w:u w:val="single"/>
        </w:rPr>
      </w:pPr>
      <w:r>
        <w:rPr>
          <w:rFonts w:hint="eastAsia" w:hAnsi="宋体" w:cs="宋体"/>
          <w:b/>
          <w:bCs/>
          <w:sz w:val="30"/>
          <w:szCs w:val="30"/>
        </w:rPr>
        <w:t>采购代理机构：</w:t>
      </w:r>
      <w:r>
        <w:rPr>
          <w:rFonts w:hint="eastAsia" w:hAnsi="宋体" w:cs="宋体"/>
          <w:b/>
          <w:bCs/>
          <w:sz w:val="30"/>
          <w:szCs w:val="30"/>
          <w:u w:val="single"/>
        </w:rPr>
        <w:t xml:space="preserve">                                  </w:t>
      </w:r>
    </w:p>
    <w:p w14:paraId="1C5B6C86">
      <w:pPr>
        <w:adjustRightInd w:val="0"/>
        <w:snapToGrid w:val="0"/>
        <w:spacing w:line="360" w:lineRule="auto"/>
        <w:ind w:firstLine="1928" w:firstLineChars="600"/>
        <w:rPr>
          <w:rFonts w:ascii="宋体" w:hAnsi="宋体" w:cs="宋体"/>
          <w:b/>
          <w:bCs/>
          <w:sz w:val="32"/>
          <w:szCs w:val="32"/>
        </w:rPr>
      </w:pPr>
    </w:p>
    <w:p w14:paraId="5EFBE7E2">
      <w:pPr>
        <w:adjustRightInd w:val="0"/>
        <w:snapToGrid w:val="0"/>
        <w:spacing w:line="360" w:lineRule="auto"/>
        <w:ind w:firstLine="1928" w:firstLineChars="600"/>
        <w:rPr>
          <w:rFonts w:ascii="宋体" w:hAnsi="宋体" w:cs="宋体"/>
          <w:b/>
          <w:bCs/>
          <w:sz w:val="32"/>
          <w:szCs w:val="32"/>
        </w:rPr>
      </w:pPr>
    </w:p>
    <w:p w14:paraId="35CFAB1F">
      <w:pPr>
        <w:adjustRightInd w:val="0"/>
        <w:snapToGrid w:val="0"/>
        <w:spacing w:line="360" w:lineRule="auto"/>
        <w:ind w:firstLine="1928" w:firstLineChars="600"/>
        <w:rPr>
          <w:rFonts w:ascii="宋体" w:hAnsi="宋体" w:cs="宋体"/>
          <w:b/>
          <w:bCs/>
          <w:sz w:val="32"/>
          <w:szCs w:val="32"/>
          <w:u w:val="single"/>
        </w:rPr>
      </w:pPr>
      <w:r>
        <w:rPr>
          <w:rFonts w:hint="eastAsia" w:ascii="宋体" w:hAnsi="宋体" w:cs="宋体"/>
          <w:b/>
          <w:bCs/>
          <w:sz w:val="32"/>
          <w:szCs w:val="32"/>
        </w:rPr>
        <w:t>供应商：</w:t>
      </w:r>
      <w:r>
        <w:rPr>
          <w:rFonts w:hint="eastAsia" w:ascii="宋体" w:hAnsi="宋体" w:cs="宋体"/>
          <w:b/>
          <w:bCs/>
          <w:sz w:val="32"/>
          <w:szCs w:val="32"/>
          <w:u w:val="single"/>
        </w:rPr>
        <w:t xml:space="preserve">                         </w:t>
      </w:r>
    </w:p>
    <w:p w14:paraId="213962AB">
      <w:pPr>
        <w:ind w:left="482" w:hanging="482"/>
        <w:jc w:val="center"/>
        <w:rPr>
          <w:rFonts w:ascii="宋体" w:hAnsi="宋体" w:cs="宋体"/>
          <w:b/>
          <w:bCs/>
          <w:sz w:val="32"/>
          <w:szCs w:val="32"/>
        </w:rPr>
      </w:pPr>
    </w:p>
    <w:p w14:paraId="081C7661">
      <w:pPr>
        <w:ind w:left="482" w:hanging="482"/>
        <w:jc w:val="center"/>
        <w:rPr>
          <w:rFonts w:ascii="宋体" w:hAnsi="宋体" w:cs="宋体"/>
          <w:b/>
          <w:bCs/>
          <w:sz w:val="32"/>
          <w:szCs w:val="32"/>
        </w:rPr>
      </w:pPr>
    </w:p>
    <w:p w14:paraId="58DB42A6">
      <w:pPr>
        <w:ind w:left="482" w:hanging="482"/>
        <w:jc w:val="center"/>
        <w:rPr>
          <w:rFonts w:ascii="宋体" w:hAnsi="宋体" w:cs="宋体"/>
          <w:b/>
          <w:bCs/>
          <w:sz w:val="32"/>
          <w:szCs w:val="32"/>
        </w:rPr>
      </w:pPr>
      <w:r>
        <w:rPr>
          <w:rFonts w:hint="eastAsia" w:ascii="宋体" w:hAnsi="宋体" w:cs="宋体"/>
          <w:b/>
          <w:bCs/>
          <w:sz w:val="32"/>
          <w:szCs w:val="32"/>
        </w:rPr>
        <w:t>年  月  日</w:t>
      </w:r>
    </w:p>
    <w:p w14:paraId="5B7D0F43">
      <w:pPr>
        <w:rPr>
          <w:rFonts w:ascii="宋体" w:hAnsi="宋体"/>
          <w:b/>
          <w:sz w:val="32"/>
          <w:szCs w:val="32"/>
        </w:rPr>
      </w:pPr>
      <w:r>
        <w:rPr>
          <w:rFonts w:ascii="宋体" w:hAnsi="宋体"/>
          <w:b/>
          <w:sz w:val="32"/>
          <w:szCs w:val="32"/>
        </w:rPr>
        <w:br w:type="page"/>
      </w:r>
    </w:p>
    <w:p w14:paraId="625D6E5E">
      <w:pPr>
        <w:pStyle w:val="4"/>
        <w:bidi w:val="0"/>
        <w:jc w:val="center"/>
      </w:pPr>
      <w:bookmarkStart w:id="140" w:name="_Toc13223"/>
      <w:bookmarkStart w:id="141" w:name="_Toc16956"/>
      <w:r>
        <w:rPr>
          <w:rFonts w:hint="eastAsia"/>
        </w:rPr>
        <w:t>一、磋商响应声明</w:t>
      </w:r>
      <w:bookmarkEnd w:id="140"/>
      <w:bookmarkEnd w:id="141"/>
    </w:p>
    <w:p w14:paraId="5591BD39">
      <w:pPr>
        <w:adjustRightInd w:val="0"/>
        <w:snapToGrid w:val="0"/>
        <w:spacing w:line="360" w:lineRule="auto"/>
        <w:ind w:left="360" w:hanging="360"/>
        <w:rPr>
          <w:rFonts w:ascii="宋体" w:hAnsi="宋体"/>
          <w:sz w:val="24"/>
        </w:rPr>
      </w:pPr>
    </w:p>
    <w:p w14:paraId="297B42A8">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 xml:space="preserve"> (采购人或采购代理机构)：</w:t>
      </w:r>
    </w:p>
    <w:p w14:paraId="1B023A6A">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cs="宋体"/>
          <w:szCs w:val="21"/>
        </w:rPr>
      </w:pPr>
      <w:r>
        <w:rPr>
          <w:rFonts w:hint="eastAsia" w:ascii="宋体" w:hAnsi="宋体" w:cs="宋体"/>
          <w:szCs w:val="21"/>
        </w:rPr>
        <w:t>根据贵方为</w:t>
      </w:r>
      <w:r>
        <w:rPr>
          <w:rFonts w:hint="eastAsia" w:ascii="宋体" w:hAnsi="宋体" w:cs="宋体"/>
          <w:szCs w:val="21"/>
          <w:u w:val="single"/>
        </w:rPr>
        <w:t xml:space="preserve">           </w:t>
      </w:r>
      <w:r>
        <w:rPr>
          <w:rFonts w:hint="eastAsia" w:ascii="宋体" w:hAnsi="宋体" w:cs="宋体"/>
          <w:szCs w:val="21"/>
        </w:rPr>
        <w:t>（项目名称）的磋商邀请（采购代理编号：</w:t>
      </w:r>
      <w:r>
        <w:rPr>
          <w:rFonts w:hint="eastAsia" w:ascii="宋体" w:hAnsi="宋体" w:cs="宋体"/>
          <w:szCs w:val="21"/>
          <w:u w:val="single"/>
        </w:rPr>
        <w:t xml:space="preserve">         </w:t>
      </w:r>
      <w:r>
        <w:rPr>
          <w:rFonts w:hint="eastAsia" w:ascii="宋体" w:hAnsi="宋体" w:cs="宋体"/>
          <w:szCs w:val="21"/>
        </w:rPr>
        <w:t xml:space="preserve">），签字代表 </w:t>
      </w:r>
      <w:r>
        <w:rPr>
          <w:rFonts w:hint="eastAsia" w:ascii="宋体" w:hAnsi="宋体" w:cs="宋体"/>
          <w:szCs w:val="21"/>
          <w:u w:val="single"/>
        </w:rPr>
        <w:t xml:space="preserve">      </w:t>
      </w:r>
      <w:r>
        <w:rPr>
          <w:rFonts w:hint="eastAsia" w:ascii="宋体" w:hAnsi="宋体" w:cs="宋体"/>
          <w:szCs w:val="21"/>
        </w:rPr>
        <w:t>（姓名、职务）经正式授权并代表供应商</w:t>
      </w:r>
      <w:r>
        <w:rPr>
          <w:rFonts w:hint="eastAsia" w:ascii="宋体" w:hAnsi="宋体" w:cs="宋体"/>
          <w:szCs w:val="21"/>
          <w:u w:val="single"/>
        </w:rPr>
        <w:t xml:space="preserve">       </w:t>
      </w:r>
      <w:r>
        <w:rPr>
          <w:rFonts w:hint="eastAsia" w:ascii="宋体" w:hAnsi="宋体" w:cs="宋体"/>
          <w:szCs w:val="21"/>
        </w:rPr>
        <w:t xml:space="preserve"> （供应商名称）提交响应文件正本一份，副本</w:t>
      </w:r>
      <w:r>
        <w:rPr>
          <w:rFonts w:hint="eastAsia" w:ascii="宋体" w:hAnsi="宋体" w:cs="宋体"/>
          <w:szCs w:val="21"/>
          <w:u w:val="single"/>
        </w:rPr>
        <w:t xml:space="preserve">     </w:t>
      </w:r>
      <w:r>
        <w:rPr>
          <w:rFonts w:hint="eastAsia" w:ascii="宋体" w:hAnsi="宋体" w:cs="宋体"/>
          <w:szCs w:val="21"/>
        </w:rPr>
        <w:t>份；响应文件电子文档：</w:t>
      </w:r>
      <w:r>
        <w:rPr>
          <w:rFonts w:hint="eastAsia" w:ascii="宋体" w:hAnsi="宋体" w:cs="宋体"/>
          <w:szCs w:val="21"/>
          <w:u w:val="single"/>
        </w:rPr>
        <w:t xml:space="preserve"> 一 </w:t>
      </w:r>
      <w:r>
        <w:rPr>
          <w:rFonts w:hint="eastAsia" w:ascii="宋体" w:hAnsi="宋体" w:cs="宋体"/>
          <w:szCs w:val="21"/>
        </w:rPr>
        <w:t>份，参加本次采购项目，并在此声明，所递交的响应文件内容完整、真实。</w:t>
      </w:r>
    </w:p>
    <w:p w14:paraId="0421AA3C">
      <w:pPr>
        <w:pStyle w:val="25"/>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hAnsi="宋体" w:cs="宋体"/>
        </w:rPr>
      </w:pPr>
      <w:r>
        <w:rPr>
          <w:rFonts w:hint="eastAsia" w:hAnsi="宋体" w:cs="宋体"/>
        </w:rPr>
        <w:t>一、我方已详细审查磋商文件。我们完全理解并同意放弃对这方面有不明及误解的权力。</w:t>
      </w:r>
    </w:p>
    <w:p w14:paraId="24612F64">
      <w:pPr>
        <w:pStyle w:val="25"/>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hAnsi="宋体" w:cs="宋体"/>
          <w:bCs/>
        </w:rPr>
      </w:pPr>
      <w:r>
        <w:rPr>
          <w:rFonts w:hint="eastAsia" w:hAnsi="宋体" w:cs="宋体"/>
        </w:rPr>
        <w:t>二、我方愿意向贵方提供任何与本项采购有关的数据、情况和技术资料。若贵方需要，我方愿意提供我方作出的一切承诺的证明材料。</w:t>
      </w:r>
    </w:p>
    <w:p w14:paraId="6567FD03">
      <w:pPr>
        <w:pStyle w:val="25"/>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hAnsi="宋体" w:cs="宋体"/>
        </w:rPr>
      </w:pPr>
      <w:r>
        <w:rPr>
          <w:rFonts w:hint="eastAsia" w:hAnsi="宋体" w:cs="宋体"/>
        </w:rPr>
        <w:t>三、我方愿意按磋商文件规定和磋商小组要求重新提交响应文件和最后报价。</w:t>
      </w:r>
    </w:p>
    <w:p w14:paraId="56A11EA2">
      <w:pPr>
        <w:pStyle w:val="25"/>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hAnsi="宋体" w:cs="宋体"/>
        </w:rPr>
      </w:pPr>
      <w:r>
        <w:rPr>
          <w:rFonts w:hint="eastAsia" w:hAnsi="宋体" w:cs="宋体"/>
        </w:rPr>
        <w:t>四、我方同意在磋商文件中规定的提交首次响应文件截止时间起</w:t>
      </w:r>
      <w:r>
        <w:rPr>
          <w:rFonts w:hint="eastAsia" w:hAnsi="宋体" w:cs="宋体"/>
          <w:u w:val="single"/>
        </w:rPr>
        <w:t xml:space="preserve">    </w:t>
      </w:r>
      <w:r>
        <w:rPr>
          <w:rFonts w:hint="eastAsia" w:hAnsi="宋体" w:cs="宋体"/>
        </w:rPr>
        <w:t>日内(响应文件有效期)遵守本响应文件中的承诺且在此期限期满之前均具有法律约束力。</w:t>
      </w:r>
    </w:p>
    <w:p w14:paraId="29A9DE94">
      <w:pPr>
        <w:pStyle w:val="25"/>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hAnsi="宋体" w:cs="宋体"/>
          <w:color w:val="auto"/>
        </w:rPr>
      </w:pPr>
      <w:r>
        <w:rPr>
          <w:rFonts w:hint="eastAsia" w:hAnsi="宋体" w:cs="宋体"/>
          <w:color w:val="auto"/>
        </w:rPr>
        <w:t>五、我方承诺遵守《</w:t>
      </w:r>
      <w:r>
        <w:rPr>
          <w:rFonts w:hint="eastAsia" w:hAnsi="宋体" w:cs="宋体"/>
          <w:color w:val="auto"/>
          <w:lang w:val="en-US" w:eastAsia="zh-CN"/>
        </w:rPr>
        <w:t>政府</w:t>
      </w:r>
      <w:r>
        <w:rPr>
          <w:rFonts w:hint="eastAsia" w:hAnsi="宋体" w:cs="宋体"/>
          <w:color w:val="auto"/>
        </w:rPr>
        <w:t>采购法》及实施条例、《</w:t>
      </w:r>
      <w:r>
        <w:rPr>
          <w:rFonts w:hint="eastAsia" w:hAnsi="宋体" w:cs="宋体"/>
          <w:color w:val="auto"/>
          <w:lang w:val="en-US" w:eastAsia="zh-CN"/>
        </w:rPr>
        <w:t>政府</w:t>
      </w:r>
      <w:r>
        <w:rPr>
          <w:rFonts w:hint="eastAsia" w:hAnsi="宋体" w:cs="宋体"/>
          <w:color w:val="auto"/>
        </w:rPr>
        <w:t>采购非招标方式管理办法》（财政部第74号令）的有关规定，保证在获得成交资格后，按照磋商文件确定的事项签订招标采购合同，履行双方所签订的合同，并承担合同规定的责任和义务。</w:t>
      </w:r>
    </w:p>
    <w:p w14:paraId="65770681">
      <w:pPr>
        <w:pStyle w:val="25"/>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hAnsi="宋体" w:cs="宋体"/>
        </w:rPr>
      </w:pPr>
      <w:r>
        <w:rPr>
          <w:rFonts w:hint="eastAsia" w:hAnsi="宋体" w:cs="宋体"/>
          <w:color w:val="auto"/>
        </w:rPr>
        <w:t>六、我方承诺在参与竞争性磋商过程中，若出现《</w:t>
      </w:r>
      <w:r>
        <w:rPr>
          <w:rFonts w:hint="eastAsia" w:hAnsi="宋体" w:cs="宋体"/>
          <w:color w:val="auto"/>
          <w:lang w:val="en-US" w:eastAsia="zh-CN"/>
        </w:rPr>
        <w:t>政府</w:t>
      </w:r>
      <w:r>
        <w:rPr>
          <w:rFonts w:hint="eastAsia" w:hAnsi="宋体" w:cs="宋体"/>
          <w:color w:val="auto"/>
        </w:rPr>
        <w:t>采购法》第七十七条、《</w:t>
      </w:r>
      <w:r>
        <w:rPr>
          <w:rFonts w:hint="eastAsia" w:hAnsi="宋体" w:cs="宋体"/>
          <w:color w:val="auto"/>
          <w:lang w:val="en-US" w:eastAsia="zh-CN"/>
        </w:rPr>
        <w:t>政府</w:t>
      </w:r>
      <w:r>
        <w:rPr>
          <w:rFonts w:hint="eastAsia" w:hAnsi="宋体" w:cs="宋体"/>
          <w:color w:val="auto"/>
        </w:rPr>
        <w:t>采购法实施条例》第七十二条和《</w:t>
      </w:r>
      <w:r>
        <w:rPr>
          <w:rFonts w:hint="eastAsia" w:hAnsi="宋体" w:cs="宋体"/>
          <w:color w:val="auto"/>
          <w:lang w:val="en-US" w:eastAsia="zh-CN"/>
        </w:rPr>
        <w:t>政府</w:t>
      </w:r>
      <w:r>
        <w:rPr>
          <w:rFonts w:hint="eastAsia" w:hAnsi="宋体" w:cs="宋体"/>
          <w:color w:val="auto"/>
        </w:rPr>
        <w:t>采购非招标方式管理办法》第五十四条规定之情形，我方同意接受条款规定作出的处罚。</w:t>
      </w:r>
    </w:p>
    <w:p w14:paraId="4A904B5C">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cs="宋体"/>
          <w:szCs w:val="21"/>
        </w:rPr>
      </w:pPr>
      <w:r>
        <w:rPr>
          <w:rFonts w:hint="eastAsia" w:ascii="宋体" w:hAnsi="宋体" w:cs="宋体"/>
          <w:szCs w:val="21"/>
        </w:rPr>
        <w:t>七、我方的联系方式：</w:t>
      </w:r>
    </w:p>
    <w:p w14:paraId="2DAED796">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cs="Calibri"/>
          <w:u w:val="single"/>
        </w:rPr>
      </w:pPr>
      <w:r>
        <w:rPr>
          <w:rFonts w:hint="eastAsia" w:ascii="宋体" w:hAnsi="宋体" w:cs="宋体"/>
          <w:szCs w:val="21"/>
        </w:rPr>
        <w:t>地址：</w:t>
      </w:r>
      <w:r>
        <w:rPr>
          <w:rFonts w:hint="eastAsia" w:ascii="宋体" w:hAnsi="宋体" w:cs="宋体"/>
          <w:szCs w:val="21"/>
          <w:u w:val="single"/>
        </w:rPr>
        <w:t xml:space="preserve">             </w:t>
      </w:r>
      <w:r>
        <w:rPr>
          <w:rFonts w:hint="eastAsia" w:ascii="宋体" w:hAnsi="宋体" w:cs="宋体"/>
          <w:szCs w:val="21"/>
        </w:rPr>
        <w:t xml:space="preserve"> 邮编： </w:t>
      </w:r>
      <w:r>
        <w:rPr>
          <w:rFonts w:hint="eastAsia" w:ascii="宋体" w:hAnsi="宋体" w:cs="宋体"/>
          <w:szCs w:val="21"/>
          <w:u w:val="single"/>
        </w:rPr>
        <w:t xml:space="preserve">           </w:t>
      </w:r>
      <w:r>
        <w:rPr>
          <w:rFonts w:hint="eastAsia" w:ascii="宋体" w:hAnsi="宋体" w:cs="宋体"/>
          <w:szCs w:val="21"/>
        </w:rPr>
        <w:t xml:space="preserve">    电话：</w:t>
      </w:r>
      <w:r>
        <w:rPr>
          <w:rFonts w:hint="eastAsia" w:ascii="宋体" w:hAnsi="宋体" w:cs="宋体"/>
          <w:szCs w:val="21"/>
          <w:u w:val="single"/>
        </w:rPr>
        <w:t xml:space="preserve">             </w:t>
      </w:r>
      <w:r>
        <w:rPr>
          <w:rFonts w:hint="eastAsia" w:ascii="宋体" w:hAnsi="宋体" w:cs="宋体"/>
          <w:szCs w:val="21"/>
        </w:rPr>
        <w:t xml:space="preserve"> 电子邮箱：</w:t>
      </w:r>
      <w:r>
        <w:rPr>
          <w:rFonts w:hint="eastAsia" w:ascii="宋体" w:hAnsi="宋体" w:cs="宋体"/>
          <w:szCs w:val="21"/>
          <w:u w:val="single"/>
        </w:rPr>
        <w:t xml:space="preserve">            。</w:t>
      </w:r>
    </w:p>
    <w:p w14:paraId="512A522A">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bCs/>
          <w:szCs w:val="21"/>
        </w:rPr>
      </w:pPr>
    </w:p>
    <w:p w14:paraId="791CEA9C">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bCs/>
          <w:szCs w:val="21"/>
        </w:rPr>
      </w:pPr>
    </w:p>
    <w:p w14:paraId="62877186">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cs="Courier New"/>
          <w:szCs w:val="21"/>
        </w:rPr>
      </w:pPr>
      <w:r>
        <w:rPr>
          <w:rFonts w:hint="eastAsia" w:ascii="宋体" w:hAnsi="宋体"/>
          <w:bCs/>
          <w:szCs w:val="21"/>
        </w:rPr>
        <w:t>附</w:t>
      </w:r>
      <w:r>
        <w:rPr>
          <w:rFonts w:hint="eastAsia" w:ascii="宋体" w:hAnsi="宋体" w:cs="Courier New"/>
          <w:szCs w:val="21"/>
        </w:rPr>
        <w:t>件1：法定代表人（负责人）身份证明(法定代表人〔负责人〕参加磋商)</w:t>
      </w:r>
    </w:p>
    <w:p w14:paraId="4E122861">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cs="Courier New"/>
          <w:szCs w:val="21"/>
        </w:rPr>
      </w:pPr>
      <w:r>
        <w:rPr>
          <w:rFonts w:hint="eastAsia" w:ascii="宋体" w:hAnsi="宋体" w:cs="Courier New"/>
          <w:szCs w:val="21"/>
        </w:rPr>
        <w:t>附件2：法定代表人（负责人）授权书(委托代理人参加磋商)</w:t>
      </w:r>
    </w:p>
    <w:p w14:paraId="3E5EC8AB">
      <w:pPr>
        <w:pStyle w:val="25"/>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hAnsi="宋体"/>
        </w:rPr>
      </w:pPr>
    </w:p>
    <w:p w14:paraId="51363E13">
      <w:pPr>
        <w:pStyle w:val="25"/>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hAnsi="宋体"/>
        </w:rPr>
      </w:pPr>
      <w:r>
        <w:rPr>
          <w:rFonts w:hint="eastAsia" w:hAnsi="宋体"/>
        </w:rPr>
        <w:t>供应商名称(盖单位章)：</w:t>
      </w:r>
    </w:p>
    <w:p w14:paraId="7293D36F">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szCs w:val="21"/>
        </w:rPr>
      </w:pPr>
      <w:r>
        <w:rPr>
          <w:rFonts w:hint="eastAsia" w:ascii="宋体" w:hAnsi="宋体"/>
          <w:szCs w:val="21"/>
        </w:rPr>
        <w:t>法定代表人或其委托代理人 (签字)：</w:t>
      </w:r>
      <w:r>
        <w:rPr>
          <w:rFonts w:hint="eastAsia" w:ascii="宋体" w:hAnsi="宋体"/>
          <w:szCs w:val="21"/>
          <w:u w:val="single"/>
        </w:rPr>
        <w:t xml:space="preserve">            </w:t>
      </w:r>
    </w:p>
    <w:p w14:paraId="140970F7">
      <w:pPr>
        <w:keepNext w:val="0"/>
        <w:keepLines w:val="0"/>
        <w:pageBreakBefore w:val="0"/>
        <w:widowControl w:val="0"/>
        <w:kinsoku/>
        <w:wordWrap w:val="0"/>
        <w:overflowPunct/>
        <w:topLinePunct w:val="0"/>
        <w:autoSpaceDE/>
        <w:autoSpaceDN/>
        <w:bidi w:val="0"/>
        <w:adjustRightInd/>
        <w:snapToGrid/>
        <w:spacing w:line="360" w:lineRule="auto"/>
        <w:ind w:right="0" w:firstLine="420" w:firstLineChars="200"/>
        <w:textAlignment w:val="auto"/>
        <w:rPr>
          <w:rFonts w:ascii="宋体" w:hAnsi="宋体"/>
          <w:szCs w:val="21"/>
        </w:rPr>
      </w:pPr>
      <w:r>
        <w:rPr>
          <w:rFonts w:hint="eastAsia" w:ascii="宋体" w:hAnsi="宋体"/>
          <w:szCs w:val="21"/>
        </w:rPr>
        <w:t>日     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6A6B1A7">
      <w:pPr>
        <w:rPr>
          <w:rFonts w:hint="eastAsia" w:ascii="宋体" w:hAnsi="宋体"/>
          <w:bCs/>
          <w:sz w:val="30"/>
          <w:szCs w:val="30"/>
        </w:rPr>
      </w:pPr>
      <w:r>
        <w:rPr>
          <w:rFonts w:hint="eastAsia" w:ascii="宋体" w:hAnsi="宋体"/>
          <w:bCs/>
          <w:sz w:val="30"/>
          <w:szCs w:val="30"/>
        </w:rPr>
        <w:br w:type="page"/>
      </w:r>
    </w:p>
    <w:p w14:paraId="4CB0A466">
      <w:pPr>
        <w:adjustRightInd w:val="0"/>
        <w:snapToGrid w:val="0"/>
        <w:spacing w:line="360" w:lineRule="auto"/>
        <w:ind w:left="450" w:right="24" w:hanging="450"/>
        <w:rPr>
          <w:rFonts w:ascii="宋体" w:hAnsi="宋体"/>
          <w:bCs/>
          <w:sz w:val="30"/>
          <w:szCs w:val="30"/>
        </w:rPr>
      </w:pPr>
      <w:r>
        <w:rPr>
          <w:rFonts w:hint="eastAsia" w:ascii="宋体" w:hAnsi="宋体"/>
          <w:bCs/>
          <w:sz w:val="30"/>
          <w:szCs w:val="30"/>
        </w:rPr>
        <w:t>附件1</w:t>
      </w:r>
    </w:p>
    <w:p w14:paraId="52C99BE7">
      <w:pPr>
        <w:adjustRightInd w:val="0"/>
        <w:snapToGrid w:val="0"/>
        <w:spacing w:before="120" w:beforeLines="50" w:line="360" w:lineRule="auto"/>
        <w:ind w:left="422" w:hanging="422"/>
        <w:jc w:val="center"/>
        <w:rPr>
          <w:rFonts w:ascii="宋体" w:hAnsi="宋体"/>
          <w:b/>
          <w:sz w:val="28"/>
          <w:szCs w:val="28"/>
        </w:rPr>
      </w:pPr>
      <w:r>
        <w:rPr>
          <w:rFonts w:hint="eastAsia" w:ascii="宋体" w:hAnsi="宋体"/>
          <w:b/>
          <w:sz w:val="28"/>
          <w:szCs w:val="28"/>
        </w:rPr>
        <w:t>法定代表人身份证明(格式)</w:t>
      </w:r>
    </w:p>
    <w:p w14:paraId="07C01090">
      <w:pPr>
        <w:snapToGrid w:val="0"/>
        <w:spacing w:line="480" w:lineRule="auto"/>
        <w:ind w:hanging="315"/>
        <w:rPr>
          <w:rFonts w:ascii="宋体" w:hAnsi="宋体"/>
          <w:szCs w:val="21"/>
        </w:rPr>
      </w:pPr>
    </w:p>
    <w:p w14:paraId="276A3802">
      <w:pPr>
        <w:tabs>
          <w:tab w:val="left" w:pos="3880"/>
        </w:tabs>
        <w:autoSpaceDE w:val="0"/>
        <w:autoSpaceDN w:val="0"/>
        <w:adjustRightInd w:val="0"/>
        <w:snapToGrid w:val="0"/>
        <w:spacing w:before="120" w:beforeLines="50" w:line="360" w:lineRule="auto"/>
        <w:ind w:left="315" w:right="-20" w:hanging="315"/>
        <w:jc w:val="left"/>
        <w:rPr>
          <w:rFonts w:ascii="宋体" w:hAnsi="宋体" w:cs="宋体"/>
          <w:kern w:val="0"/>
          <w:szCs w:val="21"/>
          <w:u w:val="single"/>
        </w:rPr>
      </w:pPr>
      <w:r>
        <w:rPr>
          <w:rFonts w:hint="eastAsia" w:ascii="宋体" w:hAnsi="宋体" w:cs="宋体"/>
          <w:kern w:val="0"/>
          <w:position w:val="-4"/>
          <w:szCs w:val="21"/>
        </w:rPr>
        <w:t>供应商名</w:t>
      </w:r>
      <w:r>
        <w:rPr>
          <w:rFonts w:hint="eastAsia" w:ascii="宋体" w:hAnsi="宋体" w:cs="宋体"/>
          <w:spacing w:val="-2"/>
          <w:kern w:val="0"/>
          <w:position w:val="-4"/>
          <w:szCs w:val="21"/>
        </w:rPr>
        <w:t>称</w:t>
      </w:r>
      <w:r>
        <w:rPr>
          <w:rFonts w:hint="eastAsia" w:ascii="宋体" w:hAnsi="宋体" w:cs="宋体"/>
          <w:kern w:val="0"/>
          <w:position w:val="-4"/>
          <w:szCs w:val="21"/>
        </w:rPr>
        <w:t>：</w:t>
      </w:r>
      <w:r>
        <w:rPr>
          <w:rFonts w:hint="eastAsia" w:ascii="宋体" w:hAnsi="宋体" w:cs="宋体"/>
          <w:kern w:val="0"/>
          <w:position w:val="-4"/>
          <w:szCs w:val="21"/>
          <w:u w:val="single"/>
        </w:rPr>
        <w:t xml:space="preserve">                      </w:t>
      </w:r>
    </w:p>
    <w:p w14:paraId="5F7F6C07">
      <w:pPr>
        <w:tabs>
          <w:tab w:val="left" w:pos="2400"/>
          <w:tab w:val="left" w:pos="3880"/>
          <w:tab w:val="left" w:pos="5340"/>
          <w:tab w:val="left" w:pos="6820"/>
        </w:tabs>
        <w:autoSpaceDE w:val="0"/>
        <w:autoSpaceDN w:val="0"/>
        <w:adjustRightInd w:val="0"/>
        <w:snapToGrid w:val="0"/>
        <w:spacing w:before="120" w:beforeLines="50" w:line="360" w:lineRule="auto"/>
        <w:ind w:left="315" w:right="-20" w:hanging="315"/>
        <w:jc w:val="left"/>
        <w:rPr>
          <w:rFonts w:ascii="宋体" w:hAnsi="宋体" w:cs="宋体"/>
          <w:kern w:val="0"/>
          <w:position w:val="-2"/>
          <w:szCs w:val="21"/>
        </w:rPr>
      </w:pPr>
      <w:r>
        <w:rPr>
          <w:rFonts w:hint="eastAsia" w:ascii="宋体" w:hAnsi="宋体" w:cs="宋体"/>
          <w:kern w:val="0"/>
          <w:position w:val="-2"/>
          <w:szCs w:val="21"/>
        </w:rPr>
        <w:t>统一社会信用代码：</w:t>
      </w:r>
      <w:r>
        <w:rPr>
          <w:rFonts w:hint="eastAsia" w:ascii="宋体" w:hAnsi="宋体" w:cs="宋体"/>
          <w:kern w:val="0"/>
          <w:position w:val="-4"/>
          <w:szCs w:val="21"/>
          <w:u w:val="single"/>
        </w:rPr>
        <w:t xml:space="preserve">                      </w:t>
      </w:r>
    </w:p>
    <w:p w14:paraId="216CBBDE">
      <w:pPr>
        <w:tabs>
          <w:tab w:val="left" w:pos="2400"/>
          <w:tab w:val="left" w:pos="3880"/>
          <w:tab w:val="left" w:pos="5340"/>
          <w:tab w:val="left" w:pos="6820"/>
        </w:tabs>
        <w:autoSpaceDE w:val="0"/>
        <w:autoSpaceDN w:val="0"/>
        <w:adjustRightInd w:val="0"/>
        <w:snapToGrid w:val="0"/>
        <w:spacing w:before="120" w:beforeLines="50" w:line="360" w:lineRule="auto"/>
        <w:ind w:left="315" w:right="-20" w:hanging="315"/>
        <w:jc w:val="left"/>
        <w:rPr>
          <w:rFonts w:ascii="宋体" w:hAnsi="宋体" w:cs="宋体"/>
          <w:kern w:val="0"/>
          <w:position w:val="-2"/>
          <w:szCs w:val="21"/>
        </w:rPr>
      </w:pPr>
      <w:r>
        <w:rPr>
          <w:rFonts w:hint="eastAsia" w:ascii="宋体" w:hAnsi="宋体" w:cs="宋体"/>
          <w:kern w:val="0"/>
          <w:position w:val="-2"/>
          <w:szCs w:val="21"/>
        </w:rPr>
        <w:t>注册地址：</w:t>
      </w:r>
      <w:r>
        <w:rPr>
          <w:rFonts w:hint="eastAsia" w:ascii="宋体" w:hAnsi="宋体" w:cs="宋体"/>
          <w:kern w:val="0"/>
          <w:position w:val="-4"/>
          <w:szCs w:val="21"/>
          <w:u w:val="single"/>
        </w:rPr>
        <w:t xml:space="preserve">                      </w:t>
      </w:r>
    </w:p>
    <w:p w14:paraId="69667D1E">
      <w:pPr>
        <w:tabs>
          <w:tab w:val="left" w:pos="2400"/>
          <w:tab w:val="left" w:pos="3880"/>
          <w:tab w:val="left" w:pos="5340"/>
          <w:tab w:val="left" w:pos="6820"/>
        </w:tabs>
        <w:autoSpaceDE w:val="0"/>
        <w:autoSpaceDN w:val="0"/>
        <w:adjustRightInd w:val="0"/>
        <w:snapToGrid w:val="0"/>
        <w:spacing w:before="120" w:beforeLines="50" w:line="360" w:lineRule="auto"/>
        <w:ind w:right="-23" w:firstLine="210" w:firstLineChars="100"/>
        <w:jc w:val="left"/>
        <w:rPr>
          <w:rFonts w:ascii="宋体" w:hAnsi="宋体" w:cs="宋体"/>
          <w:kern w:val="0"/>
          <w:szCs w:val="21"/>
        </w:rPr>
      </w:pPr>
      <w:r>
        <w:rPr>
          <w:rFonts w:hint="eastAsia" w:ascii="宋体" w:hAnsi="宋体" w:cs="宋体"/>
          <w:kern w:val="0"/>
          <w:position w:val="-2"/>
          <w:szCs w:val="21"/>
        </w:rPr>
        <w:t>姓名</w:t>
      </w:r>
      <w:r>
        <w:rPr>
          <w:rFonts w:hint="eastAsia" w:ascii="宋体" w:hAnsi="宋体" w:cs="宋体"/>
          <w:spacing w:val="-2"/>
          <w:kern w:val="0"/>
          <w:position w:val="-2"/>
          <w:szCs w:val="21"/>
        </w:rPr>
        <w:t>：</w:t>
      </w:r>
      <w:r>
        <w:rPr>
          <w:rFonts w:hint="eastAsia" w:ascii="宋体" w:hAnsi="宋体" w:cs="宋体"/>
          <w:szCs w:val="21"/>
          <w:u w:val="single"/>
        </w:rPr>
        <w:t xml:space="preserve">         </w:t>
      </w:r>
      <w:r>
        <w:rPr>
          <w:rFonts w:hint="eastAsia" w:ascii="宋体" w:hAnsi="宋体" w:cs="宋体"/>
          <w:kern w:val="0"/>
          <w:position w:val="-2"/>
          <w:szCs w:val="21"/>
        </w:rPr>
        <w:t>性别</w:t>
      </w:r>
      <w:r>
        <w:rPr>
          <w:rFonts w:hint="eastAsia" w:ascii="宋体" w:hAnsi="宋体" w:cs="宋体"/>
          <w:spacing w:val="-2"/>
          <w:kern w:val="0"/>
          <w:position w:val="-2"/>
          <w:szCs w:val="21"/>
        </w:rPr>
        <w:t>：</w:t>
      </w:r>
      <w:r>
        <w:rPr>
          <w:rFonts w:hint="eastAsia" w:ascii="宋体" w:hAnsi="宋体" w:cs="宋体"/>
          <w:szCs w:val="21"/>
          <w:u w:val="single"/>
        </w:rPr>
        <w:t xml:space="preserve">         </w:t>
      </w:r>
      <w:r>
        <w:rPr>
          <w:rFonts w:hint="eastAsia" w:ascii="宋体" w:hAnsi="宋体" w:cs="宋体"/>
          <w:kern w:val="0"/>
          <w:position w:val="-2"/>
          <w:szCs w:val="21"/>
        </w:rPr>
        <w:t>年</w:t>
      </w:r>
      <w:r>
        <w:rPr>
          <w:rFonts w:hint="eastAsia" w:ascii="宋体" w:hAnsi="宋体" w:cs="宋体"/>
          <w:spacing w:val="-2"/>
          <w:kern w:val="0"/>
          <w:position w:val="-2"/>
          <w:szCs w:val="21"/>
        </w:rPr>
        <w:t>龄</w:t>
      </w:r>
      <w:r>
        <w:rPr>
          <w:rFonts w:hint="eastAsia" w:ascii="宋体" w:hAnsi="宋体" w:cs="宋体"/>
          <w:kern w:val="0"/>
          <w:position w:val="-2"/>
          <w:szCs w:val="21"/>
        </w:rPr>
        <w:t>：</w:t>
      </w:r>
      <w:r>
        <w:rPr>
          <w:rFonts w:hint="eastAsia" w:ascii="宋体" w:hAnsi="宋体" w:cs="宋体"/>
          <w:szCs w:val="21"/>
          <w:u w:val="single"/>
        </w:rPr>
        <w:t xml:space="preserve">         </w:t>
      </w:r>
      <w:r>
        <w:rPr>
          <w:rFonts w:hint="eastAsia" w:ascii="宋体" w:hAnsi="宋体" w:cs="宋体"/>
          <w:kern w:val="0"/>
          <w:position w:val="-2"/>
          <w:szCs w:val="21"/>
        </w:rPr>
        <w:t>职</w:t>
      </w:r>
      <w:r>
        <w:rPr>
          <w:rFonts w:hint="eastAsia" w:ascii="宋体" w:hAnsi="宋体" w:cs="宋体"/>
          <w:spacing w:val="-2"/>
          <w:kern w:val="0"/>
          <w:position w:val="-2"/>
          <w:szCs w:val="21"/>
        </w:rPr>
        <w:t>务</w:t>
      </w:r>
      <w:r>
        <w:rPr>
          <w:rFonts w:hint="eastAsia" w:ascii="宋体" w:hAnsi="宋体" w:cs="宋体"/>
          <w:kern w:val="0"/>
          <w:position w:val="-2"/>
          <w:szCs w:val="21"/>
        </w:rPr>
        <w:t>：</w:t>
      </w:r>
      <w:r>
        <w:rPr>
          <w:rFonts w:hint="eastAsia" w:ascii="宋体" w:hAnsi="宋体" w:cs="宋体"/>
          <w:szCs w:val="21"/>
          <w:u w:val="single"/>
        </w:rPr>
        <w:t xml:space="preserve">         </w:t>
      </w:r>
      <w:r>
        <w:rPr>
          <w:rFonts w:hint="eastAsia" w:ascii="宋体" w:hAnsi="宋体" w:cs="宋体"/>
          <w:kern w:val="0"/>
          <w:position w:val="-2"/>
          <w:szCs w:val="21"/>
        </w:rPr>
        <w:t>系</w:t>
      </w:r>
      <w:r>
        <w:rPr>
          <w:rFonts w:hint="eastAsia" w:ascii="宋体" w:hAnsi="宋体" w:cs="宋体"/>
          <w:szCs w:val="21"/>
          <w:u w:val="single"/>
        </w:rPr>
        <w:t xml:space="preserve">         </w:t>
      </w:r>
      <w:r>
        <w:rPr>
          <w:rFonts w:hint="eastAsia" w:ascii="宋体" w:hAnsi="宋体" w:cs="宋体"/>
          <w:spacing w:val="-2"/>
          <w:kern w:val="0"/>
          <w:position w:val="-2"/>
          <w:szCs w:val="21"/>
        </w:rPr>
        <w:t>（</w:t>
      </w:r>
      <w:r>
        <w:rPr>
          <w:rFonts w:hint="eastAsia" w:ascii="宋体" w:hAnsi="宋体" w:cs="宋体"/>
          <w:kern w:val="0"/>
          <w:position w:val="-2"/>
          <w:szCs w:val="21"/>
        </w:rPr>
        <w:t>供应商</w:t>
      </w:r>
      <w:r>
        <w:rPr>
          <w:rFonts w:hint="eastAsia" w:ascii="宋体" w:hAnsi="宋体" w:cs="宋体"/>
          <w:spacing w:val="-2"/>
          <w:kern w:val="0"/>
          <w:position w:val="-2"/>
          <w:szCs w:val="21"/>
        </w:rPr>
        <w:t>名</w:t>
      </w:r>
      <w:r>
        <w:rPr>
          <w:rFonts w:hint="eastAsia" w:ascii="宋体" w:hAnsi="宋体" w:cs="宋体"/>
          <w:kern w:val="0"/>
          <w:position w:val="-2"/>
          <w:szCs w:val="21"/>
        </w:rPr>
        <w:t>称</w:t>
      </w:r>
      <w:r>
        <w:rPr>
          <w:rFonts w:hint="eastAsia" w:ascii="宋体" w:hAnsi="宋体" w:cs="宋体"/>
          <w:spacing w:val="-2"/>
          <w:kern w:val="0"/>
          <w:position w:val="-2"/>
          <w:szCs w:val="21"/>
        </w:rPr>
        <w:t>）</w:t>
      </w:r>
      <w:r>
        <w:rPr>
          <w:rFonts w:hint="eastAsia" w:ascii="宋体" w:hAnsi="宋体" w:cs="宋体"/>
          <w:kern w:val="0"/>
          <w:position w:val="-2"/>
          <w:szCs w:val="21"/>
        </w:rPr>
        <w:t>的</w:t>
      </w:r>
      <w:r>
        <w:rPr>
          <w:rFonts w:hint="eastAsia" w:ascii="宋体" w:hAnsi="宋体" w:cs="宋体"/>
          <w:spacing w:val="-2"/>
          <w:kern w:val="0"/>
          <w:position w:val="-2"/>
          <w:szCs w:val="21"/>
        </w:rPr>
        <w:t>法定代表人（单位负责人）。</w:t>
      </w:r>
    </w:p>
    <w:p w14:paraId="2B78F48C">
      <w:pPr>
        <w:autoSpaceDE w:val="0"/>
        <w:autoSpaceDN w:val="0"/>
        <w:adjustRightInd w:val="0"/>
        <w:snapToGrid w:val="0"/>
        <w:spacing w:before="120" w:beforeLines="50" w:line="360" w:lineRule="auto"/>
        <w:ind w:left="315" w:right="-20" w:hanging="315"/>
        <w:jc w:val="left"/>
        <w:rPr>
          <w:rFonts w:ascii="宋体" w:hAnsi="宋体" w:cs="宋体"/>
          <w:kern w:val="0"/>
          <w:szCs w:val="21"/>
        </w:rPr>
      </w:pPr>
      <w:r>
        <w:rPr>
          <w:rFonts w:hint="eastAsia" w:ascii="宋体" w:hAnsi="宋体" w:cs="宋体"/>
          <w:kern w:val="0"/>
          <w:szCs w:val="21"/>
        </w:rPr>
        <w:t>特此</w:t>
      </w:r>
      <w:r>
        <w:rPr>
          <w:rFonts w:hint="eastAsia" w:ascii="宋体" w:hAnsi="宋体" w:cs="宋体"/>
          <w:spacing w:val="-2"/>
          <w:kern w:val="0"/>
          <w:szCs w:val="21"/>
        </w:rPr>
        <w:t>证</w:t>
      </w:r>
      <w:r>
        <w:rPr>
          <w:rFonts w:hint="eastAsia" w:ascii="宋体" w:hAnsi="宋体" w:cs="宋体"/>
          <w:kern w:val="0"/>
          <w:szCs w:val="21"/>
        </w:rPr>
        <w:t>明。</w:t>
      </w:r>
    </w:p>
    <w:p w14:paraId="1CFA07AF">
      <w:pPr>
        <w:autoSpaceDE w:val="0"/>
        <w:autoSpaceDN w:val="0"/>
        <w:adjustRightInd w:val="0"/>
        <w:snapToGrid w:val="0"/>
        <w:spacing w:before="120" w:beforeLines="50" w:line="360" w:lineRule="auto"/>
        <w:ind w:left="315" w:right="4231"/>
        <w:jc w:val="left"/>
        <w:rPr>
          <w:rFonts w:ascii="宋体" w:hAnsi="宋体" w:cs="宋体"/>
          <w:kern w:val="0"/>
          <w:szCs w:val="21"/>
        </w:rPr>
      </w:pPr>
      <w:r>
        <w:rPr>
          <w:rFonts w:hint="eastAsia" w:ascii="宋体" w:hAnsi="宋体" w:cs="宋体"/>
          <w:kern w:val="0"/>
          <w:szCs w:val="21"/>
        </w:rPr>
        <w:t>附：</w:t>
      </w:r>
      <w:r>
        <w:rPr>
          <w:rFonts w:hint="eastAsia" w:ascii="宋体" w:hAnsi="宋体" w:cs="宋体"/>
          <w:spacing w:val="-2"/>
          <w:kern w:val="0"/>
          <w:szCs w:val="21"/>
        </w:rPr>
        <w:t>法</w:t>
      </w:r>
      <w:r>
        <w:rPr>
          <w:rFonts w:hint="eastAsia" w:ascii="宋体" w:hAnsi="宋体" w:cs="宋体"/>
          <w:kern w:val="0"/>
          <w:szCs w:val="21"/>
        </w:rPr>
        <w:t>定</w:t>
      </w:r>
      <w:r>
        <w:rPr>
          <w:rFonts w:hint="eastAsia" w:ascii="宋体" w:hAnsi="宋体" w:cs="宋体"/>
          <w:spacing w:val="-2"/>
          <w:kern w:val="0"/>
          <w:szCs w:val="21"/>
        </w:rPr>
        <w:t>代</w:t>
      </w:r>
      <w:r>
        <w:rPr>
          <w:rFonts w:hint="eastAsia" w:ascii="宋体" w:hAnsi="宋体" w:cs="宋体"/>
          <w:kern w:val="0"/>
          <w:szCs w:val="21"/>
        </w:rPr>
        <w:t>表</w:t>
      </w:r>
      <w:r>
        <w:rPr>
          <w:rFonts w:hint="eastAsia" w:ascii="宋体" w:hAnsi="宋体" w:cs="宋体"/>
          <w:spacing w:val="-2"/>
          <w:kern w:val="0"/>
          <w:szCs w:val="21"/>
        </w:rPr>
        <w:t>人</w:t>
      </w:r>
      <w:r>
        <w:rPr>
          <w:rFonts w:hint="eastAsia" w:ascii="宋体" w:hAnsi="宋体" w:cs="宋体"/>
          <w:kern w:val="0"/>
          <w:szCs w:val="21"/>
        </w:rPr>
        <w:t>（</w:t>
      </w:r>
      <w:r>
        <w:rPr>
          <w:rFonts w:hint="eastAsia" w:ascii="宋体" w:hAnsi="宋体" w:cs="宋体"/>
          <w:spacing w:val="-2"/>
          <w:kern w:val="0"/>
          <w:szCs w:val="21"/>
        </w:rPr>
        <w:t>单</w:t>
      </w:r>
      <w:r>
        <w:rPr>
          <w:rFonts w:hint="eastAsia" w:ascii="宋体" w:hAnsi="宋体" w:cs="宋体"/>
          <w:kern w:val="0"/>
          <w:szCs w:val="21"/>
        </w:rPr>
        <w:t>位</w:t>
      </w:r>
      <w:r>
        <w:rPr>
          <w:rFonts w:hint="eastAsia" w:ascii="宋体" w:hAnsi="宋体" w:cs="宋体"/>
          <w:spacing w:val="-2"/>
          <w:kern w:val="0"/>
          <w:szCs w:val="21"/>
        </w:rPr>
        <w:t>负</w:t>
      </w:r>
      <w:r>
        <w:rPr>
          <w:rFonts w:hint="eastAsia" w:ascii="宋体" w:hAnsi="宋体" w:cs="宋体"/>
          <w:kern w:val="0"/>
          <w:szCs w:val="21"/>
        </w:rPr>
        <w:t>责人</w:t>
      </w:r>
      <w:r>
        <w:rPr>
          <w:rFonts w:hint="eastAsia" w:ascii="宋体" w:hAnsi="宋体" w:cs="宋体"/>
          <w:spacing w:val="-2"/>
          <w:kern w:val="0"/>
          <w:szCs w:val="21"/>
        </w:rPr>
        <w:t>）</w:t>
      </w:r>
      <w:r>
        <w:rPr>
          <w:rFonts w:hint="eastAsia" w:ascii="宋体" w:hAnsi="宋体" w:cs="宋体"/>
          <w:kern w:val="0"/>
          <w:szCs w:val="21"/>
        </w:rPr>
        <w:t>身</w:t>
      </w:r>
      <w:r>
        <w:rPr>
          <w:rFonts w:hint="eastAsia" w:ascii="宋体" w:hAnsi="宋体" w:cs="宋体"/>
          <w:spacing w:val="-2"/>
          <w:kern w:val="0"/>
          <w:szCs w:val="21"/>
        </w:rPr>
        <w:t>份</w:t>
      </w:r>
      <w:r>
        <w:rPr>
          <w:rFonts w:hint="eastAsia" w:ascii="宋体" w:hAnsi="宋体" w:cs="宋体"/>
          <w:kern w:val="0"/>
          <w:szCs w:val="21"/>
        </w:rPr>
        <w:t>证</w:t>
      </w:r>
      <w:r>
        <w:rPr>
          <w:rFonts w:hint="eastAsia" w:ascii="宋体" w:hAnsi="宋体" w:cs="宋体"/>
          <w:spacing w:val="-2"/>
          <w:kern w:val="0"/>
          <w:szCs w:val="21"/>
        </w:rPr>
        <w:t>复</w:t>
      </w:r>
      <w:r>
        <w:rPr>
          <w:rFonts w:hint="eastAsia" w:ascii="宋体" w:hAnsi="宋体" w:cs="宋体"/>
          <w:kern w:val="0"/>
          <w:szCs w:val="21"/>
        </w:rPr>
        <w:t>印</w:t>
      </w:r>
      <w:r>
        <w:rPr>
          <w:rFonts w:hint="eastAsia" w:ascii="宋体" w:hAnsi="宋体" w:cs="宋体"/>
          <w:spacing w:val="-2"/>
          <w:kern w:val="0"/>
          <w:szCs w:val="21"/>
        </w:rPr>
        <w:t>件</w:t>
      </w:r>
      <w:r>
        <w:rPr>
          <w:rFonts w:hint="eastAsia" w:ascii="宋体" w:hAnsi="宋体" w:cs="宋体"/>
          <w:kern w:val="0"/>
          <w:szCs w:val="21"/>
        </w:rPr>
        <w:t>。</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78783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2" w:hRule="atLeast"/>
        </w:trPr>
        <w:tc>
          <w:tcPr>
            <w:tcW w:w="3898" w:type="dxa"/>
            <w:vAlign w:val="center"/>
          </w:tcPr>
          <w:p w14:paraId="7C763BAA">
            <w:pPr>
              <w:adjustRightInd w:val="0"/>
              <w:snapToGrid w:val="0"/>
              <w:spacing w:before="120" w:beforeLines="50" w:line="360" w:lineRule="auto"/>
              <w:ind w:hanging="315"/>
              <w:jc w:val="center"/>
              <w:rPr>
                <w:rFonts w:ascii="宋体" w:hAnsi="宋体" w:cs="宋体"/>
                <w:szCs w:val="21"/>
              </w:rPr>
            </w:pPr>
            <w:r>
              <w:rPr>
                <w:rFonts w:hint="eastAsia" w:ascii="宋体" w:hAnsi="宋体" w:cs="宋体"/>
                <w:szCs w:val="21"/>
              </w:rPr>
              <w:t>身份证（正面）</w:t>
            </w:r>
            <w:r>
              <w:rPr>
                <w:rFonts w:hint="eastAsia" w:ascii="宋体" w:hAnsi="宋体" w:cs="宋体"/>
                <w:spacing w:val="-2"/>
                <w:kern w:val="0"/>
                <w:szCs w:val="21"/>
              </w:rPr>
              <w:t>复</w:t>
            </w:r>
            <w:r>
              <w:rPr>
                <w:rFonts w:hint="eastAsia" w:ascii="宋体" w:hAnsi="宋体" w:cs="宋体"/>
                <w:kern w:val="0"/>
                <w:szCs w:val="21"/>
              </w:rPr>
              <w:t>印</w:t>
            </w:r>
            <w:r>
              <w:rPr>
                <w:rFonts w:hint="eastAsia" w:ascii="宋体" w:hAnsi="宋体" w:cs="宋体"/>
                <w:spacing w:val="-2"/>
                <w:kern w:val="0"/>
                <w:szCs w:val="21"/>
              </w:rPr>
              <w:t>件</w:t>
            </w:r>
          </w:p>
        </w:tc>
        <w:tc>
          <w:tcPr>
            <w:tcW w:w="3899" w:type="dxa"/>
            <w:vAlign w:val="center"/>
          </w:tcPr>
          <w:p w14:paraId="6132A534">
            <w:pPr>
              <w:adjustRightInd w:val="0"/>
              <w:snapToGrid w:val="0"/>
              <w:spacing w:before="120" w:beforeLines="50" w:line="360" w:lineRule="auto"/>
              <w:ind w:hanging="315"/>
              <w:jc w:val="center"/>
              <w:rPr>
                <w:rFonts w:ascii="宋体" w:hAnsi="宋体" w:cs="宋体"/>
                <w:szCs w:val="21"/>
              </w:rPr>
            </w:pPr>
            <w:r>
              <w:rPr>
                <w:rFonts w:hint="eastAsia" w:ascii="宋体" w:hAnsi="宋体" w:cs="宋体"/>
                <w:szCs w:val="21"/>
              </w:rPr>
              <w:t>身份证（反面）</w:t>
            </w:r>
            <w:r>
              <w:rPr>
                <w:rFonts w:hint="eastAsia" w:ascii="宋体" w:hAnsi="宋体" w:cs="宋体"/>
                <w:spacing w:val="-2"/>
                <w:kern w:val="0"/>
                <w:szCs w:val="21"/>
              </w:rPr>
              <w:t>复</w:t>
            </w:r>
            <w:r>
              <w:rPr>
                <w:rFonts w:hint="eastAsia" w:ascii="宋体" w:hAnsi="宋体" w:cs="宋体"/>
                <w:kern w:val="0"/>
                <w:szCs w:val="21"/>
              </w:rPr>
              <w:t>印</w:t>
            </w:r>
            <w:r>
              <w:rPr>
                <w:rFonts w:hint="eastAsia" w:ascii="宋体" w:hAnsi="宋体" w:cs="宋体"/>
                <w:spacing w:val="-2"/>
                <w:kern w:val="0"/>
                <w:szCs w:val="21"/>
              </w:rPr>
              <w:t>件</w:t>
            </w:r>
          </w:p>
        </w:tc>
      </w:tr>
    </w:tbl>
    <w:p w14:paraId="39FABB9E">
      <w:pPr>
        <w:adjustRightInd w:val="0"/>
        <w:snapToGrid w:val="0"/>
        <w:spacing w:before="120" w:beforeLines="50" w:line="360" w:lineRule="auto"/>
        <w:ind w:hanging="315"/>
        <w:rPr>
          <w:rFonts w:ascii="宋体" w:hAnsi="宋体" w:cs="宋体"/>
          <w:szCs w:val="21"/>
        </w:rPr>
      </w:pPr>
    </w:p>
    <w:p w14:paraId="283C8CD7">
      <w:pPr>
        <w:adjustRightInd w:val="0"/>
        <w:snapToGrid w:val="0"/>
        <w:spacing w:before="120" w:beforeLines="50" w:line="360" w:lineRule="auto"/>
        <w:ind w:hanging="315"/>
        <w:rPr>
          <w:rFonts w:ascii="宋体" w:hAnsi="宋体" w:cs="宋体"/>
          <w:szCs w:val="21"/>
        </w:rPr>
      </w:pPr>
      <w:r>
        <w:rPr>
          <w:rFonts w:hint="eastAsia" w:ascii="宋体" w:hAnsi="宋体" w:cs="宋体"/>
          <w:szCs w:val="21"/>
        </w:rPr>
        <w:t>注：供应商代表为法定代表人（单位负责人）的提供。供应商为自然人的无需提供。</w:t>
      </w:r>
    </w:p>
    <w:p w14:paraId="57627B02">
      <w:pPr>
        <w:adjustRightInd w:val="0"/>
        <w:snapToGrid w:val="0"/>
        <w:spacing w:before="120" w:beforeLines="50" w:line="360" w:lineRule="auto"/>
        <w:ind w:hanging="315"/>
        <w:rPr>
          <w:rFonts w:ascii="宋体" w:hAnsi="宋体" w:cs="宋体"/>
          <w:szCs w:val="21"/>
        </w:rPr>
      </w:pPr>
    </w:p>
    <w:p w14:paraId="1AEF647B">
      <w:pPr>
        <w:pStyle w:val="25"/>
        <w:adjustRightInd w:val="0"/>
        <w:snapToGrid w:val="0"/>
        <w:spacing w:before="120" w:beforeLines="50" w:line="360" w:lineRule="auto"/>
        <w:ind w:hanging="315"/>
        <w:rPr>
          <w:rFonts w:hAnsi="宋体" w:cs="宋体"/>
        </w:rPr>
      </w:pPr>
      <w:r>
        <w:rPr>
          <w:rFonts w:hint="eastAsia" w:hAnsi="宋体" w:cs="宋体"/>
        </w:rPr>
        <w:t>供应商名称(盖单位公章)：</w:t>
      </w:r>
    </w:p>
    <w:p w14:paraId="14E4BA54">
      <w:pPr>
        <w:adjustRightInd w:val="0"/>
        <w:snapToGrid w:val="0"/>
        <w:spacing w:before="120" w:beforeLines="50" w:line="360" w:lineRule="auto"/>
        <w:ind w:right="24" w:hanging="315"/>
        <w:rPr>
          <w:rFonts w:ascii="宋体" w:hAnsi="宋体" w:cs="宋体"/>
          <w:szCs w:val="21"/>
        </w:rPr>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A441030">
      <w:pPr>
        <w:adjustRightInd w:val="0"/>
        <w:snapToGrid w:val="0"/>
        <w:spacing w:before="120" w:beforeLines="50" w:line="360" w:lineRule="auto"/>
        <w:ind w:left="316" w:hanging="316"/>
        <w:rPr>
          <w:rFonts w:ascii="宋体" w:hAnsi="宋体" w:cs="宋体"/>
          <w:b/>
        </w:rPr>
      </w:pPr>
    </w:p>
    <w:p w14:paraId="4D307965">
      <w:pPr>
        <w:adjustRightInd w:val="0"/>
        <w:snapToGrid w:val="0"/>
        <w:spacing w:before="120" w:beforeLines="50" w:line="360" w:lineRule="auto"/>
        <w:ind w:left="316" w:hanging="316"/>
        <w:rPr>
          <w:rFonts w:ascii="宋体" w:hAnsi="宋体" w:cs="宋体"/>
          <w:b/>
        </w:rPr>
      </w:pPr>
    </w:p>
    <w:p w14:paraId="583EC951">
      <w:pPr>
        <w:adjustRightInd w:val="0"/>
        <w:snapToGrid w:val="0"/>
        <w:spacing w:line="360" w:lineRule="auto"/>
        <w:ind w:right="420"/>
        <w:rPr>
          <w:rFonts w:ascii="宋体" w:hAnsi="宋体" w:cs="宋体"/>
          <w:szCs w:val="21"/>
        </w:rPr>
      </w:pPr>
      <w:r>
        <w:rPr>
          <w:rFonts w:hint="eastAsia" w:ascii="宋体" w:hAnsi="宋体" w:cs="宋体"/>
          <w:b/>
        </w:rPr>
        <w:t>法定代表人参与磋商的，请将此身份证明单独另备一份与法定代表人身份证原件于开标现场身份验证时使用。</w:t>
      </w:r>
    </w:p>
    <w:p w14:paraId="4618F7FB">
      <w:pPr>
        <w:adjustRightInd w:val="0"/>
        <w:snapToGrid w:val="0"/>
        <w:spacing w:before="120" w:beforeLines="50" w:line="360" w:lineRule="auto"/>
        <w:ind w:hanging="315"/>
        <w:rPr>
          <w:rFonts w:ascii="宋体" w:hAnsi="宋体" w:cs="宋体"/>
          <w:szCs w:val="21"/>
        </w:rPr>
      </w:pPr>
    </w:p>
    <w:p w14:paraId="42E1CD97">
      <w:pPr>
        <w:adjustRightInd w:val="0"/>
        <w:snapToGrid w:val="0"/>
        <w:spacing w:before="120" w:beforeLines="50" w:line="360" w:lineRule="auto"/>
        <w:ind w:left="450" w:hanging="450"/>
        <w:rPr>
          <w:rFonts w:ascii="宋体" w:hAnsi="宋体"/>
          <w:sz w:val="30"/>
          <w:szCs w:val="30"/>
        </w:rPr>
      </w:pPr>
      <w:r>
        <w:rPr>
          <w:rFonts w:hint="eastAsia" w:ascii="宋体" w:hAnsi="宋体"/>
          <w:bCs/>
          <w:sz w:val="30"/>
          <w:szCs w:val="30"/>
        </w:rPr>
        <w:br w:type="page"/>
      </w:r>
      <w:r>
        <w:rPr>
          <w:rFonts w:hint="eastAsia" w:ascii="宋体" w:hAnsi="宋体"/>
          <w:bCs/>
          <w:sz w:val="30"/>
          <w:szCs w:val="30"/>
        </w:rPr>
        <w:t>附件2</w:t>
      </w:r>
    </w:p>
    <w:p w14:paraId="5BFC6B1B">
      <w:pPr>
        <w:spacing w:line="360" w:lineRule="exact"/>
        <w:ind w:left="422" w:hanging="422"/>
        <w:jc w:val="center"/>
        <w:rPr>
          <w:rFonts w:ascii="宋体" w:hAnsi="宋体"/>
          <w:b/>
          <w:sz w:val="28"/>
          <w:szCs w:val="28"/>
        </w:rPr>
      </w:pPr>
      <w:r>
        <w:rPr>
          <w:rFonts w:hint="eastAsia" w:ascii="宋体" w:hAnsi="宋体"/>
          <w:b/>
          <w:sz w:val="28"/>
          <w:szCs w:val="28"/>
        </w:rPr>
        <w:t>授权委托书(格式)</w:t>
      </w:r>
    </w:p>
    <w:p w14:paraId="58576601">
      <w:pPr>
        <w:adjustRightInd w:val="0"/>
        <w:snapToGrid w:val="0"/>
        <w:spacing w:line="360" w:lineRule="auto"/>
        <w:ind w:left="422" w:hanging="422"/>
        <w:jc w:val="center"/>
        <w:rPr>
          <w:rFonts w:ascii="宋体" w:hAnsi="宋体"/>
          <w:b/>
          <w:sz w:val="28"/>
          <w:szCs w:val="28"/>
        </w:rPr>
      </w:pPr>
    </w:p>
    <w:p w14:paraId="4B0FE0AC">
      <w:pPr>
        <w:autoSpaceDE w:val="0"/>
        <w:autoSpaceDN w:val="0"/>
        <w:adjustRightInd w:val="0"/>
        <w:snapToGrid w:val="0"/>
        <w:spacing w:before="120" w:beforeLines="50" w:line="360" w:lineRule="auto"/>
        <w:ind w:firstLine="420" w:firstLineChars="200"/>
        <w:jc w:val="left"/>
        <w:rPr>
          <w:rFonts w:ascii="宋体" w:hAnsi="宋体" w:cs="宋体"/>
          <w:kern w:val="0"/>
          <w:szCs w:val="21"/>
        </w:rPr>
      </w:pPr>
      <w:r>
        <w:rPr>
          <w:rFonts w:hint="eastAsia" w:ascii="宋体" w:hAnsi="宋体"/>
          <w:kern w:val="0"/>
          <w:szCs w:val="21"/>
        </w:rPr>
        <w:t>本人</w:t>
      </w:r>
      <w:r>
        <w:rPr>
          <w:rFonts w:hint="eastAsia" w:ascii="宋体" w:hAnsi="宋体"/>
          <w:kern w:val="0"/>
          <w:szCs w:val="21"/>
          <w:u w:val="single"/>
        </w:rPr>
        <w:t xml:space="preserve">          </w:t>
      </w:r>
      <w:r>
        <w:rPr>
          <w:rFonts w:hint="eastAsia" w:ascii="宋体" w:hAnsi="宋体"/>
          <w:kern w:val="0"/>
          <w:szCs w:val="21"/>
        </w:rPr>
        <w:t>（姓名、职务）系</w:t>
      </w:r>
      <w:r>
        <w:rPr>
          <w:rFonts w:hint="eastAsia" w:ascii="宋体" w:hAnsi="宋体"/>
          <w:kern w:val="0"/>
          <w:szCs w:val="21"/>
          <w:u w:val="single"/>
        </w:rPr>
        <w:t xml:space="preserve">                          </w:t>
      </w:r>
      <w:r>
        <w:rPr>
          <w:rFonts w:hint="eastAsia" w:ascii="宋体" w:hAnsi="宋体"/>
          <w:kern w:val="0"/>
          <w:szCs w:val="21"/>
        </w:rPr>
        <w:t xml:space="preserve"> （</w:t>
      </w:r>
      <w:r>
        <w:rPr>
          <w:rFonts w:hint="eastAsia" w:ascii="宋体" w:hAnsi="宋体"/>
          <w:szCs w:val="21"/>
        </w:rPr>
        <w:t>供应商</w:t>
      </w:r>
      <w:r>
        <w:rPr>
          <w:rFonts w:hint="eastAsia" w:ascii="宋体" w:hAnsi="宋体"/>
          <w:kern w:val="0"/>
          <w:szCs w:val="21"/>
        </w:rPr>
        <w:t>名称）的法定代表人，现授权</w:t>
      </w:r>
      <w:r>
        <w:rPr>
          <w:rFonts w:hint="eastAsia" w:ascii="宋体" w:hAnsi="宋体"/>
          <w:kern w:val="0"/>
          <w:szCs w:val="21"/>
          <w:u w:val="single"/>
        </w:rPr>
        <w:t xml:space="preserve">          </w:t>
      </w:r>
      <w:r>
        <w:rPr>
          <w:rFonts w:hint="eastAsia" w:ascii="宋体" w:hAnsi="宋体"/>
          <w:kern w:val="0"/>
          <w:szCs w:val="21"/>
        </w:rPr>
        <w:t>（姓名、职务）为我方代理人。代理人根据授权，以我方名义：(1)签署、澄清、补正、修改、撤回、提交</w:t>
      </w:r>
      <w:r>
        <w:rPr>
          <w:rFonts w:hint="eastAsia" w:ascii="宋体" w:hAnsi="宋体"/>
          <w:kern w:val="0"/>
          <w:szCs w:val="21"/>
          <w:u w:val="single"/>
        </w:rPr>
        <w:t xml:space="preserve">                     </w:t>
      </w:r>
      <w:r>
        <w:rPr>
          <w:rFonts w:hint="eastAsia" w:ascii="宋体" w:hAnsi="宋体"/>
          <w:kern w:val="0"/>
          <w:szCs w:val="21"/>
        </w:rPr>
        <w:t>（项目名称、采购代理编号）响应文件；</w:t>
      </w:r>
      <w:r>
        <w:rPr>
          <w:rFonts w:hint="eastAsia" w:ascii="宋体" w:hAnsi="宋体" w:cs="宋体"/>
          <w:kern w:val="0"/>
          <w:szCs w:val="21"/>
        </w:rPr>
        <w:t>(2)签署并重新提交响应文件及最后报价；(3)退出磋商（如可能）；(4)签订合同和处理有关事宜，其法律后果由我方承担。</w:t>
      </w:r>
    </w:p>
    <w:p w14:paraId="4D7D9EE3">
      <w:pPr>
        <w:autoSpaceDE w:val="0"/>
        <w:autoSpaceDN w:val="0"/>
        <w:adjustRightInd w:val="0"/>
        <w:snapToGrid w:val="0"/>
        <w:spacing w:before="120" w:beforeLines="50" w:line="360" w:lineRule="auto"/>
        <w:jc w:val="left"/>
        <w:rPr>
          <w:rFonts w:ascii="宋体" w:hAnsi="宋体"/>
          <w:kern w:val="0"/>
          <w:szCs w:val="21"/>
        </w:rPr>
      </w:pPr>
      <w:r>
        <w:rPr>
          <w:rFonts w:hint="eastAsia" w:ascii="宋体" w:hAnsi="宋体"/>
          <w:kern w:val="0"/>
          <w:szCs w:val="21"/>
        </w:rPr>
        <w:t>委托期限：</w:t>
      </w:r>
      <w:r>
        <w:rPr>
          <w:rFonts w:hint="eastAsia" w:ascii="宋体" w:hAnsi="宋体"/>
          <w:kern w:val="0"/>
          <w:szCs w:val="21"/>
          <w:u w:val="single"/>
        </w:rPr>
        <w:t xml:space="preserve">                                     </w:t>
      </w:r>
      <w:r>
        <w:rPr>
          <w:rFonts w:hint="eastAsia" w:ascii="宋体" w:hAnsi="宋体"/>
          <w:kern w:val="0"/>
          <w:szCs w:val="21"/>
        </w:rPr>
        <w:t xml:space="preserve"> 。</w:t>
      </w:r>
    </w:p>
    <w:p w14:paraId="6DB6017A">
      <w:pPr>
        <w:spacing w:line="360" w:lineRule="auto"/>
        <w:rPr>
          <w:rFonts w:ascii="宋体" w:hAnsi="宋体"/>
          <w:kern w:val="0"/>
          <w:szCs w:val="21"/>
        </w:rPr>
      </w:pPr>
      <w:r>
        <w:rPr>
          <w:rFonts w:hint="eastAsia" w:ascii="宋体" w:hAnsi="宋体"/>
          <w:kern w:val="0"/>
          <w:szCs w:val="21"/>
        </w:rPr>
        <w:t>代理人无转委托权。</w:t>
      </w:r>
    </w:p>
    <w:p w14:paraId="7161D5CB">
      <w:pPr>
        <w:spacing w:line="360" w:lineRule="auto"/>
        <w:rPr>
          <w:rFonts w:ascii="宋体" w:hAnsi="宋体"/>
          <w:szCs w:val="21"/>
        </w:rPr>
      </w:pPr>
      <w:r>
        <w:rPr>
          <w:rFonts w:hint="eastAsia" w:ascii="宋体" w:hAnsi="宋体"/>
          <w:szCs w:val="21"/>
        </w:rPr>
        <w:t>本授权书于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日签字生效，特此声明。</w:t>
      </w:r>
    </w:p>
    <w:p w14:paraId="20E36F6E">
      <w:pPr>
        <w:adjustRightInd w:val="0"/>
        <w:snapToGrid w:val="0"/>
        <w:spacing w:before="120" w:beforeLines="50" w:line="360" w:lineRule="auto"/>
        <w:rPr>
          <w:rFonts w:ascii="宋体" w:hAnsi="宋体"/>
          <w:szCs w:val="21"/>
        </w:rPr>
      </w:pPr>
      <w:r>
        <w:rPr>
          <w:rFonts w:hint="eastAsia" w:ascii="宋体" w:hAnsi="宋体"/>
          <w:szCs w:val="21"/>
        </w:rPr>
        <w:t>附：委托代理人身份证复印件及法定代表人身份证明(附件1，原件)</w:t>
      </w:r>
    </w:p>
    <w:tbl>
      <w:tblPr>
        <w:tblStyle w:val="46"/>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3FE2F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3" w:hRule="atLeast"/>
        </w:trPr>
        <w:tc>
          <w:tcPr>
            <w:tcW w:w="3898" w:type="dxa"/>
            <w:vAlign w:val="center"/>
          </w:tcPr>
          <w:p w14:paraId="008C2D84">
            <w:pPr>
              <w:adjustRightInd w:val="0"/>
              <w:snapToGrid w:val="0"/>
              <w:spacing w:before="120" w:beforeLines="50" w:line="360" w:lineRule="auto"/>
              <w:ind w:hanging="315"/>
              <w:jc w:val="center"/>
              <w:rPr>
                <w:rFonts w:ascii="宋体" w:hAnsi="宋体" w:cs="宋体"/>
                <w:szCs w:val="21"/>
              </w:rPr>
            </w:pPr>
            <w:r>
              <w:rPr>
                <w:rFonts w:hint="eastAsia" w:ascii="宋体" w:hAnsi="宋体" w:cs="宋体"/>
                <w:szCs w:val="21"/>
              </w:rPr>
              <w:t>身份证（正反面）</w:t>
            </w:r>
            <w:r>
              <w:rPr>
                <w:rFonts w:hint="eastAsia" w:ascii="宋体" w:hAnsi="宋体" w:cs="宋体"/>
                <w:spacing w:val="-2"/>
                <w:kern w:val="0"/>
                <w:szCs w:val="21"/>
              </w:rPr>
              <w:t>复</w:t>
            </w:r>
            <w:r>
              <w:rPr>
                <w:rFonts w:hint="eastAsia" w:ascii="宋体" w:hAnsi="宋体" w:cs="宋体"/>
                <w:kern w:val="0"/>
                <w:szCs w:val="21"/>
              </w:rPr>
              <w:t>印</w:t>
            </w:r>
            <w:r>
              <w:rPr>
                <w:rFonts w:hint="eastAsia" w:ascii="宋体" w:hAnsi="宋体" w:cs="宋体"/>
                <w:spacing w:val="-2"/>
                <w:kern w:val="0"/>
                <w:szCs w:val="21"/>
              </w:rPr>
              <w:t>件</w:t>
            </w:r>
          </w:p>
        </w:tc>
        <w:tc>
          <w:tcPr>
            <w:tcW w:w="3899" w:type="dxa"/>
            <w:vAlign w:val="center"/>
          </w:tcPr>
          <w:p w14:paraId="645C7EF0">
            <w:pPr>
              <w:adjustRightInd w:val="0"/>
              <w:snapToGrid w:val="0"/>
              <w:spacing w:before="120" w:beforeLines="50" w:line="360" w:lineRule="auto"/>
              <w:ind w:hanging="315"/>
              <w:jc w:val="center"/>
              <w:rPr>
                <w:rFonts w:ascii="宋体" w:hAnsi="宋体" w:cs="宋体"/>
                <w:szCs w:val="21"/>
              </w:rPr>
            </w:pPr>
            <w:r>
              <w:rPr>
                <w:rFonts w:hint="eastAsia" w:ascii="宋体" w:hAnsi="宋体" w:cs="宋体"/>
                <w:szCs w:val="21"/>
              </w:rPr>
              <w:t>身份证（正反面）</w:t>
            </w:r>
            <w:r>
              <w:rPr>
                <w:rFonts w:hint="eastAsia" w:ascii="宋体" w:hAnsi="宋体" w:cs="宋体"/>
                <w:spacing w:val="-2"/>
                <w:kern w:val="0"/>
                <w:szCs w:val="21"/>
              </w:rPr>
              <w:t>复</w:t>
            </w:r>
            <w:r>
              <w:rPr>
                <w:rFonts w:hint="eastAsia" w:ascii="宋体" w:hAnsi="宋体" w:cs="宋体"/>
                <w:kern w:val="0"/>
                <w:szCs w:val="21"/>
              </w:rPr>
              <w:t>印</w:t>
            </w:r>
            <w:r>
              <w:rPr>
                <w:rFonts w:hint="eastAsia" w:ascii="宋体" w:hAnsi="宋体" w:cs="宋体"/>
                <w:spacing w:val="-2"/>
                <w:kern w:val="0"/>
                <w:szCs w:val="21"/>
              </w:rPr>
              <w:t>件</w:t>
            </w:r>
          </w:p>
        </w:tc>
      </w:tr>
    </w:tbl>
    <w:p w14:paraId="044F190C">
      <w:pPr>
        <w:adjustRightInd w:val="0"/>
        <w:snapToGrid w:val="0"/>
        <w:spacing w:line="360" w:lineRule="auto"/>
        <w:ind w:right="420" w:hanging="315"/>
        <w:rPr>
          <w:rFonts w:ascii="宋体" w:hAnsi="宋体"/>
          <w:szCs w:val="21"/>
        </w:rPr>
      </w:pPr>
    </w:p>
    <w:p w14:paraId="0FD48FB3">
      <w:pPr>
        <w:adjustRightInd w:val="0"/>
        <w:snapToGrid w:val="0"/>
        <w:spacing w:line="360" w:lineRule="auto"/>
        <w:ind w:right="420" w:hanging="315"/>
        <w:rPr>
          <w:rFonts w:ascii="宋体" w:hAnsi="宋体"/>
          <w:szCs w:val="21"/>
        </w:rPr>
      </w:pPr>
    </w:p>
    <w:p w14:paraId="500B5335">
      <w:pPr>
        <w:adjustRightInd w:val="0"/>
        <w:snapToGrid w:val="0"/>
        <w:spacing w:line="360" w:lineRule="auto"/>
        <w:ind w:right="420" w:hanging="315"/>
        <w:rPr>
          <w:rFonts w:ascii="宋体" w:hAnsi="宋体"/>
          <w:szCs w:val="21"/>
        </w:rPr>
      </w:pPr>
      <w:r>
        <w:rPr>
          <w:rFonts w:hint="eastAsia" w:ascii="宋体" w:hAnsi="宋体"/>
          <w:szCs w:val="21"/>
        </w:rPr>
        <w:t>法定代表人（签字）：</w:t>
      </w:r>
      <w:r>
        <w:rPr>
          <w:rFonts w:hint="eastAsia" w:ascii="宋体" w:hAnsi="宋体"/>
          <w:szCs w:val="21"/>
          <w:u w:val="single"/>
        </w:rPr>
        <w:t xml:space="preserve">                     </w:t>
      </w:r>
    </w:p>
    <w:p w14:paraId="24B4844D">
      <w:pPr>
        <w:adjustRightInd w:val="0"/>
        <w:snapToGrid w:val="0"/>
        <w:spacing w:line="360" w:lineRule="auto"/>
        <w:ind w:right="420" w:hanging="315"/>
        <w:rPr>
          <w:rFonts w:ascii="宋体" w:hAnsi="宋体"/>
          <w:szCs w:val="21"/>
        </w:rPr>
      </w:pPr>
      <w:r>
        <w:rPr>
          <w:rFonts w:hint="eastAsia" w:ascii="宋体" w:hAnsi="宋体"/>
          <w:szCs w:val="21"/>
        </w:rPr>
        <w:t>委托代理人（签字）：</w:t>
      </w:r>
      <w:r>
        <w:rPr>
          <w:rFonts w:hint="eastAsia" w:ascii="宋体" w:hAnsi="宋体"/>
          <w:szCs w:val="21"/>
          <w:u w:val="single"/>
        </w:rPr>
        <w:t xml:space="preserve">                     </w:t>
      </w:r>
    </w:p>
    <w:p w14:paraId="0CBD8FD9">
      <w:pPr>
        <w:adjustRightInd w:val="0"/>
        <w:snapToGrid w:val="0"/>
        <w:spacing w:line="360" w:lineRule="auto"/>
        <w:ind w:right="24" w:hanging="315"/>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18970EB">
      <w:pPr>
        <w:spacing w:line="360" w:lineRule="exact"/>
        <w:ind w:left="316" w:hanging="316"/>
        <w:rPr>
          <w:rFonts w:ascii="宋体" w:hAnsi="宋体"/>
          <w:b/>
        </w:rPr>
      </w:pPr>
    </w:p>
    <w:p w14:paraId="53752D24">
      <w:pPr>
        <w:spacing w:line="360" w:lineRule="exact"/>
        <w:ind w:left="316" w:hanging="316"/>
        <w:rPr>
          <w:rFonts w:ascii="宋体" w:hAnsi="宋体"/>
          <w:b/>
        </w:rPr>
      </w:pPr>
    </w:p>
    <w:p w14:paraId="2CB0FE4E">
      <w:pPr>
        <w:spacing w:line="360" w:lineRule="exact"/>
        <w:ind w:left="316" w:hanging="316"/>
        <w:rPr>
          <w:rFonts w:ascii="宋体" w:hAnsi="宋体"/>
          <w:b/>
        </w:rPr>
      </w:pPr>
    </w:p>
    <w:p w14:paraId="1514F871">
      <w:pPr>
        <w:adjustRightInd w:val="0"/>
        <w:snapToGrid w:val="0"/>
        <w:spacing w:before="120" w:beforeLines="50" w:line="360" w:lineRule="auto"/>
        <w:ind w:right="420"/>
        <w:rPr>
          <w:rFonts w:ascii="宋体" w:hAnsi="宋体" w:cs="宋体"/>
          <w:szCs w:val="21"/>
        </w:rPr>
      </w:pPr>
      <w:r>
        <w:rPr>
          <w:rFonts w:hint="eastAsia" w:ascii="宋体" w:hAnsi="宋体" w:cs="宋体"/>
          <w:b/>
          <w:szCs w:val="21"/>
        </w:rPr>
        <w:t>本授权委托书和法定代表人身份证明（单独另备一份）及委托代理人身份证原件开标现场查验。</w:t>
      </w:r>
    </w:p>
    <w:p w14:paraId="578D98C4">
      <w:pPr>
        <w:rPr>
          <w:rFonts w:hint="eastAsia" w:ascii="宋体" w:hAnsi="宋体"/>
          <w:bCs/>
          <w:sz w:val="30"/>
          <w:szCs w:val="30"/>
        </w:rPr>
      </w:pPr>
      <w:r>
        <w:rPr>
          <w:rFonts w:hint="eastAsia" w:ascii="宋体" w:hAnsi="宋体"/>
          <w:bCs/>
          <w:sz w:val="30"/>
          <w:szCs w:val="30"/>
        </w:rPr>
        <w:br w:type="page"/>
      </w:r>
    </w:p>
    <w:p w14:paraId="0EED091F">
      <w:pPr>
        <w:adjustRightInd w:val="0"/>
        <w:snapToGrid w:val="0"/>
        <w:spacing w:before="120" w:beforeLines="50" w:line="360" w:lineRule="auto"/>
        <w:ind w:left="450" w:hanging="450"/>
        <w:rPr>
          <w:rFonts w:ascii="宋体" w:hAnsi="宋体"/>
          <w:bCs/>
          <w:sz w:val="30"/>
          <w:szCs w:val="30"/>
        </w:rPr>
      </w:pPr>
      <w:r>
        <w:rPr>
          <w:rFonts w:hint="eastAsia" w:ascii="宋体" w:hAnsi="宋体"/>
          <w:bCs/>
          <w:sz w:val="30"/>
          <w:szCs w:val="30"/>
        </w:rPr>
        <w:t>附件3</w:t>
      </w:r>
    </w:p>
    <w:p w14:paraId="1BD89D83">
      <w:pPr>
        <w:pStyle w:val="45"/>
        <w:spacing w:after="96"/>
      </w:pPr>
    </w:p>
    <w:p w14:paraId="19FA859D">
      <w:pPr>
        <w:autoSpaceDE w:val="0"/>
        <w:autoSpaceDN w:val="0"/>
        <w:adjustRightInd w:val="0"/>
        <w:snapToGrid w:val="0"/>
        <w:spacing w:before="120" w:beforeLines="50" w:line="360" w:lineRule="auto"/>
        <w:ind w:left="420" w:right="24" w:hanging="420"/>
        <w:jc w:val="center"/>
        <w:rPr>
          <w:rFonts w:ascii="黑体" w:hAnsi="黑体" w:eastAsia="黑体" w:cs="微软雅黑"/>
          <w:kern w:val="0"/>
          <w:position w:val="-3"/>
          <w:sz w:val="28"/>
          <w:szCs w:val="28"/>
        </w:rPr>
      </w:pPr>
      <w:r>
        <w:rPr>
          <w:rFonts w:hint="eastAsia" w:ascii="宋体" w:hAnsi="宋体" w:eastAsia="宋体" w:cs="宋体"/>
          <w:b/>
          <w:bCs/>
          <w:kern w:val="0"/>
          <w:position w:val="-3"/>
          <w:sz w:val="28"/>
          <w:szCs w:val="28"/>
        </w:rPr>
        <w:t>湖南省政府采购供应商资格承诺函</w:t>
      </w:r>
    </w:p>
    <w:p w14:paraId="73DE49EC">
      <w:pPr>
        <w:spacing w:line="266" w:lineRule="auto"/>
        <w:ind w:hanging="315"/>
        <w:rPr>
          <w:rFonts w:ascii="Arial"/>
        </w:rPr>
      </w:pPr>
    </w:p>
    <w:p w14:paraId="3C5437A9">
      <w:pPr>
        <w:spacing w:line="266" w:lineRule="auto"/>
        <w:ind w:hanging="315"/>
        <w:rPr>
          <w:rFonts w:asciiTheme="minorEastAsia" w:hAnsiTheme="minorEastAsia" w:eastAsiaTheme="minorEastAsia" w:cstheme="minorEastAsia"/>
          <w:szCs w:val="21"/>
        </w:rPr>
      </w:pPr>
    </w:p>
    <w:p w14:paraId="47A5E38F">
      <w:pPr>
        <w:keepNext w:val="0"/>
        <w:keepLines w:val="0"/>
        <w:pageBreakBefore w:val="0"/>
        <w:widowControl w:val="0"/>
        <w:kinsoku/>
        <w:wordWrap/>
        <w:overflowPunct/>
        <w:topLinePunct w:val="0"/>
        <w:autoSpaceDE/>
        <w:autoSpaceDN/>
        <w:bidi w:val="0"/>
        <w:adjustRightInd/>
        <w:snapToGrid/>
        <w:spacing w:line="360" w:lineRule="auto"/>
        <w:ind w:right="0" w:firstLine="492" w:firstLineChars="200"/>
        <w:textAlignment w:val="auto"/>
        <w:rPr>
          <w:rFonts w:ascii="宋体" w:hAnsi="宋体" w:cs="宋体"/>
          <w:szCs w:val="21"/>
        </w:rPr>
      </w:pPr>
      <w:r>
        <w:rPr>
          <w:rFonts w:hint="eastAsia" w:ascii="宋体" w:hAnsi="宋体" w:cs="宋体"/>
          <w:spacing w:val="18"/>
          <w:szCs w:val="21"/>
        </w:rPr>
        <w:t>本</w:t>
      </w:r>
      <w:r>
        <w:rPr>
          <w:rFonts w:hint="eastAsia" w:ascii="宋体" w:hAnsi="宋体" w:cs="宋体"/>
          <w:spacing w:val="11"/>
          <w:szCs w:val="21"/>
        </w:rPr>
        <w:t>公</w:t>
      </w:r>
      <w:r>
        <w:rPr>
          <w:rFonts w:hint="eastAsia" w:ascii="宋体" w:hAnsi="宋体" w:cs="宋体"/>
          <w:spacing w:val="9"/>
          <w:szCs w:val="21"/>
        </w:rPr>
        <w:t>司独立承担民事责任、具有良好的商业信誉和健全的财</w:t>
      </w:r>
      <w:r>
        <w:rPr>
          <w:rFonts w:hint="eastAsia" w:ascii="宋体" w:hAnsi="宋体" w:cs="宋体"/>
          <w:spacing w:val="18"/>
          <w:szCs w:val="21"/>
        </w:rPr>
        <w:t>务会</w:t>
      </w:r>
      <w:r>
        <w:rPr>
          <w:rFonts w:hint="eastAsia" w:ascii="宋体" w:hAnsi="宋体" w:cs="宋体"/>
          <w:spacing w:val="11"/>
          <w:szCs w:val="21"/>
        </w:rPr>
        <w:t>计</w:t>
      </w:r>
      <w:r>
        <w:rPr>
          <w:rFonts w:hint="eastAsia" w:ascii="宋体" w:hAnsi="宋体" w:cs="宋体"/>
          <w:spacing w:val="9"/>
          <w:szCs w:val="21"/>
        </w:rPr>
        <w:t>制度、依法缴纳税收和社会保障资金，在前三年的经营活</w:t>
      </w:r>
      <w:r>
        <w:rPr>
          <w:rFonts w:hint="eastAsia" w:ascii="宋体" w:hAnsi="宋体" w:cs="宋体"/>
          <w:spacing w:val="18"/>
          <w:szCs w:val="21"/>
        </w:rPr>
        <w:t>动中</w:t>
      </w:r>
      <w:r>
        <w:rPr>
          <w:rFonts w:hint="eastAsia" w:ascii="宋体" w:hAnsi="宋体" w:cs="宋体"/>
          <w:spacing w:val="11"/>
          <w:szCs w:val="21"/>
        </w:rPr>
        <w:t>无</w:t>
      </w:r>
      <w:r>
        <w:rPr>
          <w:rFonts w:hint="eastAsia" w:ascii="宋体" w:hAnsi="宋体" w:cs="宋体"/>
          <w:spacing w:val="9"/>
          <w:szCs w:val="21"/>
        </w:rPr>
        <w:t>重大违法记录，未列入严重失信行为名单，符合政府采购</w:t>
      </w:r>
      <w:r>
        <w:rPr>
          <w:rFonts w:hint="eastAsia" w:ascii="宋体" w:hAnsi="宋体" w:cs="宋体"/>
          <w:spacing w:val="12"/>
          <w:szCs w:val="21"/>
        </w:rPr>
        <w:t>供</w:t>
      </w:r>
      <w:r>
        <w:rPr>
          <w:rFonts w:hint="eastAsia" w:ascii="宋体" w:hAnsi="宋体" w:cs="宋体"/>
          <w:spacing w:val="8"/>
          <w:szCs w:val="21"/>
        </w:rPr>
        <w:t>应商的基本资格要求。</w:t>
      </w:r>
    </w:p>
    <w:p w14:paraId="47ABC2E1">
      <w:pPr>
        <w:keepNext w:val="0"/>
        <w:keepLines w:val="0"/>
        <w:pageBreakBefore w:val="0"/>
        <w:widowControl w:val="0"/>
        <w:kinsoku/>
        <w:wordWrap/>
        <w:overflowPunct/>
        <w:topLinePunct w:val="0"/>
        <w:autoSpaceDE/>
        <w:autoSpaceDN/>
        <w:bidi w:val="0"/>
        <w:adjustRightInd/>
        <w:snapToGrid/>
        <w:spacing w:line="360" w:lineRule="auto"/>
        <w:ind w:right="0" w:firstLine="492" w:firstLineChars="200"/>
        <w:textAlignment w:val="auto"/>
        <w:rPr>
          <w:rFonts w:ascii="宋体" w:hAnsi="宋体" w:cs="宋体"/>
          <w:szCs w:val="21"/>
        </w:rPr>
      </w:pPr>
      <w:r>
        <w:rPr>
          <w:rFonts w:hint="eastAsia" w:ascii="宋体" w:hAnsi="宋体" w:cs="宋体"/>
          <w:spacing w:val="18"/>
          <w:szCs w:val="21"/>
        </w:rPr>
        <w:t>按照《政府采购促进中小企业发展管理办法》(财库〔2020〕46号)，本公司企业规模为：大型</w:t>
      </w:r>
      <w:r>
        <w:rPr>
          <w:rFonts w:hint="eastAsia" w:ascii="宋体" w:hAnsi="宋体" w:cs="宋体"/>
          <w:szCs w:val="21"/>
        </w:rPr>
        <w:t>□</w:t>
      </w:r>
      <w:r>
        <w:rPr>
          <w:rFonts w:hint="eastAsia" w:ascii="宋体" w:hAnsi="宋体" w:cs="宋体"/>
          <w:spacing w:val="18"/>
          <w:szCs w:val="21"/>
        </w:rPr>
        <w:t>中型</w:t>
      </w:r>
      <w:r>
        <w:rPr>
          <w:rFonts w:hint="eastAsia" w:ascii="宋体" w:hAnsi="宋体" w:cs="宋体"/>
          <w:szCs w:val="21"/>
        </w:rPr>
        <w:t>□</w:t>
      </w:r>
      <w:r>
        <w:rPr>
          <w:rFonts w:hint="eastAsia" w:ascii="宋体" w:hAnsi="宋体" w:cs="宋体"/>
          <w:spacing w:val="18"/>
          <w:szCs w:val="21"/>
        </w:rPr>
        <w:t>小型</w:t>
      </w:r>
      <w:r>
        <w:rPr>
          <w:rFonts w:hint="eastAsia" w:ascii="宋体" w:hAnsi="宋体" w:cs="宋体"/>
          <w:szCs w:val="21"/>
        </w:rPr>
        <w:t>□</w:t>
      </w:r>
      <w:r>
        <w:rPr>
          <w:rFonts w:hint="eastAsia" w:ascii="宋体" w:hAnsi="宋体" w:cs="宋体"/>
          <w:spacing w:val="18"/>
          <w:szCs w:val="21"/>
        </w:rPr>
        <w:t>微型</w:t>
      </w:r>
      <w:r>
        <w:rPr>
          <w:rFonts w:hint="eastAsia" w:ascii="宋体" w:hAnsi="宋体" w:cs="宋体"/>
          <w:szCs w:val="21"/>
        </w:rPr>
        <w:t>□。</w:t>
      </w:r>
    </w:p>
    <w:p w14:paraId="3DA2B301">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ascii="宋体" w:hAnsi="宋体" w:cs="宋体"/>
          <w:spacing w:val="18"/>
          <w:szCs w:val="21"/>
        </w:rPr>
      </w:pPr>
      <w:r>
        <w:rPr>
          <w:rFonts w:hint="eastAsia" w:ascii="宋体" w:hAnsi="宋体" w:cs="宋体"/>
          <w:szCs w:val="21"/>
        </w:rPr>
        <w:t>□</w:t>
      </w:r>
      <w:r>
        <w:rPr>
          <w:rFonts w:hint="eastAsia" w:ascii="宋体" w:hAnsi="宋体" w:cs="宋体"/>
          <w:spacing w:val="18"/>
          <w:szCs w:val="21"/>
        </w:rPr>
        <w:t>本公司自愿入驻湖南省政府采购电子卖场，遵守《湖南省政府采购电子卖场管理办法》(湘财购〔2019〕27号)，如违反承诺，同意金融机构将增信保证划缴国库(非电子卖场采购活动项目不需勾选)。</w:t>
      </w:r>
    </w:p>
    <w:p w14:paraId="075AAA3B">
      <w:pPr>
        <w:spacing w:line="360" w:lineRule="auto"/>
        <w:ind w:hanging="315"/>
        <w:rPr>
          <w:rFonts w:ascii="宋体" w:hAnsi="宋体" w:cs="宋体"/>
          <w:szCs w:val="21"/>
        </w:rPr>
      </w:pPr>
    </w:p>
    <w:p w14:paraId="32D7AA31">
      <w:pPr>
        <w:spacing w:before="101" w:line="360" w:lineRule="auto"/>
        <w:ind w:left="336" w:hanging="336"/>
        <w:jc w:val="right"/>
        <w:rPr>
          <w:rFonts w:ascii="宋体" w:hAnsi="宋体" w:cs="宋体"/>
          <w:szCs w:val="21"/>
        </w:rPr>
      </w:pPr>
      <w:r>
        <w:rPr>
          <w:rFonts w:hint="eastAsia" w:ascii="宋体" w:hAnsi="宋体" w:cs="宋体"/>
          <w:spacing w:val="7"/>
          <w:szCs w:val="21"/>
        </w:rPr>
        <w:t>公司(单位)名称(盖章</w:t>
      </w:r>
      <w:r>
        <w:rPr>
          <w:rFonts w:hint="eastAsia" w:ascii="宋体" w:hAnsi="宋体" w:cs="宋体"/>
          <w:spacing w:val="6"/>
          <w:szCs w:val="21"/>
        </w:rPr>
        <w:t>)</w:t>
      </w:r>
    </w:p>
    <w:p w14:paraId="5D77B3C4">
      <w:pPr>
        <w:spacing w:line="360" w:lineRule="auto"/>
        <w:ind w:hanging="315"/>
        <w:rPr>
          <w:rFonts w:ascii="宋体" w:hAnsi="宋体" w:cs="宋体"/>
          <w:szCs w:val="21"/>
        </w:rPr>
      </w:pPr>
    </w:p>
    <w:p w14:paraId="2847EEB4">
      <w:pPr>
        <w:spacing w:line="360" w:lineRule="auto"/>
        <w:ind w:hanging="315"/>
        <w:rPr>
          <w:rFonts w:ascii="宋体" w:hAnsi="宋体" w:cs="宋体"/>
          <w:szCs w:val="21"/>
        </w:rPr>
      </w:pPr>
    </w:p>
    <w:p w14:paraId="08C60CF6">
      <w:pPr>
        <w:tabs>
          <w:tab w:val="left" w:pos="5770"/>
        </w:tabs>
        <w:spacing w:before="102" w:line="360" w:lineRule="auto"/>
        <w:ind w:left="315" w:hanging="315"/>
        <w:jc w:val="right"/>
        <w:rPr>
          <w:rFonts w:ascii="宋体" w:hAnsi="宋体" w:cs="宋体"/>
          <w:szCs w:val="21"/>
        </w:rPr>
      </w:pPr>
      <w:r>
        <w:rPr>
          <w:rFonts w:hint="eastAsia" w:ascii="宋体" w:hAnsi="宋体" w:cs="宋体"/>
          <w:spacing w:val="-8"/>
          <w:szCs w:val="21"/>
        </w:rPr>
        <w:t>年</w:t>
      </w:r>
      <w:r>
        <w:rPr>
          <w:rFonts w:hint="eastAsia" w:ascii="宋体" w:hAnsi="宋体" w:cs="宋体"/>
          <w:spacing w:val="-4"/>
          <w:szCs w:val="21"/>
        </w:rPr>
        <w:t>月日</w:t>
      </w:r>
    </w:p>
    <w:p w14:paraId="54758806">
      <w:pPr>
        <w:spacing w:line="360" w:lineRule="auto"/>
        <w:ind w:hanging="315"/>
        <w:rPr>
          <w:rFonts w:ascii="宋体" w:hAnsi="宋体" w:cs="宋体"/>
          <w:szCs w:val="21"/>
        </w:rPr>
      </w:pPr>
    </w:p>
    <w:p w14:paraId="421EDF4D">
      <w:pPr>
        <w:spacing w:line="360" w:lineRule="auto"/>
        <w:ind w:hanging="315"/>
        <w:rPr>
          <w:rFonts w:ascii="宋体" w:hAnsi="宋体" w:cs="宋体"/>
          <w:szCs w:val="21"/>
        </w:rPr>
      </w:pPr>
    </w:p>
    <w:p w14:paraId="5F0BCD95">
      <w:pPr>
        <w:spacing w:before="101" w:line="360" w:lineRule="auto"/>
        <w:ind w:left="339" w:hanging="339"/>
        <w:rPr>
          <w:rFonts w:ascii="宋体" w:hAnsi="宋体" w:cs="宋体"/>
          <w:szCs w:val="21"/>
        </w:rPr>
      </w:pPr>
      <w:r>
        <w:rPr>
          <w:rFonts w:hint="eastAsia" w:ascii="宋体" w:hAnsi="宋体" w:cs="宋体"/>
          <w:spacing w:val="8"/>
          <w:szCs w:val="21"/>
        </w:rPr>
        <w:t>机构代码、注册登记机构、日期、有效期、注册资本、地址、</w:t>
      </w:r>
      <w:r>
        <w:rPr>
          <w:rFonts w:hint="eastAsia" w:ascii="宋体" w:hAnsi="宋体" w:cs="宋体"/>
          <w:spacing w:val="2"/>
          <w:szCs w:val="21"/>
        </w:rPr>
        <w:t>经</w:t>
      </w:r>
      <w:r>
        <w:rPr>
          <w:rFonts w:hint="eastAsia" w:ascii="宋体" w:hAnsi="宋体" w:cs="宋体"/>
          <w:spacing w:val="9"/>
          <w:szCs w:val="21"/>
        </w:rPr>
        <w:t>济</w:t>
      </w:r>
      <w:r>
        <w:rPr>
          <w:rFonts w:hint="eastAsia" w:ascii="宋体" w:hAnsi="宋体" w:cs="宋体"/>
          <w:spacing w:val="6"/>
          <w:szCs w:val="21"/>
        </w:rPr>
        <w:t>行业、经济性质</w:t>
      </w:r>
    </w:p>
    <w:p w14:paraId="4D1DE091">
      <w:pPr>
        <w:spacing w:before="1" w:line="360" w:lineRule="auto"/>
        <w:ind w:left="330" w:right="1001" w:hanging="330"/>
        <w:rPr>
          <w:rFonts w:ascii="宋体" w:hAnsi="宋体" w:cs="宋体"/>
          <w:spacing w:val="5"/>
          <w:szCs w:val="21"/>
        </w:rPr>
      </w:pPr>
    </w:p>
    <w:p w14:paraId="7416F94C">
      <w:pPr>
        <w:spacing w:before="1" w:line="360" w:lineRule="auto"/>
        <w:ind w:left="330" w:right="1001" w:hanging="330"/>
        <w:rPr>
          <w:rFonts w:ascii="宋体" w:hAnsi="宋体" w:cs="宋体"/>
          <w:szCs w:val="21"/>
        </w:rPr>
      </w:pPr>
      <w:r>
        <w:rPr>
          <w:rFonts w:hint="eastAsia" w:ascii="宋体" w:hAnsi="宋体" w:cs="宋体"/>
          <w:spacing w:val="5"/>
          <w:szCs w:val="21"/>
        </w:rPr>
        <w:t>法定代表人(负责人)姓名(签字)、身份证号、手机号</w:t>
      </w:r>
      <w:r>
        <w:rPr>
          <w:rFonts w:hint="eastAsia" w:ascii="宋体" w:hAnsi="宋体" w:cs="宋体"/>
          <w:spacing w:val="1"/>
          <w:szCs w:val="21"/>
        </w:rPr>
        <w:t>：</w:t>
      </w:r>
    </w:p>
    <w:p w14:paraId="32A07C6B">
      <w:pPr>
        <w:spacing w:before="1" w:line="360" w:lineRule="auto"/>
        <w:ind w:left="363" w:right="1001" w:hanging="363"/>
        <w:rPr>
          <w:rFonts w:hint="eastAsia" w:ascii="宋体" w:hAnsi="宋体" w:cs="宋体"/>
          <w:spacing w:val="16"/>
          <w:szCs w:val="21"/>
        </w:rPr>
      </w:pPr>
    </w:p>
    <w:p w14:paraId="10096985">
      <w:pPr>
        <w:spacing w:before="1" w:line="360" w:lineRule="auto"/>
        <w:ind w:left="363" w:right="1001" w:hanging="363"/>
        <w:rPr>
          <w:rFonts w:ascii="宋体" w:hAnsi="宋体" w:cs="宋体"/>
          <w:szCs w:val="21"/>
        </w:rPr>
      </w:pPr>
      <w:r>
        <w:rPr>
          <w:rFonts w:hint="eastAsia" w:ascii="宋体" w:hAnsi="宋体" w:cs="宋体"/>
          <w:spacing w:val="16"/>
          <w:szCs w:val="21"/>
        </w:rPr>
        <w:t>授</w:t>
      </w:r>
      <w:r>
        <w:rPr>
          <w:rFonts w:hint="eastAsia" w:ascii="宋体" w:hAnsi="宋体" w:cs="宋体"/>
          <w:spacing w:val="8"/>
          <w:szCs w:val="21"/>
        </w:rPr>
        <w:t>权代表人姓名(签字)、身份证号、手机号：</w:t>
      </w:r>
    </w:p>
    <w:p w14:paraId="7B5B6785">
      <w:pPr>
        <w:rPr>
          <w:rFonts w:ascii="宋体" w:hAnsi="宋体"/>
          <w:bCs/>
          <w:sz w:val="30"/>
          <w:szCs w:val="30"/>
        </w:rPr>
      </w:pPr>
      <w:r>
        <w:rPr>
          <w:rFonts w:ascii="宋体" w:hAnsi="宋体"/>
          <w:bCs/>
          <w:sz w:val="30"/>
          <w:szCs w:val="30"/>
        </w:rPr>
        <w:br w:type="page"/>
      </w:r>
    </w:p>
    <w:p w14:paraId="2492039E">
      <w:pPr>
        <w:adjustRightInd w:val="0"/>
        <w:snapToGrid w:val="0"/>
        <w:spacing w:before="120" w:beforeLines="50" w:line="360" w:lineRule="auto"/>
        <w:ind w:left="450" w:hanging="450"/>
        <w:rPr>
          <w:rFonts w:ascii="宋体" w:hAnsi="宋体"/>
          <w:bCs/>
          <w:sz w:val="30"/>
          <w:szCs w:val="30"/>
        </w:rPr>
      </w:pPr>
      <w:r>
        <w:rPr>
          <w:rFonts w:ascii="宋体" w:hAnsi="宋体"/>
          <w:bCs/>
          <w:sz w:val="30"/>
          <w:szCs w:val="30"/>
        </w:rPr>
        <w:t>附件4</w:t>
      </w:r>
    </w:p>
    <w:p w14:paraId="6ECC82A0">
      <w:pPr>
        <w:spacing w:line="360" w:lineRule="auto"/>
        <w:ind w:left="422" w:hanging="422"/>
        <w:jc w:val="center"/>
        <w:rPr>
          <w:rFonts w:ascii="宋体" w:hAnsi="宋体" w:cs="宋体"/>
          <w:b/>
          <w:bCs/>
          <w:sz w:val="28"/>
          <w:szCs w:val="28"/>
        </w:rPr>
      </w:pPr>
      <w:r>
        <w:rPr>
          <w:rFonts w:ascii="宋体" w:hAnsi="宋体" w:cs="宋体"/>
          <w:b/>
          <w:bCs/>
          <w:sz w:val="28"/>
          <w:szCs w:val="28"/>
        </w:rPr>
        <w:t>工程质量保修书</w:t>
      </w:r>
    </w:p>
    <w:p w14:paraId="0330CFD7">
      <w:pPr>
        <w:spacing w:line="440" w:lineRule="exact"/>
        <w:ind w:firstLine="420" w:firstLineChars="200"/>
        <w:rPr>
          <w:rFonts w:ascii="宋体" w:hAnsi="宋体"/>
          <w:color w:val="auto"/>
          <w:szCs w:val="21"/>
        </w:rPr>
      </w:pPr>
      <w:r>
        <w:rPr>
          <w:rFonts w:ascii="宋体" w:hAnsi="宋体"/>
          <w:color w:val="000000"/>
          <w:szCs w:val="21"/>
        </w:rPr>
        <w:t>发包人（全称）：</w:t>
      </w:r>
      <w:r>
        <w:rPr>
          <w:rFonts w:ascii="宋体" w:hAnsi="宋体"/>
          <w:color w:val="000000"/>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湘潭大学</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p>
    <w:p w14:paraId="4622FEB2">
      <w:pPr>
        <w:spacing w:line="440" w:lineRule="exact"/>
        <w:ind w:hanging="315"/>
        <w:rPr>
          <w:rFonts w:ascii="宋体" w:hAnsi="宋体"/>
          <w:color w:val="auto"/>
          <w:szCs w:val="21"/>
        </w:rPr>
      </w:pPr>
      <w:r>
        <w:rPr>
          <w:rFonts w:ascii="宋体" w:hAnsi="宋体"/>
          <w:color w:val="auto"/>
          <w:szCs w:val="21"/>
        </w:rPr>
        <w:t>　　承包人（全称）：</w:t>
      </w:r>
      <w:r>
        <w:rPr>
          <w:rFonts w:ascii="宋体" w:hAnsi="宋体"/>
          <w:color w:val="auto"/>
          <w:szCs w:val="21"/>
          <w:u w:val="single"/>
        </w:rPr>
        <w:t xml:space="preserve">                                </w:t>
      </w:r>
      <w:r>
        <w:rPr>
          <w:rFonts w:ascii="宋体" w:hAnsi="宋体"/>
          <w:color w:val="auto"/>
          <w:szCs w:val="21"/>
        </w:rPr>
        <w:t xml:space="preserve"> </w:t>
      </w:r>
    </w:p>
    <w:p w14:paraId="31656668">
      <w:pPr>
        <w:spacing w:line="440" w:lineRule="exact"/>
        <w:ind w:hanging="315"/>
        <w:rPr>
          <w:rFonts w:ascii="宋体" w:hAnsi="宋体"/>
          <w:color w:val="auto"/>
          <w:szCs w:val="21"/>
        </w:rPr>
      </w:pPr>
    </w:p>
    <w:p w14:paraId="44D0B9EE">
      <w:pPr>
        <w:spacing w:line="360" w:lineRule="auto"/>
        <w:ind w:hanging="315"/>
        <w:rPr>
          <w:rFonts w:ascii="宋体" w:hAnsi="宋体"/>
          <w:color w:val="auto"/>
          <w:szCs w:val="21"/>
        </w:rPr>
      </w:pPr>
      <w:r>
        <w:rPr>
          <w:rFonts w:ascii="宋体" w:hAnsi="宋体"/>
          <w:color w:val="auto"/>
          <w:szCs w:val="21"/>
        </w:rPr>
        <w:t>　　发包人和承包人根据《中华人民共和国建筑法》和《建设工程质量管理条例》，经协商一致就</w:t>
      </w:r>
      <w:r>
        <w:rPr>
          <w:rFonts w:ascii="宋体" w:hAnsi="宋体"/>
          <w:color w:val="auto"/>
          <w:szCs w:val="21"/>
          <w:u w:val="single"/>
        </w:rPr>
        <w:t xml:space="preserve">                </w:t>
      </w:r>
      <w:r>
        <w:rPr>
          <w:rFonts w:ascii="宋体" w:hAnsi="宋体"/>
          <w:color w:val="auto"/>
          <w:szCs w:val="21"/>
        </w:rPr>
        <w:t>（工程全称）签订工程质量保修书。</w:t>
      </w:r>
    </w:p>
    <w:p w14:paraId="41EBEAB1">
      <w:pPr>
        <w:spacing w:line="360" w:lineRule="auto"/>
        <w:ind w:hanging="315"/>
        <w:outlineLvl w:val="9"/>
        <w:rPr>
          <w:rFonts w:ascii="宋体" w:hAnsi="宋体"/>
          <w:color w:val="auto"/>
          <w:szCs w:val="21"/>
        </w:rPr>
      </w:pPr>
      <w:r>
        <w:rPr>
          <w:rFonts w:ascii="宋体" w:hAnsi="宋体"/>
          <w:color w:val="auto"/>
          <w:szCs w:val="21"/>
        </w:rPr>
        <w:t>　　</w:t>
      </w:r>
      <w:bookmarkStart w:id="142" w:name="_Toc11945"/>
      <w:bookmarkStart w:id="143" w:name="_Toc25485"/>
      <w:r>
        <w:rPr>
          <w:rFonts w:ascii="宋体" w:hAnsi="宋体"/>
          <w:color w:val="auto"/>
          <w:szCs w:val="21"/>
        </w:rPr>
        <w:t>一、工程质量保修范围和内容</w:t>
      </w:r>
      <w:bookmarkEnd w:id="142"/>
      <w:bookmarkEnd w:id="143"/>
    </w:p>
    <w:p w14:paraId="03A03B77">
      <w:pPr>
        <w:spacing w:line="360" w:lineRule="auto"/>
        <w:ind w:hanging="315"/>
        <w:outlineLvl w:val="9"/>
        <w:rPr>
          <w:rFonts w:ascii="宋体" w:hAnsi="宋体"/>
          <w:color w:val="auto"/>
          <w:szCs w:val="21"/>
        </w:rPr>
      </w:pPr>
      <w:r>
        <w:rPr>
          <w:rFonts w:ascii="宋体" w:hAnsi="宋体"/>
          <w:color w:val="auto"/>
          <w:szCs w:val="21"/>
        </w:rPr>
        <w:t>　　承包人在质量保修期内，按照有关法律规定和合同约定，承担工程质量保修责任。</w:t>
      </w:r>
    </w:p>
    <w:p w14:paraId="3E68449C">
      <w:pPr>
        <w:spacing w:line="360" w:lineRule="auto"/>
        <w:ind w:hanging="315"/>
        <w:outlineLvl w:val="9"/>
        <w:rPr>
          <w:rFonts w:ascii="宋体" w:hAnsi="宋体"/>
          <w:color w:val="auto"/>
          <w:szCs w:val="21"/>
        </w:rPr>
      </w:pPr>
      <w:r>
        <w:rPr>
          <w:rFonts w:ascii="宋体" w:hAnsi="宋体"/>
          <w:color w:val="auto"/>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Cs w:val="21"/>
          <w:u w:val="single"/>
        </w:rPr>
        <w:t>承包人承包范围内的全部内容</w:t>
      </w:r>
      <w:r>
        <w:rPr>
          <w:rFonts w:ascii="宋体" w:hAnsi="宋体"/>
          <w:color w:val="auto"/>
          <w:szCs w:val="21"/>
          <w:u w:val="single"/>
        </w:rPr>
        <w:t xml:space="preserve">  </w:t>
      </w:r>
      <w:r>
        <w:rPr>
          <w:rFonts w:ascii="宋体" w:hAnsi="宋体"/>
          <w:color w:val="auto"/>
          <w:szCs w:val="21"/>
        </w:rPr>
        <w:t>。</w:t>
      </w:r>
    </w:p>
    <w:p w14:paraId="71A7B756">
      <w:pPr>
        <w:spacing w:line="360" w:lineRule="auto"/>
        <w:ind w:left="316" w:hanging="316"/>
        <w:outlineLvl w:val="9"/>
        <w:rPr>
          <w:rFonts w:ascii="宋体" w:hAnsi="宋体"/>
          <w:color w:val="auto"/>
          <w:szCs w:val="21"/>
        </w:rPr>
      </w:pPr>
      <w:r>
        <w:rPr>
          <w:rFonts w:ascii="宋体" w:hAnsi="宋体"/>
          <w:b/>
          <w:color w:val="auto"/>
          <w:szCs w:val="21"/>
        </w:rPr>
        <w:t>　　</w:t>
      </w:r>
      <w:bookmarkStart w:id="144" w:name="_Toc14367"/>
      <w:bookmarkStart w:id="145" w:name="_Toc3499"/>
      <w:r>
        <w:rPr>
          <w:rFonts w:ascii="宋体" w:hAnsi="宋体"/>
          <w:color w:val="auto"/>
          <w:szCs w:val="21"/>
        </w:rPr>
        <w:t>二、质量保修期</w:t>
      </w:r>
      <w:bookmarkEnd w:id="144"/>
      <w:bookmarkEnd w:id="145"/>
    </w:p>
    <w:p w14:paraId="2D6B2F17">
      <w:pPr>
        <w:spacing w:line="360" w:lineRule="auto"/>
        <w:ind w:firstLine="420" w:firstLineChars="200"/>
        <w:outlineLvl w:val="9"/>
        <w:rPr>
          <w:rFonts w:ascii="宋体" w:hAnsi="宋体"/>
          <w:color w:val="auto"/>
          <w:szCs w:val="21"/>
        </w:rPr>
      </w:pPr>
      <w:r>
        <w:rPr>
          <w:rFonts w:ascii="宋体" w:hAnsi="宋体"/>
          <w:color w:val="auto"/>
          <w:szCs w:val="21"/>
        </w:rPr>
        <w:t>根据《建设工程质量管理条例》及有关规定，工程的质量保修期如下：</w:t>
      </w:r>
    </w:p>
    <w:p w14:paraId="5E226CA8">
      <w:pPr>
        <w:spacing w:line="360" w:lineRule="auto"/>
        <w:ind w:firstLine="420" w:firstLineChars="200"/>
        <w:outlineLvl w:val="9"/>
        <w:rPr>
          <w:rFonts w:ascii="宋体" w:hAnsi="宋体"/>
          <w:color w:val="auto"/>
          <w:szCs w:val="21"/>
        </w:rPr>
      </w:pPr>
      <w:r>
        <w:rPr>
          <w:rFonts w:hint="eastAsia" w:ascii="宋体" w:hAnsi="宋体"/>
          <w:color w:val="auto"/>
          <w:szCs w:val="21"/>
        </w:rPr>
        <w:t>1．地基基础工程和主体结构工程为设计文件规定的工程合理使用年限；</w:t>
      </w:r>
    </w:p>
    <w:p w14:paraId="7F1E42C4">
      <w:pPr>
        <w:spacing w:line="360" w:lineRule="auto"/>
        <w:ind w:firstLine="420" w:firstLineChars="200"/>
        <w:outlineLvl w:val="9"/>
        <w:rPr>
          <w:rFonts w:ascii="宋体" w:hAnsi="宋体"/>
          <w:color w:val="auto"/>
          <w:szCs w:val="21"/>
        </w:rPr>
      </w:pPr>
      <w:r>
        <w:rPr>
          <w:rFonts w:hint="eastAsia" w:ascii="宋体" w:hAnsi="宋体"/>
          <w:color w:val="auto"/>
          <w:szCs w:val="21"/>
        </w:rPr>
        <w:t>2．</w:t>
      </w:r>
      <w:r>
        <w:rPr>
          <w:rFonts w:ascii="宋体" w:hAnsi="宋体"/>
          <w:color w:val="auto"/>
          <w:szCs w:val="21"/>
        </w:rPr>
        <w:t>屋面防水工程、有防水要求的卫生间、房间和外墙面的防渗</w:t>
      </w:r>
      <w:r>
        <w:rPr>
          <w:rFonts w:hint="eastAsia" w:ascii="宋体" w:hAnsi="宋体"/>
          <w:color w:val="auto"/>
          <w:szCs w:val="21"/>
        </w:rPr>
        <w:t xml:space="preserve">     为</w:t>
      </w:r>
      <w:r>
        <w:rPr>
          <w:rFonts w:hint="eastAsia" w:ascii="宋体" w:hAnsi="宋体"/>
          <w:color w:val="auto"/>
          <w:szCs w:val="21"/>
          <w:u w:val="single"/>
        </w:rPr>
        <w:t xml:space="preserve">   5  </w:t>
      </w:r>
      <w:r>
        <w:rPr>
          <w:rFonts w:ascii="宋体" w:hAnsi="宋体"/>
          <w:color w:val="auto"/>
          <w:szCs w:val="21"/>
        </w:rPr>
        <w:t>年；</w:t>
      </w:r>
    </w:p>
    <w:p w14:paraId="7F69E9FB">
      <w:pPr>
        <w:spacing w:line="360" w:lineRule="auto"/>
        <w:ind w:firstLine="420" w:firstLineChars="200"/>
        <w:outlineLvl w:val="9"/>
        <w:rPr>
          <w:rFonts w:ascii="宋体" w:hAnsi="宋体"/>
          <w:color w:val="auto"/>
          <w:szCs w:val="21"/>
        </w:rPr>
      </w:pPr>
      <w:r>
        <w:rPr>
          <w:rFonts w:hint="eastAsia" w:ascii="宋体" w:hAnsi="宋体"/>
          <w:color w:val="auto"/>
          <w:szCs w:val="21"/>
        </w:rPr>
        <w:t>3．</w:t>
      </w:r>
      <w:r>
        <w:rPr>
          <w:rFonts w:ascii="宋体" w:hAnsi="宋体"/>
          <w:color w:val="auto"/>
          <w:szCs w:val="21"/>
        </w:rPr>
        <w:t>装修工程为</w:t>
      </w:r>
      <w:r>
        <w:rPr>
          <w:rFonts w:ascii="宋体" w:hAnsi="宋体"/>
          <w:color w:val="auto"/>
          <w:szCs w:val="21"/>
          <w:u w:val="single"/>
        </w:rPr>
        <w:t xml:space="preserve">    </w:t>
      </w:r>
      <w:r>
        <w:rPr>
          <w:rFonts w:hint="eastAsia" w:ascii="宋体" w:hAnsi="宋体"/>
          <w:color w:val="auto"/>
          <w:szCs w:val="21"/>
          <w:u w:val="single"/>
        </w:rPr>
        <w:t>2</w:t>
      </w:r>
      <w:r>
        <w:rPr>
          <w:rFonts w:ascii="宋体" w:hAnsi="宋体"/>
          <w:color w:val="auto"/>
          <w:szCs w:val="21"/>
          <w:u w:val="single"/>
        </w:rPr>
        <w:t xml:space="preserve">   </w:t>
      </w:r>
      <w:r>
        <w:rPr>
          <w:rFonts w:ascii="宋体" w:hAnsi="宋体"/>
          <w:color w:val="auto"/>
          <w:szCs w:val="21"/>
        </w:rPr>
        <w:t>年；</w:t>
      </w:r>
    </w:p>
    <w:p w14:paraId="1290B505">
      <w:pPr>
        <w:spacing w:line="360" w:lineRule="auto"/>
        <w:ind w:firstLine="420" w:firstLineChars="200"/>
        <w:outlineLvl w:val="9"/>
        <w:rPr>
          <w:rFonts w:ascii="宋体" w:hAnsi="宋体"/>
          <w:color w:val="auto"/>
          <w:szCs w:val="21"/>
        </w:rPr>
      </w:pPr>
      <w:r>
        <w:rPr>
          <w:rFonts w:hint="eastAsia" w:ascii="宋体" w:hAnsi="宋体"/>
          <w:color w:val="auto"/>
          <w:szCs w:val="21"/>
        </w:rPr>
        <w:t>4．</w:t>
      </w:r>
      <w:r>
        <w:rPr>
          <w:rFonts w:ascii="宋体" w:hAnsi="宋体"/>
          <w:color w:val="auto"/>
          <w:szCs w:val="21"/>
        </w:rPr>
        <w:t>电气管线、给排水管道、设备安装工程为</w:t>
      </w:r>
      <w:r>
        <w:rPr>
          <w:rFonts w:ascii="宋体" w:hAnsi="宋体"/>
          <w:color w:val="auto"/>
          <w:szCs w:val="21"/>
          <w:u w:val="single"/>
        </w:rPr>
        <w:t xml:space="preserve">    </w:t>
      </w:r>
      <w:r>
        <w:rPr>
          <w:rFonts w:hint="eastAsia" w:ascii="宋体" w:hAnsi="宋体"/>
          <w:color w:val="auto"/>
          <w:szCs w:val="21"/>
          <w:u w:val="single"/>
        </w:rPr>
        <w:t>2</w:t>
      </w:r>
      <w:r>
        <w:rPr>
          <w:rFonts w:ascii="宋体" w:hAnsi="宋体"/>
          <w:color w:val="auto"/>
          <w:szCs w:val="21"/>
          <w:u w:val="single"/>
        </w:rPr>
        <w:t xml:space="preserve">   </w:t>
      </w:r>
      <w:r>
        <w:rPr>
          <w:rFonts w:ascii="宋体" w:hAnsi="宋体"/>
          <w:color w:val="auto"/>
          <w:szCs w:val="21"/>
        </w:rPr>
        <w:t>年；</w:t>
      </w:r>
    </w:p>
    <w:p w14:paraId="5008AAA7">
      <w:pPr>
        <w:spacing w:line="360" w:lineRule="auto"/>
        <w:ind w:firstLine="420" w:firstLineChars="200"/>
        <w:outlineLvl w:val="9"/>
        <w:rPr>
          <w:rFonts w:ascii="宋体" w:hAnsi="宋体"/>
          <w:color w:val="auto"/>
          <w:szCs w:val="21"/>
        </w:rPr>
      </w:pPr>
      <w:r>
        <w:rPr>
          <w:rFonts w:hint="eastAsia" w:ascii="宋体" w:hAnsi="宋体"/>
          <w:color w:val="auto"/>
          <w:szCs w:val="21"/>
        </w:rPr>
        <w:t>5．</w:t>
      </w:r>
      <w:r>
        <w:rPr>
          <w:rFonts w:ascii="宋体" w:hAnsi="宋体"/>
          <w:color w:val="auto"/>
          <w:szCs w:val="21"/>
        </w:rPr>
        <w:t>供热与供冷系统为</w:t>
      </w:r>
      <w:r>
        <w:rPr>
          <w:rFonts w:ascii="宋体" w:hAnsi="宋体"/>
          <w:color w:val="auto"/>
          <w:szCs w:val="21"/>
          <w:u w:val="single"/>
        </w:rPr>
        <w:t xml:space="preserve">   </w:t>
      </w:r>
      <w:r>
        <w:rPr>
          <w:rFonts w:hint="eastAsia" w:ascii="宋体" w:hAnsi="宋体"/>
          <w:color w:val="auto"/>
          <w:szCs w:val="21"/>
          <w:u w:val="single"/>
        </w:rPr>
        <w:t>2</w:t>
      </w:r>
      <w:r>
        <w:rPr>
          <w:rFonts w:ascii="宋体" w:hAnsi="宋体"/>
          <w:color w:val="auto"/>
          <w:szCs w:val="21"/>
          <w:u w:val="single"/>
        </w:rPr>
        <w:t xml:space="preserve">  </w:t>
      </w:r>
      <w:r>
        <w:rPr>
          <w:rFonts w:ascii="宋体" w:hAnsi="宋体"/>
          <w:color w:val="auto"/>
          <w:szCs w:val="21"/>
        </w:rPr>
        <w:t>个采暖期、供冷期；</w:t>
      </w:r>
    </w:p>
    <w:p w14:paraId="23ED2026">
      <w:pPr>
        <w:spacing w:line="360" w:lineRule="auto"/>
        <w:ind w:firstLine="420" w:firstLineChars="200"/>
        <w:outlineLvl w:val="9"/>
        <w:rPr>
          <w:rFonts w:ascii="宋体" w:hAnsi="宋体"/>
          <w:color w:val="auto"/>
          <w:szCs w:val="21"/>
        </w:rPr>
      </w:pPr>
      <w:r>
        <w:rPr>
          <w:rFonts w:hint="eastAsia" w:ascii="宋体" w:hAnsi="宋体"/>
          <w:color w:val="auto"/>
          <w:szCs w:val="21"/>
        </w:rPr>
        <w:t>6．</w:t>
      </w:r>
      <w:r>
        <w:rPr>
          <w:rFonts w:ascii="宋体" w:hAnsi="宋体"/>
          <w:color w:val="auto"/>
          <w:szCs w:val="21"/>
        </w:rPr>
        <w:t>住宅小区内的给排水设施、道路等配套工程为</w:t>
      </w:r>
      <w:r>
        <w:rPr>
          <w:rFonts w:ascii="宋体" w:hAnsi="宋体"/>
          <w:color w:val="auto"/>
          <w:szCs w:val="21"/>
          <w:u w:val="single"/>
        </w:rPr>
        <w:t xml:space="preserve">    </w:t>
      </w:r>
      <w:r>
        <w:rPr>
          <w:rFonts w:hint="eastAsia" w:ascii="宋体" w:hAnsi="宋体"/>
          <w:color w:val="auto"/>
          <w:szCs w:val="21"/>
          <w:u w:val="single"/>
        </w:rPr>
        <w:t>2</w:t>
      </w:r>
      <w:r>
        <w:rPr>
          <w:rFonts w:ascii="宋体" w:hAnsi="宋体"/>
          <w:color w:val="auto"/>
          <w:szCs w:val="21"/>
          <w:u w:val="single"/>
        </w:rPr>
        <w:t xml:space="preserve">  </w:t>
      </w:r>
      <w:r>
        <w:rPr>
          <w:rFonts w:ascii="宋体" w:hAnsi="宋体"/>
          <w:color w:val="auto"/>
          <w:szCs w:val="21"/>
        </w:rPr>
        <w:t>年；</w:t>
      </w:r>
    </w:p>
    <w:p w14:paraId="62BCFB57">
      <w:pPr>
        <w:spacing w:line="360" w:lineRule="auto"/>
        <w:ind w:firstLine="420" w:firstLineChars="200"/>
        <w:outlineLvl w:val="9"/>
        <w:rPr>
          <w:rFonts w:ascii="宋体" w:hAnsi="宋体"/>
          <w:color w:val="auto"/>
          <w:szCs w:val="21"/>
        </w:rPr>
      </w:pPr>
      <w:r>
        <w:rPr>
          <w:rFonts w:hint="eastAsia" w:ascii="宋体" w:hAnsi="宋体"/>
          <w:color w:val="auto"/>
          <w:szCs w:val="21"/>
        </w:rPr>
        <w:t>7．</w:t>
      </w:r>
      <w:r>
        <w:rPr>
          <w:rFonts w:ascii="宋体" w:hAnsi="宋体"/>
          <w:color w:val="auto"/>
          <w:szCs w:val="21"/>
        </w:rPr>
        <w:t>其他项目保修期限约定如下：</w:t>
      </w:r>
      <w:r>
        <w:rPr>
          <w:rFonts w:ascii="宋体" w:hAnsi="宋体"/>
          <w:color w:val="auto"/>
          <w:szCs w:val="21"/>
          <w:u w:val="single"/>
        </w:rPr>
        <w:t xml:space="preserve"> </w:t>
      </w:r>
      <w:r>
        <w:rPr>
          <w:rFonts w:hint="eastAsia" w:ascii="宋体" w:hAnsi="宋体"/>
          <w:color w:val="auto"/>
          <w:szCs w:val="21"/>
          <w:u w:val="single"/>
        </w:rPr>
        <w:t xml:space="preserve">   2年</w:t>
      </w:r>
      <w:r>
        <w:rPr>
          <w:rFonts w:ascii="宋体" w:hAnsi="宋体"/>
          <w:color w:val="auto"/>
          <w:szCs w:val="21"/>
          <w:u w:val="single"/>
        </w:rPr>
        <w:t xml:space="preserve">  </w:t>
      </w:r>
      <w:r>
        <w:rPr>
          <w:rFonts w:ascii="宋体" w:hAnsi="宋体"/>
          <w:color w:val="auto"/>
          <w:szCs w:val="21"/>
        </w:rPr>
        <w:t>。</w:t>
      </w:r>
    </w:p>
    <w:p w14:paraId="0AD7E816">
      <w:pPr>
        <w:spacing w:line="360" w:lineRule="auto"/>
        <w:ind w:hanging="315"/>
        <w:outlineLvl w:val="9"/>
        <w:rPr>
          <w:rFonts w:ascii="宋体" w:hAnsi="宋体"/>
          <w:color w:val="auto"/>
          <w:szCs w:val="21"/>
        </w:rPr>
      </w:pPr>
      <w:r>
        <w:rPr>
          <w:rFonts w:ascii="宋体" w:hAnsi="宋体"/>
          <w:color w:val="auto"/>
          <w:szCs w:val="21"/>
        </w:rPr>
        <w:t>　　质量保修期自工程竣工验收合格之日起计算。</w:t>
      </w:r>
    </w:p>
    <w:p w14:paraId="31A5E0A6">
      <w:pPr>
        <w:spacing w:line="360" w:lineRule="auto"/>
        <w:ind w:firstLine="420" w:firstLineChars="200"/>
        <w:outlineLvl w:val="9"/>
        <w:rPr>
          <w:rFonts w:ascii="宋体" w:hAnsi="宋体"/>
          <w:color w:val="auto"/>
          <w:szCs w:val="21"/>
        </w:rPr>
      </w:pPr>
      <w:bookmarkStart w:id="146" w:name="_Toc17430"/>
      <w:bookmarkStart w:id="147" w:name="_Toc17208"/>
      <w:r>
        <w:rPr>
          <w:rFonts w:ascii="宋体" w:hAnsi="宋体"/>
          <w:color w:val="auto"/>
          <w:szCs w:val="21"/>
        </w:rPr>
        <w:t>三、缺陷责任期</w:t>
      </w:r>
      <w:bookmarkEnd w:id="146"/>
      <w:bookmarkEnd w:id="147"/>
    </w:p>
    <w:p w14:paraId="4E5D6CA9">
      <w:pPr>
        <w:spacing w:line="360" w:lineRule="auto"/>
        <w:ind w:firstLine="420" w:firstLineChars="200"/>
        <w:outlineLvl w:val="9"/>
        <w:rPr>
          <w:rFonts w:ascii="宋体" w:hAnsi="宋体"/>
          <w:color w:val="000000"/>
          <w:szCs w:val="21"/>
        </w:rPr>
      </w:pPr>
      <w:r>
        <w:rPr>
          <w:rFonts w:ascii="宋体" w:hAnsi="宋体"/>
          <w:color w:val="auto"/>
          <w:szCs w:val="21"/>
        </w:rPr>
        <w:t>工程缺陷责任期为</w:t>
      </w:r>
      <w:r>
        <w:rPr>
          <w:rFonts w:ascii="宋体" w:hAnsi="宋体"/>
          <w:color w:val="auto"/>
          <w:szCs w:val="21"/>
          <w:u w:val="single"/>
        </w:rPr>
        <w:t xml:space="preserve">  </w:t>
      </w:r>
      <w:r>
        <w:rPr>
          <w:rFonts w:hint="eastAsia" w:ascii="宋体" w:hAnsi="宋体"/>
          <w:color w:val="auto"/>
          <w:szCs w:val="21"/>
          <w:u w:val="single"/>
        </w:rPr>
        <w:t xml:space="preserve">24 </w:t>
      </w:r>
      <w:r>
        <w:rPr>
          <w:rFonts w:ascii="宋体" w:hAnsi="宋体"/>
          <w:color w:val="auto"/>
          <w:szCs w:val="21"/>
          <w:u w:val="single"/>
        </w:rPr>
        <w:t xml:space="preserve"> </w:t>
      </w:r>
      <w:r>
        <w:rPr>
          <w:rFonts w:ascii="宋体" w:hAnsi="宋体"/>
          <w:color w:val="auto"/>
          <w:szCs w:val="21"/>
        </w:rPr>
        <w:t>个月，缺陷责任期自</w:t>
      </w:r>
      <w:r>
        <w:rPr>
          <w:rFonts w:ascii="宋体" w:hAnsi="宋体"/>
          <w:color w:val="000000"/>
          <w:szCs w:val="21"/>
        </w:rPr>
        <w:t>工程</w:t>
      </w:r>
      <w:r>
        <w:rPr>
          <w:rFonts w:hint="eastAsia" w:ascii="宋体" w:hAnsi="宋体"/>
          <w:color w:val="000000"/>
          <w:szCs w:val="21"/>
        </w:rPr>
        <w:t>通过竣工验收</w:t>
      </w:r>
      <w:r>
        <w:rPr>
          <w:rFonts w:ascii="宋体" w:hAnsi="宋体"/>
          <w:color w:val="000000"/>
          <w:szCs w:val="21"/>
        </w:rPr>
        <w:t>之日起计算。单位工程先于全部工程进行验收，单位工程缺陷责任期自单位工程验收合格之日起算。</w:t>
      </w:r>
    </w:p>
    <w:p w14:paraId="3C58D543">
      <w:pPr>
        <w:spacing w:line="360" w:lineRule="auto"/>
        <w:ind w:firstLine="420" w:firstLineChars="200"/>
        <w:outlineLvl w:val="9"/>
        <w:rPr>
          <w:rFonts w:ascii="宋体" w:hAnsi="宋体"/>
          <w:color w:val="000000"/>
          <w:szCs w:val="21"/>
        </w:rPr>
      </w:pPr>
      <w:r>
        <w:rPr>
          <w:rFonts w:ascii="宋体" w:hAnsi="宋体"/>
          <w:color w:val="000000"/>
          <w:szCs w:val="21"/>
        </w:rPr>
        <w:t>缺陷责任期终止后，发包人应退还剩余的质量保证金。</w:t>
      </w:r>
    </w:p>
    <w:p w14:paraId="745FEEBC">
      <w:pPr>
        <w:spacing w:line="360" w:lineRule="auto"/>
        <w:ind w:hanging="315"/>
        <w:outlineLvl w:val="9"/>
        <w:rPr>
          <w:rFonts w:ascii="宋体" w:hAnsi="宋体"/>
          <w:color w:val="000000"/>
          <w:szCs w:val="21"/>
        </w:rPr>
      </w:pPr>
      <w:r>
        <w:rPr>
          <w:rFonts w:ascii="宋体" w:hAnsi="宋体"/>
          <w:color w:val="000000"/>
          <w:szCs w:val="21"/>
        </w:rPr>
        <w:t xml:space="preserve">    </w:t>
      </w:r>
      <w:bookmarkStart w:id="148" w:name="_Toc5728"/>
      <w:bookmarkStart w:id="149" w:name="_Toc11394"/>
      <w:r>
        <w:rPr>
          <w:rFonts w:ascii="宋体" w:hAnsi="宋体"/>
          <w:color w:val="000000"/>
          <w:szCs w:val="21"/>
        </w:rPr>
        <w:t>四、质量保修责任</w:t>
      </w:r>
      <w:bookmarkEnd w:id="148"/>
      <w:bookmarkEnd w:id="149"/>
    </w:p>
    <w:p w14:paraId="30FEB796">
      <w:pPr>
        <w:spacing w:line="360" w:lineRule="auto"/>
        <w:ind w:left="105" w:leftChars="50" w:firstLine="430" w:firstLineChars="205"/>
        <w:outlineLvl w:val="9"/>
        <w:rPr>
          <w:rFonts w:ascii="宋体" w:hAnsi="宋体"/>
          <w:color w:val="000000"/>
          <w:szCs w:val="21"/>
        </w:rPr>
      </w:pPr>
      <w:r>
        <w:rPr>
          <w:rFonts w:hint="eastAsia" w:ascii="宋体" w:hAnsi="宋体"/>
          <w:color w:val="000000"/>
          <w:szCs w:val="21"/>
        </w:rPr>
        <w:t>1</w:t>
      </w:r>
      <w:r>
        <w:rPr>
          <w:rFonts w:hint="eastAsia" w:ascii="宋体" w:hAnsi="宋体"/>
          <w:szCs w:val="21"/>
        </w:rPr>
        <w:t>．</w:t>
      </w:r>
      <w:r>
        <w:rPr>
          <w:rFonts w:ascii="宋体" w:hAnsi="宋体"/>
          <w:color w:val="000000"/>
          <w:szCs w:val="21"/>
        </w:rPr>
        <w:t>属于保修范围、内容的项目，承包人应当在接到保修通知之日起7天内派人保修。承包人不在约定期限内派人保修的，发包人可以委托他人修理。</w:t>
      </w:r>
    </w:p>
    <w:p w14:paraId="4BD56F81">
      <w:pPr>
        <w:spacing w:line="360" w:lineRule="auto"/>
        <w:ind w:left="105" w:leftChars="50" w:firstLine="430" w:firstLineChars="205"/>
        <w:outlineLvl w:val="9"/>
        <w:rPr>
          <w:rFonts w:ascii="宋体" w:hAnsi="宋体"/>
          <w:color w:val="000000"/>
          <w:szCs w:val="21"/>
        </w:rPr>
      </w:pPr>
      <w:r>
        <w:rPr>
          <w:rFonts w:hint="eastAsia" w:ascii="宋体" w:hAnsi="宋体"/>
          <w:color w:val="000000"/>
          <w:szCs w:val="21"/>
        </w:rPr>
        <w:t>2</w:t>
      </w:r>
      <w:r>
        <w:rPr>
          <w:rFonts w:hint="eastAsia" w:ascii="宋体" w:hAnsi="宋体"/>
          <w:szCs w:val="21"/>
        </w:rPr>
        <w:t>．</w:t>
      </w:r>
      <w:r>
        <w:rPr>
          <w:rFonts w:ascii="宋体" w:hAnsi="宋体"/>
          <w:color w:val="000000"/>
          <w:szCs w:val="21"/>
        </w:rPr>
        <w:t>发生紧急事故需抢修的，承包人在接到事故通知后，应当立即到达事故现场抢修。</w:t>
      </w:r>
    </w:p>
    <w:p w14:paraId="448E17DA">
      <w:pPr>
        <w:spacing w:line="360" w:lineRule="auto"/>
        <w:ind w:left="105" w:leftChars="50" w:firstLine="430" w:firstLineChars="205"/>
        <w:outlineLvl w:val="9"/>
        <w:rPr>
          <w:rFonts w:ascii="宋体" w:hAnsi="宋体"/>
          <w:color w:val="000000"/>
          <w:szCs w:val="21"/>
        </w:rPr>
      </w:pPr>
      <w:r>
        <w:rPr>
          <w:rFonts w:hint="eastAsia" w:ascii="宋体" w:hAnsi="宋体"/>
          <w:color w:val="000000"/>
          <w:szCs w:val="21"/>
        </w:rPr>
        <w:t>3</w:t>
      </w:r>
      <w:r>
        <w:rPr>
          <w:rFonts w:hint="eastAsia" w:ascii="宋体" w:hAnsi="宋体"/>
          <w:szCs w:val="21"/>
        </w:rPr>
        <w:t>．</w:t>
      </w:r>
      <w:r>
        <w:rPr>
          <w:rFonts w:ascii="宋体" w:hAnsi="宋体"/>
          <w:color w:val="000000"/>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999DDBE">
      <w:pPr>
        <w:spacing w:line="360" w:lineRule="auto"/>
        <w:ind w:left="420" w:leftChars="200" w:firstLine="105" w:firstLineChars="50"/>
        <w:outlineLvl w:val="9"/>
        <w:rPr>
          <w:rFonts w:ascii="宋体" w:hAnsi="宋体"/>
          <w:color w:val="000000"/>
          <w:szCs w:val="21"/>
        </w:rPr>
      </w:pPr>
      <w:r>
        <w:rPr>
          <w:rFonts w:hint="eastAsia" w:ascii="宋体" w:hAnsi="宋体"/>
          <w:color w:val="000000"/>
          <w:szCs w:val="21"/>
        </w:rPr>
        <w:t>4</w:t>
      </w:r>
      <w:r>
        <w:rPr>
          <w:rFonts w:hint="eastAsia" w:ascii="宋体" w:hAnsi="宋体"/>
          <w:szCs w:val="21"/>
        </w:rPr>
        <w:t>．</w:t>
      </w:r>
      <w:r>
        <w:rPr>
          <w:rFonts w:ascii="宋体" w:hAnsi="宋体"/>
          <w:color w:val="000000"/>
          <w:szCs w:val="21"/>
        </w:rPr>
        <w:t>质量保修完成后，由发包人组织验收。</w:t>
      </w:r>
    </w:p>
    <w:p w14:paraId="5DBB8FF5">
      <w:pPr>
        <w:spacing w:line="360" w:lineRule="auto"/>
        <w:ind w:hanging="315"/>
        <w:outlineLvl w:val="9"/>
        <w:rPr>
          <w:rFonts w:ascii="宋体" w:hAnsi="宋体"/>
          <w:color w:val="000000"/>
          <w:szCs w:val="21"/>
        </w:rPr>
      </w:pPr>
      <w:r>
        <w:rPr>
          <w:rFonts w:ascii="宋体" w:hAnsi="宋体"/>
          <w:color w:val="000000"/>
          <w:szCs w:val="21"/>
        </w:rPr>
        <w:t>　　</w:t>
      </w:r>
      <w:bookmarkStart w:id="150" w:name="_Toc17251"/>
      <w:bookmarkStart w:id="151" w:name="_Toc3519"/>
      <w:r>
        <w:rPr>
          <w:rFonts w:ascii="宋体" w:hAnsi="宋体"/>
          <w:color w:val="000000"/>
          <w:szCs w:val="21"/>
        </w:rPr>
        <w:t>五、保修费用</w:t>
      </w:r>
      <w:bookmarkEnd w:id="150"/>
      <w:bookmarkEnd w:id="151"/>
    </w:p>
    <w:p w14:paraId="6C6A982B">
      <w:pPr>
        <w:spacing w:line="360" w:lineRule="auto"/>
        <w:ind w:hanging="315"/>
        <w:outlineLvl w:val="9"/>
        <w:rPr>
          <w:rFonts w:ascii="宋体" w:hAnsi="宋体"/>
          <w:color w:val="000000"/>
          <w:szCs w:val="21"/>
        </w:rPr>
      </w:pPr>
      <w:r>
        <w:rPr>
          <w:rFonts w:ascii="宋体" w:hAnsi="宋体"/>
          <w:color w:val="000000"/>
          <w:szCs w:val="21"/>
        </w:rPr>
        <w:t>　　保修费用由造成质量缺陷的责任方承担。</w:t>
      </w:r>
    </w:p>
    <w:p w14:paraId="33A51B8F">
      <w:pPr>
        <w:spacing w:line="360" w:lineRule="auto"/>
        <w:ind w:firstLine="420" w:firstLineChars="200"/>
        <w:jc w:val="left"/>
        <w:outlineLvl w:val="9"/>
        <w:rPr>
          <w:rFonts w:ascii="宋体" w:hAnsi="宋体"/>
          <w:color w:val="000000"/>
          <w:szCs w:val="21"/>
        </w:rPr>
      </w:pPr>
      <w:r>
        <w:rPr>
          <w:rFonts w:ascii="宋体" w:hAnsi="宋体"/>
          <w:color w:val="000000"/>
          <w:szCs w:val="21"/>
        </w:rPr>
        <w:t>六、双方约定的其他工程质量保修事项：</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auto"/>
          <w:szCs w:val="21"/>
          <w:u w:val="single"/>
        </w:rPr>
        <w:t xml:space="preserve">  /   </w:t>
      </w:r>
      <w:r>
        <w:rPr>
          <w:rFonts w:ascii="宋体" w:hAnsi="宋体"/>
          <w:color w:val="auto"/>
          <w:szCs w:val="21"/>
          <w:u w:val="single"/>
        </w:rPr>
        <w:t xml:space="preserve">  </w:t>
      </w:r>
      <w:r>
        <w:rPr>
          <w:rFonts w:ascii="宋体" w:hAnsi="宋体"/>
          <w:color w:val="auto"/>
          <w:szCs w:val="21"/>
        </w:rPr>
        <w:t>。</w:t>
      </w:r>
    </w:p>
    <w:p w14:paraId="6323F2FD">
      <w:pPr>
        <w:spacing w:line="360" w:lineRule="auto"/>
        <w:ind w:firstLine="399" w:firstLineChars="190"/>
        <w:outlineLvl w:val="9"/>
        <w:rPr>
          <w:rFonts w:ascii="宋体" w:hAnsi="宋体"/>
          <w:color w:val="000000"/>
          <w:szCs w:val="21"/>
        </w:rPr>
      </w:pPr>
      <w:r>
        <w:rPr>
          <w:rFonts w:ascii="宋体" w:hAnsi="宋体"/>
          <w:color w:val="000000"/>
          <w:szCs w:val="21"/>
        </w:rPr>
        <w:t>工程质量保修书由发包人、承包人在工程竣工验收前共同签署，作为施工合同附件，其有效期限至保修期满。</w:t>
      </w:r>
    </w:p>
    <w:p w14:paraId="4AF0661D">
      <w:pPr>
        <w:spacing w:line="360" w:lineRule="auto"/>
        <w:ind w:hanging="315"/>
        <w:outlineLvl w:val="9"/>
        <w:rPr>
          <w:rFonts w:ascii="宋体" w:hAnsi="宋体"/>
          <w:color w:val="000000"/>
          <w:szCs w:val="21"/>
        </w:rPr>
      </w:pPr>
    </w:p>
    <w:p w14:paraId="5F11E72B">
      <w:pPr>
        <w:spacing w:line="360" w:lineRule="auto"/>
        <w:ind w:hanging="315"/>
        <w:outlineLvl w:val="9"/>
        <w:rPr>
          <w:rFonts w:ascii="宋体" w:hAnsi="宋体"/>
          <w:color w:val="000000"/>
          <w:szCs w:val="21"/>
        </w:rPr>
      </w:pPr>
      <w:r>
        <w:rPr>
          <w:rFonts w:ascii="宋体" w:hAnsi="宋体"/>
          <w:color w:val="000000"/>
          <w:szCs w:val="21"/>
        </w:rPr>
        <w:t>发包人(公章)：</w:t>
      </w:r>
      <w:r>
        <w:rPr>
          <w:rFonts w:ascii="宋体" w:hAnsi="宋体"/>
          <w:color w:val="000000"/>
          <w:szCs w:val="21"/>
          <w:u w:val="single"/>
        </w:rPr>
        <w:t xml:space="preserve">        </w:t>
      </w:r>
      <w:r>
        <w:rPr>
          <w:rFonts w:ascii="宋体" w:hAnsi="宋体"/>
          <w:color w:val="000000"/>
          <w:szCs w:val="21"/>
        </w:rPr>
        <w:t xml:space="preserve"> 承包人(公章)：</w:t>
      </w:r>
      <w:r>
        <w:rPr>
          <w:rFonts w:hint="eastAsia" w:ascii="宋体" w:hAnsi="宋体"/>
          <w:color w:val="000000"/>
          <w:szCs w:val="21"/>
          <w:u w:val="single"/>
        </w:rPr>
        <w:t xml:space="preserve">          </w:t>
      </w:r>
      <w:r>
        <w:rPr>
          <w:rFonts w:ascii="宋体" w:hAnsi="宋体"/>
          <w:color w:val="000000"/>
          <w:szCs w:val="21"/>
          <w:u w:val="single"/>
        </w:rPr>
        <w:t xml:space="preserve"> </w:t>
      </w:r>
    </w:p>
    <w:p w14:paraId="27CA664D">
      <w:pPr>
        <w:spacing w:line="360" w:lineRule="auto"/>
        <w:ind w:hanging="315"/>
        <w:outlineLvl w:val="9"/>
        <w:rPr>
          <w:rFonts w:ascii="宋体" w:hAnsi="宋体"/>
          <w:color w:val="000000"/>
          <w:szCs w:val="21"/>
        </w:rPr>
      </w:pPr>
      <w:r>
        <w:rPr>
          <w:rFonts w:ascii="宋体" w:hAnsi="宋体"/>
          <w:color w:val="000000"/>
          <w:szCs w:val="21"/>
        </w:rPr>
        <w:t>地  址：</w:t>
      </w:r>
      <w:r>
        <w:rPr>
          <w:rFonts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地  址：</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p>
    <w:p w14:paraId="7523E957">
      <w:pPr>
        <w:spacing w:line="360" w:lineRule="auto"/>
        <w:ind w:hanging="315"/>
        <w:outlineLvl w:val="9"/>
        <w:rPr>
          <w:rFonts w:ascii="宋体" w:hAnsi="宋体"/>
          <w:color w:val="000000"/>
          <w:szCs w:val="21"/>
        </w:rPr>
      </w:pPr>
      <w:r>
        <w:rPr>
          <w:rFonts w:ascii="宋体" w:hAnsi="宋体"/>
          <w:color w:val="000000"/>
          <w:szCs w:val="21"/>
        </w:rPr>
        <w:t>法定代表人(签字)：</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法定代表人(签字)：</w:t>
      </w:r>
      <w:r>
        <w:rPr>
          <w:rFonts w:hint="eastAsia" w:ascii="宋体" w:hAnsi="宋体"/>
          <w:color w:val="000000"/>
          <w:szCs w:val="21"/>
          <w:u w:val="single"/>
        </w:rPr>
        <w:t xml:space="preserve">      </w:t>
      </w:r>
      <w:r>
        <w:rPr>
          <w:rFonts w:ascii="宋体" w:hAnsi="宋体"/>
          <w:color w:val="000000"/>
          <w:szCs w:val="21"/>
          <w:u w:val="single"/>
        </w:rPr>
        <w:t xml:space="preserve"> </w:t>
      </w:r>
    </w:p>
    <w:p w14:paraId="593422A2">
      <w:pPr>
        <w:spacing w:line="360" w:lineRule="auto"/>
        <w:ind w:hanging="315"/>
        <w:outlineLvl w:val="9"/>
        <w:rPr>
          <w:rFonts w:ascii="宋体" w:hAnsi="宋体"/>
          <w:color w:val="000000"/>
          <w:szCs w:val="21"/>
        </w:rPr>
      </w:pPr>
      <w:r>
        <w:rPr>
          <w:rFonts w:ascii="宋体" w:hAnsi="宋体"/>
          <w:color w:val="000000"/>
          <w:szCs w:val="21"/>
        </w:rPr>
        <w:t>委托代理人(签字)：</w:t>
      </w:r>
      <w:r>
        <w:rPr>
          <w:rFonts w:ascii="宋体" w:hAnsi="宋体"/>
          <w:color w:val="000000"/>
          <w:szCs w:val="21"/>
          <w:u w:val="single"/>
        </w:rPr>
        <w:t xml:space="preserve">      </w:t>
      </w:r>
      <w:r>
        <w:rPr>
          <w:rFonts w:ascii="宋体" w:hAnsi="宋体"/>
          <w:color w:val="000000"/>
          <w:szCs w:val="21"/>
        </w:rPr>
        <w:t xml:space="preserve"> 委托代理人(签字)：</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p>
    <w:p w14:paraId="31B75AD8">
      <w:pPr>
        <w:spacing w:line="360" w:lineRule="auto"/>
        <w:ind w:hanging="315"/>
        <w:outlineLvl w:val="9"/>
        <w:rPr>
          <w:rFonts w:ascii="宋体" w:hAnsi="宋体"/>
          <w:color w:val="000000"/>
          <w:szCs w:val="21"/>
        </w:rPr>
      </w:pPr>
      <w:r>
        <w:rPr>
          <w:rFonts w:ascii="宋体" w:hAnsi="宋体"/>
          <w:color w:val="000000"/>
          <w:szCs w:val="21"/>
        </w:rPr>
        <w:t>电  话：</w:t>
      </w:r>
      <w:r>
        <w:rPr>
          <w:rFonts w:ascii="宋体" w:hAnsi="宋体"/>
          <w:color w:val="000000"/>
          <w:szCs w:val="21"/>
          <w:u w:val="single"/>
        </w:rPr>
        <w:t xml:space="preserve">   </w:t>
      </w:r>
      <w:r>
        <w:rPr>
          <w:rFonts w:ascii="宋体" w:hAnsi="宋体"/>
          <w:color w:val="000000"/>
          <w:szCs w:val="21"/>
        </w:rPr>
        <w:t xml:space="preserve"> 电  话：</w:t>
      </w:r>
      <w:r>
        <w:rPr>
          <w:rFonts w:hint="eastAsia" w:ascii="宋体" w:hAnsi="宋体"/>
          <w:color w:val="000000"/>
          <w:szCs w:val="21"/>
          <w:u w:val="single"/>
        </w:rPr>
        <w:t xml:space="preserve">  </w:t>
      </w:r>
      <w:r>
        <w:rPr>
          <w:rFonts w:ascii="宋体" w:hAnsi="宋体"/>
          <w:color w:val="000000"/>
          <w:szCs w:val="21"/>
          <w:u w:val="single"/>
        </w:rPr>
        <w:t xml:space="preserve">   </w:t>
      </w:r>
    </w:p>
    <w:p w14:paraId="2C243BB9">
      <w:pPr>
        <w:spacing w:line="360" w:lineRule="auto"/>
        <w:ind w:hanging="315"/>
        <w:outlineLvl w:val="9"/>
        <w:rPr>
          <w:rFonts w:ascii="宋体" w:hAnsi="宋体"/>
          <w:color w:val="000000"/>
          <w:szCs w:val="21"/>
        </w:rPr>
      </w:pPr>
      <w:r>
        <w:rPr>
          <w:rFonts w:ascii="宋体" w:hAnsi="宋体"/>
          <w:color w:val="000000"/>
          <w:szCs w:val="21"/>
        </w:rPr>
        <w:t>传  真：</w:t>
      </w:r>
      <w:r>
        <w:rPr>
          <w:rFonts w:ascii="宋体" w:hAnsi="宋体"/>
          <w:color w:val="000000"/>
          <w:szCs w:val="21"/>
          <w:u w:val="single"/>
        </w:rPr>
        <w:t xml:space="preserve">   </w:t>
      </w:r>
      <w:r>
        <w:rPr>
          <w:rFonts w:ascii="宋体" w:hAnsi="宋体"/>
          <w:color w:val="000000"/>
          <w:szCs w:val="21"/>
        </w:rPr>
        <w:t xml:space="preserve"> 传  真：</w:t>
      </w:r>
      <w:r>
        <w:rPr>
          <w:rFonts w:hint="eastAsia" w:ascii="宋体" w:hAnsi="宋体"/>
          <w:color w:val="000000"/>
          <w:szCs w:val="21"/>
          <w:u w:val="single"/>
        </w:rPr>
        <w:t xml:space="preserve">  </w:t>
      </w:r>
      <w:r>
        <w:rPr>
          <w:rFonts w:ascii="宋体" w:hAnsi="宋体"/>
          <w:color w:val="000000"/>
          <w:szCs w:val="21"/>
          <w:u w:val="single"/>
        </w:rPr>
        <w:t xml:space="preserve">   </w:t>
      </w:r>
    </w:p>
    <w:p w14:paraId="32616C0F">
      <w:pPr>
        <w:spacing w:line="360" w:lineRule="auto"/>
        <w:ind w:hanging="315"/>
        <w:outlineLvl w:val="9"/>
        <w:rPr>
          <w:rFonts w:ascii="宋体" w:hAnsi="宋体"/>
          <w:color w:val="000000"/>
          <w:szCs w:val="21"/>
        </w:rPr>
      </w:pPr>
      <w:r>
        <w:rPr>
          <w:rFonts w:ascii="宋体" w:hAnsi="宋体"/>
          <w:color w:val="000000"/>
          <w:szCs w:val="21"/>
        </w:rPr>
        <w:t>开户银行：</w:t>
      </w:r>
      <w:r>
        <w:rPr>
          <w:rFonts w:ascii="宋体" w:hAnsi="宋体"/>
          <w:color w:val="000000"/>
          <w:szCs w:val="21"/>
          <w:u w:val="single"/>
        </w:rPr>
        <w:t xml:space="preserve">   </w:t>
      </w:r>
      <w:r>
        <w:rPr>
          <w:rFonts w:ascii="宋体" w:hAnsi="宋体"/>
          <w:color w:val="000000"/>
          <w:szCs w:val="21"/>
        </w:rPr>
        <w:t xml:space="preserve"> 开户银行：</w:t>
      </w:r>
      <w:r>
        <w:rPr>
          <w:rFonts w:ascii="宋体" w:hAnsi="宋体"/>
          <w:color w:val="000000"/>
          <w:szCs w:val="21"/>
          <w:u w:val="single"/>
        </w:rPr>
        <w:t xml:space="preserve">   </w:t>
      </w:r>
    </w:p>
    <w:p w14:paraId="261338BD">
      <w:pPr>
        <w:spacing w:line="360" w:lineRule="auto"/>
        <w:ind w:hanging="315"/>
        <w:outlineLvl w:val="9"/>
        <w:rPr>
          <w:rFonts w:ascii="宋体" w:hAnsi="宋体"/>
          <w:color w:val="000000"/>
          <w:szCs w:val="21"/>
        </w:rPr>
      </w:pPr>
      <w:r>
        <w:rPr>
          <w:rFonts w:ascii="宋体" w:hAnsi="宋体"/>
          <w:color w:val="000000"/>
          <w:szCs w:val="21"/>
        </w:rPr>
        <w:t>账  号：</w:t>
      </w:r>
      <w:r>
        <w:rPr>
          <w:rFonts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账</w:t>
      </w:r>
      <w:r>
        <w:rPr>
          <w:rFonts w:hint="eastAsia" w:ascii="宋体" w:hAnsi="宋体"/>
          <w:color w:val="000000"/>
          <w:szCs w:val="21"/>
        </w:rPr>
        <w:t xml:space="preserve"> </w:t>
      </w:r>
      <w:r>
        <w:rPr>
          <w:rFonts w:ascii="宋体" w:hAnsi="宋体"/>
          <w:color w:val="000000"/>
          <w:szCs w:val="21"/>
        </w:rPr>
        <w:t xml:space="preserve"> 号：</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p>
    <w:p w14:paraId="15C37074">
      <w:pPr>
        <w:spacing w:line="360" w:lineRule="auto"/>
        <w:ind w:hanging="315"/>
        <w:outlineLvl w:val="9"/>
        <w:rPr>
          <w:rFonts w:ascii="宋体" w:hAnsi="宋体"/>
          <w:color w:val="000000"/>
          <w:szCs w:val="21"/>
        </w:rPr>
      </w:pPr>
      <w:r>
        <w:rPr>
          <w:rFonts w:ascii="宋体" w:hAnsi="宋体"/>
          <w:color w:val="000000"/>
          <w:szCs w:val="21"/>
        </w:rPr>
        <w:t>邮政编码：</w:t>
      </w:r>
      <w:r>
        <w:rPr>
          <w:rFonts w:ascii="宋体" w:hAnsi="宋体"/>
          <w:color w:val="000000"/>
          <w:szCs w:val="21"/>
          <w:u w:val="single"/>
        </w:rPr>
        <w:t xml:space="preserve">     </w:t>
      </w:r>
      <w:r>
        <w:rPr>
          <w:rFonts w:ascii="宋体" w:hAnsi="宋体"/>
          <w:color w:val="000000"/>
          <w:szCs w:val="21"/>
        </w:rPr>
        <w:t xml:space="preserve"> 邮政编码：</w:t>
      </w:r>
      <w:r>
        <w:rPr>
          <w:rFonts w:ascii="宋体" w:hAnsi="宋体"/>
          <w:color w:val="000000"/>
          <w:szCs w:val="21"/>
          <w:u w:val="single"/>
        </w:rPr>
        <w:t xml:space="preserve">   </w:t>
      </w:r>
    </w:p>
    <w:p w14:paraId="4CF54E4A">
      <w:pPr>
        <w:outlineLvl w:val="9"/>
      </w:pPr>
      <w:r>
        <w:br w:type="page"/>
      </w:r>
    </w:p>
    <w:p w14:paraId="5C963526">
      <w:pPr>
        <w:jc w:val="center"/>
      </w:pPr>
    </w:p>
    <w:p w14:paraId="262CF001">
      <w:pPr>
        <w:pStyle w:val="4"/>
        <w:bidi w:val="0"/>
        <w:jc w:val="center"/>
      </w:pPr>
      <w:bookmarkStart w:id="152" w:name="_Toc18431"/>
      <w:bookmarkStart w:id="153" w:name="_Toc8681"/>
      <w:r>
        <w:rPr>
          <w:rFonts w:hint="eastAsia"/>
        </w:rPr>
        <w:t>二、磋商保证金缴纳证明材料</w:t>
      </w:r>
      <w:bookmarkEnd w:id="152"/>
      <w:bookmarkEnd w:id="153"/>
    </w:p>
    <w:p w14:paraId="7BEB934E">
      <w:pPr>
        <w:pStyle w:val="25"/>
        <w:adjustRightInd w:val="0"/>
        <w:snapToGrid w:val="0"/>
        <w:spacing w:before="120" w:beforeLines="50" w:line="360" w:lineRule="auto"/>
        <w:ind w:hanging="315"/>
        <w:rPr>
          <w:rFonts w:hAnsi="宋体"/>
        </w:rPr>
      </w:pPr>
    </w:p>
    <w:p w14:paraId="4142B45E">
      <w:pPr>
        <w:adjustRightInd w:val="0"/>
        <w:snapToGrid w:val="0"/>
        <w:spacing w:before="120" w:beforeLines="50" w:line="360" w:lineRule="auto"/>
        <w:ind w:firstLine="420" w:firstLineChars="200"/>
        <w:jc w:val="left"/>
        <w:rPr>
          <w:rFonts w:ascii="宋体" w:hAnsi="宋体"/>
          <w:szCs w:val="21"/>
        </w:rPr>
      </w:pPr>
      <w:r>
        <w:rPr>
          <w:rFonts w:hint="eastAsia" w:ascii="宋体" w:hAnsi="宋体"/>
          <w:szCs w:val="21"/>
        </w:rPr>
        <w:t>不要求</w:t>
      </w:r>
    </w:p>
    <w:p w14:paraId="3FAFD5DC">
      <w:pPr>
        <w:rPr>
          <w:rFonts w:hint="eastAsia" w:ascii="宋体" w:hAnsi="宋体"/>
          <w:b/>
          <w:sz w:val="32"/>
          <w:szCs w:val="32"/>
        </w:rPr>
      </w:pPr>
      <w:r>
        <w:rPr>
          <w:rFonts w:hint="eastAsia" w:ascii="宋体" w:hAnsi="宋体"/>
          <w:b/>
          <w:sz w:val="32"/>
          <w:szCs w:val="32"/>
        </w:rPr>
        <w:br w:type="page"/>
      </w:r>
    </w:p>
    <w:p w14:paraId="3C209541">
      <w:pPr>
        <w:pStyle w:val="4"/>
        <w:bidi w:val="0"/>
        <w:jc w:val="center"/>
      </w:pPr>
      <w:bookmarkStart w:id="154" w:name="_Toc10706"/>
      <w:bookmarkStart w:id="155" w:name="_Toc20535"/>
      <w:r>
        <w:rPr>
          <w:rFonts w:hint="eastAsia"/>
        </w:rPr>
        <w:t>三、供应商的资格证明资料</w:t>
      </w:r>
      <w:bookmarkEnd w:id="154"/>
      <w:bookmarkEnd w:id="155"/>
    </w:p>
    <w:p w14:paraId="67B5D7E7">
      <w:pPr>
        <w:spacing w:line="480" w:lineRule="exact"/>
        <w:ind w:left="450" w:hanging="450"/>
        <w:rPr>
          <w:rFonts w:ascii="宋体" w:hAnsi="宋体"/>
          <w:sz w:val="30"/>
          <w:szCs w:val="30"/>
        </w:rPr>
      </w:pPr>
      <w:r>
        <w:rPr>
          <w:rFonts w:hint="eastAsia" w:ascii="宋体" w:hAnsi="宋体"/>
          <w:sz w:val="30"/>
          <w:szCs w:val="30"/>
        </w:rPr>
        <w:t>附件5             供应商基本情况表</w:t>
      </w:r>
    </w:p>
    <w:p w14:paraId="36E5B696">
      <w:pPr>
        <w:spacing w:line="480" w:lineRule="exact"/>
        <w:ind w:left="450" w:hanging="450"/>
        <w:rPr>
          <w:rFonts w:ascii="宋体" w:hAnsi="宋体"/>
          <w:sz w:val="30"/>
          <w:szCs w:val="30"/>
        </w:rPr>
      </w:pPr>
    </w:p>
    <w:p w14:paraId="39618F0D">
      <w:pPr>
        <w:adjustRightInd w:val="0"/>
        <w:snapToGrid w:val="0"/>
        <w:spacing w:line="360" w:lineRule="auto"/>
        <w:ind w:hanging="315"/>
        <w:rPr>
          <w:rFonts w:ascii="宋体" w:hAnsi="宋体"/>
          <w:szCs w:val="21"/>
        </w:rPr>
      </w:pPr>
      <w:r>
        <w:rPr>
          <w:rFonts w:hint="eastAsia" w:ascii="宋体" w:hAnsi="宋体"/>
          <w:szCs w:val="21"/>
        </w:rPr>
        <w:t>盖供应商单位章</w:t>
      </w:r>
    </w:p>
    <w:tbl>
      <w:tblPr>
        <w:tblStyle w:val="46"/>
        <w:tblW w:w="882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987"/>
        <w:gridCol w:w="830"/>
        <w:gridCol w:w="538"/>
        <w:gridCol w:w="802"/>
        <w:gridCol w:w="82"/>
        <w:gridCol w:w="1083"/>
        <w:gridCol w:w="1329"/>
        <w:gridCol w:w="1911"/>
      </w:tblGrid>
      <w:tr w14:paraId="128840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245" w:type="dxa"/>
            <w:gridSpan w:val="3"/>
            <w:tcBorders>
              <w:top w:val="double" w:color="auto" w:sz="4" w:space="0"/>
              <w:left w:val="double" w:color="auto" w:sz="4" w:space="0"/>
              <w:bottom w:val="single" w:color="auto" w:sz="6" w:space="0"/>
              <w:right w:val="single" w:color="auto" w:sz="6" w:space="0"/>
            </w:tcBorders>
            <w:vAlign w:val="center"/>
          </w:tcPr>
          <w:p w14:paraId="42288C7C">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供应商</w:t>
            </w:r>
            <w:r>
              <w:rPr>
                <w:rFonts w:ascii="宋体" w:hAnsi="宋体"/>
                <w:szCs w:val="21"/>
              </w:rPr>
              <w:t>名称</w:t>
            </w:r>
          </w:p>
        </w:tc>
        <w:tc>
          <w:tcPr>
            <w:tcW w:w="3335" w:type="dxa"/>
            <w:gridSpan w:val="5"/>
            <w:tcBorders>
              <w:top w:val="double" w:color="auto" w:sz="4" w:space="0"/>
              <w:left w:val="single" w:color="auto" w:sz="6" w:space="0"/>
              <w:bottom w:val="single" w:color="auto" w:sz="6" w:space="0"/>
              <w:right w:val="single" w:color="auto" w:sz="6" w:space="0"/>
            </w:tcBorders>
            <w:vAlign w:val="center"/>
          </w:tcPr>
          <w:p w14:paraId="15613F88">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1329" w:type="dxa"/>
            <w:tcBorders>
              <w:top w:val="double" w:color="auto" w:sz="4" w:space="0"/>
              <w:left w:val="single" w:color="auto" w:sz="6" w:space="0"/>
              <w:bottom w:val="single" w:color="auto" w:sz="6" w:space="0"/>
              <w:right w:val="single" w:color="auto" w:sz="6" w:space="0"/>
            </w:tcBorders>
            <w:vAlign w:val="center"/>
          </w:tcPr>
          <w:p w14:paraId="48CEAF35">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ascii="宋体" w:hAnsi="宋体"/>
                <w:szCs w:val="21"/>
              </w:rPr>
              <w:t>法定代表人</w:t>
            </w:r>
          </w:p>
        </w:tc>
        <w:tc>
          <w:tcPr>
            <w:tcW w:w="1911" w:type="dxa"/>
            <w:tcBorders>
              <w:top w:val="double" w:color="auto" w:sz="4" w:space="0"/>
              <w:left w:val="single" w:color="auto" w:sz="6" w:space="0"/>
              <w:bottom w:val="single" w:color="auto" w:sz="6" w:space="0"/>
              <w:right w:val="double" w:color="auto" w:sz="4" w:space="0"/>
            </w:tcBorders>
            <w:vAlign w:val="center"/>
          </w:tcPr>
          <w:p w14:paraId="3E3DB829">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r w14:paraId="687397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2245" w:type="dxa"/>
            <w:gridSpan w:val="3"/>
            <w:tcBorders>
              <w:top w:val="single" w:color="auto" w:sz="6" w:space="0"/>
              <w:left w:val="double" w:color="auto" w:sz="4" w:space="0"/>
              <w:bottom w:val="single" w:color="auto" w:sz="6" w:space="0"/>
              <w:right w:val="single" w:color="auto" w:sz="6" w:space="0"/>
            </w:tcBorders>
            <w:vAlign w:val="center"/>
          </w:tcPr>
          <w:p w14:paraId="22A6F471">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委托代理</w:t>
            </w:r>
            <w:r>
              <w:rPr>
                <w:rFonts w:ascii="宋体" w:hAnsi="宋体"/>
                <w:szCs w:val="21"/>
              </w:rPr>
              <w:t>人</w:t>
            </w:r>
          </w:p>
        </w:tc>
        <w:tc>
          <w:tcPr>
            <w:tcW w:w="3335" w:type="dxa"/>
            <w:gridSpan w:val="5"/>
            <w:tcBorders>
              <w:top w:val="single" w:color="auto" w:sz="6" w:space="0"/>
              <w:left w:val="single" w:color="auto" w:sz="6" w:space="0"/>
              <w:bottom w:val="single" w:color="auto" w:sz="6" w:space="0"/>
              <w:right w:val="single" w:color="auto" w:sz="6" w:space="0"/>
            </w:tcBorders>
            <w:vAlign w:val="center"/>
          </w:tcPr>
          <w:p w14:paraId="4506572D">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34EE9B71">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ascii="宋体" w:hAnsi="宋体"/>
                <w:szCs w:val="21"/>
              </w:rPr>
              <w:t>邮政编码</w:t>
            </w:r>
          </w:p>
        </w:tc>
        <w:tc>
          <w:tcPr>
            <w:tcW w:w="1911" w:type="dxa"/>
            <w:tcBorders>
              <w:top w:val="single" w:color="auto" w:sz="6" w:space="0"/>
              <w:left w:val="single" w:color="auto" w:sz="6" w:space="0"/>
              <w:bottom w:val="single" w:color="auto" w:sz="6" w:space="0"/>
              <w:right w:val="double" w:color="auto" w:sz="4" w:space="0"/>
            </w:tcBorders>
            <w:vAlign w:val="center"/>
          </w:tcPr>
          <w:p w14:paraId="4733AAAC">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r w14:paraId="52FC69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245" w:type="dxa"/>
            <w:gridSpan w:val="3"/>
            <w:tcBorders>
              <w:top w:val="single" w:color="auto" w:sz="6" w:space="0"/>
              <w:left w:val="double" w:color="auto" w:sz="4" w:space="0"/>
              <w:bottom w:val="single" w:color="auto" w:sz="6" w:space="0"/>
              <w:right w:val="single" w:color="auto" w:sz="6" w:space="0"/>
            </w:tcBorders>
            <w:vAlign w:val="center"/>
          </w:tcPr>
          <w:p w14:paraId="1C9F7D6E">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办公电话</w:t>
            </w:r>
          </w:p>
        </w:tc>
        <w:tc>
          <w:tcPr>
            <w:tcW w:w="3335" w:type="dxa"/>
            <w:gridSpan w:val="5"/>
            <w:tcBorders>
              <w:top w:val="single" w:color="auto" w:sz="6" w:space="0"/>
              <w:left w:val="single" w:color="auto" w:sz="6" w:space="0"/>
              <w:bottom w:val="single" w:color="auto" w:sz="6" w:space="0"/>
              <w:right w:val="single" w:color="auto" w:sz="6" w:space="0"/>
            </w:tcBorders>
            <w:vAlign w:val="center"/>
          </w:tcPr>
          <w:p w14:paraId="2E064613">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5B434E20">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电子邮箱</w:t>
            </w:r>
          </w:p>
        </w:tc>
        <w:tc>
          <w:tcPr>
            <w:tcW w:w="1911" w:type="dxa"/>
            <w:tcBorders>
              <w:top w:val="single" w:color="auto" w:sz="6" w:space="0"/>
              <w:left w:val="single" w:color="auto" w:sz="6" w:space="0"/>
              <w:bottom w:val="single" w:color="auto" w:sz="6" w:space="0"/>
              <w:right w:val="double" w:color="auto" w:sz="4" w:space="0"/>
            </w:tcBorders>
            <w:vAlign w:val="center"/>
          </w:tcPr>
          <w:p w14:paraId="77E41963">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r w14:paraId="6BB9D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2245" w:type="dxa"/>
            <w:gridSpan w:val="3"/>
            <w:tcBorders>
              <w:top w:val="single" w:color="auto" w:sz="6" w:space="0"/>
              <w:left w:val="double" w:color="auto" w:sz="4" w:space="0"/>
              <w:bottom w:val="single" w:color="auto" w:sz="6" w:space="0"/>
              <w:right w:val="single" w:color="auto" w:sz="6" w:space="0"/>
            </w:tcBorders>
            <w:vAlign w:val="center"/>
          </w:tcPr>
          <w:p w14:paraId="10A801ED">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上年营业收入</w:t>
            </w:r>
          </w:p>
        </w:tc>
        <w:tc>
          <w:tcPr>
            <w:tcW w:w="3335" w:type="dxa"/>
            <w:gridSpan w:val="5"/>
            <w:tcBorders>
              <w:top w:val="single" w:color="auto" w:sz="6" w:space="0"/>
              <w:left w:val="single" w:color="auto" w:sz="6" w:space="0"/>
              <w:bottom w:val="single" w:color="auto" w:sz="6" w:space="0"/>
              <w:right w:val="single" w:color="auto" w:sz="6" w:space="0"/>
            </w:tcBorders>
            <w:vAlign w:val="center"/>
          </w:tcPr>
          <w:p w14:paraId="1827C6F0">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2EF06B0C">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员工总人数</w:t>
            </w:r>
          </w:p>
        </w:tc>
        <w:tc>
          <w:tcPr>
            <w:tcW w:w="1911" w:type="dxa"/>
            <w:tcBorders>
              <w:top w:val="single" w:color="auto" w:sz="6" w:space="0"/>
              <w:left w:val="single" w:color="auto" w:sz="6" w:space="0"/>
              <w:bottom w:val="single" w:color="auto" w:sz="6" w:space="0"/>
              <w:right w:val="double" w:color="auto" w:sz="4" w:space="0"/>
            </w:tcBorders>
            <w:vAlign w:val="center"/>
          </w:tcPr>
          <w:p w14:paraId="04FCC0FF">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r w14:paraId="57B4E9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14:paraId="6110C9BF">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营业执照</w:t>
            </w:r>
          </w:p>
        </w:tc>
        <w:tc>
          <w:tcPr>
            <w:tcW w:w="2356" w:type="dxa"/>
            <w:gridSpan w:val="3"/>
            <w:tcBorders>
              <w:top w:val="single" w:color="auto" w:sz="6" w:space="0"/>
              <w:left w:val="single" w:color="auto" w:sz="6" w:space="0"/>
              <w:bottom w:val="single" w:color="auto" w:sz="6" w:space="0"/>
              <w:right w:val="single" w:color="auto" w:sz="6" w:space="0"/>
            </w:tcBorders>
            <w:vAlign w:val="center"/>
          </w:tcPr>
          <w:p w14:paraId="43F141E9">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注册号码</w:t>
            </w:r>
          </w:p>
        </w:tc>
        <w:tc>
          <w:tcPr>
            <w:tcW w:w="1340" w:type="dxa"/>
            <w:gridSpan w:val="2"/>
            <w:tcBorders>
              <w:top w:val="single" w:color="auto" w:sz="6" w:space="0"/>
              <w:left w:val="single" w:color="auto" w:sz="6" w:space="0"/>
              <w:bottom w:val="single" w:color="auto" w:sz="6" w:space="0"/>
              <w:right w:val="single" w:color="auto" w:sz="6" w:space="0"/>
            </w:tcBorders>
            <w:vAlign w:val="center"/>
          </w:tcPr>
          <w:p w14:paraId="44C6CA71">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1165" w:type="dxa"/>
            <w:gridSpan w:val="2"/>
            <w:tcBorders>
              <w:top w:val="single" w:color="auto" w:sz="6" w:space="0"/>
              <w:left w:val="single" w:color="auto" w:sz="6" w:space="0"/>
              <w:bottom w:val="single" w:color="auto" w:sz="6" w:space="0"/>
              <w:right w:val="single" w:color="auto" w:sz="6" w:space="0"/>
            </w:tcBorders>
            <w:vAlign w:val="center"/>
          </w:tcPr>
          <w:p w14:paraId="626A16C2">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注册地址</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79EFAB6E">
            <w:pPr>
              <w:keepNext w:val="0"/>
              <w:keepLines w:val="0"/>
              <w:pageBreakBefore w:val="0"/>
              <w:widowControl w:val="0"/>
              <w:kinsoku/>
              <w:wordWrap/>
              <w:overflowPunct/>
              <w:topLinePunct/>
              <w:autoSpaceDE/>
              <w:autoSpaceDN/>
              <w:bidi w:val="0"/>
              <w:adjustRightInd/>
              <w:snapToGrid/>
              <w:spacing w:line="240" w:lineRule="auto"/>
              <w:ind w:firstLine="105" w:firstLineChars="50"/>
              <w:jc w:val="center"/>
              <w:textAlignment w:val="auto"/>
              <w:rPr>
                <w:rFonts w:ascii="宋体" w:hAnsi="宋体"/>
                <w:szCs w:val="21"/>
              </w:rPr>
            </w:pPr>
          </w:p>
        </w:tc>
      </w:tr>
      <w:tr w14:paraId="740BBA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155B966C">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2356" w:type="dxa"/>
            <w:gridSpan w:val="3"/>
            <w:tcBorders>
              <w:top w:val="single" w:color="auto" w:sz="6" w:space="0"/>
              <w:left w:val="single" w:color="auto" w:sz="6" w:space="0"/>
              <w:bottom w:val="single" w:color="auto" w:sz="6" w:space="0"/>
              <w:right w:val="single" w:color="auto" w:sz="6" w:space="0"/>
            </w:tcBorders>
            <w:vAlign w:val="center"/>
          </w:tcPr>
          <w:p w14:paraId="505ADE74">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发证机关</w:t>
            </w:r>
          </w:p>
        </w:tc>
        <w:tc>
          <w:tcPr>
            <w:tcW w:w="1340" w:type="dxa"/>
            <w:gridSpan w:val="2"/>
            <w:tcBorders>
              <w:top w:val="single" w:color="auto" w:sz="6" w:space="0"/>
              <w:left w:val="single" w:color="auto" w:sz="6" w:space="0"/>
              <w:bottom w:val="single" w:color="auto" w:sz="6" w:space="0"/>
              <w:right w:val="single" w:color="auto" w:sz="6" w:space="0"/>
            </w:tcBorders>
            <w:vAlign w:val="center"/>
          </w:tcPr>
          <w:p w14:paraId="4655534D">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1165" w:type="dxa"/>
            <w:gridSpan w:val="2"/>
            <w:tcBorders>
              <w:top w:val="single" w:color="auto" w:sz="6" w:space="0"/>
              <w:left w:val="single" w:color="auto" w:sz="6" w:space="0"/>
              <w:bottom w:val="single" w:color="auto" w:sz="6" w:space="0"/>
              <w:right w:val="single" w:color="auto" w:sz="6" w:space="0"/>
            </w:tcBorders>
            <w:vAlign w:val="center"/>
          </w:tcPr>
          <w:p w14:paraId="2C22698F">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发证日期</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519D1691">
            <w:pPr>
              <w:keepNext w:val="0"/>
              <w:keepLines w:val="0"/>
              <w:pageBreakBefore w:val="0"/>
              <w:widowControl w:val="0"/>
              <w:kinsoku/>
              <w:wordWrap/>
              <w:overflowPunct/>
              <w:topLinePunct/>
              <w:autoSpaceDE/>
              <w:autoSpaceDN/>
              <w:bidi w:val="0"/>
              <w:adjustRightInd/>
              <w:snapToGrid/>
              <w:spacing w:line="240" w:lineRule="auto"/>
              <w:ind w:firstLine="105" w:firstLineChars="50"/>
              <w:jc w:val="center"/>
              <w:textAlignment w:val="auto"/>
              <w:rPr>
                <w:rFonts w:ascii="宋体" w:hAnsi="宋体"/>
                <w:szCs w:val="21"/>
              </w:rPr>
            </w:pPr>
          </w:p>
        </w:tc>
      </w:tr>
      <w:tr w14:paraId="2D5499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535DE60F">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2356" w:type="dxa"/>
            <w:gridSpan w:val="3"/>
            <w:tcBorders>
              <w:top w:val="single" w:color="auto" w:sz="6" w:space="0"/>
              <w:left w:val="single" w:color="auto" w:sz="6" w:space="0"/>
              <w:bottom w:val="single" w:color="auto" w:sz="6" w:space="0"/>
              <w:right w:val="single" w:color="auto" w:sz="6" w:space="0"/>
            </w:tcBorders>
            <w:vAlign w:val="center"/>
          </w:tcPr>
          <w:p w14:paraId="55AEEF0E">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营业范围（主营）</w:t>
            </w:r>
          </w:p>
        </w:tc>
        <w:tc>
          <w:tcPr>
            <w:tcW w:w="5745" w:type="dxa"/>
            <w:gridSpan w:val="6"/>
            <w:tcBorders>
              <w:top w:val="single" w:color="auto" w:sz="6" w:space="0"/>
              <w:left w:val="single" w:color="auto" w:sz="6" w:space="0"/>
              <w:bottom w:val="single" w:color="auto" w:sz="6" w:space="0"/>
              <w:right w:val="double" w:color="auto" w:sz="4" w:space="0"/>
            </w:tcBorders>
            <w:vAlign w:val="center"/>
          </w:tcPr>
          <w:p w14:paraId="47C7AB0A">
            <w:pPr>
              <w:keepNext w:val="0"/>
              <w:keepLines w:val="0"/>
              <w:pageBreakBefore w:val="0"/>
              <w:widowControl w:val="0"/>
              <w:kinsoku/>
              <w:wordWrap/>
              <w:overflowPunct/>
              <w:topLinePunct/>
              <w:autoSpaceDE/>
              <w:autoSpaceDN/>
              <w:bidi w:val="0"/>
              <w:adjustRightInd/>
              <w:snapToGrid/>
              <w:spacing w:line="240" w:lineRule="auto"/>
              <w:ind w:firstLine="105" w:firstLineChars="50"/>
              <w:jc w:val="center"/>
              <w:textAlignment w:val="auto"/>
              <w:rPr>
                <w:rFonts w:ascii="宋体" w:hAnsi="宋体"/>
                <w:szCs w:val="21"/>
              </w:rPr>
            </w:pPr>
          </w:p>
        </w:tc>
      </w:tr>
      <w:tr w14:paraId="01E289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6DF8BED1">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2356" w:type="dxa"/>
            <w:gridSpan w:val="3"/>
            <w:tcBorders>
              <w:top w:val="single" w:color="auto" w:sz="6" w:space="0"/>
              <w:left w:val="single" w:color="auto" w:sz="6" w:space="0"/>
              <w:bottom w:val="single" w:color="auto" w:sz="6" w:space="0"/>
              <w:right w:val="single" w:color="auto" w:sz="6" w:space="0"/>
            </w:tcBorders>
            <w:vAlign w:val="center"/>
          </w:tcPr>
          <w:p w14:paraId="6A02D496">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营业范围（兼营）</w:t>
            </w:r>
          </w:p>
        </w:tc>
        <w:tc>
          <w:tcPr>
            <w:tcW w:w="5745" w:type="dxa"/>
            <w:gridSpan w:val="6"/>
            <w:tcBorders>
              <w:top w:val="single" w:color="auto" w:sz="6" w:space="0"/>
              <w:left w:val="single" w:color="auto" w:sz="6" w:space="0"/>
              <w:bottom w:val="single" w:color="auto" w:sz="6" w:space="0"/>
              <w:right w:val="double" w:color="auto" w:sz="4" w:space="0"/>
            </w:tcBorders>
            <w:vAlign w:val="center"/>
          </w:tcPr>
          <w:p w14:paraId="142DFF6C">
            <w:pPr>
              <w:keepNext w:val="0"/>
              <w:keepLines w:val="0"/>
              <w:pageBreakBefore w:val="0"/>
              <w:widowControl w:val="0"/>
              <w:kinsoku/>
              <w:wordWrap/>
              <w:overflowPunct/>
              <w:topLinePunct/>
              <w:autoSpaceDE/>
              <w:autoSpaceDN/>
              <w:bidi w:val="0"/>
              <w:adjustRightInd/>
              <w:snapToGrid/>
              <w:spacing w:line="240" w:lineRule="auto"/>
              <w:ind w:firstLine="105" w:firstLineChars="50"/>
              <w:jc w:val="center"/>
              <w:textAlignment w:val="auto"/>
              <w:rPr>
                <w:rFonts w:ascii="宋体" w:hAnsi="宋体"/>
                <w:szCs w:val="21"/>
              </w:rPr>
            </w:pPr>
          </w:p>
        </w:tc>
      </w:tr>
      <w:tr w14:paraId="6EC4F4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075" w:type="dxa"/>
            <w:gridSpan w:val="4"/>
            <w:tcBorders>
              <w:top w:val="single" w:color="auto" w:sz="6" w:space="0"/>
              <w:left w:val="double" w:color="auto" w:sz="4" w:space="0"/>
              <w:bottom w:val="single" w:color="auto" w:sz="6" w:space="0"/>
              <w:right w:val="single" w:color="auto" w:sz="6" w:space="0"/>
            </w:tcBorders>
            <w:vAlign w:val="center"/>
          </w:tcPr>
          <w:p w14:paraId="18B96A65">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基本账户开户行及账号</w:t>
            </w:r>
          </w:p>
        </w:tc>
        <w:tc>
          <w:tcPr>
            <w:tcW w:w="5745" w:type="dxa"/>
            <w:gridSpan w:val="6"/>
            <w:tcBorders>
              <w:top w:val="single" w:color="auto" w:sz="6" w:space="0"/>
              <w:left w:val="single" w:color="auto" w:sz="6" w:space="0"/>
              <w:bottom w:val="single" w:color="auto" w:sz="6" w:space="0"/>
              <w:right w:val="double" w:color="auto" w:sz="4" w:space="0"/>
            </w:tcBorders>
            <w:vAlign w:val="center"/>
          </w:tcPr>
          <w:p w14:paraId="50FB8FC6">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r w14:paraId="2782CA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3075" w:type="dxa"/>
            <w:gridSpan w:val="4"/>
            <w:tcBorders>
              <w:top w:val="single" w:color="auto" w:sz="6" w:space="0"/>
              <w:left w:val="double" w:color="auto" w:sz="4" w:space="0"/>
              <w:bottom w:val="single" w:color="auto" w:sz="6" w:space="0"/>
              <w:right w:val="single" w:color="auto" w:sz="6" w:space="0"/>
            </w:tcBorders>
            <w:vAlign w:val="center"/>
          </w:tcPr>
          <w:p w14:paraId="2518140E">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税务登记机关</w:t>
            </w:r>
          </w:p>
        </w:tc>
        <w:tc>
          <w:tcPr>
            <w:tcW w:w="5745" w:type="dxa"/>
            <w:gridSpan w:val="6"/>
            <w:tcBorders>
              <w:top w:val="single" w:color="auto" w:sz="6" w:space="0"/>
              <w:left w:val="single" w:color="auto" w:sz="6" w:space="0"/>
              <w:bottom w:val="single" w:color="auto" w:sz="6" w:space="0"/>
              <w:right w:val="double" w:color="auto" w:sz="4" w:space="0"/>
            </w:tcBorders>
            <w:vAlign w:val="center"/>
          </w:tcPr>
          <w:p w14:paraId="11A040BB">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r w14:paraId="348811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3DE1EA1E">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r>
              <w:rPr>
                <w:rFonts w:ascii="宋体" w:hAnsi="宋体"/>
                <w:szCs w:val="21"/>
              </w:rPr>
              <w:t>资质</w:t>
            </w:r>
            <w:r>
              <w:rPr>
                <w:rFonts w:hint="eastAsia" w:ascii="宋体" w:hAnsi="宋体"/>
                <w:szCs w:val="21"/>
              </w:rPr>
              <w:t>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5172ACAF">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ascii="宋体" w:hAnsi="宋体"/>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14:paraId="26B5D33E">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hint="eastAsia" w:ascii="宋体" w:hAnsi="宋体"/>
                <w:szCs w:val="21"/>
              </w:rPr>
              <w:t>发证机关</w:t>
            </w: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41B37A51">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r>
              <w:rPr>
                <w:rFonts w:hint="eastAsia" w:ascii="宋体" w:hAnsi="宋体"/>
                <w:szCs w:val="21"/>
              </w:rPr>
              <w:t>有效期</w:t>
            </w:r>
          </w:p>
        </w:tc>
      </w:tr>
      <w:tr w14:paraId="111460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6546404">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5A9BA084">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5571A392">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06D5A9E1">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r w14:paraId="754806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40156C21">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4CA17E52">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1D2BB266">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c>
          <w:tcPr>
            <w:tcW w:w="3240" w:type="dxa"/>
            <w:gridSpan w:val="2"/>
            <w:tcBorders>
              <w:top w:val="single" w:color="auto" w:sz="6" w:space="0"/>
              <w:left w:val="single" w:color="auto" w:sz="6" w:space="0"/>
              <w:bottom w:val="single" w:color="auto" w:sz="6" w:space="0"/>
              <w:right w:val="double" w:color="auto" w:sz="4" w:space="0"/>
            </w:tcBorders>
            <w:vAlign w:val="center"/>
          </w:tcPr>
          <w:p w14:paraId="4C1DB8A5">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r w14:paraId="48C8B4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9"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14:paraId="49123F96">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ascii="宋体" w:hAnsi="宋体"/>
                <w:szCs w:val="21"/>
              </w:rPr>
            </w:pPr>
            <w:r>
              <w:rPr>
                <w:rFonts w:ascii="宋体" w:hAnsi="宋体"/>
                <w:szCs w:val="21"/>
              </w:rPr>
              <w:t>备注</w:t>
            </w:r>
          </w:p>
        </w:tc>
        <w:tc>
          <w:tcPr>
            <w:tcW w:w="7562" w:type="dxa"/>
            <w:gridSpan w:val="8"/>
            <w:tcBorders>
              <w:top w:val="single" w:color="auto" w:sz="6" w:space="0"/>
              <w:left w:val="single" w:color="auto" w:sz="6" w:space="0"/>
              <w:bottom w:val="double" w:color="auto" w:sz="4" w:space="0"/>
              <w:right w:val="double" w:color="auto" w:sz="4" w:space="0"/>
            </w:tcBorders>
            <w:vAlign w:val="center"/>
          </w:tcPr>
          <w:p w14:paraId="73C1493D">
            <w:pPr>
              <w:keepNext w:val="0"/>
              <w:keepLines w:val="0"/>
              <w:pageBreakBefore w:val="0"/>
              <w:widowControl w:val="0"/>
              <w:kinsoku/>
              <w:wordWrap/>
              <w:overflowPunct/>
              <w:topLinePunct/>
              <w:autoSpaceDE/>
              <w:autoSpaceDN/>
              <w:bidi w:val="0"/>
              <w:adjustRightInd/>
              <w:snapToGrid/>
              <w:spacing w:line="240" w:lineRule="auto"/>
              <w:ind w:hanging="315"/>
              <w:jc w:val="center"/>
              <w:textAlignment w:val="auto"/>
              <w:rPr>
                <w:rFonts w:ascii="宋体" w:hAnsi="宋体"/>
                <w:szCs w:val="21"/>
              </w:rPr>
            </w:pPr>
          </w:p>
        </w:tc>
      </w:tr>
    </w:tbl>
    <w:p w14:paraId="426F62C1">
      <w:pPr>
        <w:spacing w:line="480" w:lineRule="exact"/>
        <w:ind w:left="450" w:hanging="450"/>
        <w:rPr>
          <w:rFonts w:ascii="宋体" w:hAnsi="宋体"/>
          <w:sz w:val="30"/>
          <w:szCs w:val="30"/>
        </w:rPr>
      </w:pPr>
    </w:p>
    <w:p w14:paraId="7263803A">
      <w:pPr>
        <w:spacing w:line="480" w:lineRule="exact"/>
        <w:ind w:left="450" w:hanging="450"/>
        <w:rPr>
          <w:rFonts w:asciiTheme="minorEastAsia" w:hAnsiTheme="minorEastAsia" w:eastAsiaTheme="minorEastAsia" w:cstheme="minorEastAsia"/>
          <w:sz w:val="24"/>
        </w:rPr>
      </w:pPr>
      <w:r>
        <w:rPr>
          <w:rFonts w:hint="eastAsia" w:ascii="宋体" w:hAnsi="宋体"/>
          <w:sz w:val="30"/>
          <w:szCs w:val="30"/>
        </w:rPr>
        <w:br w:type="page"/>
      </w:r>
      <w:r>
        <w:rPr>
          <w:rFonts w:hint="eastAsia" w:ascii="宋体" w:hAnsi="宋体"/>
          <w:sz w:val="30"/>
          <w:szCs w:val="30"/>
        </w:rPr>
        <w:t>附件6</w:t>
      </w:r>
      <w:r>
        <w:rPr>
          <w:rFonts w:hint="eastAsia" w:asciiTheme="minorEastAsia" w:hAnsiTheme="minorEastAsia" w:eastAsiaTheme="minorEastAsia" w:cstheme="minorEastAsia"/>
          <w:sz w:val="24"/>
        </w:rPr>
        <w:t>：</w:t>
      </w:r>
    </w:p>
    <w:p w14:paraId="2C34FBFD">
      <w:pPr>
        <w:adjustRightInd w:val="0"/>
        <w:snapToGrid w:val="0"/>
        <w:ind w:left="422" w:hanging="422"/>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供应商的资格条件更新材料</w:t>
      </w:r>
    </w:p>
    <w:p w14:paraId="5933AF26">
      <w:pPr>
        <w:adjustRightInd w:val="0"/>
        <w:snapToGrid w:val="0"/>
        <w:spacing w:before="120" w:beforeLines="50" w:line="360" w:lineRule="auto"/>
        <w:ind w:hanging="315"/>
        <w:rPr>
          <w:rFonts w:asciiTheme="minorEastAsia" w:hAnsiTheme="minorEastAsia" w:eastAsiaTheme="minorEastAsia" w:cstheme="minorEastAsia"/>
          <w:szCs w:val="21"/>
        </w:rPr>
      </w:pPr>
    </w:p>
    <w:p w14:paraId="1067C2D1">
      <w:pPr>
        <w:adjustRightInd w:val="0"/>
        <w:snapToGrid w:val="0"/>
        <w:spacing w:line="360" w:lineRule="auto"/>
        <w:ind w:firstLine="630" w:firstLineChars="3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kern w:val="0"/>
          <w:szCs w:val="21"/>
          <w:lang w:val="zh-CN"/>
        </w:rPr>
        <w:t>供应商根据磋商文件第二章第14.1项“</w:t>
      </w:r>
      <w:r>
        <w:rPr>
          <w:rFonts w:hint="eastAsia" w:asciiTheme="minorEastAsia" w:hAnsiTheme="minorEastAsia" w:eastAsiaTheme="minorEastAsia" w:cstheme="minorEastAsia"/>
          <w:szCs w:val="21"/>
        </w:rPr>
        <w:t>在磋商</w:t>
      </w:r>
      <w:r>
        <w:rPr>
          <w:rFonts w:hint="eastAsia" w:asciiTheme="minorEastAsia" w:hAnsiTheme="minorEastAsia" w:eastAsiaTheme="minorEastAsia" w:cstheme="minorEastAsia"/>
          <w:bCs/>
          <w:szCs w:val="21"/>
        </w:rPr>
        <w:t>小组确定邀请供应商名单起</w:t>
      </w:r>
      <w:r>
        <w:rPr>
          <w:rFonts w:hint="eastAsia" w:asciiTheme="minorEastAsia" w:hAnsiTheme="minorEastAsia" w:eastAsiaTheme="minorEastAsia" w:cstheme="minorEastAsia"/>
          <w:szCs w:val="21"/>
        </w:rPr>
        <w:t>至</w:t>
      </w:r>
      <w:r>
        <w:rPr>
          <w:rFonts w:hint="eastAsia" w:asciiTheme="minorEastAsia" w:hAnsiTheme="minorEastAsia" w:eastAsiaTheme="minorEastAsia" w:cstheme="minorEastAsia"/>
          <w:kern w:val="0"/>
          <w:szCs w:val="21"/>
        </w:rPr>
        <w:t>提交首次响应文件</w:t>
      </w:r>
      <w:r>
        <w:rPr>
          <w:rFonts w:hint="eastAsia" w:asciiTheme="minorEastAsia" w:hAnsiTheme="minorEastAsia" w:eastAsiaTheme="minorEastAsia" w:cstheme="minorEastAsia"/>
          <w:szCs w:val="21"/>
        </w:rPr>
        <w:t>止，供应商资格条件发生重大变化，可能影响资格条件的，供应商应更新或者补充提供的资格证明材料，以证实其各项条件仍能继续满足本章第3.1项规定的供应商资格条件要求</w:t>
      </w:r>
      <w:r>
        <w:rPr>
          <w:rFonts w:hint="eastAsia" w:asciiTheme="minorEastAsia" w:hAnsiTheme="minorEastAsia" w:eastAsiaTheme="minorEastAsia" w:cstheme="minorEastAsia"/>
          <w:kern w:val="0"/>
          <w:szCs w:val="21"/>
          <w:lang w:val="zh-CN"/>
        </w:rPr>
        <w:t>”的规定，应</w:t>
      </w:r>
      <w:r>
        <w:rPr>
          <w:rFonts w:hint="eastAsia" w:asciiTheme="minorEastAsia" w:hAnsiTheme="minorEastAsia" w:eastAsiaTheme="minorEastAsia" w:cstheme="minorEastAsia"/>
          <w:szCs w:val="21"/>
        </w:rPr>
        <w:t>提供的更新或者补充资格证明材料。</w:t>
      </w:r>
    </w:p>
    <w:p w14:paraId="39FF34ED">
      <w:pPr>
        <w:adjustRightInd w:val="0"/>
        <w:snapToGrid w:val="0"/>
        <w:ind w:hanging="315"/>
        <w:rPr>
          <w:rFonts w:asciiTheme="minorEastAsia" w:hAnsiTheme="minorEastAsia" w:eastAsiaTheme="minorEastAsia" w:cstheme="minorEastAsia"/>
          <w:szCs w:val="21"/>
        </w:rPr>
      </w:pPr>
    </w:p>
    <w:p w14:paraId="686E05FA">
      <w:pPr>
        <w:adjustRightInd w:val="0"/>
        <w:snapToGrid w:val="0"/>
        <w:ind w:hanging="315"/>
        <w:rPr>
          <w:rFonts w:asciiTheme="minorEastAsia" w:hAnsiTheme="minorEastAsia" w:eastAsiaTheme="minorEastAsia" w:cstheme="minorEastAsia"/>
          <w:szCs w:val="21"/>
        </w:rPr>
      </w:pPr>
    </w:p>
    <w:p w14:paraId="4559E8F8">
      <w:pPr>
        <w:adjustRightInd w:val="0"/>
        <w:snapToGrid w:val="0"/>
        <w:ind w:hanging="315"/>
        <w:rPr>
          <w:rFonts w:asciiTheme="minorEastAsia" w:hAnsiTheme="minorEastAsia" w:eastAsiaTheme="minorEastAsia" w:cstheme="minorEastAsia"/>
          <w:szCs w:val="21"/>
        </w:rPr>
      </w:pPr>
    </w:p>
    <w:p w14:paraId="2362A677">
      <w:pPr>
        <w:adjustRightInd w:val="0"/>
        <w:snapToGrid w:val="0"/>
        <w:ind w:hanging="315"/>
        <w:rPr>
          <w:rFonts w:asciiTheme="minorEastAsia" w:hAnsiTheme="minorEastAsia" w:eastAsiaTheme="minorEastAsia" w:cstheme="minorEastAsia"/>
          <w:szCs w:val="21"/>
        </w:rPr>
      </w:pPr>
    </w:p>
    <w:p w14:paraId="6C7837D9">
      <w:pPr>
        <w:spacing w:line="480" w:lineRule="exact"/>
        <w:ind w:left="450" w:hanging="450"/>
        <w:jc w:val="left"/>
        <w:rPr>
          <w:rFonts w:asciiTheme="minorEastAsia" w:hAnsiTheme="minorEastAsia" w:eastAsiaTheme="minorEastAsia" w:cstheme="minorEastAsia"/>
          <w:sz w:val="30"/>
          <w:szCs w:val="30"/>
        </w:rPr>
      </w:pPr>
      <w:r>
        <w:rPr>
          <w:rFonts w:hint="eastAsia" w:ascii="宋体" w:hAnsi="宋体"/>
          <w:sz w:val="30"/>
          <w:szCs w:val="30"/>
        </w:rPr>
        <w:t>附件7</w:t>
      </w:r>
    </w:p>
    <w:p w14:paraId="411B72FD">
      <w:pPr>
        <w:adjustRightInd w:val="0"/>
        <w:snapToGrid w:val="0"/>
        <w:ind w:left="422" w:hanging="422"/>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磋商文件规定的基本资格条件证明资料</w:t>
      </w:r>
    </w:p>
    <w:p w14:paraId="240F2C3D">
      <w:pPr>
        <w:spacing w:line="480" w:lineRule="exact"/>
        <w:ind w:hanging="315"/>
        <w:rPr>
          <w:rFonts w:asciiTheme="minorEastAsia" w:hAnsiTheme="minorEastAsia" w:eastAsiaTheme="minorEastAsia" w:cstheme="minorEastAsia"/>
          <w:szCs w:val="21"/>
        </w:rPr>
      </w:pPr>
    </w:p>
    <w:p w14:paraId="6D94B66B">
      <w:pPr>
        <w:spacing w:line="480" w:lineRule="exact"/>
        <w:ind w:left="450" w:hanging="450"/>
        <w:rPr>
          <w:rFonts w:asciiTheme="minorEastAsia" w:hAnsiTheme="minorEastAsia" w:eastAsiaTheme="minorEastAsia" w:cstheme="minorEastAsia"/>
          <w:sz w:val="30"/>
          <w:szCs w:val="30"/>
        </w:rPr>
      </w:pPr>
    </w:p>
    <w:p w14:paraId="0416CD63">
      <w:pPr>
        <w:spacing w:line="480" w:lineRule="exact"/>
        <w:ind w:left="450" w:hanging="450"/>
        <w:jc w:val="left"/>
        <w:rPr>
          <w:rFonts w:ascii="宋体" w:hAnsi="宋体"/>
          <w:sz w:val="30"/>
          <w:szCs w:val="30"/>
        </w:rPr>
      </w:pPr>
      <w:r>
        <w:rPr>
          <w:rFonts w:hint="eastAsia" w:ascii="宋体" w:hAnsi="宋体"/>
          <w:sz w:val="30"/>
          <w:szCs w:val="30"/>
        </w:rPr>
        <w:t>附件8</w:t>
      </w:r>
    </w:p>
    <w:p w14:paraId="0A03A213">
      <w:pPr>
        <w:spacing w:line="480" w:lineRule="exact"/>
        <w:ind w:left="422" w:hanging="422"/>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磋商文件规定的特定资格条件证明资料</w:t>
      </w:r>
    </w:p>
    <w:p w14:paraId="792087CE">
      <w:pPr>
        <w:adjustRightInd w:val="0"/>
        <w:snapToGrid w:val="0"/>
        <w:ind w:firstLine="630" w:firstLineChars="300"/>
        <w:jc w:val="left"/>
        <w:rPr>
          <w:rFonts w:asciiTheme="minorEastAsia" w:hAnsiTheme="minorEastAsia" w:eastAsiaTheme="minorEastAsia" w:cstheme="minorEastAsia"/>
          <w:kern w:val="0"/>
          <w:szCs w:val="21"/>
          <w:lang w:val="zh-CN"/>
        </w:rPr>
      </w:pPr>
    </w:p>
    <w:p w14:paraId="3B723073">
      <w:pPr>
        <w:adjustRightInd w:val="0"/>
        <w:snapToGri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备注：提供第二章 磋商须知第3.1款供应商特定资格条件证明资料的复印件。</w:t>
      </w:r>
    </w:p>
    <w:p w14:paraId="2C40876A">
      <w:pPr>
        <w:rPr>
          <w:rFonts w:ascii="宋体" w:hAnsi="宋体"/>
          <w:b/>
          <w:sz w:val="32"/>
          <w:szCs w:val="32"/>
        </w:rPr>
      </w:pPr>
      <w:r>
        <w:rPr>
          <w:rFonts w:ascii="宋体" w:hAnsi="宋体"/>
          <w:b/>
          <w:sz w:val="32"/>
          <w:szCs w:val="32"/>
        </w:rPr>
        <w:br w:type="page"/>
      </w:r>
    </w:p>
    <w:p w14:paraId="7F202402">
      <w:pPr>
        <w:pStyle w:val="4"/>
        <w:bidi w:val="0"/>
        <w:jc w:val="center"/>
      </w:pPr>
      <w:bookmarkStart w:id="156" w:name="_Toc3486"/>
      <w:bookmarkStart w:id="157" w:name="_Toc25461"/>
      <w:r>
        <w:rPr>
          <w:rFonts w:hint="eastAsia"/>
        </w:rPr>
        <w:t>四、施工组织设计</w:t>
      </w:r>
      <w:bookmarkEnd w:id="156"/>
      <w:bookmarkEnd w:id="157"/>
    </w:p>
    <w:p w14:paraId="79F48A89">
      <w:pPr>
        <w:spacing w:line="480" w:lineRule="exact"/>
        <w:ind w:left="422" w:hanging="422"/>
        <w:jc w:val="center"/>
        <w:rPr>
          <w:rFonts w:ascii="宋体" w:hAnsi="宋体"/>
          <w:b/>
          <w:bCs/>
          <w:sz w:val="28"/>
          <w:szCs w:val="28"/>
        </w:rPr>
      </w:pPr>
    </w:p>
    <w:p w14:paraId="4B19D51D">
      <w:pPr>
        <w:adjustRightInd w:val="0"/>
        <w:snapToGrid w:val="0"/>
        <w:ind w:left="422" w:right="24" w:hanging="422"/>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施工组织设计</w:t>
      </w:r>
    </w:p>
    <w:p w14:paraId="3B114FDE">
      <w:pPr>
        <w:adjustRightInd w:val="0"/>
        <w:snapToGrid w:val="0"/>
        <w:ind w:left="360" w:hanging="360"/>
        <w:rPr>
          <w:rFonts w:asciiTheme="minorEastAsia" w:hAnsiTheme="minorEastAsia" w:eastAsiaTheme="minorEastAsia"/>
          <w:bCs/>
          <w:sz w:val="24"/>
        </w:rPr>
      </w:pPr>
    </w:p>
    <w:p w14:paraId="398809A5">
      <w:pPr>
        <w:adjustRightInd w:val="0"/>
        <w:snapToGrid w:val="0"/>
        <w:spacing w:before="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施工组织设计可包括但不限于：</w:t>
      </w:r>
    </w:p>
    <w:p w14:paraId="11B202E0">
      <w:pPr>
        <w:adjustRightInd w:val="0"/>
        <w:snapToGrid w:val="0"/>
        <w:spacing w:before="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(1)施工方案</w:t>
      </w:r>
      <w:r>
        <w:rPr>
          <w:rFonts w:hint="eastAsia"/>
        </w:rPr>
        <w:t>与技术措施</w:t>
      </w:r>
      <w:r>
        <w:rPr>
          <w:rFonts w:hint="eastAsia" w:asciiTheme="minorEastAsia" w:hAnsiTheme="minorEastAsia" w:eastAsiaTheme="minorEastAsia"/>
          <w:szCs w:val="21"/>
        </w:rPr>
        <w:t>；</w:t>
      </w:r>
    </w:p>
    <w:p w14:paraId="240ECCE6">
      <w:pPr>
        <w:adjustRightInd w:val="0"/>
        <w:snapToGrid w:val="0"/>
        <w:spacing w:before="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w:t>
      </w:r>
      <w:r>
        <w:rPr>
          <w:rFonts w:hint="eastAsia" w:ascii="宋体" w:hAnsi="宋体" w:cs="宋体"/>
          <w:szCs w:val="21"/>
        </w:rPr>
        <w:t>质量管理体系与措施</w:t>
      </w:r>
      <w:r>
        <w:rPr>
          <w:rFonts w:hint="eastAsia" w:asciiTheme="minorEastAsia" w:hAnsiTheme="minorEastAsia" w:eastAsiaTheme="minorEastAsia"/>
          <w:szCs w:val="21"/>
        </w:rPr>
        <w:t>；</w:t>
      </w:r>
    </w:p>
    <w:p w14:paraId="40D4C9F6">
      <w:pPr>
        <w:adjustRightInd w:val="0"/>
        <w:snapToGrid w:val="0"/>
        <w:spacing w:before="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w:t>
      </w:r>
      <w:r>
        <w:rPr>
          <w:rFonts w:hint="eastAsia" w:ascii="宋体" w:hAnsi="宋体" w:cs="宋体"/>
          <w:szCs w:val="21"/>
        </w:rPr>
        <w:t>安全管理体系与措施</w:t>
      </w:r>
      <w:r>
        <w:rPr>
          <w:rFonts w:hint="eastAsia" w:asciiTheme="minorEastAsia" w:hAnsiTheme="minorEastAsia" w:eastAsiaTheme="minorEastAsia"/>
          <w:szCs w:val="21"/>
        </w:rPr>
        <w:t>；</w:t>
      </w:r>
    </w:p>
    <w:p w14:paraId="0474AEA6">
      <w:pPr>
        <w:adjustRightInd w:val="0"/>
        <w:snapToGrid w:val="0"/>
        <w:spacing w:before="50"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w:t>
      </w:r>
      <w:r>
        <w:rPr>
          <w:rFonts w:hint="eastAsia" w:ascii="宋体" w:hAnsi="宋体" w:cs="宋体"/>
          <w:kern w:val="0"/>
        </w:rPr>
        <w:t>环境保护体系与措施</w:t>
      </w:r>
      <w:r>
        <w:rPr>
          <w:rFonts w:hint="eastAsia"/>
        </w:rPr>
        <w:t>；</w:t>
      </w:r>
    </w:p>
    <w:p w14:paraId="548166E4">
      <w:pPr>
        <w:adjustRightInd w:val="0"/>
        <w:snapToGrid w:val="0"/>
        <w:spacing w:before="50" w:line="360" w:lineRule="auto"/>
        <w:ind w:firstLine="420" w:firstLineChars="200"/>
        <w:rPr>
          <w:rFonts w:asciiTheme="minorEastAsia" w:hAnsiTheme="minorEastAsia"/>
          <w:szCs w:val="21"/>
        </w:rPr>
      </w:pPr>
      <w:r>
        <w:rPr>
          <w:rFonts w:hint="eastAsia" w:asciiTheme="minorEastAsia" w:hAnsiTheme="minorEastAsia" w:eastAsiaTheme="minorEastAsia"/>
          <w:szCs w:val="21"/>
        </w:rPr>
        <w:t>(5)</w:t>
      </w:r>
      <w:r>
        <w:rPr>
          <w:rFonts w:hint="eastAsia"/>
        </w:rPr>
        <w:t>资源配备计划；</w:t>
      </w:r>
    </w:p>
    <w:p w14:paraId="72F032E8">
      <w:pPr>
        <w:pStyle w:val="4"/>
        <w:bidi w:val="0"/>
        <w:jc w:val="center"/>
        <w:rPr>
          <w:b/>
          <w:bCs/>
          <w:sz w:val="32"/>
          <w:szCs w:val="40"/>
        </w:rPr>
      </w:pPr>
      <w:r>
        <w:rPr>
          <w:rFonts w:hint="eastAsia" w:ascii="宋体" w:hAnsi="宋体"/>
          <w:b/>
          <w:sz w:val="32"/>
          <w:szCs w:val="32"/>
        </w:rPr>
        <w:br w:type="page"/>
      </w:r>
      <w:bookmarkStart w:id="158" w:name="_Toc9761"/>
      <w:bookmarkStart w:id="159" w:name="_Toc7254"/>
      <w:r>
        <w:rPr>
          <w:rFonts w:hint="eastAsia" w:eastAsia="宋体" w:cs="Times New Roman"/>
        </w:rPr>
        <w:t>五、技术/商务响应与偏离表</w:t>
      </w:r>
      <w:bookmarkEnd w:id="158"/>
      <w:bookmarkEnd w:id="159"/>
    </w:p>
    <w:tbl>
      <w:tblPr>
        <w:tblStyle w:val="46"/>
        <w:tblW w:w="869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80"/>
        <w:gridCol w:w="1745"/>
        <w:gridCol w:w="1602"/>
        <w:gridCol w:w="2301"/>
        <w:gridCol w:w="1705"/>
        <w:gridCol w:w="764"/>
      </w:tblGrid>
      <w:tr w14:paraId="698BD7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81" w:hRule="atLeast"/>
          <w:jc w:val="center"/>
        </w:trPr>
        <w:tc>
          <w:tcPr>
            <w:tcW w:w="580" w:type="dxa"/>
            <w:vAlign w:val="center"/>
          </w:tcPr>
          <w:p w14:paraId="25E97374">
            <w:pPr>
              <w:bidi w:val="0"/>
              <w:jc w:val="center"/>
            </w:pPr>
            <w:r>
              <w:rPr>
                <w:rFonts w:hint="eastAsia"/>
              </w:rPr>
              <w:t>序号</w:t>
            </w:r>
          </w:p>
        </w:tc>
        <w:tc>
          <w:tcPr>
            <w:tcW w:w="1745" w:type="dxa"/>
            <w:vAlign w:val="center"/>
          </w:tcPr>
          <w:p w14:paraId="66B23F7A">
            <w:pPr>
              <w:bidi w:val="0"/>
              <w:jc w:val="center"/>
            </w:pPr>
            <w:r>
              <w:rPr>
                <w:rFonts w:hint="eastAsia"/>
              </w:rPr>
              <w:t>磋商文件条目号</w:t>
            </w:r>
          </w:p>
        </w:tc>
        <w:tc>
          <w:tcPr>
            <w:tcW w:w="1602" w:type="dxa"/>
            <w:vAlign w:val="center"/>
          </w:tcPr>
          <w:p w14:paraId="2AFCC810">
            <w:pPr>
              <w:bidi w:val="0"/>
              <w:jc w:val="center"/>
            </w:pPr>
            <w:r>
              <w:rPr>
                <w:rFonts w:hint="eastAsia"/>
              </w:rPr>
              <w:t>采购规格/技术（商务）条款</w:t>
            </w:r>
          </w:p>
        </w:tc>
        <w:tc>
          <w:tcPr>
            <w:tcW w:w="2301" w:type="dxa"/>
            <w:vAlign w:val="center"/>
          </w:tcPr>
          <w:p w14:paraId="47BCFAB3">
            <w:pPr>
              <w:bidi w:val="0"/>
              <w:jc w:val="center"/>
              <w:rPr>
                <w:rFonts w:hint="eastAsia"/>
              </w:rPr>
            </w:pPr>
            <w:r>
              <w:rPr>
                <w:rFonts w:hint="eastAsia"/>
              </w:rPr>
              <w:t>响应文件的规格/</w:t>
            </w:r>
          </w:p>
          <w:p w14:paraId="2DCE0236">
            <w:pPr>
              <w:bidi w:val="0"/>
              <w:jc w:val="center"/>
            </w:pPr>
            <w:r>
              <w:rPr>
                <w:rFonts w:hint="eastAsia"/>
              </w:rPr>
              <w:t>技术（商务）条款</w:t>
            </w:r>
          </w:p>
        </w:tc>
        <w:tc>
          <w:tcPr>
            <w:tcW w:w="1705" w:type="dxa"/>
            <w:vAlign w:val="center"/>
          </w:tcPr>
          <w:p w14:paraId="513DE3BF">
            <w:pPr>
              <w:bidi w:val="0"/>
              <w:jc w:val="center"/>
            </w:pPr>
            <w:r>
              <w:rPr>
                <w:rFonts w:hint="eastAsia"/>
              </w:rPr>
              <w:t>响应与偏离</w:t>
            </w:r>
          </w:p>
        </w:tc>
        <w:tc>
          <w:tcPr>
            <w:tcW w:w="764" w:type="dxa"/>
            <w:vAlign w:val="center"/>
          </w:tcPr>
          <w:p w14:paraId="59676729">
            <w:pPr>
              <w:bidi w:val="0"/>
              <w:jc w:val="center"/>
            </w:pPr>
            <w:r>
              <w:rPr>
                <w:rFonts w:hint="eastAsia"/>
              </w:rPr>
              <w:t>说明</w:t>
            </w:r>
          </w:p>
        </w:tc>
      </w:tr>
      <w:tr w14:paraId="6CEE0C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98" w:hRule="atLeast"/>
          <w:jc w:val="center"/>
        </w:trPr>
        <w:tc>
          <w:tcPr>
            <w:tcW w:w="580" w:type="dxa"/>
            <w:vAlign w:val="center"/>
          </w:tcPr>
          <w:p w14:paraId="03E24495">
            <w:pPr>
              <w:bidi w:val="0"/>
              <w:jc w:val="center"/>
            </w:pPr>
          </w:p>
        </w:tc>
        <w:tc>
          <w:tcPr>
            <w:tcW w:w="1745" w:type="dxa"/>
            <w:vAlign w:val="center"/>
          </w:tcPr>
          <w:p w14:paraId="25C641E7">
            <w:pPr>
              <w:bidi w:val="0"/>
              <w:jc w:val="center"/>
            </w:pPr>
          </w:p>
        </w:tc>
        <w:tc>
          <w:tcPr>
            <w:tcW w:w="1602" w:type="dxa"/>
            <w:vAlign w:val="center"/>
          </w:tcPr>
          <w:p w14:paraId="580582E9">
            <w:pPr>
              <w:bidi w:val="0"/>
              <w:jc w:val="center"/>
            </w:pPr>
          </w:p>
        </w:tc>
        <w:tc>
          <w:tcPr>
            <w:tcW w:w="2301" w:type="dxa"/>
            <w:vAlign w:val="center"/>
          </w:tcPr>
          <w:p w14:paraId="03584D92">
            <w:pPr>
              <w:bidi w:val="0"/>
              <w:jc w:val="center"/>
            </w:pPr>
          </w:p>
        </w:tc>
        <w:tc>
          <w:tcPr>
            <w:tcW w:w="1705" w:type="dxa"/>
            <w:vAlign w:val="center"/>
          </w:tcPr>
          <w:p w14:paraId="63665A66">
            <w:pPr>
              <w:bidi w:val="0"/>
              <w:jc w:val="center"/>
            </w:pPr>
          </w:p>
        </w:tc>
        <w:tc>
          <w:tcPr>
            <w:tcW w:w="764" w:type="dxa"/>
            <w:vAlign w:val="center"/>
          </w:tcPr>
          <w:p w14:paraId="11DE89F2">
            <w:pPr>
              <w:bidi w:val="0"/>
              <w:jc w:val="center"/>
            </w:pPr>
          </w:p>
        </w:tc>
      </w:tr>
      <w:tr w14:paraId="0D7832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98" w:hRule="atLeast"/>
          <w:jc w:val="center"/>
        </w:trPr>
        <w:tc>
          <w:tcPr>
            <w:tcW w:w="580" w:type="dxa"/>
            <w:vAlign w:val="center"/>
          </w:tcPr>
          <w:p w14:paraId="5CB0EE29">
            <w:pPr>
              <w:bidi w:val="0"/>
              <w:jc w:val="center"/>
            </w:pPr>
          </w:p>
        </w:tc>
        <w:tc>
          <w:tcPr>
            <w:tcW w:w="1745" w:type="dxa"/>
            <w:vAlign w:val="center"/>
          </w:tcPr>
          <w:p w14:paraId="1ACD9449">
            <w:pPr>
              <w:bidi w:val="0"/>
              <w:jc w:val="center"/>
            </w:pPr>
          </w:p>
        </w:tc>
        <w:tc>
          <w:tcPr>
            <w:tcW w:w="1602" w:type="dxa"/>
            <w:vAlign w:val="center"/>
          </w:tcPr>
          <w:p w14:paraId="480CE796">
            <w:pPr>
              <w:bidi w:val="0"/>
              <w:jc w:val="center"/>
            </w:pPr>
          </w:p>
        </w:tc>
        <w:tc>
          <w:tcPr>
            <w:tcW w:w="2301" w:type="dxa"/>
            <w:vAlign w:val="center"/>
          </w:tcPr>
          <w:p w14:paraId="39036507">
            <w:pPr>
              <w:bidi w:val="0"/>
              <w:jc w:val="center"/>
            </w:pPr>
          </w:p>
        </w:tc>
        <w:tc>
          <w:tcPr>
            <w:tcW w:w="1705" w:type="dxa"/>
            <w:vAlign w:val="center"/>
          </w:tcPr>
          <w:p w14:paraId="061D5A47">
            <w:pPr>
              <w:bidi w:val="0"/>
              <w:jc w:val="center"/>
            </w:pPr>
          </w:p>
        </w:tc>
        <w:tc>
          <w:tcPr>
            <w:tcW w:w="764" w:type="dxa"/>
            <w:vAlign w:val="center"/>
          </w:tcPr>
          <w:p w14:paraId="29ECCD25">
            <w:pPr>
              <w:bidi w:val="0"/>
              <w:jc w:val="center"/>
            </w:pPr>
          </w:p>
        </w:tc>
      </w:tr>
      <w:tr w14:paraId="304B24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98" w:hRule="atLeast"/>
          <w:jc w:val="center"/>
        </w:trPr>
        <w:tc>
          <w:tcPr>
            <w:tcW w:w="580" w:type="dxa"/>
            <w:vAlign w:val="center"/>
          </w:tcPr>
          <w:p w14:paraId="2F8F335E">
            <w:pPr>
              <w:bidi w:val="0"/>
              <w:jc w:val="center"/>
            </w:pPr>
          </w:p>
        </w:tc>
        <w:tc>
          <w:tcPr>
            <w:tcW w:w="1745" w:type="dxa"/>
            <w:vAlign w:val="center"/>
          </w:tcPr>
          <w:p w14:paraId="020B7BD8">
            <w:pPr>
              <w:bidi w:val="0"/>
              <w:jc w:val="center"/>
            </w:pPr>
          </w:p>
        </w:tc>
        <w:tc>
          <w:tcPr>
            <w:tcW w:w="1602" w:type="dxa"/>
            <w:vAlign w:val="center"/>
          </w:tcPr>
          <w:p w14:paraId="093B1336">
            <w:pPr>
              <w:bidi w:val="0"/>
              <w:jc w:val="center"/>
            </w:pPr>
          </w:p>
        </w:tc>
        <w:tc>
          <w:tcPr>
            <w:tcW w:w="2301" w:type="dxa"/>
            <w:vAlign w:val="center"/>
          </w:tcPr>
          <w:p w14:paraId="1990C6FE">
            <w:pPr>
              <w:bidi w:val="0"/>
              <w:jc w:val="center"/>
            </w:pPr>
          </w:p>
        </w:tc>
        <w:tc>
          <w:tcPr>
            <w:tcW w:w="1705" w:type="dxa"/>
            <w:vAlign w:val="center"/>
          </w:tcPr>
          <w:p w14:paraId="36B9E94E">
            <w:pPr>
              <w:bidi w:val="0"/>
              <w:jc w:val="center"/>
            </w:pPr>
          </w:p>
        </w:tc>
        <w:tc>
          <w:tcPr>
            <w:tcW w:w="764" w:type="dxa"/>
            <w:vAlign w:val="center"/>
          </w:tcPr>
          <w:p w14:paraId="5B0A7BF9">
            <w:pPr>
              <w:bidi w:val="0"/>
              <w:jc w:val="center"/>
            </w:pPr>
          </w:p>
        </w:tc>
      </w:tr>
      <w:tr w14:paraId="27447B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798" w:hRule="atLeast"/>
          <w:jc w:val="center"/>
        </w:trPr>
        <w:tc>
          <w:tcPr>
            <w:tcW w:w="580" w:type="dxa"/>
            <w:vAlign w:val="center"/>
          </w:tcPr>
          <w:p w14:paraId="71C7665D">
            <w:pPr>
              <w:bidi w:val="0"/>
              <w:jc w:val="center"/>
            </w:pPr>
          </w:p>
        </w:tc>
        <w:tc>
          <w:tcPr>
            <w:tcW w:w="1745" w:type="dxa"/>
            <w:vAlign w:val="center"/>
          </w:tcPr>
          <w:p w14:paraId="2F63A57C">
            <w:pPr>
              <w:bidi w:val="0"/>
              <w:jc w:val="center"/>
            </w:pPr>
          </w:p>
        </w:tc>
        <w:tc>
          <w:tcPr>
            <w:tcW w:w="1602" w:type="dxa"/>
            <w:vAlign w:val="center"/>
          </w:tcPr>
          <w:p w14:paraId="28C35BC3">
            <w:pPr>
              <w:bidi w:val="0"/>
              <w:jc w:val="center"/>
            </w:pPr>
          </w:p>
        </w:tc>
        <w:tc>
          <w:tcPr>
            <w:tcW w:w="2301" w:type="dxa"/>
            <w:vAlign w:val="center"/>
          </w:tcPr>
          <w:p w14:paraId="12CC4898">
            <w:pPr>
              <w:bidi w:val="0"/>
              <w:jc w:val="center"/>
            </w:pPr>
          </w:p>
        </w:tc>
        <w:tc>
          <w:tcPr>
            <w:tcW w:w="1705" w:type="dxa"/>
            <w:vAlign w:val="center"/>
          </w:tcPr>
          <w:p w14:paraId="247A39EA">
            <w:pPr>
              <w:bidi w:val="0"/>
              <w:jc w:val="center"/>
            </w:pPr>
          </w:p>
        </w:tc>
        <w:tc>
          <w:tcPr>
            <w:tcW w:w="764" w:type="dxa"/>
            <w:vAlign w:val="center"/>
          </w:tcPr>
          <w:p w14:paraId="50E8F18E">
            <w:pPr>
              <w:bidi w:val="0"/>
              <w:jc w:val="center"/>
            </w:pPr>
          </w:p>
        </w:tc>
      </w:tr>
      <w:tr w14:paraId="199002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45" w:hRule="atLeast"/>
          <w:jc w:val="center"/>
        </w:trPr>
        <w:tc>
          <w:tcPr>
            <w:tcW w:w="580" w:type="dxa"/>
            <w:vAlign w:val="center"/>
          </w:tcPr>
          <w:p w14:paraId="21A125E8">
            <w:pPr>
              <w:bidi w:val="0"/>
              <w:jc w:val="center"/>
            </w:pPr>
          </w:p>
        </w:tc>
        <w:tc>
          <w:tcPr>
            <w:tcW w:w="1745" w:type="dxa"/>
            <w:vAlign w:val="center"/>
          </w:tcPr>
          <w:p w14:paraId="2D6185A2">
            <w:pPr>
              <w:bidi w:val="0"/>
              <w:jc w:val="center"/>
            </w:pPr>
          </w:p>
        </w:tc>
        <w:tc>
          <w:tcPr>
            <w:tcW w:w="1602" w:type="dxa"/>
            <w:vAlign w:val="center"/>
          </w:tcPr>
          <w:p w14:paraId="029E20C7">
            <w:pPr>
              <w:bidi w:val="0"/>
              <w:jc w:val="center"/>
            </w:pPr>
          </w:p>
        </w:tc>
        <w:tc>
          <w:tcPr>
            <w:tcW w:w="2301" w:type="dxa"/>
            <w:vAlign w:val="center"/>
          </w:tcPr>
          <w:p w14:paraId="16AA2511">
            <w:pPr>
              <w:bidi w:val="0"/>
              <w:jc w:val="center"/>
            </w:pPr>
          </w:p>
        </w:tc>
        <w:tc>
          <w:tcPr>
            <w:tcW w:w="1705" w:type="dxa"/>
            <w:vAlign w:val="center"/>
          </w:tcPr>
          <w:p w14:paraId="133A951B">
            <w:pPr>
              <w:bidi w:val="0"/>
              <w:jc w:val="center"/>
            </w:pPr>
          </w:p>
        </w:tc>
        <w:tc>
          <w:tcPr>
            <w:tcW w:w="764" w:type="dxa"/>
            <w:vAlign w:val="center"/>
          </w:tcPr>
          <w:p w14:paraId="5946C006">
            <w:pPr>
              <w:bidi w:val="0"/>
              <w:jc w:val="center"/>
            </w:pPr>
          </w:p>
        </w:tc>
      </w:tr>
    </w:tbl>
    <w:p w14:paraId="443D69CC">
      <w:pPr>
        <w:adjustRightInd w:val="0"/>
        <w:snapToGrid w:val="0"/>
        <w:spacing w:line="360" w:lineRule="auto"/>
        <w:rPr>
          <w:rFonts w:ascii="宋体" w:hAnsi="宋体"/>
          <w:szCs w:val="21"/>
        </w:rPr>
      </w:pPr>
      <w:r>
        <w:rPr>
          <w:rFonts w:hint="eastAsia" w:ascii="宋体" w:hAnsi="宋体"/>
          <w:szCs w:val="21"/>
        </w:rPr>
        <w:t>说明：1、“响应与偏离”应注明“响应”或“偏离”。</w:t>
      </w:r>
    </w:p>
    <w:p w14:paraId="2866EA42">
      <w:pPr>
        <w:adjustRightInd w:val="0"/>
        <w:snapToGrid w:val="0"/>
        <w:spacing w:line="360" w:lineRule="auto"/>
        <w:rPr>
          <w:rFonts w:ascii="宋体" w:hAnsi="宋体"/>
          <w:szCs w:val="21"/>
        </w:rPr>
      </w:pPr>
      <w:r>
        <w:rPr>
          <w:rFonts w:hint="eastAsia" w:ascii="宋体" w:hAnsi="宋体"/>
          <w:szCs w:val="21"/>
        </w:rPr>
        <w:t>2、属磋商文件规定可能变动的内容在“说明”栏中注明。</w:t>
      </w:r>
    </w:p>
    <w:p w14:paraId="5AA52050">
      <w:pPr>
        <w:pStyle w:val="25"/>
        <w:ind w:hanging="315"/>
      </w:pPr>
    </w:p>
    <w:p w14:paraId="5D2DA0CB">
      <w:pPr>
        <w:spacing w:line="360" w:lineRule="auto"/>
        <w:rPr>
          <w:u w:val="single"/>
        </w:rPr>
      </w:pPr>
      <w:r>
        <w:rPr>
          <w:rFonts w:hint="eastAsia"/>
        </w:rPr>
        <w:t>供应商名称：</w:t>
      </w:r>
      <w:r>
        <w:rPr>
          <w:rFonts w:ascii="宋体" w:hAnsi="宋体"/>
          <w:szCs w:val="21"/>
        </w:rPr>
        <w:t xml:space="preserve"> </w:t>
      </w:r>
      <w:r>
        <w:rPr>
          <w:rFonts w:hint="eastAsia" w:ascii="宋体" w:hAnsi="宋体" w:cs="宋体"/>
          <w:szCs w:val="21"/>
          <w:u w:val="single"/>
        </w:rPr>
        <w:t xml:space="preserve">                      </w:t>
      </w:r>
    </w:p>
    <w:p w14:paraId="094BF03E">
      <w:pPr>
        <w:spacing w:line="360" w:lineRule="auto"/>
        <w:rPr>
          <w:u w:val="single"/>
        </w:rPr>
      </w:pPr>
      <w:r>
        <w:rPr>
          <w:rFonts w:hint="eastAsia" w:ascii="新宋体" w:hAnsi="新宋体" w:eastAsia="新宋体" w:cs="新宋体"/>
          <w:kern w:val="0"/>
          <w:szCs w:val="21"/>
        </w:rPr>
        <w:t>法定代表人</w:t>
      </w:r>
      <w:r>
        <w:rPr>
          <w:rFonts w:hint="eastAsia"/>
        </w:rPr>
        <w:t>或其委托代理人(签字)：</w:t>
      </w:r>
      <w:r>
        <w:rPr>
          <w:rFonts w:ascii="宋体" w:hAnsi="宋体"/>
          <w:szCs w:val="21"/>
          <w:u w:val="single"/>
        </w:rPr>
        <w:t xml:space="preserve"> </w:t>
      </w:r>
      <w:r>
        <w:rPr>
          <w:rFonts w:hint="eastAsia" w:ascii="宋体" w:hAnsi="宋体" w:cs="宋体"/>
          <w:szCs w:val="21"/>
          <w:u w:val="single"/>
        </w:rPr>
        <w:t xml:space="preserve">                      </w:t>
      </w:r>
    </w:p>
    <w:p w14:paraId="03BFF17D">
      <w:pPr>
        <w:spacing w:line="360" w:lineRule="auto"/>
      </w:pPr>
      <w:r>
        <w:rPr>
          <w:rFonts w:hint="eastAsia"/>
        </w:rPr>
        <w:t>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6E00BA0F">
      <w:pPr>
        <w:adjustRightInd w:val="0"/>
        <w:snapToGrid w:val="0"/>
        <w:ind w:left="420" w:hanging="420"/>
        <w:rPr>
          <w:rFonts w:ascii="宋体" w:hAnsi="宋体"/>
          <w:bCs/>
          <w:sz w:val="28"/>
          <w:szCs w:val="28"/>
        </w:rPr>
      </w:pPr>
    </w:p>
    <w:p w14:paraId="1B42EE7C">
      <w:pPr>
        <w:pStyle w:val="4"/>
        <w:bidi w:val="0"/>
        <w:jc w:val="center"/>
        <w:rPr>
          <w:rFonts w:ascii="宋体" w:hAnsi="宋体"/>
          <w:b/>
          <w:sz w:val="28"/>
          <w:szCs w:val="28"/>
        </w:rPr>
      </w:pPr>
      <w:r>
        <w:rPr>
          <w:rFonts w:hint="eastAsia" w:ascii="宋体" w:hAnsi="宋体"/>
          <w:b/>
          <w:sz w:val="30"/>
          <w:szCs w:val="30"/>
        </w:rPr>
        <w:br w:type="page"/>
      </w:r>
      <w:bookmarkStart w:id="160" w:name="_Toc10384"/>
      <w:r>
        <w:rPr>
          <w:rFonts w:hint="eastAsia" w:eastAsia="宋体" w:cs="Times New Roman"/>
        </w:rPr>
        <w:t>六、提供享受招标采购政策的证明材料和清单表</w:t>
      </w:r>
      <w:bookmarkEnd w:id="160"/>
    </w:p>
    <w:p w14:paraId="0873F5BA">
      <w:pPr>
        <w:tabs>
          <w:tab w:val="left" w:pos="3600"/>
        </w:tabs>
        <w:adjustRightInd w:val="0"/>
        <w:snapToGrid w:val="0"/>
        <w:ind w:left="482" w:hanging="482"/>
        <w:jc w:val="center"/>
        <w:rPr>
          <w:rFonts w:ascii="宋体" w:hAnsi="宋体" w:cs="宋体"/>
          <w:b/>
          <w:sz w:val="32"/>
          <w:szCs w:val="32"/>
        </w:rPr>
      </w:pPr>
    </w:p>
    <w:p w14:paraId="05AD8C9C">
      <w:pPr>
        <w:widowControl/>
        <w:adjustRightInd w:val="0"/>
        <w:snapToGrid w:val="0"/>
        <w:spacing w:line="360" w:lineRule="auto"/>
        <w:ind w:left="334" w:hanging="334"/>
        <w:rPr>
          <w:rFonts w:ascii="宋体" w:hAnsi="宋体" w:cs="宋体"/>
          <w:b/>
          <w:bCs/>
          <w:spacing w:val="6"/>
          <w:kern w:val="0"/>
          <w:szCs w:val="21"/>
        </w:rPr>
      </w:pPr>
      <w:r>
        <w:rPr>
          <w:rFonts w:hint="eastAsia" w:ascii="宋体" w:hAnsi="宋体" w:cs="宋体"/>
          <w:b/>
          <w:bCs/>
          <w:spacing w:val="6"/>
          <w:kern w:val="0"/>
          <w:szCs w:val="21"/>
        </w:rPr>
        <w:t>附件9</w:t>
      </w:r>
    </w:p>
    <w:p w14:paraId="3FCB0468">
      <w:pPr>
        <w:widowControl/>
        <w:ind w:left="422" w:hanging="422"/>
        <w:jc w:val="center"/>
        <w:textAlignment w:val="baseline"/>
        <w:rPr>
          <w:rStyle w:val="100"/>
          <w:rFonts w:ascii="宋体" w:hAnsi="宋体"/>
          <w:b/>
          <w:kern w:val="0"/>
          <w:sz w:val="28"/>
          <w:szCs w:val="28"/>
        </w:rPr>
      </w:pPr>
    </w:p>
    <w:p w14:paraId="4646A896">
      <w:pPr>
        <w:widowControl/>
        <w:ind w:left="422" w:hanging="422"/>
        <w:jc w:val="center"/>
        <w:textAlignment w:val="baseline"/>
        <w:rPr>
          <w:rStyle w:val="100"/>
          <w:rFonts w:ascii="宋体" w:hAnsi="宋体"/>
          <w:b/>
          <w:kern w:val="0"/>
          <w:sz w:val="28"/>
          <w:szCs w:val="28"/>
        </w:rPr>
      </w:pPr>
      <w:r>
        <w:rPr>
          <w:rStyle w:val="100"/>
          <w:rFonts w:hint="eastAsia" w:ascii="宋体" w:hAnsi="宋体"/>
          <w:b/>
          <w:kern w:val="0"/>
          <w:sz w:val="28"/>
          <w:szCs w:val="28"/>
        </w:rPr>
        <w:t>中小企业</w:t>
      </w:r>
      <w:r>
        <w:rPr>
          <w:rStyle w:val="100"/>
          <w:rFonts w:ascii="宋体" w:hAnsi="宋体"/>
          <w:b/>
          <w:kern w:val="0"/>
          <w:sz w:val="28"/>
          <w:szCs w:val="28"/>
        </w:rPr>
        <w:t>声明函</w:t>
      </w:r>
    </w:p>
    <w:p w14:paraId="2A0B5C4B">
      <w:pPr>
        <w:widowControl/>
        <w:adjustRightInd w:val="0"/>
        <w:snapToGrid w:val="0"/>
        <w:spacing w:line="360" w:lineRule="auto"/>
        <w:ind w:left="334" w:hanging="334"/>
        <w:jc w:val="center"/>
        <w:rPr>
          <w:rFonts w:ascii="宋体" w:cs="宋体"/>
          <w:b/>
          <w:spacing w:val="6"/>
          <w:kern w:val="0"/>
          <w:szCs w:val="21"/>
        </w:rPr>
      </w:pPr>
      <w:r>
        <w:rPr>
          <w:rFonts w:ascii="宋体" w:hAnsi="宋体" w:cs="宋体"/>
          <w:b/>
          <w:spacing w:val="6"/>
          <w:kern w:val="0"/>
          <w:szCs w:val="21"/>
        </w:rPr>
        <w:t>(</w:t>
      </w:r>
      <w:r>
        <w:rPr>
          <w:rFonts w:hint="eastAsia" w:ascii="宋体" w:hAnsi="宋体" w:cs="宋体"/>
          <w:b/>
          <w:spacing w:val="6"/>
          <w:kern w:val="0"/>
          <w:szCs w:val="21"/>
        </w:rPr>
        <w:t>不满足以下条件的无需填写</w:t>
      </w:r>
      <w:r>
        <w:rPr>
          <w:rFonts w:ascii="宋体" w:hAnsi="宋体" w:cs="宋体"/>
          <w:b/>
          <w:spacing w:val="6"/>
          <w:kern w:val="0"/>
          <w:szCs w:val="21"/>
        </w:rPr>
        <w:t>)</w:t>
      </w:r>
    </w:p>
    <w:p w14:paraId="258A1E01">
      <w:pPr>
        <w:adjustRightInd w:val="0"/>
        <w:snapToGrid w:val="0"/>
        <w:spacing w:line="360" w:lineRule="auto"/>
        <w:ind w:firstLine="525" w:firstLineChars="250"/>
        <w:rPr>
          <w:rFonts w:asciiTheme="minorEastAsia" w:hAnsiTheme="minorEastAsia" w:eastAsiaTheme="minorEastAsia" w:cstheme="minorEastAsia"/>
          <w:bCs/>
          <w:szCs w:val="21"/>
        </w:rPr>
      </w:pPr>
    </w:p>
    <w:p w14:paraId="73E6CC04">
      <w:pPr>
        <w:adjustRightInd w:val="0"/>
        <w:snapToGrid w:val="0"/>
        <w:spacing w:line="360" w:lineRule="auto"/>
        <w:ind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况如下：</w:t>
      </w:r>
    </w:p>
    <w:p w14:paraId="76A3D657">
      <w:pPr>
        <w:adjustRightInd w:val="0"/>
        <w:snapToGrid w:val="0"/>
        <w:spacing w:line="360" w:lineRule="auto"/>
        <w:ind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u w:val="single"/>
        </w:rPr>
        <w:t>1.（标的名称）</w:t>
      </w:r>
      <w:r>
        <w:rPr>
          <w:rFonts w:hint="eastAsia" w:asciiTheme="minorEastAsia" w:hAnsiTheme="minorEastAsia" w:eastAsiaTheme="minorEastAsia" w:cstheme="minorEastAsia"/>
          <w:bCs/>
          <w:szCs w:val="21"/>
        </w:rPr>
        <w:t>，属于</w:t>
      </w:r>
      <w:r>
        <w:rPr>
          <w:rFonts w:hint="eastAsia" w:asciiTheme="minorEastAsia" w:hAnsiTheme="minorEastAsia" w:eastAsiaTheme="minorEastAsia" w:cstheme="minorEastAsia"/>
          <w:bCs/>
          <w:szCs w:val="21"/>
          <w:u w:val="single"/>
        </w:rPr>
        <w:t xml:space="preserve"> 建筑行业 </w:t>
      </w:r>
      <w:r>
        <w:rPr>
          <w:rFonts w:hint="eastAsia" w:asciiTheme="minorEastAsia" w:hAnsiTheme="minorEastAsia" w:eastAsiaTheme="minorEastAsia" w:cstheme="minorEastAsia"/>
          <w:bCs/>
          <w:szCs w:val="21"/>
        </w:rPr>
        <w:t>；承建（承接）企业为</w:t>
      </w:r>
      <w:r>
        <w:rPr>
          <w:rFonts w:hint="eastAsia" w:asciiTheme="minorEastAsia" w:hAnsiTheme="minorEastAsia" w:eastAsiaTheme="minorEastAsia" w:cstheme="minorEastAsia"/>
          <w:bCs/>
          <w:szCs w:val="21"/>
          <w:u w:val="single"/>
        </w:rPr>
        <w:t>（企业名称）</w:t>
      </w:r>
      <w:r>
        <w:rPr>
          <w:rFonts w:hint="eastAsia" w:asciiTheme="minorEastAsia" w:hAnsiTheme="minorEastAsia" w:eastAsiaTheme="minorEastAsia" w:cstheme="minorEastAsia"/>
          <w:bCs/>
          <w:szCs w:val="21"/>
        </w:rPr>
        <w:t>，从业人员</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人，营业收入为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万元，资产总额为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万元，属于</w:t>
      </w:r>
      <w:r>
        <w:rPr>
          <w:rFonts w:hint="eastAsia" w:asciiTheme="minorEastAsia" w:hAnsiTheme="minorEastAsia" w:eastAsiaTheme="minorEastAsia" w:cstheme="minorEastAsia"/>
          <w:bCs/>
          <w:szCs w:val="21"/>
          <w:u w:val="single"/>
        </w:rPr>
        <w:t>（中型企业、小型企业、微型企业）</w:t>
      </w:r>
      <w:r>
        <w:rPr>
          <w:rFonts w:hint="eastAsia" w:asciiTheme="minorEastAsia" w:hAnsiTheme="minorEastAsia" w:eastAsiaTheme="minorEastAsia" w:cstheme="minorEastAsia"/>
          <w:bCs/>
          <w:szCs w:val="21"/>
        </w:rPr>
        <w:t>；</w:t>
      </w:r>
    </w:p>
    <w:p w14:paraId="217C3E69">
      <w:pPr>
        <w:adjustRightInd w:val="0"/>
        <w:snapToGrid w:val="0"/>
        <w:spacing w:line="360" w:lineRule="auto"/>
        <w:ind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u w:val="single"/>
        </w:rPr>
        <w:t>2.（标的名称）</w:t>
      </w:r>
      <w:r>
        <w:rPr>
          <w:rFonts w:hint="eastAsia" w:asciiTheme="minorEastAsia" w:hAnsiTheme="minorEastAsia" w:eastAsiaTheme="minorEastAsia" w:cstheme="minorEastAsia"/>
          <w:bCs/>
          <w:szCs w:val="21"/>
        </w:rPr>
        <w:t>，属于</w:t>
      </w:r>
      <w:r>
        <w:rPr>
          <w:rFonts w:hint="eastAsia" w:asciiTheme="minorEastAsia" w:hAnsiTheme="minorEastAsia" w:eastAsiaTheme="minorEastAsia" w:cstheme="minorEastAsia"/>
          <w:bCs/>
          <w:szCs w:val="21"/>
          <w:u w:val="single"/>
        </w:rPr>
        <w:t xml:space="preserve"> 建筑行业 </w:t>
      </w:r>
      <w:r>
        <w:rPr>
          <w:rFonts w:hint="eastAsia" w:asciiTheme="minorEastAsia" w:hAnsiTheme="minorEastAsia" w:eastAsiaTheme="minorEastAsia" w:cstheme="minorEastAsia"/>
          <w:bCs/>
          <w:szCs w:val="21"/>
        </w:rPr>
        <w:t>；承建（承接）企业为</w:t>
      </w:r>
      <w:r>
        <w:rPr>
          <w:rFonts w:hint="eastAsia" w:asciiTheme="minorEastAsia" w:hAnsiTheme="minorEastAsia" w:eastAsiaTheme="minorEastAsia" w:cstheme="minorEastAsia"/>
          <w:bCs/>
          <w:szCs w:val="21"/>
          <w:u w:val="single"/>
        </w:rPr>
        <w:t>（企业名称）</w:t>
      </w:r>
      <w:r>
        <w:rPr>
          <w:rFonts w:hint="eastAsia" w:asciiTheme="minorEastAsia" w:hAnsiTheme="minorEastAsia" w:eastAsiaTheme="minorEastAsia" w:cstheme="minorEastAsia"/>
          <w:bCs/>
          <w:szCs w:val="21"/>
        </w:rPr>
        <w:t>，从业人员</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人，营业收入为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万元，资产总额为</w:t>
      </w:r>
      <w:r>
        <w:rPr>
          <w:rFonts w:hint="eastAsia" w:asciiTheme="minorEastAsia" w:hAnsiTheme="minorEastAsia" w:eastAsiaTheme="minorEastAsia" w:cstheme="minorEastAsia"/>
          <w:bCs/>
          <w:szCs w:val="21"/>
          <w:u w:val="single"/>
        </w:rPr>
        <w:t xml:space="preserve">     </w:t>
      </w:r>
      <w:r>
        <w:rPr>
          <w:rFonts w:hint="eastAsia" w:asciiTheme="minorEastAsia" w:hAnsiTheme="minorEastAsia" w:eastAsiaTheme="minorEastAsia" w:cstheme="minorEastAsia"/>
          <w:bCs/>
          <w:szCs w:val="21"/>
        </w:rPr>
        <w:t>万元，属于</w:t>
      </w:r>
      <w:r>
        <w:rPr>
          <w:rFonts w:hint="eastAsia" w:asciiTheme="minorEastAsia" w:hAnsiTheme="minorEastAsia" w:eastAsiaTheme="minorEastAsia" w:cstheme="minorEastAsia"/>
          <w:bCs/>
          <w:szCs w:val="21"/>
          <w:u w:val="single"/>
        </w:rPr>
        <w:t>（中型企业、小型企业、微型企业）</w:t>
      </w:r>
      <w:r>
        <w:rPr>
          <w:rFonts w:hint="eastAsia" w:asciiTheme="minorEastAsia" w:hAnsiTheme="minorEastAsia" w:eastAsiaTheme="minorEastAsia" w:cstheme="minorEastAsia"/>
          <w:bCs/>
          <w:szCs w:val="21"/>
        </w:rPr>
        <w:t>；</w:t>
      </w:r>
    </w:p>
    <w:p w14:paraId="71B1704C">
      <w:pPr>
        <w:adjustRightInd w:val="0"/>
        <w:snapToGrid w:val="0"/>
        <w:spacing w:line="360" w:lineRule="auto"/>
        <w:ind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w:t>
      </w:r>
    </w:p>
    <w:p w14:paraId="5E11AC47">
      <w:pPr>
        <w:adjustRightInd w:val="0"/>
        <w:snapToGrid w:val="0"/>
        <w:spacing w:line="360" w:lineRule="auto"/>
        <w:ind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以上企业，不属于大企业的分支机构，不存在控股股东为大企业的情形，也不存在与大企业的负责人为同一人的情形。</w:t>
      </w:r>
    </w:p>
    <w:p w14:paraId="3C36C38A">
      <w:pPr>
        <w:adjustRightInd w:val="0"/>
        <w:snapToGrid w:val="0"/>
        <w:spacing w:line="360" w:lineRule="auto"/>
        <w:ind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本企业对上述声明内容的真实性负责。如有虚假，将依法承担相应责任。</w:t>
      </w:r>
    </w:p>
    <w:p w14:paraId="243CA50C">
      <w:pPr>
        <w:adjustRightInd w:val="0"/>
        <w:snapToGrid w:val="0"/>
        <w:spacing w:line="360" w:lineRule="auto"/>
        <w:ind w:leftChars="2100"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企业名称（盖章）：</w:t>
      </w:r>
    </w:p>
    <w:p w14:paraId="6B137B3C">
      <w:pPr>
        <w:adjustRightInd w:val="0"/>
        <w:snapToGrid w:val="0"/>
        <w:spacing w:line="360" w:lineRule="auto"/>
        <w:ind w:leftChars="2100"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日期：</w:t>
      </w:r>
    </w:p>
    <w:p w14:paraId="67C07013">
      <w:pPr>
        <w:adjustRightInd w:val="0"/>
        <w:snapToGrid w:val="0"/>
        <w:spacing w:line="360" w:lineRule="auto"/>
        <w:ind w:firstLine="525" w:firstLineChars="250"/>
        <w:rPr>
          <w:rFonts w:asciiTheme="minorEastAsia" w:hAnsiTheme="minorEastAsia" w:eastAsiaTheme="minorEastAsia" w:cstheme="minorEastAsia"/>
          <w:bCs/>
          <w:szCs w:val="21"/>
        </w:rPr>
      </w:pPr>
    </w:p>
    <w:p w14:paraId="35452076">
      <w:pPr>
        <w:adjustRightInd w:val="0"/>
        <w:snapToGrid w:val="0"/>
        <w:spacing w:line="360" w:lineRule="auto"/>
        <w:ind w:firstLine="525" w:firstLineChars="250"/>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注：从业人员、营业收入、资产总额填报上一年度数据，无上一年度数据的新成立企业可不填报。</w:t>
      </w:r>
    </w:p>
    <w:p w14:paraId="4F8C7CC6">
      <w:pPr>
        <w:adjustRightInd w:val="0"/>
        <w:snapToGrid w:val="0"/>
        <w:spacing w:line="360" w:lineRule="auto"/>
        <w:ind w:left="440" w:hanging="440"/>
        <w:jc w:val="center"/>
        <w:rPr>
          <w:rFonts w:ascii="黑体" w:hAnsi="黑体" w:eastAsia="黑体"/>
          <w:b/>
          <w:spacing w:val="6"/>
          <w:sz w:val="28"/>
          <w:szCs w:val="28"/>
        </w:rPr>
      </w:pPr>
    </w:p>
    <w:p w14:paraId="172E7728">
      <w:pPr>
        <w:ind w:left="440" w:hanging="440"/>
        <w:rPr>
          <w:rFonts w:ascii="黑体" w:hAnsi="黑体" w:eastAsia="黑体"/>
          <w:b/>
          <w:spacing w:val="6"/>
          <w:sz w:val="28"/>
          <w:szCs w:val="28"/>
        </w:rPr>
      </w:pPr>
      <w:r>
        <w:rPr>
          <w:rFonts w:ascii="黑体" w:hAnsi="黑体" w:eastAsia="黑体"/>
          <w:b/>
          <w:spacing w:val="6"/>
          <w:sz w:val="28"/>
          <w:szCs w:val="28"/>
        </w:rPr>
        <w:br w:type="page"/>
      </w:r>
    </w:p>
    <w:p w14:paraId="3D67A444">
      <w:pPr>
        <w:adjustRightInd w:val="0"/>
        <w:snapToGrid w:val="0"/>
        <w:spacing w:line="360" w:lineRule="auto"/>
        <w:ind w:left="440" w:hanging="440"/>
        <w:jc w:val="center"/>
        <w:rPr>
          <w:rFonts w:ascii="黑体" w:hAnsi="黑体" w:eastAsia="黑体"/>
          <w:b/>
          <w:spacing w:val="6"/>
          <w:sz w:val="28"/>
          <w:szCs w:val="28"/>
        </w:rPr>
      </w:pPr>
      <w:r>
        <w:rPr>
          <w:rFonts w:hint="eastAsia" w:ascii="宋体" w:hAnsi="宋体" w:eastAsia="宋体" w:cs="宋体"/>
          <w:b/>
          <w:spacing w:val="6"/>
          <w:sz w:val="28"/>
          <w:szCs w:val="28"/>
        </w:rPr>
        <w:t>“节能产品”、“环境标志产品”证明材料</w:t>
      </w:r>
    </w:p>
    <w:p w14:paraId="4300E378">
      <w:pPr>
        <w:keepNext w:val="0"/>
        <w:keepLines w:val="0"/>
        <w:pageBreakBefore w:val="0"/>
        <w:widowControl w:val="0"/>
        <w:kinsoku/>
        <w:wordWrap/>
        <w:overflowPunct/>
        <w:topLinePunct w:val="0"/>
        <w:autoSpaceDE/>
        <w:autoSpaceDN/>
        <w:bidi w:val="0"/>
        <w:spacing w:line="480" w:lineRule="exact"/>
        <w:ind w:left="0" w:firstLine="480" w:firstLineChars="200"/>
        <w:textAlignment w:val="auto"/>
        <w:rPr>
          <w:rFonts w:asciiTheme="minorEastAsia" w:hAnsiTheme="minorEastAsia" w:eastAsiaTheme="minorEastAsia" w:cstheme="minorEastAsia"/>
          <w:sz w:val="24"/>
        </w:rPr>
      </w:pPr>
    </w:p>
    <w:p w14:paraId="7BD8CBA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1、</w:t>
      </w:r>
      <w:r>
        <w:rPr>
          <w:rFonts w:hint="eastAsia" w:asciiTheme="minorEastAsia" w:hAnsiTheme="minorEastAsia" w:eastAsiaTheme="minorEastAsia" w:cstheme="minorEastAsia"/>
          <w:szCs w:val="21"/>
        </w:rPr>
        <w:t>供应商提供的产品</w:t>
      </w:r>
      <w:r>
        <w:rPr>
          <w:rFonts w:hint="eastAsia" w:asciiTheme="minorEastAsia" w:hAnsiTheme="minorEastAsia" w:eastAsiaTheme="minorEastAsia" w:cstheme="minorEastAsia"/>
          <w:bCs/>
          <w:szCs w:val="21"/>
        </w:rPr>
        <w:t>属于</w:t>
      </w:r>
      <w:r>
        <w:rPr>
          <w:rFonts w:hint="eastAsia" w:asciiTheme="minorEastAsia" w:hAnsiTheme="minorEastAsia" w:eastAsiaTheme="minorEastAsia" w:cstheme="minorEastAsia"/>
          <w:szCs w:val="21"/>
        </w:rPr>
        <w:t>下列情形，应按第二章磋商须知第2.8款、第9.2</w:t>
      </w:r>
      <w:r>
        <w:rPr>
          <w:rFonts w:hint="eastAsia" w:asciiTheme="minorEastAsia" w:hAnsiTheme="minorEastAsia" w:eastAsiaTheme="minorEastAsia" w:cstheme="minorEastAsia"/>
          <w:kern w:val="0"/>
          <w:szCs w:val="21"/>
          <w:lang w:val="zh-CN"/>
        </w:rPr>
        <w:t>款</w:t>
      </w:r>
      <w:r>
        <w:rPr>
          <w:rFonts w:hint="eastAsia" w:asciiTheme="minorEastAsia" w:hAnsiTheme="minorEastAsia" w:eastAsiaTheme="minorEastAsia" w:cstheme="minorEastAsia"/>
          <w:szCs w:val="21"/>
        </w:rPr>
        <w:t>规定提供相关证明材料(</w:t>
      </w:r>
      <w:r>
        <w:rPr>
          <w:rFonts w:hint="eastAsia" w:asciiTheme="minorEastAsia" w:hAnsiTheme="minorEastAsia" w:eastAsiaTheme="minorEastAsia" w:cstheme="minorEastAsia"/>
          <w:bCs/>
          <w:szCs w:val="21"/>
        </w:rPr>
        <w:t>清单或目录所在页复印件</w:t>
      </w:r>
      <w:r>
        <w:rPr>
          <w:rFonts w:hint="eastAsia" w:asciiTheme="minorEastAsia" w:hAnsiTheme="minorEastAsia" w:eastAsiaTheme="minorEastAsia" w:cstheme="minorEastAsia"/>
          <w:szCs w:val="21"/>
        </w:rPr>
        <w:t>)，并在本章《</w:t>
      </w:r>
      <w:r>
        <w:rPr>
          <w:rFonts w:hint="eastAsia" w:asciiTheme="minorEastAsia" w:hAnsiTheme="minorEastAsia" w:eastAsiaTheme="minorEastAsia" w:cstheme="minorEastAsia"/>
          <w:bCs/>
          <w:szCs w:val="21"/>
        </w:rPr>
        <w:t>七、</w:t>
      </w:r>
      <w:r>
        <w:rPr>
          <w:rFonts w:hint="eastAsia" w:asciiTheme="minorEastAsia" w:hAnsiTheme="minorEastAsia" w:eastAsiaTheme="minorEastAsia" w:cstheme="minorEastAsia"/>
          <w:szCs w:val="21"/>
        </w:rPr>
        <w:t>报价一览表及报价文件》中提供相应数据。</w:t>
      </w:r>
    </w:p>
    <w:p w14:paraId="434C4ED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(1)符合</w:t>
      </w:r>
      <w:r>
        <w:rPr>
          <w:rFonts w:hint="eastAsia" w:asciiTheme="minorEastAsia" w:hAnsiTheme="minorEastAsia" w:eastAsiaTheme="minorEastAsia" w:cstheme="minorEastAsia"/>
          <w:szCs w:val="21"/>
        </w:rPr>
        <w:t>政府采购强制采购政策的(《节能产品政府采购清单》成交记★符号节能产品及其他强制采购产品)；</w:t>
      </w:r>
    </w:p>
    <w:p w14:paraId="7126524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(2)符合</w:t>
      </w:r>
      <w:r>
        <w:rPr>
          <w:rFonts w:hint="eastAsia" w:asciiTheme="minorEastAsia" w:hAnsiTheme="minorEastAsia" w:eastAsiaTheme="minorEastAsia" w:cstheme="minorEastAsia"/>
          <w:szCs w:val="21"/>
        </w:rPr>
        <w:t>政府采购优先采购政策的(《节能产品政府采购清单》中非标记★符号节能产品，《环境标志产品政府采购清单》中环境标志</w:t>
      </w:r>
      <w:r>
        <w:rPr>
          <w:rFonts w:hint="eastAsia" w:asciiTheme="minorEastAsia" w:hAnsiTheme="minorEastAsia" w:eastAsiaTheme="minorEastAsia" w:cstheme="minorEastAsia"/>
          <w:bCs/>
          <w:szCs w:val="21"/>
        </w:rPr>
        <w:t>产品</w:t>
      </w:r>
      <w:r>
        <w:rPr>
          <w:rFonts w:hint="eastAsia" w:asciiTheme="minorEastAsia" w:hAnsiTheme="minorEastAsia" w:eastAsiaTheme="minorEastAsia" w:cstheme="minorEastAsia"/>
          <w:szCs w:val="21"/>
        </w:rPr>
        <w:t>)。</w:t>
      </w:r>
    </w:p>
    <w:p w14:paraId="76EA18EA">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textAlignment w:val="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2、未按上述要求提供、</w:t>
      </w:r>
      <w:r>
        <w:rPr>
          <w:rFonts w:hint="eastAsia" w:asciiTheme="minorEastAsia" w:hAnsiTheme="minorEastAsia" w:eastAsiaTheme="minorEastAsia" w:cstheme="minorEastAsia"/>
          <w:szCs w:val="21"/>
        </w:rPr>
        <w:t>填写</w:t>
      </w:r>
      <w:r>
        <w:rPr>
          <w:rFonts w:hint="eastAsia" w:asciiTheme="minorEastAsia" w:hAnsiTheme="minorEastAsia" w:eastAsiaTheme="minorEastAsia" w:cstheme="minorEastAsia"/>
          <w:bCs/>
          <w:szCs w:val="21"/>
        </w:rPr>
        <w:t>的，评审时不予以考虑。</w:t>
      </w:r>
    </w:p>
    <w:p w14:paraId="719AFF98">
      <w:pPr>
        <w:adjustRightInd w:val="0"/>
        <w:snapToGrid w:val="0"/>
        <w:spacing w:line="360" w:lineRule="auto"/>
        <w:ind w:left="440" w:hanging="440"/>
        <w:jc w:val="center"/>
        <w:rPr>
          <w:rFonts w:ascii="黑体" w:hAnsi="黑体" w:eastAsia="黑体"/>
          <w:b/>
          <w:spacing w:val="6"/>
          <w:sz w:val="28"/>
          <w:szCs w:val="28"/>
        </w:rPr>
      </w:pPr>
    </w:p>
    <w:p w14:paraId="52C87730">
      <w:pPr>
        <w:adjustRightInd w:val="0"/>
        <w:snapToGrid w:val="0"/>
        <w:spacing w:line="360" w:lineRule="auto"/>
        <w:ind w:left="440" w:hanging="440"/>
        <w:jc w:val="center"/>
        <w:rPr>
          <w:rFonts w:ascii="黑体" w:hAnsi="黑体" w:eastAsia="黑体"/>
          <w:b/>
          <w:spacing w:val="6"/>
          <w:sz w:val="28"/>
          <w:szCs w:val="28"/>
        </w:rPr>
      </w:pPr>
    </w:p>
    <w:p w14:paraId="13183EF4">
      <w:pPr>
        <w:adjustRightInd w:val="0"/>
        <w:snapToGrid w:val="0"/>
        <w:spacing w:line="360" w:lineRule="auto"/>
        <w:ind w:left="440" w:hanging="440"/>
        <w:jc w:val="center"/>
        <w:rPr>
          <w:rFonts w:ascii="黑体" w:hAnsi="黑体" w:eastAsia="黑体"/>
          <w:b/>
          <w:spacing w:val="6"/>
          <w:sz w:val="28"/>
          <w:szCs w:val="28"/>
        </w:rPr>
      </w:pPr>
      <w:r>
        <w:rPr>
          <w:rFonts w:hint="eastAsia" w:ascii="宋体" w:hAnsi="宋体" w:eastAsia="宋体" w:cs="宋体"/>
          <w:b/>
          <w:spacing w:val="6"/>
          <w:sz w:val="28"/>
          <w:szCs w:val="28"/>
        </w:rPr>
        <w:t>残疾人福利性单位声明函</w:t>
      </w:r>
    </w:p>
    <w:p w14:paraId="7D11CF6C">
      <w:pPr>
        <w:adjustRightInd w:val="0"/>
        <w:snapToGrid w:val="0"/>
        <w:spacing w:line="360" w:lineRule="auto"/>
        <w:ind w:left="334" w:hanging="334"/>
        <w:jc w:val="center"/>
        <w:rPr>
          <w:rFonts w:ascii="宋体" w:hAnsi="宋体"/>
          <w:b/>
          <w:spacing w:val="6"/>
          <w:szCs w:val="21"/>
        </w:rPr>
      </w:pPr>
      <w:r>
        <w:rPr>
          <w:rFonts w:hint="eastAsia" w:ascii="宋体" w:hAnsi="宋体"/>
          <w:b/>
          <w:spacing w:val="6"/>
          <w:szCs w:val="21"/>
        </w:rPr>
        <w:t>(不属于残疾人福利性单位的无需填写)</w:t>
      </w:r>
    </w:p>
    <w:p w14:paraId="41DB5B76">
      <w:pPr>
        <w:adjustRightInd w:val="0"/>
        <w:snapToGrid w:val="0"/>
        <w:spacing w:line="360" w:lineRule="auto"/>
        <w:ind w:firstLine="444" w:firstLineChars="200"/>
        <w:rPr>
          <w:rFonts w:ascii="宋体" w:hAnsi="宋体"/>
          <w:spacing w:val="6"/>
          <w:szCs w:val="21"/>
        </w:rPr>
      </w:pPr>
    </w:p>
    <w:p w14:paraId="48B94028">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本单位郑重声明，根据《财政部 民政部 中国残疾人联合会关于促进残疾人就业招标采购政策的通知》（财库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w:t>
      </w:r>
      <w:r>
        <w:rPr>
          <w:rFonts w:hint="eastAsia" w:ascii="宋体" w:hAnsi="宋体"/>
          <w:spacing w:val="6"/>
          <w:szCs w:val="21"/>
          <w:u w:val="single"/>
          <w:lang w:val="en-US" w:eastAsia="zh-CN"/>
        </w:rPr>
        <w:t xml:space="preserve">          </w:t>
      </w:r>
      <w:r>
        <w:rPr>
          <w:rFonts w:hint="eastAsia" w:ascii="宋体" w:hAnsi="宋体"/>
          <w:spacing w:val="6"/>
          <w:szCs w:val="21"/>
        </w:rPr>
        <w:t>单位的</w:t>
      </w:r>
      <w:r>
        <w:rPr>
          <w:rFonts w:hint="eastAsia" w:ascii="宋体" w:hAnsi="宋体"/>
          <w:spacing w:val="6"/>
          <w:szCs w:val="21"/>
          <w:u w:val="single"/>
          <w:lang w:val="en-US" w:eastAsia="zh-CN"/>
        </w:rPr>
        <w:t xml:space="preserve">          </w:t>
      </w:r>
      <w:r>
        <w:rPr>
          <w:rFonts w:hint="eastAsia" w:ascii="宋体" w:hAnsi="宋体"/>
          <w:spacing w:val="6"/>
          <w:szCs w:val="21"/>
        </w:rPr>
        <w:t>项目采购活动提供本单位制造的货物（由本单位承担工程/提供服务），或者提供其他残疾人福利性单位制造的货物（不包括使用非残疾人福利性单位注册商标的货物）。</w:t>
      </w:r>
    </w:p>
    <w:p w14:paraId="6DABD6F4">
      <w:pPr>
        <w:adjustRightInd w:val="0"/>
        <w:snapToGrid w:val="0"/>
        <w:spacing w:line="360" w:lineRule="auto"/>
        <w:ind w:firstLine="444" w:firstLineChars="200"/>
        <w:rPr>
          <w:rFonts w:ascii="宋体" w:hAnsi="宋体"/>
          <w:spacing w:val="6"/>
          <w:szCs w:val="21"/>
        </w:rPr>
      </w:pPr>
      <w:r>
        <w:rPr>
          <w:rFonts w:hint="eastAsia" w:ascii="宋体" w:hAnsi="宋体"/>
          <w:spacing w:val="6"/>
          <w:szCs w:val="21"/>
        </w:rPr>
        <w:t>本单位对上述声明的真实性负责。如有虚假，将依法承担相应责任。</w:t>
      </w:r>
    </w:p>
    <w:p w14:paraId="799A68C1">
      <w:pPr>
        <w:adjustRightInd w:val="0"/>
        <w:snapToGrid w:val="0"/>
        <w:spacing w:line="360" w:lineRule="auto"/>
        <w:ind w:firstLine="444" w:firstLineChars="200"/>
        <w:rPr>
          <w:rFonts w:ascii="宋体" w:hAnsi="宋体"/>
          <w:spacing w:val="6"/>
          <w:szCs w:val="21"/>
        </w:rPr>
      </w:pPr>
    </w:p>
    <w:p w14:paraId="2CD79F05">
      <w:pPr>
        <w:adjustRightInd w:val="0"/>
        <w:snapToGrid w:val="0"/>
        <w:spacing w:line="360" w:lineRule="auto"/>
        <w:ind w:firstLine="444" w:firstLineChars="200"/>
        <w:rPr>
          <w:rFonts w:ascii="宋体" w:hAnsi="宋体"/>
          <w:spacing w:val="6"/>
          <w:szCs w:val="21"/>
        </w:rPr>
      </w:pPr>
    </w:p>
    <w:p w14:paraId="0366DCF0">
      <w:pPr>
        <w:tabs>
          <w:tab w:val="left" w:pos="4860"/>
        </w:tabs>
        <w:adjustRightInd w:val="0"/>
        <w:snapToGrid w:val="0"/>
        <w:spacing w:line="360" w:lineRule="auto"/>
        <w:ind w:leftChars="2000" w:right="1560"/>
        <w:jc w:val="both"/>
        <w:rPr>
          <w:rFonts w:ascii="宋体" w:hAnsi="宋体"/>
          <w:spacing w:val="6"/>
          <w:szCs w:val="21"/>
        </w:rPr>
      </w:pPr>
      <w:r>
        <w:rPr>
          <w:rFonts w:hint="eastAsia" w:ascii="宋体" w:hAnsi="宋体"/>
          <w:spacing w:val="6"/>
          <w:szCs w:val="21"/>
        </w:rPr>
        <w:t>单位名称（盖章）：</w:t>
      </w:r>
    </w:p>
    <w:p w14:paraId="02FC138A">
      <w:pPr>
        <w:pStyle w:val="2"/>
        <w:spacing w:after="96"/>
        <w:ind w:left="4533" w:leftChars="2000" w:hanging="333"/>
        <w:rPr>
          <w:rFonts w:ascii="宋体" w:hAnsi="宋体" w:cs="宋体"/>
        </w:rPr>
      </w:pPr>
      <w:r>
        <w:rPr>
          <w:rFonts w:hint="eastAsia" w:ascii="宋体" w:hAnsi="宋体"/>
          <w:spacing w:val="6"/>
          <w:szCs w:val="21"/>
        </w:rPr>
        <w:t>日  期：</w:t>
      </w:r>
    </w:p>
    <w:p w14:paraId="291603AB">
      <w:pPr>
        <w:rPr>
          <w:rFonts w:hint="eastAsia" w:ascii="黑体" w:hAnsi="宋体"/>
          <w:b/>
          <w:sz w:val="28"/>
          <w:szCs w:val="28"/>
        </w:rPr>
      </w:pPr>
      <w:r>
        <w:rPr>
          <w:rFonts w:hint="eastAsia" w:ascii="黑体" w:hAnsi="宋体"/>
          <w:b/>
          <w:sz w:val="28"/>
          <w:szCs w:val="28"/>
        </w:rPr>
        <w:br w:type="page"/>
      </w:r>
    </w:p>
    <w:p w14:paraId="41CEEB75">
      <w:pPr>
        <w:adjustRightInd w:val="0"/>
        <w:snapToGrid w:val="0"/>
        <w:spacing w:line="360" w:lineRule="auto"/>
        <w:ind w:left="422" w:hanging="422"/>
        <w:jc w:val="center"/>
        <w:rPr>
          <w:rFonts w:ascii="黑体" w:hAnsi="宋体"/>
          <w:b/>
          <w:sz w:val="28"/>
          <w:szCs w:val="28"/>
        </w:rPr>
      </w:pPr>
      <w:r>
        <w:rPr>
          <w:rFonts w:hint="eastAsia" w:ascii="黑体" w:hAnsi="宋体"/>
          <w:b/>
          <w:sz w:val="28"/>
          <w:szCs w:val="28"/>
        </w:rPr>
        <w:t>监狱企业证明资料</w:t>
      </w:r>
    </w:p>
    <w:p w14:paraId="07B02DB3">
      <w:pPr>
        <w:adjustRightInd w:val="0"/>
        <w:snapToGrid w:val="0"/>
        <w:spacing w:line="360" w:lineRule="auto"/>
        <w:ind w:left="334" w:hanging="334"/>
        <w:jc w:val="center"/>
        <w:rPr>
          <w:rFonts w:ascii="宋体" w:hAnsi="宋体"/>
          <w:b/>
          <w:spacing w:val="6"/>
          <w:szCs w:val="21"/>
        </w:rPr>
      </w:pPr>
      <w:r>
        <w:rPr>
          <w:rFonts w:hint="eastAsia" w:ascii="宋体" w:hAnsi="宋体"/>
          <w:b/>
          <w:spacing w:val="6"/>
          <w:szCs w:val="21"/>
        </w:rPr>
        <w:t>(不属于监狱企业的无需提供)</w:t>
      </w:r>
    </w:p>
    <w:p w14:paraId="00CA7E51">
      <w:pPr>
        <w:adjustRightInd w:val="0"/>
        <w:snapToGrid w:val="0"/>
        <w:spacing w:before="50" w:line="360" w:lineRule="auto"/>
        <w:rPr>
          <w:rFonts w:hint="eastAsia" w:ascii="宋体" w:hAnsi="宋体" w:cs="宋体"/>
          <w:bCs/>
          <w:spacing w:val="6"/>
          <w:kern w:val="0"/>
          <w:szCs w:val="21"/>
        </w:rPr>
      </w:pPr>
    </w:p>
    <w:p w14:paraId="40A62EE8">
      <w:pPr>
        <w:adjustRightInd w:val="0"/>
        <w:snapToGrid w:val="0"/>
        <w:spacing w:before="50" w:line="360" w:lineRule="auto"/>
        <w:rPr>
          <w:rFonts w:ascii="宋体" w:hAnsi="宋体"/>
          <w:szCs w:val="21"/>
        </w:rPr>
      </w:pPr>
      <w:r>
        <w:rPr>
          <w:rFonts w:hint="eastAsia" w:ascii="宋体" w:hAnsi="宋体" w:cs="宋体"/>
          <w:bCs/>
          <w:spacing w:val="6"/>
          <w:kern w:val="0"/>
          <w:szCs w:val="21"/>
        </w:rPr>
        <w:t>备注：</w:t>
      </w:r>
      <w:r>
        <w:rPr>
          <w:rFonts w:hint="eastAsia" w:ascii="宋体" w:hAnsi="宋体"/>
          <w:szCs w:val="21"/>
        </w:rPr>
        <w:t>按</w:t>
      </w:r>
      <w:r>
        <w:rPr>
          <w:rFonts w:hint="eastAsia" w:ascii="宋体" w:hAnsi="宋体"/>
          <w:spacing w:val="6"/>
          <w:szCs w:val="21"/>
        </w:rPr>
        <w:t>《</w:t>
      </w:r>
      <w:r>
        <w:rPr>
          <w:rFonts w:hint="eastAsia" w:ascii="宋体" w:hAnsi="宋体"/>
          <w:szCs w:val="21"/>
        </w:rPr>
        <w:t>财政部司法部关于招标采购支持监狱企业发展有关问题的通知</w:t>
      </w:r>
      <w:r>
        <w:rPr>
          <w:rFonts w:hint="eastAsia" w:ascii="宋体" w:hAnsi="宋体"/>
          <w:spacing w:val="6"/>
          <w:szCs w:val="21"/>
        </w:rPr>
        <w:t>》</w:t>
      </w:r>
      <w:r>
        <w:rPr>
          <w:rFonts w:hint="eastAsia" w:ascii="宋体" w:hAnsi="宋体"/>
          <w:szCs w:val="21"/>
        </w:rPr>
        <w:t>(财库〔2014〕68号)文件规定提供证明文件（复印件）。</w:t>
      </w:r>
    </w:p>
    <w:p w14:paraId="5BB1A0AF">
      <w:pPr>
        <w:ind w:left="333" w:hanging="333"/>
        <w:rPr>
          <w:rFonts w:hint="eastAsia" w:ascii="黑体" w:hAnsi="华文中宋" w:cs="宋体"/>
          <w:spacing w:val="6"/>
          <w:kern w:val="0"/>
          <w:szCs w:val="21"/>
        </w:rPr>
      </w:pPr>
      <w:bookmarkStart w:id="161" w:name="_Toc20651270"/>
      <w:r>
        <w:rPr>
          <w:rFonts w:hint="eastAsia" w:ascii="黑体" w:hAnsi="华文中宋" w:cs="宋体"/>
          <w:spacing w:val="6"/>
          <w:kern w:val="0"/>
          <w:szCs w:val="21"/>
        </w:rPr>
        <w:br w:type="page"/>
      </w:r>
      <w:bookmarkEnd w:id="161"/>
    </w:p>
    <w:p w14:paraId="6F2BFA01">
      <w:pPr>
        <w:pStyle w:val="4"/>
        <w:bidi w:val="0"/>
        <w:jc w:val="center"/>
      </w:pPr>
      <w:bookmarkStart w:id="162" w:name="_Toc13917"/>
      <w:r>
        <w:rPr>
          <w:rFonts w:hint="eastAsia"/>
        </w:rPr>
        <w:t>七、报价一览表及报价文件</w:t>
      </w:r>
      <w:bookmarkEnd w:id="162"/>
    </w:p>
    <w:p w14:paraId="5BC407FE">
      <w:pPr>
        <w:adjustRightInd w:val="0"/>
        <w:snapToGrid w:val="0"/>
        <w:ind w:left="360" w:hanging="360"/>
        <w:rPr>
          <w:rFonts w:ascii="宋体" w:hAnsi="宋体"/>
          <w:szCs w:val="21"/>
        </w:rPr>
      </w:pPr>
      <w:r>
        <w:rPr>
          <w:rFonts w:hint="eastAsia" w:ascii="宋体" w:hAnsi="宋体"/>
          <w:sz w:val="24"/>
        </w:rPr>
        <w:t>附件10  报价一览表</w:t>
      </w:r>
    </w:p>
    <w:p w14:paraId="114D8A37">
      <w:pPr>
        <w:adjustRightInd w:val="0"/>
        <w:snapToGrid w:val="0"/>
        <w:spacing w:line="360" w:lineRule="auto"/>
        <w:ind w:hanging="315"/>
        <w:rPr>
          <w:rFonts w:ascii="宋体" w:hAnsi="宋体"/>
          <w:szCs w:val="21"/>
        </w:rPr>
      </w:pPr>
    </w:p>
    <w:tbl>
      <w:tblPr>
        <w:tblStyle w:val="46"/>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3201"/>
        <w:gridCol w:w="1575"/>
        <w:gridCol w:w="2520"/>
      </w:tblGrid>
      <w:tr w14:paraId="199464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1524" w:type="dxa"/>
            <w:tcBorders>
              <w:top w:val="double" w:color="auto" w:sz="4" w:space="0"/>
              <w:left w:val="double" w:color="auto" w:sz="4" w:space="0"/>
              <w:bottom w:val="single" w:color="auto" w:sz="6" w:space="0"/>
              <w:right w:val="single" w:color="auto" w:sz="6" w:space="0"/>
            </w:tcBorders>
            <w:vAlign w:val="center"/>
          </w:tcPr>
          <w:p w14:paraId="7B0ED86A">
            <w:pPr>
              <w:spacing w:line="420" w:lineRule="exact"/>
              <w:jc w:val="center"/>
              <w:rPr>
                <w:rFonts w:ascii="宋体" w:hAnsi="宋体"/>
                <w:szCs w:val="21"/>
              </w:rPr>
            </w:pPr>
            <w:r>
              <w:rPr>
                <w:rFonts w:hint="eastAsia" w:ascii="宋体" w:hAnsi="宋体"/>
                <w:szCs w:val="21"/>
              </w:rPr>
              <w:t>项目名称</w:t>
            </w:r>
          </w:p>
        </w:tc>
        <w:tc>
          <w:tcPr>
            <w:tcW w:w="3201" w:type="dxa"/>
            <w:tcBorders>
              <w:top w:val="double" w:color="auto" w:sz="4" w:space="0"/>
              <w:left w:val="single" w:color="auto" w:sz="6" w:space="0"/>
              <w:bottom w:val="single" w:color="auto" w:sz="6" w:space="0"/>
              <w:right w:val="single" w:color="auto" w:sz="6" w:space="0"/>
            </w:tcBorders>
            <w:vAlign w:val="center"/>
          </w:tcPr>
          <w:p w14:paraId="4F51F86C">
            <w:pPr>
              <w:spacing w:line="420" w:lineRule="exact"/>
              <w:ind w:hanging="315"/>
              <w:jc w:val="center"/>
              <w:rPr>
                <w:rFonts w:ascii="宋体" w:hAnsi="宋体"/>
                <w:szCs w:val="21"/>
              </w:rPr>
            </w:pPr>
          </w:p>
        </w:tc>
        <w:tc>
          <w:tcPr>
            <w:tcW w:w="1575" w:type="dxa"/>
            <w:tcBorders>
              <w:top w:val="double" w:color="auto" w:sz="4" w:space="0"/>
              <w:left w:val="single" w:color="auto" w:sz="6" w:space="0"/>
              <w:right w:val="single" w:color="auto" w:sz="6" w:space="0"/>
            </w:tcBorders>
            <w:vAlign w:val="center"/>
          </w:tcPr>
          <w:p w14:paraId="7F1CF001">
            <w:pPr>
              <w:spacing w:line="420" w:lineRule="exact"/>
              <w:jc w:val="center"/>
              <w:rPr>
                <w:rFonts w:ascii="宋体" w:hAnsi="宋体"/>
                <w:szCs w:val="21"/>
              </w:rPr>
            </w:pPr>
            <w:r>
              <w:rPr>
                <w:rFonts w:hint="eastAsia" w:ascii="宋体" w:hAnsi="宋体"/>
                <w:szCs w:val="21"/>
              </w:rPr>
              <w:t>采购代理编号</w:t>
            </w:r>
          </w:p>
        </w:tc>
        <w:tc>
          <w:tcPr>
            <w:tcW w:w="2520" w:type="dxa"/>
            <w:tcBorders>
              <w:top w:val="double" w:color="auto" w:sz="4" w:space="0"/>
              <w:left w:val="single" w:color="auto" w:sz="6" w:space="0"/>
              <w:bottom w:val="single" w:color="auto" w:sz="6" w:space="0"/>
              <w:right w:val="double" w:color="auto" w:sz="4" w:space="0"/>
            </w:tcBorders>
            <w:vAlign w:val="center"/>
          </w:tcPr>
          <w:p w14:paraId="5B2E08BF">
            <w:pPr>
              <w:spacing w:line="420" w:lineRule="exact"/>
              <w:ind w:hanging="315"/>
              <w:jc w:val="center"/>
              <w:rPr>
                <w:rFonts w:ascii="宋体" w:hAnsi="宋体"/>
                <w:szCs w:val="21"/>
              </w:rPr>
            </w:pPr>
          </w:p>
        </w:tc>
      </w:tr>
      <w:tr w14:paraId="2FB9B8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524" w:type="dxa"/>
            <w:tcBorders>
              <w:top w:val="single" w:color="auto" w:sz="6" w:space="0"/>
              <w:left w:val="double" w:color="auto" w:sz="4" w:space="0"/>
              <w:bottom w:val="single" w:color="auto" w:sz="6" w:space="0"/>
              <w:right w:val="single" w:color="auto" w:sz="6" w:space="0"/>
            </w:tcBorders>
            <w:vAlign w:val="center"/>
          </w:tcPr>
          <w:p w14:paraId="62AC05A9">
            <w:pPr>
              <w:spacing w:line="420" w:lineRule="exact"/>
              <w:jc w:val="center"/>
              <w:rPr>
                <w:rFonts w:ascii="宋体" w:hAnsi="宋体"/>
                <w:szCs w:val="21"/>
              </w:rPr>
            </w:pPr>
            <w:r>
              <w:rPr>
                <w:rFonts w:hint="eastAsia" w:ascii="宋体" w:hAnsi="宋体"/>
                <w:szCs w:val="21"/>
              </w:rPr>
              <w:t>总报价</w:t>
            </w:r>
          </w:p>
        </w:tc>
        <w:tc>
          <w:tcPr>
            <w:tcW w:w="7296" w:type="dxa"/>
            <w:gridSpan w:val="3"/>
            <w:tcBorders>
              <w:top w:val="single" w:color="auto" w:sz="6" w:space="0"/>
              <w:left w:val="single" w:color="auto" w:sz="6" w:space="0"/>
              <w:bottom w:val="single" w:color="auto" w:sz="6" w:space="0"/>
              <w:right w:val="double" w:color="auto" w:sz="4" w:space="0"/>
            </w:tcBorders>
            <w:vAlign w:val="center"/>
          </w:tcPr>
          <w:p w14:paraId="6E29A4BA">
            <w:pPr>
              <w:bidi w:val="0"/>
              <w:jc w:val="center"/>
            </w:pPr>
            <w:r>
              <w:rPr>
                <w:rFonts w:hint="eastAsia"/>
              </w:rPr>
              <w:t>大写：                                       元人民币整</w:t>
            </w:r>
          </w:p>
          <w:p w14:paraId="10622A19">
            <w:pPr>
              <w:bidi w:val="0"/>
              <w:jc w:val="center"/>
            </w:pPr>
          </w:p>
          <w:p w14:paraId="22EC01EC">
            <w:pPr>
              <w:bidi w:val="0"/>
              <w:jc w:val="center"/>
            </w:pPr>
            <w:r>
              <w:rPr>
                <w:rFonts w:hint="eastAsia"/>
              </w:rPr>
              <w:t>小写：                                       元人民币整</w:t>
            </w:r>
          </w:p>
        </w:tc>
      </w:tr>
      <w:tr w14:paraId="462E75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1524" w:type="dxa"/>
            <w:tcBorders>
              <w:top w:val="single" w:color="auto" w:sz="6" w:space="0"/>
              <w:left w:val="double" w:color="auto" w:sz="4" w:space="0"/>
              <w:bottom w:val="single" w:color="auto" w:sz="6" w:space="0"/>
              <w:right w:val="single" w:color="auto" w:sz="6" w:space="0"/>
            </w:tcBorders>
            <w:vAlign w:val="center"/>
          </w:tcPr>
          <w:p w14:paraId="554EA3E5">
            <w:pPr>
              <w:spacing w:line="420" w:lineRule="exact"/>
              <w:jc w:val="center"/>
              <w:rPr>
                <w:rFonts w:ascii="宋体" w:hAnsi="宋体"/>
                <w:szCs w:val="21"/>
              </w:rPr>
            </w:pPr>
            <w:r>
              <w:rPr>
                <w:rFonts w:hint="eastAsia" w:ascii="宋体" w:hAnsi="宋体"/>
                <w:szCs w:val="21"/>
              </w:rPr>
              <w:t>工期</w:t>
            </w:r>
          </w:p>
        </w:tc>
        <w:tc>
          <w:tcPr>
            <w:tcW w:w="7296" w:type="dxa"/>
            <w:gridSpan w:val="3"/>
            <w:tcBorders>
              <w:top w:val="single" w:color="auto" w:sz="6" w:space="0"/>
              <w:left w:val="single" w:color="auto" w:sz="6" w:space="0"/>
              <w:bottom w:val="single" w:color="auto" w:sz="6" w:space="0"/>
              <w:right w:val="double" w:color="auto" w:sz="4" w:space="0"/>
            </w:tcBorders>
            <w:vAlign w:val="center"/>
          </w:tcPr>
          <w:p w14:paraId="2F0DA8B6">
            <w:pPr>
              <w:spacing w:line="420" w:lineRule="exact"/>
              <w:ind w:hanging="315"/>
              <w:jc w:val="center"/>
              <w:rPr>
                <w:rFonts w:ascii="宋体" w:hAnsi="宋体"/>
                <w:szCs w:val="21"/>
              </w:rPr>
            </w:pPr>
          </w:p>
        </w:tc>
      </w:tr>
      <w:tr w14:paraId="6569DC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1524" w:type="dxa"/>
            <w:tcBorders>
              <w:top w:val="single" w:color="auto" w:sz="6" w:space="0"/>
              <w:left w:val="double" w:color="auto" w:sz="4" w:space="0"/>
              <w:bottom w:val="single" w:color="auto" w:sz="6" w:space="0"/>
              <w:right w:val="single" w:color="auto" w:sz="6" w:space="0"/>
            </w:tcBorders>
            <w:vAlign w:val="center"/>
          </w:tcPr>
          <w:p w14:paraId="2E782057">
            <w:pPr>
              <w:spacing w:line="420" w:lineRule="exact"/>
              <w:jc w:val="center"/>
              <w:rPr>
                <w:rFonts w:ascii="宋体" w:hAnsi="宋体"/>
                <w:szCs w:val="21"/>
              </w:rPr>
            </w:pPr>
            <w:r>
              <w:rPr>
                <w:rFonts w:hint="eastAsia" w:ascii="宋体" w:hAnsi="宋体"/>
                <w:szCs w:val="21"/>
              </w:rPr>
              <w:t>保修质量</w:t>
            </w:r>
          </w:p>
        </w:tc>
        <w:tc>
          <w:tcPr>
            <w:tcW w:w="7296" w:type="dxa"/>
            <w:gridSpan w:val="3"/>
            <w:tcBorders>
              <w:top w:val="single" w:color="auto" w:sz="6" w:space="0"/>
              <w:left w:val="single" w:color="auto" w:sz="6" w:space="0"/>
              <w:bottom w:val="single" w:color="auto" w:sz="6" w:space="0"/>
              <w:right w:val="double" w:color="auto" w:sz="4" w:space="0"/>
            </w:tcBorders>
            <w:vAlign w:val="center"/>
          </w:tcPr>
          <w:p w14:paraId="4638A645">
            <w:pPr>
              <w:spacing w:line="420" w:lineRule="exact"/>
              <w:ind w:hanging="315"/>
              <w:jc w:val="center"/>
              <w:rPr>
                <w:rFonts w:ascii="宋体" w:hAnsi="宋体"/>
                <w:szCs w:val="21"/>
              </w:rPr>
            </w:pPr>
          </w:p>
        </w:tc>
      </w:tr>
      <w:tr w14:paraId="7BA0A1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1524" w:type="dxa"/>
            <w:tcBorders>
              <w:top w:val="single" w:color="auto" w:sz="6" w:space="0"/>
              <w:left w:val="double" w:color="auto" w:sz="4" w:space="0"/>
              <w:right w:val="single" w:color="auto" w:sz="6" w:space="0"/>
            </w:tcBorders>
            <w:vAlign w:val="center"/>
          </w:tcPr>
          <w:p w14:paraId="361102DE">
            <w:pPr>
              <w:spacing w:line="420" w:lineRule="exact"/>
              <w:jc w:val="center"/>
              <w:rPr>
                <w:rFonts w:ascii="宋体" w:hAnsi="宋体"/>
                <w:szCs w:val="21"/>
              </w:rPr>
            </w:pPr>
            <w:r>
              <w:rPr>
                <w:rFonts w:hint="eastAsia" w:ascii="宋体" w:hAnsi="宋体"/>
                <w:szCs w:val="21"/>
              </w:rPr>
              <w:t>项目负责人</w:t>
            </w:r>
          </w:p>
        </w:tc>
        <w:tc>
          <w:tcPr>
            <w:tcW w:w="7296" w:type="dxa"/>
            <w:gridSpan w:val="3"/>
            <w:tcBorders>
              <w:top w:val="single" w:color="auto" w:sz="6" w:space="0"/>
              <w:left w:val="single" w:color="auto" w:sz="6" w:space="0"/>
              <w:bottom w:val="single" w:color="auto" w:sz="6" w:space="0"/>
              <w:right w:val="double" w:color="auto" w:sz="4" w:space="0"/>
            </w:tcBorders>
            <w:vAlign w:val="center"/>
          </w:tcPr>
          <w:p w14:paraId="302B71A0">
            <w:pPr>
              <w:ind w:hanging="315"/>
              <w:jc w:val="center"/>
              <w:rPr>
                <w:rFonts w:ascii="宋体" w:hAnsi="宋体"/>
                <w:szCs w:val="21"/>
              </w:rPr>
            </w:pPr>
          </w:p>
        </w:tc>
      </w:tr>
      <w:tr w14:paraId="14D083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24" w:type="dxa"/>
            <w:tcBorders>
              <w:top w:val="single" w:color="auto" w:sz="6" w:space="0"/>
              <w:left w:val="double" w:color="auto" w:sz="4" w:space="0"/>
              <w:bottom w:val="double" w:color="auto" w:sz="4" w:space="0"/>
              <w:right w:val="single" w:color="auto" w:sz="6" w:space="0"/>
            </w:tcBorders>
            <w:vAlign w:val="center"/>
          </w:tcPr>
          <w:p w14:paraId="57860006">
            <w:pPr>
              <w:spacing w:line="420" w:lineRule="exact"/>
              <w:jc w:val="center"/>
              <w:rPr>
                <w:rFonts w:ascii="宋体" w:hAnsi="宋体"/>
                <w:szCs w:val="21"/>
              </w:rPr>
            </w:pPr>
            <w:r>
              <w:rPr>
                <w:rFonts w:ascii="宋体" w:hAnsi="宋体"/>
                <w:szCs w:val="21"/>
              </w:rPr>
              <w:t>备  注</w:t>
            </w:r>
          </w:p>
        </w:tc>
        <w:tc>
          <w:tcPr>
            <w:tcW w:w="7296" w:type="dxa"/>
            <w:gridSpan w:val="3"/>
            <w:tcBorders>
              <w:top w:val="single" w:color="auto" w:sz="6" w:space="0"/>
              <w:left w:val="single" w:color="auto" w:sz="6" w:space="0"/>
              <w:bottom w:val="double" w:color="auto" w:sz="4" w:space="0"/>
              <w:right w:val="double" w:color="auto" w:sz="4" w:space="0"/>
            </w:tcBorders>
            <w:vAlign w:val="center"/>
          </w:tcPr>
          <w:p w14:paraId="7208DFF0">
            <w:pPr>
              <w:spacing w:line="420" w:lineRule="exact"/>
              <w:ind w:hanging="315"/>
              <w:jc w:val="center"/>
              <w:rPr>
                <w:rFonts w:ascii="宋体" w:hAnsi="宋体"/>
                <w:szCs w:val="21"/>
              </w:rPr>
            </w:pPr>
          </w:p>
        </w:tc>
      </w:tr>
    </w:tbl>
    <w:p w14:paraId="48B88A12">
      <w:pPr>
        <w:adjustRightInd w:val="0"/>
        <w:snapToGrid w:val="0"/>
        <w:spacing w:line="360" w:lineRule="auto"/>
        <w:ind w:left="227" w:leftChars="-42" w:hanging="315"/>
        <w:rPr>
          <w:rFonts w:ascii="宋体" w:hAnsi="宋体"/>
          <w:szCs w:val="21"/>
        </w:rPr>
      </w:pPr>
    </w:p>
    <w:p w14:paraId="0C037205">
      <w:pPr>
        <w:adjustRightInd w:val="0"/>
        <w:snapToGrid w:val="0"/>
        <w:spacing w:line="360" w:lineRule="auto"/>
        <w:ind w:hanging="315"/>
        <w:rPr>
          <w:rFonts w:ascii="宋体" w:hAnsi="宋体"/>
          <w:szCs w:val="21"/>
        </w:rPr>
      </w:pPr>
    </w:p>
    <w:p w14:paraId="56CD13CE">
      <w:pPr>
        <w:adjustRightInd w:val="0"/>
        <w:snapToGrid w:val="0"/>
        <w:spacing w:line="360" w:lineRule="auto"/>
        <w:ind w:hanging="315"/>
        <w:rPr>
          <w:rFonts w:ascii="宋体" w:hAnsi="宋体"/>
          <w:szCs w:val="21"/>
        </w:rPr>
      </w:pPr>
    </w:p>
    <w:p w14:paraId="7E871086">
      <w:pPr>
        <w:keepNext w:val="0"/>
        <w:keepLines w:val="0"/>
        <w:pageBreakBefore w:val="0"/>
        <w:widowControl w:val="0"/>
        <w:kinsoku/>
        <w:wordWrap/>
        <w:overflowPunct/>
        <w:topLinePunct w:val="0"/>
        <w:autoSpaceDE/>
        <w:autoSpaceDN/>
        <w:bidi w:val="0"/>
        <w:adjustRightInd w:val="0"/>
        <w:snapToGrid w:val="0"/>
        <w:spacing w:line="360" w:lineRule="auto"/>
        <w:ind w:left="317" w:hanging="317"/>
        <w:textAlignment w:val="auto"/>
        <w:rPr>
          <w:rFonts w:ascii="宋体" w:hAnsi="宋体"/>
          <w:szCs w:val="21"/>
        </w:rPr>
      </w:pPr>
      <w:r>
        <w:rPr>
          <w:rFonts w:hint="eastAsia" w:ascii="宋体" w:hAnsi="宋体"/>
          <w:szCs w:val="21"/>
        </w:rPr>
        <w:t>供应商（盖单位章）：</w:t>
      </w:r>
    </w:p>
    <w:p w14:paraId="50F2A8AF">
      <w:pPr>
        <w:keepNext w:val="0"/>
        <w:keepLines w:val="0"/>
        <w:pageBreakBefore w:val="0"/>
        <w:widowControl w:val="0"/>
        <w:kinsoku/>
        <w:wordWrap/>
        <w:overflowPunct/>
        <w:topLinePunct w:val="0"/>
        <w:autoSpaceDE/>
        <w:autoSpaceDN/>
        <w:bidi w:val="0"/>
        <w:adjustRightInd w:val="0"/>
        <w:snapToGrid w:val="0"/>
        <w:spacing w:line="360" w:lineRule="auto"/>
        <w:ind w:left="317" w:hanging="317"/>
        <w:textAlignment w:val="auto"/>
        <w:rPr>
          <w:rFonts w:ascii="宋体" w:hAnsi="宋体"/>
          <w:szCs w:val="21"/>
        </w:rPr>
      </w:pPr>
    </w:p>
    <w:p w14:paraId="60D82223">
      <w:pPr>
        <w:keepNext w:val="0"/>
        <w:keepLines w:val="0"/>
        <w:pageBreakBefore w:val="0"/>
        <w:widowControl w:val="0"/>
        <w:kinsoku/>
        <w:wordWrap/>
        <w:overflowPunct/>
        <w:topLinePunct w:val="0"/>
        <w:autoSpaceDE/>
        <w:autoSpaceDN/>
        <w:bidi w:val="0"/>
        <w:adjustRightInd w:val="0"/>
        <w:snapToGrid w:val="0"/>
        <w:spacing w:line="360" w:lineRule="auto"/>
        <w:ind w:left="317" w:hanging="317"/>
        <w:textAlignment w:val="auto"/>
        <w:rPr>
          <w:rFonts w:ascii="宋体" w:hAnsi="宋体"/>
          <w:szCs w:val="21"/>
        </w:rPr>
      </w:pPr>
      <w:r>
        <w:rPr>
          <w:rFonts w:hint="eastAsia" w:ascii="宋体" w:hAnsi="宋体"/>
          <w:szCs w:val="21"/>
        </w:rPr>
        <w:t xml:space="preserve">法定代表人或其委托代理人签字：        </w:t>
      </w:r>
      <w:r>
        <w:rPr>
          <w:rFonts w:hint="eastAsia" w:ascii="宋体" w:hAnsi="宋体"/>
          <w:szCs w:val="21"/>
          <w:u w:val="single"/>
        </w:rPr>
        <w:t xml:space="preserve">      </w:t>
      </w:r>
    </w:p>
    <w:p w14:paraId="512A301D">
      <w:pPr>
        <w:keepNext w:val="0"/>
        <w:keepLines w:val="0"/>
        <w:pageBreakBefore w:val="0"/>
        <w:widowControl w:val="0"/>
        <w:kinsoku/>
        <w:wordWrap/>
        <w:overflowPunct/>
        <w:topLinePunct w:val="0"/>
        <w:autoSpaceDE/>
        <w:autoSpaceDN/>
        <w:bidi w:val="0"/>
        <w:adjustRightInd w:val="0"/>
        <w:snapToGrid w:val="0"/>
        <w:spacing w:line="360" w:lineRule="auto"/>
        <w:ind w:left="317" w:hanging="317"/>
        <w:textAlignment w:val="auto"/>
        <w:rPr>
          <w:rFonts w:ascii="宋体" w:hAnsi="宋体"/>
          <w:szCs w:val="21"/>
        </w:rPr>
      </w:pPr>
    </w:p>
    <w:p w14:paraId="77C0937C">
      <w:pPr>
        <w:keepNext w:val="0"/>
        <w:keepLines w:val="0"/>
        <w:pageBreakBefore w:val="0"/>
        <w:widowControl w:val="0"/>
        <w:kinsoku/>
        <w:wordWrap/>
        <w:overflowPunct/>
        <w:topLinePunct w:val="0"/>
        <w:autoSpaceDE/>
        <w:autoSpaceDN/>
        <w:bidi w:val="0"/>
        <w:adjustRightInd w:val="0"/>
        <w:snapToGrid w:val="0"/>
        <w:spacing w:line="360" w:lineRule="auto"/>
        <w:ind w:left="317" w:hanging="317"/>
        <w:textAlignment w:val="auto"/>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22420FE">
      <w:pPr>
        <w:keepNext w:val="0"/>
        <w:keepLines w:val="0"/>
        <w:pageBreakBefore w:val="0"/>
        <w:widowControl w:val="0"/>
        <w:kinsoku/>
        <w:wordWrap/>
        <w:overflowPunct/>
        <w:topLinePunct w:val="0"/>
        <w:autoSpaceDE/>
        <w:autoSpaceDN/>
        <w:bidi w:val="0"/>
        <w:adjustRightInd w:val="0"/>
        <w:snapToGrid w:val="0"/>
        <w:spacing w:line="360" w:lineRule="auto"/>
        <w:ind w:left="317" w:hanging="317"/>
        <w:textAlignment w:val="auto"/>
        <w:rPr>
          <w:rFonts w:ascii="宋体" w:hAnsi="宋体"/>
        </w:rPr>
      </w:pPr>
      <w:r>
        <w:rPr>
          <w:rFonts w:ascii="宋体" w:hAnsi="宋体"/>
        </w:rPr>
        <w:br w:type="page"/>
      </w:r>
    </w:p>
    <w:p w14:paraId="31B2F253">
      <w:pPr>
        <w:adjustRightInd w:val="0"/>
        <w:snapToGrid w:val="0"/>
        <w:spacing w:before="120" w:beforeLines="50"/>
        <w:ind w:left="360" w:hanging="360"/>
        <w:rPr>
          <w:rFonts w:asciiTheme="minorEastAsia" w:hAnsiTheme="minorEastAsia" w:eastAsiaTheme="minorEastAsia"/>
          <w:bCs/>
          <w:sz w:val="24"/>
        </w:rPr>
      </w:pPr>
      <w:r>
        <w:rPr>
          <w:rFonts w:hint="eastAsia" w:asciiTheme="minorEastAsia" w:hAnsiTheme="minorEastAsia" w:eastAsiaTheme="minorEastAsia"/>
          <w:bCs/>
          <w:sz w:val="24"/>
        </w:rPr>
        <w:t>附件11</w:t>
      </w:r>
    </w:p>
    <w:p w14:paraId="5E130AD5">
      <w:pPr>
        <w:adjustRightInd w:val="0"/>
        <w:snapToGrid w:val="0"/>
        <w:ind w:left="422" w:right="24" w:hanging="422"/>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分项价格表</w:t>
      </w:r>
    </w:p>
    <w:p w14:paraId="4BB17FA9">
      <w:pPr>
        <w:adjustRightInd w:val="0"/>
        <w:snapToGrid w:val="0"/>
        <w:ind w:hanging="315"/>
        <w:jc w:val="center"/>
        <w:rPr>
          <w:rFonts w:asciiTheme="minorEastAsia" w:hAnsiTheme="minorEastAsia" w:eastAsiaTheme="minorEastAsia"/>
          <w:szCs w:val="21"/>
        </w:rPr>
      </w:pPr>
    </w:p>
    <w:p w14:paraId="6D2441C7">
      <w:pPr>
        <w:adjustRightInd w:val="0"/>
        <w:snapToGrid w:val="0"/>
        <w:spacing w:line="360" w:lineRule="auto"/>
        <w:ind w:hanging="315"/>
        <w:jc w:val="center"/>
        <w:rPr>
          <w:rFonts w:asciiTheme="minorEastAsia" w:hAnsiTheme="minorEastAsia" w:eastAsiaTheme="minorEastAsia"/>
          <w:szCs w:val="21"/>
        </w:rPr>
      </w:pPr>
      <w:r>
        <w:rPr>
          <w:rFonts w:hint="eastAsia" w:asciiTheme="minorEastAsia" w:hAnsiTheme="minorEastAsia" w:eastAsiaTheme="minorEastAsia"/>
          <w:szCs w:val="21"/>
        </w:rPr>
        <w:t>按采购文件提供的清单报价。</w:t>
      </w:r>
    </w:p>
    <w:p w14:paraId="500AD5C8">
      <w:pPr>
        <w:spacing w:line="360" w:lineRule="auto"/>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按</w:t>
      </w:r>
      <w:r>
        <w:rPr>
          <w:rFonts w:hint="eastAsia" w:ascii="宋体" w:hAnsi="宋体"/>
          <w:szCs w:val="21"/>
          <w:u w:val="single"/>
        </w:rPr>
        <w:t>湘建价〔2020〕56号</w:t>
      </w:r>
      <w:r>
        <w:rPr>
          <w:rFonts w:hint="eastAsia" w:cs="宋体" w:asciiTheme="minorEastAsia" w:hAnsiTheme="minorEastAsia" w:eastAsiaTheme="minorEastAsia"/>
          <w:szCs w:val="21"/>
        </w:rPr>
        <w:t>文《湖南省建设工程计价办法》（以下简称“计价办法”）及其配套文件、 湘建价〔2016〕72号文《关于增值税条件下计费程序和计费标准的规定》、湘建价[2016]160号文《关于调整补充增值税条件下建设工程计价依据的通知》、湘建价[2016]134号文《关于取消建筑行业劳保基金与增加社会保险费有关事项的通知》规定，采用一般计税法。</w:t>
      </w:r>
    </w:p>
    <w:p w14:paraId="53DA6091">
      <w:pPr>
        <w:autoSpaceDE w:val="0"/>
        <w:autoSpaceDN w:val="0"/>
        <w:adjustRightInd w:val="0"/>
        <w:spacing w:line="360" w:lineRule="auto"/>
        <w:ind w:right="-23"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注：1）投标文件中提供的主材必须填写品牌及型号。</w:t>
      </w:r>
    </w:p>
    <w:p w14:paraId="655BD6E2">
      <w:pPr>
        <w:autoSpaceDE w:val="0"/>
        <w:autoSpaceDN w:val="0"/>
        <w:adjustRightInd w:val="0"/>
        <w:spacing w:line="360" w:lineRule="auto"/>
        <w:ind w:right="-23"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2）供应商委托他人编制投标报价文件的，应当委托具有相应资质的工程造价咨询机构编制并在投标文件中附有委托合同，其投标报价文件应当注明委托人和被委托人并加盖各自法人公章，同时由被委托人的造价员签字并加盖造价员执业专用章，签字盖章的造价员的注册单位应当与被委托人一致。未按本规定提供的投标报价文件无效。</w:t>
      </w:r>
    </w:p>
    <w:p w14:paraId="500B2B5E">
      <w:pPr>
        <w:pStyle w:val="64"/>
      </w:pPr>
    </w:p>
    <w:p w14:paraId="0ADFB068">
      <w:pPr>
        <w:adjustRightInd w:val="0"/>
        <w:snapToGrid w:val="0"/>
        <w:spacing w:line="360" w:lineRule="auto"/>
        <w:ind w:hanging="315"/>
        <w:rPr>
          <w:rFonts w:ascii="宋体" w:hAnsi="宋体"/>
          <w:szCs w:val="21"/>
        </w:rPr>
      </w:pPr>
    </w:p>
    <w:p w14:paraId="0D8DAC26">
      <w:pPr>
        <w:adjustRightInd w:val="0"/>
        <w:snapToGrid w:val="0"/>
        <w:spacing w:line="360" w:lineRule="auto"/>
        <w:ind w:hanging="315"/>
        <w:rPr>
          <w:rFonts w:ascii="宋体" w:hAnsi="宋体"/>
          <w:szCs w:val="21"/>
        </w:rPr>
      </w:pPr>
    </w:p>
    <w:p w14:paraId="11DA76FD">
      <w:pPr>
        <w:adjustRightInd w:val="0"/>
        <w:snapToGrid w:val="0"/>
        <w:spacing w:line="360" w:lineRule="auto"/>
        <w:ind w:hanging="315"/>
        <w:rPr>
          <w:rFonts w:ascii="宋体" w:hAnsi="宋体"/>
          <w:szCs w:val="21"/>
        </w:rPr>
      </w:pPr>
    </w:p>
    <w:p w14:paraId="1D3F0A70">
      <w:pPr>
        <w:adjustRightInd w:val="0"/>
        <w:snapToGrid w:val="0"/>
        <w:spacing w:line="360" w:lineRule="auto"/>
        <w:ind w:hanging="315"/>
        <w:rPr>
          <w:rFonts w:ascii="宋体" w:hAnsi="宋体"/>
          <w:szCs w:val="21"/>
        </w:rPr>
      </w:pPr>
    </w:p>
    <w:p w14:paraId="17F7528E">
      <w:pPr>
        <w:adjustRightInd w:val="0"/>
        <w:snapToGrid w:val="0"/>
        <w:spacing w:line="360" w:lineRule="auto"/>
        <w:rPr>
          <w:rFonts w:ascii="宋体" w:hAnsi="宋体"/>
          <w:szCs w:val="21"/>
        </w:rPr>
      </w:pPr>
      <w:r>
        <w:rPr>
          <w:rFonts w:hint="eastAsia" w:ascii="宋体" w:hAnsi="宋体"/>
          <w:szCs w:val="21"/>
        </w:rPr>
        <w:t>投标人名称（单位公章）：</w:t>
      </w:r>
      <w:r>
        <w:rPr>
          <w:rFonts w:hint="eastAsia" w:ascii="宋体" w:hAnsi="宋体"/>
          <w:szCs w:val="21"/>
          <w:u w:val="single"/>
        </w:rPr>
        <w:t xml:space="preserve">                </w:t>
      </w:r>
      <w:r>
        <w:rPr>
          <w:rFonts w:hint="eastAsia" w:ascii="宋体" w:hAnsi="宋体"/>
          <w:szCs w:val="21"/>
        </w:rPr>
        <w:t>_</w:t>
      </w:r>
    </w:p>
    <w:p w14:paraId="58008FF3">
      <w:pPr>
        <w:adjustRightInd w:val="0"/>
        <w:snapToGrid w:val="0"/>
        <w:spacing w:line="360" w:lineRule="auto"/>
        <w:rPr>
          <w:rFonts w:ascii="宋体" w:hAnsi="宋体"/>
          <w:szCs w:val="21"/>
        </w:rPr>
      </w:pPr>
      <w:r>
        <w:rPr>
          <w:rFonts w:hint="eastAsia" w:ascii="宋体" w:hAnsi="宋体"/>
          <w:szCs w:val="21"/>
        </w:rPr>
        <w:t>法定代表人或其授权的代理人(签字)：</w:t>
      </w:r>
      <w:r>
        <w:rPr>
          <w:rFonts w:hint="eastAsia" w:ascii="宋体" w:hAnsi="宋体"/>
          <w:szCs w:val="21"/>
          <w:u w:val="single"/>
        </w:rPr>
        <w:t xml:space="preserve">                </w:t>
      </w:r>
      <w:r>
        <w:rPr>
          <w:rFonts w:hint="eastAsia" w:ascii="宋体" w:hAnsi="宋体"/>
          <w:szCs w:val="21"/>
        </w:rPr>
        <w:t>_</w:t>
      </w:r>
    </w:p>
    <w:p w14:paraId="2960FABB">
      <w:pPr>
        <w:adjustRightInd w:val="0"/>
        <w:snapToGrid w:val="0"/>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125D350">
      <w:pPr>
        <w:pStyle w:val="45"/>
        <w:rPr>
          <w:rFonts w:hint="eastAsia" w:ascii="宋体" w:hAnsi="宋体"/>
          <w:szCs w:val="21"/>
        </w:rPr>
      </w:pPr>
    </w:p>
    <w:p w14:paraId="2E6F2934">
      <w:pPr>
        <w:pStyle w:val="14"/>
        <w:rPr>
          <w:rFonts w:hint="eastAsia" w:ascii="宋体" w:hAnsi="宋体"/>
          <w:szCs w:val="21"/>
        </w:rPr>
      </w:pPr>
    </w:p>
    <w:p w14:paraId="2C5C0733">
      <w:pPr>
        <w:rPr>
          <w:rFonts w:hint="eastAsia" w:ascii="宋体" w:hAnsi="宋体"/>
          <w:b/>
          <w:sz w:val="28"/>
          <w:szCs w:val="28"/>
        </w:rPr>
      </w:pPr>
      <w:r>
        <w:rPr>
          <w:rFonts w:hint="eastAsia" w:ascii="宋体" w:hAnsi="宋体"/>
          <w:b/>
          <w:sz w:val="28"/>
          <w:szCs w:val="28"/>
        </w:rPr>
        <w:br w:type="page"/>
      </w:r>
    </w:p>
    <w:p w14:paraId="7185BAF6">
      <w:pPr>
        <w:pStyle w:val="4"/>
        <w:bidi w:val="0"/>
        <w:jc w:val="center"/>
      </w:pPr>
      <w:bookmarkStart w:id="163" w:name="_Toc12380"/>
      <w:r>
        <w:rPr>
          <w:rFonts w:hint="eastAsia"/>
        </w:rPr>
        <w:t>八、供应商认为需要提供的其它资料</w:t>
      </w:r>
      <w:bookmarkEnd w:id="163"/>
    </w:p>
    <w:p w14:paraId="76E183B1">
      <w:pPr>
        <w:spacing w:line="480" w:lineRule="exact"/>
        <w:ind w:left="480" w:hanging="480" w:hangingChars="200"/>
        <w:rPr>
          <w:rFonts w:ascii="宋体" w:hAnsi="宋体"/>
          <w:sz w:val="24"/>
        </w:rPr>
      </w:pPr>
      <w:r>
        <w:rPr>
          <w:rFonts w:hint="eastAsia" w:ascii="宋体" w:hAnsi="宋体"/>
          <w:sz w:val="24"/>
        </w:rPr>
        <w:t>附件12 项目负责人简历</w:t>
      </w:r>
    </w:p>
    <w:p w14:paraId="1555BDA7">
      <w:pPr>
        <w:adjustRightInd w:val="0"/>
        <w:snapToGrid w:val="0"/>
        <w:ind w:left="360" w:hanging="360"/>
        <w:rPr>
          <w:rFonts w:ascii="宋体" w:hAnsi="宋体"/>
          <w:sz w:val="24"/>
        </w:rPr>
      </w:pPr>
    </w:p>
    <w:p w14:paraId="579BCD70">
      <w:pPr>
        <w:spacing w:line="480" w:lineRule="exact"/>
        <w:ind w:left="482" w:hanging="482" w:hangingChars="200"/>
        <w:jc w:val="center"/>
        <w:rPr>
          <w:rFonts w:ascii="宋体" w:hAnsi="宋体"/>
          <w:b/>
          <w:sz w:val="24"/>
        </w:rPr>
      </w:pPr>
      <w:r>
        <w:rPr>
          <w:rFonts w:hint="eastAsia" w:ascii="宋体" w:hAnsi="宋体"/>
          <w:b/>
          <w:sz w:val="24"/>
        </w:rPr>
        <w:t>项目负责人简历</w:t>
      </w:r>
    </w:p>
    <w:tbl>
      <w:tblPr>
        <w:tblStyle w:val="46"/>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60"/>
        <w:gridCol w:w="772"/>
        <w:gridCol w:w="2468"/>
        <w:gridCol w:w="396"/>
        <w:gridCol w:w="1404"/>
        <w:gridCol w:w="540"/>
        <w:gridCol w:w="1663"/>
      </w:tblGrid>
      <w:tr w14:paraId="1CDE90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1" w:hRule="exact"/>
          <w:jc w:val="center"/>
        </w:trPr>
        <w:tc>
          <w:tcPr>
            <w:tcW w:w="2032" w:type="dxa"/>
            <w:gridSpan w:val="2"/>
            <w:vAlign w:val="center"/>
          </w:tcPr>
          <w:p w14:paraId="5598E7DE">
            <w:pPr>
              <w:bidi w:val="0"/>
              <w:jc w:val="center"/>
            </w:pPr>
            <w:r>
              <w:rPr>
                <w:rFonts w:hint="eastAsia"/>
              </w:rPr>
              <w:t>姓</w:t>
            </w:r>
            <w:r>
              <w:t xml:space="preserve">   </w:t>
            </w:r>
            <w:r>
              <w:rPr>
                <w:rFonts w:hint="eastAsia"/>
              </w:rPr>
              <w:t>名</w:t>
            </w:r>
          </w:p>
        </w:tc>
        <w:tc>
          <w:tcPr>
            <w:tcW w:w="2468" w:type="dxa"/>
            <w:vAlign w:val="center"/>
          </w:tcPr>
          <w:p w14:paraId="0C0A5810">
            <w:pPr>
              <w:bidi w:val="0"/>
              <w:jc w:val="center"/>
            </w:pPr>
          </w:p>
        </w:tc>
        <w:tc>
          <w:tcPr>
            <w:tcW w:w="2340" w:type="dxa"/>
            <w:gridSpan w:val="3"/>
            <w:vAlign w:val="center"/>
          </w:tcPr>
          <w:p w14:paraId="57930970">
            <w:pPr>
              <w:bidi w:val="0"/>
              <w:jc w:val="center"/>
            </w:pPr>
            <w:r>
              <w:rPr>
                <w:rFonts w:hint="eastAsia"/>
              </w:rPr>
              <w:t>性</w:t>
            </w:r>
            <w:r>
              <w:t xml:space="preserve">  </w:t>
            </w:r>
            <w:r>
              <w:rPr>
                <w:rFonts w:hint="eastAsia"/>
              </w:rPr>
              <w:t>别</w:t>
            </w:r>
          </w:p>
        </w:tc>
        <w:tc>
          <w:tcPr>
            <w:tcW w:w="1663" w:type="dxa"/>
            <w:vAlign w:val="center"/>
          </w:tcPr>
          <w:p w14:paraId="75C08337">
            <w:pPr>
              <w:bidi w:val="0"/>
              <w:jc w:val="center"/>
            </w:pPr>
          </w:p>
        </w:tc>
      </w:tr>
      <w:tr w14:paraId="54D713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3" w:hRule="exact"/>
          <w:jc w:val="center"/>
        </w:trPr>
        <w:tc>
          <w:tcPr>
            <w:tcW w:w="2032" w:type="dxa"/>
            <w:gridSpan w:val="2"/>
            <w:vAlign w:val="center"/>
          </w:tcPr>
          <w:p w14:paraId="27288CDC">
            <w:pPr>
              <w:bidi w:val="0"/>
              <w:jc w:val="center"/>
            </w:pPr>
            <w:r>
              <w:rPr>
                <w:rFonts w:hint="eastAsia"/>
              </w:rPr>
              <w:t>职</w:t>
            </w:r>
            <w:r>
              <w:t xml:space="preserve">   </w:t>
            </w:r>
            <w:r>
              <w:rPr>
                <w:rFonts w:hint="eastAsia"/>
              </w:rPr>
              <w:t>务</w:t>
            </w:r>
          </w:p>
        </w:tc>
        <w:tc>
          <w:tcPr>
            <w:tcW w:w="2468" w:type="dxa"/>
            <w:vAlign w:val="center"/>
          </w:tcPr>
          <w:p w14:paraId="046F143B">
            <w:pPr>
              <w:bidi w:val="0"/>
              <w:jc w:val="center"/>
            </w:pPr>
          </w:p>
        </w:tc>
        <w:tc>
          <w:tcPr>
            <w:tcW w:w="2340" w:type="dxa"/>
            <w:gridSpan w:val="3"/>
            <w:vAlign w:val="center"/>
          </w:tcPr>
          <w:p w14:paraId="0DF22D88">
            <w:pPr>
              <w:bidi w:val="0"/>
              <w:jc w:val="center"/>
            </w:pPr>
            <w:r>
              <w:rPr>
                <w:rFonts w:hint="eastAsia"/>
              </w:rPr>
              <w:t>职</w:t>
            </w:r>
            <w:r>
              <w:t xml:space="preserve">  </w:t>
            </w:r>
            <w:r>
              <w:rPr>
                <w:rFonts w:hint="eastAsia"/>
              </w:rPr>
              <w:t>称</w:t>
            </w:r>
          </w:p>
        </w:tc>
        <w:tc>
          <w:tcPr>
            <w:tcW w:w="1663" w:type="dxa"/>
            <w:vAlign w:val="center"/>
          </w:tcPr>
          <w:p w14:paraId="0C33C62F">
            <w:pPr>
              <w:bidi w:val="0"/>
              <w:jc w:val="center"/>
            </w:pPr>
          </w:p>
        </w:tc>
      </w:tr>
      <w:tr w14:paraId="62A19F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1" w:hRule="exact"/>
          <w:jc w:val="center"/>
        </w:trPr>
        <w:tc>
          <w:tcPr>
            <w:tcW w:w="2032" w:type="dxa"/>
            <w:gridSpan w:val="2"/>
            <w:vAlign w:val="center"/>
          </w:tcPr>
          <w:p w14:paraId="62F9AB76">
            <w:pPr>
              <w:bidi w:val="0"/>
              <w:jc w:val="center"/>
            </w:pPr>
            <w:r>
              <w:rPr>
                <w:rFonts w:hint="eastAsia"/>
              </w:rPr>
              <w:t>毕业学校、专业</w:t>
            </w:r>
          </w:p>
        </w:tc>
        <w:tc>
          <w:tcPr>
            <w:tcW w:w="6471" w:type="dxa"/>
            <w:gridSpan w:val="5"/>
            <w:vAlign w:val="center"/>
          </w:tcPr>
          <w:p w14:paraId="66C2D28B">
            <w:pPr>
              <w:bidi w:val="0"/>
              <w:jc w:val="center"/>
            </w:pPr>
          </w:p>
        </w:tc>
      </w:tr>
      <w:tr w14:paraId="37B4E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jc w:val="center"/>
        </w:trPr>
        <w:tc>
          <w:tcPr>
            <w:tcW w:w="2032" w:type="dxa"/>
            <w:gridSpan w:val="2"/>
            <w:vAlign w:val="center"/>
          </w:tcPr>
          <w:p w14:paraId="345BAE77">
            <w:pPr>
              <w:bidi w:val="0"/>
              <w:jc w:val="center"/>
            </w:pPr>
            <w:r>
              <w:rPr>
                <w:rFonts w:hint="eastAsia"/>
              </w:rPr>
              <w:t>身份证号</w:t>
            </w:r>
          </w:p>
        </w:tc>
        <w:tc>
          <w:tcPr>
            <w:tcW w:w="2468" w:type="dxa"/>
            <w:vAlign w:val="center"/>
          </w:tcPr>
          <w:p w14:paraId="4F8DB897">
            <w:pPr>
              <w:bidi w:val="0"/>
              <w:jc w:val="center"/>
            </w:pPr>
          </w:p>
        </w:tc>
        <w:tc>
          <w:tcPr>
            <w:tcW w:w="2340" w:type="dxa"/>
            <w:gridSpan w:val="3"/>
            <w:vAlign w:val="center"/>
          </w:tcPr>
          <w:p w14:paraId="7D169D32">
            <w:pPr>
              <w:bidi w:val="0"/>
              <w:jc w:val="center"/>
            </w:pPr>
            <w:r>
              <w:rPr>
                <w:rFonts w:hint="eastAsia"/>
              </w:rPr>
              <w:t>拟在本合同任职</w:t>
            </w:r>
          </w:p>
        </w:tc>
        <w:tc>
          <w:tcPr>
            <w:tcW w:w="1663" w:type="dxa"/>
            <w:vAlign w:val="center"/>
          </w:tcPr>
          <w:p w14:paraId="0BD7A777">
            <w:pPr>
              <w:bidi w:val="0"/>
              <w:jc w:val="center"/>
            </w:pPr>
          </w:p>
        </w:tc>
      </w:tr>
      <w:tr w14:paraId="15BC78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1" w:hRule="exact"/>
          <w:jc w:val="center"/>
        </w:trPr>
        <w:tc>
          <w:tcPr>
            <w:tcW w:w="2032" w:type="dxa"/>
            <w:gridSpan w:val="2"/>
            <w:vAlign w:val="center"/>
          </w:tcPr>
          <w:p w14:paraId="0B2276BB">
            <w:pPr>
              <w:bidi w:val="0"/>
              <w:jc w:val="center"/>
            </w:pPr>
            <w:r>
              <w:rPr>
                <w:rFonts w:hint="eastAsia"/>
              </w:rPr>
              <w:t>执业资格证</w:t>
            </w:r>
          </w:p>
        </w:tc>
        <w:tc>
          <w:tcPr>
            <w:tcW w:w="2468" w:type="dxa"/>
            <w:vAlign w:val="center"/>
          </w:tcPr>
          <w:p w14:paraId="7062673C">
            <w:pPr>
              <w:bidi w:val="0"/>
              <w:jc w:val="center"/>
            </w:pPr>
          </w:p>
        </w:tc>
        <w:tc>
          <w:tcPr>
            <w:tcW w:w="2340" w:type="dxa"/>
            <w:gridSpan w:val="3"/>
            <w:vAlign w:val="center"/>
          </w:tcPr>
          <w:p w14:paraId="3DFC3A6A">
            <w:pPr>
              <w:bidi w:val="0"/>
              <w:jc w:val="center"/>
            </w:pPr>
            <w:r>
              <w:rPr>
                <w:rFonts w:hint="eastAsia"/>
              </w:rPr>
              <w:t>执业资格证书号</w:t>
            </w:r>
          </w:p>
        </w:tc>
        <w:tc>
          <w:tcPr>
            <w:tcW w:w="1663" w:type="dxa"/>
            <w:vAlign w:val="center"/>
          </w:tcPr>
          <w:p w14:paraId="78662FBF">
            <w:pPr>
              <w:bidi w:val="0"/>
              <w:jc w:val="center"/>
            </w:pPr>
          </w:p>
        </w:tc>
      </w:tr>
      <w:tr w14:paraId="7FF258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0" w:hRule="exact"/>
          <w:jc w:val="center"/>
        </w:trPr>
        <w:tc>
          <w:tcPr>
            <w:tcW w:w="8503" w:type="dxa"/>
            <w:gridSpan w:val="7"/>
            <w:vAlign w:val="center"/>
          </w:tcPr>
          <w:p w14:paraId="0D5D06C6">
            <w:pPr>
              <w:bidi w:val="0"/>
              <w:jc w:val="center"/>
            </w:pPr>
            <w:r>
              <w:rPr>
                <w:rFonts w:hint="eastAsia"/>
              </w:rPr>
              <w:t>近三年承担项目情况</w:t>
            </w:r>
          </w:p>
        </w:tc>
      </w:tr>
      <w:tr w14:paraId="407170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449CAE40">
            <w:pPr>
              <w:bidi w:val="0"/>
              <w:jc w:val="center"/>
            </w:pPr>
            <w:r>
              <w:rPr>
                <w:rFonts w:hint="eastAsia"/>
              </w:rPr>
              <w:t>时间</w:t>
            </w:r>
          </w:p>
        </w:tc>
        <w:tc>
          <w:tcPr>
            <w:tcW w:w="3636" w:type="dxa"/>
            <w:gridSpan w:val="3"/>
            <w:vAlign w:val="center"/>
          </w:tcPr>
          <w:p w14:paraId="1FC00A8C">
            <w:pPr>
              <w:bidi w:val="0"/>
              <w:jc w:val="center"/>
            </w:pPr>
            <w:r>
              <w:rPr>
                <w:rFonts w:hint="eastAsia"/>
              </w:rPr>
              <w:t>类似项目名称</w:t>
            </w:r>
          </w:p>
        </w:tc>
        <w:tc>
          <w:tcPr>
            <w:tcW w:w="1404" w:type="dxa"/>
            <w:vAlign w:val="center"/>
          </w:tcPr>
          <w:p w14:paraId="320ECB8C">
            <w:pPr>
              <w:bidi w:val="0"/>
              <w:jc w:val="center"/>
            </w:pPr>
            <w:r>
              <w:rPr>
                <w:rFonts w:hint="eastAsia"/>
              </w:rPr>
              <w:t>担任职务</w:t>
            </w:r>
          </w:p>
        </w:tc>
        <w:tc>
          <w:tcPr>
            <w:tcW w:w="2203" w:type="dxa"/>
            <w:gridSpan w:val="2"/>
            <w:vAlign w:val="center"/>
          </w:tcPr>
          <w:p w14:paraId="1FAD0256">
            <w:pPr>
              <w:bidi w:val="0"/>
              <w:jc w:val="center"/>
            </w:pPr>
            <w:r>
              <w:rPr>
                <w:rFonts w:hint="eastAsia"/>
              </w:rPr>
              <w:t>项目单位名称及电话</w:t>
            </w:r>
          </w:p>
        </w:tc>
      </w:tr>
      <w:tr w14:paraId="319706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06AA5D17">
            <w:pPr>
              <w:bidi w:val="0"/>
              <w:jc w:val="center"/>
            </w:pPr>
          </w:p>
        </w:tc>
        <w:tc>
          <w:tcPr>
            <w:tcW w:w="3636" w:type="dxa"/>
            <w:gridSpan w:val="3"/>
            <w:vAlign w:val="center"/>
          </w:tcPr>
          <w:p w14:paraId="7BD5FE04">
            <w:pPr>
              <w:bidi w:val="0"/>
              <w:jc w:val="center"/>
            </w:pPr>
          </w:p>
        </w:tc>
        <w:tc>
          <w:tcPr>
            <w:tcW w:w="1404" w:type="dxa"/>
            <w:vAlign w:val="center"/>
          </w:tcPr>
          <w:p w14:paraId="02072515">
            <w:pPr>
              <w:bidi w:val="0"/>
              <w:jc w:val="center"/>
            </w:pPr>
          </w:p>
        </w:tc>
        <w:tc>
          <w:tcPr>
            <w:tcW w:w="2203" w:type="dxa"/>
            <w:gridSpan w:val="2"/>
            <w:vAlign w:val="center"/>
          </w:tcPr>
          <w:p w14:paraId="648BDABF">
            <w:pPr>
              <w:bidi w:val="0"/>
              <w:jc w:val="center"/>
            </w:pPr>
          </w:p>
        </w:tc>
      </w:tr>
      <w:tr w14:paraId="7DBCBE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220BDF31">
            <w:pPr>
              <w:bidi w:val="0"/>
              <w:jc w:val="center"/>
            </w:pPr>
          </w:p>
        </w:tc>
        <w:tc>
          <w:tcPr>
            <w:tcW w:w="3636" w:type="dxa"/>
            <w:gridSpan w:val="3"/>
            <w:vAlign w:val="center"/>
          </w:tcPr>
          <w:p w14:paraId="1FEFC481">
            <w:pPr>
              <w:bidi w:val="0"/>
              <w:jc w:val="center"/>
            </w:pPr>
          </w:p>
        </w:tc>
        <w:tc>
          <w:tcPr>
            <w:tcW w:w="1404" w:type="dxa"/>
            <w:vAlign w:val="center"/>
          </w:tcPr>
          <w:p w14:paraId="3EC2FAAB">
            <w:pPr>
              <w:bidi w:val="0"/>
              <w:jc w:val="center"/>
            </w:pPr>
          </w:p>
        </w:tc>
        <w:tc>
          <w:tcPr>
            <w:tcW w:w="2203" w:type="dxa"/>
            <w:gridSpan w:val="2"/>
            <w:vAlign w:val="center"/>
          </w:tcPr>
          <w:p w14:paraId="57B9AEF5">
            <w:pPr>
              <w:bidi w:val="0"/>
              <w:jc w:val="center"/>
            </w:pPr>
          </w:p>
        </w:tc>
      </w:tr>
      <w:tr w14:paraId="5F7867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25FF01E4">
            <w:pPr>
              <w:bidi w:val="0"/>
              <w:jc w:val="center"/>
            </w:pPr>
          </w:p>
        </w:tc>
        <w:tc>
          <w:tcPr>
            <w:tcW w:w="3636" w:type="dxa"/>
            <w:gridSpan w:val="3"/>
            <w:vAlign w:val="center"/>
          </w:tcPr>
          <w:p w14:paraId="32CA5AF8">
            <w:pPr>
              <w:bidi w:val="0"/>
              <w:jc w:val="center"/>
            </w:pPr>
          </w:p>
        </w:tc>
        <w:tc>
          <w:tcPr>
            <w:tcW w:w="1404" w:type="dxa"/>
            <w:vAlign w:val="center"/>
          </w:tcPr>
          <w:p w14:paraId="124DD049">
            <w:pPr>
              <w:bidi w:val="0"/>
              <w:jc w:val="center"/>
            </w:pPr>
          </w:p>
        </w:tc>
        <w:tc>
          <w:tcPr>
            <w:tcW w:w="2203" w:type="dxa"/>
            <w:gridSpan w:val="2"/>
            <w:vAlign w:val="center"/>
          </w:tcPr>
          <w:p w14:paraId="2E53D79F">
            <w:pPr>
              <w:bidi w:val="0"/>
              <w:jc w:val="center"/>
            </w:pPr>
          </w:p>
        </w:tc>
      </w:tr>
      <w:tr w14:paraId="232F21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07E4435F">
            <w:pPr>
              <w:bidi w:val="0"/>
              <w:jc w:val="center"/>
            </w:pPr>
          </w:p>
        </w:tc>
        <w:tc>
          <w:tcPr>
            <w:tcW w:w="3636" w:type="dxa"/>
            <w:gridSpan w:val="3"/>
            <w:vAlign w:val="center"/>
          </w:tcPr>
          <w:p w14:paraId="1012BA0E">
            <w:pPr>
              <w:bidi w:val="0"/>
              <w:jc w:val="center"/>
            </w:pPr>
          </w:p>
        </w:tc>
        <w:tc>
          <w:tcPr>
            <w:tcW w:w="1404" w:type="dxa"/>
            <w:vAlign w:val="center"/>
          </w:tcPr>
          <w:p w14:paraId="257AC24D">
            <w:pPr>
              <w:bidi w:val="0"/>
              <w:jc w:val="center"/>
            </w:pPr>
          </w:p>
        </w:tc>
        <w:tc>
          <w:tcPr>
            <w:tcW w:w="2203" w:type="dxa"/>
            <w:gridSpan w:val="2"/>
            <w:vAlign w:val="center"/>
          </w:tcPr>
          <w:p w14:paraId="213D882E">
            <w:pPr>
              <w:bidi w:val="0"/>
              <w:jc w:val="center"/>
            </w:pPr>
          </w:p>
        </w:tc>
      </w:tr>
      <w:tr w14:paraId="6C40AB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4468D46B">
            <w:pPr>
              <w:bidi w:val="0"/>
              <w:jc w:val="center"/>
            </w:pPr>
          </w:p>
        </w:tc>
        <w:tc>
          <w:tcPr>
            <w:tcW w:w="3636" w:type="dxa"/>
            <w:gridSpan w:val="3"/>
            <w:vAlign w:val="center"/>
          </w:tcPr>
          <w:p w14:paraId="24A98B78">
            <w:pPr>
              <w:bidi w:val="0"/>
              <w:jc w:val="center"/>
            </w:pPr>
          </w:p>
        </w:tc>
        <w:tc>
          <w:tcPr>
            <w:tcW w:w="1404" w:type="dxa"/>
            <w:vAlign w:val="center"/>
          </w:tcPr>
          <w:p w14:paraId="4DA0EACB">
            <w:pPr>
              <w:bidi w:val="0"/>
              <w:jc w:val="center"/>
            </w:pPr>
          </w:p>
        </w:tc>
        <w:tc>
          <w:tcPr>
            <w:tcW w:w="2203" w:type="dxa"/>
            <w:gridSpan w:val="2"/>
            <w:vAlign w:val="center"/>
          </w:tcPr>
          <w:p w14:paraId="5AA59E83">
            <w:pPr>
              <w:bidi w:val="0"/>
              <w:jc w:val="center"/>
            </w:pPr>
          </w:p>
        </w:tc>
      </w:tr>
      <w:tr w14:paraId="7598EA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1DA0A222">
            <w:pPr>
              <w:bidi w:val="0"/>
              <w:jc w:val="center"/>
            </w:pPr>
          </w:p>
        </w:tc>
        <w:tc>
          <w:tcPr>
            <w:tcW w:w="3636" w:type="dxa"/>
            <w:gridSpan w:val="3"/>
            <w:vAlign w:val="center"/>
          </w:tcPr>
          <w:p w14:paraId="70205BE5">
            <w:pPr>
              <w:bidi w:val="0"/>
              <w:jc w:val="center"/>
            </w:pPr>
          </w:p>
        </w:tc>
        <w:tc>
          <w:tcPr>
            <w:tcW w:w="1404" w:type="dxa"/>
            <w:vAlign w:val="center"/>
          </w:tcPr>
          <w:p w14:paraId="10EAEA62">
            <w:pPr>
              <w:bidi w:val="0"/>
              <w:jc w:val="center"/>
            </w:pPr>
          </w:p>
        </w:tc>
        <w:tc>
          <w:tcPr>
            <w:tcW w:w="2203" w:type="dxa"/>
            <w:gridSpan w:val="2"/>
            <w:vAlign w:val="center"/>
          </w:tcPr>
          <w:p w14:paraId="53758712">
            <w:pPr>
              <w:bidi w:val="0"/>
              <w:jc w:val="center"/>
            </w:pPr>
          </w:p>
        </w:tc>
      </w:tr>
      <w:tr w14:paraId="0824CC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3E663D69">
            <w:pPr>
              <w:bidi w:val="0"/>
              <w:jc w:val="center"/>
            </w:pPr>
          </w:p>
        </w:tc>
        <w:tc>
          <w:tcPr>
            <w:tcW w:w="3636" w:type="dxa"/>
            <w:gridSpan w:val="3"/>
            <w:vAlign w:val="center"/>
          </w:tcPr>
          <w:p w14:paraId="5F6F6F7E">
            <w:pPr>
              <w:bidi w:val="0"/>
              <w:jc w:val="center"/>
            </w:pPr>
          </w:p>
        </w:tc>
        <w:tc>
          <w:tcPr>
            <w:tcW w:w="1404" w:type="dxa"/>
            <w:vAlign w:val="center"/>
          </w:tcPr>
          <w:p w14:paraId="7320F9DD">
            <w:pPr>
              <w:bidi w:val="0"/>
              <w:jc w:val="center"/>
            </w:pPr>
          </w:p>
        </w:tc>
        <w:tc>
          <w:tcPr>
            <w:tcW w:w="2203" w:type="dxa"/>
            <w:gridSpan w:val="2"/>
            <w:vAlign w:val="center"/>
          </w:tcPr>
          <w:p w14:paraId="62E1B052">
            <w:pPr>
              <w:bidi w:val="0"/>
              <w:jc w:val="center"/>
            </w:pPr>
          </w:p>
        </w:tc>
      </w:tr>
      <w:tr w14:paraId="3B2EDF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7824E80B">
            <w:pPr>
              <w:bidi w:val="0"/>
              <w:jc w:val="center"/>
            </w:pPr>
          </w:p>
        </w:tc>
        <w:tc>
          <w:tcPr>
            <w:tcW w:w="3636" w:type="dxa"/>
            <w:gridSpan w:val="3"/>
            <w:vAlign w:val="center"/>
          </w:tcPr>
          <w:p w14:paraId="5A209508">
            <w:pPr>
              <w:bidi w:val="0"/>
              <w:jc w:val="center"/>
            </w:pPr>
          </w:p>
        </w:tc>
        <w:tc>
          <w:tcPr>
            <w:tcW w:w="1404" w:type="dxa"/>
            <w:vAlign w:val="center"/>
          </w:tcPr>
          <w:p w14:paraId="2878DFC3">
            <w:pPr>
              <w:bidi w:val="0"/>
              <w:jc w:val="center"/>
            </w:pPr>
          </w:p>
        </w:tc>
        <w:tc>
          <w:tcPr>
            <w:tcW w:w="2203" w:type="dxa"/>
            <w:gridSpan w:val="2"/>
            <w:vAlign w:val="center"/>
          </w:tcPr>
          <w:p w14:paraId="24F11995">
            <w:pPr>
              <w:bidi w:val="0"/>
              <w:jc w:val="center"/>
            </w:pPr>
          </w:p>
        </w:tc>
      </w:tr>
      <w:tr w14:paraId="06BD8A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0" w:hRule="exact"/>
          <w:jc w:val="center"/>
        </w:trPr>
        <w:tc>
          <w:tcPr>
            <w:tcW w:w="1260" w:type="dxa"/>
            <w:vAlign w:val="center"/>
          </w:tcPr>
          <w:p w14:paraId="4F161808">
            <w:pPr>
              <w:bidi w:val="0"/>
              <w:jc w:val="center"/>
            </w:pPr>
          </w:p>
        </w:tc>
        <w:tc>
          <w:tcPr>
            <w:tcW w:w="3636" w:type="dxa"/>
            <w:gridSpan w:val="3"/>
            <w:vAlign w:val="center"/>
          </w:tcPr>
          <w:p w14:paraId="6537EA9E">
            <w:pPr>
              <w:bidi w:val="0"/>
              <w:jc w:val="center"/>
            </w:pPr>
          </w:p>
        </w:tc>
        <w:tc>
          <w:tcPr>
            <w:tcW w:w="1404" w:type="dxa"/>
            <w:vAlign w:val="center"/>
          </w:tcPr>
          <w:p w14:paraId="2249889F">
            <w:pPr>
              <w:bidi w:val="0"/>
              <w:jc w:val="center"/>
            </w:pPr>
          </w:p>
        </w:tc>
        <w:tc>
          <w:tcPr>
            <w:tcW w:w="2203" w:type="dxa"/>
            <w:gridSpan w:val="2"/>
            <w:vAlign w:val="center"/>
          </w:tcPr>
          <w:p w14:paraId="5073D909">
            <w:pPr>
              <w:bidi w:val="0"/>
              <w:jc w:val="center"/>
            </w:pPr>
          </w:p>
        </w:tc>
      </w:tr>
    </w:tbl>
    <w:p w14:paraId="0B23D090">
      <w:pPr>
        <w:rPr>
          <w:rFonts w:hint="eastAsia" w:ascii="宋体" w:hAnsi="宋体"/>
          <w:b/>
          <w:bCs/>
          <w:sz w:val="28"/>
          <w:szCs w:val="28"/>
        </w:rPr>
      </w:pPr>
      <w:bookmarkStart w:id="164" w:name="_Toc34637811"/>
      <w:r>
        <w:rPr>
          <w:rFonts w:hint="eastAsia" w:ascii="宋体" w:hAnsi="宋体"/>
          <w:b/>
          <w:bCs/>
          <w:sz w:val="28"/>
          <w:szCs w:val="28"/>
        </w:rPr>
        <w:br w:type="page"/>
      </w:r>
    </w:p>
    <w:p w14:paraId="48538188">
      <w:pPr>
        <w:pStyle w:val="4"/>
        <w:bidi w:val="0"/>
        <w:jc w:val="center"/>
      </w:pPr>
      <w:bookmarkStart w:id="165" w:name="_Toc28703"/>
      <w:r>
        <w:rPr>
          <w:rFonts w:hint="eastAsia"/>
        </w:rPr>
        <w:t>九、最后报价</w:t>
      </w:r>
      <w:bookmarkEnd w:id="165"/>
    </w:p>
    <w:p w14:paraId="71A79BAF">
      <w:pPr>
        <w:adjustRightInd w:val="0"/>
        <w:snapToGrid w:val="0"/>
        <w:ind w:left="227" w:leftChars="-42" w:hanging="315"/>
        <w:rPr>
          <w:rFonts w:ascii="宋体" w:hAnsi="宋体" w:cs="宋体"/>
          <w:szCs w:val="21"/>
        </w:rPr>
      </w:pPr>
    </w:p>
    <w:bookmarkEnd w:id="164"/>
    <w:p w14:paraId="2BD4AAEB">
      <w:pPr>
        <w:adjustRightInd w:val="0"/>
        <w:snapToGrid w:val="0"/>
        <w:ind w:left="227" w:leftChars="-42" w:hanging="315"/>
        <w:rPr>
          <w:rFonts w:asciiTheme="minorEastAsia" w:hAnsiTheme="minorEastAsia" w:eastAsiaTheme="minorEastAsia" w:cstheme="minorEastAsia"/>
          <w:szCs w:val="21"/>
        </w:rPr>
      </w:pPr>
    </w:p>
    <w:p w14:paraId="32243A23">
      <w:pPr>
        <w:widowControl/>
        <w:adjustRightInd w:val="0"/>
        <w:snapToGrid w:val="0"/>
        <w:ind w:firstLine="444" w:firstLineChars="200"/>
        <w:jc w:val="left"/>
        <w:rPr>
          <w:rFonts w:asciiTheme="minorEastAsia" w:hAnsiTheme="minorEastAsia" w:eastAsiaTheme="minorEastAsia" w:cstheme="minorEastAsia"/>
          <w:spacing w:val="6"/>
          <w:kern w:val="0"/>
          <w:szCs w:val="21"/>
        </w:rPr>
      </w:pPr>
      <w:r>
        <w:rPr>
          <w:rFonts w:hint="eastAsia" w:asciiTheme="minorEastAsia" w:hAnsiTheme="minorEastAsia" w:eastAsiaTheme="minorEastAsia" w:cstheme="minorEastAsia"/>
          <w:spacing w:val="6"/>
          <w:kern w:val="0"/>
          <w:szCs w:val="21"/>
        </w:rPr>
        <w:t>说明：最后报价按规定在开标现场提供。</w:t>
      </w:r>
    </w:p>
    <w:p w14:paraId="4A00F33E">
      <w:pPr>
        <w:adjustRightInd w:val="0"/>
        <w:snapToGrid w:val="0"/>
        <w:spacing w:before="120" w:beforeLines="50" w:line="360" w:lineRule="auto"/>
        <w:ind w:firstLine="420" w:firstLineChars="200"/>
        <w:rPr>
          <w:rFonts w:ascii="宋体" w:hAnsi="宋体" w:cs="宋体"/>
        </w:rPr>
      </w:pPr>
    </w:p>
    <w:p w14:paraId="2202096B">
      <w:pPr>
        <w:pStyle w:val="15"/>
        <w:rPr>
          <w:rFonts w:ascii="宋体" w:hAnsi="宋体"/>
          <w:b/>
          <w:sz w:val="32"/>
          <w:szCs w:val="32"/>
        </w:rPr>
      </w:pPr>
    </w:p>
    <w:p w14:paraId="15CE1EDE">
      <w:pPr>
        <w:pStyle w:val="15"/>
        <w:rPr>
          <w:rFonts w:ascii="宋体" w:hAnsi="宋体"/>
          <w:b/>
          <w:sz w:val="32"/>
          <w:szCs w:val="32"/>
        </w:rPr>
      </w:pPr>
    </w:p>
    <w:p w14:paraId="367A13CF">
      <w:pPr>
        <w:pStyle w:val="15"/>
        <w:rPr>
          <w:rFonts w:ascii="宋体" w:hAnsi="宋体"/>
          <w:b/>
          <w:sz w:val="32"/>
          <w:szCs w:val="32"/>
        </w:rPr>
      </w:pPr>
    </w:p>
    <w:p w14:paraId="1252A5EC">
      <w:pPr>
        <w:pStyle w:val="15"/>
        <w:rPr>
          <w:rFonts w:ascii="宋体" w:hAnsi="宋体"/>
          <w:b/>
          <w:sz w:val="32"/>
          <w:szCs w:val="32"/>
        </w:rPr>
      </w:pPr>
    </w:p>
    <w:p w14:paraId="75F0CF5F">
      <w:pPr>
        <w:pStyle w:val="15"/>
        <w:rPr>
          <w:rFonts w:ascii="宋体" w:hAnsi="宋体"/>
          <w:b/>
          <w:sz w:val="32"/>
          <w:szCs w:val="32"/>
        </w:rPr>
      </w:pPr>
    </w:p>
    <w:p w14:paraId="50ABEAAA">
      <w:pPr>
        <w:pStyle w:val="15"/>
        <w:rPr>
          <w:rFonts w:ascii="宋体" w:hAnsi="宋体"/>
          <w:b/>
          <w:sz w:val="32"/>
          <w:szCs w:val="32"/>
        </w:rPr>
      </w:pPr>
    </w:p>
    <w:p w14:paraId="1C709FC2">
      <w:pPr>
        <w:pStyle w:val="15"/>
        <w:rPr>
          <w:rFonts w:ascii="宋体" w:hAnsi="宋体"/>
          <w:b/>
          <w:sz w:val="32"/>
          <w:szCs w:val="32"/>
        </w:rPr>
      </w:pPr>
    </w:p>
    <w:p w14:paraId="6BAED8CD">
      <w:pPr>
        <w:pStyle w:val="15"/>
        <w:rPr>
          <w:rFonts w:ascii="宋体" w:hAnsi="宋体"/>
          <w:b/>
          <w:sz w:val="32"/>
          <w:szCs w:val="32"/>
        </w:rPr>
      </w:pPr>
    </w:p>
    <w:p w14:paraId="1336B570">
      <w:pPr>
        <w:pStyle w:val="15"/>
        <w:rPr>
          <w:rFonts w:ascii="宋体" w:hAnsi="宋体"/>
          <w:b/>
          <w:sz w:val="32"/>
          <w:szCs w:val="32"/>
        </w:rPr>
      </w:pPr>
    </w:p>
    <w:p w14:paraId="2667CC8F">
      <w:pPr>
        <w:adjustRightInd w:val="0"/>
        <w:snapToGrid w:val="0"/>
        <w:spacing w:before="120" w:beforeLines="50" w:line="360" w:lineRule="auto"/>
        <w:ind w:hanging="315"/>
        <w:rPr>
          <w:rFonts w:ascii="宋体"/>
        </w:rPr>
      </w:pPr>
    </w:p>
    <w:p w14:paraId="5413034C">
      <w:pPr>
        <w:ind w:hanging="315"/>
      </w:pPr>
    </w:p>
    <w:p w14:paraId="49B0CFB5">
      <w:pPr>
        <w:widowControl/>
        <w:adjustRightInd w:val="0"/>
        <w:snapToGrid w:val="0"/>
        <w:spacing w:before="120" w:beforeLines="50" w:line="360" w:lineRule="auto"/>
        <w:ind w:left="331" w:hanging="331"/>
        <w:jc w:val="center"/>
        <w:rPr>
          <w:rFonts w:ascii="宋体" w:hAnsi="宋体"/>
          <w:b/>
          <w:sz w:val="22"/>
          <w:szCs w:val="22"/>
        </w:rPr>
      </w:pPr>
      <w:r>
        <w:rPr>
          <w:rFonts w:hint="eastAsia" w:ascii="宋体" w:hAnsi="宋体"/>
          <w:b/>
          <w:sz w:val="22"/>
          <w:szCs w:val="22"/>
        </w:rPr>
        <w:t>(全文完）</w:t>
      </w:r>
    </w:p>
    <w:p w14:paraId="0872482A">
      <w:pPr>
        <w:widowControl/>
        <w:spacing w:before="100" w:beforeAutospacing="1" w:after="96" w:afterAutospacing="1" w:line="408" w:lineRule="auto"/>
        <w:ind w:hanging="315"/>
        <w:jc w:val="center"/>
      </w:pPr>
    </w:p>
    <w:p w14:paraId="174A1F3D">
      <w:pPr>
        <w:ind w:hanging="315"/>
      </w:pPr>
    </w:p>
    <w:p w14:paraId="16409967">
      <w:pPr>
        <w:adjustRightInd w:val="0"/>
        <w:snapToGrid w:val="0"/>
        <w:spacing w:line="360" w:lineRule="auto"/>
        <w:ind w:hanging="315"/>
        <w:rPr>
          <w:rFonts w:ascii="宋体" w:hAnsi="宋体"/>
          <w:szCs w:val="21"/>
        </w:rPr>
      </w:pPr>
    </w:p>
    <w:p w14:paraId="497BE5AB">
      <w:pPr>
        <w:widowControl/>
        <w:adjustRightInd w:val="0"/>
        <w:snapToGrid w:val="0"/>
        <w:spacing w:before="120" w:beforeLines="50" w:line="360" w:lineRule="auto"/>
        <w:ind w:left="316" w:hanging="316"/>
        <w:rPr>
          <w:rFonts w:ascii="宋体" w:hAnsi="宋体"/>
          <w:b/>
          <w:szCs w:val="21"/>
        </w:rPr>
      </w:pPr>
    </w:p>
    <w:sectPr>
      <w:footerReference r:id="rId8" w:type="default"/>
      <w:pgSz w:w="11906" w:h="16838"/>
      <w:pgMar w:top="1440" w:right="1417" w:bottom="1440" w:left="141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32C7398-9CAE-431D-ADA8-5644066413B1}"/>
  </w:font>
  <w:font w:name="黑体">
    <w:panose1 w:val="02010609060101010101"/>
    <w:charset w:val="86"/>
    <w:family w:val="auto"/>
    <w:pitch w:val="default"/>
    <w:sig w:usb0="800002BF" w:usb1="38CF7CFA" w:usb2="00000016" w:usb3="00000000" w:csb0="00040001" w:csb1="00000000"/>
    <w:embedRegular r:id="rId2" w:fontKey="{695C137A-2874-4254-8AAB-C202730B0E30}"/>
  </w:font>
  <w:font w:name="Courier New">
    <w:panose1 w:val="02070309020205020404"/>
    <w:charset w:val="01"/>
    <w:family w:val="modern"/>
    <w:pitch w:val="default"/>
    <w:sig w:usb0="E0002EFF" w:usb1="C0007843" w:usb2="00000009" w:usb3="00000000" w:csb0="400001FF" w:csb1="FFFF0000"/>
    <w:embedRegular r:id="rId3" w:fontKey="{F7CCB5B8-9B5A-4A00-9D57-971B2A44C869}"/>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B0A273C1-C3C6-4314-AFB8-55014EFEA91C}"/>
  </w:font>
  <w:font w:name="仿宋_GB2312">
    <w:panose1 w:val="02010609030101010101"/>
    <w:charset w:val="86"/>
    <w:family w:val="modern"/>
    <w:pitch w:val="default"/>
    <w:sig w:usb0="00000001" w:usb1="080E0000" w:usb2="00000000" w:usb3="00000000" w:csb0="00040000" w:csb1="00000000"/>
    <w:embedRegular r:id="rId5" w:fontKey="{F930C6DC-156F-47C8-A633-9B96DD2E12DA}"/>
  </w:font>
  <w:font w:name="楷体_GB2312">
    <w:panose1 w:val="02010609030101010101"/>
    <w:charset w:val="86"/>
    <w:family w:val="modern"/>
    <w:pitch w:val="default"/>
    <w:sig w:usb0="00000001" w:usb1="080E0000" w:usb2="00000000" w:usb3="00000000" w:csb0="00040000" w:csb1="00000000"/>
    <w:embedRegular r:id="rId6" w:fontKey="{10AEAB30-E786-4B6A-B4AB-691C7E52A2FD}"/>
  </w:font>
  <w:font w:name="Cambria">
    <w:panose1 w:val="02040503050406030204"/>
    <w:charset w:val="00"/>
    <w:family w:val="roman"/>
    <w:pitch w:val="default"/>
    <w:sig w:usb0="E00006FF" w:usb1="420024FF" w:usb2="02000000" w:usb3="00000000" w:csb0="2000019F" w:csb1="00000000"/>
  </w:font>
  <w:font w:name="Arail">
    <w:altName w:val="Times New Roman"/>
    <w:panose1 w:val="00000000000000000000"/>
    <w:charset w:val="00"/>
    <w:family w:val="roman"/>
    <w:pitch w:val="default"/>
    <w:sig w:usb0="00000000" w:usb1="00000000" w:usb2="00000000" w:usb3="00000000" w:csb0="00040001" w:csb1="00000000"/>
  </w:font>
  <w:font w:name="MS Sans Serif">
    <w:altName w:val="Arial"/>
    <w:panose1 w:val="020B0500000000000000"/>
    <w:charset w:val="00"/>
    <w:family w:val="swiss"/>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roman"/>
    <w:pitch w:val="default"/>
    <w:sig w:usb0="FFFFFFFF" w:usb1="E9FFFFFF" w:usb2="0000003F" w:usb3="00000000" w:csb0="603F01FF" w:csb1="FFFF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embedRegular r:id="rId7" w:fontKey="{4635CF37-8E1C-469A-9763-A51D04676FFE}"/>
  </w:font>
  <w:font w:name="华文中宋">
    <w:panose1 w:val="02010600040101010101"/>
    <w:charset w:val="86"/>
    <w:family w:val="auto"/>
    <w:pitch w:val="default"/>
    <w:sig w:usb0="00000287" w:usb1="080F0000" w:usb2="00000000" w:usb3="00000000" w:csb0="0004009F" w:csb1="DFD70000"/>
    <w:embedRegular r:id="rId8" w:fontKey="{F5DCE4A9-A1AD-48E2-9963-68A8C0969BDE}"/>
  </w:font>
  <w:font w:name="方正小标宋简体">
    <w:panose1 w:val="02010600010101010101"/>
    <w:charset w:val="86"/>
    <w:family w:val="auto"/>
    <w:pitch w:val="default"/>
    <w:sig w:usb0="00000001" w:usb1="080E0000" w:usb2="00000000" w:usb3="00000000" w:csb0="00040000" w:csb1="00000000"/>
    <w:embedRegular r:id="rId9" w:fontKey="{980EE5AD-2DF8-459A-BD92-B6CBBEF9672C}"/>
  </w:font>
  <w:font w:name="新宋体">
    <w:panose1 w:val="02010609030101010101"/>
    <w:charset w:val="86"/>
    <w:family w:val="modern"/>
    <w:pitch w:val="default"/>
    <w:sig w:usb0="00000203" w:usb1="288F0000" w:usb2="00000006" w:usb3="00000000" w:csb0="00040001" w:csb1="00000000"/>
    <w:embedRegular r:id="rId10" w:fontKey="{B817EDF8-B0F3-4BAF-A77D-3ED770833CDD}"/>
  </w:font>
  <w:font w:name="隶书">
    <w:panose1 w:val="02010509060101010101"/>
    <w:charset w:val="86"/>
    <w:family w:val="modern"/>
    <w:pitch w:val="default"/>
    <w:sig w:usb0="00000001" w:usb1="080E0000" w:usb2="00000000" w:usb3="00000000" w:csb0="00040000" w:csb1="00000000"/>
    <w:embedRegular r:id="rId11" w:fontKey="{E68727B6-C57E-41D7-800E-B750202DFD44}"/>
  </w:font>
  <w:font w:name="Calibri Light">
    <w:panose1 w:val="020F0302020204030204"/>
    <w:charset w:val="00"/>
    <w:family w:val="swiss"/>
    <w:pitch w:val="default"/>
    <w:sig w:usb0="E4002EFF" w:usb1="C200247B" w:usb2="00000009" w:usb3="00000000" w:csb0="200001FF" w:csb1="00000000"/>
    <w:embedRegular r:id="rId12" w:fontKey="{05A4D86A-27F4-44B0-A783-03CEA1ACEB6C}"/>
  </w:font>
  <w:font w:name="仿宋">
    <w:panose1 w:val="02010609060101010101"/>
    <w:charset w:val="86"/>
    <w:family w:val="modern"/>
    <w:pitch w:val="default"/>
    <w:sig w:usb0="800002BF" w:usb1="38CF7CFA" w:usb2="00000016" w:usb3="00000000" w:csb0="00040001" w:csb1="00000000"/>
    <w:embedRegular r:id="rId13" w:fontKey="{A87EA69F-F740-4CFB-9D8A-C4DF32C59873}"/>
  </w:font>
  <w:font w:name="微软雅黑">
    <w:panose1 w:val="020B0503020204020204"/>
    <w:charset w:val="86"/>
    <w:family w:val="swiss"/>
    <w:pitch w:val="default"/>
    <w:sig w:usb0="80000287" w:usb1="2ACF3C50" w:usb2="00000016" w:usb3="00000000" w:csb0="0004001F" w:csb1="00000000"/>
    <w:embedRegular r:id="rId14" w:fontKey="{30DF1A04-2EA2-4400-ADF7-145C60ECDCF9}"/>
  </w:font>
  <w:font w:name="WPSEMBED122">
    <w:panose1 w:val="02010609030101010101"/>
    <w:charset w:val="86"/>
    <w:family w:val="auto"/>
    <w:pitch w:val="default"/>
    <w:sig w:usb0="00000001" w:usb1="080E0000" w:usb2="00000000" w:usb3="00000000" w:csb0="00040000" w:csb1="00000000"/>
  </w:font>
  <w:font w:name="WPSEMBED12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30901">
    <w:pPr>
      <w:pStyle w:val="29"/>
      <w:ind w:left="240" w:right="359" w:rightChars="171" w:hanging="240" w:hangingChars="100"/>
      <w:jc w:val="center"/>
      <w:rPr>
        <w:rFonts w:eastAsia="楷体_GB2312"/>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FC484">
    <w:pPr>
      <w:widowControl w:val="0"/>
      <w:tabs>
        <w:tab w:val="center" w:pos="4153"/>
        <w:tab w:val="right" w:pos="8306"/>
      </w:tabs>
      <w:snapToGrid w:val="0"/>
      <w:ind w:left="180" w:right="359" w:rightChars="171" w:hanging="180" w:hangingChars="10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01917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9</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7701917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9</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D510A">
    <w:pPr>
      <w:pStyle w:val="29"/>
      <w:ind w:left="240" w:right="359" w:rightChars="171" w:hanging="240" w:hangingChars="100"/>
      <w:jc w:val="center"/>
      <w:rPr>
        <w:rFonts w:eastAsia="楷体_GB2312"/>
        <w:sz w:val="24"/>
        <w:szCs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2C7396">
                          <w:pPr>
                            <w:pStyle w:val="2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2C7396">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32D01">
    <w:pPr>
      <w:pStyle w:val="31"/>
      <w:jc w:val="left"/>
      <w:rPr>
        <w:rFonts w:ascii="Calibri" w:hAnsi="Calibri"/>
        <w:sz w:val="21"/>
        <w:szCs w:val="21"/>
      </w:rPr>
    </w:pPr>
    <w:r>
      <w:rPr>
        <w:rFonts w:hint="eastAsia" w:ascii="Calibri" w:hAnsi="Calibri"/>
        <w:sz w:val="21"/>
        <w:szCs w:val="21"/>
        <w:lang w:val="en-US" w:eastAsia="zh-CN"/>
      </w:rPr>
      <w:t>湘潭大学</w:t>
    </w:r>
    <w:r>
      <w:rPr>
        <w:rFonts w:hint="eastAsia" w:ascii="Calibri" w:hAnsi="Calibri"/>
        <w:sz w:val="21"/>
        <w:szCs w:val="21"/>
        <w:lang w:eastAsia="zh-CN"/>
      </w:rPr>
      <w:t>综合实验大楼地下室提质改造工程</w:t>
    </w:r>
    <w:r>
      <w:rPr>
        <w:rFonts w:hint="eastAsia" w:ascii="Calibri" w:hAnsi="Calibri"/>
        <w:sz w:val="21"/>
        <w:szCs w:val="21"/>
      </w:rPr>
      <w:t xml:space="preserve">    </w:t>
    </w:r>
    <w:r>
      <w:rPr>
        <w:rFonts w:hint="eastAsia" w:ascii="Calibri" w:hAnsi="Calibri"/>
        <w:sz w:val="21"/>
        <w:szCs w:val="21"/>
        <w:lang w:val="en-US" w:eastAsia="zh-CN"/>
      </w:rPr>
      <w:t xml:space="preserve">  </w:t>
    </w:r>
    <w:r>
      <w:rPr>
        <w:rFonts w:hint="eastAsia" w:ascii="Calibri" w:hAnsi="Calibri"/>
        <w:sz w:val="21"/>
        <w:szCs w:val="21"/>
      </w:rPr>
      <w:t xml:space="preserve">           </w:t>
    </w:r>
    <w:r>
      <w:rPr>
        <w:rFonts w:hint="eastAsia" w:ascii="Calibri" w:hAnsi="Calibri"/>
        <w:sz w:val="21"/>
        <w:szCs w:val="21"/>
        <w:lang w:val="en-US" w:eastAsia="zh-CN"/>
      </w:rPr>
      <w:t xml:space="preserve">                       </w:t>
    </w:r>
    <w:r>
      <w:rPr>
        <w:rFonts w:hint="eastAsia" w:ascii="Calibri" w:hAnsi="Calibri"/>
        <w:sz w:val="21"/>
        <w:szCs w:val="21"/>
      </w:rPr>
      <w:t>磋商文件</w:t>
    </w:r>
  </w:p>
  <w:p w14:paraId="30D7D28C">
    <w:pPr>
      <w:pStyle w:val="25"/>
      <w:pBdr>
        <w:bottom w:val="none" w:color="auto" w:sz="0" w:space="0"/>
      </w:pBdr>
      <w:ind w:left="271" w:hanging="271"/>
      <w:jc w:val="center"/>
      <w:rPr>
        <w:rFonts w:ascii="仿宋_GB2312" w:eastAsia="仿宋_GB2312"/>
        <w:b/>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0C994">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11755">
    <w:pPr>
      <w:pStyle w:val="31"/>
      <w:jc w:val="left"/>
      <w:rPr>
        <w:rFonts w:ascii="宋体" w:hAnsi="Courier New" w:eastAsia="宋体" w:cs="Courier New"/>
        <w:kern w:val="2"/>
        <w:sz w:val="21"/>
        <w:szCs w:val="21"/>
        <w:lang w:val="en-US" w:eastAsia="zh-CN" w:bidi="ar-SA"/>
      </w:rPr>
    </w:pPr>
    <w:r>
      <w:rPr>
        <w:rFonts w:hint="eastAsia" w:ascii="Calibri" w:hAnsi="Calibri"/>
        <w:sz w:val="21"/>
        <w:szCs w:val="21"/>
        <w:lang w:val="en-US" w:eastAsia="zh-CN"/>
      </w:rPr>
      <w:t>湘潭大学</w:t>
    </w:r>
    <w:r>
      <w:rPr>
        <w:rFonts w:hint="eastAsia" w:ascii="Calibri" w:hAnsi="Calibri"/>
        <w:sz w:val="21"/>
        <w:szCs w:val="21"/>
        <w:lang w:eastAsia="zh-CN"/>
      </w:rPr>
      <w:t>综合实验大楼地下室提质改造工程</w:t>
    </w:r>
    <w:r>
      <w:rPr>
        <w:rFonts w:hint="eastAsia" w:ascii="Calibri" w:hAnsi="Calibri"/>
        <w:sz w:val="21"/>
        <w:szCs w:val="21"/>
      </w:rPr>
      <w:t xml:space="preserve">    </w:t>
    </w:r>
    <w:r>
      <w:rPr>
        <w:rFonts w:hint="eastAsia" w:ascii="Calibri" w:hAnsi="Calibri"/>
        <w:sz w:val="21"/>
        <w:szCs w:val="21"/>
        <w:lang w:val="en-US" w:eastAsia="zh-CN"/>
      </w:rPr>
      <w:t xml:space="preserve">  </w:t>
    </w:r>
    <w:r>
      <w:rPr>
        <w:rFonts w:hint="eastAsia" w:ascii="Calibri" w:hAnsi="Calibri"/>
        <w:sz w:val="21"/>
        <w:szCs w:val="21"/>
      </w:rPr>
      <w:t xml:space="preserve">           </w:t>
    </w:r>
    <w:r>
      <w:rPr>
        <w:rFonts w:hint="eastAsia" w:ascii="Calibri" w:hAnsi="Calibri"/>
        <w:sz w:val="21"/>
        <w:szCs w:val="21"/>
        <w:lang w:val="en-US" w:eastAsia="zh-CN"/>
      </w:rPr>
      <w:t xml:space="preserve">                      </w:t>
    </w:r>
    <w:r>
      <w:rPr>
        <w:rFonts w:hint="eastAsia" w:ascii="Calibri" w:hAnsi="Calibri"/>
        <w:sz w:val="21"/>
        <w:szCs w:val="21"/>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52A85"/>
    <w:multiLevelType w:val="singleLevel"/>
    <w:tmpl w:val="97652A85"/>
    <w:lvl w:ilvl="0" w:tentative="0">
      <w:start w:val="2"/>
      <w:numFmt w:val="chineseCounting"/>
      <w:suff w:val="nothing"/>
      <w:lvlText w:val="%1、"/>
      <w:lvlJc w:val="left"/>
      <w:rPr>
        <w:rFonts w:hint="eastAsia"/>
      </w:rPr>
    </w:lvl>
  </w:abstractNum>
  <w:abstractNum w:abstractNumId="1">
    <w:nsid w:val="A162169C"/>
    <w:multiLevelType w:val="singleLevel"/>
    <w:tmpl w:val="A162169C"/>
    <w:lvl w:ilvl="0" w:tentative="0">
      <w:start w:val="2"/>
      <w:numFmt w:val="decimal"/>
      <w:lvlText w:val="%1."/>
      <w:lvlJc w:val="left"/>
      <w:pPr>
        <w:tabs>
          <w:tab w:val="left" w:pos="312"/>
        </w:tabs>
      </w:pPr>
    </w:lvl>
  </w:abstractNum>
  <w:abstractNum w:abstractNumId="2">
    <w:nsid w:val="E16DB6A7"/>
    <w:multiLevelType w:val="singleLevel"/>
    <w:tmpl w:val="E16DB6A7"/>
    <w:lvl w:ilvl="0" w:tentative="0">
      <w:start w:val="4"/>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g4MWJjZmFlYjc0YWFkMmZiYzZmYzkxZjRlMThhYzYifQ=="/>
    <w:docVar w:name="KSO_WPS_MARK_KEY" w:val="b9654e4f-638f-49eb-b90e-307d0d51f0ca"/>
  </w:docVars>
  <w:rsids>
    <w:rsidRoot w:val="00496D5A"/>
    <w:rsid w:val="000026CD"/>
    <w:rsid w:val="0000689C"/>
    <w:rsid w:val="00006D54"/>
    <w:rsid w:val="00007183"/>
    <w:rsid w:val="00010AA2"/>
    <w:rsid w:val="00011684"/>
    <w:rsid w:val="00011F75"/>
    <w:rsid w:val="00012CB6"/>
    <w:rsid w:val="000143A9"/>
    <w:rsid w:val="000152CE"/>
    <w:rsid w:val="000156E2"/>
    <w:rsid w:val="000165F2"/>
    <w:rsid w:val="000179DA"/>
    <w:rsid w:val="00024344"/>
    <w:rsid w:val="000247D5"/>
    <w:rsid w:val="00024E29"/>
    <w:rsid w:val="00024EBC"/>
    <w:rsid w:val="00025986"/>
    <w:rsid w:val="00026B4C"/>
    <w:rsid w:val="00026FD7"/>
    <w:rsid w:val="00027240"/>
    <w:rsid w:val="00027406"/>
    <w:rsid w:val="0002779F"/>
    <w:rsid w:val="0002791B"/>
    <w:rsid w:val="00027D5B"/>
    <w:rsid w:val="00030495"/>
    <w:rsid w:val="000313EC"/>
    <w:rsid w:val="00031583"/>
    <w:rsid w:val="000328D7"/>
    <w:rsid w:val="00034641"/>
    <w:rsid w:val="00037E98"/>
    <w:rsid w:val="00040807"/>
    <w:rsid w:val="00040D86"/>
    <w:rsid w:val="00041F5E"/>
    <w:rsid w:val="000441C7"/>
    <w:rsid w:val="000444EB"/>
    <w:rsid w:val="00044BFE"/>
    <w:rsid w:val="00051E2A"/>
    <w:rsid w:val="0005274D"/>
    <w:rsid w:val="00052D47"/>
    <w:rsid w:val="00053DE3"/>
    <w:rsid w:val="00054846"/>
    <w:rsid w:val="0005520D"/>
    <w:rsid w:val="00055D1A"/>
    <w:rsid w:val="0005632B"/>
    <w:rsid w:val="000579EF"/>
    <w:rsid w:val="00063E5F"/>
    <w:rsid w:val="000640EC"/>
    <w:rsid w:val="000641A5"/>
    <w:rsid w:val="00064807"/>
    <w:rsid w:val="00065D9C"/>
    <w:rsid w:val="00066BEA"/>
    <w:rsid w:val="00067E40"/>
    <w:rsid w:val="00077B6F"/>
    <w:rsid w:val="00080636"/>
    <w:rsid w:val="00080709"/>
    <w:rsid w:val="00081249"/>
    <w:rsid w:val="000818D8"/>
    <w:rsid w:val="00081FA6"/>
    <w:rsid w:val="0008252B"/>
    <w:rsid w:val="000828F7"/>
    <w:rsid w:val="00082D83"/>
    <w:rsid w:val="00086A97"/>
    <w:rsid w:val="00090C5D"/>
    <w:rsid w:val="0009126C"/>
    <w:rsid w:val="00091475"/>
    <w:rsid w:val="000922C8"/>
    <w:rsid w:val="000928BC"/>
    <w:rsid w:val="000943CC"/>
    <w:rsid w:val="00095022"/>
    <w:rsid w:val="000952E7"/>
    <w:rsid w:val="00097AEC"/>
    <w:rsid w:val="00097EC7"/>
    <w:rsid w:val="000A079C"/>
    <w:rsid w:val="000A2407"/>
    <w:rsid w:val="000A2941"/>
    <w:rsid w:val="000A3E58"/>
    <w:rsid w:val="000A604E"/>
    <w:rsid w:val="000A6970"/>
    <w:rsid w:val="000B422C"/>
    <w:rsid w:val="000B5ABD"/>
    <w:rsid w:val="000B6963"/>
    <w:rsid w:val="000B699D"/>
    <w:rsid w:val="000B72E3"/>
    <w:rsid w:val="000C2B71"/>
    <w:rsid w:val="000C2BA1"/>
    <w:rsid w:val="000C3661"/>
    <w:rsid w:val="000C3C47"/>
    <w:rsid w:val="000C3D6F"/>
    <w:rsid w:val="000C5109"/>
    <w:rsid w:val="000C585B"/>
    <w:rsid w:val="000C5B6D"/>
    <w:rsid w:val="000C5BDA"/>
    <w:rsid w:val="000C714A"/>
    <w:rsid w:val="000D0E92"/>
    <w:rsid w:val="000D1A14"/>
    <w:rsid w:val="000D1F4B"/>
    <w:rsid w:val="000D38F1"/>
    <w:rsid w:val="000D54CD"/>
    <w:rsid w:val="000D7196"/>
    <w:rsid w:val="000E1E33"/>
    <w:rsid w:val="000E3452"/>
    <w:rsid w:val="000E430C"/>
    <w:rsid w:val="000E5168"/>
    <w:rsid w:val="000F1ED4"/>
    <w:rsid w:val="000F23B9"/>
    <w:rsid w:val="000F314F"/>
    <w:rsid w:val="000F5486"/>
    <w:rsid w:val="000F79FA"/>
    <w:rsid w:val="00100664"/>
    <w:rsid w:val="00100878"/>
    <w:rsid w:val="001016B9"/>
    <w:rsid w:val="001039A9"/>
    <w:rsid w:val="00103CE3"/>
    <w:rsid w:val="00106CB3"/>
    <w:rsid w:val="00107232"/>
    <w:rsid w:val="0011285B"/>
    <w:rsid w:val="0011494C"/>
    <w:rsid w:val="00115E74"/>
    <w:rsid w:val="001167A7"/>
    <w:rsid w:val="0012198B"/>
    <w:rsid w:val="00121AD0"/>
    <w:rsid w:val="00122512"/>
    <w:rsid w:val="0012340C"/>
    <w:rsid w:val="00123959"/>
    <w:rsid w:val="001240A1"/>
    <w:rsid w:val="00124A33"/>
    <w:rsid w:val="001256EF"/>
    <w:rsid w:val="001269CE"/>
    <w:rsid w:val="00127819"/>
    <w:rsid w:val="00130881"/>
    <w:rsid w:val="00130BB4"/>
    <w:rsid w:val="001318DD"/>
    <w:rsid w:val="001324C6"/>
    <w:rsid w:val="001344E3"/>
    <w:rsid w:val="00134EEC"/>
    <w:rsid w:val="001364C1"/>
    <w:rsid w:val="001416D5"/>
    <w:rsid w:val="00142461"/>
    <w:rsid w:val="001424B5"/>
    <w:rsid w:val="00147E27"/>
    <w:rsid w:val="00154ED0"/>
    <w:rsid w:val="0015686C"/>
    <w:rsid w:val="00160437"/>
    <w:rsid w:val="00160B71"/>
    <w:rsid w:val="00161974"/>
    <w:rsid w:val="001627FE"/>
    <w:rsid w:val="001652A3"/>
    <w:rsid w:val="00165389"/>
    <w:rsid w:val="001657AE"/>
    <w:rsid w:val="00166CD1"/>
    <w:rsid w:val="001672AE"/>
    <w:rsid w:val="00167513"/>
    <w:rsid w:val="00167D4D"/>
    <w:rsid w:val="00167E36"/>
    <w:rsid w:val="001706D6"/>
    <w:rsid w:val="0017108F"/>
    <w:rsid w:val="001717E4"/>
    <w:rsid w:val="00172007"/>
    <w:rsid w:val="00172683"/>
    <w:rsid w:val="00172983"/>
    <w:rsid w:val="00172AC1"/>
    <w:rsid w:val="00174093"/>
    <w:rsid w:val="00174AD2"/>
    <w:rsid w:val="0017639C"/>
    <w:rsid w:val="00177537"/>
    <w:rsid w:val="00181753"/>
    <w:rsid w:val="00181EF7"/>
    <w:rsid w:val="00182444"/>
    <w:rsid w:val="0018284B"/>
    <w:rsid w:val="00182ADB"/>
    <w:rsid w:val="001871C4"/>
    <w:rsid w:val="0018787D"/>
    <w:rsid w:val="00190C6A"/>
    <w:rsid w:val="00190F87"/>
    <w:rsid w:val="00191704"/>
    <w:rsid w:val="00192A69"/>
    <w:rsid w:val="00193386"/>
    <w:rsid w:val="00194A9F"/>
    <w:rsid w:val="00194E27"/>
    <w:rsid w:val="00195154"/>
    <w:rsid w:val="001957CF"/>
    <w:rsid w:val="00197DB3"/>
    <w:rsid w:val="001A0051"/>
    <w:rsid w:val="001A27C7"/>
    <w:rsid w:val="001A2811"/>
    <w:rsid w:val="001A5435"/>
    <w:rsid w:val="001B06E9"/>
    <w:rsid w:val="001B229F"/>
    <w:rsid w:val="001B24C3"/>
    <w:rsid w:val="001B282F"/>
    <w:rsid w:val="001B4FB6"/>
    <w:rsid w:val="001B5065"/>
    <w:rsid w:val="001B5066"/>
    <w:rsid w:val="001B56C9"/>
    <w:rsid w:val="001B5F14"/>
    <w:rsid w:val="001B6E2A"/>
    <w:rsid w:val="001B7F3D"/>
    <w:rsid w:val="001C30E6"/>
    <w:rsid w:val="001C3F44"/>
    <w:rsid w:val="001C4403"/>
    <w:rsid w:val="001C5642"/>
    <w:rsid w:val="001C598A"/>
    <w:rsid w:val="001C59EB"/>
    <w:rsid w:val="001C5E95"/>
    <w:rsid w:val="001C6863"/>
    <w:rsid w:val="001C7DB0"/>
    <w:rsid w:val="001C7EEC"/>
    <w:rsid w:val="001D06AE"/>
    <w:rsid w:val="001D0713"/>
    <w:rsid w:val="001D0ECD"/>
    <w:rsid w:val="001D1504"/>
    <w:rsid w:val="001D202C"/>
    <w:rsid w:val="001D23B3"/>
    <w:rsid w:val="001D23F4"/>
    <w:rsid w:val="001D4466"/>
    <w:rsid w:val="001D6192"/>
    <w:rsid w:val="001D62AA"/>
    <w:rsid w:val="001E0AF2"/>
    <w:rsid w:val="001E32EC"/>
    <w:rsid w:val="001E4721"/>
    <w:rsid w:val="001E5332"/>
    <w:rsid w:val="001F01BB"/>
    <w:rsid w:val="001F2C74"/>
    <w:rsid w:val="001F3061"/>
    <w:rsid w:val="001F7AED"/>
    <w:rsid w:val="00200538"/>
    <w:rsid w:val="00200EA4"/>
    <w:rsid w:val="00202D0B"/>
    <w:rsid w:val="00203642"/>
    <w:rsid w:val="002037B4"/>
    <w:rsid w:val="002037DB"/>
    <w:rsid w:val="00203883"/>
    <w:rsid w:val="00205190"/>
    <w:rsid w:val="00206968"/>
    <w:rsid w:val="00206FCE"/>
    <w:rsid w:val="00207162"/>
    <w:rsid w:val="0020791D"/>
    <w:rsid w:val="00211C0E"/>
    <w:rsid w:val="002131F5"/>
    <w:rsid w:val="00215325"/>
    <w:rsid w:val="002158D3"/>
    <w:rsid w:val="0021675C"/>
    <w:rsid w:val="00217B8D"/>
    <w:rsid w:val="00220CCA"/>
    <w:rsid w:val="0022133D"/>
    <w:rsid w:val="002221D6"/>
    <w:rsid w:val="002223E0"/>
    <w:rsid w:val="00222626"/>
    <w:rsid w:val="0022399B"/>
    <w:rsid w:val="00223AAF"/>
    <w:rsid w:val="00223E9B"/>
    <w:rsid w:val="00224FFD"/>
    <w:rsid w:val="0022535F"/>
    <w:rsid w:val="00226029"/>
    <w:rsid w:val="00226977"/>
    <w:rsid w:val="002270C6"/>
    <w:rsid w:val="0023047C"/>
    <w:rsid w:val="002328E2"/>
    <w:rsid w:val="00233ED9"/>
    <w:rsid w:val="0023455F"/>
    <w:rsid w:val="00234E98"/>
    <w:rsid w:val="002355BB"/>
    <w:rsid w:val="002361F9"/>
    <w:rsid w:val="00242EFF"/>
    <w:rsid w:val="00243709"/>
    <w:rsid w:val="00245060"/>
    <w:rsid w:val="00245A92"/>
    <w:rsid w:val="00246570"/>
    <w:rsid w:val="0024676F"/>
    <w:rsid w:val="002502DD"/>
    <w:rsid w:val="002506C4"/>
    <w:rsid w:val="00251627"/>
    <w:rsid w:val="002521C1"/>
    <w:rsid w:val="0025268F"/>
    <w:rsid w:val="00254E1D"/>
    <w:rsid w:val="00255155"/>
    <w:rsid w:val="00256891"/>
    <w:rsid w:val="00256A78"/>
    <w:rsid w:val="00257451"/>
    <w:rsid w:val="0026016B"/>
    <w:rsid w:val="00260478"/>
    <w:rsid w:val="00262D14"/>
    <w:rsid w:val="0026499F"/>
    <w:rsid w:val="00264A5A"/>
    <w:rsid w:val="00264C4D"/>
    <w:rsid w:val="002660F6"/>
    <w:rsid w:val="00266DB2"/>
    <w:rsid w:val="00266E91"/>
    <w:rsid w:val="0027134E"/>
    <w:rsid w:val="0027147F"/>
    <w:rsid w:val="002715BE"/>
    <w:rsid w:val="00273E7D"/>
    <w:rsid w:val="00276A4E"/>
    <w:rsid w:val="00281493"/>
    <w:rsid w:val="00285665"/>
    <w:rsid w:val="002859F6"/>
    <w:rsid w:val="002860A4"/>
    <w:rsid w:val="002869D7"/>
    <w:rsid w:val="00286FD0"/>
    <w:rsid w:val="00290033"/>
    <w:rsid w:val="00290B4C"/>
    <w:rsid w:val="00290F02"/>
    <w:rsid w:val="00290F35"/>
    <w:rsid w:val="00291C33"/>
    <w:rsid w:val="00292999"/>
    <w:rsid w:val="0029328A"/>
    <w:rsid w:val="002938EB"/>
    <w:rsid w:val="002942E2"/>
    <w:rsid w:val="00295B75"/>
    <w:rsid w:val="00295E49"/>
    <w:rsid w:val="002A03CB"/>
    <w:rsid w:val="002A1B5A"/>
    <w:rsid w:val="002A41F5"/>
    <w:rsid w:val="002A4EB3"/>
    <w:rsid w:val="002A4EE1"/>
    <w:rsid w:val="002A5C69"/>
    <w:rsid w:val="002A6ED0"/>
    <w:rsid w:val="002B2A9E"/>
    <w:rsid w:val="002B4521"/>
    <w:rsid w:val="002B4C00"/>
    <w:rsid w:val="002B5852"/>
    <w:rsid w:val="002B5F66"/>
    <w:rsid w:val="002B5F8D"/>
    <w:rsid w:val="002B603D"/>
    <w:rsid w:val="002B7325"/>
    <w:rsid w:val="002B7DD6"/>
    <w:rsid w:val="002C184B"/>
    <w:rsid w:val="002C293C"/>
    <w:rsid w:val="002C2D23"/>
    <w:rsid w:val="002C3A1D"/>
    <w:rsid w:val="002C3D4F"/>
    <w:rsid w:val="002C46B0"/>
    <w:rsid w:val="002C47EE"/>
    <w:rsid w:val="002C7132"/>
    <w:rsid w:val="002C7908"/>
    <w:rsid w:val="002D0192"/>
    <w:rsid w:val="002D0854"/>
    <w:rsid w:val="002D3C96"/>
    <w:rsid w:val="002D3D24"/>
    <w:rsid w:val="002D54FC"/>
    <w:rsid w:val="002D6895"/>
    <w:rsid w:val="002E17E0"/>
    <w:rsid w:val="002E2AB7"/>
    <w:rsid w:val="002E2BB7"/>
    <w:rsid w:val="002E3455"/>
    <w:rsid w:val="002E356B"/>
    <w:rsid w:val="002E3B50"/>
    <w:rsid w:val="002E6042"/>
    <w:rsid w:val="002E6A2A"/>
    <w:rsid w:val="002F0548"/>
    <w:rsid w:val="002F0EFC"/>
    <w:rsid w:val="002F1B01"/>
    <w:rsid w:val="002F1FA9"/>
    <w:rsid w:val="002F21C8"/>
    <w:rsid w:val="002F4237"/>
    <w:rsid w:val="002F42D5"/>
    <w:rsid w:val="002F4BAF"/>
    <w:rsid w:val="002F6FDB"/>
    <w:rsid w:val="002F7CFF"/>
    <w:rsid w:val="0030063D"/>
    <w:rsid w:val="00301B5A"/>
    <w:rsid w:val="003054D6"/>
    <w:rsid w:val="00305728"/>
    <w:rsid w:val="003072D6"/>
    <w:rsid w:val="00311078"/>
    <w:rsid w:val="00311499"/>
    <w:rsid w:val="00311C75"/>
    <w:rsid w:val="00311EFD"/>
    <w:rsid w:val="003136E5"/>
    <w:rsid w:val="00313BC8"/>
    <w:rsid w:val="0031417B"/>
    <w:rsid w:val="00315761"/>
    <w:rsid w:val="003170A5"/>
    <w:rsid w:val="003174E9"/>
    <w:rsid w:val="00317CD3"/>
    <w:rsid w:val="0032126E"/>
    <w:rsid w:val="00321C75"/>
    <w:rsid w:val="00323F4F"/>
    <w:rsid w:val="00325055"/>
    <w:rsid w:val="00326D13"/>
    <w:rsid w:val="003303DC"/>
    <w:rsid w:val="00331A2E"/>
    <w:rsid w:val="00332134"/>
    <w:rsid w:val="00332937"/>
    <w:rsid w:val="003333D7"/>
    <w:rsid w:val="00333943"/>
    <w:rsid w:val="003355F2"/>
    <w:rsid w:val="00336F90"/>
    <w:rsid w:val="00337807"/>
    <w:rsid w:val="00340105"/>
    <w:rsid w:val="00340B6E"/>
    <w:rsid w:val="0034116B"/>
    <w:rsid w:val="00341264"/>
    <w:rsid w:val="003412D4"/>
    <w:rsid w:val="00342089"/>
    <w:rsid w:val="0034516B"/>
    <w:rsid w:val="0034572F"/>
    <w:rsid w:val="00345C90"/>
    <w:rsid w:val="003469E4"/>
    <w:rsid w:val="00346F60"/>
    <w:rsid w:val="003476A3"/>
    <w:rsid w:val="00347B72"/>
    <w:rsid w:val="0035131B"/>
    <w:rsid w:val="0035132F"/>
    <w:rsid w:val="0035331E"/>
    <w:rsid w:val="00354303"/>
    <w:rsid w:val="003561AD"/>
    <w:rsid w:val="00357156"/>
    <w:rsid w:val="003610D2"/>
    <w:rsid w:val="003678E7"/>
    <w:rsid w:val="00367C74"/>
    <w:rsid w:val="00367D96"/>
    <w:rsid w:val="0037058A"/>
    <w:rsid w:val="00374E53"/>
    <w:rsid w:val="003754A0"/>
    <w:rsid w:val="00375901"/>
    <w:rsid w:val="00376191"/>
    <w:rsid w:val="00376306"/>
    <w:rsid w:val="003808D0"/>
    <w:rsid w:val="003831A6"/>
    <w:rsid w:val="003846B9"/>
    <w:rsid w:val="003851F2"/>
    <w:rsid w:val="00386BFC"/>
    <w:rsid w:val="00387C8A"/>
    <w:rsid w:val="003914B4"/>
    <w:rsid w:val="00391A73"/>
    <w:rsid w:val="003922B2"/>
    <w:rsid w:val="00392F26"/>
    <w:rsid w:val="003948FD"/>
    <w:rsid w:val="00396823"/>
    <w:rsid w:val="00397795"/>
    <w:rsid w:val="003A157C"/>
    <w:rsid w:val="003A6117"/>
    <w:rsid w:val="003A7E86"/>
    <w:rsid w:val="003B0AFE"/>
    <w:rsid w:val="003B1744"/>
    <w:rsid w:val="003B1D0C"/>
    <w:rsid w:val="003B2891"/>
    <w:rsid w:val="003B457D"/>
    <w:rsid w:val="003B5EA3"/>
    <w:rsid w:val="003B689E"/>
    <w:rsid w:val="003B6A76"/>
    <w:rsid w:val="003B72F1"/>
    <w:rsid w:val="003B780B"/>
    <w:rsid w:val="003C0BFE"/>
    <w:rsid w:val="003C2D05"/>
    <w:rsid w:val="003C3A5C"/>
    <w:rsid w:val="003C3EAB"/>
    <w:rsid w:val="003C4473"/>
    <w:rsid w:val="003C6100"/>
    <w:rsid w:val="003C6674"/>
    <w:rsid w:val="003C7959"/>
    <w:rsid w:val="003D1521"/>
    <w:rsid w:val="003D1943"/>
    <w:rsid w:val="003D1F2D"/>
    <w:rsid w:val="003D2297"/>
    <w:rsid w:val="003D4C57"/>
    <w:rsid w:val="003D4FD1"/>
    <w:rsid w:val="003E18E1"/>
    <w:rsid w:val="003E1DB5"/>
    <w:rsid w:val="003E1EFA"/>
    <w:rsid w:val="003E2A52"/>
    <w:rsid w:val="003E7B33"/>
    <w:rsid w:val="003F1B73"/>
    <w:rsid w:val="003F3E95"/>
    <w:rsid w:val="003F472F"/>
    <w:rsid w:val="003F4843"/>
    <w:rsid w:val="003F4E1C"/>
    <w:rsid w:val="003F529D"/>
    <w:rsid w:val="003F6908"/>
    <w:rsid w:val="003F6A20"/>
    <w:rsid w:val="003F7D02"/>
    <w:rsid w:val="00400D3F"/>
    <w:rsid w:val="00401DD0"/>
    <w:rsid w:val="004032E3"/>
    <w:rsid w:val="00404EED"/>
    <w:rsid w:val="00406731"/>
    <w:rsid w:val="004070D9"/>
    <w:rsid w:val="00410033"/>
    <w:rsid w:val="0041158C"/>
    <w:rsid w:val="0041176A"/>
    <w:rsid w:val="004117F0"/>
    <w:rsid w:val="00411B9C"/>
    <w:rsid w:val="00411C9F"/>
    <w:rsid w:val="00413620"/>
    <w:rsid w:val="00420348"/>
    <w:rsid w:val="004222DD"/>
    <w:rsid w:val="004238D7"/>
    <w:rsid w:val="004239C8"/>
    <w:rsid w:val="004244A2"/>
    <w:rsid w:val="004271DA"/>
    <w:rsid w:val="004277FA"/>
    <w:rsid w:val="00430191"/>
    <w:rsid w:val="00431725"/>
    <w:rsid w:val="004324D7"/>
    <w:rsid w:val="00432850"/>
    <w:rsid w:val="004331F6"/>
    <w:rsid w:val="00437510"/>
    <w:rsid w:val="00437B5B"/>
    <w:rsid w:val="00437C2B"/>
    <w:rsid w:val="00437E19"/>
    <w:rsid w:val="004409B2"/>
    <w:rsid w:val="00441209"/>
    <w:rsid w:val="004419A6"/>
    <w:rsid w:val="004436C8"/>
    <w:rsid w:val="00443866"/>
    <w:rsid w:val="0044464A"/>
    <w:rsid w:val="00444F92"/>
    <w:rsid w:val="004458E1"/>
    <w:rsid w:val="004469A8"/>
    <w:rsid w:val="004539CE"/>
    <w:rsid w:val="00456750"/>
    <w:rsid w:val="00457EBE"/>
    <w:rsid w:val="0046193B"/>
    <w:rsid w:val="00461D0C"/>
    <w:rsid w:val="00466F41"/>
    <w:rsid w:val="00470B4E"/>
    <w:rsid w:val="00470C01"/>
    <w:rsid w:val="00476B38"/>
    <w:rsid w:val="00481BDF"/>
    <w:rsid w:val="004836CC"/>
    <w:rsid w:val="00483D0A"/>
    <w:rsid w:val="00485D13"/>
    <w:rsid w:val="0048677F"/>
    <w:rsid w:val="00492CF6"/>
    <w:rsid w:val="00492D7A"/>
    <w:rsid w:val="00492DF8"/>
    <w:rsid w:val="004939B5"/>
    <w:rsid w:val="0049529F"/>
    <w:rsid w:val="00495EB1"/>
    <w:rsid w:val="00496D5A"/>
    <w:rsid w:val="00496E07"/>
    <w:rsid w:val="00497C7E"/>
    <w:rsid w:val="004A0502"/>
    <w:rsid w:val="004A2643"/>
    <w:rsid w:val="004A2A6A"/>
    <w:rsid w:val="004A5608"/>
    <w:rsid w:val="004A6990"/>
    <w:rsid w:val="004A7B3D"/>
    <w:rsid w:val="004B07DA"/>
    <w:rsid w:val="004B0F62"/>
    <w:rsid w:val="004B457D"/>
    <w:rsid w:val="004B49BE"/>
    <w:rsid w:val="004B59DF"/>
    <w:rsid w:val="004B7380"/>
    <w:rsid w:val="004B7992"/>
    <w:rsid w:val="004C1073"/>
    <w:rsid w:val="004C16AD"/>
    <w:rsid w:val="004C23A8"/>
    <w:rsid w:val="004C2802"/>
    <w:rsid w:val="004C3F19"/>
    <w:rsid w:val="004C3F73"/>
    <w:rsid w:val="004C4D2E"/>
    <w:rsid w:val="004C5A1C"/>
    <w:rsid w:val="004D04D0"/>
    <w:rsid w:val="004D18B0"/>
    <w:rsid w:val="004D1DC5"/>
    <w:rsid w:val="004D2E61"/>
    <w:rsid w:val="004D3018"/>
    <w:rsid w:val="004D3E0B"/>
    <w:rsid w:val="004D5918"/>
    <w:rsid w:val="004D63DD"/>
    <w:rsid w:val="004D67D6"/>
    <w:rsid w:val="004E14EA"/>
    <w:rsid w:val="004E6469"/>
    <w:rsid w:val="004E67F1"/>
    <w:rsid w:val="004E6B3F"/>
    <w:rsid w:val="004F09EA"/>
    <w:rsid w:val="004F330B"/>
    <w:rsid w:val="004F46DF"/>
    <w:rsid w:val="004F76F3"/>
    <w:rsid w:val="005013BA"/>
    <w:rsid w:val="00501BBB"/>
    <w:rsid w:val="00501E81"/>
    <w:rsid w:val="005029B6"/>
    <w:rsid w:val="00504192"/>
    <w:rsid w:val="00504385"/>
    <w:rsid w:val="0050464F"/>
    <w:rsid w:val="00505582"/>
    <w:rsid w:val="00506E00"/>
    <w:rsid w:val="00507D68"/>
    <w:rsid w:val="00510535"/>
    <w:rsid w:val="00515059"/>
    <w:rsid w:val="0051550B"/>
    <w:rsid w:val="00517F30"/>
    <w:rsid w:val="00517F69"/>
    <w:rsid w:val="00521F96"/>
    <w:rsid w:val="00522A24"/>
    <w:rsid w:val="0052522F"/>
    <w:rsid w:val="0052705B"/>
    <w:rsid w:val="0052727C"/>
    <w:rsid w:val="00527A73"/>
    <w:rsid w:val="00530025"/>
    <w:rsid w:val="00530E1E"/>
    <w:rsid w:val="005325DA"/>
    <w:rsid w:val="00532675"/>
    <w:rsid w:val="005327B1"/>
    <w:rsid w:val="00532903"/>
    <w:rsid w:val="00536AA3"/>
    <w:rsid w:val="0054187D"/>
    <w:rsid w:val="00541F16"/>
    <w:rsid w:val="00542BC8"/>
    <w:rsid w:val="0054323C"/>
    <w:rsid w:val="00543990"/>
    <w:rsid w:val="00544BC0"/>
    <w:rsid w:val="00546417"/>
    <w:rsid w:val="00546DF1"/>
    <w:rsid w:val="00547254"/>
    <w:rsid w:val="00547845"/>
    <w:rsid w:val="005509E3"/>
    <w:rsid w:val="00550D15"/>
    <w:rsid w:val="00550DB2"/>
    <w:rsid w:val="00551000"/>
    <w:rsid w:val="00552DF0"/>
    <w:rsid w:val="00553640"/>
    <w:rsid w:val="00553959"/>
    <w:rsid w:val="00554044"/>
    <w:rsid w:val="00554C89"/>
    <w:rsid w:val="0056199A"/>
    <w:rsid w:val="00563597"/>
    <w:rsid w:val="00563F1D"/>
    <w:rsid w:val="00566834"/>
    <w:rsid w:val="00566DDF"/>
    <w:rsid w:val="0057439D"/>
    <w:rsid w:val="005756EB"/>
    <w:rsid w:val="00575F19"/>
    <w:rsid w:val="00575F34"/>
    <w:rsid w:val="00576118"/>
    <w:rsid w:val="005765E4"/>
    <w:rsid w:val="005770DF"/>
    <w:rsid w:val="00577EFC"/>
    <w:rsid w:val="00580188"/>
    <w:rsid w:val="0058023E"/>
    <w:rsid w:val="0058038F"/>
    <w:rsid w:val="00580CC3"/>
    <w:rsid w:val="00582329"/>
    <w:rsid w:val="00582367"/>
    <w:rsid w:val="00583097"/>
    <w:rsid w:val="00583ABF"/>
    <w:rsid w:val="00584AB7"/>
    <w:rsid w:val="005855E8"/>
    <w:rsid w:val="00585BDF"/>
    <w:rsid w:val="00586507"/>
    <w:rsid w:val="00586DCF"/>
    <w:rsid w:val="00596362"/>
    <w:rsid w:val="00596918"/>
    <w:rsid w:val="00596D4D"/>
    <w:rsid w:val="00596D54"/>
    <w:rsid w:val="005A082C"/>
    <w:rsid w:val="005A130A"/>
    <w:rsid w:val="005A20EE"/>
    <w:rsid w:val="005A22A2"/>
    <w:rsid w:val="005A242B"/>
    <w:rsid w:val="005A2A0F"/>
    <w:rsid w:val="005A3897"/>
    <w:rsid w:val="005A6515"/>
    <w:rsid w:val="005B0646"/>
    <w:rsid w:val="005B1A4E"/>
    <w:rsid w:val="005B200C"/>
    <w:rsid w:val="005B38E7"/>
    <w:rsid w:val="005B464A"/>
    <w:rsid w:val="005B53AD"/>
    <w:rsid w:val="005B6E25"/>
    <w:rsid w:val="005C02DC"/>
    <w:rsid w:val="005C0DCD"/>
    <w:rsid w:val="005C23A1"/>
    <w:rsid w:val="005C2E43"/>
    <w:rsid w:val="005C3B16"/>
    <w:rsid w:val="005C3F2F"/>
    <w:rsid w:val="005C5F4D"/>
    <w:rsid w:val="005C64DD"/>
    <w:rsid w:val="005C6937"/>
    <w:rsid w:val="005D02CF"/>
    <w:rsid w:val="005D0521"/>
    <w:rsid w:val="005D26A0"/>
    <w:rsid w:val="005D3F38"/>
    <w:rsid w:val="005D41C7"/>
    <w:rsid w:val="005D51E3"/>
    <w:rsid w:val="005D64CF"/>
    <w:rsid w:val="005D6502"/>
    <w:rsid w:val="005D7ECA"/>
    <w:rsid w:val="005E200E"/>
    <w:rsid w:val="005E26C4"/>
    <w:rsid w:val="005E273C"/>
    <w:rsid w:val="005E4A2C"/>
    <w:rsid w:val="005E5A0C"/>
    <w:rsid w:val="005E7EEA"/>
    <w:rsid w:val="005F09B3"/>
    <w:rsid w:val="005F1305"/>
    <w:rsid w:val="005F15BE"/>
    <w:rsid w:val="005F1FCE"/>
    <w:rsid w:val="005F23F3"/>
    <w:rsid w:val="005F49B9"/>
    <w:rsid w:val="005F507C"/>
    <w:rsid w:val="005F5575"/>
    <w:rsid w:val="005F59E6"/>
    <w:rsid w:val="00601F43"/>
    <w:rsid w:val="0060255B"/>
    <w:rsid w:val="006025E9"/>
    <w:rsid w:val="00604017"/>
    <w:rsid w:val="006044AE"/>
    <w:rsid w:val="0060544E"/>
    <w:rsid w:val="006058D8"/>
    <w:rsid w:val="00605A59"/>
    <w:rsid w:val="00612E59"/>
    <w:rsid w:val="006134EF"/>
    <w:rsid w:val="00615D25"/>
    <w:rsid w:val="00621D98"/>
    <w:rsid w:val="00621E4F"/>
    <w:rsid w:val="00621FE7"/>
    <w:rsid w:val="006224E5"/>
    <w:rsid w:val="00622C47"/>
    <w:rsid w:val="006246A7"/>
    <w:rsid w:val="00625AF2"/>
    <w:rsid w:val="006264F9"/>
    <w:rsid w:val="006274A1"/>
    <w:rsid w:val="0063170F"/>
    <w:rsid w:val="006321EC"/>
    <w:rsid w:val="0063228B"/>
    <w:rsid w:val="006324DD"/>
    <w:rsid w:val="006328FF"/>
    <w:rsid w:val="00633421"/>
    <w:rsid w:val="0063686A"/>
    <w:rsid w:val="00636A24"/>
    <w:rsid w:val="006373FA"/>
    <w:rsid w:val="0063767D"/>
    <w:rsid w:val="00640ACF"/>
    <w:rsid w:val="0064181F"/>
    <w:rsid w:val="0064250B"/>
    <w:rsid w:val="00646F3F"/>
    <w:rsid w:val="006478EF"/>
    <w:rsid w:val="00647FC8"/>
    <w:rsid w:val="00650AFD"/>
    <w:rsid w:val="0065196E"/>
    <w:rsid w:val="00654F84"/>
    <w:rsid w:val="00655DE9"/>
    <w:rsid w:val="006564CF"/>
    <w:rsid w:val="00657A60"/>
    <w:rsid w:val="00657D26"/>
    <w:rsid w:val="00660C14"/>
    <w:rsid w:val="00661CB3"/>
    <w:rsid w:val="006627D5"/>
    <w:rsid w:val="00663A08"/>
    <w:rsid w:val="00664DCE"/>
    <w:rsid w:val="006652F5"/>
    <w:rsid w:val="00665B61"/>
    <w:rsid w:val="00665EAE"/>
    <w:rsid w:val="00672F09"/>
    <w:rsid w:val="00673AC8"/>
    <w:rsid w:val="00674490"/>
    <w:rsid w:val="00674DF6"/>
    <w:rsid w:val="006751BE"/>
    <w:rsid w:val="00675617"/>
    <w:rsid w:val="00675A50"/>
    <w:rsid w:val="00677930"/>
    <w:rsid w:val="00680783"/>
    <w:rsid w:val="0068175E"/>
    <w:rsid w:val="00681845"/>
    <w:rsid w:val="00682EB1"/>
    <w:rsid w:val="006834E3"/>
    <w:rsid w:val="00684899"/>
    <w:rsid w:val="0068530C"/>
    <w:rsid w:val="00687880"/>
    <w:rsid w:val="00687C90"/>
    <w:rsid w:val="00691786"/>
    <w:rsid w:val="00691980"/>
    <w:rsid w:val="006931C3"/>
    <w:rsid w:val="00693615"/>
    <w:rsid w:val="00693CB4"/>
    <w:rsid w:val="00695533"/>
    <w:rsid w:val="006956F6"/>
    <w:rsid w:val="006A00EB"/>
    <w:rsid w:val="006A07DD"/>
    <w:rsid w:val="006A0BF9"/>
    <w:rsid w:val="006A18A1"/>
    <w:rsid w:val="006A1FCD"/>
    <w:rsid w:val="006A4B81"/>
    <w:rsid w:val="006A532F"/>
    <w:rsid w:val="006A7365"/>
    <w:rsid w:val="006B0A67"/>
    <w:rsid w:val="006B1413"/>
    <w:rsid w:val="006B1D8C"/>
    <w:rsid w:val="006B40C7"/>
    <w:rsid w:val="006B5C3F"/>
    <w:rsid w:val="006B6C57"/>
    <w:rsid w:val="006C108A"/>
    <w:rsid w:val="006C1C6E"/>
    <w:rsid w:val="006C1E31"/>
    <w:rsid w:val="006C4E8A"/>
    <w:rsid w:val="006C5BCC"/>
    <w:rsid w:val="006C68D0"/>
    <w:rsid w:val="006C6DB0"/>
    <w:rsid w:val="006D0438"/>
    <w:rsid w:val="006D1534"/>
    <w:rsid w:val="006D2B6F"/>
    <w:rsid w:val="006D3B5F"/>
    <w:rsid w:val="006D557F"/>
    <w:rsid w:val="006D611E"/>
    <w:rsid w:val="006D6FAF"/>
    <w:rsid w:val="006D73CF"/>
    <w:rsid w:val="006D7616"/>
    <w:rsid w:val="006E2740"/>
    <w:rsid w:val="006E6A71"/>
    <w:rsid w:val="006F0497"/>
    <w:rsid w:val="006F1393"/>
    <w:rsid w:val="006F1452"/>
    <w:rsid w:val="006F2234"/>
    <w:rsid w:val="006F3503"/>
    <w:rsid w:val="006F4B2F"/>
    <w:rsid w:val="006F6654"/>
    <w:rsid w:val="006F6B9F"/>
    <w:rsid w:val="006F70FD"/>
    <w:rsid w:val="007003E9"/>
    <w:rsid w:val="007008C9"/>
    <w:rsid w:val="0070418A"/>
    <w:rsid w:val="0070455B"/>
    <w:rsid w:val="0070539D"/>
    <w:rsid w:val="00705812"/>
    <w:rsid w:val="007063F3"/>
    <w:rsid w:val="0071048C"/>
    <w:rsid w:val="0071222D"/>
    <w:rsid w:val="00712ECE"/>
    <w:rsid w:val="007145A9"/>
    <w:rsid w:val="007145DE"/>
    <w:rsid w:val="00714AC3"/>
    <w:rsid w:val="00715318"/>
    <w:rsid w:val="00715421"/>
    <w:rsid w:val="00715886"/>
    <w:rsid w:val="00715930"/>
    <w:rsid w:val="00716D63"/>
    <w:rsid w:val="00723285"/>
    <w:rsid w:val="0072365F"/>
    <w:rsid w:val="00723D97"/>
    <w:rsid w:val="00725169"/>
    <w:rsid w:val="00725341"/>
    <w:rsid w:val="00725B82"/>
    <w:rsid w:val="00727077"/>
    <w:rsid w:val="00730779"/>
    <w:rsid w:val="00731AC9"/>
    <w:rsid w:val="00731F88"/>
    <w:rsid w:val="00733531"/>
    <w:rsid w:val="007346CB"/>
    <w:rsid w:val="007347E3"/>
    <w:rsid w:val="0073521C"/>
    <w:rsid w:val="007352B2"/>
    <w:rsid w:val="007353F6"/>
    <w:rsid w:val="00740953"/>
    <w:rsid w:val="007410F1"/>
    <w:rsid w:val="00741768"/>
    <w:rsid w:val="00742FAE"/>
    <w:rsid w:val="0074301E"/>
    <w:rsid w:val="00745EC1"/>
    <w:rsid w:val="00745F3E"/>
    <w:rsid w:val="0075074F"/>
    <w:rsid w:val="00752992"/>
    <w:rsid w:val="00754BFA"/>
    <w:rsid w:val="00754D46"/>
    <w:rsid w:val="00755AAE"/>
    <w:rsid w:val="00756B41"/>
    <w:rsid w:val="00756C81"/>
    <w:rsid w:val="007576C6"/>
    <w:rsid w:val="00760137"/>
    <w:rsid w:val="0076060B"/>
    <w:rsid w:val="00761762"/>
    <w:rsid w:val="00762615"/>
    <w:rsid w:val="007635D0"/>
    <w:rsid w:val="00763F0D"/>
    <w:rsid w:val="00767A67"/>
    <w:rsid w:val="00767B47"/>
    <w:rsid w:val="0077024A"/>
    <w:rsid w:val="007708C1"/>
    <w:rsid w:val="00770CFA"/>
    <w:rsid w:val="00771233"/>
    <w:rsid w:val="00773A2D"/>
    <w:rsid w:val="007749B5"/>
    <w:rsid w:val="00774C73"/>
    <w:rsid w:val="007750E8"/>
    <w:rsid w:val="00775BE6"/>
    <w:rsid w:val="0077649A"/>
    <w:rsid w:val="00776B96"/>
    <w:rsid w:val="00780B2C"/>
    <w:rsid w:val="00782267"/>
    <w:rsid w:val="00785355"/>
    <w:rsid w:val="007856CC"/>
    <w:rsid w:val="00786145"/>
    <w:rsid w:val="00786EE8"/>
    <w:rsid w:val="00791888"/>
    <w:rsid w:val="00792B23"/>
    <w:rsid w:val="00793703"/>
    <w:rsid w:val="00793F05"/>
    <w:rsid w:val="007940D5"/>
    <w:rsid w:val="00794207"/>
    <w:rsid w:val="0079609B"/>
    <w:rsid w:val="007970D6"/>
    <w:rsid w:val="007975B6"/>
    <w:rsid w:val="007A1A1A"/>
    <w:rsid w:val="007A2780"/>
    <w:rsid w:val="007A398F"/>
    <w:rsid w:val="007A45F8"/>
    <w:rsid w:val="007A49E7"/>
    <w:rsid w:val="007A647E"/>
    <w:rsid w:val="007A6607"/>
    <w:rsid w:val="007A780F"/>
    <w:rsid w:val="007A78A2"/>
    <w:rsid w:val="007B0B37"/>
    <w:rsid w:val="007B25E1"/>
    <w:rsid w:val="007B6DDE"/>
    <w:rsid w:val="007C01D7"/>
    <w:rsid w:val="007C0604"/>
    <w:rsid w:val="007C0A90"/>
    <w:rsid w:val="007C2AD2"/>
    <w:rsid w:val="007C399C"/>
    <w:rsid w:val="007C4E83"/>
    <w:rsid w:val="007C504D"/>
    <w:rsid w:val="007C6410"/>
    <w:rsid w:val="007C6BC6"/>
    <w:rsid w:val="007D0A02"/>
    <w:rsid w:val="007D1C60"/>
    <w:rsid w:val="007D2430"/>
    <w:rsid w:val="007D2855"/>
    <w:rsid w:val="007D46F5"/>
    <w:rsid w:val="007D4818"/>
    <w:rsid w:val="007D4C84"/>
    <w:rsid w:val="007D5ECD"/>
    <w:rsid w:val="007D6AEC"/>
    <w:rsid w:val="007D7270"/>
    <w:rsid w:val="007D75DA"/>
    <w:rsid w:val="007E0852"/>
    <w:rsid w:val="007E151A"/>
    <w:rsid w:val="007E234A"/>
    <w:rsid w:val="007E397C"/>
    <w:rsid w:val="007E4931"/>
    <w:rsid w:val="007E59A7"/>
    <w:rsid w:val="007E5A88"/>
    <w:rsid w:val="007E5C36"/>
    <w:rsid w:val="007E6442"/>
    <w:rsid w:val="007E72DD"/>
    <w:rsid w:val="007F0108"/>
    <w:rsid w:val="007F0B25"/>
    <w:rsid w:val="007F28DC"/>
    <w:rsid w:val="007F2B99"/>
    <w:rsid w:val="007F34A8"/>
    <w:rsid w:val="007F4C06"/>
    <w:rsid w:val="007F4CBB"/>
    <w:rsid w:val="007F688B"/>
    <w:rsid w:val="007F6C99"/>
    <w:rsid w:val="007F769F"/>
    <w:rsid w:val="00800C3F"/>
    <w:rsid w:val="00801BA0"/>
    <w:rsid w:val="0080293C"/>
    <w:rsid w:val="00802B23"/>
    <w:rsid w:val="00802E49"/>
    <w:rsid w:val="00802FCE"/>
    <w:rsid w:val="00803C70"/>
    <w:rsid w:val="00803F6B"/>
    <w:rsid w:val="00804836"/>
    <w:rsid w:val="00804BD9"/>
    <w:rsid w:val="0080525F"/>
    <w:rsid w:val="0080593B"/>
    <w:rsid w:val="00805D3A"/>
    <w:rsid w:val="00805DF3"/>
    <w:rsid w:val="00805FC3"/>
    <w:rsid w:val="00806870"/>
    <w:rsid w:val="00806B75"/>
    <w:rsid w:val="00806BDB"/>
    <w:rsid w:val="00807941"/>
    <w:rsid w:val="00807CE3"/>
    <w:rsid w:val="008109A2"/>
    <w:rsid w:val="0081213F"/>
    <w:rsid w:val="00812DF4"/>
    <w:rsid w:val="008148B2"/>
    <w:rsid w:val="00814944"/>
    <w:rsid w:val="00817C22"/>
    <w:rsid w:val="00820B50"/>
    <w:rsid w:val="008222BB"/>
    <w:rsid w:val="008262E8"/>
    <w:rsid w:val="00827205"/>
    <w:rsid w:val="0082746D"/>
    <w:rsid w:val="008302BA"/>
    <w:rsid w:val="008326D9"/>
    <w:rsid w:val="00833F9F"/>
    <w:rsid w:val="0083457E"/>
    <w:rsid w:val="008358F5"/>
    <w:rsid w:val="0083679A"/>
    <w:rsid w:val="00836A27"/>
    <w:rsid w:val="00842ACB"/>
    <w:rsid w:val="00843011"/>
    <w:rsid w:val="00845C9E"/>
    <w:rsid w:val="00850CCA"/>
    <w:rsid w:val="0085162C"/>
    <w:rsid w:val="00852394"/>
    <w:rsid w:val="00854D4A"/>
    <w:rsid w:val="0085569E"/>
    <w:rsid w:val="0085661A"/>
    <w:rsid w:val="0085703D"/>
    <w:rsid w:val="008572CB"/>
    <w:rsid w:val="00857679"/>
    <w:rsid w:val="00857C93"/>
    <w:rsid w:val="008609E9"/>
    <w:rsid w:val="00861C90"/>
    <w:rsid w:val="00862398"/>
    <w:rsid w:val="00862796"/>
    <w:rsid w:val="008632AC"/>
    <w:rsid w:val="00864BC2"/>
    <w:rsid w:val="00864CDD"/>
    <w:rsid w:val="00865330"/>
    <w:rsid w:val="008708E7"/>
    <w:rsid w:val="00870E11"/>
    <w:rsid w:val="008717C0"/>
    <w:rsid w:val="00871F05"/>
    <w:rsid w:val="00875018"/>
    <w:rsid w:val="00875F85"/>
    <w:rsid w:val="00876322"/>
    <w:rsid w:val="00876722"/>
    <w:rsid w:val="00880173"/>
    <w:rsid w:val="00880464"/>
    <w:rsid w:val="00880A7C"/>
    <w:rsid w:val="00882002"/>
    <w:rsid w:val="0088242B"/>
    <w:rsid w:val="008827A6"/>
    <w:rsid w:val="008842E6"/>
    <w:rsid w:val="00886A02"/>
    <w:rsid w:val="00891A2B"/>
    <w:rsid w:val="00893158"/>
    <w:rsid w:val="00893EF3"/>
    <w:rsid w:val="00893F57"/>
    <w:rsid w:val="00894431"/>
    <w:rsid w:val="00895459"/>
    <w:rsid w:val="00895C9A"/>
    <w:rsid w:val="00895E4A"/>
    <w:rsid w:val="00897135"/>
    <w:rsid w:val="008975AB"/>
    <w:rsid w:val="00897BF3"/>
    <w:rsid w:val="008A0907"/>
    <w:rsid w:val="008A165B"/>
    <w:rsid w:val="008A289A"/>
    <w:rsid w:val="008A393D"/>
    <w:rsid w:val="008A4AEB"/>
    <w:rsid w:val="008A4DF5"/>
    <w:rsid w:val="008A5652"/>
    <w:rsid w:val="008A7CC6"/>
    <w:rsid w:val="008B0177"/>
    <w:rsid w:val="008B019A"/>
    <w:rsid w:val="008B156A"/>
    <w:rsid w:val="008B2E5F"/>
    <w:rsid w:val="008B531D"/>
    <w:rsid w:val="008B6DC9"/>
    <w:rsid w:val="008B72DE"/>
    <w:rsid w:val="008C1DBF"/>
    <w:rsid w:val="008C3B83"/>
    <w:rsid w:val="008C40F5"/>
    <w:rsid w:val="008C53E1"/>
    <w:rsid w:val="008C594B"/>
    <w:rsid w:val="008C70F9"/>
    <w:rsid w:val="008C718A"/>
    <w:rsid w:val="008C7943"/>
    <w:rsid w:val="008D0766"/>
    <w:rsid w:val="008D1A22"/>
    <w:rsid w:val="008D2A64"/>
    <w:rsid w:val="008D5855"/>
    <w:rsid w:val="008D622F"/>
    <w:rsid w:val="008E0FD8"/>
    <w:rsid w:val="008E4C47"/>
    <w:rsid w:val="008E5950"/>
    <w:rsid w:val="008E5E4E"/>
    <w:rsid w:val="008F0109"/>
    <w:rsid w:val="008F07F0"/>
    <w:rsid w:val="008F0AD3"/>
    <w:rsid w:val="008F4153"/>
    <w:rsid w:val="008F5021"/>
    <w:rsid w:val="008F588B"/>
    <w:rsid w:val="008F6524"/>
    <w:rsid w:val="008F7039"/>
    <w:rsid w:val="008F7D4B"/>
    <w:rsid w:val="00901768"/>
    <w:rsid w:val="00902444"/>
    <w:rsid w:val="009047D6"/>
    <w:rsid w:val="00905608"/>
    <w:rsid w:val="00907F19"/>
    <w:rsid w:val="00910549"/>
    <w:rsid w:val="00910596"/>
    <w:rsid w:val="00910E8A"/>
    <w:rsid w:val="00911352"/>
    <w:rsid w:val="009115DA"/>
    <w:rsid w:val="00914B0C"/>
    <w:rsid w:val="00915F79"/>
    <w:rsid w:val="00917121"/>
    <w:rsid w:val="009214D1"/>
    <w:rsid w:val="0092157D"/>
    <w:rsid w:val="00924750"/>
    <w:rsid w:val="00924BD0"/>
    <w:rsid w:val="00925FA5"/>
    <w:rsid w:val="009277C7"/>
    <w:rsid w:val="00927AE0"/>
    <w:rsid w:val="0093010E"/>
    <w:rsid w:val="009301D2"/>
    <w:rsid w:val="00930AD2"/>
    <w:rsid w:val="0093306C"/>
    <w:rsid w:val="00933B83"/>
    <w:rsid w:val="00935D10"/>
    <w:rsid w:val="009407F7"/>
    <w:rsid w:val="00941852"/>
    <w:rsid w:val="009426B5"/>
    <w:rsid w:val="00942775"/>
    <w:rsid w:val="0094322B"/>
    <w:rsid w:val="00945FD8"/>
    <w:rsid w:val="00950450"/>
    <w:rsid w:val="00950CC6"/>
    <w:rsid w:val="00950EB3"/>
    <w:rsid w:val="009518CF"/>
    <w:rsid w:val="009520E7"/>
    <w:rsid w:val="009523FD"/>
    <w:rsid w:val="009532D2"/>
    <w:rsid w:val="00955E56"/>
    <w:rsid w:val="009562F0"/>
    <w:rsid w:val="00956A8A"/>
    <w:rsid w:val="00957320"/>
    <w:rsid w:val="00957F21"/>
    <w:rsid w:val="009614A8"/>
    <w:rsid w:val="0096250C"/>
    <w:rsid w:val="00962DB0"/>
    <w:rsid w:val="009646C4"/>
    <w:rsid w:val="00965859"/>
    <w:rsid w:val="00966731"/>
    <w:rsid w:val="0096712A"/>
    <w:rsid w:val="00967DB6"/>
    <w:rsid w:val="009708A7"/>
    <w:rsid w:val="00972C55"/>
    <w:rsid w:val="00974159"/>
    <w:rsid w:val="009744E0"/>
    <w:rsid w:val="00975F36"/>
    <w:rsid w:val="00976258"/>
    <w:rsid w:val="00981256"/>
    <w:rsid w:val="00983A98"/>
    <w:rsid w:val="00984D12"/>
    <w:rsid w:val="009860F6"/>
    <w:rsid w:val="009864CB"/>
    <w:rsid w:val="009868F0"/>
    <w:rsid w:val="00986C07"/>
    <w:rsid w:val="009874F9"/>
    <w:rsid w:val="009914BD"/>
    <w:rsid w:val="0099203F"/>
    <w:rsid w:val="0099340D"/>
    <w:rsid w:val="00993B8D"/>
    <w:rsid w:val="0099483C"/>
    <w:rsid w:val="00997CD9"/>
    <w:rsid w:val="00997E1E"/>
    <w:rsid w:val="009A13E7"/>
    <w:rsid w:val="009A4146"/>
    <w:rsid w:val="009A448D"/>
    <w:rsid w:val="009A479F"/>
    <w:rsid w:val="009A5828"/>
    <w:rsid w:val="009A590C"/>
    <w:rsid w:val="009A5BF8"/>
    <w:rsid w:val="009A6E19"/>
    <w:rsid w:val="009A751B"/>
    <w:rsid w:val="009B1053"/>
    <w:rsid w:val="009B129A"/>
    <w:rsid w:val="009B18BF"/>
    <w:rsid w:val="009B2096"/>
    <w:rsid w:val="009B2B36"/>
    <w:rsid w:val="009B2FC2"/>
    <w:rsid w:val="009B43A5"/>
    <w:rsid w:val="009B4D48"/>
    <w:rsid w:val="009B630B"/>
    <w:rsid w:val="009C0915"/>
    <w:rsid w:val="009C0E3E"/>
    <w:rsid w:val="009C1638"/>
    <w:rsid w:val="009C1850"/>
    <w:rsid w:val="009C1A68"/>
    <w:rsid w:val="009C1C6C"/>
    <w:rsid w:val="009C2848"/>
    <w:rsid w:val="009C2C09"/>
    <w:rsid w:val="009C50E0"/>
    <w:rsid w:val="009C5789"/>
    <w:rsid w:val="009C7843"/>
    <w:rsid w:val="009D09C2"/>
    <w:rsid w:val="009D3606"/>
    <w:rsid w:val="009D3788"/>
    <w:rsid w:val="009D46F0"/>
    <w:rsid w:val="009D52D1"/>
    <w:rsid w:val="009E3C93"/>
    <w:rsid w:val="009E51AA"/>
    <w:rsid w:val="009F150C"/>
    <w:rsid w:val="009F2A1B"/>
    <w:rsid w:val="009F2B85"/>
    <w:rsid w:val="009F3049"/>
    <w:rsid w:val="009F3769"/>
    <w:rsid w:val="009F3BA1"/>
    <w:rsid w:val="009F3C38"/>
    <w:rsid w:val="009F588C"/>
    <w:rsid w:val="009F5F73"/>
    <w:rsid w:val="009F6488"/>
    <w:rsid w:val="009F64B9"/>
    <w:rsid w:val="00A00C08"/>
    <w:rsid w:val="00A00C1C"/>
    <w:rsid w:val="00A00DAE"/>
    <w:rsid w:val="00A0269C"/>
    <w:rsid w:val="00A026F0"/>
    <w:rsid w:val="00A04FB8"/>
    <w:rsid w:val="00A0708F"/>
    <w:rsid w:val="00A102E5"/>
    <w:rsid w:val="00A125C0"/>
    <w:rsid w:val="00A13261"/>
    <w:rsid w:val="00A14980"/>
    <w:rsid w:val="00A16084"/>
    <w:rsid w:val="00A1632A"/>
    <w:rsid w:val="00A17BAE"/>
    <w:rsid w:val="00A2169E"/>
    <w:rsid w:val="00A225A3"/>
    <w:rsid w:val="00A232DD"/>
    <w:rsid w:val="00A23A01"/>
    <w:rsid w:val="00A26E3D"/>
    <w:rsid w:val="00A27EAB"/>
    <w:rsid w:val="00A3084A"/>
    <w:rsid w:val="00A316DA"/>
    <w:rsid w:val="00A31E5D"/>
    <w:rsid w:val="00A332E1"/>
    <w:rsid w:val="00A34C12"/>
    <w:rsid w:val="00A372F3"/>
    <w:rsid w:val="00A375C1"/>
    <w:rsid w:val="00A37B48"/>
    <w:rsid w:val="00A37C2E"/>
    <w:rsid w:val="00A37FA8"/>
    <w:rsid w:val="00A40014"/>
    <w:rsid w:val="00A40CB1"/>
    <w:rsid w:val="00A42E55"/>
    <w:rsid w:val="00A43968"/>
    <w:rsid w:val="00A4404B"/>
    <w:rsid w:val="00A4677E"/>
    <w:rsid w:val="00A467C3"/>
    <w:rsid w:val="00A47F15"/>
    <w:rsid w:val="00A53AE2"/>
    <w:rsid w:val="00A53CF7"/>
    <w:rsid w:val="00A55488"/>
    <w:rsid w:val="00A55921"/>
    <w:rsid w:val="00A5745F"/>
    <w:rsid w:val="00A579CE"/>
    <w:rsid w:val="00A60913"/>
    <w:rsid w:val="00A627FC"/>
    <w:rsid w:val="00A629C3"/>
    <w:rsid w:val="00A62B3F"/>
    <w:rsid w:val="00A62BE8"/>
    <w:rsid w:val="00A6315D"/>
    <w:rsid w:val="00A640FC"/>
    <w:rsid w:val="00A64DD9"/>
    <w:rsid w:val="00A66CAE"/>
    <w:rsid w:val="00A72967"/>
    <w:rsid w:val="00A72C20"/>
    <w:rsid w:val="00A731DE"/>
    <w:rsid w:val="00A73333"/>
    <w:rsid w:val="00A73451"/>
    <w:rsid w:val="00A7379D"/>
    <w:rsid w:val="00A74A2F"/>
    <w:rsid w:val="00A74E20"/>
    <w:rsid w:val="00A75B47"/>
    <w:rsid w:val="00A81657"/>
    <w:rsid w:val="00A82A6C"/>
    <w:rsid w:val="00A83C5D"/>
    <w:rsid w:val="00A840E9"/>
    <w:rsid w:val="00A84EB2"/>
    <w:rsid w:val="00A853DF"/>
    <w:rsid w:val="00A86C30"/>
    <w:rsid w:val="00A90898"/>
    <w:rsid w:val="00A91454"/>
    <w:rsid w:val="00A91F51"/>
    <w:rsid w:val="00A92AF5"/>
    <w:rsid w:val="00A952D4"/>
    <w:rsid w:val="00A97BF2"/>
    <w:rsid w:val="00AA0A70"/>
    <w:rsid w:val="00AA1061"/>
    <w:rsid w:val="00AA1AC6"/>
    <w:rsid w:val="00AA232A"/>
    <w:rsid w:val="00AA3B30"/>
    <w:rsid w:val="00AA3D3F"/>
    <w:rsid w:val="00AA5262"/>
    <w:rsid w:val="00AA5C6A"/>
    <w:rsid w:val="00AA6819"/>
    <w:rsid w:val="00AA70D7"/>
    <w:rsid w:val="00AB0367"/>
    <w:rsid w:val="00AB049B"/>
    <w:rsid w:val="00AB10B3"/>
    <w:rsid w:val="00AB22F3"/>
    <w:rsid w:val="00AB23EE"/>
    <w:rsid w:val="00AB2C4F"/>
    <w:rsid w:val="00AB6907"/>
    <w:rsid w:val="00AB7D38"/>
    <w:rsid w:val="00AC06D6"/>
    <w:rsid w:val="00AC1115"/>
    <w:rsid w:val="00AC3B30"/>
    <w:rsid w:val="00AC3E7C"/>
    <w:rsid w:val="00AC5318"/>
    <w:rsid w:val="00AC542B"/>
    <w:rsid w:val="00AC7D43"/>
    <w:rsid w:val="00AC7D59"/>
    <w:rsid w:val="00AC7E2F"/>
    <w:rsid w:val="00AD0677"/>
    <w:rsid w:val="00AD0E2F"/>
    <w:rsid w:val="00AD1478"/>
    <w:rsid w:val="00AD1C40"/>
    <w:rsid w:val="00AD394C"/>
    <w:rsid w:val="00AD56B1"/>
    <w:rsid w:val="00AE3430"/>
    <w:rsid w:val="00AE3E38"/>
    <w:rsid w:val="00AE5439"/>
    <w:rsid w:val="00AE7094"/>
    <w:rsid w:val="00AE7533"/>
    <w:rsid w:val="00AE77E6"/>
    <w:rsid w:val="00AE7FA6"/>
    <w:rsid w:val="00AF4888"/>
    <w:rsid w:val="00AF67D8"/>
    <w:rsid w:val="00AF70C3"/>
    <w:rsid w:val="00B00AE3"/>
    <w:rsid w:val="00B013D1"/>
    <w:rsid w:val="00B01FF3"/>
    <w:rsid w:val="00B04538"/>
    <w:rsid w:val="00B045DA"/>
    <w:rsid w:val="00B04BA6"/>
    <w:rsid w:val="00B04D0B"/>
    <w:rsid w:val="00B06734"/>
    <w:rsid w:val="00B07FA2"/>
    <w:rsid w:val="00B10E7A"/>
    <w:rsid w:val="00B11AFB"/>
    <w:rsid w:val="00B11E3E"/>
    <w:rsid w:val="00B1493F"/>
    <w:rsid w:val="00B15ACE"/>
    <w:rsid w:val="00B17CED"/>
    <w:rsid w:val="00B2418A"/>
    <w:rsid w:val="00B2517F"/>
    <w:rsid w:val="00B26A21"/>
    <w:rsid w:val="00B26B9C"/>
    <w:rsid w:val="00B273FE"/>
    <w:rsid w:val="00B2757F"/>
    <w:rsid w:val="00B3052D"/>
    <w:rsid w:val="00B308C9"/>
    <w:rsid w:val="00B30C84"/>
    <w:rsid w:val="00B30CD6"/>
    <w:rsid w:val="00B32567"/>
    <w:rsid w:val="00B3336F"/>
    <w:rsid w:val="00B33928"/>
    <w:rsid w:val="00B34456"/>
    <w:rsid w:val="00B369DC"/>
    <w:rsid w:val="00B36F09"/>
    <w:rsid w:val="00B374EF"/>
    <w:rsid w:val="00B40087"/>
    <w:rsid w:val="00B40E39"/>
    <w:rsid w:val="00B4201F"/>
    <w:rsid w:val="00B428A4"/>
    <w:rsid w:val="00B42E84"/>
    <w:rsid w:val="00B44371"/>
    <w:rsid w:val="00B45AB0"/>
    <w:rsid w:val="00B468EB"/>
    <w:rsid w:val="00B52210"/>
    <w:rsid w:val="00B522B3"/>
    <w:rsid w:val="00B52A41"/>
    <w:rsid w:val="00B54E7D"/>
    <w:rsid w:val="00B56BEC"/>
    <w:rsid w:val="00B56E47"/>
    <w:rsid w:val="00B570CA"/>
    <w:rsid w:val="00B57BDF"/>
    <w:rsid w:val="00B60105"/>
    <w:rsid w:val="00B63832"/>
    <w:rsid w:val="00B6486F"/>
    <w:rsid w:val="00B64D7B"/>
    <w:rsid w:val="00B70078"/>
    <w:rsid w:val="00B71CCC"/>
    <w:rsid w:val="00B728A0"/>
    <w:rsid w:val="00B75170"/>
    <w:rsid w:val="00B77063"/>
    <w:rsid w:val="00B77494"/>
    <w:rsid w:val="00B812C2"/>
    <w:rsid w:val="00B8154F"/>
    <w:rsid w:val="00B815B9"/>
    <w:rsid w:val="00B82290"/>
    <w:rsid w:val="00B841F8"/>
    <w:rsid w:val="00B855EE"/>
    <w:rsid w:val="00B85ED3"/>
    <w:rsid w:val="00B86501"/>
    <w:rsid w:val="00B868DB"/>
    <w:rsid w:val="00B87EBC"/>
    <w:rsid w:val="00B9040D"/>
    <w:rsid w:val="00B93134"/>
    <w:rsid w:val="00B93252"/>
    <w:rsid w:val="00BA0304"/>
    <w:rsid w:val="00BA0794"/>
    <w:rsid w:val="00BA2BEF"/>
    <w:rsid w:val="00BA460B"/>
    <w:rsid w:val="00BA4F58"/>
    <w:rsid w:val="00BA5723"/>
    <w:rsid w:val="00BA5A35"/>
    <w:rsid w:val="00BA673A"/>
    <w:rsid w:val="00BB1202"/>
    <w:rsid w:val="00BB1658"/>
    <w:rsid w:val="00BB3D55"/>
    <w:rsid w:val="00BB403C"/>
    <w:rsid w:val="00BB40A0"/>
    <w:rsid w:val="00BB4140"/>
    <w:rsid w:val="00BB44A7"/>
    <w:rsid w:val="00BB4701"/>
    <w:rsid w:val="00BB6856"/>
    <w:rsid w:val="00BB75B7"/>
    <w:rsid w:val="00BB7BEF"/>
    <w:rsid w:val="00BC0183"/>
    <w:rsid w:val="00BC1000"/>
    <w:rsid w:val="00BC1838"/>
    <w:rsid w:val="00BC1D0F"/>
    <w:rsid w:val="00BC21EC"/>
    <w:rsid w:val="00BC2E35"/>
    <w:rsid w:val="00BC3154"/>
    <w:rsid w:val="00BC4993"/>
    <w:rsid w:val="00BC55C8"/>
    <w:rsid w:val="00BC55F7"/>
    <w:rsid w:val="00BC5F03"/>
    <w:rsid w:val="00BC63B1"/>
    <w:rsid w:val="00BC6FB5"/>
    <w:rsid w:val="00BC72EE"/>
    <w:rsid w:val="00BD048C"/>
    <w:rsid w:val="00BD0618"/>
    <w:rsid w:val="00BD2873"/>
    <w:rsid w:val="00BD2B43"/>
    <w:rsid w:val="00BD3081"/>
    <w:rsid w:val="00BD4483"/>
    <w:rsid w:val="00BD4AA2"/>
    <w:rsid w:val="00BD4E66"/>
    <w:rsid w:val="00BD6233"/>
    <w:rsid w:val="00BD79AE"/>
    <w:rsid w:val="00BE201D"/>
    <w:rsid w:val="00BE2BEA"/>
    <w:rsid w:val="00BE2D5E"/>
    <w:rsid w:val="00BE3753"/>
    <w:rsid w:val="00BE38A9"/>
    <w:rsid w:val="00BE3D6A"/>
    <w:rsid w:val="00BE4264"/>
    <w:rsid w:val="00BE6F2A"/>
    <w:rsid w:val="00BE7979"/>
    <w:rsid w:val="00BF131F"/>
    <w:rsid w:val="00BF26EA"/>
    <w:rsid w:val="00BF2EA9"/>
    <w:rsid w:val="00BF5C0F"/>
    <w:rsid w:val="00BF6AE3"/>
    <w:rsid w:val="00BF7903"/>
    <w:rsid w:val="00BF7996"/>
    <w:rsid w:val="00C0044D"/>
    <w:rsid w:val="00C00FB2"/>
    <w:rsid w:val="00C013FB"/>
    <w:rsid w:val="00C02927"/>
    <w:rsid w:val="00C04C94"/>
    <w:rsid w:val="00C060F5"/>
    <w:rsid w:val="00C0634F"/>
    <w:rsid w:val="00C06E3D"/>
    <w:rsid w:val="00C072E4"/>
    <w:rsid w:val="00C10193"/>
    <w:rsid w:val="00C10DB9"/>
    <w:rsid w:val="00C1377A"/>
    <w:rsid w:val="00C13B20"/>
    <w:rsid w:val="00C15122"/>
    <w:rsid w:val="00C17B9B"/>
    <w:rsid w:val="00C17E6C"/>
    <w:rsid w:val="00C21AFB"/>
    <w:rsid w:val="00C2392D"/>
    <w:rsid w:val="00C23B2B"/>
    <w:rsid w:val="00C2404D"/>
    <w:rsid w:val="00C24B6C"/>
    <w:rsid w:val="00C25F04"/>
    <w:rsid w:val="00C260B7"/>
    <w:rsid w:val="00C26556"/>
    <w:rsid w:val="00C2697D"/>
    <w:rsid w:val="00C26A18"/>
    <w:rsid w:val="00C27AEE"/>
    <w:rsid w:val="00C303B6"/>
    <w:rsid w:val="00C309C8"/>
    <w:rsid w:val="00C32C10"/>
    <w:rsid w:val="00C332EA"/>
    <w:rsid w:val="00C35200"/>
    <w:rsid w:val="00C356B6"/>
    <w:rsid w:val="00C35AA0"/>
    <w:rsid w:val="00C35E8A"/>
    <w:rsid w:val="00C3710B"/>
    <w:rsid w:val="00C37E01"/>
    <w:rsid w:val="00C4065A"/>
    <w:rsid w:val="00C40C5A"/>
    <w:rsid w:val="00C419DE"/>
    <w:rsid w:val="00C41F63"/>
    <w:rsid w:val="00C41F91"/>
    <w:rsid w:val="00C427BF"/>
    <w:rsid w:val="00C43246"/>
    <w:rsid w:val="00C44CD2"/>
    <w:rsid w:val="00C471CB"/>
    <w:rsid w:val="00C50F6E"/>
    <w:rsid w:val="00C51A1B"/>
    <w:rsid w:val="00C51AF0"/>
    <w:rsid w:val="00C522DF"/>
    <w:rsid w:val="00C524D4"/>
    <w:rsid w:val="00C537DB"/>
    <w:rsid w:val="00C552E2"/>
    <w:rsid w:val="00C57C3C"/>
    <w:rsid w:val="00C60AAA"/>
    <w:rsid w:val="00C61250"/>
    <w:rsid w:val="00C621A9"/>
    <w:rsid w:val="00C62431"/>
    <w:rsid w:val="00C65B62"/>
    <w:rsid w:val="00C67DE7"/>
    <w:rsid w:val="00C72C65"/>
    <w:rsid w:val="00C746DF"/>
    <w:rsid w:val="00C7679B"/>
    <w:rsid w:val="00C778B3"/>
    <w:rsid w:val="00C81ABB"/>
    <w:rsid w:val="00C82E39"/>
    <w:rsid w:val="00C83289"/>
    <w:rsid w:val="00C852BE"/>
    <w:rsid w:val="00C85C29"/>
    <w:rsid w:val="00C90AF6"/>
    <w:rsid w:val="00C92682"/>
    <w:rsid w:val="00C946B7"/>
    <w:rsid w:val="00C94B62"/>
    <w:rsid w:val="00C9634E"/>
    <w:rsid w:val="00C965DD"/>
    <w:rsid w:val="00CA1109"/>
    <w:rsid w:val="00CA197C"/>
    <w:rsid w:val="00CA1C0C"/>
    <w:rsid w:val="00CA41FC"/>
    <w:rsid w:val="00CA455D"/>
    <w:rsid w:val="00CA46B8"/>
    <w:rsid w:val="00CA7B49"/>
    <w:rsid w:val="00CB04CA"/>
    <w:rsid w:val="00CB0CEA"/>
    <w:rsid w:val="00CB2433"/>
    <w:rsid w:val="00CB40F1"/>
    <w:rsid w:val="00CB46B9"/>
    <w:rsid w:val="00CB4F73"/>
    <w:rsid w:val="00CB51CB"/>
    <w:rsid w:val="00CB579C"/>
    <w:rsid w:val="00CB669E"/>
    <w:rsid w:val="00CB7DC4"/>
    <w:rsid w:val="00CC0E5E"/>
    <w:rsid w:val="00CC0EC3"/>
    <w:rsid w:val="00CC1AF2"/>
    <w:rsid w:val="00CC248F"/>
    <w:rsid w:val="00CC315C"/>
    <w:rsid w:val="00CC3916"/>
    <w:rsid w:val="00CC3BE6"/>
    <w:rsid w:val="00CC432F"/>
    <w:rsid w:val="00CC4846"/>
    <w:rsid w:val="00CC4C6D"/>
    <w:rsid w:val="00CC4D47"/>
    <w:rsid w:val="00CC500E"/>
    <w:rsid w:val="00CC5564"/>
    <w:rsid w:val="00CC6A2D"/>
    <w:rsid w:val="00CC710B"/>
    <w:rsid w:val="00CD072F"/>
    <w:rsid w:val="00CD0B42"/>
    <w:rsid w:val="00CD0E59"/>
    <w:rsid w:val="00CD2E20"/>
    <w:rsid w:val="00CD7575"/>
    <w:rsid w:val="00CD7DF3"/>
    <w:rsid w:val="00CE0F8D"/>
    <w:rsid w:val="00CE14C1"/>
    <w:rsid w:val="00CE36EA"/>
    <w:rsid w:val="00CE3DED"/>
    <w:rsid w:val="00CE7831"/>
    <w:rsid w:val="00CE79FC"/>
    <w:rsid w:val="00CF0DBB"/>
    <w:rsid w:val="00CF349B"/>
    <w:rsid w:val="00CF6AD7"/>
    <w:rsid w:val="00D013F6"/>
    <w:rsid w:val="00D01C2F"/>
    <w:rsid w:val="00D029FE"/>
    <w:rsid w:val="00D04BA0"/>
    <w:rsid w:val="00D05F96"/>
    <w:rsid w:val="00D06BB5"/>
    <w:rsid w:val="00D10E5D"/>
    <w:rsid w:val="00D11798"/>
    <w:rsid w:val="00D13454"/>
    <w:rsid w:val="00D208D1"/>
    <w:rsid w:val="00D20F37"/>
    <w:rsid w:val="00D223F2"/>
    <w:rsid w:val="00D2356D"/>
    <w:rsid w:val="00D23896"/>
    <w:rsid w:val="00D23CD8"/>
    <w:rsid w:val="00D24208"/>
    <w:rsid w:val="00D25042"/>
    <w:rsid w:val="00D27C9E"/>
    <w:rsid w:val="00D309C5"/>
    <w:rsid w:val="00D31C69"/>
    <w:rsid w:val="00D323F8"/>
    <w:rsid w:val="00D350E0"/>
    <w:rsid w:val="00D352E7"/>
    <w:rsid w:val="00D363F3"/>
    <w:rsid w:val="00D4038E"/>
    <w:rsid w:val="00D404A0"/>
    <w:rsid w:val="00D41082"/>
    <w:rsid w:val="00D42A3D"/>
    <w:rsid w:val="00D44F29"/>
    <w:rsid w:val="00D46C25"/>
    <w:rsid w:val="00D47185"/>
    <w:rsid w:val="00D478FB"/>
    <w:rsid w:val="00D501B5"/>
    <w:rsid w:val="00D50C6D"/>
    <w:rsid w:val="00D54A03"/>
    <w:rsid w:val="00D57AE7"/>
    <w:rsid w:val="00D6221E"/>
    <w:rsid w:val="00D64D31"/>
    <w:rsid w:val="00D64F8F"/>
    <w:rsid w:val="00D65F4C"/>
    <w:rsid w:val="00D660DE"/>
    <w:rsid w:val="00D67805"/>
    <w:rsid w:val="00D709B7"/>
    <w:rsid w:val="00D70E77"/>
    <w:rsid w:val="00D72DDF"/>
    <w:rsid w:val="00D732FC"/>
    <w:rsid w:val="00D734A0"/>
    <w:rsid w:val="00D739BE"/>
    <w:rsid w:val="00D73D3B"/>
    <w:rsid w:val="00D74232"/>
    <w:rsid w:val="00D754B2"/>
    <w:rsid w:val="00D76FC4"/>
    <w:rsid w:val="00D76FF1"/>
    <w:rsid w:val="00D7723F"/>
    <w:rsid w:val="00D77E75"/>
    <w:rsid w:val="00D8155D"/>
    <w:rsid w:val="00D816DA"/>
    <w:rsid w:val="00D81E99"/>
    <w:rsid w:val="00D8224D"/>
    <w:rsid w:val="00D823F7"/>
    <w:rsid w:val="00D8300F"/>
    <w:rsid w:val="00D84D79"/>
    <w:rsid w:val="00D85371"/>
    <w:rsid w:val="00D85625"/>
    <w:rsid w:val="00D86B76"/>
    <w:rsid w:val="00D870D6"/>
    <w:rsid w:val="00D87130"/>
    <w:rsid w:val="00D878FE"/>
    <w:rsid w:val="00D90379"/>
    <w:rsid w:val="00D90BFB"/>
    <w:rsid w:val="00D9125F"/>
    <w:rsid w:val="00D91520"/>
    <w:rsid w:val="00D94C49"/>
    <w:rsid w:val="00D97374"/>
    <w:rsid w:val="00D97FB8"/>
    <w:rsid w:val="00DA416D"/>
    <w:rsid w:val="00DA5406"/>
    <w:rsid w:val="00DA5C6D"/>
    <w:rsid w:val="00DA5ED4"/>
    <w:rsid w:val="00DA65ED"/>
    <w:rsid w:val="00DA67A2"/>
    <w:rsid w:val="00DA77E2"/>
    <w:rsid w:val="00DA799E"/>
    <w:rsid w:val="00DA7EFE"/>
    <w:rsid w:val="00DB063B"/>
    <w:rsid w:val="00DB08BB"/>
    <w:rsid w:val="00DB0A31"/>
    <w:rsid w:val="00DB1E5A"/>
    <w:rsid w:val="00DB2197"/>
    <w:rsid w:val="00DB2A6B"/>
    <w:rsid w:val="00DB4D74"/>
    <w:rsid w:val="00DB4FC9"/>
    <w:rsid w:val="00DB591E"/>
    <w:rsid w:val="00DB65BF"/>
    <w:rsid w:val="00DB7D5E"/>
    <w:rsid w:val="00DB7EBC"/>
    <w:rsid w:val="00DC041A"/>
    <w:rsid w:val="00DC0E73"/>
    <w:rsid w:val="00DC35CA"/>
    <w:rsid w:val="00DC3616"/>
    <w:rsid w:val="00DC3754"/>
    <w:rsid w:val="00DC4295"/>
    <w:rsid w:val="00DC448F"/>
    <w:rsid w:val="00DC4818"/>
    <w:rsid w:val="00DC5D3F"/>
    <w:rsid w:val="00DC612D"/>
    <w:rsid w:val="00DC6E55"/>
    <w:rsid w:val="00DC79B8"/>
    <w:rsid w:val="00DC7BB1"/>
    <w:rsid w:val="00DD07D9"/>
    <w:rsid w:val="00DD1507"/>
    <w:rsid w:val="00DD1CB9"/>
    <w:rsid w:val="00DD2ACC"/>
    <w:rsid w:val="00DD49E6"/>
    <w:rsid w:val="00DD534A"/>
    <w:rsid w:val="00DD6269"/>
    <w:rsid w:val="00DD7056"/>
    <w:rsid w:val="00DD7982"/>
    <w:rsid w:val="00DE0023"/>
    <w:rsid w:val="00DE2A57"/>
    <w:rsid w:val="00DE2B2F"/>
    <w:rsid w:val="00DE3DE8"/>
    <w:rsid w:val="00DE3E78"/>
    <w:rsid w:val="00DE44EA"/>
    <w:rsid w:val="00DE6F30"/>
    <w:rsid w:val="00DE7017"/>
    <w:rsid w:val="00DE70C9"/>
    <w:rsid w:val="00DE7EF3"/>
    <w:rsid w:val="00DF1A93"/>
    <w:rsid w:val="00DF4979"/>
    <w:rsid w:val="00DF6442"/>
    <w:rsid w:val="00E01D63"/>
    <w:rsid w:val="00E06A9E"/>
    <w:rsid w:val="00E0730E"/>
    <w:rsid w:val="00E07899"/>
    <w:rsid w:val="00E10AF8"/>
    <w:rsid w:val="00E11B41"/>
    <w:rsid w:val="00E14BC6"/>
    <w:rsid w:val="00E15F46"/>
    <w:rsid w:val="00E2077F"/>
    <w:rsid w:val="00E21254"/>
    <w:rsid w:val="00E237A4"/>
    <w:rsid w:val="00E23AAC"/>
    <w:rsid w:val="00E2441B"/>
    <w:rsid w:val="00E25A4D"/>
    <w:rsid w:val="00E266D6"/>
    <w:rsid w:val="00E27939"/>
    <w:rsid w:val="00E27B5E"/>
    <w:rsid w:val="00E30E6B"/>
    <w:rsid w:val="00E31CEB"/>
    <w:rsid w:val="00E32726"/>
    <w:rsid w:val="00E33411"/>
    <w:rsid w:val="00E3428B"/>
    <w:rsid w:val="00E407B4"/>
    <w:rsid w:val="00E408B8"/>
    <w:rsid w:val="00E414E2"/>
    <w:rsid w:val="00E41FD0"/>
    <w:rsid w:val="00E42224"/>
    <w:rsid w:val="00E429CE"/>
    <w:rsid w:val="00E4489A"/>
    <w:rsid w:val="00E4608F"/>
    <w:rsid w:val="00E46FE9"/>
    <w:rsid w:val="00E47A32"/>
    <w:rsid w:val="00E50550"/>
    <w:rsid w:val="00E51304"/>
    <w:rsid w:val="00E53AD4"/>
    <w:rsid w:val="00E53C8E"/>
    <w:rsid w:val="00E5596B"/>
    <w:rsid w:val="00E56A50"/>
    <w:rsid w:val="00E6289C"/>
    <w:rsid w:val="00E63D25"/>
    <w:rsid w:val="00E6426D"/>
    <w:rsid w:val="00E64904"/>
    <w:rsid w:val="00E66C95"/>
    <w:rsid w:val="00E66E93"/>
    <w:rsid w:val="00E7005B"/>
    <w:rsid w:val="00E705C2"/>
    <w:rsid w:val="00E70B0F"/>
    <w:rsid w:val="00E715A6"/>
    <w:rsid w:val="00E717A9"/>
    <w:rsid w:val="00E71D13"/>
    <w:rsid w:val="00E732C0"/>
    <w:rsid w:val="00E75528"/>
    <w:rsid w:val="00E762B9"/>
    <w:rsid w:val="00E76B18"/>
    <w:rsid w:val="00E80736"/>
    <w:rsid w:val="00E81536"/>
    <w:rsid w:val="00E81DA2"/>
    <w:rsid w:val="00E822D6"/>
    <w:rsid w:val="00E82C1B"/>
    <w:rsid w:val="00E83413"/>
    <w:rsid w:val="00E84656"/>
    <w:rsid w:val="00E84E3B"/>
    <w:rsid w:val="00E852B6"/>
    <w:rsid w:val="00E86000"/>
    <w:rsid w:val="00E8777E"/>
    <w:rsid w:val="00E90434"/>
    <w:rsid w:val="00E90527"/>
    <w:rsid w:val="00E90529"/>
    <w:rsid w:val="00E9079C"/>
    <w:rsid w:val="00E91356"/>
    <w:rsid w:val="00E91E58"/>
    <w:rsid w:val="00E92CE0"/>
    <w:rsid w:val="00E944D9"/>
    <w:rsid w:val="00E94FFD"/>
    <w:rsid w:val="00E95656"/>
    <w:rsid w:val="00E95E80"/>
    <w:rsid w:val="00E96E5B"/>
    <w:rsid w:val="00E971FC"/>
    <w:rsid w:val="00EA1BCE"/>
    <w:rsid w:val="00EA2686"/>
    <w:rsid w:val="00EA3A50"/>
    <w:rsid w:val="00EA5F90"/>
    <w:rsid w:val="00EA7928"/>
    <w:rsid w:val="00EB2FCC"/>
    <w:rsid w:val="00EB4A0E"/>
    <w:rsid w:val="00EB5ECF"/>
    <w:rsid w:val="00EB6998"/>
    <w:rsid w:val="00EB6A3C"/>
    <w:rsid w:val="00EC1A9A"/>
    <w:rsid w:val="00EC245F"/>
    <w:rsid w:val="00EC2548"/>
    <w:rsid w:val="00EC2F64"/>
    <w:rsid w:val="00EC4D0F"/>
    <w:rsid w:val="00EC73E2"/>
    <w:rsid w:val="00EC7C0C"/>
    <w:rsid w:val="00ED0F8F"/>
    <w:rsid w:val="00ED198D"/>
    <w:rsid w:val="00ED1D69"/>
    <w:rsid w:val="00ED2889"/>
    <w:rsid w:val="00ED2CA6"/>
    <w:rsid w:val="00ED3E23"/>
    <w:rsid w:val="00ED4090"/>
    <w:rsid w:val="00ED4A23"/>
    <w:rsid w:val="00ED51C1"/>
    <w:rsid w:val="00ED6748"/>
    <w:rsid w:val="00ED6FB0"/>
    <w:rsid w:val="00ED7F60"/>
    <w:rsid w:val="00EE04A0"/>
    <w:rsid w:val="00EE1CAC"/>
    <w:rsid w:val="00EE2083"/>
    <w:rsid w:val="00EE33CF"/>
    <w:rsid w:val="00EE48CF"/>
    <w:rsid w:val="00EE5FF0"/>
    <w:rsid w:val="00EE6804"/>
    <w:rsid w:val="00EE6864"/>
    <w:rsid w:val="00EF0DCF"/>
    <w:rsid w:val="00EF3179"/>
    <w:rsid w:val="00EF593D"/>
    <w:rsid w:val="00EF6250"/>
    <w:rsid w:val="00F01144"/>
    <w:rsid w:val="00F027F6"/>
    <w:rsid w:val="00F0387D"/>
    <w:rsid w:val="00F076A2"/>
    <w:rsid w:val="00F07D6B"/>
    <w:rsid w:val="00F10A2F"/>
    <w:rsid w:val="00F11326"/>
    <w:rsid w:val="00F11A54"/>
    <w:rsid w:val="00F12723"/>
    <w:rsid w:val="00F136C0"/>
    <w:rsid w:val="00F146A1"/>
    <w:rsid w:val="00F150A3"/>
    <w:rsid w:val="00F156A1"/>
    <w:rsid w:val="00F15C88"/>
    <w:rsid w:val="00F169DE"/>
    <w:rsid w:val="00F20AF0"/>
    <w:rsid w:val="00F22952"/>
    <w:rsid w:val="00F22CF7"/>
    <w:rsid w:val="00F2388F"/>
    <w:rsid w:val="00F244E1"/>
    <w:rsid w:val="00F248CC"/>
    <w:rsid w:val="00F24A93"/>
    <w:rsid w:val="00F24C96"/>
    <w:rsid w:val="00F26032"/>
    <w:rsid w:val="00F27A9B"/>
    <w:rsid w:val="00F27C91"/>
    <w:rsid w:val="00F27EF7"/>
    <w:rsid w:val="00F31068"/>
    <w:rsid w:val="00F32D01"/>
    <w:rsid w:val="00F343C6"/>
    <w:rsid w:val="00F3756F"/>
    <w:rsid w:val="00F40382"/>
    <w:rsid w:val="00F40707"/>
    <w:rsid w:val="00F4072F"/>
    <w:rsid w:val="00F411E1"/>
    <w:rsid w:val="00F4215A"/>
    <w:rsid w:val="00F43964"/>
    <w:rsid w:val="00F43A2F"/>
    <w:rsid w:val="00F43C29"/>
    <w:rsid w:val="00F43E21"/>
    <w:rsid w:val="00F448A1"/>
    <w:rsid w:val="00F4629B"/>
    <w:rsid w:val="00F4632D"/>
    <w:rsid w:val="00F5049D"/>
    <w:rsid w:val="00F50B7E"/>
    <w:rsid w:val="00F52E4A"/>
    <w:rsid w:val="00F5319B"/>
    <w:rsid w:val="00F532E8"/>
    <w:rsid w:val="00F54BEB"/>
    <w:rsid w:val="00F566B6"/>
    <w:rsid w:val="00F57737"/>
    <w:rsid w:val="00F57B52"/>
    <w:rsid w:val="00F60084"/>
    <w:rsid w:val="00F60A91"/>
    <w:rsid w:val="00F620DD"/>
    <w:rsid w:val="00F64DFB"/>
    <w:rsid w:val="00F65299"/>
    <w:rsid w:val="00F66492"/>
    <w:rsid w:val="00F66CB7"/>
    <w:rsid w:val="00F677A5"/>
    <w:rsid w:val="00F70AAC"/>
    <w:rsid w:val="00F71C06"/>
    <w:rsid w:val="00F724DF"/>
    <w:rsid w:val="00F735A7"/>
    <w:rsid w:val="00F73E2C"/>
    <w:rsid w:val="00F745A8"/>
    <w:rsid w:val="00F75F80"/>
    <w:rsid w:val="00F7612A"/>
    <w:rsid w:val="00F8039D"/>
    <w:rsid w:val="00F81CE2"/>
    <w:rsid w:val="00F82F0E"/>
    <w:rsid w:val="00F840EC"/>
    <w:rsid w:val="00F85688"/>
    <w:rsid w:val="00F857EE"/>
    <w:rsid w:val="00F901DE"/>
    <w:rsid w:val="00F902AA"/>
    <w:rsid w:val="00F90B25"/>
    <w:rsid w:val="00F9183A"/>
    <w:rsid w:val="00F9383F"/>
    <w:rsid w:val="00F940E8"/>
    <w:rsid w:val="00F942F9"/>
    <w:rsid w:val="00F95785"/>
    <w:rsid w:val="00F9774D"/>
    <w:rsid w:val="00F97EFA"/>
    <w:rsid w:val="00FA129E"/>
    <w:rsid w:val="00FA1877"/>
    <w:rsid w:val="00FA3D41"/>
    <w:rsid w:val="00FA498E"/>
    <w:rsid w:val="00FA58BB"/>
    <w:rsid w:val="00FA5C17"/>
    <w:rsid w:val="00FA6D3D"/>
    <w:rsid w:val="00FB00E1"/>
    <w:rsid w:val="00FB1837"/>
    <w:rsid w:val="00FB287E"/>
    <w:rsid w:val="00FB2E49"/>
    <w:rsid w:val="00FB2ED6"/>
    <w:rsid w:val="00FB3A4E"/>
    <w:rsid w:val="00FB3B79"/>
    <w:rsid w:val="00FB49E7"/>
    <w:rsid w:val="00FB6974"/>
    <w:rsid w:val="00FB747D"/>
    <w:rsid w:val="00FB7B9F"/>
    <w:rsid w:val="00FC0C7D"/>
    <w:rsid w:val="00FC3FE3"/>
    <w:rsid w:val="00FC43E1"/>
    <w:rsid w:val="00FC6B39"/>
    <w:rsid w:val="00FD04F4"/>
    <w:rsid w:val="00FD1329"/>
    <w:rsid w:val="00FD133A"/>
    <w:rsid w:val="00FD16BC"/>
    <w:rsid w:val="00FD3590"/>
    <w:rsid w:val="00FD3CB2"/>
    <w:rsid w:val="00FD54E5"/>
    <w:rsid w:val="00FD5B96"/>
    <w:rsid w:val="00FE05AD"/>
    <w:rsid w:val="00FE0768"/>
    <w:rsid w:val="00FE130F"/>
    <w:rsid w:val="00FE1CF8"/>
    <w:rsid w:val="00FE2A2C"/>
    <w:rsid w:val="00FE397A"/>
    <w:rsid w:val="00FE7F23"/>
    <w:rsid w:val="00FF2457"/>
    <w:rsid w:val="00FF2F27"/>
    <w:rsid w:val="00FF35A5"/>
    <w:rsid w:val="00FF3EF9"/>
    <w:rsid w:val="00FF56B6"/>
    <w:rsid w:val="00FF6184"/>
    <w:rsid w:val="00FF7946"/>
    <w:rsid w:val="0116705D"/>
    <w:rsid w:val="01373843"/>
    <w:rsid w:val="013833F2"/>
    <w:rsid w:val="015D5508"/>
    <w:rsid w:val="01883AF2"/>
    <w:rsid w:val="01CF667B"/>
    <w:rsid w:val="01E61C5A"/>
    <w:rsid w:val="02113D00"/>
    <w:rsid w:val="02463238"/>
    <w:rsid w:val="02613A93"/>
    <w:rsid w:val="028F55E8"/>
    <w:rsid w:val="02A17E53"/>
    <w:rsid w:val="02AB2268"/>
    <w:rsid w:val="02CC7077"/>
    <w:rsid w:val="02DE7FF9"/>
    <w:rsid w:val="031A2D16"/>
    <w:rsid w:val="03334BA2"/>
    <w:rsid w:val="03496A3D"/>
    <w:rsid w:val="035C132E"/>
    <w:rsid w:val="03711DF0"/>
    <w:rsid w:val="0373721B"/>
    <w:rsid w:val="038C6282"/>
    <w:rsid w:val="03BF1DE2"/>
    <w:rsid w:val="03EC31A7"/>
    <w:rsid w:val="03EF4035"/>
    <w:rsid w:val="03FA28E5"/>
    <w:rsid w:val="04090D29"/>
    <w:rsid w:val="040D366A"/>
    <w:rsid w:val="042704BA"/>
    <w:rsid w:val="042B0DA2"/>
    <w:rsid w:val="044D636F"/>
    <w:rsid w:val="045E7555"/>
    <w:rsid w:val="04652BC3"/>
    <w:rsid w:val="048E0719"/>
    <w:rsid w:val="04C56684"/>
    <w:rsid w:val="04D05747"/>
    <w:rsid w:val="04E47B43"/>
    <w:rsid w:val="04E565CC"/>
    <w:rsid w:val="04EF1243"/>
    <w:rsid w:val="04F07068"/>
    <w:rsid w:val="0501560F"/>
    <w:rsid w:val="050B638D"/>
    <w:rsid w:val="05344A92"/>
    <w:rsid w:val="056B5330"/>
    <w:rsid w:val="05A33F4C"/>
    <w:rsid w:val="05BE1488"/>
    <w:rsid w:val="05F41565"/>
    <w:rsid w:val="06097409"/>
    <w:rsid w:val="061F769B"/>
    <w:rsid w:val="0624326C"/>
    <w:rsid w:val="066832FE"/>
    <w:rsid w:val="066E0B65"/>
    <w:rsid w:val="06824919"/>
    <w:rsid w:val="06871317"/>
    <w:rsid w:val="06BB7FA0"/>
    <w:rsid w:val="06D11E11"/>
    <w:rsid w:val="06D70EE9"/>
    <w:rsid w:val="0717011E"/>
    <w:rsid w:val="073F3CA5"/>
    <w:rsid w:val="07461632"/>
    <w:rsid w:val="0752353E"/>
    <w:rsid w:val="07557695"/>
    <w:rsid w:val="076B752E"/>
    <w:rsid w:val="078C0C20"/>
    <w:rsid w:val="07AC6D66"/>
    <w:rsid w:val="07D9529B"/>
    <w:rsid w:val="07E12AFC"/>
    <w:rsid w:val="07EE59E0"/>
    <w:rsid w:val="082C173B"/>
    <w:rsid w:val="083E4CB0"/>
    <w:rsid w:val="0858227F"/>
    <w:rsid w:val="085961F1"/>
    <w:rsid w:val="087967F7"/>
    <w:rsid w:val="08932A3A"/>
    <w:rsid w:val="08C05189"/>
    <w:rsid w:val="08C10C1E"/>
    <w:rsid w:val="08CE51BB"/>
    <w:rsid w:val="08F75172"/>
    <w:rsid w:val="09055ECC"/>
    <w:rsid w:val="09102DB8"/>
    <w:rsid w:val="092749EA"/>
    <w:rsid w:val="09357D93"/>
    <w:rsid w:val="09467CF2"/>
    <w:rsid w:val="097C1C79"/>
    <w:rsid w:val="098179C2"/>
    <w:rsid w:val="098533EB"/>
    <w:rsid w:val="099015FD"/>
    <w:rsid w:val="09A80A8C"/>
    <w:rsid w:val="09C7560E"/>
    <w:rsid w:val="09CC7F23"/>
    <w:rsid w:val="09F45FD8"/>
    <w:rsid w:val="0A1E47C7"/>
    <w:rsid w:val="0A1E69F0"/>
    <w:rsid w:val="0A2D7887"/>
    <w:rsid w:val="0A675A8E"/>
    <w:rsid w:val="0A8665A9"/>
    <w:rsid w:val="0A8969A7"/>
    <w:rsid w:val="0AAC38BB"/>
    <w:rsid w:val="0ACB4342"/>
    <w:rsid w:val="0AD43EC7"/>
    <w:rsid w:val="0ADB3ED2"/>
    <w:rsid w:val="0ADD4CBE"/>
    <w:rsid w:val="0AED1973"/>
    <w:rsid w:val="0AFC2A10"/>
    <w:rsid w:val="0B014BBF"/>
    <w:rsid w:val="0B077387"/>
    <w:rsid w:val="0B1D43C5"/>
    <w:rsid w:val="0B4E01E0"/>
    <w:rsid w:val="0B623EA6"/>
    <w:rsid w:val="0B6A062F"/>
    <w:rsid w:val="0B795158"/>
    <w:rsid w:val="0B830B64"/>
    <w:rsid w:val="0B8B340E"/>
    <w:rsid w:val="0BAF22BE"/>
    <w:rsid w:val="0C430E19"/>
    <w:rsid w:val="0C5A59EA"/>
    <w:rsid w:val="0C8B7A06"/>
    <w:rsid w:val="0CB17C9E"/>
    <w:rsid w:val="0CC50E80"/>
    <w:rsid w:val="0CC5658A"/>
    <w:rsid w:val="0CDA752F"/>
    <w:rsid w:val="0CDD37AC"/>
    <w:rsid w:val="0CFE0692"/>
    <w:rsid w:val="0D144E72"/>
    <w:rsid w:val="0D4B084D"/>
    <w:rsid w:val="0D4D7C82"/>
    <w:rsid w:val="0D9A30D8"/>
    <w:rsid w:val="0DAE573B"/>
    <w:rsid w:val="0DB37660"/>
    <w:rsid w:val="0DC42165"/>
    <w:rsid w:val="0DED4FC9"/>
    <w:rsid w:val="0E1512BB"/>
    <w:rsid w:val="0E161866"/>
    <w:rsid w:val="0E256AA6"/>
    <w:rsid w:val="0E300FCF"/>
    <w:rsid w:val="0E3F69A7"/>
    <w:rsid w:val="0E590EAC"/>
    <w:rsid w:val="0E663C8D"/>
    <w:rsid w:val="0E7E44AE"/>
    <w:rsid w:val="0E8C645F"/>
    <w:rsid w:val="0E9A3708"/>
    <w:rsid w:val="0EA13355"/>
    <w:rsid w:val="0ED01568"/>
    <w:rsid w:val="0EDA0A52"/>
    <w:rsid w:val="0F18054B"/>
    <w:rsid w:val="0F334E3B"/>
    <w:rsid w:val="0F574A82"/>
    <w:rsid w:val="0FAB1D1F"/>
    <w:rsid w:val="0FDB12EB"/>
    <w:rsid w:val="0FDE7D2A"/>
    <w:rsid w:val="0FF53A37"/>
    <w:rsid w:val="103C265A"/>
    <w:rsid w:val="10600959"/>
    <w:rsid w:val="10AC205F"/>
    <w:rsid w:val="10AD7B87"/>
    <w:rsid w:val="10DB3DE6"/>
    <w:rsid w:val="10EF00F8"/>
    <w:rsid w:val="11064911"/>
    <w:rsid w:val="110E0A1B"/>
    <w:rsid w:val="113B1F16"/>
    <w:rsid w:val="11420C55"/>
    <w:rsid w:val="116233F4"/>
    <w:rsid w:val="11744F49"/>
    <w:rsid w:val="117616E3"/>
    <w:rsid w:val="1182633E"/>
    <w:rsid w:val="119223E6"/>
    <w:rsid w:val="119C5889"/>
    <w:rsid w:val="11AC0C1C"/>
    <w:rsid w:val="11B81F0D"/>
    <w:rsid w:val="11C22BCD"/>
    <w:rsid w:val="11CE0678"/>
    <w:rsid w:val="11D738CF"/>
    <w:rsid w:val="122C13C4"/>
    <w:rsid w:val="122D4AFE"/>
    <w:rsid w:val="122F22A3"/>
    <w:rsid w:val="125637AB"/>
    <w:rsid w:val="126A7C8E"/>
    <w:rsid w:val="12905169"/>
    <w:rsid w:val="12974832"/>
    <w:rsid w:val="12D74352"/>
    <w:rsid w:val="12F475AE"/>
    <w:rsid w:val="12F72E57"/>
    <w:rsid w:val="13424AF8"/>
    <w:rsid w:val="13442B43"/>
    <w:rsid w:val="13460B80"/>
    <w:rsid w:val="1388660A"/>
    <w:rsid w:val="138F27C7"/>
    <w:rsid w:val="13A77417"/>
    <w:rsid w:val="13B10F60"/>
    <w:rsid w:val="13B255D2"/>
    <w:rsid w:val="13B67873"/>
    <w:rsid w:val="13D511B9"/>
    <w:rsid w:val="13DD2A74"/>
    <w:rsid w:val="13FB5E5F"/>
    <w:rsid w:val="14226AF4"/>
    <w:rsid w:val="14303CA2"/>
    <w:rsid w:val="14907D97"/>
    <w:rsid w:val="14AB468C"/>
    <w:rsid w:val="14B86EBB"/>
    <w:rsid w:val="14C76100"/>
    <w:rsid w:val="14E93251"/>
    <w:rsid w:val="150259B2"/>
    <w:rsid w:val="15036767"/>
    <w:rsid w:val="150A1529"/>
    <w:rsid w:val="150B79E8"/>
    <w:rsid w:val="151B0498"/>
    <w:rsid w:val="15265ACA"/>
    <w:rsid w:val="153375FF"/>
    <w:rsid w:val="153C6F2E"/>
    <w:rsid w:val="155335C1"/>
    <w:rsid w:val="156E11B9"/>
    <w:rsid w:val="158B6E46"/>
    <w:rsid w:val="15A0507A"/>
    <w:rsid w:val="15B9331F"/>
    <w:rsid w:val="15C63CD0"/>
    <w:rsid w:val="15E17F3F"/>
    <w:rsid w:val="15E979CB"/>
    <w:rsid w:val="15EB3F75"/>
    <w:rsid w:val="15EB5E65"/>
    <w:rsid w:val="15FD1304"/>
    <w:rsid w:val="161C6AA3"/>
    <w:rsid w:val="161F7550"/>
    <w:rsid w:val="162203B3"/>
    <w:rsid w:val="163F396F"/>
    <w:rsid w:val="16664E49"/>
    <w:rsid w:val="16AA1DE0"/>
    <w:rsid w:val="16D31D37"/>
    <w:rsid w:val="16E613D6"/>
    <w:rsid w:val="16E76D02"/>
    <w:rsid w:val="16F376C7"/>
    <w:rsid w:val="17326BFD"/>
    <w:rsid w:val="1747637B"/>
    <w:rsid w:val="174B3D3A"/>
    <w:rsid w:val="17514871"/>
    <w:rsid w:val="17553993"/>
    <w:rsid w:val="175C2B80"/>
    <w:rsid w:val="176119E8"/>
    <w:rsid w:val="17962753"/>
    <w:rsid w:val="179E40DE"/>
    <w:rsid w:val="17FA24AF"/>
    <w:rsid w:val="183F2D3D"/>
    <w:rsid w:val="185C1476"/>
    <w:rsid w:val="188F2CA4"/>
    <w:rsid w:val="18A43671"/>
    <w:rsid w:val="18BA4E27"/>
    <w:rsid w:val="18BF4F2C"/>
    <w:rsid w:val="18C5634C"/>
    <w:rsid w:val="18D376EA"/>
    <w:rsid w:val="18D37FE9"/>
    <w:rsid w:val="18E9601D"/>
    <w:rsid w:val="18FB0F21"/>
    <w:rsid w:val="19087853"/>
    <w:rsid w:val="19266717"/>
    <w:rsid w:val="197C48A1"/>
    <w:rsid w:val="197D0652"/>
    <w:rsid w:val="19832B82"/>
    <w:rsid w:val="19AF7CF2"/>
    <w:rsid w:val="19B647EA"/>
    <w:rsid w:val="19B9358E"/>
    <w:rsid w:val="19BA6D52"/>
    <w:rsid w:val="19C13C73"/>
    <w:rsid w:val="19CF1639"/>
    <w:rsid w:val="19DE4FEA"/>
    <w:rsid w:val="19F20C83"/>
    <w:rsid w:val="19F25E74"/>
    <w:rsid w:val="1A1B135F"/>
    <w:rsid w:val="1A1C1549"/>
    <w:rsid w:val="1A2F3712"/>
    <w:rsid w:val="1A4D2F65"/>
    <w:rsid w:val="1A4E76E6"/>
    <w:rsid w:val="1A6668E0"/>
    <w:rsid w:val="1AA838F5"/>
    <w:rsid w:val="1AB1139A"/>
    <w:rsid w:val="1AB43B35"/>
    <w:rsid w:val="1ABD7794"/>
    <w:rsid w:val="1ACC28B3"/>
    <w:rsid w:val="1ADE7FA8"/>
    <w:rsid w:val="1AF61E77"/>
    <w:rsid w:val="1B0A78AC"/>
    <w:rsid w:val="1B0E4DEA"/>
    <w:rsid w:val="1B1C09AD"/>
    <w:rsid w:val="1B4C3A0A"/>
    <w:rsid w:val="1B6D4326"/>
    <w:rsid w:val="1B82347A"/>
    <w:rsid w:val="1B8562EB"/>
    <w:rsid w:val="1B8C3A12"/>
    <w:rsid w:val="1B9976DA"/>
    <w:rsid w:val="1BAE58E7"/>
    <w:rsid w:val="1BB050E4"/>
    <w:rsid w:val="1BB94200"/>
    <w:rsid w:val="1BC41081"/>
    <w:rsid w:val="1BCA379A"/>
    <w:rsid w:val="1BD63CF2"/>
    <w:rsid w:val="1BDA60BE"/>
    <w:rsid w:val="1BE167C8"/>
    <w:rsid w:val="1BED7472"/>
    <w:rsid w:val="1BF542A9"/>
    <w:rsid w:val="1BF74CE3"/>
    <w:rsid w:val="1C0F1C00"/>
    <w:rsid w:val="1C385A92"/>
    <w:rsid w:val="1C3C4BC3"/>
    <w:rsid w:val="1C4E5E66"/>
    <w:rsid w:val="1C851907"/>
    <w:rsid w:val="1C8A5CD4"/>
    <w:rsid w:val="1CB96328"/>
    <w:rsid w:val="1CDD10FA"/>
    <w:rsid w:val="1CE05356"/>
    <w:rsid w:val="1CF74B81"/>
    <w:rsid w:val="1D3D0F92"/>
    <w:rsid w:val="1D4F1796"/>
    <w:rsid w:val="1D724A5D"/>
    <w:rsid w:val="1DAE1BE5"/>
    <w:rsid w:val="1DD20B00"/>
    <w:rsid w:val="1DF044EC"/>
    <w:rsid w:val="1DF52828"/>
    <w:rsid w:val="1DF9039C"/>
    <w:rsid w:val="1E225A01"/>
    <w:rsid w:val="1E352B9D"/>
    <w:rsid w:val="1E53150D"/>
    <w:rsid w:val="1E9936C4"/>
    <w:rsid w:val="1EC70B16"/>
    <w:rsid w:val="1EC7247F"/>
    <w:rsid w:val="1ECA64AD"/>
    <w:rsid w:val="1ED0505D"/>
    <w:rsid w:val="1EEE064E"/>
    <w:rsid w:val="1EF515AE"/>
    <w:rsid w:val="1F035F39"/>
    <w:rsid w:val="1F08408D"/>
    <w:rsid w:val="1F116AD8"/>
    <w:rsid w:val="1F133FB8"/>
    <w:rsid w:val="1F154C1C"/>
    <w:rsid w:val="1F2272C7"/>
    <w:rsid w:val="1F340E9C"/>
    <w:rsid w:val="1F52416E"/>
    <w:rsid w:val="1F614953"/>
    <w:rsid w:val="1F9B7B4B"/>
    <w:rsid w:val="1FA15C3C"/>
    <w:rsid w:val="1FB538BB"/>
    <w:rsid w:val="1FC81083"/>
    <w:rsid w:val="1FCF24A2"/>
    <w:rsid w:val="1FE2005D"/>
    <w:rsid w:val="20006353"/>
    <w:rsid w:val="20152D20"/>
    <w:rsid w:val="20402AFC"/>
    <w:rsid w:val="20A55195"/>
    <w:rsid w:val="20DA3A95"/>
    <w:rsid w:val="20DA6706"/>
    <w:rsid w:val="20E66598"/>
    <w:rsid w:val="20F776E9"/>
    <w:rsid w:val="2136023E"/>
    <w:rsid w:val="21416C70"/>
    <w:rsid w:val="21551BAE"/>
    <w:rsid w:val="21674367"/>
    <w:rsid w:val="21846C37"/>
    <w:rsid w:val="218C4E05"/>
    <w:rsid w:val="21A47E8B"/>
    <w:rsid w:val="21D158AB"/>
    <w:rsid w:val="21E31CD2"/>
    <w:rsid w:val="21FA4A24"/>
    <w:rsid w:val="2233055C"/>
    <w:rsid w:val="223455AF"/>
    <w:rsid w:val="223C2DD3"/>
    <w:rsid w:val="224421C1"/>
    <w:rsid w:val="22471A45"/>
    <w:rsid w:val="22526669"/>
    <w:rsid w:val="226602CB"/>
    <w:rsid w:val="22747C1E"/>
    <w:rsid w:val="22805135"/>
    <w:rsid w:val="22CC0723"/>
    <w:rsid w:val="22E52551"/>
    <w:rsid w:val="22EA0674"/>
    <w:rsid w:val="22F01ECF"/>
    <w:rsid w:val="23007E87"/>
    <w:rsid w:val="232900A3"/>
    <w:rsid w:val="232A0350"/>
    <w:rsid w:val="23713439"/>
    <w:rsid w:val="23747862"/>
    <w:rsid w:val="238E7BAC"/>
    <w:rsid w:val="23945FF0"/>
    <w:rsid w:val="23AD4EAC"/>
    <w:rsid w:val="23ED7618"/>
    <w:rsid w:val="23FA3329"/>
    <w:rsid w:val="24046D21"/>
    <w:rsid w:val="24122526"/>
    <w:rsid w:val="241E52FD"/>
    <w:rsid w:val="24212A0B"/>
    <w:rsid w:val="242F5168"/>
    <w:rsid w:val="24347417"/>
    <w:rsid w:val="2437364A"/>
    <w:rsid w:val="24661638"/>
    <w:rsid w:val="24711720"/>
    <w:rsid w:val="24B65926"/>
    <w:rsid w:val="24B82C59"/>
    <w:rsid w:val="24C45C4B"/>
    <w:rsid w:val="24CC73FA"/>
    <w:rsid w:val="24E153CB"/>
    <w:rsid w:val="24F17464"/>
    <w:rsid w:val="24FB540E"/>
    <w:rsid w:val="25274A50"/>
    <w:rsid w:val="25302032"/>
    <w:rsid w:val="253C403D"/>
    <w:rsid w:val="254D51A3"/>
    <w:rsid w:val="255701AE"/>
    <w:rsid w:val="257200B9"/>
    <w:rsid w:val="257D2F05"/>
    <w:rsid w:val="25830512"/>
    <w:rsid w:val="25C857D9"/>
    <w:rsid w:val="25D14843"/>
    <w:rsid w:val="25D86973"/>
    <w:rsid w:val="25EB62D2"/>
    <w:rsid w:val="25FA2612"/>
    <w:rsid w:val="25FB2703"/>
    <w:rsid w:val="2600660D"/>
    <w:rsid w:val="260A71E3"/>
    <w:rsid w:val="260E21C7"/>
    <w:rsid w:val="26194770"/>
    <w:rsid w:val="261C7BE9"/>
    <w:rsid w:val="26217202"/>
    <w:rsid w:val="26364A58"/>
    <w:rsid w:val="26545BD6"/>
    <w:rsid w:val="265D28D8"/>
    <w:rsid w:val="2663625F"/>
    <w:rsid w:val="26990C2D"/>
    <w:rsid w:val="26C54E7E"/>
    <w:rsid w:val="26C70FB4"/>
    <w:rsid w:val="26DF0405"/>
    <w:rsid w:val="270E5A08"/>
    <w:rsid w:val="271C6F49"/>
    <w:rsid w:val="271E30E4"/>
    <w:rsid w:val="27304430"/>
    <w:rsid w:val="2738155B"/>
    <w:rsid w:val="276E654B"/>
    <w:rsid w:val="27764E87"/>
    <w:rsid w:val="278C5F87"/>
    <w:rsid w:val="278E3B44"/>
    <w:rsid w:val="27960086"/>
    <w:rsid w:val="279E37D1"/>
    <w:rsid w:val="27AE2A8A"/>
    <w:rsid w:val="27C63141"/>
    <w:rsid w:val="27CA027E"/>
    <w:rsid w:val="281D1B51"/>
    <w:rsid w:val="285C2D19"/>
    <w:rsid w:val="28625C3C"/>
    <w:rsid w:val="28F67632"/>
    <w:rsid w:val="2916587E"/>
    <w:rsid w:val="29280EAE"/>
    <w:rsid w:val="29295A65"/>
    <w:rsid w:val="2931029D"/>
    <w:rsid w:val="29573AE3"/>
    <w:rsid w:val="295B1275"/>
    <w:rsid w:val="297F66B8"/>
    <w:rsid w:val="299372AB"/>
    <w:rsid w:val="299F77CD"/>
    <w:rsid w:val="29A37CDB"/>
    <w:rsid w:val="29C4113D"/>
    <w:rsid w:val="29E96B87"/>
    <w:rsid w:val="29FB6CEE"/>
    <w:rsid w:val="2A0A3473"/>
    <w:rsid w:val="2A1F1065"/>
    <w:rsid w:val="2A3C316C"/>
    <w:rsid w:val="2A4245D4"/>
    <w:rsid w:val="2A663391"/>
    <w:rsid w:val="2A685F57"/>
    <w:rsid w:val="2A7251A5"/>
    <w:rsid w:val="2A9A778F"/>
    <w:rsid w:val="2AC4304A"/>
    <w:rsid w:val="2AD3251B"/>
    <w:rsid w:val="2AE9450A"/>
    <w:rsid w:val="2B0B3379"/>
    <w:rsid w:val="2B201DDF"/>
    <w:rsid w:val="2B230D73"/>
    <w:rsid w:val="2B31241A"/>
    <w:rsid w:val="2B341DAF"/>
    <w:rsid w:val="2B635F3D"/>
    <w:rsid w:val="2B6478B9"/>
    <w:rsid w:val="2B8305DB"/>
    <w:rsid w:val="2BAE54A8"/>
    <w:rsid w:val="2BD54CA2"/>
    <w:rsid w:val="2BE37608"/>
    <w:rsid w:val="2C72517A"/>
    <w:rsid w:val="2C7629A1"/>
    <w:rsid w:val="2CCC26F2"/>
    <w:rsid w:val="2CDE39EF"/>
    <w:rsid w:val="2D4152C9"/>
    <w:rsid w:val="2D465C89"/>
    <w:rsid w:val="2D5849A7"/>
    <w:rsid w:val="2D5904A3"/>
    <w:rsid w:val="2D84798C"/>
    <w:rsid w:val="2D882823"/>
    <w:rsid w:val="2D8B6ADA"/>
    <w:rsid w:val="2D924373"/>
    <w:rsid w:val="2D95229F"/>
    <w:rsid w:val="2DB1335A"/>
    <w:rsid w:val="2DB554B4"/>
    <w:rsid w:val="2E026666"/>
    <w:rsid w:val="2E13081D"/>
    <w:rsid w:val="2E1E47EE"/>
    <w:rsid w:val="2E2609D0"/>
    <w:rsid w:val="2E275A3F"/>
    <w:rsid w:val="2E2D7976"/>
    <w:rsid w:val="2E464A70"/>
    <w:rsid w:val="2E4A4A43"/>
    <w:rsid w:val="2E4B2D30"/>
    <w:rsid w:val="2E56250D"/>
    <w:rsid w:val="2E6757F7"/>
    <w:rsid w:val="2E720575"/>
    <w:rsid w:val="2E9346FB"/>
    <w:rsid w:val="2E934814"/>
    <w:rsid w:val="2EBB0A13"/>
    <w:rsid w:val="2EBC5C6A"/>
    <w:rsid w:val="2ED86F88"/>
    <w:rsid w:val="2EF338EB"/>
    <w:rsid w:val="2EF45178"/>
    <w:rsid w:val="2EF912E1"/>
    <w:rsid w:val="2EFC7C2D"/>
    <w:rsid w:val="2F355017"/>
    <w:rsid w:val="2F4E6D50"/>
    <w:rsid w:val="2FA20DE1"/>
    <w:rsid w:val="2FB24312"/>
    <w:rsid w:val="30114440"/>
    <w:rsid w:val="304E5D8C"/>
    <w:rsid w:val="306E54B5"/>
    <w:rsid w:val="307E759B"/>
    <w:rsid w:val="30A734F4"/>
    <w:rsid w:val="30C13C15"/>
    <w:rsid w:val="30FF58D5"/>
    <w:rsid w:val="31452742"/>
    <w:rsid w:val="31915285"/>
    <w:rsid w:val="31EC3BED"/>
    <w:rsid w:val="32164695"/>
    <w:rsid w:val="32441570"/>
    <w:rsid w:val="32481280"/>
    <w:rsid w:val="32502BE0"/>
    <w:rsid w:val="32896FDE"/>
    <w:rsid w:val="328E5E5C"/>
    <w:rsid w:val="32970FFE"/>
    <w:rsid w:val="329C3065"/>
    <w:rsid w:val="329D4BAF"/>
    <w:rsid w:val="32D31873"/>
    <w:rsid w:val="330E4F53"/>
    <w:rsid w:val="33307C15"/>
    <w:rsid w:val="33365F9E"/>
    <w:rsid w:val="339A111B"/>
    <w:rsid w:val="33BA190E"/>
    <w:rsid w:val="33D51D97"/>
    <w:rsid w:val="33DC78EE"/>
    <w:rsid w:val="33E9463E"/>
    <w:rsid w:val="34333907"/>
    <w:rsid w:val="34401C96"/>
    <w:rsid w:val="346206A2"/>
    <w:rsid w:val="346534EC"/>
    <w:rsid w:val="34724E0D"/>
    <w:rsid w:val="34782830"/>
    <w:rsid w:val="3493237C"/>
    <w:rsid w:val="34946BFE"/>
    <w:rsid w:val="34992A5B"/>
    <w:rsid w:val="349E4C1D"/>
    <w:rsid w:val="34A55F9D"/>
    <w:rsid w:val="34BB4C74"/>
    <w:rsid w:val="34C24ADA"/>
    <w:rsid w:val="34C5219B"/>
    <w:rsid w:val="34E03BC9"/>
    <w:rsid w:val="34F77AA4"/>
    <w:rsid w:val="351B53EC"/>
    <w:rsid w:val="35222AF2"/>
    <w:rsid w:val="352D2FC0"/>
    <w:rsid w:val="355B432E"/>
    <w:rsid w:val="35660106"/>
    <w:rsid w:val="356C09D5"/>
    <w:rsid w:val="357342F3"/>
    <w:rsid w:val="357D64C1"/>
    <w:rsid w:val="35811EF1"/>
    <w:rsid w:val="35916473"/>
    <w:rsid w:val="35997804"/>
    <w:rsid w:val="35B604A5"/>
    <w:rsid w:val="35D769AF"/>
    <w:rsid w:val="35E20E01"/>
    <w:rsid w:val="35ED2EFB"/>
    <w:rsid w:val="36025456"/>
    <w:rsid w:val="36032EB2"/>
    <w:rsid w:val="362807CD"/>
    <w:rsid w:val="36540F69"/>
    <w:rsid w:val="367263F3"/>
    <w:rsid w:val="36747130"/>
    <w:rsid w:val="369015F9"/>
    <w:rsid w:val="36916055"/>
    <w:rsid w:val="36AA3F4B"/>
    <w:rsid w:val="36B244E1"/>
    <w:rsid w:val="36CB0175"/>
    <w:rsid w:val="36F24ADC"/>
    <w:rsid w:val="36F67F09"/>
    <w:rsid w:val="36FF18F5"/>
    <w:rsid w:val="3727151E"/>
    <w:rsid w:val="372A32B5"/>
    <w:rsid w:val="374B5F28"/>
    <w:rsid w:val="375F0316"/>
    <w:rsid w:val="37AA0D30"/>
    <w:rsid w:val="37CB4B8B"/>
    <w:rsid w:val="37D80AB5"/>
    <w:rsid w:val="37F31893"/>
    <w:rsid w:val="37F66500"/>
    <w:rsid w:val="380A23CA"/>
    <w:rsid w:val="3810031D"/>
    <w:rsid w:val="38322D28"/>
    <w:rsid w:val="3862312E"/>
    <w:rsid w:val="38740160"/>
    <w:rsid w:val="387F4239"/>
    <w:rsid w:val="389B2048"/>
    <w:rsid w:val="38C946ED"/>
    <w:rsid w:val="38CF05E4"/>
    <w:rsid w:val="38D93775"/>
    <w:rsid w:val="38DA67AF"/>
    <w:rsid w:val="38DD5F3F"/>
    <w:rsid w:val="38E76310"/>
    <w:rsid w:val="38F06318"/>
    <w:rsid w:val="390112ED"/>
    <w:rsid w:val="390977A4"/>
    <w:rsid w:val="39137979"/>
    <w:rsid w:val="39284F6F"/>
    <w:rsid w:val="39342D58"/>
    <w:rsid w:val="39363A4A"/>
    <w:rsid w:val="3971011A"/>
    <w:rsid w:val="39986FEB"/>
    <w:rsid w:val="39B96DF3"/>
    <w:rsid w:val="39D440AF"/>
    <w:rsid w:val="39D738BB"/>
    <w:rsid w:val="39DC5EA8"/>
    <w:rsid w:val="39F21BA3"/>
    <w:rsid w:val="3A094D2C"/>
    <w:rsid w:val="3A206067"/>
    <w:rsid w:val="3A2339A9"/>
    <w:rsid w:val="3A2536FF"/>
    <w:rsid w:val="3A2A19AA"/>
    <w:rsid w:val="3A2B1896"/>
    <w:rsid w:val="3A337A1F"/>
    <w:rsid w:val="3A350EE0"/>
    <w:rsid w:val="3A3B6310"/>
    <w:rsid w:val="3A693D94"/>
    <w:rsid w:val="3A801ADD"/>
    <w:rsid w:val="3A8E03E6"/>
    <w:rsid w:val="3AA82E8F"/>
    <w:rsid w:val="3AA96E43"/>
    <w:rsid w:val="3AB575F9"/>
    <w:rsid w:val="3AE3774C"/>
    <w:rsid w:val="3AFF4123"/>
    <w:rsid w:val="3B091C54"/>
    <w:rsid w:val="3B1101CE"/>
    <w:rsid w:val="3B3116FA"/>
    <w:rsid w:val="3B3555DD"/>
    <w:rsid w:val="3B8A40D3"/>
    <w:rsid w:val="3B98207B"/>
    <w:rsid w:val="3BAA1EF0"/>
    <w:rsid w:val="3BDB5452"/>
    <w:rsid w:val="3BE27CF8"/>
    <w:rsid w:val="3BEE2A58"/>
    <w:rsid w:val="3BFB1BDC"/>
    <w:rsid w:val="3C110A75"/>
    <w:rsid w:val="3C121E04"/>
    <w:rsid w:val="3C174B96"/>
    <w:rsid w:val="3C57086B"/>
    <w:rsid w:val="3C780A0A"/>
    <w:rsid w:val="3C952943"/>
    <w:rsid w:val="3CAD73B7"/>
    <w:rsid w:val="3CC732A6"/>
    <w:rsid w:val="3CCD56B7"/>
    <w:rsid w:val="3D1468AE"/>
    <w:rsid w:val="3D2340B3"/>
    <w:rsid w:val="3D3E2986"/>
    <w:rsid w:val="3D4C1834"/>
    <w:rsid w:val="3D94743F"/>
    <w:rsid w:val="3D9B19A8"/>
    <w:rsid w:val="3DA754FF"/>
    <w:rsid w:val="3DAB3BCB"/>
    <w:rsid w:val="3DBB7F03"/>
    <w:rsid w:val="3DBE6C1D"/>
    <w:rsid w:val="3DBF132B"/>
    <w:rsid w:val="3DC61767"/>
    <w:rsid w:val="3DF96C09"/>
    <w:rsid w:val="3E0E40E5"/>
    <w:rsid w:val="3E15733F"/>
    <w:rsid w:val="3E38552F"/>
    <w:rsid w:val="3E43495C"/>
    <w:rsid w:val="3E4C53B2"/>
    <w:rsid w:val="3E661926"/>
    <w:rsid w:val="3E726FBD"/>
    <w:rsid w:val="3E8824E2"/>
    <w:rsid w:val="3E964961"/>
    <w:rsid w:val="3E991E93"/>
    <w:rsid w:val="3ED56468"/>
    <w:rsid w:val="3EE430CF"/>
    <w:rsid w:val="3EF617A5"/>
    <w:rsid w:val="3F0A4D5B"/>
    <w:rsid w:val="3F112B44"/>
    <w:rsid w:val="3F3B26F7"/>
    <w:rsid w:val="3F3D49BB"/>
    <w:rsid w:val="3F967F45"/>
    <w:rsid w:val="3F98653F"/>
    <w:rsid w:val="3F9917E1"/>
    <w:rsid w:val="3FB046F3"/>
    <w:rsid w:val="3FBF21B6"/>
    <w:rsid w:val="3FD93D5C"/>
    <w:rsid w:val="3FE61BBA"/>
    <w:rsid w:val="3FF75544"/>
    <w:rsid w:val="401269FD"/>
    <w:rsid w:val="40164863"/>
    <w:rsid w:val="401C07AB"/>
    <w:rsid w:val="405E4B2E"/>
    <w:rsid w:val="405E79D0"/>
    <w:rsid w:val="405F3F3F"/>
    <w:rsid w:val="40731219"/>
    <w:rsid w:val="40913A7C"/>
    <w:rsid w:val="409E76D8"/>
    <w:rsid w:val="409F1B81"/>
    <w:rsid w:val="40C26841"/>
    <w:rsid w:val="40EF3288"/>
    <w:rsid w:val="40EF4CA3"/>
    <w:rsid w:val="411F6722"/>
    <w:rsid w:val="4133382C"/>
    <w:rsid w:val="41472F93"/>
    <w:rsid w:val="415F0BA0"/>
    <w:rsid w:val="41F8695E"/>
    <w:rsid w:val="41FA72C2"/>
    <w:rsid w:val="420E62D8"/>
    <w:rsid w:val="421A76FA"/>
    <w:rsid w:val="423C44E6"/>
    <w:rsid w:val="42442F10"/>
    <w:rsid w:val="42695622"/>
    <w:rsid w:val="426C1062"/>
    <w:rsid w:val="427E6DC6"/>
    <w:rsid w:val="429D27CF"/>
    <w:rsid w:val="429E1053"/>
    <w:rsid w:val="42D63019"/>
    <w:rsid w:val="42EA106F"/>
    <w:rsid w:val="42FB7282"/>
    <w:rsid w:val="43297903"/>
    <w:rsid w:val="432A200E"/>
    <w:rsid w:val="4334545E"/>
    <w:rsid w:val="43467C06"/>
    <w:rsid w:val="434C6880"/>
    <w:rsid w:val="4373646E"/>
    <w:rsid w:val="4382701E"/>
    <w:rsid w:val="43A21485"/>
    <w:rsid w:val="43DE7CC7"/>
    <w:rsid w:val="43EF6CF2"/>
    <w:rsid w:val="44060F46"/>
    <w:rsid w:val="440D7B75"/>
    <w:rsid w:val="441B0C34"/>
    <w:rsid w:val="44242CF5"/>
    <w:rsid w:val="443D35A0"/>
    <w:rsid w:val="44595385"/>
    <w:rsid w:val="44626E13"/>
    <w:rsid w:val="446E2969"/>
    <w:rsid w:val="44DB3E36"/>
    <w:rsid w:val="44E85B37"/>
    <w:rsid w:val="45101F31"/>
    <w:rsid w:val="4554388F"/>
    <w:rsid w:val="456E4871"/>
    <w:rsid w:val="45753121"/>
    <w:rsid w:val="45816209"/>
    <w:rsid w:val="45A16264"/>
    <w:rsid w:val="45A16321"/>
    <w:rsid w:val="45BB639E"/>
    <w:rsid w:val="45C10CC0"/>
    <w:rsid w:val="45C52BA1"/>
    <w:rsid w:val="45CB14F1"/>
    <w:rsid w:val="45D26A27"/>
    <w:rsid w:val="45E24E51"/>
    <w:rsid w:val="45EA3193"/>
    <w:rsid w:val="462A2ADC"/>
    <w:rsid w:val="46381D5C"/>
    <w:rsid w:val="46617C3E"/>
    <w:rsid w:val="46812F96"/>
    <w:rsid w:val="46887932"/>
    <w:rsid w:val="46A02E2D"/>
    <w:rsid w:val="46A31B6F"/>
    <w:rsid w:val="46BD63E7"/>
    <w:rsid w:val="46C23632"/>
    <w:rsid w:val="46C30E5C"/>
    <w:rsid w:val="46D44484"/>
    <w:rsid w:val="46E64797"/>
    <w:rsid w:val="46F46550"/>
    <w:rsid w:val="472C444B"/>
    <w:rsid w:val="475F7C65"/>
    <w:rsid w:val="47670F06"/>
    <w:rsid w:val="477D44DF"/>
    <w:rsid w:val="479E323A"/>
    <w:rsid w:val="479F2A2F"/>
    <w:rsid w:val="47AC379F"/>
    <w:rsid w:val="47B307A3"/>
    <w:rsid w:val="47B309CD"/>
    <w:rsid w:val="47BC2503"/>
    <w:rsid w:val="47C15F93"/>
    <w:rsid w:val="47C3517D"/>
    <w:rsid w:val="47C42561"/>
    <w:rsid w:val="48051EF7"/>
    <w:rsid w:val="480569E3"/>
    <w:rsid w:val="48221D78"/>
    <w:rsid w:val="482F1D14"/>
    <w:rsid w:val="485B27A2"/>
    <w:rsid w:val="485E48D1"/>
    <w:rsid w:val="48687A89"/>
    <w:rsid w:val="486C27AF"/>
    <w:rsid w:val="488112BC"/>
    <w:rsid w:val="48833E77"/>
    <w:rsid w:val="488E183E"/>
    <w:rsid w:val="48C03BB5"/>
    <w:rsid w:val="48DD5661"/>
    <w:rsid w:val="48E225ED"/>
    <w:rsid w:val="48F02766"/>
    <w:rsid w:val="491920E6"/>
    <w:rsid w:val="4952623C"/>
    <w:rsid w:val="495E0FE6"/>
    <w:rsid w:val="49605783"/>
    <w:rsid w:val="497C4D1C"/>
    <w:rsid w:val="49907129"/>
    <w:rsid w:val="49C819C4"/>
    <w:rsid w:val="49CE75CB"/>
    <w:rsid w:val="4A5144FD"/>
    <w:rsid w:val="4A541597"/>
    <w:rsid w:val="4A5D51DF"/>
    <w:rsid w:val="4A7B5B71"/>
    <w:rsid w:val="4A982F91"/>
    <w:rsid w:val="4A9A5AC5"/>
    <w:rsid w:val="4AB1386F"/>
    <w:rsid w:val="4AB4014A"/>
    <w:rsid w:val="4AE54DEC"/>
    <w:rsid w:val="4AF37267"/>
    <w:rsid w:val="4AF6676E"/>
    <w:rsid w:val="4B0538BB"/>
    <w:rsid w:val="4B165E25"/>
    <w:rsid w:val="4B5069EE"/>
    <w:rsid w:val="4B8B3183"/>
    <w:rsid w:val="4B961233"/>
    <w:rsid w:val="4BA80940"/>
    <w:rsid w:val="4BB328B3"/>
    <w:rsid w:val="4BC13AFD"/>
    <w:rsid w:val="4BC42687"/>
    <w:rsid w:val="4BE023EF"/>
    <w:rsid w:val="4C017704"/>
    <w:rsid w:val="4C077967"/>
    <w:rsid w:val="4C1827F1"/>
    <w:rsid w:val="4C1A2391"/>
    <w:rsid w:val="4C26098A"/>
    <w:rsid w:val="4C2D7B92"/>
    <w:rsid w:val="4C361C31"/>
    <w:rsid w:val="4C3B7925"/>
    <w:rsid w:val="4C3D490B"/>
    <w:rsid w:val="4C3F1899"/>
    <w:rsid w:val="4C5D0DE7"/>
    <w:rsid w:val="4C654F49"/>
    <w:rsid w:val="4C973E49"/>
    <w:rsid w:val="4CE213C2"/>
    <w:rsid w:val="4D063EAC"/>
    <w:rsid w:val="4D291389"/>
    <w:rsid w:val="4D40489C"/>
    <w:rsid w:val="4D904458"/>
    <w:rsid w:val="4DA16828"/>
    <w:rsid w:val="4DB13E18"/>
    <w:rsid w:val="4DED2A4D"/>
    <w:rsid w:val="4DEF7321"/>
    <w:rsid w:val="4E0478EA"/>
    <w:rsid w:val="4E1D5AAE"/>
    <w:rsid w:val="4E4205CB"/>
    <w:rsid w:val="4E477BBE"/>
    <w:rsid w:val="4E584200"/>
    <w:rsid w:val="4E6229C3"/>
    <w:rsid w:val="4E6E3C17"/>
    <w:rsid w:val="4E6E68D0"/>
    <w:rsid w:val="4EBE1E05"/>
    <w:rsid w:val="4EC34C2E"/>
    <w:rsid w:val="4ECF4AC0"/>
    <w:rsid w:val="4EF63225"/>
    <w:rsid w:val="4F141557"/>
    <w:rsid w:val="4F937C88"/>
    <w:rsid w:val="4F981D0C"/>
    <w:rsid w:val="4FD9460E"/>
    <w:rsid w:val="4FEE716A"/>
    <w:rsid w:val="502C63B4"/>
    <w:rsid w:val="502F74B2"/>
    <w:rsid w:val="50623B3C"/>
    <w:rsid w:val="50683318"/>
    <w:rsid w:val="506A72CD"/>
    <w:rsid w:val="506B0E9D"/>
    <w:rsid w:val="50847CC8"/>
    <w:rsid w:val="50C4189F"/>
    <w:rsid w:val="5114486E"/>
    <w:rsid w:val="51393A01"/>
    <w:rsid w:val="51467744"/>
    <w:rsid w:val="514C27C1"/>
    <w:rsid w:val="51C300C5"/>
    <w:rsid w:val="51E11030"/>
    <w:rsid w:val="5218397D"/>
    <w:rsid w:val="521A190E"/>
    <w:rsid w:val="52374505"/>
    <w:rsid w:val="523C6D3E"/>
    <w:rsid w:val="524144FF"/>
    <w:rsid w:val="524B0597"/>
    <w:rsid w:val="524F4DCF"/>
    <w:rsid w:val="5280167A"/>
    <w:rsid w:val="52827C50"/>
    <w:rsid w:val="52A12ECA"/>
    <w:rsid w:val="52AB6E4B"/>
    <w:rsid w:val="52C32140"/>
    <w:rsid w:val="52C43DDA"/>
    <w:rsid w:val="52D90ED0"/>
    <w:rsid w:val="52EC032F"/>
    <w:rsid w:val="52FA60EF"/>
    <w:rsid w:val="530379C4"/>
    <w:rsid w:val="530B40E9"/>
    <w:rsid w:val="53766494"/>
    <w:rsid w:val="539A2E6B"/>
    <w:rsid w:val="53A10131"/>
    <w:rsid w:val="53BD589F"/>
    <w:rsid w:val="53E334B6"/>
    <w:rsid w:val="53F777B9"/>
    <w:rsid w:val="54066C14"/>
    <w:rsid w:val="540A0EC2"/>
    <w:rsid w:val="54362F3B"/>
    <w:rsid w:val="543D38E0"/>
    <w:rsid w:val="54464EED"/>
    <w:rsid w:val="544A00D8"/>
    <w:rsid w:val="545C1BB9"/>
    <w:rsid w:val="54791AA9"/>
    <w:rsid w:val="547E6DE5"/>
    <w:rsid w:val="54840AB3"/>
    <w:rsid w:val="54A067E1"/>
    <w:rsid w:val="54B6124F"/>
    <w:rsid w:val="54D0781A"/>
    <w:rsid w:val="54E0104F"/>
    <w:rsid w:val="54ED53F8"/>
    <w:rsid w:val="551E1B5E"/>
    <w:rsid w:val="554D645F"/>
    <w:rsid w:val="55583D73"/>
    <w:rsid w:val="5583495C"/>
    <w:rsid w:val="55846EBF"/>
    <w:rsid w:val="55851631"/>
    <w:rsid w:val="558756C0"/>
    <w:rsid w:val="55890D22"/>
    <w:rsid w:val="558B0412"/>
    <w:rsid w:val="55A143F1"/>
    <w:rsid w:val="55AA29E0"/>
    <w:rsid w:val="55CB4099"/>
    <w:rsid w:val="55E147BA"/>
    <w:rsid w:val="56211D23"/>
    <w:rsid w:val="56406016"/>
    <w:rsid w:val="564D662B"/>
    <w:rsid w:val="56670727"/>
    <w:rsid w:val="56681F0D"/>
    <w:rsid w:val="5680429F"/>
    <w:rsid w:val="56A2530E"/>
    <w:rsid w:val="56A428E7"/>
    <w:rsid w:val="56C91435"/>
    <w:rsid w:val="56D57E27"/>
    <w:rsid w:val="56F333B8"/>
    <w:rsid w:val="570472B9"/>
    <w:rsid w:val="570A016C"/>
    <w:rsid w:val="570C7BC6"/>
    <w:rsid w:val="572D0FA8"/>
    <w:rsid w:val="577B1538"/>
    <w:rsid w:val="57826706"/>
    <w:rsid w:val="57941E70"/>
    <w:rsid w:val="57A31BED"/>
    <w:rsid w:val="57B73F73"/>
    <w:rsid w:val="57E30611"/>
    <w:rsid w:val="5850282F"/>
    <w:rsid w:val="58551CD9"/>
    <w:rsid w:val="58573DB0"/>
    <w:rsid w:val="58580F4F"/>
    <w:rsid w:val="5897662B"/>
    <w:rsid w:val="58B51BB3"/>
    <w:rsid w:val="58C565D8"/>
    <w:rsid w:val="58CE224A"/>
    <w:rsid w:val="58E70B3A"/>
    <w:rsid w:val="58F145C1"/>
    <w:rsid w:val="59054411"/>
    <w:rsid w:val="591B379D"/>
    <w:rsid w:val="59740CA6"/>
    <w:rsid w:val="597F3C18"/>
    <w:rsid w:val="59AA66F2"/>
    <w:rsid w:val="59B67930"/>
    <w:rsid w:val="59D04DDE"/>
    <w:rsid w:val="59EC4459"/>
    <w:rsid w:val="5A4365E4"/>
    <w:rsid w:val="5A445D00"/>
    <w:rsid w:val="5A4F1F9F"/>
    <w:rsid w:val="5A501454"/>
    <w:rsid w:val="5A535CDD"/>
    <w:rsid w:val="5A695A02"/>
    <w:rsid w:val="5A7F2553"/>
    <w:rsid w:val="5ABA58E4"/>
    <w:rsid w:val="5AC72E07"/>
    <w:rsid w:val="5AC90AA6"/>
    <w:rsid w:val="5AE73E50"/>
    <w:rsid w:val="5AFE541A"/>
    <w:rsid w:val="5B3414E1"/>
    <w:rsid w:val="5B351579"/>
    <w:rsid w:val="5B720D2A"/>
    <w:rsid w:val="5B7C58B6"/>
    <w:rsid w:val="5BB462FA"/>
    <w:rsid w:val="5BB813CE"/>
    <w:rsid w:val="5BB972ED"/>
    <w:rsid w:val="5BC52891"/>
    <w:rsid w:val="5BD8352C"/>
    <w:rsid w:val="5C256605"/>
    <w:rsid w:val="5C372B99"/>
    <w:rsid w:val="5C4D0890"/>
    <w:rsid w:val="5C5442BF"/>
    <w:rsid w:val="5C64615E"/>
    <w:rsid w:val="5C7C25B0"/>
    <w:rsid w:val="5C8D23DA"/>
    <w:rsid w:val="5CBB165C"/>
    <w:rsid w:val="5CC82599"/>
    <w:rsid w:val="5CFE5E6D"/>
    <w:rsid w:val="5D071E8F"/>
    <w:rsid w:val="5D2A5F26"/>
    <w:rsid w:val="5D3C4886"/>
    <w:rsid w:val="5D5B3BAC"/>
    <w:rsid w:val="5D6B03D8"/>
    <w:rsid w:val="5D777F13"/>
    <w:rsid w:val="5D796F8C"/>
    <w:rsid w:val="5DAC0917"/>
    <w:rsid w:val="5DBE2490"/>
    <w:rsid w:val="5DBF66BF"/>
    <w:rsid w:val="5DE52AC2"/>
    <w:rsid w:val="5E076509"/>
    <w:rsid w:val="5E111DD8"/>
    <w:rsid w:val="5E205B5E"/>
    <w:rsid w:val="5E23479A"/>
    <w:rsid w:val="5E2862AF"/>
    <w:rsid w:val="5E4156A8"/>
    <w:rsid w:val="5E61171D"/>
    <w:rsid w:val="5E6A6A5D"/>
    <w:rsid w:val="5E741206"/>
    <w:rsid w:val="5E912038"/>
    <w:rsid w:val="5EC81F56"/>
    <w:rsid w:val="5ECD0173"/>
    <w:rsid w:val="5ED96F7D"/>
    <w:rsid w:val="5EE849AE"/>
    <w:rsid w:val="5EFB4786"/>
    <w:rsid w:val="5F100D9E"/>
    <w:rsid w:val="5F197823"/>
    <w:rsid w:val="5F2C29DB"/>
    <w:rsid w:val="5F2C7B97"/>
    <w:rsid w:val="5F3D0F0C"/>
    <w:rsid w:val="5F5C3A06"/>
    <w:rsid w:val="5F621772"/>
    <w:rsid w:val="5F8F662F"/>
    <w:rsid w:val="5FC336E0"/>
    <w:rsid w:val="5FC97E80"/>
    <w:rsid w:val="5FCA7682"/>
    <w:rsid w:val="5FCC6BC8"/>
    <w:rsid w:val="5FF41B2A"/>
    <w:rsid w:val="602B5716"/>
    <w:rsid w:val="604916B7"/>
    <w:rsid w:val="604A61E0"/>
    <w:rsid w:val="60533368"/>
    <w:rsid w:val="60990834"/>
    <w:rsid w:val="60A05DB5"/>
    <w:rsid w:val="60C94FA1"/>
    <w:rsid w:val="60D269FA"/>
    <w:rsid w:val="610028A9"/>
    <w:rsid w:val="610C623C"/>
    <w:rsid w:val="610F0E07"/>
    <w:rsid w:val="61147459"/>
    <w:rsid w:val="612D7505"/>
    <w:rsid w:val="61323E9C"/>
    <w:rsid w:val="615E3140"/>
    <w:rsid w:val="61620853"/>
    <w:rsid w:val="616905EB"/>
    <w:rsid w:val="617C09E0"/>
    <w:rsid w:val="617D6DEB"/>
    <w:rsid w:val="617E795A"/>
    <w:rsid w:val="61A57282"/>
    <w:rsid w:val="61B171A4"/>
    <w:rsid w:val="620005CD"/>
    <w:rsid w:val="62005409"/>
    <w:rsid w:val="62212ECB"/>
    <w:rsid w:val="624C1D6A"/>
    <w:rsid w:val="627243E8"/>
    <w:rsid w:val="628B3C65"/>
    <w:rsid w:val="629B18D7"/>
    <w:rsid w:val="62A94E7A"/>
    <w:rsid w:val="62B35DD5"/>
    <w:rsid w:val="62F7675A"/>
    <w:rsid w:val="62FC0BA9"/>
    <w:rsid w:val="630B2670"/>
    <w:rsid w:val="631A638B"/>
    <w:rsid w:val="631C02E9"/>
    <w:rsid w:val="631F0134"/>
    <w:rsid w:val="632A7A6A"/>
    <w:rsid w:val="63B25DD3"/>
    <w:rsid w:val="63B814CF"/>
    <w:rsid w:val="63BF19E2"/>
    <w:rsid w:val="63C1623D"/>
    <w:rsid w:val="63D26423"/>
    <w:rsid w:val="63E34FAA"/>
    <w:rsid w:val="63E474EC"/>
    <w:rsid w:val="64375BDD"/>
    <w:rsid w:val="6438177B"/>
    <w:rsid w:val="643B43E5"/>
    <w:rsid w:val="64413281"/>
    <w:rsid w:val="646625F8"/>
    <w:rsid w:val="648150E8"/>
    <w:rsid w:val="648977FD"/>
    <w:rsid w:val="6496652F"/>
    <w:rsid w:val="64996492"/>
    <w:rsid w:val="64A02A3E"/>
    <w:rsid w:val="64A27FF5"/>
    <w:rsid w:val="64B56FAB"/>
    <w:rsid w:val="64BB1C88"/>
    <w:rsid w:val="65242AC6"/>
    <w:rsid w:val="6526074A"/>
    <w:rsid w:val="6543099A"/>
    <w:rsid w:val="65452EB8"/>
    <w:rsid w:val="65820F02"/>
    <w:rsid w:val="6590505D"/>
    <w:rsid w:val="65A3544F"/>
    <w:rsid w:val="65A82FE4"/>
    <w:rsid w:val="65AD65DC"/>
    <w:rsid w:val="65BB4B37"/>
    <w:rsid w:val="65BC4D50"/>
    <w:rsid w:val="65BE3D0F"/>
    <w:rsid w:val="65D5100F"/>
    <w:rsid w:val="6605699E"/>
    <w:rsid w:val="662620A8"/>
    <w:rsid w:val="663B791F"/>
    <w:rsid w:val="66463E57"/>
    <w:rsid w:val="6681502B"/>
    <w:rsid w:val="66D12381"/>
    <w:rsid w:val="66D368C4"/>
    <w:rsid w:val="66ED5CA8"/>
    <w:rsid w:val="66EE2ACD"/>
    <w:rsid w:val="66F86270"/>
    <w:rsid w:val="67046474"/>
    <w:rsid w:val="67224030"/>
    <w:rsid w:val="673B14D5"/>
    <w:rsid w:val="676864A9"/>
    <w:rsid w:val="67784079"/>
    <w:rsid w:val="677F7E5F"/>
    <w:rsid w:val="678577F1"/>
    <w:rsid w:val="67A05B00"/>
    <w:rsid w:val="67AA1E73"/>
    <w:rsid w:val="67D619EE"/>
    <w:rsid w:val="67DC6C4A"/>
    <w:rsid w:val="67E038D8"/>
    <w:rsid w:val="682E551D"/>
    <w:rsid w:val="687C0017"/>
    <w:rsid w:val="689C10B9"/>
    <w:rsid w:val="68CB0943"/>
    <w:rsid w:val="68D22AA5"/>
    <w:rsid w:val="68DF10A7"/>
    <w:rsid w:val="68E17599"/>
    <w:rsid w:val="68EC222A"/>
    <w:rsid w:val="68EC3231"/>
    <w:rsid w:val="68F20581"/>
    <w:rsid w:val="69036845"/>
    <w:rsid w:val="6908273C"/>
    <w:rsid w:val="691342F2"/>
    <w:rsid w:val="691B33E9"/>
    <w:rsid w:val="692F2CA2"/>
    <w:rsid w:val="693A18E8"/>
    <w:rsid w:val="694F7BF4"/>
    <w:rsid w:val="696D6BDA"/>
    <w:rsid w:val="69813C27"/>
    <w:rsid w:val="69971E3E"/>
    <w:rsid w:val="69B61A38"/>
    <w:rsid w:val="69B875FD"/>
    <w:rsid w:val="69D836A3"/>
    <w:rsid w:val="69E202AE"/>
    <w:rsid w:val="69E93C73"/>
    <w:rsid w:val="6A14267B"/>
    <w:rsid w:val="6A157A24"/>
    <w:rsid w:val="6A261531"/>
    <w:rsid w:val="6A394C4F"/>
    <w:rsid w:val="6A540BD0"/>
    <w:rsid w:val="6A6527CF"/>
    <w:rsid w:val="6A705425"/>
    <w:rsid w:val="6A883BCE"/>
    <w:rsid w:val="6A9B4BF2"/>
    <w:rsid w:val="6AA060E9"/>
    <w:rsid w:val="6AB5444C"/>
    <w:rsid w:val="6AB80537"/>
    <w:rsid w:val="6AC21BFD"/>
    <w:rsid w:val="6ACB3360"/>
    <w:rsid w:val="6AD62934"/>
    <w:rsid w:val="6AF96DCC"/>
    <w:rsid w:val="6AFD7B28"/>
    <w:rsid w:val="6B0E47C1"/>
    <w:rsid w:val="6B545BC6"/>
    <w:rsid w:val="6B6C346D"/>
    <w:rsid w:val="6B6D7818"/>
    <w:rsid w:val="6B6E1F6C"/>
    <w:rsid w:val="6B851B40"/>
    <w:rsid w:val="6B865C96"/>
    <w:rsid w:val="6BAC2DC6"/>
    <w:rsid w:val="6BB57771"/>
    <w:rsid w:val="6BDA567D"/>
    <w:rsid w:val="6BE516A9"/>
    <w:rsid w:val="6BEF1BCA"/>
    <w:rsid w:val="6BFA2B20"/>
    <w:rsid w:val="6C0819A5"/>
    <w:rsid w:val="6C201A9D"/>
    <w:rsid w:val="6C223D2D"/>
    <w:rsid w:val="6C4F5E96"/>
    <w:rsid w:val="6C6E149A"/>
    <w:rsid w:val="6C7A4CF6"/>
    <w:rsid w:val="6C817148"/>
    <w:rsid w:val="6C8A73DF"/>
    <w:rsid w:val="6CA57828"/>
    <w:rsid w:val="6CAE4B9D"/>
    <w:rsid w:val="6CDC4A3E"/>
    <w:rsid w:val="6CED392A"/>
    <w:rsid w:val="6CFA2EB6"/>
    <w:rsid w:val="6D122A9D"/>
    <w:rsid w:val="6D2A1EEE"/>
    <w:rsid w:val="6D430D78"/>
    <w:rsid w:val="6D484DC7"/>
    <w:rsid w:val="6D5A3630"/>
    <w:rsid w:val="6D727724"/>
    <w:rsid w:val="6D7432CE"/>
    <w:rsid w:val="6D94485C"/>
    <w:rsid w:val="6D972743"/>
    <w:rsid w:val="6DCA0E46"/>
    <w:rsid w:val="6DCB6D93"/>
    <w:rsid w:val="6DCC4EC9"/>
    <w:rsid w:val="6DEE76F9"/>
    <w:rsid w:val="6DF217A3"/>
    <w:rsid w:val="6E01372E"/>
    <w:rsid w:val="6E2A1B0A"/>
    <w:rsid w:val="6E3B6705"/>
    <w:rsid w:val="6E3F5CED"/>
    <w:rsid w:val="6E440488"/>
    <w:rsid w:val="6E680EDE"/>
    <w:rsid w:val="6E9C6DE4"/>
    <w:rsid w:val="6EA319F4"/>
    <w:rsid w:val="6ECD50B4"/>
    <w:rsid w:val="6EDA7AD8"/>
    <w:rsid w:val="6EE759A0"/>
    <w:rsid w:val="6EF51DC8"/>
    <w:rsid w:val="6F181CB6"/>
    <w:rsid w:val="6F265BB8"/>
    <w:rsid w:val="6F51258B"/>
    <w:rsid w:val="6F574919"/>
    <w:rsid w:val="6F9E24D7"/>
    <w:rsid w:val="6FA61FB9"/>
    <w:rsid w:val="6FD54A1D"/>
    <w:rsid w:val="6FE37D6C"/>
    <w:rsid w:val="70026D62"/>
    <w:rsid w:val="70086925"/>
    <w:rsid w:val="701A6763"/>
    <w:rsid w:val="70452217"/>
    <w:rsid w:val="70542910"/>
    <w:rsid w:val="70694486"/>
    <w:rsid w:val="706A1C81"/>
    <w:rsid w:val="706B5913"/>
    <w:rsid w:val="708139E6"/>
    <w:rsid w:val="70A7175B"/>
    <w:rsid w:val="70A94B5F"/>
    <w:rsid w:val="70B95769"/>
    <w:rsid w:val="710D09A5"/>
    <w:rsid w:val="711A11DF"/>
    <w:rsid w:val="711B3AA4"/>
    <w:rsid w:val="715A0486"/>
    <w:rsid w:val="71666557"/>
    <w:rsid w:val="718C1D75"/>
    <w:rsid w:val="719F59D6"/>
    <w:rsid w:val="71AE1A13"/>
    <w:rsid w:val="71E1584A"/>
    <w:rsid w:val="71EB5458"/>
    <w:rsid w:val="71F569FA"/>
    <w:rsid w:val="722B2677"/>
    <w:rsid w:val="72372540"/>
    <w:rsid w:val="724D0268"/>
    <w:rsid w:val="726C33BA"/>
    <w:rsid w:val="72704BC3"/>
    <w:rsid w:val="72754BF7"/>
    <w:rsid w:val="72863C8D"/>
    <w:rsid w:val="72991533"/>
    <w:rsid w:val="729A3D1D"/>
    <w:rsid w:val="72A72C32"/>
    <w:rsid w:val="72BF1755"/>
    <w:rsid w:val="72DD0D12"/>
    <w:rsid w:val="72F73CCB"/>
    <w:rsid w:val="731238A7"/>
    <w:rsid w:val="73294153"/>
    <w:rsid w:val="733309F1"/>
    <w:rsid w:val="734E2F66"/>
    <w:rsid w:val="73797A17"/>
    <w:rsid w:val="738D1C3F"/>
    <w:rsid w:val="73956937"/>
    <w:rsid w:val="739B6222"/>
    <w:rsid w:val="73BB5D93"/>
    <w:rsid w:val="73E223BE"/>
    <w:rsid w:val="73F87800"/>
    <w:rsid w:val="7422448F"/>
    <w:rsid w:val="742B75D7"/>
    <w:rsid w:val="745659F8"/>
    <w:rsid w:val="74577AC4"/>
    <w:rsid w:val="74737753"/>
    <w:rsid w:val="7476418B"/>
    <w:rsid w:val="74B403DF"/>
    <w:rsid w:val="74E37802"/>
    <w:rsid w:val="74E87EB8"/>
    <w:rsid w:val="74F617E9"/>
    <w:rsid w:val="74FB3CFB"/>
    <w:rsid w:val="7500170B"/>
    <w:rsid w:val="750F0DF9"/>
    <w:rsid w:val="7517036C"/>
    <w:rsid w:val="752E4723"/>
    <w:rsid w:val="754C642B"/>
    <w:rsid w:val="757A0E05"/>
    <w:rsid w:val="75944DE4"/>
    <w:rsid w:val="75AD76A9"/>
    <w:rsid w:val="75E2743C"/>
    <w:rsid w:val="764475E9"/>
    <w:rsid w:val="76541AEC"/>
    <w:rsid w:val="76747B20"/>
    <w:rsid w:val="76AB61C2"/>
    <w:rsid w:val="76C87743"/>
    <w:rsid w:val="76D1554E"/>
    <w:rsid w:val="76F31220"/>
    <w:rsid w:val="770C0616"/>
    <w:rsid w:val="77635EC0"/>
    <w:rsid w:val="777F0934"/>
    <w:rsid w:val="77894882"/>
    <w:rsid w:val="778E46E3"/>
    <w:rsid w:val="77A309CF"/>
    <w:rsid w:val="77AA7803"/>
    <w:rsid w:val="77C63C80"/>
    <w:rsid w:val="77F22D66"/>
    <w:rsid w:val="77F550DF"/>
    <w:rsid w:val="783E7562"/>
    <w:rsid w:val="78446229"/>
    <w:rsid w:val="78507435"/>
    <w:rsid w:val="78895FCC"/>
    <w:rsid w:val="78906A4D"/>
    <w:rsid w:val="789A2C90"/>
    <w:rsid w:val="78B034BF"/>
    <w:rsid w:val="78B10718"/>
    <w:rsid w:val="78C977DD"/>
    <w:rsid w:val="791A5BDE"/>
    <w:rsid w:val="79201071"/>
    <w:rsid w:val="79210D82"/>
    <w:rsid w:val="7925057F"/>
    <w:rsid w:val="7947668F"/>
    <w:rsid w:val="79581057"/>
    <w:rsid w:val="795C46D4"/>
    <w:rsid w:val="796A027A"/>
    <w:rsid w:val="79770648"/>
    <w:rsid w:val="799D4583"/>
    <w:rsid w:val="79CD4065"/>
    <w:rsid w:val="79CD6A55"/>
    <w:rsid w:val="79D556BA"/>
    <w:rsid w:val="79DE4E5E"/>
    <w:rsid w:val="79E50A3B"/>
    <w:rsid w:val="79F46B0F"/>
    <w:rsid w:val="7A2C6EC4"/>
    <w:rsid w:val="7A2F328D"/>
    <w:rsid w:val="7A3B32FC"/>
    <w:rsid w:val="7A6A6FBD"/>
    <w:rsid w:val="7A7E41A0"/>
    <w:rsid w:val="7A8C7BDA"/>
    <w:rsid w:val="7AA556D5"/>
    <w:rsid w:val="7AA7768D"/>
    <w:rsid w:val="7AB75B3B"/>
    <w:rsid w:val="7B381462"/>
    <w:rsid w:val="7B566DD8"/>
    <w:rsid w:val="7BA824DD"/>
    <w:rsid w:val="7BB91A5D"/>
    <w:rsid w:val="7BC34038"/>
    <w:rsid w:val="7BD2278A"/>
    <w:rsid w:val="7C08480D"/>
    <w:rsid w:val="7C175103"/>
    <w:rsid w:val="7C2E19FD"/>
    <w:rsid w:val="7C451D9E"/>
    <w:rsid w:val="7C4F5D32"/>
    <w:rsid w:val="7C502CD7"/>
    <w:rsid w:val="7C625655"/>
    <w:rsid w:val="7C673E34"/>
    <w:rsid w:val="7C73245A"/>
    <w:rsid w:val="7C8960B8"/>
    <w:rsid w:val="7CBC6FAC"/>
    <w:rsid w:val="7CD75274"/>
    <w:rsid w:val="7CE23451"/>
    <w:rsid w:val="7CEB1955"/>
    <w:rsid w:val="7CF231AB"/>
    <w:rsid w:val="7CF364F7"/>
    <w:rsid w:val="7D4F45A7"/>
    <w:rsid w:val="7D67042A"/>
    <w:rsid w:val="7D6B22CE"/>
    <w:rsid w:val="7D6B6A43"/>
    <w:rsid w:val="7D8D351D"/>
    <w:rsid w:val="7DB51EBA"/>
    <w:rsid w:val="7DF20BD1"/>
    <w:rsid w:val="7DF612ED"/>
    <w:rsid w:val="7E0D3A76"/>
    <w:rsid w:val="7E59144B"/>
    <w:rsid w:val="7E5C217D"/>
    <w:rsid w:val="7E677546"/>
    <w:rsid w:val="7E6A2537"/>
    <w:rsid w:val="7E6C1030"/>
    <w:rsid w:val="7EB636B5"/>
    <w:rsid w:val="7EC0346F"/>
    <w:rsid w:val="7EDD1836"/>
    <w:rsid w:val="7EF7561A"/>
    <w:rsid w:val="7EF873B3"/>
    <w:rsid w:val="7F064B90"/>
    <w:rsid w:val="7F373EC3"/>
    <w:rsid w:val="7F5E4DB5"/>
    <w:rsid w:val="7F6A7B18"/>
    <w:rsid w:val="7FBE735C"/>
    <w:rsid w:val="7FD9758F"/>
    <w:rsid w:val="7FED23BF"/>
    <w:rsid w:val="7FF405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qFormat="1" w:uiPriority="99" w:semiHidden="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7"/>
    <w:autoRedefine/>
    <w:qFormat/>
    <w:uiPriority w:val="0"/>
    <w:pPr>
      <w:keepNext/>
      <w:jc w:val="center"/>
      <w:outlineLvl w:val="0"/>
    </w:pPr>
    <w:rPr>
      <w:rFonts w:asciiTheme="majorEastAsia" w:hAnsiTheme="majorEastAsia" w:eastAsiaTheme="majorEastAsia" w:cstheme="majorEastAsia"/>
      <w:b/>
      <w:bCs/>
      <w:sz w:val="32"/>
      <w:szCs w:val="32"/>
    </w:rPr>
  </w:style>
  <w:style w:type="paragraph" w:styleId="4">
    <w:name w:val="heading 2"/>
    <w:basedOn w:val="1"/>
    <w:next w:val="1"/>
    <w:link w:val="62"/>
    <w:autoRedefine/>
    <w:qFormat/>
    <w:uiPriority w:val="0"/>
    <w:pPr>
      <w:keepNext/>
      <w:keepLines/>
      <w:spacing w:line="360" w:lineRule="auto"/>
      <w:outlineLvl w:val="1"/>
    </w:pPr>
    <w:rPr>
      <w:rFonts w:ascii="Arial" w:hAnsi="Arial"/>
      <w:b/>
      <w:bCs/>
      <w:szCs w:val="32"/>
    </w:rPr>
  </w:style>
  <w:style w:type="paragraph" w:styleId="5">
    <w:name w:val="heading 3"/>
    <w:basedOn w:val="1"/>
    <w:next w:val="1"/>
    <w:link w:val="68"/>
    <w:autoRedefine/>
    <w:qFormat/>
    <w:uiPriority w:val="0"/>
    <w:pPr>
      <w:keepNext/>
      <w:keepLines/>
      <w:spacing w:before="260" w:after="260" w:line="416" w:lineRule="auto"/>
      <w:outlineLvl w:val="2"/>
    </w:pPr>
    <w:rPr>
      <w:b/>
      <w:bCs/>
      <w:sz w:val="32"/>
      <w:szCs w:val="32"/>
    </w:rPr>
  </w:style>
  <w:style w:type="paragraph" w:styleId="6">
    <w:name w:val="heading 4"/>
    <w:basedOn w:val="1"/>
    <w:next w:val="1"/>
    <w:link w:val="69"/>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70"/>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71"/>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72"/>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73"/>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74"/>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style>
  <w:style w:type="paragraph" w:styleId="12">
    <w:name w:val="toc 7"/>
    <w:basedOn w:val="1"/>
    <w:next w:val="1"/>
    <w:autoRedefine/>
    <w:qFormat/>
    <w:uiPriority w:val="0"/>
    <w:pPr>
      <w:ind w:left="2520" w:leftChars="1200"/>
    </w:pPr>
    <w:rPr>
      <w:rFonts w:ascii="Calibri" w:hAnsi="Calibri"/>
      <w:szCs w:val="22"/>
    </w:rPr>
  </w:style>
  <w:style w:type="paragraph" w:styleId="13">
    <w:name w:val="table of authorities"/>
    <w:basedOn w:val="1"/>
    <w:next w:val="1"/>
    <w:autoRedefine/>
    <w:unhideWhenUsed/>
    <w:qFormat/>
    <w:uiPriority w:val="99"/>
    <w:pPr>
      <w:ind w:left="420" w:leftChars="200"/>
    </w:pPr>
  </w:style>
  <w:style w:type="paragraph" w:styleId="14">
    <w:name w:val="Normal Indent"/>
    <w:basedOn w:val="1"/>
    <w:next w:val="15"/>
    <w:autoRedefine/>
    <w:qFormat/>
    <w:uiPriority w:val="0"/>
    <w:pPr>
      <w:widowControl/>
      <w:ind w:firstLine="420"/>
      <w:jc w:val="left"/>
    </w:pPr>
    <w:rPr>
      <w:kern w:val="0"/>
      <w:sz w:val="20"/>
      <w:szCs w:val="20"/>
    </w:rPr>
  </w:style>
  <w:style w:type="paragraph" w:customStyle="1" w:styleId="15">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16">
    <w:name w:val="Document Map"/>
    <w:basedOn w:val="1"/>
    <w:autoRedefine/>
    <w:semiHidden/>
    <w:qFormat/>
    <w:uiPriority w:val="0"/>
    <w:pPr>
      <w:shd w:val="clear" w:color="auto" w:fill="000080"/>
    </w:pPr>
  </w:style>
  <w:style w:type="paragraph" w:styleId="17">
    <w:name w:val="annotation text"/>
    <w:basedOn w:val="1"/>
    <w:link w:val="75"/>
    <w:autoRedefine/>
    <w:semiHidden/>
    <w:qFormat/>
    <w:uiPriority w:val="0"/>
    <w:pPr>
      <w:jc w:val="left"/>
    </w:pPr>
  </w:style>
  <w:style w:type="paragraph" w:styleId="18">
    <w:name w:val="Salutation"/>
    <w:basedOn w:val="1"/>
    <w:next w:val="1"/>
    <w:autoRedefine/>
    <w:qFormat/>
    <w:uiPriority w:val="0"/>
    <w:rPr>
      <w:rFonts w:ascii="仿宋_GB2312" w:eastAsia="仿宋_GB2312"/>
      <w:sz w:val="24"/>
    </w:rPr>
  </w:style>
  <w:style w:type="paragraph" w:styleId="19">
    <w:name w:val="Body Text 3"/>
    <w:basedOn w:val="1"/>
    <w:autoRedefine/>
    <w:qFormat/>
    <w:uiPriority w:val="0"/>
    <w:pPr>
      <w:autoSpaceDE w:val="0"/>
      <w:autoSpaceDN w:val="0"/>
      <w:adjustRightInd w:val="0"/>
      <w:spacing w:line="410" w:lineRule="atLeast"/>
      <w:jc w:val="left"/>
    </w:pPr>
    <w:rPr>
      <w:rFonts w:ascii="宋体"/>
      <w:color w:val="000000"/>
      <w:kern w:val="0"/>
      <w:sz w:val="24"/>
      <w:szCs w:val="20"/>
    </w:rPr>
  </w:style>
  <w:style w:type="paragraph" w:styleId="20">
    <w:name w:val="Body Text Indent"/>
    <w:basedOn w:val="1"/>
    <w:next w:val="21"/>
    <w:link w:val="66"/>
    <w:autoRedefine/>
    <w:qFormat/>
    <w:uiPriority w:val="0"/>
    <w:pPr>
      <w:spacing w:after="120"/>
      <w:ind w:left="420" w:leftChars="200"/>
    </w:pPr>
  </w:style>
  <w:style w:type="paragraph" w:styleId="21">
    <w:name w:val="Body Text Indent 2"/>
    <w:basedOn w:val="1"/>
    <w:next w:val="1"/>
    <w:autoRedefine/>
    <w:qFormat/>
    <w:uiPriority w:val="0"/>
    <w:pPr>
      <w:spacing w:after="120" w:line="480" w:lineRule="auto"/>
      <w:ind w:left="420" w:leftChars="200"/>
    </w:pPr>
  </w:style>
  <w:style w:type="paragraph" w:styleId="22">
    <w:name w:val="Block Text"/>
    <w:basedOn w:val="1"/>
    <w:autoRedefine/>
    <w:qFormat/>
    <w:uiPriority w:val="0"/>
    <w:pPr>
      <w:ind w:left="1171" w:right="91" w:hanging="1080"/>
    </w:pPr>
    <w:rPr>
      <w:rFonts w:eastAsia="楷体_GB2312"/>
      <w:szCs w:val="20"/>
    </w:rPr>
  </w:style>
  <w:style w:type="paragraph" w:styleId="23">
    <w:name w:val="toc 5"/>
    <w:basedOn w:val="1"/>
    <w:next w:val="1"/>
    <w:autoRedefine/>
    <w:qFormat/>
    <w:uiPriority w:val="0"/>
    <w:pPr>
      <w:ind w:left="1680" w:leftChars="800"/>
    </w:pPr>
    <w:rPr>
      <w:rFonts w:ascii="Calibri" w:hAnsi="Calibri"/>
      <w:szCs w:val="22"/>
    </w:rPr>
  </w:style>
  <w:style w:type="paragraph" w:styleId="24">
    <w:name w:val="toc 3"/>
    <w:basedOn w:val="1"/>
    <w:next w:val="1"/>
    <w:autoRedefine/>
    <w:qFormat/>
    <w:uiPriority w:val="0"/>
    <w:pPr>
      <w:ind w:left="840" w:leftChars="400"/>
    </w:pPr>
  </w:style>
  <w:style w:type="paragraph" w:styleId="25">
    <w:name w:val="Plain Text"/>
    <w:basedOn w:val="1"/>
    <w:next w:val="1"/>
    <w:link w:val="63"/>
    <w:autoRedefine/>
    <w:qFormat/>
    <w:uiPriority w:val="0"/>
    <w:rPr>
      <w:rFonts w:ascii="宋体" w:hAnsi="Courier New" w:cs="Courier New"/>
      <w:szCs w:val="21"/>
    </w:rPr>
  </w:style>
  <w:style w:type="paragraph" w:styleId="26">
    <w:name w:val="toc 8"/>
    <w:basedOn w:val="1"/>
    <w:next w:val="1"/>
    <w:autoRedefine/>
    <w:qFormat/>
    <w:uiPriority w:val="0"/>
    <w:pPr>
      <w:ind w:left="2940" w:leftChars="1400"/>
    </w:pPr>
    <w:rPr>
      <w:rFonts w:ascii="Calibri" w:hAnsi="Calibri"/>
      <w:szCs w:val="22"/>
    </w:rPr>
  </w:style>
  <w:style w:type="paragraph" w:styleId="27">
    <w:name w:val="Date"/>
    <w:basedOn w:val="1"/>
    <w:next w:val="1"/>
    <w:link w:val="76"/>
    <w:autoRedefine/>
    <w:qFormat/>
    <w:uiPriority w:val="0"/>
    <w:rPr>
      <w:sz w:val="24"/>
      <w:szCs w:val="20"/>
    </w:rPr>
  </w:style>
  <w:style w:type="paragraph" w:styleId="28">
    <w:name w:val="Balloon Text"/>
    <w:basedOn w:val="1"/>
    <w:link w:val="77"/>
    <w:autoRedefine/>
    <w:qFormat/>
    <w:uiPriority w:val="0"/>
    <w:rPr>
      <w:rFonts w:ascii="Calibri" w:hAnsi="Calibri"/>
      <w:sz w:val="18"/>
      <w:szCs w:val="18"/>
    </w:rPr>
  </w:style>
  <w:style w:type="paragraph" w:styleId="29">
    <w:name w:val="footer"/>
    <w:basedOn w:val="1"/>
    <w:link w:val="78"/>
    <w:autoRedefine/>
    <w:qFormat/>
    <w:uiPriority w:val="0"/>
    <w:pPr>
      <w:tabs>
        <w:tab w:val="center" w:pos="4153"/>
        <w:tab w:val="right" w:pos="8306"/>
      </w:tabs>
      <w:snapToGrid w:val="0"/>
      <w:jc w:val="left"/>
    </w:pPr>
    <w:rPr>
      <w:sz w:val="18"/>
      <w:szCs w:val="18"/>
    </w:rPr>
  </w:style>
  <w:style w:type="paragraph" w:styleId="30">
    <w:name w:val="envelope return"/>
    <w:basedOn w:val="1"/>
    <w:autoRedefine/>
    <w:unhideWhenUsed/>
    <w:qFormat/>
    <w:uiPriority w:val="99"/>
    <w:pPr>
      <w:snapToGrid w:val="0"/>
    </w:pPr>
    <w:rPr>
      <w:rFonts w:hint="eastAsia" w:ascii="Arial" w:hAnsi="Arial"/>
    </w:rPr>
  </w:style>
  <w:style w:type="paragraph" w:styleId="31">
    <w:name w:val="header"/>
    <w:basedOn w:val="1"/>
    <w:link w:val="79"/>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0"/>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rPr>
      <w:rFonts w:ascii="Calibri" w:hAnsi="Calibri"/>
      <w:szCs w:val="22"/>
    </w:rPr>
  </w:style>
  <w:style w:type="paragraph" w:styleId="35">
    <w:name w:val="Body Text Indent 3"/>
    <w:basedOn w:val="1"/>
    <w:link w:val="80"/>
    <w:autoRedefine/>
    <w:qFormat/>
    <w:uiPriority w:val="0"/>
    <w:pPr>
      <w:spacing w:after="120"/>
      <w:ind w:left="420" w:leftChars="200"/>
    </w:pPr>
    <w:rPr>
      <w:sz w:val="16"/>
      <w:szCs w:val="16"/>
    </w:rPr>
  </w:style>
  <w:style w:type="paragraph" w:styleId="36">
    <w:name w:val="toc 2"/>
    <w:basedOn w:val="1"/>
    <w:next w:val="1"/>
    <w:autoRedefine/>
    <w:qFormat/>
    <w:uiPriority w:val="0"/>
    <w:pPr>
      <w:ind w:left="420" w:leftChars="200"/>
    </w:pPr>
  </w:style>
  <w:style w:type="paragraph" w:styleId="37">
    <w:name w:val="toc 9"/>
    <w:basedOn w:val="1"/>
    <w:next w:val="1"/>
    <w:autoRedefine/>
    <w:qFormat/>
    <w:uiPriority w:val="0"/>
    <w:pPr>
      <w:ind w:left="3360" w:leftChars="1600"/>
    </w:pPr>
    <w:rPr>
      <w:rFonts w:ascii="Calibri" w:hAnsi="Calibri"/>
      <w:szCs w:val="22"/>
    </w:rPr>
  </w:style>
  <w:style w:type="paragraph" w:styleId="38">
    <w:name w:val="Body Text 2"/>
    <w:basedOn w:val="1"/>
    <w:autoRedefine/>
    <w:qFormat/>
    <w:uiPriority w:val="0"/>
    <w:pPr>
      <w:spacing w:after="120" w:line="480" w:lineRule="auto"/>
    </w:pPr>
  </w:style>
  <w:style w:type="paragraph" w:styleId="39">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0">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1">
    <w:name w:val="index 1"/>
    <w:basedOn w:val="1"/>
    <w:next w:val="1"/>
    <w:autoRedefine/>
    <w:qFormat/>
    <w:uiPriority w:val="0"/>
    <w:pPr>
      <w:spacing w:line="220" w:lineRule="exact"/>
      <w:jc w:val="center"/>
    </w:pPr>
    <w:rPr>
      <w:rFonts w:ascii="仿宋_GB2312" w:eastAsia="仿宋_GB2312"/>
      <w:szCs w:val="20"/>
    </w:rPr>
  </w:style>
  <w:style w:type="paragraph" w:styleId="42">
    <w:name w:val="Title"/>
    <w:basedOn w:val="1"/>
    <w:next w:val="1"/>
    <w:autoRedefine/>
    <w:qFormat/>
    <w:uiPriority w:val="0"/>
    <w:pPr>
      <w:spacing w:before="240" w:after="60"/>
      <w:jc w:val="center"/>
      <w:outlineLvl w:val="0"/>
    </w:pPr>
    <w:rPr>
      <w:rFonts w:ascii="Cambria" w:hAnsi="Cambria"/>
      <w:b/>
      <w:sz w:val="32"/>
    </w:rPr>
  </w:style>
  <w:style w:type="paragraph" w:styleId="43">
    <w:name w:val="annotation subject"/>
    <w:basedOn w:val="17"/>
    <w:next w:val="17"/>
    <w:link w:val="82"/>
    <w:autoRedefine/>
    <w:qFormat/>
    <w:uiPriority w:val="0"/>
    <w:rPr>
      <w:b/>
      <w:bCs/>
    </w:rPr>
  </w:style>
  <w:style w:type="paragraph" w:styleId="44">
    <w:name w:val="Body Text First Indent"/>
    <w:basedOn w:val="2"/>
    <w:autoRedefine/>
    <w:qFormat/>
    <w:uiPriority w:val="0"/>
    <w:pPr>
      <w:autoSpaceDE w:val="0"/>
      <w:autoSpaceDN w:val="0"/>
      <w:adjustRightInd w:val="0"/>
      <w:spacing w:before="72" w:after="48" w:line="306" w:lineRule="exact"/>
      <w:ind w:firstLine="454" w:firstLineChars="200"/>
      <w:jc w:val="left"/>
    </w:pPr>
    <w:rPr>
      <w:sz w:val="24"/>
    </w:rPr>
  </w:style>
  <w:style w:type="paragraph" w:styleId="45">
    <w:name w:val="Body Text First Indent 2"/>
    <w:basedOn w:val="20"/>
    <w:next w:val="14"/>
    <w:autoRedefine/>
    <w:qFormat/>
    <w:uiPriority w:val="0"/>
    <w:pPr>
      <w:ind w:firstLine="420" w:firstLineChars="200"/>
    </w:pPr>
  </w:style>
  <w:style w:type="table" w:styleId="47">
    <w:name w:val="Table Grid"/>
    <w:basedOn w:val="46"/>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autoRedefine/>
    <w:qFormat/>
    <w:uiPriority w:val="0"/>
    <w:rPr>
      <w:b/>
      <w:bCs/>
    </w:rPr>
  </w:style>
  <w:style w:type="character" w:styleId="50">
    <w:name w:val="page number"/>
    <w:autoRedefine/>
    <w:qFormat/>
    <w:uiPriority w:val="0"/>
  </w:style>
  <w:style w:type="character" w:styleId="51">
    <w:name w:val="FollowedHyperlink"/>
    <w:autoRedefine/>
    <w:qFormat/>
    <w:uiPriority w:val="0"/>
    <w:rPr>
      <w:color w:val="252525"/>
      <w:u w:val="none"/>
    </w:rPr>
  </w:style>
  <w:style w:type="character" w:styleId="52">
    <w:name w:val="Emphasis"/>
    <w:autoRedefine/>
    <w:qFormat/>
    <w:uiPriority w:val="0"/>
    <w:rPr>
      <w:rFonts w:ascii="Times New Roman" w:hAnsi="Times New Roman" w:eastAsia="宋体"/>
    </w:rPr>
  </w:style>
  <w:style w:type="character" w:styleId="53">
    <w:name w:val="HTML Definition"/>
    <w:autoRedefine/>
    <w:qFormat/>
    <w:uiPriority w:val="0"/>
    <w:rPr>
      <w:rFonts w:ascii="Times New Roman" w:hAnsi="Times New Roman" w:eastAsia="宋体"/>
    </w:rPr>
  </w:style>
  <w:style w:type="character" w:styleId="54">
    <w:name w:val="HTML Variable"/>
    <w:autoRedefine/>
    <w:qFormat/>
    <w:uiPriority w:val="0"/>
    <w:rPr>
      <w:rFonts w:ascii="Times New Roman" w:hAnsi="Times New Roman" w:eastAsia="宋体"/>
    </w:rPr>
  </w:style>
  <w:style w:type="character" w:styleId="55">
    <w:name w:val="Hyperlink"/>
    <w:autoRedefine/>
    <w:qFormat/>
    <w:uiPriority w:val="0"/>
    <w:rPr>
      <w:color w:val="136EC2"/>
      <w:u w:val="single"/>
    </w:rPr>
  </w:style>
  <w:style w:type="character" w:styleId="56">
    <w:name w:val="HTML Code"/>
    <w:autoRedefine/>
    <w:qFormat/>
    <w:uiPriority w:val="0"/>
    <w:rPr>
      <w:rFonts w:ascii="Courier New" w:hAnsi="Courier New" w:eastAsia="Courier New" w:cs="Courier New"/>
      <w:sz w:val="20"/>
    </w:rPr>
  </w:style>
  <w:style w:type="character" w:styleId="57">
    <w:name w:val="annotation reference"/>
    <w:autoRedefine/>
    <w:qFormat/>
    <w:uiPriority w:val="0"/>
    <w:rPr>
      <w:sz w:val="21"/>
      <w:szCs w:val="21"/>
    </w:rPr>
  </w:style>
  <w:style w:type="character" w:styleId="58">
    <w:name w:val="HTML Cite"/>
    <w:autoRedefine/>
    <w:qFormat/>
    <w:uiPriority w:val="0"/>
    <w:rPr>
      <w:rFonts w:ascii="Times New Roman" w:hAnsi="Times New Roman" w:eastAsia="宋体"/>
    </w:rPr>
  </w:style>
  <w:style w:type="character" w:styleId="59">
    <w:name w:val="HTML Keyboard"/>
    <w:autoRedefine/>
    <w:qFormat/>
    <w:uiPriority w:val="0"/>
    <w:rPr>
      <w:rFonts w:ascii="Courier New" w:hAnsi="Courier New" w:eastAsia="Courier New" w:cs="Courier New"/>
      <w:sz w:val="20"/>
    </w:rPr>
  </w:style>
  <w:style w:type="character" w:styleId="60">
    <w:name w:val="HTML Sample"/>
    <w:autoRedefine/>
    <w:qFormat/>
    <w:uiPriority w:val="0"/>
    <w:rPr>
      <w:rFonts w:ascii="Courier New" w:hAnsi="Courier New" w:eastAsia="Courier New" w:cs="Courier New"/>
    </w:rPr>
  </w:style>
  <w:style w:type="character" w:customStyle="1" w:styleId="61">
    <w:name w:val="标题 1 Char"/>
    <w:autoRedefine/>
    <w:qFormat/>
    <w:uiPriority w:val="0"/>
    <w:rPr>
      <w:rFonts w:ascii="Cambria" w:hAnsi="Cambria"/>
      <w:b/>
      <w:bCs/>
      <w:kern w:val="32"/>
      <w:sz w:val="32"/>
      <w:szCs w:val="32"/>
    </w:rPr>
  </w:style>
  <w:style w:type="character" w:customStyle="1" w:styleId="62">
    <w:name w:val="标题 2 Char1"/>
    <w:link w:val="4"/>
    <w:autoRedefine/>
    <w:qFormat/>
    <w:uiPriority w:val="0"/>
    <w:rPr>
      <w:rFonts w:ascii="Arial" w:hAnsi="Arial" w:eastAsia="宋体"/>
      <w:b/>
      <w:bCs/>
      <w:kern w:val="2"/>
      <w:sz w:val="21"/>
      <w:szCs w:val="32"/>
      <w:lang w:val="en-US" w:eastAsia="zh-CN" w:bidi="ar-SA"/>
    </w:rPr>
  </w:style>
  <w:style w:type="character" w:customStyle="1" w:styleId="63">
    <w:name w:val="纯文本 Char"/>
    <w:link w:val="25"/>
    <w:autoRedefine/>
    <w:qFormat/>
    <w:locked/>
    <w:uiPriority w:val="0"/>
    <w:rPr>
      <w:rFonts w:ascii="宋体" w:hAnsi="Courier New" w:eastAsia="宋体" w:cs="Courier New"/>
      <w:kern w:val="2"/>
      <w:sz w:val="21"/>
      <w:szCs w:val="21"/>
      <w:lang w:val="en-US" w:eastAsia="zh-CN" w:bidi="ar-SA"/>
    </w:rPr>
  </w:style>
  <w:style w:type="paragraph" w:customStyle="1" w:styleId="64">
    <w:name w:val="列出段落1"/>
    <w:basedOn w:val="1"/>
    <w:autoRedefine/>
    <w:qFormat/>
    <w:uiPriority w:val="0"/>
    <w:pPr>
      <w:ind w:firstLine="420" w:firstLineChars="200"/>
    </w:pPr>
    <w:rPr>
      <w:rFonts w:ascii="Calibri" w:hAnsi="Calibri"/>
      <w:szCs w:val="22"/>
    </w:rPr>
  </w:style>
  <w:style w:type="paragraph" w:customStyle="1" w:styleId="65">
    <w:name w:val="样式 小四 行距: 1.5 倍行距"/>
    <w:basedOn w:val="1"/>
    <w:autoRedefine/>
    <w:qFormat/>
    <w:uiPriority w:val="0"/>
    <w:pPr>
      <w:ind w:firstLine="480"/>
    </w:pPr>
    <w:rPr>
      <w:rFonts w:cs="宋体"/>
      <w:szCs w:val="20"/>
    </w:rPr>
  </w:style>
  <w:style w:type="character" w:customStyle="1" w:styleId="66">
    <w:name w:val="正文文本缩进 Char"/>
    <w:link w:val="20"/>
    <w:autoRedefine/>
    <w:qFormat/>
    <w:uiPriority w:val="0"/>
    <w:rPr>
      <w:rFonts w:eastAsia="宋体"/>
      <w:kern w:val="2"/>
      <w:sz w:val="21"/>
      <w:szCs w:val="24"/>
      <w:lang w:val="en-US" w:eastAsia="zh-CN" w:bidi="ar-SA"/>
    </w:rPr>
  </w:style>
  <w:style w:type="character" w:customStyle="1" w:styleId="67">
    <w:name w:val="标题 1 Char1"/>
    <w:link w:val="3"/>
    <w:autoRedefine/>
    <w:qFormat/>
    <w:uiPriority w:val="0"/>
    <w:rPr>
      <w:rFonts w:asciiTheme="majorEastAsia" w:hAnsiTheme="majorEastAsia" w:eastAsiaTheme="majorEastAsia" w:cstheme="majorEastAsia"/>
      <w:b/>
      <w:bCs/>
      <w:kern w:val="2"/>
      <w:sz w:val="32"/>
      <w:szCs w:val="32"/>
    </w:rPr>
  </w:style>
  <w:style w:type="character" w:customStyle="1" w:styleId="68">
    <w:name w:val="标题 3 Char1"/>
    <w:link w:val="5"/>
    <w:autoRedefine/>
    <w:qFormat/>
    <w:uiPriority w:val="0"/>
    <w:rPr>
      <w:rFonts w:eastAsia="宋体"/>
      <w:b/>
      <w:bCs/>
      <w:kern w:val="2"/>
      <w:sz w:val="32"/>
      <w:szCs w:val="32"/>
      <w:lang w:val="en-US" w:eastAsia="zh-CN" w:bidi="ar-SA"/>
    </w:rPr>
  </w:style>
  <w:style w:type="character" w:customStyle="1" w:styleId="69">
    <w:name w:val="标题 4 Char1"/>
    <w:link w:val="6"/>
    <w:autoRedefine/>
    <w:qFormat/>
    <w:uiPriority w:val="0"/>
    <w:rPr>
      <w:rFonts w:ascii="Arial" w:hAnsi="Arial" w:eastAsia="黑体"/>
      <w:b/>
      <w:bCs/>
      <w:kern w:val="2"/>
      <w:sz w:val="28"/>
      <w:szCs w:val="28"/>
      <w:lang w:val="en-US" w:eastAsia="zh-CN" w:bidi="ar-SA"/>
    </w:rPr>
  </w:style>
  <w:style w:type="character" w:customStyle="1" w:styleId="70">
    <w:name w:val="标题 5 Char1"/>
    <w:link w:val="7"/>
    <w:autoRedefine/>
    <w:qFormat/>
    <w:uiPriority w:val="0"/>
    <w:rPr>
      <w:rFonts w:eastAsia="宋体"/>
      <w:b/>
      <w:bCs/>
      <w:sz w:val="28"/>
      <w:szCs w:val="28"/>
      <w:lang w:val="en-US" w:eastAsia="zh-CN" w:bidi="ar-SA"/>
    </w:rPr>
  </w:style>
  <w:style w:type="character" w:customStyle="1" w:styleId="71">
    <w:name w:val="标题 6 Char1"/>
    <w:link w:val="8"/>
    <w:autoRedefine/>
    <w:qFormat/>
    <w:uiPriority w:val="0"/>
    <w:rPr>
      <w:rFonts w:ascii="Arial" w:hAnsi="Arial" w:eastAsia="黑体"/>
      <w:b/>
      <w:bCs/>
      <w:sz w:val="24"/>
      <w:szCs w:val="24"/>
      <w:lang w:val="en-US" w:eastAsia="zh-CN" w:bidi="ar-SA"/>
    </w:rPr>
  </w:style>
  <w:style w:type="character" w:customStyle="1" w:styleId="72">
    <w:name w:val="标题 7 Char1"/>
    <w:link w:val="9"/>
    <w:autoRedefine/>
    <w:qFormat/>
    <w:uiPriority w:val="0"/>
    <w:rPr>
      <w:rFonts w:eastAsia="宋体"/>
      <w:b/>
      <w:bCs/>
      <w:sz w:val="24"/>
      <w:szCs w:val="24"/>
      <w:lang w:val="en-US" w:eastAsia="zh-CN" w:bidi="ar-SA"/>
    </w:rPr>
  </w:style>
  <w:style w:type="character" w:customStyle="1" w:styleId="73">
    <w:name w:val="标题 8 Char1"/>
    <w:link w:val="10"/>
    <w:autoRedefine/>
    <w:qFormat/>
    <w:uiPriority w:val="0"/>
    <w:rPr>
      <w:rFonts w:ascii="Arial" w:hAnsi="Arial" w:eastAsia="黑体"/>
      <w:sz w:val="24"/>
      <w:szCs w:val="24"/>
      <w:lang w:val="en-US" w:eastAsia="zh-CN" w:bidi="ar-SA"/>
    </w:rPr>
  </w:style>
  <w:style w:type="character" w:customStyle="1" w:styleId="74">
    <w:name w:val="标题 9 Char1"/>
    <w:link w:val="11"/>
    <w:autoRedefine/>
    <w:qFormat/>
    <w:uiPriority w:val="0"/>
    <w:rPr>
      <w:rFonts w:ascii="Arial" w:hAnsi="Arial" w:eastAsia="黑体"/>
      <w:sz w:val="21"/>
      <w:szCs w:val="21"/>
      <w:lang w:val="en-US" w:eastAsia="zh-CN" w:bidi="ar-SA"/>
    </w:rPr>
  </w:style>
  <w:style w:type="character" w:customStyle="1" w:styleId="75">
    <w:name w:val="批注文字 Char1"/>
    <w:link w:val="17"/>
    <w:autoRedefine/>
    <w:qFormat/>
    <w:uiPriority w:val="0"/>
    <w:rPr>
      <w:rFonts w:eastAsia="宋体"/>
      <w:kern w:val="2"/>
      <w:sz w:val="21"/>
      <w:szCs w:val="24"/>
      <w:lang w:val="en-US" w:eastAsia="zh-CN" w:bidi="ar-SA"/>
    </w:rPr>
  </w:style>
  <w:style w:type="character" w:customStyle="1" w:styleId="76">
    <w:name w:val="日期 Char1"/>
    <w:link w:val="27"/>
    <w:autoRedefine/>
    <w:qFormat/>
    <w:uiPriority w:val="0"/>
    <w:rPr>
      <w:rFonts w:eastAsia="宋体"/>
      <w:kern w:val="2"/>
      <w:sz w:val="24"/>
      <w:lang w:val="en-US" w:eastAsia="zh-CN" w:bidi="ar-SA"/>
    </w:rPr>
  </w:style>
  <w:style w:type="character" w:customStyle="1" w:styleId="77">
    <w:name w:val="批注框文本 Char1"/>
    <w:link w:val="28"/>
    <w:autoRedefine/>
    <w:semiHidden/>
    <w:qFormat/>
    <w:locked/>
    <w:uiPriority w:val="0"/>
    <w:rPr>
      <w:rFonts w:ascii="Calibri" w:hAnsi="Calibri" w:eastAsia="宋体"/>
      <w:kern w:val="2"/>
      <w:sz w:val="18"/>
      <w:szCs w:val="18"/>
      <w:lang w:val="en-US" w:eastAsia="zh-CN" w:bidi="ar-SA"/>
    </w:rPr>
  </w:style>
  <w:style w:type="character" w:customStyle="1" w:styleId="78">
    <w:name w:val="页脚 Char1"/>
    <w:link w:val="29"/>
    <w:autoRedefine/>
    <w:qFormat/>
    <w:uiPriority w:val="0"/>
    <w:rPr>
      <w:rFonts w:eastAsia="宋体"/>
      <w:kern w:val="2"/>
      <w:sz w:val="18"/>
      <w:szCs w:val="18"/>
      <w:lang w:val="en-US" w:eastAsia="zh-CN" w:bidi="ar-SA"/>
    </w:rPr>
  </w:style>
  <w:style w:type="character" w:customStyle="1" w:styleId="79">
    <w:name w:val="页眉 Char1"/>
    <w:link w:val="31"/>
    <w:autoRedefine/>
    <w:qFormat/>
    <w:uiPriority w:val="0"/>
    <w:rPr>
      <w:rFonts w:eastAsia="宋体"/>
      <w:kern w:val="2"/>
      <w:sz w:val="18"/>
      <w:szCs w:val="18"/>
      <w:lang w:val="en-US" w:eastAsia="zh-CN" w:bidi="ar-SA"/>
    </w:rPr>
  </w:style>
  <w:style w:type="character" w:customStyle="1" w:styleId="80">
    <w:name w:val="正文文本缩进 3 Char1"/>
    <w:link w:val="35"/>
    <w:autoRedefine/>
    <w:qFormat/>
    <w:uiPriority w:val="0"/>
    <w:rPr>
      <w:rFonts w:eastAsia="宋体"/>
      <w:kern w:val="2"/>
      <w:sz w:val="16"/>
      <w:szCs w:val="16"/>
      <w:lang w:val="en-US" w:eastAsia="zh-CN" w:bidi="ar-SA"/>
    </w:rPr>
  </w:style>
  <w:style w:type="character" w:customStyle="1" w:styleId="81">
    <w:name w:val="HTML 预设格式 Char"/>
    <w:link w:val="39"/>
    <w:autoRedefine/>
    <w:qFormat/>
    <w:uiPriority w:val="0"/>
    <w:rPr>
      <w:rFonts w:ascii="Arial" w:hAnsi="Arial" w:cs="Arial"/>
      <w:sz w:val="24"/>
      <w:szCs w:val="24"/>
    </w:rPr>
  </w:style>
  <w:style w:type="character" w:customStyle="1" w:styleId="82">
    <w:name w:val="批注主题 Char1"/>
    <w:link w:val="43"/>
    <w:autoRedefine/>
    <w:qFormat/>
    <w:uiPriority w:val="0"/>
    <w:rPr>
      <w:rFonts w:eastAsia="宋体"/>
      <w:b/>
      <w:bCs/>
      <w:kern w:val="2"/>
      <w:sz w:val="21"/>
      <w:szCs w:val="24"/>
      <w:lang w:val="en-US" w:eastAsia="zh-CN" w:bidi="ar-SA"/>
    </w:rPr>
  </w:style>
  <w:style w:type="character" w:customStyle="1" w:styleId="83">
    <w:name w:val="Char Char14"/>
    <w:autoRedefine/>
    <w:qFormat/>
    <w:uiPriority w:val="0"/>
    <w:rPr>
      <w:rFonts w:ascii="Arial" w:hAnsi="Arial" w:eastAsia="黑体"/>
      <w:b/>
      <w:bCs/>
      <w:sz w:val="28"/>
      <w:szCs w:val="28"/>
      <w:lang w:val="en-US" w:eastAsia="zh-CN" w:bidi="ar-SA"/>
    </w:rPr>
  </w:style>
  <w:style w:type="character" w:customStyle="1" w:styleId="84">
    <w:name w:val="Char Char15"/>
    <w:autoRedefine/>
    <w:qFormat/>
    <w:uiPriority w:val="0"/>
    <w:rPr>
      <w:b/>
      <w:bCs/>
      <w:sz w:val="24"/>
      <w:szCs w:val="24"/>
    </w:rPr>
  </w:style>
  <w:style w:type="character" w:customStyle="1" w:styleId="85">
    <w:name w:val="sort"/>
    <w:autoRedefine/>
    <w:qFormat/>
    <w:uiPriority w:val="0"/>
    <w:rPr>
      <w:rFonts w:ascii="Times New Roman" w:hAnsi="Times New Roman" w:eastAsia="宋体"/>
      <w:color w:val="FFFFFF"/>
      <w:bdr w:val="single" w:color="auto" w:sz="24" w:space="0"/>
    </w:rPr>
  </w:style>
  <w:style w:type="character" w:customStyle="1" w:styleId="86">
    <w:name w:val="plus"/>
    <w:autoRedefine/>
    <w:qFormat/>
    <w:uiPriority w:val="0"/>
    <w:rPr>
      <w:rFonts w:ascii="Times New Roman" w:hAnsi="Times New Roman" w:eastAsia="宋体"/>
      <w:b/>
      <w:vanish/>
      <w:color w:val="1F8DEF"/>
      <w:sz w:val="24"/>
      <w:szCs w:val="24"/>
    </w:rPr>
  </w:style>
  <w:style w:type="character" w:customStyle="1" w:styleId="87">
    <w:name w:val="sidecatalog-index2"/>
    <w:autoRedefine/>
    <w:qFormat/>
    <w:uiPriority w:val="0"/>
    <w:rPr>
      <w:rFonts w:ascii="Arail" w:hAnsi="Arail" w:eastAsia="Arail" w:cs="Arail"/>
      <w:color w:val="999999"/>
      <w:sz w:val="21"/>
      <w:szCs w:val="21"/>
    </w:rPr>
  </w:style>
  <w:style w:type="character" w:customStyle="1" w:styleId="88">
    <w:name w:val="content_2"/>
    <w:autoRedefine/>
    <w:qFormat/>
    <w:uiPriority w:val="0"/>
    <w:rPr>
      <w:sz w:val="19"/>
      <w:szCs w:val="19"/>
    </w:rPr>
  </w:style>
  <w:style w:type="character" w:customStyle="1" w:styleId="89">
    <w:name w:val="批注文字 Char"/>
    <w:autoRedefine/>
    <w:qFormat/>
    <w:uiPriority w:val="0"/>
    <w:rPr>
      <w:kern w:val="2"/>
      <w:sz w:val="21"/>
      <w:szCs w:val="24"/>
    </w:rPr>
  </w:style>
  <w:style w:type="character" w:customStyle="1" w:styleId="90">
    <w:name w:val="polysemyred"/>
    <w:autoRedefine/>
    <w:qFormat/>
    <w:uiPriority w:val="0"/>
    <w:rPr>
      <w:rFonts w:ascii="Times New Roman" w:hAnsi="Times New Roman" w:eastAsia="宋体"/>
      <w:color w:val="FF6666"/>
      <w:sz w:val="18"/>
      <w:szCs w:val="18"/>
    </w:rPr>
  </w:style>
  <w:style w:type="character" w:customStyle="1" w:styleId="91">
    <w:name w:val="Font Style122"/>
    <w:autoRedefine/>
    <w:unhideWhenUsed/>
    <w:qFormat/>
    <w:uiPriority w:val="0"/>
    <w:rPr>
      <w:rFonts w:hint="eastAsia" w:ascii="宋体" w:hAnsi="宋体" w:eastAsia="宋体"/>
      <w:spacing w:val="20"/>
      <w:sz w:val="24"/>
    </w:rPr>
  </w:style>
  <w:style w:type="character" w:customStyle="1" w:styleId="92">
    <w:name w:val="Font Style134"/>
    <w:autoRedefine/>
    <w:unhideWhenUsed/>
    <w:qFormat/>
    <w:uiPriority w:val="0"/>
    <w:rPr>
      <w:rFonts w:hint="eastAsia" w:ascii="宋体" w:hAnsi="宋体" w:eastAsia="宋体"/>
      <w:spacing w:val="20"/>
      <w:sz w:val="22"/>
    </w:rPr>
  </w:style>
  <w:style w:type="character" w:customStyle="1" w:styleId="93">
    <w:name w:val="标题 6 Char"/>
    <w:autoRedefine/>
    <w:qFormat/>
    <w:uiPriority w:val="0"/>
    <w:rPr>
      <w:rFonts w:ascii="Arial" w:hAnsi="Arial" w:eastAsia="黑体"/>
      <w:b/>
      <w:bCs/>
      <w:sz w:val="24"/>
      <w:szCs w:val="24"/>
    </w:rPr>
  </w:style>
  <w:style w:type="character" w:customStyle="1" w:styleId="94">
    <w:name w:val="Char Char16"/>
    <w:autoRedefine/>
    <w:qFormat/>
    <w:uiPriority w:val="0"/>
    <w:rPr>
      <w:rFonts w:ascii="宋体" w:hAnsi="Times New Roman" w:eastAsia="宋体"/>
      <w:b/>
      <w:sz w:val="24"/>
      <w:lang w:val="en-US" w:eastAsia="zh-CN" w:bidi="ar-SA"/>
    </w:rPr>
  </w:style>
  <w:style w:type="character" w:customStyle="1" w:styleId="95">
    <w:name w:val="标题 5 Char"/>
    <w:autoRedefine/>
    <w:qFormat/>
    <w:uiPriority w:val="0"/>
    <w:rPr>
      <w:b/>
      <w:bCs/>
      <w:kern w:val="2"/>
      <w:sz w:val="28"/>
      <w:szCs w:val="28"/>
    </w:rPr>
  </w:style>
  <w:style w:type="character" w:customStyle="1" w:styleId="96">
    <w:name w:val="apple-converted-space"/>
    <w:autoRedefine/>
    <w:qFormat/>
    <w:uiPriority w:val="0"/>
  </w:style>
  <w:style w:type="character" w:customStyle="1" w:styleId="97">
    <w:name w:val="title_1"/>
    <w:autoRedefine/>
    <w:qFormat/>
    <w:uiPriority w:val="0"/>
    <w:rPr>
      <w:b/>
      <w:sz w:val="30"/>
      <w:szCs w:val="30"/>
    </w:rPr>
  </w:style>
  <w:style w:type="character" w:customStyle="1" w:styleId="98">
    <w:name w:val="Font Style94"/>
    <w:autoRedefine/>
    <w:unhideWhenUsed/>
    <w:qFormat/>
    <w:uiPriority w:val="0"/>
    <w:rPr>
      <w:rFonts w:hint="eastAsia" w:ascii="Times New Roman" w:hAnsi="Times New Roman" w:eastAsia="Times New Roman"/>
      <w:sz w:val="28"/>
    </w:rPr>
  </w:style>
  <w:style w:type="character" w:customStyle="1" w:styleId="99">
    <w:name w:val="Font Style133"/>
    <w:autoRedefine/>
    <w:unhideWhenUsed/>
    <w:qFormat/>
    <w:uiPriority w:val="0"/>
    <w:rPr>
      <w:rFonts w:hint="eastAsia" w:ascii="宋体" w:hAnsi="宋体" w:eastAsia="宋体"/>
      <w:spacing w:val="30"/>
      <w:sz w:val="24"/>
    </w:rPr>
  </w:style>
  <w:style w:type="character" w:customStyle="1" w:styleId="100">
    <w:name w:val="NormalCharacter"/>
    <w:autoRedefine/>
    <w:semiHidden/>
    <w:qFormat/>
    <w:uiPriority w:val="0"/>
  </w:style>
  <w:style w:type="character" w:customStyle="1" w:styleId="101">
    <w:name w:val="页脚 Char"/>
    <w:autoRedefine/>
    <w:qFormat/>
    <w:uiPriority w:val="99"/>
    <w:rPr>
      <w:kern w:val="2"/>
      <w:sz w:val="18"/>
      <w:szCs w:val="18"/>
    </w:rPr>
  </w:style>
  <w:style w:type="character" w:customStyle="1" w:styleId="102">
    <w:name w:val="样式2 Char Char"/>
    <w:autoRedefine/>
    <w:qFormat/>
    <w:uiPriority w:val="0"/>
    <w:rPr>
      <w:rFonts w:eastAsia="宋体"/>
      <w:kern w:val="2"/>
      <w:sz w:val="18"/>
      <w:szCs w:val="18"/>
      <w:lang w:val="en-US" w:eastAsia="zh-CN" w:bidi="ar-SA"/>
    </w:rPr>
  </w:style>
  <w:style w:type="character" w:customStyle="1" w:styleId="103">
    <w:name w:val="Font Style104"/>
    <w:autoRedefine/>
    <w:unhideWhenUsed/>
    <w:qFormat/>
    <w:uiPriority w:val="0"/>
    <w:rPr>
      <w:rFonts w:hint="eastAsia" w:ascii="宋体" w:hAnsi="宋体" w:eastAsia="宋体"/>
      <w:spacing w:val="30"/>
      <w:sz w:val="18"/>
    </w:rPr>
  </w:style>
  <w:style w:type="character" w:customStyle="1" w:styleId="104">
    <w:name w:val="Font Style127"/>
    <w:autoRedefine/>
    <w:unhideWhenUsed/>
    <w:qFormat/>
    <w:uiPriority w:val="0"/>
    <w:rPr>
      <w:rFonts w:hint="eastAsia" w:ascii="Times New Roman" w:hAnsi="Times New Roman" w:eastAsia="Times New Roman"/>
      <w:sz w:val="20"/>
    </w:rPr>
  </w:style>
  <w:style w:type="character" w:customStyle="1" w:styleId="105">
    <w:name w:val="bds_more8"/>
    <w:autoRedefine/>
    <w:qFormat/>
    <w:uiPriority w:val="0"/>
    <w:rPr>
      <w:rFonts w:ascii="Times New Roman" w:hAnsi="Times New Roman" w:eastAsia="宋体"/>
    </w:rPr>
  </w:style>
  <w:style w:type="character" w:customStyle="1" w:styleId="106">
    <w:name w:val="content_table1"/>
    <w:autoRedefine/>
    <w:qFormat/>
    <w:uiPriority w:val="0"/>
    <w:rPr>
      <w:sz w:val="19"/>
      <w:szCs w:val="19"/>
    </w:rPr>
  </w:style>
  <w:style w:type="character" w:customStyle="1" w:styleId="107">
    <w:name w:val="content"/>
    <w:autoRedefine/>
    <w:qFormat/>
    <w:uiPriority w:val="0"/>
    <w:rPr>
      <w:sz w:val="19"/>
      <w:szCs w:val="19"/>
    </w:rPr>
  </w:style>
  <w:style w:type="character" w:customStyle="1" w:styleId="108">
    <w:name w:val="页眉 Char"/>
    <w:autoRedefine/>
    <w:qFormat/>
    <w:uiPriority w:val="0"/>
    <w:rPr>
      <w:kern w:val="2"/>
      <w:sz w:val="18"/>
      <w:szCs w:val="18"/>
    </w:rPr>
  </w:style>
  <w:style w:type="character" w:customStyle="1" w:styleId="109">
    <w:name w:val="标题 4 Char Char"/>
    <w:autoRedefine/>
    <w:qFormat/>
    <w:uiPriority w:val="0"/>
    <w:rPr>
      <w:rFonts w:ascii="Arial" w:hAnsi="Arial" w:eastAsia="宋体"/>
      <w:b/>
      <w:bCs/>
      <w:kern w:val="2"/>
      <w:sz w:val="21"/>
      <w:szCs w:val="28"/>
      <w:lang w:val="en-US" w:eastAsia="zh-CN" w:bidi="ar-SA"/>
    </w:rPr>
  </w:style>
  <w:style w:type="character" w:customStyle="1" w:styleId="110">
    <w:name w:val="Char Char6"/>
    <w:autoRedefine/>
    <w:qFormat/>
    <w:uiPriority w:val="0"/>
    <w:rPr>
      <w:rFonts w:ascii="Arial" w:hAnsi="Arial" w:eastAsia="黑体"/>
      <w:sz w:val="24"/>
      <w:szCs w:val="24"/>
      <w:lang w:val="en-US" w:eastAsia="zh-CN" w:bidi="ar-SA"/>
    </w:rPr>
  </w:style>
  <w:style w:type="character" w:customStyle="1" w:styleId="111">
    <w:name w:val="desc"/>
    <w:autoRedefine/>
    <w:qFormat/>
    <w:uiPriority w:val="0"/>
    <w:rPr>
      <w:rFonts w:ascii="Times New Roman" w:hAnsi="Times New Roman" w:eastAsia="宋体"/>
      <w:color w:val="000000"/>
      <w:sz w:val="18"/>
      <w:szCs w:val="18"/>
    </w:rPr>
  </w:style>
  <w:style w:type="character" w:customStyle="1" w:styleId="112">
    <w:name w:val="普通文字 Char1"/>
    <w:autoRedefine/>
    <w:qFormat/>
    <w:uiPriority w:val="0"/>
    <w:rPr>
      <w:rFonts w:ascii="宋体" w:hAnsi="Courier New" w:eastAsia="宋体" w:cs="Courier New"/>
      <w:kern w:val="2"/>
      <w:sz w:val="21"/>
      <w:szCs w:val="21"/>
      <w:lang w:val="en-US" w:eastAsia="zh-CN" w:bidi="ar-SA"/>
    </w:rPr>
  </w:style>
  <w:style w:type="character" w:customStyle="1" w:styleId="113">
    <w:name w:val="sort1"/>
    <w:autoRedefine/>
    <w:qFormat/>
    <w:uiPriority w:val="0"/>
    <w:rPr>
      <w:rFonts w:ascii="Times New Roman" w:hAnsi="Times New Roman" w:eastAsia="宋体"/>
    </w:rPr>
  </w:style>
  <w:style w:type="character" w:customStyle="1" w:styleId="114">
    <w:name w:val="morelink-item"/>
    <w:autoRedefine/>
    <w:qFormat/>
    <w:uiPriority w:val="0"/>
    <w:rPr>
      <w:rFonts w:ascii="Times New Roman" w:hAnsi="Times New Roman" w:eastAsia="宋体"/>
    </w:rPr>
  </w:style>
  <w:style w:type="character" w:customStyle="1" w:styleId="115">
    <w:name w:val="正文文本缩进 3 Char"/>
    <w:autoRedefine/>
    <w:qFormat/>
    <w:uiPriority w:val="0"/>
    <w:rPr>
      <w:rFonts w:ascii="宋体" w:hAnsi="MS Sans Serif"/>
      <w:color w:val="000000"/>
      <w:sz w:val="24"/>
    </w:rPr>
  </w:style>
  <w:style w:type="character" w:customStyle="1" w:styleId="116">
    <w:name w:val="标题 2 Char"/>
    <w:autoRedefine/>
    <w:qFormat/>
    <w:uiPriority w:val="0"/>
    <w:rPr>
      <w:rFonts w:ascii="Cambria" w:hAnsi="Cambria" w:eastAsia="宋体" w:cs="Times New Roman"/>
      <w:b/>
      <w:bCs/>
      <w:kern w:val="2"/>
      <w:sz w:val="32"/>
      <w:szCs w:val="32"/>
    </w:rPr>
  </w:style>
  <w:style w:type="character" w:customStyle="1" w:styleId="117">
    <w:name w:val="Font Style121"/>
    <w:autoRedefine/>
    <w:unhideWhenUsed/>
    <w:qFormat/>
    <w:uiPriority w:val="0"/>
    <w:rPr>
      <w:rFonts w:hint="eastAsia" w:ascii="宋体" w:hAnsi="宋体" w:eastAsia="宋体"/>
      <w:spacing w:val="-10"/>
      <w:sz w:val="30"/>
    </w:rPr>
  </w:style>
  <w:style w:type="character" w:customStyle="1" w:styleId="118">
    <w:name w:val="p0 Char"/>
    <w:link w:val="119"/>
    <w:autoRedefine/>
    <w:qFormat/>
    <w:uiPriority w:val="0"/>
    <w:rPr>
      <w:rFonts w:eastAsia="宋体"/>
      <w:sz w:val="21"/>
      <w:szCs w:val="21"/>
      <w:lang w:val="en-US" w:eastAsia="zh-CN" w:bidi="ar-SA"/>
    </w:rPr>
  </w:style>
  <w:style w:type="paragraph" w:customStyle="1" w:styleId="119">
    <w:name w:val="p0"/>
    <w:basedOn w:val="1"/>
    <w:link w:val="118"/>
    <w:autoRedefine/>
    <w:qFormat/>
    <w:uiPriority w:val="0"/>
    <w:pPr>
      <w:widowControl/>
    </w:pPr>
    <w:rPr>
      <w:kern w:val="0"/>
      <w:szCs w:val="21"/>
    </w:rPr>
  </w:style>
  <w:style w:type="character" w:customStyle="1" w:styleId="120">
    <w:name w:val="Font Style86"/>
    <w:autoRedefine/>
    <w:unhideWhenUsed/>
    <w:qFormat/>
    <w:uiPriority w:val="0"/>
    <w:rPr>
      <w:rFonts w:hint="eastAsia" w:ascii="黑体" w:hAnsi="黑体" w:eastAsia="黑体"/>
      <w:spacing w:val="10"/>
      <w:sz w:val="30"/>
    </w:rPr>
  </w:style>
  <w:style w:type="character" w:customStyle="1" w:styleId="121">
    <w:name w:val="标题 Char1"/>
    <w:autoRedefine/>
    <w:qFormat/>
    <w:uiPriority w:val="0"/>
    <w:rPr>
      <w:rFonts w:ascii="Cambria" w:hAnsi="Cambria" w:eastAsia="宋体" w:cs="Times New Roman"/>
      <w:b/>
      <w:bCs/>
      <w:sz w:val="32"/>
      <w:szCs w:val="32"/>
    </w:rPr>
  </w:style>
  <w:style w:type="character" w:customStyle="1" w:styleId="122">
    <w:name w:val="标题 9 Char"/>
    <w:autoRedefine/>
    <w:qFormat/>
    <w:uiPriority w:val="0"/>
    <w:rPr>
      <w:rFonts w:ascii="Arial" w:hAnsi="Arial" w:eastAsia="黑体"/>
      <w:sz w:val="21"/>
      <w:szCs w:val="21"/>
    </w:rPr>
  </w:style>
  <w:style w:type="character" w:customStyle="1" w:styleId="123">
    <w:name w:val="Font Style124"/>
    <w:autoRedefine/>
    <w:unhideWhenUsed/>
    <w:qFormat/>
    <w:uiPriority w:val="0"/>
    <w:rPr>
      <w:rFonts w:hint="eastAsia" w:ascii="宋体" w:hAnsi="宋体" w:eastAsia="宋体"/>
      <w:spacing w:val="30"/>
      <w:sz w:val="24"/>
    </w:rPr>
  </w:style>
  <w:style w:type="character" w:customStyle="1" w:styleId="124">
    <w:name w:val="日期 Char"/>
    <w:autoRedefine/>
    <w:qFormat/>
    <w:uiPriority w:val="0"/>
    <w:rPr>
      <w:kern w:val="2"/>
      <w:sz w:val="21"/>
      <w:szCs w:val="24"/>
    </w:rPr>
  </w:style>
  <w:style w:type="character" w:customStyle="1" w:styleId="125">
    <w:name w:val="标题 7 Char"/>
    <w:autoRedefine/>
    <w:qFormat/>
    <w:uiPriority w:val="0"/>
    <w:rPr>
      <w:b/>
      <w:bCs/>
      <w:sz w:val="24"/>
      <w:szCs w:val="24"/>
    </w:rPr>
  </w:style>
  <w:style w:type="character" w:customStyle="1" w:styleId="126">
    <w:name w:val="bds_more6"/>
    <w:autoRedefine/>
    <w:qFormat/>
    <w:uiPriority w:val="0"/>
    <w:rPr>
      <w:rFonts w:hint="eastAsia" w:ascii="宋体" w:hAnsi="宋体" w:eastAsia="宋体" w:cs="宋体"/>
    </w:rPr>
  </w:style>
  <w:style w:type="character" w:customStyle="1" w:styleId="127">
    <w:name w:val="p0 Char Char"/>
    <w:autoRedefine/>
    <w:qFormat/>
    <w:uiPriority w:val="0"/>
    <w:rPr>
      <w:rFonts w:eastAsia="宋体"/>
      <w:kern w:val="2"/>
      <w:sz w:val="21"/>
      <w:szCs w:val="21"/>
      <w:lang w:val="en-US" w:eastAsia="zh-CN" w:bidi="ar-SA"/>
    </w:rPr>
  </w:style>
  <w:style w:type="character" w:customStyle="1" w:styleId="128">
    <w:name w:val="纯文本 Char2"/>
    <w:autoRedefine/>
    <w:qFormat/>
    <w:uiPriority w:val="0"/>
    <w:rPr>
      <w:rFonts w:ascii="宋体" w:hAnsi="Courier New" w:eastAsia="宋体"/>
      <w:kern w:val="2"/>
      <w:sz w:val="21"/>
      <w:szCs w:val="21"/>
      <w:lang w:val="en-US" w:eastAsia="zh-CN" w:bidi="ar-SA"/>
    </w:rPr>
  </w:style>
  <w:style w:type="character" w:customStyle="1" w:styleId="129">
    <w:name w:val="content_3"/>
    <w:autoRedefine/>
    <w:qFormat/>
    <w:uiPriority w:val="0"/>
    <w:rPr>
      <w:sz w:val="19"/>
      <w:szCs w:val="19"/>
    </w:rPr>
  </w:style>
  <w:style w:type="character" w:customStyle="1" w:styleId="130">
    <w:name w:val="Font Style90"/>
    <w:autoRedefine/>
    <w:unhideWhenUsed/>
    <w:qFormat/>
    <w:uiPriority w:val="0"/>
    <w:rPr>
      <w:rFonts w:hint="eastAsia" w:ascii="宋体" w:hAnsi="宋体" w:eastAsia="宋体"/>
      <w:b/>
      <w:spacing w:val="-20"/>
      <w:sz w:val="40"/>
    </w:rPr>
  </w:style>
  <w:style w:type="character" w:customStyle="1" w:styleId="131">
    <w:name w:val="Font Style125"/>
    <w:autoRedefine/>
    <w:unhideWhenUsed/>
    <w:qFormat/>
    <w:uiPriority w:val="0"/>
    <w:rPr>
      <w:rFonts w:hint="eastAsia" w:ascii="宋体" w:hAnsi="宋体" w:eastAsia="宋体"/>
      <w:b/>
      <w:sz w:val="26"/>
    </w:rPr>
  </w:style>
  <w:style w:type="character" w:customStyle="1" w:styleId="132">
    <w:name w:val="sidecatalog-index1"/>
    <w:autoRedefine/>
    <w:qFormat/>
    <w:uiPriority w:val="0"/>
    <w:rPr>
      <w:rFonts w:ascii="Arial" w:hAnsi="Arial" w:eastAsia="宋体" w:cs="Arial"/>
      <w:b/>
      <w:color w:val="999999"/>
      <w:sz w:val="21"/>
      <w:szCs w:val="21"/>
    </w:rPr>
  </w:style>
  <w:style w:type="character" w:customStyle="1" w:styleId="133">
    <w:name w:val="bds_more7"/>
    <w:autoRedefine/>
    <w:qFormat/>
    <w:uiPriority w:val="0"/>
    <w:rPr>
      <w:rFonts w:ascii="Times New Roman" w:hAnsi="Times New Roman" w:eastAsia="宋体"/>
    </w:rPr>
  </w:style>
  <w:style w:type="character" w:customStyle="1" w:styleId="134">
    <w:name w:val="标题 3 Char"/>
    <w:autoRedefine/>
    <w:qFormat/>
    <w:uiPriority w:val="0"/>
    <w:rPr>
      <w:b/>
      <w:bCs/>
      <w:sz w:val="24"/>
      <w:szCs w:val="24"/>
    </w:rPr>
  </w:style>
  <w:style w:type="character" w:customStyle="1" w:styleId="135">
    <w:name w:val="bds_nopic"/>
    <w:autoRedefine/>
    <w:qFormat/>
    <w:uiPriority w:val="0"/>
    <w:rPr>
      <w:rFonts w:ascii="Times New Roman" w:hAnsi="Times New Roman" w:eastAsia="宋体"/>
    </w:rPr>
  </w:style>
  <w:style w:type="character" w:customStyle="1" w:styleId="136">
    <w:name w:val="polysemyexp"/>
    <w:autoRedefine/>
    <w:qFormat/>
    <w:uiPriority w:val="0"/>
    <w:rPr>
      <w:rFonts w:ascii="Times New Roman" w:hAnsi="Times New Roman" w:eastAsia="宋体"/>
      <w:color w:val="AAAAAA"/>
      <w:sz w:val="18"/>
      <w:szCs w:val="18"/>
    </w:rPr>
  </w:style>
  <w:style w:type="character" w:customStyle="1" w:styleId="137">
    <w:name w:val="sidecatalog-dot1"/>
    <w:autoRedefine/>
    <w:qFormat/>
    <w:uiPriority w:val="0"/>
    <w:rPr>
      <w:rFonts w:ascii="Times New Roman" w:hAnsi="Times New Roman" w:eastAsia="宋体"/>
    </w:rPr>
  </w:style>
  <w:style w:type="character" w:customStyle="1" w:styleId="138">
    <w:name w:val="title_2"/>
    <w:autoRedefine/>
    <w:qFormat/>
    <w:uiPriority w:val="0"/>
    <w:rPr>
      <w:b/>
      <w:sz w:val="19"/>
      <w:szCs w:val="19"/>
    </w:rPr>
  </w:style>
  <w:style w:type="character" w:customStyle="1" w:styleId="139">
    <w:name w:val="Font Style105"/>
    <w:autoRedefine/>
    <w:unhideWhenUsed/>
    <w:qFormat/>
    <w:uiPriority w:val="0"/>
    <w:rPr>
      <w:rFonts w:hint="eastAsia" w:ascii="Times New Roman" w:hAnsi="Times New Roman" w:eastAsia="Times New Roman"/>
      <w:w w:val="60"/>
      <w:sz w:val="26"/>
    </w:rPr>
  </w:style>
  <w:style w:type="character" w:customStyle="1" w:styleId="140">
    <w:name w:val="lemmatitleh12"/>
    <w:autoRedefine/>
    <w:qFormat/>
    <w:uiPriority w:val="0"/>
    <w:rPr>
      <w:rFonts w:ascii="Times New Roman" w:hAnsi="Times New Roman" w:eastAsia="宋体"/>
    </w:rPr>
  </w:style>
  <w:style w:type="character" w:customStyle="1" w:styleId="141">
    <w:name w:val="bds_nopic2"/>
    <w:autoRedefine/>
    <w:qFormat/>
    <w:uiPriority w:val="0"/>
    <w:rPr>
      <w:rFonts w:ascii="Times New Roman" w:hAnsi="Times New Roman" w:eastAsia="宋体"/>
    </w:rPr>
  </w:style>
  <w:style w:type="character" w:customStyle="1" w:styleId="142">
    <w:name w:val="content_1"/>
    <w:autoRedefine/>
    <w:qFormat/>
    <w:uiPriority w:val="0"/>
    <w:rPr>
      <w:sz w:val="19"/>
      <w:szCs w:val="19"/>
    </w:rPr>
  </w:style>
  <w:style w:type="character" w:customStyle="1" w:styleId="143">
    <w:name w:val="bds_more9"/>
    <w:autoRedefine/>
    <w:qFormat/>
    <w:uiPriority w:val="0"/>
    <w:rPr>
      <w:rFonts w:ascii="Times New Roman" w:hAnsi="Times New Roman" w:eastAsia="宋体"/>
    </w:rPr>
  </w:style>
  <w:style w:type="character" w:customStyle="1" w:styleId="144">
    <w:name w:val="Font Style123"/>
    <w:autoRedefine/>
    <w:unhideWhenUsed/>
    <w:qFormat/>
    <w:uiPriority w:val="0"/>
    <w:rPr>
      <w:rFonts w:hint="eastAsia" w:ascii="宋体" w:hAnsi="宋体" w:eastAsia="宋体"/>
      <w:b/>
      <w:sz w:val="32"/>
    </w:rPr>
  </w:style>
  <w:style w:type="character" w:customStyle="1" w:styleId="145">
    <w:name w:val="sidecatalog-dot"/>
    <w:autoRedefine/>
    <w:qFormat/>
    <w:uiPriority w:val="0"/>
    <w:rPr>
      <w:rFonts w:ascii="Times New Roman" w:hAnsi="Times New Roman" w:eastAsia="宋体"/>
    </w:rPr>
  </w:style>
  <w:style w:type="character" w:customStyle="1" w:styleId="146">
    <w:name w:val="Font Style126"/>
    <w:autoRedefine/>
    <w:unhideWhenUsed/>
    <w:qFormat/>
    <w:uiPriority w:val="0"/>
    <w:rPr>
      <w:rFonts w:hint="eastAsia" w:ascii="宋体" w:hAnsi="宋体" w:eastAsia="宋体"/>
      <w:b/>
      <w:spacing w:val="-30"/>
      <w:sz w:val="28"/>
    </w:rPr>
  </w:style>
  <w:style w:type="character" w:customStyle="1" w:styleId="147">
    <w:name w:val="标题 4 Char"/>
    <w:autoRedefine/>
    <w:qFormat/>
    <w:uiPriority w:val="0"/>
    <w:rPr>
      <w:rFonts w:ascii="Arial" w:hAnsi="Arial" w:eastAsia="宋体" w:cs="Times New Roman"/>
      <w:b/>
      <w:bCs/>
      <w:szCs w:val="28"/>
    </w:rPr>
  </w:style>
  <w:style w:type="character" w:customStyle="1" w:styleId="148">
    <w:name w:val="Font Style115"/>
    <w:autoRedefine/>
    <w:unhideWhenUsed/>
    <w:qFormat/>
    <w:uiPriority w:val="0"/>
    <w:rPr>
      <w:rFonts w:hint="eastAsia" w:ascii="Times New Roman" w:hAnsi="Times New Roman" w:eastAsia="Times New Roman"/>
      <w:sz w:val="16"/>
    </w:rPr>
  </w:style>
  <w:style w:type="character" w:customStyle="1" w:styleId="149">
    <w:name w:val="标题 8 Char"/>
    <w:autoRedefine/>
    <w:qFormat/>
    <w:uiPriority w:val="0"/>
    <w:rPr>
      <w:rFonts w:ascii="Arial" w:hAnsi="Arial" w:eastAsia="黑体"/>
      <w:sz w:val="24"/>
      <w:szCs w:val="24"/>
    </w:rPr>
  </w:style>
  <w:style w:type="character" w:customStyle="1" w:styleId="150">
    <w:name w:val="Font Style128"/>
    <w:autoRedefine/>
    <w:unhideWhenUsed/>
    <w:qFormat/>
    <w:uiPriority w:val="0"/>
    <w:rPr>
      <w:rFonts w:hint="eastAsia" w:ascii="Times New Roman" w:hAnsi="Times New Roman" w:eastAsia="Times New Roman"/>
      <w:sz w:val="16"/>
    </w:rPr>
  </w:style>
  <w:style w:type="character" w:customStyle="1" w:styleId="151">
    <w:name w:val="Font Style116"/>
    <w:autoRedefine/>
    <w:unhideWhenUsed/>
    <w:qFormat/>
    <w:uiPriority w:val="0"/>
    <w:rPr>
      <w:rFonts w:hint="eastAsia" w:ascii="宋体" w:hAnsi="宋体" w:eastAsia="宋体"/>
      <w:spacing w:val="-20"/>
      <w:sz w:val="24"/>
    </w:rPr>
  </w:style>
  <w:style w:type="character" w:customStyle="1" w:styleId="152">
    <w:name w:val="标题 Char"/>
    <w:autoRedefine/>
    <w:qFormat/>
    <w:uiPriority w:val="0"/>
    <w:rPr>
      <w:rFonts w:ascii="Cambria" w:hAnsi="Cambria"/>
      <w:b/>
      <w:kern w:val="2"/>
      <w:sz w:val="32"/>
      <w:szCs w:val="24"/>
    </w:rPr>
  </w:style>
  <w:style w:type="character" w:customStyle="1" w:styleId="153">
    <w:name w:val="批注主题 Char"/>
    <w:autoRedefine/>
    <w:qFormat/>
    <w:uiPriority w:val="0"/>
    <w:rPr>
      <w:b/>
      <w:bCs/>
      <w:kern w:val="2"/>
      <w:sz w:val="21"/>
      <w:szCs w:val="24"/>
    </w:rPr>
  </w:style>
  <w:style w:type="character" w:customStyle="1" w:styleId="154">
    <w:name w:val="bds_nopic1"/>
    <w:autoRedefine/>
    <w:qFormat/>
    <w:uiPriority w:val="0"/>
    <w:rPr>
      <w:rFonts w:ascii="Times New Roman" w:hAnsi="Times New Roman" w:eastAsia="宋体"/>
    </w:rPr>
  </w:style>
  <w:style w:type="character" w:customStyle="1" w:styleId="155">
    <w:name w:val="Font Style117"/>
    <w:autoRedefine/>
    <w:unhideWhenUsed/>
    <w:qFormat/>
    <w:uiPriority w:val="0"/>
    <w:rPr>
      <w:rFonts w:hint="eastAsia" w:ascii="宋体" w:hAnsi="宋体" w:eastAsia="宋体"/>
      <w:spacing w:val="20"/>
      <w:sz w:val="24"/>
    </w:rPr>
  </w:style>
  <w:style w:type="character" w:customStyle="1" w:styleId="156">
    <w:name w:val="title_3"/>
    <w:autoRedefine/>
    <w:qFormat/>
    <w:uiPriority w:val="0"/>
    <w:rPr>
      <w:b/>
      <w:sz w:val="15"/>
      <w:szCs w:val="15"/>
    </w:rPr>
  </w:style>
  <w:style w:type="character" w:customStyle="1" w:styleId="157">
    <w:name w:val="批注文字 Char Char"/>
    <w:autoRedefine/>
    <w:qFormat/>
    <w:uiPriority w:val="0"/>
    <w:rPr>
      <w:kern w:val="2"/>
      <w:sz w:val="21"/>
      <w:szCs w:val="24"/>
      <w:lang w:bidi="ar-SA"/>
    </w:rPr>
  </w:style>
  <w:style w:type="character" w:customStyle="1" w:styleId="158">
    <w:name w:val="Font Style131"/>
    <w:autoRedefine/>
    <w:unhideWhenUsed/>
    <w:qFormat/>
    <w:uiPriority w:val="0"/>
    <w:rPr>
      <w:rFonts w:hint="eastAsia" w:ascii="Times New Roman" w:hAnsi="Times New Roman" w:eastAsia="Times New Roman"/>
      <w:sz w:val="18"/>
    </w:rPr>
  </w:style>
  <w:style w:type="character" w:customStyle="1" w:styleId="159">
    <w:name w:val="Char Char17"/>
    <w:autoRedefine/>
    <w:qFormat/>
    <w:uiPriority w:val="0"/>
    <w:rPr>
      <w:rFonts w:ascii="宋体" w:hAnsi="Times New Roman" w:eastAsia="宋体"/>
      <w:b/>
      <w:sz w:val="28"/>
      <w:lang w:val="en-US" w:eastAsia="zh-CN" w:bidi="ar-SA"/>
    </w:rPr>
  </w:style>
  <w:style w:type="character" w:customStyle="1" w:styleId="160">
    <w:name w:val="bds_more10"/>
    <w:autoRedefine/>
    <w:qFormat/>
    <w:uiPriority w:val="0"/>
    <w:rPr>
      <w:rFonts w:ascii="Times New Roman" w:hAnsi="Times New Roman" w:eastAsia="宋体"/>
    </w:rPr>
  </w:style>
  <w:style w:type="character" w:customStyle="1" w:styleId="161">
    <w:name w:val="Font Style119"/>
    <w:autoRedefine/>
    <w:unhideWhenUsed/>
    <w:qFormat/>
    <w:uiPriority w:val="0"/>
    <w:rPr>
      <w:rFonts w:hint="eastAsia" w:ascii="宋体" w:hAnsi="宋体" w:eastAsia="宋体"/>
      <w:sz w:val="24"/>
    </w:rPr>
  </w:style>
  <w:style w:type="character" w:customStyle="1" w:styleId="162">
    <w:name w:val="批注框文本 Char"/>
    <w:autoRedefine/>
    <w:qFormat/>
    <w:uiPriority w:val="0"/>
    <w:rPr>
      <w:kern w:val="2"/>
      <w:sz w:val="18"/>
      <w:szCs w:val="18"/>
    </w:rPr>
  </w:style>
  <w:style w:type="paragraph" w:customStyle="1" w:styleId="163">
    <w:name w:val="标题2"/>
    <w:basedOn w:val="42"/>
    <w:autoRedefine/>
    <w:qFormat/>
    <w:uiPriority w:val="0"/>
    <w:pPr>
      <w:spacing w:after="240"/>
      <w:jc w:val="left"/>
    </w:pPr>
    <w:rPr>
      <w:sz w:val="30"/>
    </w:rPr>
  </w:style>
  <w:style w:type="paragraph" w:customStyle="1" w:styleId="164">
    <w:name w:val="报告正文S"/>
    <w:basedOn w:val="1"/>
    <w:autoRedefine/>
    <w:qFormat/>
    <w:uiPriority w:val="0"/>
    <w:pPr>
      <w:widowControl/>
      <w:topLinePunct/>
      <w:spacing w:line="520" w:lineRule="exact"/>
      <w:ind w:firstLine="510"/>
      <w:jc w:val="left"/>
    </w:pPr>
    <w:rPr>
      <w:snapToGrid w:val="0"/>
      <w:kern w:val="0"/>
      <w:sz w:val="24"/>
    </w:rPr>
  </w:style>
  <w:style w:type="paragraph" w:customStyle="1" w:styleId="165">
    <w:name w:val="Style76"/>
    <w:basedOn w:val="1"/>
    <w:autoRedefine/>
    <w:unhideWhenUsed/>
    <w:qFormat/>
    <w:uiPriority w:val="0"/>
  </w:style>
  <w:style w:type="paragraph" w:customStyle="1" w:styleId="166">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7">
    <w:name w:val="Style53"/>
    <w:basedOn w:val="1"/>
    <w:autoRedefine/>
    <w:unhideWhenUsed/>
    <w:qFormat/>
    <w:uiPriority w:val="0"/>
    <w:pPr>
      <w:spacing w:line="533" w:lineRule="exact"/>
      <w:ind w:firstLine="581"/>
    </w:pPr>
  </w:style>
  <w:style w:type="paragraph" w:customStyle="1" w:styleId="168">
    <w:name w:val="Style44"/>
    <w:basedOn w:val="1"/>
    <w:autoRedefine/>
    <w:unhideWhenUsed/>
    <w:qFormat/>
    <w:uiPriority w:val="0"/>
  </w:style>
  <w:style w:type="paragraph" w:customStyle="1" w:styleId="169">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70">
    <w:name w:val="Style70"/>
    <w:basedOn w:val="1"/>
    <w:autoRedefine/>
    <w:unhideWhenUsed/>
    <w:qFormat/>
    <w:uiPriority w:val="0"/>
    <w:pPr>
      <w:spacing w:line="549" w:lineRule="exact"/>
      <w:ind w:firstLine="686"/>
    </w:pPr>
  </w:style>
  <w:style w:type="paragraph" w:customStyle="1" w:styleId="171">
    <w:name w:val="Style48"/>
    <w:basedOn w:val="1"/>
    <w:autoRedefine/>
    <w:unhideWhenUsed/>
    <w:qFormat/>
    <w:uiPriority w:val="0"/>
    <w:pPr>
      <w:spacing w:line="542" w:lineRule="exact"/>
      <w:jc w:val="right"/>
    </w:pPr>
  </w:style>
  <w:style w:type="paragraph" w:customStyle="1" w:styleId="172">
    <w:name w:val="NO3"/>
    <w:basedOn w:val="1"/>
    <w:autoRedefine/>
    <w:qFormat/>
    <w:uiPriority w:val="0"/>
    <w:pPr>
      <w:tabs>
        <w:tab w:val="left" w:pos="907"/>
      </w:tabs>
      <w:spacing w:line="360" w:lineRule="auto"/>
    </w:pPr>
    <w:rPr>
      <w:rFonts w:ascii="宋体" w:hAnsi="宋体"/>
      <w:sz w:val="24"/>
    </w:rPr>
  </w:style>
  <w:style w:type="paragraph" w:customStyle="1" w:styleId="173">
    <w:name w:val="Style47"/>
    <w:basedOn w:val="1"/>
    <w:autoRedefine/>
    <w:unhideWhenUsed/>
    <w:qFormat/>
    <w:uiPriority w:val="0"/>
  </w:style>
  <w:style w:type="paragraph" w:customStyle="1" w:styleId="174">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75">
    <w:name w:val="Style81"/>
    <w:basedOn w:val="1"/>
    <w:autoRedefine/>
    <w:unhideWhenUsed/>
    <w:qFormat/>
    <w:uiPriority w:val="0"/>
    <w:pPr>
      <w:spacing w:line="547" w:lineRule="exact"/>
    </w:pPr>
  </w:style>
  <w:style w:type="paragraph" w:customStyle="1" w:styleId="176">
    <w:name w:val="p16"/>
    <w:basedOn w:val="1"/>
    <w:autoRedefine/>
    <w:qFormat/>
    <w:uiPriority w:val="0"/>
    <w:pPr>
      <w:widowControl/>
      <w:jc w:val="left"/>
    </w:pPr>
    <w:rPr>
      <w:kern w:val="0"/>
      <w:szCs w:val="21"/>
    </w:rPr>
  </w:style>
  <w:style w:type="paragraph" w:customStyle="1" w:styleId="177">
    <w:name w:val="Style42"/>
    <w:basedOn w:val="1"/>
    <w:autoRedefine/>
    <w:unhideWhenUsed/>
    <w:qFormat/>
    <w:uiPriority w:val="0"/>
    <w:pPr>
      <w:spacing w:line="542" w:lineRule="exact"/>
      <w:ind w:firstLine="547"/>
    </w:pPr>
  </w:style>
  <w:style w:type="paragraph" w:customStyle="1" w:styleId="178">
    <w:name w:val="Char Char Char"/>
    <w:basedOn w:val="1"/>
    <w:autoRedefine/>
    <w:qFormat/>
    <w:uiPriority w:val="0"/>
    <w:rPr>
      <w:rFonts w:ascii="宋体" w:hAnsi="宋体"/>
      <w:b/>
      <w:sz w:val="28"/>
      <w:szCs w:val="28"/>
    </w:rPr>
  </w:style>
  <w:style w:type="paragraph" w:customStyle="1" w:styleId="179">
    <w:name w:val="Style60"/>
    <w:basedOn w:val="1"/>
    <w:autoRedefine/>
    <w:unhideWhenUsed/>
    <w:qFormat/>
    <w:uiPriority w:val="0"/>
    <w:pPr>
      <w:spacing w:line="566" w:lineRule="exact"/>
    </w:pPr>
  </w:style>
  <w:style w:type="paragraph" w:customStyle="1" w:styleId="180">
    <w:name w:val="默认段落字体 Para Char Char Char Char Char Char Char Char Char Char Char Char Char Char Char Char Char Char Char"/>
    <w:basedOn w:val="1"/>
    <w:autoRedefine/>
    <w:qFormat/>
    <w:uiPriority w:val="0"/>
  </w:style>
  <w:style w:type="paragraph" w:customStyle="1" w:styleId="181">
    <w:name w:val="Style74"/>
    <w:basedOn w:val="1"/>
    <w:autoRedefine/>
    <w:unhideWhenUsed/>
    <w:qFormat/>
    <w:uiPriority w:val="0"/>
    <w:pPr>
      <w:spacing w:line="437" w:lineRule="exact"/>
    </w:pPr>
  </w:style>
  <w:style w:type="paragraph" w:customStyle="1" w:styleId="182">
    <w:name w:val="Char1 Char Char Char"/>
    <w:basedOn w:val="1"/>
    <w:autoRedefine/>
    <w:qFormat/>
    <w:uiPriority w:val="0"/>
    <w:pPr>
      <w:widowControl/>
      <w:spacing w:after="160" w:line="240" w:lineRule="exact"/>
      <w:jc w:val="left"/>
    </w:pPr>
    <w:rPr>
      <w:kern w:val="0"/>
      <w:sz w:val="24"/>
      <w:szCs w:val="20"/>
    </w:rPr>
  </w:style>
  <w:style w:type="paragraph" w:customStyle="1" w:styleId="183">
    <w:name w:val="Style15"/>
    <w:basedOn w:val="1"/>
    <w:autoRedefine/>
    <w:unhideWhenUsed/>
    <w:qFormat/>
    <w:uiPriority w:val="0"/>
    <w:pPr>
      <w:spacing w:line="557" w:lineRule="exact"/>
      <w:ind w:firstLine="672"/>
    </w:pPr>
  </w:style>
  <w:style w:type="paragraph" w:customStyle="1" w:styleId="184">
    <w:name w:val="Body Text First Indent 21"/>
    <w:basedOn w:val="185"/>
    <w:autoRedefine/>
    <w:qFormat/>
    <w:uiPriority w:val="0"/>
    <w:pPr>
      <w:ind w:firstLine="420" w:firstLineChars="200"/>
    </w:pPr>
  </w:style>
  <w:style w:type="paragraph" w:customStyle="1" w:styleId="185">
    <w:name w:val="Body Text Indent1"/>
    <w:basedOn w:val="1"/>
    <w:next w:val="186"/>
    <w:autoRedefine/>
    <w:qFormat/>
    <w:uiPriority w:val="0"/>
    <w:pPr>
      <w:spacing w:after="120"/>
      <w:ind w:left="420" w:leftChars="200"/>
    </w:pPr>
  </w:style>
  <w:style w:type="paragraph" w:customStyle="1" w:styleId="186">
    <w:name w:val="Body Text Indent 21"/>
    <w:basedOn w:val="1"/>
    <w:autoRedefine/>
    <w:qFormat/>
    <w:uiPriority w:val="0"/>
    <w:pPr>
      <w:spacing w:after="120" w:line="480" w:lineRule="auto"/>
      <w:ind w:left="420" w:leftChars="200"/>
    </w:pPr>
    <w:rPr>
      <w:kern w:val="0"/>
      <w:sz w:val="20"/>
    </w:rPr>
  </w:style>
  <w:style w:type="paragraph" w:customStyle="1" w:styleId="187">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styleId="188">
    <w:name w:val="List Paragraph"/>
    <w:basedOn w:val="1"/>
    <w:autoRedefine/>
    <w:qFormat/>
    <w:uiPriority w:val="1"/>
    <w:pPr>
      <w:ind w:firstLine="420" w:firstLineChars="200"/>
    </w:pPr>
    <w:rPr>
      <w:rFonts w:ascii="Calibri" w:hAnsi="Calibri"/>
      <w:szCs w:val="22"/>
    </w:rPr>
  </w:style>
  <w:style w:type="paragraph" w:customStyle="1" w:styleId="189">
    <w:name w:val="Style62"/>
    <w:basedOn w:val="1"/>
    <w:autoRedefine/>
    <w:unhideWhenUsed/>
    <w:qFormat/>
    <w:uiPriority w:val="0"/>
  </w:style>
  <w:style w:type="paragraph" w:customStyle="1" w:styleId="190">
    <w:name w:val="样式 标题 2 + Times New Roman 四号 非加粗 段前: 5 磅 段后: 0 磅 行距: 固定值 20..."/>
    <w:basedOn w:val="4"/>
    <w:autoRedefine/>
    <w:qFormat/>
    <w:uiPriority w:val="0"/>
    <w:pPr>
      <w:spacing w:before="100" w:line="400" w:lineRule="exact"/>
    </w:pPr>
    <w:rPr>
      <w:rFonts w:ascii="Times New Roman" w:hAnsi="Times New Roman" w:eastAsia="黑体"/>
      <w:b w:val="0"/>
      <w:bCs w:val="0"/>
      <w:sz w:val="28"/>
      <w:szCs w:val="20"/>
    </w:rPr>
  </w:style>
  <w:style w:type="paragraph" w:customStyle="1" w:styleId="191">
    <w:name w:val="Style8"/>
    <w:basedOn w:val="1"/>
    <w:autoRedefine/>
    <w:unhideWhenUsed/>
    <w:qFormat/>
    <w:uiPriority w:val="0"/>
    <w:pPr>
      <w:spacing w:line="566" w:lineRule="exact"/>
      <w:jc w:val="center"/>
    </w:pPr>
  </w:style>
  <w:style w:type="paragraph" w:customStyle="1" w:styleId="192">
    <w:name w:val="我的正文"/>
    <w:basedOn w:val="1"/>
    <w:next w:val="1"/>
    <w:autoRedefine/>
    <w:qFormat/>
    <w:uiPriority w:val="0"/>
    <w:pPr>
      <w:spacing w:line="440" w:lineRule="exact"/>
      <w:ind w:firstLine="420" w:firstLineChars="200"/>
      <w:jc w:val="left"/>
    </w:pPr>
    <w:rPr>
      <w:rFonts w:ascii="宋体" w:hAnsi="宋体"/>
      <w:szCs w:val="21"/>
    </w:rPr>
  </w:style>
  <w:style w:type="paragraph" w:customStyle="1" w:styleId="193">
    <w:name w:val="Style26"/>
    <w:basedOn w:val="1"/>
    <w:autoRedefine/>
    <w:unhideWhenUsed/>
    <w:qFormat/>
    <w:uiPriority w:val="0"/>
  </w:style>
  <w:style w:type="paragraph" w:customStyle="1" w:styleId="194">
    <w:name w:val="Style65"/>
    <w:basedOn w:val="1"/>
    <w:autoRedefine/>
    <w:unhideWhenUsed/>
    <w:qFormat/>
    <w:uiPriority w:val="0"/>
  </w:style>
  <w:style w:type="paragraph" w:customStyle="1" w:styleId="195">
    <w:name w:val="Style71"/>
    <w:basedOn w:val="1"/>
    <w:autoRedefine/>
    <w:unhideWhenUsed/>
    <w:qFormat/>
    <w:uiPriority w:val="0"/>
    <w:pPr>
      <w:spacing w:line="538" w:lineRule="exact"/>
      <w:ind w:firstLine="101"/>
    </w:pPr>
  </w:style>
  <w:style w:type="paragraph" w:customStyle="1" w:styleId="196">
    <w:name w:val="Style46"/>
    <w:basedOn w:val="1"/>
    <w:autoRedefine/>
    <w:unhideWhenUsed/>
    <w:qFormat/>
    <w:uiPriority w:val="0"/>
    <w:pPr>
      <w:spacing w:line="672" w:lineRule="exact"/>
    </w:pPr>
  </w:style>
  <w:style w:type="paragraph" w:customStyle="1" w:styleId="197">
    <w:name w:val="WPSOffice手动目录 1"/>
    <w:autoRedefine/>
    <w:qFormat/>
    <w:uiPriority w:val="0"/>
    <w:rPr>
      <w:rFonts w:ascii="Times New Roman" w:hAnsi="Times New Roman" w:eastAsia="宋体" w:cs="Times New Roman"/>
      <w:lang w:val="en-US" w:eastAsia="zh-CN" w:bidi="ar-SA"/>
    </w:rPr>
  </w:style>
  <w:style w:type="paragraph" w:customStyle="1" w:styleId="198">
    <w:name w:val="Style73"/>
    <w:basedOn w:val="1"/>
    <w:autoRedefine/>
    <w:unhideWhenUsed/>
    <w:qFormat/>
    <w:uiPriority w:val="0"/>
    <w:pPr>
      <w:spacing w:line="538" w:lineRule="exact"/>
      <w:ind w:firstLine="533"/>
    </w:pPr>
  </w:style>
  <w:style w:type="paragraph" w:customStyle="1" w:styleId="199">
    <w:name w:val="1"/>
    <w:basedOn w:val="1"/>
    <w:autoRedefine/>
    <w:qFormat/>
    <w:uiPriority w:val="0"/>
    <w:pPr>
      <w:spacing w:afterLines="50" w:line="360" w:lineRule="auto"/>
    </w:pPr>
    <w:rPr>
      <w:rFonts w:ascii="宋体" w:hAnsi="宋体"/>
      <w:b/>
      <w:sz w:val="30"/>
      <w:szCs w:val="21"/>
    </w:rPr>
  </w:style>
  <w:style w:type="paragraph" w:customStyle="1" w:styleId="200">
    <w:name w:val="reader-word-layer reader-word-s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1">
    <w:name w:val="Style27"/>
    <w:basedOn w:val="1"/>
    <w:autoRedefine/>
    <w:unhideWhenUsed/>
    <w:qFormat/>
    <w:uiPriority w:val="0"/>
  </w:style>
  <w:style w:type="paragraph" w:customStyle="1" w:styleId="202">
    <w:name w:val="前言、引言标题"/>
    <w:next w:val="1"/>
    <w:autoRedefine/>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03">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204">
    <w:name w:val="Style64"/>
    <w:basedOn w:val="1"/>
    <w:autoRedefine/>
    <w:unhideWhenUsed/>
    <w:qFormat/>
    <w:uiPriority w:val="0"/>
  </w:style>
  <w:style w:type="paragraph" w:customStyle="1" w:styleId="205">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06">
    <w:name w:val="Style36"/>
    <w:basedOn w:val="1"/>
    <w:autoRedefine/>
    <w:unhideWhenUsed/>
    <w:qFormat/>
    <w:uiPriority w:val="0"/>
  </w:style>
  <w:style w:type="paragraph" w:customStyle="1" w:styleId="207">
    <w:name w:val="附录标识"/>
    <w:basedOn w:val="202"/>
    <w:autoRedefine/>
    <w:qFormat/>
    <w:uiPriority w:val="0"/>
    <w:pPr>
      <w:tabs>
        <w:tab w:val="left" w:pos="6405"/>
        <w:tab w:val="clear" w:pos="360"/>
      </w:tabs>
      <w:spacing w:after="200"/>
    </w:pPr>
    <w:rPr>
      <w:sz w:val="21"/>
    </w:rPr>
  </w:style>
  <w:style w:type="paragraph" w:customStyle="1" w:styleId="208">
    <w:name w:val="Style80"/>
    <w:basedOn w:val="1"/>
    <w:autoRedefine/>
    <w:unhideWhenUsed/>
    <w:qFormat/>
    <w:uiPriority w:val="0"/>
  </w:style>
  <w:style w:type="paragraph" w:customStyle="1" w:styleId="209">
    <w:name w:val="正文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0">
    <w:name w:val="Style28"/>
    <w:basedOn w:val="1"/>
    <w:autoRedefine/>
    <w:unhideWhenUsed/>
    <w:qFormat/>
    <w:uiPriority w:val="0"/>
    <w:pPr>
      <w:spacing w:line="552" w:lineRule="exact"/>
      <w:ind w:firstLine="547"/>
    </w:pPr>
  </w:style>
  <w:style w:type="paragraph" w:customStyle="1" w:styleId="211">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12">
    <w:name w:val="样式 标题 2 + 宋体 五号 行距: 单倍行距"/>
    <w:basedOn w:val="4"/>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Cs w:val="20"/>
    </w:rPr>
  </w:style>
  <w:style w:type="paragraph" w:customStyle="1" w:styleId="213">
    <w:name w:val="Style12"/>
    <w:basedOn w:val="1"/>
    <w:autoRedefine/>
    <w:unhideWhenUsed/>
    <w:qFormat/>
    <w:uiPriority w:val="0"/>
    <w:pPr>
      <w:spacing w:line="564" w:lineRule="exact"/>
      <w:ind w:hanging="115"/>
    </w:pPr>
  </w:style>
  <w:style w:type="paragraph" w:customStyle="1" w:styleId="214">
    <w:name w:val="Style78"/>
    <w:basedOn w:val="1"/>
    <w:autoRedefine/>
    <w:unhideWhenUsed/>
    <w:qFormat/>
    <w:uiPriority w:val="0"/>
  </w:style>
  <w:style w:type="paragraph" w:customStyle="1" w:styleId="215">
    <w:name w:val="Style4"/>
    <w:basedOn w:val="1"/>
    <w:autoRedefine/>
    <w:unhideWhenUsed/>
    <w:qFormat/>
    <w:uiPriority w:val="0"/>
  </w:style>
  <w:style w:type="paragraph" w:customStyle="1" w:styleId="216">
    <w:name w:val="Style45"/>
    <w:basedOn w:val="1"/>
    <w:autoRedefine/>
    <w:unhideWhenUsed/>
    <w:qFormat/>
    <w:uiPriority w:val="0"/>
  </w:style>
  <w:style w:type="paragraph" w:customStyle="1" w:styleId="217">
    <w:name w:val="文档正文"/>
    <w:basedOn w:val="1"/>
    <w:autoRedefine/>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18">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19">
    <w:name w:val="Style63"/>
    <w:basedOn w:val="1"/>
    <w:autoRedefine/>
    <w:unhideWhenUsed/>
    <w:qFormat/>
    <w:uiPriority w:val="0"/>
    <w:pPr>
      <w:spacing w:line="564" w:lineRule="exact"/>
      <w:ind w:firstLine="682"/>
    </w:pPr>
  </w:style>
  <w:style w:type="paragraph" w:customStyle="1" w:styleId="220">
    <w:name w:val="List Paragraph1"/>
    <w:basedOn w:val="1"/>
    <w:autoRedefine/>
    <w:qFormat/>
    <w:uiPriority w:val="0"/>
    <w:pPr>
      <w:ind w:firstLine="420" w:firstLineChars="200"/>
    </w:pPr>
    <w:rPr>
      <w:rFonts w:ascii="Calibri" w:hAnsi="Calibri" w:cs="Calibri"/>
      <w:szCs w:val="21"/>
    </w:rPr>
  </w:style>
  <w:style w:type="paragraph" w:customStyle="1" w:styleId="221">
    <w:name w:val="Style13"/>
    <w:basedOn w:val="1"/>
    <w:autoRedefine/>
    <w:unhideWhenUsed/>
    <w:qFormat/>
    <w:uiPriority w:val="0"/>
  </w:style>
  <w:style w:type="paragraph" w:customStyle="1" w:styleId="222">
    <w:name w:val="Char Char1 Char Char Char Char Char1 Char Char Char Char"/>
    <w:basedOn w:val="16"/>
    <w:autoRedefine/>
    <w:qFormat/>
    <w:uiPriority w:val="0"/>
    <w:rPr>
      <w:rFonts w:ascii="Tahoma" w:hAnsi="Tahoma"/>
    </w:rPr>
  </w:style>
  <w:style w:type="paragraph" w:customStyle="1" w:styleId="223">
    <w:name w:val="Char1 Char Char Char 字元 Char Char 字元 Char 字元 Char1 Char Char Char"/>
    <w:basedOn w:val="1"/>
    <w:autoRedefine/>
    <w:qFormat/>
    <w:uiPriority w:val="0"/>
    <w:rPr>
      <w:szCs w:val="20"/>
    </w:rPr>
  </w:style>
  <w:style w:type="paragraph" w:customStyle="1" w:styleId="224">
    <w:name w:val="Style11"/>
    <w:basedOn w:val="1"/>
    <w:autoRedefine/>
    <w:unhideWhenUsed/>
    <w:qFormat/>
    <w:uiPriority w:val="0"/>
    <w:pPr>
      <w:spacing w:line="559" w:lineRule="exact"/>
      <w:ind w:firstLine="590"/>
    </w:pPr>
  </w:style>
  <w:style w:type="paragraph" w:customStyle="1" w:styleId="225">
    <w:name w:val="Style50"/>
    <w:basedOn w:val="1"/>
    <w:autoRedefine/>
    <w:unhideWhenUsed/>
    <w:qFormat/>
    <w:uiPriority w:val="0"/>
  </w:style>
  <w:style w:type="paragraph" w:customStyle="1" w:styleId="226">
    <w:name w:val="Style56"/>
    <w:basedOn w:val="1"/>
    <w:autoRedefine/>
    <w:unhideWhenUsed/>
    <w:qFormat/>
    <w:uiPriority w:val="0"/>
  </w:style>
  <w:style w:type="paragraph" w:customStyle="1" w:styleId="227">
    <w:name w:val="Style23"/>
    <w:basedOn w:val="1"/>
    <w:autoRedefine/>
    <w:unhideWhenUsed/>
    <w:qFormat/>
    <w:uiPriority w:val="0"/>
  </w:style>
  <w:style w:type="paragraph" w:customStyle="1" w:styleId="228">
    <w:name w:val="Char Char1 Char Char Char Char Char Char Char"/>
    <w:basedOn w:val="1"/>
    <w:autoRedefine/>
    <w:qFormat/>
    <w:uiPriority w:val="0"/>
    <w:pPr>
      <w:widowControl/>
      <w:spacing w:after="160" w:line="240" w:lineRule="exact"/>
      <w:jc w:val="left"/>
    </w:pPr>
  </w:style>
  <w:style w:type="paragraph" w:customStyle="1" w:styleId="229">
    <w:name w:val="标题 1 +"/>
    <w:basedOn w:val="3"/>
    <w:next w:val="1"/>
    <w:autoRedefine/>
    <w:qFormat/>
    <w:uiPriority w:val="0"/>
    <w:pPr>
      <w:keepLines/>
      <w:spacing w:line="600" w:lineRule="auto"/>
    </w:pPr>
    <w:rPr>
      <w:rFonts w:eastAsia="黑体"/>
      <w:kern w:val="0"/>
    </w:rPr>
  </w:style>
  <w:style w:type="paragraph" w:customStyle="1" w:styleId="230">
    <w:name w:val="S表格文字"/>
    <w:basedOn w:val="1"/>
    <w:autoRedefine/>
    <w:qFormat/>
    <w:uiPriority w:val="0"/>
    <w:pPr>
      <w:widowControl/>
      <w:spacing w:before="20" w:after="20"/>
      <w:jc w:val="center"/>
    </w:pPr>
    <w:rPr>
      <w:rFonts w:ascii="宋体" w:hAnsi="宋体" w:cs="宋体"/>
      <w:kern w:val="0"/>
      <w:szCs w:val="21"/>
    </w:rPr>
  </w:style>
  <w:style w:type="paragraph" w:customStyle="1" w:styleId="231">
    <w:name w:val="Char Char1 Char Char Char"/>
    <w:basedOn w:val="1"/>
    <w:autoRedefine/>
    <w:qFormat/>
    <w:uiPriority w:val="0"/>
    <w:rPr>
      <w:kern w:val="0"/>
      <w:sz w:val="20"/>
      <w:szCs w:val="20"/>
    </w:rPr>
  </w:style>
  <w:style w:type="paragraph" w:customStyle="1" w:styleId="232">
    <w:name w:val="Style29"/>
    <w:basedOn w:val="1"/>
    <w:autoRedefine/>
    <w:unhideWhenUsed/>
    <w:qFormat/>
    <w:uiPriority w:val="0"/>
    <w:pPr>
      <w:spacing w:line="547" w:lineRule="exact"/>
      <w:ind w:firstLine="547"/>
    </w:pPr>
  </w:style>
  <w:style w:type="paragraph" w:customStyle="1" w:styleId="233">
    <w:name w:val="1 Char Char Char Char"/>
    <w:basedOn w:val="1"/>
    <w:autoRedefine/>
    <w:qFormat/>
    <w:uiPriority w:val="0"/>
  </w:style>
  <w:style w:type="paragraph" w:customStyle="1" w:styleId="234">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235">
    <w:name w:val="S表题图名"/>
    <w:basedOn w:val="6"/>
    <w:autoRedefine/>
    <w:qFormat/>
    <w:uiPriority w:val="0"/>
    <w:pPr>
      <w:widowControl/>
      <w:tabs>
        <w:tab w:val="left" w:pos="3412"/>
      </w:tabs>
      <w:spacing w:before="120" w:after="120" w:line="372" w:lineRule="auto"/>
      <w:ind w:right="40"/>
      <w:jc w:val="center"/>
      <w:outlineLvl w:val="9"/>
    </w:pPr>
    <w:rPr>
      <w:bCs w:val="0"/>
      <w:szCs w:val="20"/>
    </w:rPr>
  </w:style>
  <w:style w:type="paragraph" w:customStyle="1" w:styleId="236">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37">
    <w:name w:val="Style10"/>
    <w:basedOn w:val="1"/>
    <w:autoRedefine/>
    <w:unhideWhenUsed/>
    <w:qFormat/>
    <w:uiPriority w:val="0"/>
    <w:pPr>
      <w:spacing w:line="538" w:lineRule="exact"/>
    </w:pPr>
  </w:style>
  <w:style w:type="paragraph" w:customStyle="1" w:styleId="238">
    <w:name w:val="Style68"/>
    <w:basedOn w:val="1"/>
    <w:autoRedefine/>
    <w:unhideWhenUsed/>
    <w:qFormat/>
    <w:uiPriority w:val="0"/>
    <w:pPr>
      <w:spacing w:line="547" w:lineRule="exact"/>
    </w:pPr>
  </w:style>
  <w:style w:type="paragraph" w:customStyle="1" w:styleId="239">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0">
    <w:name w:val="Style61"/>
    <w:basedOn w:val="1"/>
    <w:autoRedefine/>
    <w:unhideWhenUsed/>
    <w:qFormat/>
    <w:uiPriority w:val="0"/>
  </w:style>
  <w:style w:type="paragraph" w:customStyle="1" w:styleId="241">
    <w:name w:val="Char Char Char1 Char"/>
    <w:basedOn w:val="1"/>
    <w:autoRedefine/>
    <w:qFormat/>
    <w:uiPriority w:val="0"/>
    <w:pPr>
      <w:tabs>
        <w:tab w:val="left" w:pos="360"/>
      </w:tabs>
      <w:snapToGrid w:val="0"/>
      <w:spacing w:line="360" w:lineRule="auto"/>
    </w:pPr>
    <w:rPr>
      <w:rFonts w:eastAsia="仿宋_GB2312" w:cs="宋体"/>
      <w:sz w:val="24"/>
    </w:rPr>
  </w:style>
  <w:style w:type="paragraph" w:customStyle="1" w:styleId="242">
    <w:name w:val="Style58"/>
    <w:basedOn w:val="1"/>
    <w:autoRedefine/>
    <w:unhideWhenUsed/>
    <w:qFormat/>
    <w:uiPriority w:val="0"/>
    <w:pPr>
      <w:spacing w:line="413" w:lineRule="exact"/>
    </w:pPr>
  </w:style>
  <w:style w:type="paragraph" w:customStyle="1" w:styleId="243">
    <w:name w:val="Style24"/>
    <w:basedOn w:val="1"/>
    <w:autoRedefine/>
    <w:unhideWhenUsed/>
    <w:qFormat/>
    <w:uiPriority w:val="0"/>
  </w:style>
  <w:style w:type="paragraph" w:customStyle="1" w:styleId="244">
    <w:name w:val="_Style 39"/>
    <w:basedOn w:val="209"/>
    <w:autoRedefine/>
    <w:qFormat/>
    <w:uiPriority w:val="0"/>
  </w:style>
  <w:style w:type="paragraph" w:customStyle="1" w:styleId="245">
    <w:name w:val="表正文"/>
    <w:autoRedefine/>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46">
    <w:name w:val="Style59"/>
    <w:basedOn w:val="1"/>
    <w:autoRedefine/>
    <w:unhideWhenUsed/>
    <w:qFormat/>
    <w:uiPriority w:val="0"/>
  </w:style>
  <w:style w:type="paragraph" w:customStyle="1" w:styleId="247">
    <w:name w:val="Style77"/>
    <w:basedOn w:val="1"/>
    <w:autoRedefine/>
    <w:unhideWhenUsed/>
    <w:qFormat/>
    <w:uiPriority w:val="0"/>
  </w:style>
  <w:style w:type="paragraph" w:customStyle="1" w:styleId="248">
    <w:name w:val="Style5"/>
    <w:basedOn w:val="1"/>
    <w:autoRedefine/>
    <w:unhideWhenUsed/>
    <w:qFormat/>
    <w:uiPriority w:val="0"/>
  </w:style>
  <w:style w:type="paragraph" w:customStyle="1" w:styleId="249">
    <w:name w:val="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50">
    <w:name w:val="表格样式"/>
    <w:basedOn w:val="1"/>
    <w:autoRedefine/>
    <w:qFormat/>
    <w:uiPriority w:val="0"/>
    <w:pPr>
      <w:jc w:val="left"/>
    </w:pPr>
    <w:rPr>
      <w:sz w:val="22"/>
    </w:rPr>
  </w:style>
  <w:style w:type="paragraph" w:customStyle="1" w:styleId="251">
    <w:name w:val="Style72"/>
    <w:basedOn w:val="1"/>
    <w:autoRedefine/>
    <w:unhideWhenUsed/>
    <w:qFormat/>
    <w:uiPriority w:val="0"/>
  </w:style>
  <w:style w:type="paragraph" w:customStyle="1" w:styleId="252">
    <w:name w:val="Style52"/>
    <w:basedOn w:val="1"/>
    <w:autoRedefine/>
    <w:unhideWhenUsed/>
    <w:qFormat/>
    <w:uiPriority w:val="0"/>
    <w:pPr>
      <w:spacing w:line="682" w:lineRule="exact"/>
      <w:ind w:firstLine="557"/>
    </w:pPr>
  </w:style>
  <w:style w:type="paragraph" w:customStyle="1" w:styleId="253">
    <w:name w:val="Style9"/>
    <w:basedOn w:val="1"/>
    <w:autoRedefine/>
    <w:unhideWhenUsed/>
    <w:qFormat/>
    <w:uiPriority w:val="0"/>
  </w:style>
  <w:style w:type="paragraph" w:customStyle="1" w:styleId="254">
    <w:name w:val="样式1"/>
    <w:basedOn w:val="1"/>
    <w:autoRedefine/>
    <w:qFormat/>
    <w:uiPriority w:val="0"/>
    <w:pPr>
      <w:tabs>
        <w:tab w:val="left" w:pos="360"/>
      </w:tabs>
      <w:adjustRightInd w:val="0"/>
      <w:ind w:left="360" w:hanging="360"/>
      <w:textAlignment w:val="baseline"/>
    </w:pPr>
    <w:rPr>
      <w:rFonts w:ascii="宋体" w:hAnsi="宋体"/>
      <w:kern w:val="0"/>
      <w:szCs w:val="21"/>
    </w:rPr>
  </w:style>
  <w:style w:type="paragraph" w:customStyle="1" w:styleId="255">
    <w:name w:val="Char2"/>
    <w:basedOn w:val="1"/>
    <w:autoRedefine/>
    <w:qFormat/>
    <w:uiPriority w:val="0"/>
    <w:pPr>
      <w:tabs>
        <w:tab w:val="left" w:pos="360"/>
      </w:tabs>
      <w:ind w:left="360" w:hanging="360" w:hangingChars="200"/>
    </w:pPr>
    <w:rPr>
      <w:sz w:val="24"/>
    </w:rPr>
  </w:style>
  <w:style w:type="paragraph" w:customStyle="1" w:styleId="256">
    <w:name w:val="Style67"/>
    <w:basedOn w:val="1"/>
    <w:autoRedefine/>
    <w:unhideWhenUsed/>
    <w:qFormat/>
    <w:uiPriority w:val="0"/>
    <w:pPr>
      <w:spacing w:line="566" w:lineRule="exact"/>
      <w:ind w:firstLine="552"/>
    </w:pPr>
  </w:style>
  <w:style w:type="paragraph" w:customStyle="1" w:styleId="257">
    <w:name w:val="Char1 Char Char Char Char Char Char Char Char Char"/>
    <w:basedOn w:val="1"/>
    <w:autoRedefine/>
    <w:qFormat/>
    <w:uiPriority w:val="0"/>
    <w:rPr>
      <w:szCs w:val="20"/>
    </w:rPr>
  </w:style>
  <w:style w:type="paragraph" w:customStyle="1" w:styleId="258">
    <w:name w:val="S标题4"/>
    <w:basedOn w:val="6"/>
    <w:autoRedefine/>
    <w:qFormat/>
    <w:uiPriority w:val="0"/>
    <w:pPr>
      <w:keepNext w:val="0"/>
      <w:keepLines w:val="0"/>
      <w:widowControl/>
      <w:spacing w:before="0" w:after="0" w:line="520" w:lineRule="exact"/>
      <w:ind w:firstLine="510"/>
    </w:pPr>
    <w:rPr>
      <w:rFonts w:ascii="Times New Roman" w:hAnsi="Times New Roman" w:eastAsia="Times New Roman"/>
      <w:bCs w:val="0"/>
      <w:kern w:val="0"/>
      <w:sz w:val="24"/>
      <w:szCs w:val="24"/>
    </w:rPr>
  </w:style>
  <w:style w:type="paragraph" w:customStyle="1" w:styleId="259">
    <w:name w:val="Style34"/>
    <w:basedOn w:val="1"/>
    <w:autoRedefine/>
    <w:unhideWhenUsed/>
    <w:qFormat/>
    <w:uiPriority w:val="0"/>
    <w:pPr>
      <w:spacing w:line="375" w:lineRule="exact"/>
    </w:pPr>
  </w:style>
  <w:style w:type="paragraph" w:customStyle="1" w:styleId="260">
    <w:name w:val="Style21"/>
    <w:basedOn w:val="1"/>
    <w:autoRedefine/>
    <w:unhideWhenUsed/>
    <w:qFormat/>
    <w:uiPriority w:val="0"/>
    <w:pPr>
      <w:spacing w:line="566" w:lineRule="exact"/>
      <w:ind w:firstLine="682"/>
    </w:pPr>
  </w:style>
  <w:style w:type="paragraph" w:customStyle="1" w:styleId="261">
    <w:name w:val="_Style 258"/>
    <w:autoRedefine/>
    <w:qFormat/>
    <w:uiPriority w:val="0"/>
    <w:rPr>
      <w:rFonts w:ascii="Times New Roman" w:hAnsi="Times New Roman" w:eastAsia="宋体" w:cs="Times New Roman"/>
      <w:kern w:val="2"/>
      <w:sz w:val="21"/>
      <w:szCs w:val="24"/>
      <w:lang w:val="en-US" w:eastAsia="zh-CN" w:bidi="ar-SA"/>
    </w:rPr>
  </w:style>
  <w:style w:type="paragraph" w:customStyle="1" w:styleId="262">
    <w:name w:val="ty-xq-title"/>
    <w:basedOn w:val="1"/>
    <w:autoRedefine/>
    <w:qFormat/>
    <w:uiPriority w:val="0"/>
    <w:pPr>
      <w:spacing w:before="450" w:after="300"/>
      <w:jc w:val="center"/>
    </w:pPr>
    <w:rPr>
      <w:b/>
      <w:color w:val="333333"/>
      <w:kern w:val="0"/>
      <w:sz w:val="30"/>
      <w:szCs w:val="30"/>
    </w:rPr>
  </w:style>
  <w:style w:type="paragraph" w:customStyle="1" w:styleId="263">
    <w:name w:val="Style41"/>
    <w:basedOn w:val="1"/>
    <w:autoRedefine/>
    <w:unhideWhenUsed/>
    <w:qFormat/>
    <w:uiPriority w:val="0"/>
    <w:pPr>
      <w:spacing w:line="542" w:lineRule="exact"/>
      <w:ind w:firstLine="125"/>
    </w:pPr>
  </w:style>
  <w:style w:type="paragraph" w:customStyle="1" w:styleId="264">
    <w:name w:val="Table Paragraph"/>
    <w:basedOn w:val="1"/>
    <w:autoRedefine/>
    <w:qFormat/>
    <w:uiPriority w:val="1"/>
    <w:rPr>
      <w:rFonts w:ascii="宋体" w:hAnsi="宋体" w:cs="宋体"/>
      <w:lang w:val="zh-CN" w:bidi="zh-CN"/>
    </w:rPr>
  </w:style>
  <w:style w:type="paragraph" w:customStyle="1" w:styleId="265">
    <w:name w:val="Style16"/>
    <w:basedOn w:val="1"/>
    <w:autoRedefine/>
    <w:unhideWhenUsed/>
    <w:qFormat/>
    <w:uiPriority w:val="0"/>
    <w:pPr>
      <w:jc w:val="right"/>
    </w:pPr>
  </w:style>
  <w:style w:type="paragraph" w:customStyle="1" w:styleId="266">
    <w:name w:val="表格内容"/>
    <w:basedOn w:val="2"/>
    <w:autoRedefine/>
    <w:qFormat/>
    <w:uiPriority w:val="0"/>
    <w:pPr>
      <w:suppressLineNumbers/>
      <w:suppressAutoHyphens/>
      <w:jc w:val="left"/>
    </w:pPr>
    <w:rPr>
      <w:rFonts w:cs="Tahoma"/>
      <w:kern w:val="0"/>
      <w:sz w:val="24"/>
    </w:rPr>
  </w:style>
  <w:style w:type="paragraph" w:customStyle="1" w:styleId="267">
    <w:name w:val="Style54"/>
    <w:basedOn w:val="1"/>
    <w:autoRedefine/>
    <w:unhideWhenUsed/>
    <w:qFormat/>
    <w:uiPriority w:val="0"/>
  </w:style>
  <w:style w:type="paragraph" w:customStyle="1" w:styleId="268">
    <w:name w:val="Style69"/>
    <w:basedOn w:val="1"/>
    <w:autoRedefine/>
    <w:unhideWhenUsed/>
    <w:qFormat/>
    <w:uiPriority w:val="0"/>
    <w:pPr>
      <w:spacing w:line="557" w:lineRule="exact"/>
      <w:ind w:firstLine="1666"/>
    </w:pPr>
  </w:style>
  <w:style w:type="paragraph" w:customStyle="1" w:styleId="269">
    <w:name w:val="标题3"/>
    <w:basedOn w:val="3"/>
    <w:autoRedefine/>
    <w:qFormat/>
    <w:uiPriority w:val="0"/>
    <w:pPr>
      <w:spacing w:beforeLines="50" w:afterLines="50" w:line="400" w:lineRule="exact"/>
      <w:jc w:val="both"/>
    </w:pPr>
    <w:rPr>
      <w:rFonts w:ascii="宋体" w:hAnsi="宋体"/>
      <w:kern w:val="32"/>
    </w:rPr>
  </w:style>
  <w:style w:type="paragraph" w:customStyle="1" w:styleId="270">
    <w:name w:val="段"/>
    <w:autoRedefine/>
    <w:qFormat/>
    <w:uiPriority w:val="0"/>
    <w:pPr>
      <w:autoSpaceDE w:val="0"/>
      <w:autoSpaceDN w:val="0"/>
      <w:ind w:firstLine="200" w:firstLineChars="200"/>
      <w:jc w:val="both"/>
    </w:pPr>
    <w:rPr>
      <w:rFonts w:ascii="宋体" w:hAnsi="Times New Roman" w:eastAsia="Times New Roman" w:cs="Times New Roman"/>
      <w:sz w:val="24"/>
      <w:szCs w:val="22"/>
      <w:lang w:val="en-US" w:eastAsia="zh-CN" w:bidi="ar-SA"/>
    </w:rPr>
  </w:style>
  <w:style w:type="table" w:customStyle="1" w:styleId="271">
    <w:name w:val="网格型1"/>
    <w:basedOn w:val="4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72">
    <w:name w:val="Heading1"/>
    <w:basedOn w:val="1"/>
    <w:next w:val="1"/>
    <w:autoRedefine/>
    <w:qFormat/>
    <w:uiPriority w:val="0"/>
    <w:pPr>
      <w:keepNext/>
      <w:jc w:val="center"/>
      <w:textAlignment w:val="baseline"/>
    </w:pPr>
    <w:rPr>
      <w:rFonts w:ascii="Calibri" w:hAnsi="Calibri"/>
      <w:b/>
      <w:bCs/>
      <w:sz w:val="28"/>
      <w:szCs w:val="20"/>
    </w:rPr>
  </w:style>
  <w:style w:type="character" w:customStyle="1" w:styleId="273">
    <w:name w:val="_37aak"/>
    <w:basedOn w:val="48"/>
    <w:autoRedefine/>
    <w:qFormat/>
    <w:uiPriority w:val="0"/>
  </w:style>
  <w:style w:type="character" w:customStyle="1" w:styleId="274">
    <w:name w:val="hover7"/>
    <w:basedOn w:val="48"/>
    <w:autoRedefine/>
    <w:qFormat/>
    <w:uiPriority w:val="0"/>
    <w:rPr>
      <w:color w:val="315EFB"/>
    </w:rPr>
  </w:style>
  <w:style w:type="character" w:customStyle="1" w:styleId="275">
    <w:name w:val="hover6"/>
    <w:basedOn w:val="48"/>
    <w:autoRedefine/>
    <w:qFormat/>
    <w:uiPriority w:val="0"/>
    <w:rPr>
      <w:color w:val="315EFB"/>
    </w:rPr>
  </w:style>
  <w:style w:type="character" w:customStyle="1" w:styleId="276">
    <w:name w:val="hover"/>
    <w:basedOn w:val="48"/>
    <w:autoRedefine/>
    <w:qFormat/>
    <w:uiPriority w:val="0"/>
    <w:rPr>
      <w:color w:val="315EFB"/>
    </w:rPr>
  </w:style>
  <w:style w:type="paragraph" w:customStyle="1" w:styleId="277">
    <w:name w:val="正文缩进1"/>
    <w:basedOn w:val="1"/>
    <w:autoRedefine/>
    <w:qFormat/>
    <w:uiPriority w:val="99"/>
    <w:pPr>
      <w:widowControl/>
      <w:ind w:firstLine="420"/>
      <w:jc w:val="left"/>
    </w:pPr>
    <w:rPr>
      <w:kern w:val="0"/>
    </w:rPr>
  </w:style>
  <w:style w:type="paragraph" w:customStyle="1" w:styleId="278">
    <w:name w:val="Normal_1"/>
    <w:basedOn w:val="1"/>
    <w:autoRedefine/>
    <w:qFormat/>
    <w:uiPriority w:val="0"/>
    <w:pPr>
      <w:widowControl/>
      <w:jc w:val="left"/>
    </w:pPr>
    <w:rPr>
      <w:rFonts w:ascii="Calibri" w:hAnsi="Calibri"/>
      <w:kern w:val="0"/>
      <w:sz w:val="24"/>
    </w:rPr>
  </w:style>
  <w:style w:type="character" w:customStyle="1" w:styleId="279">
    <w:name w:val="10"/>
    <w:basedOn w:val="48"/>
    <w:autoRedefine/>
    <w:qFormat/>
    <w:uiPriority w:val="0"/>
    <w:rPr>
      <w:rFonts w:hint="default" w:ascii="Times New Roman" w:hAnsi="Times New Roman" w:cs="Times New Roman"/>
      <w:color w:val="000000"/>
      <w:sz w:val="20"/>
      <w:szCs w:val="20"/>
    </w:rPr>
  </w:style>
  <w:style w:type="paragraph" w:customStyle="1" w:styleId="280">
    <w:name w:val="样式 行距: 1.5 倍行距 首行缩进:  2 字符"/>
    <w:basedOn w:val="1"/>
    <w:autoRedefine/>
    <w:qFormat/>
    <w:uiPriority w:val="0"/>
    <w:pPr>
      <w:adjustRightInd w:val="0"/>
      <w:snapToGrid w:val="0"/>
      <w:spacing w:line="460" w:lineRule="exact"/>
    </w:pPr>
    <w:rPr>
      <w:sz w:val="24"/>
    </w:rPr>
  </w:style>
  <w:style w:type="character" w:customStyle="1" w:styleId="281">
    <w:name w:val="font41"/>
    <w:basedOn w:val="48"/>
    <w:autoRedefine/>
    <w:qFormat/>
    <w:uiPriority w:val="0"/>
    <w:rPr>
      <w:rFonts w:hint="eastAsia" w:ascii="宋体" w:hAnsi="宋体" w:eastAsia="宋体" w:cs="宋体"/>
      <w:color w:val="000000"/>
      <w:sz w:val="20"/>
      <w:szCs w:val="20"/>
      <w:u w:val="none"/>
    </w:rPr>
  </w:style>
  <w:style w:type="character" w:customStyle="1" w:styleId="282">
    <w:name w:val="font101"/>
    <w:basedOn w:val="48"/>
    <w:autoRedefine/>
    <w:qFormat/>
    <w:uiPriority w:val="0"/>
    <w:rPr>
      <w:rFonts w:ascii="Arial" w:hAnsi="Arial" w:cs="Arial"/>
      <w:color w:val="000000"/>
      <w:sz w:val="20"/>
      <w:szCs w:val="20"/>
      <w:u w:val="none"/>
    </w:rPr>
  </w:style>
  <w:style w:type="character" w:customStyle="1" w:styleId="283">
    <w:name w:val="l-btn-left2"/>
    <w:basedOn w:val="48"/>
    <w:autoRedefine/>
    <w:qFormat/>
    <w:uiPriority w:val="0"/>
  </w:style>
  <w:style w:type="character" w:customStyle="1" w:styleId="284">
    <w:name w:val="l-btn-left3"/>
    <w:basedOn w:val="48"/>
    <w:autoRedefine/>
    <w:qFormat/>
    <w:uiPriority w:val="0"/>
  </w:style>
  <w:style w:type="character" w:customStyle="1" w:styleId="285">
    <w:name w:val="l-btn-left4"/>
    <w:basedOn w:val="48"/>
    <w:autoRedefine/>
    <w:qFormat/>
    <w:uiPriority w:val="0"/>
  </w:style>
  <w:style w:type="character" w:customStyle="1" w:styleId="286">
    <w:name w:val="l-btn-left5"/>
    <w:basedOn w:val="48"/>
    <w:autoRedefine/>
    <w:qFormat/>
    <w:uiPriority w:val="0"/>
  </w:style>
  <w:style w:type="character" w:customStyle="1" w:styleId="287">
    <w:name w:val="l-btn-text"/>
    <w:basedOn w:val="48"/>
    <w:autoRedefine/>
    <w:qFormat/>
    <w:uiPriority w:val="0"/>
    <w:rPr>
      <w:sz w:val="18"/>
      <w:szCs w:val="18"/>
      <w:vertAlign w:val="baseline"/>
    </w:rPr>
  </w:style>
  <w:style w:type="character" w:customStyle="1" w:styleId="288">
    <w:name w:val="l-btn-icon-left"/>
    <w:basedOn w:val="48"/>
    <w:autoRedefine/>
    <w:qFormat/>
    <w:uiPriority w:val="0"/>
  </w:style>
  <w:style w:type="character" w:customStyle="1" w:styleId="289">
    <w:name w:val="l-btn-icon-right"/>
    <w:basedOn w:val="48"/>
    <w:autoRedefine/>
    <w:qFormat/>
    <w:uiPriority w:val="0"/>
  </w:style>
  <w:style w:type="character" w:customStyle="1" w:styleId="290">
    <w:name w:val="l-btn-empty"/>
    <w:basedOn w:val="48"/>
    <w:autoRedefine/>
    <w:qFormat/>
    <w:uiPriority w:val="0"/>
  </w:style>
  <w:style w:type="character" w:customStyle="1" w:styleId="291">
    <w:name w:val="l-btn-left"/>
    <w:basedOn w:val="48"/>
    <w:autoRedefine/>
    <w:qFormat/>
    <w:uiPriority w:val="0"/>
  </w:style>
  <w:style w:type="character" w:customStyle="1" w:styleId="292">
    <w:name w:val="l-btn-left1"/>
    <w:basedOn w:val="48"/>
    <w:autoRedefine/>
    <w:qFormat/>
    <w:uiPriority w:val="0"/>
  </w:style>
  <w:style w:type="paragraph" w:customStyle="1" w:styleId="293">
    <w:name w:val="正文_0"/>
    <w:next w:val="294"/>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4">
    <w:name w:val="样式 首行缩进:  2 字符"/>
    <w:basedOn w:val="293"/>
    <w:qFormat/>
    <w:uiPriority w:val="0"/>
    <w:pPr>
      <w:spacing w:line="360" w:lineRule="auto"/>
      <w:ind w:firstLine="480" w:firstLineChars="200"/>
    </w:pPr>
    <w:rPr>
      <w:rFonts w:ascii="Times New Roman" w:hAnsi="Times New Roman" w:cs="宋体"/>
      <w:sz w:val="24"/>
      <w:szCs w:val="20"/>
    </w:rPr>
  </w:style>
  <w:style w:type="paragraph" w:customStyle="1" w:styleId="295">
    <w:name w:val="目录 51"/>
    <w:basedOn w:val="1"/>
    <w:next w:val="1"/>
    <w:qFormat/>
    <w:uiPriority w:val="0"/>
    <w:pPr>
      <w:ind w:left="1680"/>
    </w:pPr>
    <w:rPr>
      <w:rFonts w:ascii="Calibri" w:hAnsi="宋体" w:cs="宋体"/>
      <w:kern w:val="0"/>
      <w:szCs w:val="20"/>
    </w:rPr>
  </w:style>
  <w:style w:type="character" w:customStyle="1" w:styleId="296">
    <w:name w:val="hover32"/>
    <w:basedOn w:val="48"/>
    <w:qFormat/>
    <w:uiPriority w:val="0"/>
  </w:style>
  <w:style w:type="paragraph" w:customStyle="1" w:styleId="297">
    <w:name w:val="Normal_0"/>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4F207C-253D-469A-92F0-D79642DF9250}">
  <ds:schemaRefs/>
</ds:datastoreItem>
</file>

<file path=docProps/app.xml><?xml version="1.0" encoding="utf-8"?>
<Properties xmlns="http://schemas.openxmlformats.org/officeDocument/2006/extended-properties" xmlns:vt="http://schemas.openxmlformats.org/officeDocument/2006/docPropsVTypes">
  <Template>Normal</Template>
  <Company>admin</Company>
  <Pages>76</Pages>
  <Words>17986</Words>
  <Characters>19126</Characters>
  <Lines>408</Lines>
  <Paragraphs>114</Paragraphs>
  <TotalTime>43</TotalTime>
  <ScaleCrop>false</ScaleCrop>
  <LinksUpToDate>false</LinksUpToDate>
  <CharactersWithSpaces>19277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2025-03-28T08:43:00Z</dcterms:created>
  <dc:creator>admin</dc:creator>
  <cp:lastModifiedBy>abc</cp:lastModifiedBy>
  <cp:lastPrinted>2024-05-28T08:30:00Z</cp:lastPrinted>
  <dcterms:modified xsi:type="dcterms:W3CDTF">2026-04-07T08:39:03Z</dcterms:modified>
  <dc:title>附件十一</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2F4A9A69C13842C48649E474016A2F7F_13</vt:lpwstr>
  </property>
  <property fmtid="{D5CDD505-2E9C-101B-9397-08002B2CF9AE}" pid="4" name="KSOTemplateDocerSaveRecord">
    <vt:lpwstr>eyJoZGlkIjoiMDRiMDJmY2ZkMWFkNzQ0N2YyZjE5MWY0OWM2YWJlNGUiLCJ1c2VySWQiOiIzODYxMTc0NTgifQ==</vt:lpwstr>
  </property>
</Properties>
</file>