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厦门市海事大楼二类固定监测站升级改造项目</w:t>
      </w:r>
    </w:p>
    <w:p>
      <w:pPr>
        <w:pStyle w:val="null3"/>
        <w:jc w:val="center"/>
        <w:outlineLvl w:val="2"/>
      </w:pPr>
      <w:r>
        <w:rPr>
          <w:sz w:val="28"/>
          <w:b/>
        </w:rPr>
        <w:t>备案编号：</w:t>
      </w:r>
      <w:r>
        <w:rPr>
          <w:sz w:val="28"/>
          <w:b/>
        </w:rPr>
        <w:t>BUYPLANBN[2024]00133</w:t>
      </w:r>
    </w:p>
    <w:p>
      <w:pPr>
        <w:pStyle w:val="null3"/>
        <w:jc w:val="center"/>
        <w:outlineLvl w:val="2"/>
      </w:pPr>
      <w:r>
        <w:rPr>
          <w:sz w:val="28"/>
          <w:b/>
        </w:rPr>
        <w:t>项目编号：</w:t>
      </w:r>
      <w:r>
        <w:rPr>
          <w:sz w:val="28"/>
          <w:b/>
        </w:rPr>
        <w:t>[350201]FJXFZB[GK]2024001</w:t>
      </w:r>
    </w:p>
    <w:p>
      <w:pPr>
        <w:pStyle w:val="null3"/>
        <w:jc w:val="center"/>
        <w:outlineLvl w:val="2"/>
      </w:pPr>
      <w:r>
        <w:rPr>
          <w:sz w:val="28"/>
          <w:b/>
        </w:rPr>
        <w:t>采购人：</w:t>
      </w:r>
      <w:r>
        <w:rPr>
          <w:sz w:val="28"/>
          <w:b/>
        </w:rPr>
        <w:t>厦门市无线电管理局</w:t>
      </w:r>
    </w:p>
    <w:p>
      <w:pPr>
        <w:pStyle w:val="null3"/>
        <w:jc w:val="center"/>
        <w:outlineLvl w:val="2"/>
      </w:pPr>
      <w:r>
        <w:rPr>
          <w:sz w:val="28"/>
          <w:b/>
        </w:rPr>
        <w:t>代理机构：</w:t>
      </w:r>
      <w:r>
        <w:rPr>
          <w:sz w:val="28"/>
          <w:b/>
        </w:rPr>
        <w:t>福建信发招标代理有限公司</w:t>
      </w:r>
    </w:p>
    <w:p>
      <w:pPr>
        <w:pStyle w:val="null3"/>
        <w:jc w:val="center"/>
        <w:outlineLvl w:val="2"/>
      </w:pPr>
      <w:r>
        <w:rPr>
          <w:sz w:val="28"/>
          <w:b/>
        </w:rPr>
        <w:t>编制时间</w:t>
      </w:r>
      <w:r>
        <w:rPr>
          <w:sz w:val="28"/>
          <w:b/>
        </w:rPr>
        <w:t>：</w:t>
      </w:r>
      <w:r>
        <w:rPr>
          <w:sz w:val="28"/>
          <w:b/>
        </w:rPr>
        <w:t>2024年08月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福建信发招标代理有限公司</w:t>
      </w:r>
      <w:r>
        <w:rPr/>
        <w:t xml:space="preserve"> 采用公开招标方式组织 </w:t>
      </w:r>
      <w:r>
        <w:rPr/>
        <w:t>厦门市海事大楼二类固定监测站升级改造项目</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BUYPLANBN[2024]00133</w:t>
      </w:r>
    </w:p>
    <w:p>
      <w:pPr>
        <w:pStyle w:val="null3"/>
        <w:ind w:firstLine="480"/>
        <w:jc w:val="left"/>
        <w:outlineLvl w:val="2"/>
      </w:pPr>
      <w:r>
        <w:rPr>
          <w:sz w:val="28"/>
          <w:b/>
        </w:rPr>
        <w:t>2、项目编号</w:t>
      </w:r>
      <w:r>
        <w:rPr>
          <w:sz w:val="28"/>
          <w:b/>
        </w:rPr>
        <w:t>：</w:t>
      </w:r>
      <w:r>
        <w:rPr>
          <w:sz w:val="28"/>
          <w:b/>
        </w:rPr>
        <w:t>[350201]FJXFZB[GK]2024001</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不适用于本项目。</w:t>
      </w:r>
    </w:p>
    <w:p>
      <w:pPr>
        <w:pStyle w:val="null3"/>
        <w:ind w:firstLine="960"/>
        <w:jc w:val="left"/>
      </w:pPr>
      <w:r>
        <w:rPr/>
        <w:t>节能产品：</w:t>
      </w:r>
      <w:r>
        <w:rPr/>
        <w:t>适用于本项目，按照《关于印发节能产品政府采购品目清单的通知》财库〔2019〕19号执行。</w:t>
      </w:r>
    </w:p>
    <w:p>
      <w:pPr>
        <w:pStyle w:val="null3"/>
        <w:ind w:firstLine="960"/>
        <w:jc w:val="left"/>
      </w:pPr>
      <w:r>
        <w:rPr/>
        <w:t>环境标志产品：</w:t>
      </w:r>
      <w:r>
        <w:rPr/>
        <w:t>适用于本项目，按照《关于印发环境标志产品政府采购品目清单的通知》财库〔2019〕18号执行。</w:t>
      </w:r>
    </w:p>
    <w:p>
      <w:pPr>
        <w:pStyle w:val="null3"/>
        <w:ind w:firstLine="960"/>
        <w:jc w:val="left"/>
      </w:pPr>
      <w:r>
        <w:rPr/>
        <w:t>促进中小企业发展的相关政策：</w:t>
      </w:r>
    </w:p>
    <w:p>
      <w:pPr>
        <w:pStyle w:val="null3"/>
        <w:ind w:firstLine="960"/>
        <w:jc w:val="left"/>
      </w:pPr>
      <w:r>
        <w:rPr/>
        <w:t>采购包1：专门采购包预留</w:t>
      </w:r>
    </w:p>
    <w:p>
      <w:pPr>
        <w:pStyle w:val="null3"/>
        <w:jc w:val="left"/>
      </w:pPr>
      <w:r>
        <w:rPr/>
        <w:t>面向的企业规模：</w:t>
      </w:r>
      <w:r>
        <w:rPr/>
        <w:t>中小企业</w:t>
      </w:r>
    </w:p>
    <w:p>
      <w:pPr>
        <w:pStyle w:val="null3"/>
        <w:jc w:val="left"/>
      </w:pPr>
      <w:r>
        <w:rPr/>
        <w:t>预留形式：</w:t>
      </w:r>
      <w:r>
        <w:rPr/>
        <w:t>专门采购包预留</w:t>
      </w:r>
    </w:p>
    <w:p>
      <w:pPr>
        <w:pStyle w:val="null3"/>
        <w:jc w:val="left"/>
      </w:pPr>
      <w:r>
        <w:rPr/>
        <w:t>预留比例：</w:t>
      </w:r>
      <w:r>
        <w:rPr/>
        <w:t>100%</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信用记录要求（招标文件其他地方要求与本条款要求不一致的，以本条款要求为准）</w:t>
            </w:r>
          </w:p>
        </w:tc>
        <w:tc>
          <w:tcPr>
            <w:tcW w:type="dxa" w:w="4614"/>
          </w:tcPr>
          <w:p>
            <w:pPr>
              <w:pStyle w:val="null3"/>
              <w:jc w:val="left"/>
            </w:pPr>
            <w:r>
              <w:rPr/>
              <w:t>依据《财政部关于在政府采购活动中查询及使用信用记录有关问题的通知》财库〔2016〕125号规定及厦门市财政局《关于进一步规范供应商信用记录查询使用的通知》（厦财采〔2020〕14号）的规定执行，具体要求如下： 1、信用信息查询渠道：资格审查小组通过“信用中国”网站（www.creditchina.gov.cn）、中国政府采购网（www.ccgp.gov.cn）、“信用厦门”网站（credit.xm.gov.cn）查询所有投标人的信用信息。 2、截止时点：查询本项目投标截止时间点前三年内的信用信息。 3、查询记录和证据留存方式：资格审查小组将查询结果网页打印后随采购文件一并存档。 4、信用信息的使用规则： （1）查询结果显示存在不良信用记录（包含列入失信被执行人、重大税收违法案件当事人名单、政府采购严重违法失信行为记录名单，且相关信用惩戒期限未满及其他不符合《中华人民共和国政府采购法》第二十二条规定条件）的投标人，其资格审查不合格。（2）联合体参加政府采购活动的，资格审查小组将对所有联合体成员进行信用记录查询，联合体成员存在不良信用记录的，视同联合体存在不良信用记录，联合体资格审查不合格。（3）因查询渠道网站原因导致查无投标人信息的，不认定投标人资格审查不合格；评审结束后，通过其他渠道发现投标人存在不良信用记录的，不认定为资格审查错误，将依照有关规定进行调查处理。（4）投标人无需提供信用信息查询结果。若投标人自行提供查询结果的，仍以资格审查人员查询结果为准。</w:t>
            </w:r>
          </w:p>
        </w:tc>
      </w:tr>
      <w:tr>
        <w:tc>
          <w:tcPr>
            <w:tcW w:type="dxa" w:w="3692"/>
          </w:tcPr>
          <w:p>
            <w:pPr>
              <w:pStyle w:val="null3"/>
              <w:jc w:val="left"/>
            </w:pPr>
            <w:r>
              <w:rPr/>
              <w:t>财务状况报告、依法缴纳税收和依法缴纳社会保障资金的相关材料要求（招标文件其他地方要求与本条款要求不一致的，以本条款要求为准）</w:t>
            </w:r>
          </w:p>
        </w:tc>
        <w:tc>
          <w:tcPr>
            <w:tcW w:type="dxa" w:w="4614"/>
          </w:tcPr>
          <w:p>
            <w:pPr>
              <w:pStyle w:val="null3"/>
              <w:jc w:val="left"/>
            </w:pPr>
            <w:r>
              <w:rPr/>
              <w:t>1、根据《厦门市财政局关于进一步减轻供应商参与政府采购活动成本负担的通知》（厦财采〔2021〕5号）文件要求，本项目基本资格条件不再要求提供财务状况报告、依法缴纳税收和社会保障资金的相关证明材料，改为采取“信用承诺制”，投标人在投标文件中提供资格承诺函（格式见招标文件附件）的即可参加采购活动。 2、投标人应当遵循诚实信用原则，不得作虚假承诺。投标人承诺不实的，属于提供虚假材料谋取中标、成交，应依法承担相应的法律责任。 3、投标人可自行选择是否提供资格承诺函，若不提供资格承诺函的，应按招标文件要求提供相应的证明材料。</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厦门市无线电管理局</w:t>
      </w:r>
    </w:p>
    <w:p>
      <w:pPr>
        <w:pStyle w:val="null3"/>
        <w:ind w:firstLine="960"/>
        <w:jc w:val="left"/>
      </w:pPr>
      <w:r>
        <w:rPr/>
        <w:t xml:space="preserve"> 地址： </w:t>
      </w:r>
      <w:r>
        <w:rPr/>
        <w:t>厦门市会展南二路200号</w:t>
      </w:r>
    </w:p>
    <w:p>
      <w:pPr>
        <w:pStyle w:val="null3"/>
        <w:jc w:val="left"/>
      </w:pPr>
      <w:r>
        <w:rPr/>
        <w:t xml:space="preserve"> 邮编： </w:t>
      </w:r>
      <w:r>
        <w:rPr/>
        <w:t>361008</w:t>
      </w:r>
    </w:p>
    <w:p>
      <w:pPr>
        <w:pStyle w:val="null3"/>
        <w:jc w:val="left"/>
      </w:pPr>
      <w:r>
        <w:rPr/>
        <w:t xml:space="preserve"> 联系人： </w:t>
      </w:r>
      <w:r>
        <w:rPr/>
        <w:t>周邦文</w:t>
      </w:r>
    </w:p>
    <w:p>
      <w:pPr>
        <w:pStyle w:val="null3"/>
        <w:jc w:val="left"/>
      </w:pPr>
      <w:r>
        <w:rPr/>
        <w:t xml:space="preserve"> 联系电话： </w:t>
      </w:r>
      <w:r>
        <w:rPr/>
        <w:t>0592-5808980</w:t>
      </w:r>
    </w:p>
    <w:p>
      <w:pPr>
        <w:pStyle w:val="null3"/>
        <w:ind w:firstLine="480"/>
        <w:jc w:val="left"/>
        <w:outlineLvl w:val="2"/>
      </w:pPr>
      <w:r>
        <w:rPr>
          <w:sz w:val="28"/>
          <w:b/>
        </w:rPr>
        <w:t>12、代理机构</w:t>
      </w:r>
      <w:r>
        <w:rPr>
          <w:sz w:val="28"/>
          <w:b/>
        </w:rPr>
        <w:t>：</w:t>
      </w:r>
      <w:r>
        <w:rPr>
          <w:sz w:val="28"/>
          <w:b/>
        </w:rPr>
        <w:t>福建信发招标代理有限公司</w:t>
      </w:r>
    </w:p>
    <w:p>
      <w:pPr>
        <w:pStyle w:val="null3"/>
        <w:ind w:firstLine="960"/>
        <w:jc w:val="both"/>
      </w:pPr>
      <w:r>
        <w:rPr/>
        <w:t xml:space="preserve"> 地址： </w:t>
      </w:r>
      <w:r>
        <w:rPr/>
        <w:t>福州市鼓楼区铜盘路466-3号大自然文化创意园5号楼4层</w:t>
      </w:r>
    </w:p>
    <w:p>
      <w:pPr>
        <w:pStyle w:val="null3"/>
        <w:jc w:val="both"/>
      </w:pPr>
      <w:r>
        <w:rPr/>
        <w:t xml:space="preserve"> 邮编： </w:t>
      </w:r>
      <w:r>
        <w:rPr/>
        <w:t>350002</w:t>
      </w:r>
    </w:p>
    <w:p>
      <w:pPr>
        <w:pStyle w:val="null3"/>
        <w:jc w:val="both"/>
      </w:pPr>
      <w:r>
        <w:rPr/>
        <w:t xml:space="preserve"> 联系人： </w:t>
      </w:r>
      <w:r>
        <w:rPr/>
        <w:t>林娜、周灵珍、陈爱光</w:t>
      </w:r>
    </w:p>
    <w:p>
      <w:pPr>
        <w:pStyle w:val="null3"/>
        <w:jc w:val="both"/>
      </w:pPr>
      <w:r>
        <w:rPr/>
        <w:t xml:space="preserve"> 联系电话： </w:t>
      </w:r>
      <w:r>
        <w:rPr/>
        <w:t>0591-88002309</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福建信发招标代理有限公司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1,800,000.00</w:t>
      </w:r>
    </w:p>
    <w:p>
      <w:pPr>
        <w:pStyle w:val="null3"/>
        <w:jc w:val="left"/>
      </w:pPr>
      <w:r>
        <w:rPr/>
        <w:t>采购包最高限价（元）: 1,800,000.00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厦门市海事大楼二类固定监测站升级改造</w:t>
            </w:r>
          </w:p>
        </w:tc>
        <w:tc>
          <w:tcPr>
            <w:tcW w:type="dxa" w:w="1187"/>
          </w:tcPr>
          <w:p>
            <w:pPr>
              <w:pStyle w:val="null3"/>
              <w:jc w:val="right"/>
            </w:pPr>
            <w:r>
              <w:rPr/>
              <w:t>1.00</w:t>
            </w:r>
          </w:p>
        </w:tc>
        <w:tc>
          <w:tcPr>
            <w:tcW w:type="dxa" w:w="1187"/>
          </w:tcPr>
          <w:p>
            <w:pPr>
              <w:pStyle w:val="null3"/>
              <w:jc w:val="right"/>
            </w:pPr>
            <w:r>
              <w:rPr/>
              <w:t>1,800,000.00</w:t>
            </w:r>
          </w:p>
        </w:tc>
        <w:tc>
          <w:tcPr>
            <w:tcW w:type="dxa" w:w="1187"/>
          </w:tcPr>
          <w:p>
            <w:pPr>
              <w:pStyle w:val="null3"/>
              <w:jc w:val="left"/>
            </w:pPr>
            <w:r>
              <w:rPr/>
              <w:t>项</w:t>
            </w:r>
          </w:p>
        </w:tc>
        <w:tc>
          <w:tcPr>
            <w:tcW w:type="dxa" w:w="1187"/>
          </w:tcPr>
          <w:p>
            <w:pPr>
              <w:pStyle w:val="null3"/>
              <w:jc w:val="left"/>
            </w:pPr>
            <w:r>
              <w:rPr/>
              <w:t>工业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厦门市海事大楼二类固定监测站升级改造</w:t>
            </w:r>
          </w:p>
        </w:tc>
        <w:tc>
          <w:tcPr>
            <w:tcW w:type="dxa" w:w="554"/>
          </w:tcPr>
          <w:p>
            <w:pPr>
              <w:pStyle w:val="null3"/>
              <w:jc w:val="left"/>
            </w:pPr>
            <w:r>
              <w:rPr/>
              <w:t>批</w:t>
            </w:r>
          </w:p>
        </w:tc>
        <w:tc>
          <w:tcPr>
            <w:tcW w:type="dxa" w:w="554"/>
          </w:tcPr>
          <w:p>
            <w:pPr>
              <w:pStyle w:val="null3"/>
              <w:jc w:val="left"/>
            </w:pPr>
            <w:r>
              <w:rPr/>
              <w:t>元</w:t>
            </w:r>
          </w:p>
        </w:tc>
        <w:tc>
          <w:tcPr>
            <w:tcW w:type="dxa" w:w="1384"/>
          </w:tcPr>
          <w:p>
            <w:pPr>
              <w:pStyle w:val="null3"/>
              <w:jc w:val="right"/>
            </w:pPr>
            <w:r>
              <w:rPr/>
              <w:t>1,800,000.00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厦门市海事大楼二类固定监测站升级改造</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天馈系统</w:t>
            </w:r>
          </w:p>
        </w:tc>
        <w:tc>
          <w:tcPr>
            <w:tcW w:type="dxa" w:w="2076"/>
          </w:tcPr>
          <w:p>
            <w:pPr>
              <w:pStyle w:val="null3"/>
              <w:jc w:val="left"/>
            </w:pPr>
            <w:r>
              <w:rPr/>
              <w:t>投标人报价应包含设备的主机、附件、零备件等货物部分，还要包括可能的运输、安装、调试、培训、检测等服务。还要考虑到合同中可能出现的索赔和变更。</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w:t>
            </w:r>
          </w:p>
        </w:tc>
        <w:tc>
          <w:tcPr>
            <w:tcW w:type="dxa" w:w="2076"/>
          </w:tcPr>
          <w:p>
            <w:pPr>
              <w:pStyle w:val="null3"/>
              <w:jc w:val="left"/>
            </w:pPr>
            <w:r>
              <w:rPr/>
              <w:t>监测接收机</w:t>
            </w:r>
          </w:p>
        </w:tc>
        <w:tc>
          <w:tcPr>
            <w:tcW w:type="dxa" w:w="2076"/>
          </w:tcPr>
          <w:p>
            <w:pPr>
              <w:pStyle w:val="null3"/>
              <w:jc w:val="left"/>
            </w:pPr>
            <w:r>
              <w:rPr/>
              <w:t>投标人报价应包含设备的主机、附件、零备件等货物部分，还要包括可能的运输、安装、调试、培训、检测等服务。还要考虑到合同中可能出现的索赔和变更。</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w:t>
            </w:r>
          </w:p>
        </w:tc>
        <w:tc>
          <w:tcPr>
            <w:tcW w:type="dxa" w:w="2076"/>
          </w:tcPr>
          <w:p>
            <w:pPr>
              <w:pStyle w:val="null3"/>
              <w:jc w:val="left"/>
            </w:pPr>
            <w:r>
              <w:rPr/>
              <w:t>测向接收机</w:t>
            </w:r>
          </w:p>
        </w:tc>
        <w:tc>
          <w:tcPr>
            <w:tcW w:type="dxa" w:w="2076"/>
          </w:tcPr>
          <w:p>
            <w:pPr>
              <w:pStyle w:val="null3"/>
              <w:jc w:val="left"/>
            </w:pPr>
            <w:r>
              <w:rPr/>
              <w:t>投标人报价应包含设备的主机、附件、零备件等货物部分，还要包括可能的运输、安装、调试、培训、检测等服务。还要考虑到合同中可能出现的索赔和变更。</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4</w:t>
            </w:r>
          </w:p>
        </w:tc>
        <w:tc>
          <w:tcPr>
            <w:tcW w:type="dxa" w:w="2076"/>
          </w:tcPr>
          <w:p>
            <w:pPr>
              <w:pStyle w:val="null3"/>
              <w:jc w:val="left"/>
            </w:pPr>
            <w:r>
              <w:rPr/>
              <w:t>无线电监测测向应用软件</w:t>
            </w:r>
          </w:p>
        </w:tc>
        <w:tc>
          <w:tcPr>
            <w:tcW w:type="dxa" w:w="2076"/>
          </w:tcPr>
          <w:p>
            <w:pPr>
              <w:pStyle w:val="null3"/>
              <w:jc w:val="left"/>
            </w:pPr>
            <w:r>
              <w:rPr/>
              <w:t>投标人报价应包含设备的主机、附件、零备件等货物部分，还要包括可能的运输、安装、调试、培训、检测等服务。还要考虑到合同中可能出现的索赔和变更。</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5</w:t>
            </w:r>
          </w:p>
        </w:tc>
        <w:tc>
          <w:tcPr>
            <w:tcW w:type="dxa" w:w="2076"/>
          </w:tcPr>
          <w:p>
            <w:pPr>
              <w:pStyle w:val="null3"/>
              <w:jc w:val="left"/>
            </w:pPr>
            <w:r>
              <w:rPr/>
              <w:t>UPS（含电池组）</w:t>
            </w:r>
          </w:p>
        </w:tc>
        <w:tc>
          <w:tcPr>
            <w:tcW w:type="dxa" w:w="2076"/>
          </w:tcPr>
          <w:p>
            <w:pPr>
              <w:pStyle w:val="null3"/>
              <w:jc w:val="left"/>
            </w:pPr>
            <w:r>
              <w:rPr/>
              <w:t>投标人报价应包含设备的主机、附件、零备件等货物部分，还要包括可能的运输、安装、调试、培训、检测等服务。还要考虑到合同中可能出现的索赔和变更。</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6</w:t>
            </w:r>
          </w:p>
        </w:tc>
        <w:tc>
          <w:tcPr>
            <w:tcW w:type="dxa" w:w="2076"/>
          </w:tcPr>
          <w:p>
            <w:pPr>
              <w:pStyle w:val="null3"/>
              <w:jc w:val="left"/>
            </w:pPr>
            <w:r>
              <w:rPr/>
              <w:t>网络平台</w:t>
            </w:r>
          </w:p>
        </w:tc>
        <w:tc>
          <w:tcPr>
            <w:tcW w:type="dxa" w:w="2076"/>
          </w:tcPr>
          <w:p>
            <w:pPr>
              <w:pStyle w:val="null3"/>
              <w:jc w:val="left"/>
            </w:pPr>
            <w:r>
              <w:rPr/>
              <w:t>投标人报价应包含设备的主机、附件、零备件等货物部分，还要包括可能的运输、安装、调试、培训、检测等服务。还要考虑到合同中可能出现的索赔和变更。</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7</w:t>
            </w:r>
          </w:p>
        </w:tc>
        <w:tc>
          <w:tcPr>
            <w:tcW w:type="dxa" w:w="2076"/>
          </w:tcPr>
          <w:p>
            <w:pPr>
              <w:pStyle w:val="null3"/>
              <w:jc w:val="left"/>
            </w:pPr>
            <w:r>
              <w:rPr/>
              <w:t>集成附件</w:t>
            </w:r>
          </w:p>
        </w:tc>
        <w:tc>
          <w:tcPr>
            <w:tcW w:type="dxa" w:w="2076"/>
          </w:tcPr>
          <w:p>
            <w:pPr>
              <w:pStyle w:val="null3"/>
              <w:jc w:val="left"/>
            </w:pPr>
            <w:r>
              <w:rPr/>
              <w:t>投标人报价应包含设备的主机、附件、零备件等货物部分，还要包括可能的运输、安装、调试、培训、检测等服务。还要考虑到合同中可能出现的索赔和变更。</w:t>
            </w:r>
          </w:p>
        </w:tc>
        <w:tc>
          <w:tcPr>
            <w:tcW w:type="dxa" w:w="415"/>
          </w:tcPr>
          <w:p>
            <w:pPr>
              <w:pStyle w:val="null3"/>
              <w:jc w:val="left"/>
            </w:pPr>
            <w:r>
              <w:rPr/>
              <w:t>批</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8</w:t>
            </w:r>
          </w:p>
        </w:tc>
        <w:tc>
          <w:tcPr>
            <w:tcW w:type="dxa" w:w="2076"/>
          </w:tcPr>
          <w:p>
            <w:pPr>
              <w:pStyle w:val="null3"/>
              <w:jc w:val="left"/>
            </w:pPr>
            <w:r>
              <w:rPr/>
              <w:t>数据处理平台</w:t>
            </w:r>
          </w:p>
        </w:tc>
        <w:tc>
          <w:tcPr>
            <w:tcW w:type="dxa" w:w="2076"/>
          </w:tcPr>
          <w:p>
            <w:pPr>
              <w:pStyle w:val="null3"/>
              <w:jc w:val="left"/>
            </w:pPr>
            <w:r>
              <w:rPr/>
              <w:t>投标人报价应包含设备的主机、附件、零备件等货物部分，还要包括可能的运输、安装、调试、培训、检测等服务。还要考虑到合同中可能出现的索赔和变更。</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9</w:t>
            </w:r>
          </w:p>
        </w:tc>
        <w:tc>
          <w:tcPr>
            <w:tcW w:type="dxa" w:w="2076"/>
          </w:tcPr>
          <w:p>
            <w:pPr>
              <w:pStyle w:val="null3"/>
              <w:jc w:val="left"/>
            </w:pPr>
            <w:r>
              <w:rPr/>
              <w:t>机房/机柜及附属设施</w:t>
            </w:r>
          </w:p>
        </w:tc>
        <w:tc>
          <w:tcPr>
            <w:tcW w:type="dxa" w:w="2076"/>
          </w:tcPr>
          <w:p>
            <w:pPr>
              <w:pStyle w:val="null3"/>
              <w:jc w:val="left"/>
            </w:pPr>
            <w:r>
              <w:rPr/>
              <w:t>投标人报价应包含设备的主机、附件、零备件等货物部分，还要包括可能的运输、安装、调试、培训、检测等服务。还要考虑到合同中可能出现的索赔和变更。</w:t>
            </w:r>
          </w:p>
        </w:tc>
        <w:tc>
          <w:tcPr>
            <w:tcW w:type="dxa" w:w="415"/>
          </w:tcPr>
          <w:p>
            <w:pPr>
              <w:pStyle w:val="null3"/>
              <w:jc w:val="left"/>
            </w:pPr>
            <w:r>
              <w:rPr/>
              <w:t>批</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为方便投标人更好了解本项目的现场基础资料和背景或其它需要了解的项目具体信息，避免在报价时因理解不清而影响今后项目的实施。投标人可以自行与采购人联系、咨询项目相关信息以便获取有关编制投标文件所涉及现场的资料，所涉及的费用和风险由投标人自行承担。统一考察报名截止时间为本项目报名截止时间的第一个工作日，现场统一考察时间由采购人确定，联系人：周邦文；0592- 5808980，（各投标人如有需求可在采购人规定时间到达现场考察，考察人员需提供公司介绍信及身份证资料，现场考察后的确认书，须提供至电子投标文件中）由于投标人对招标文件要求理解不正确或误解造成的一切后果和可能增加的费用均由投标人自行负责。采购人对投标人因未咨询而造成对本项目的误解以及投标人咨询后作出的任何推论、理解和结论均不负责任。</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采购包1：3名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（1） </w:t>
            </w:r>
            <w:r>
              <w:rPr/>
              <w:t>采购人应在政府采购招投标管理办法规定的时限内确定中标人。</w:t>
            </w:r>
          </w:p>
          <w:p>
            <w:pPr>
              <w:pStyle w:val="null3"/>
              <w:jc w:val="left"/>
            </w:pPr>
            <w:r>
              <w:rPr/>
              <w:t>（2）若出现中标候选人并列情形，则按照下列方式确定中标人：</w:t>
            </w:r>
          </w:p>
          <w:p>
            <w:pPr>
              <w:pStyle w:val="null3"/>
              <w:jc w:val="left"/>
            </w:pPr>
            <w:r>
              <w:rPr/>
              <w:t>①招标文件规定的方式：</w:t>
            </w:r>
          </w:p>
          <w:p>
            <w:pPr>
              <w:pStyle w:val="null3"/>
              <w:jc w:val="left"/>
            </w:pPr>
            <w:r>
              <w:rPr/>
              <w:t>投标人评标总得分（FA）且评标价（即价格扣除后的投标报价）相同的并列，则按“技术部分”的得分从高到低排序推荐中标候选人；若投标人的评标总得分（FA）且评标价（即价格扣除后的投标报价）相同、技术部分得分也相同的，则按“商务部分”的得分从高到低排序推荐中标候选人；若投标人的评标总得分（FA）且评标价（即价格扣除后的投标报价）相同、技术部分、商务部分得分均相同的，则采取随机抽取方式确定。</w:t>
            </w:r>
          </w:p>
          <w:p>
            <w:pPr>
              <w:pStyle w:val="null3"/>
              <w:jc w:val="left"/>
            </w:pPr>
            <w:r>
              <w:rPr/>
              <w:t>②若本款第①点规定方式为“无”，则按照下列方式确定：</w:t>
            </w:r>
          </w:p>
          <w:p>
            <w:pPr>
              <w:pStyle w:val="null3"/>
              <w:jc w:val="left"/>
            </w:pPr>
            <w:r>
              <w:rPr/>
              <w:t>无</w:t>
            </w:r>
          </w:p>
          <w:p>
            <w:pPr>
              <w:pStyle w:val="null3"/>
              <w:jc w:val="left"/>
            </w:pPr>
            <w:r>
              <w:rPr/>
              <w:t>③若本款第①、②点规定方式均为“无”，则按照下列方式确定：随机抽取。</w:t>
            </w:r>
          </w:p>
          <w:p>
            <w:pPr>
              <w:pStyle w:val="null3"/>
              <w:jc w:val="left"/>
            </w:pPr>
            <w:r>
              <w:rPr/>
              <w:t>（3）本项目确定的中标人家数：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 xml:space="preserve"> （1）潜在投标人可在质疑时效期间内对招标文件以书面形式提出质疑。</w:t>
            </w:r>
          </w:p>
          <w:p>
            <w:pPr>
              <w:pStyle w:val="null3"/>
              <w:jc w:val="left"/>
            </w:pPr>
            <w:r>
              <w:rPr/>
              <w:t xml:space="preserve"> （2）质疑时效期间：应在依法获取招标文件之日起7个工作日内向 </w:t>
            </w:r>
            <w:r>
              <w:rPr/>
              <w:t>福建信发招标代理有限公司</w:t>
            </w:r>
            <w:r>
              <w:rPr/>
              <w:t xml:space="preserve"> 提出，依法获取招标文件的时间以福建省政府采购网上公开信息系统记载的为准。</w:t>
            </w:r>
          </w:p>
          <w:p>
            <w:pPr>
              <w:pStyle w:val="null3"/>
              <w:jc w:val="left"/>
            </w:pPr>
            <w:r>
              <w:rPr/>
              <w:t xml:space="preserve"> ※除上述规定外，对招标文件提出的质疑还应符合招标文件第三章第15.1条的有关规定。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厦门市采购监督管理办公室</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1）以采购包的中标金额为计算基数，按差额定率累进法计算，100万元以下（含100万元）部分费率为1.5%，100～500万元部分费率为1.1%。经评审，所有采购标的均为中小企业（含个体工商户）制造的货物（承建的工程、承接的服务），或者监狱企业提供本单位制造的货物、本单位承建的工程、本单位承接的服务；或者残疾人福利性单位提供本单位制造的货物、承担的工程或者服务（或提供其他残疾人福利性单位制造的货物），属于前述情形的，给予中标人的采购代理服务费按上述收费标准下调10%。2）代理服务费的缴纳方式：a.中标人应在领取中标通知书的同时按规定的标准一次性向采购代理机构缴清代理服务费；b.代理服务费以银行转账、电汇、汇票或现金等付款方式缴纳；3）代理服务费缴交账号：开户名：福建信发招标代理有限公司开户行：福建海峡银行鼓楼支行账号：100026211970010002。</w:t>
            </w:r>
          </w:p>
          <w:p>
            <w:pPr>
              <w:pStyle w:val="null3"/>
              <w:jc w:val="left"/>
            </w:pPr>
            <w:r>
              <w:rPr/>
              <w:t xml:space="preserve"> (2)其他：</w:t>
            </w:r>
          </w:p>
          <w:p>
            <w:pPr>
              <w:pStyle w:val="null3"/>
              <w:jc w:val="left"/>
            </w:pPr>
            <w:r>
              <w:rPr/>
              <w:t>19.1投标人必须对其投标文件中提供各种资料、说明的真实性负责。在评标过程中，如有发现投标人有为谋取中标而提供虚假资料欺骗采购人和评委的行为，将取消其中标资格，其投标保证金将不予退还。若在中标后和执行合同过程中发现其提供虚假资料的将取消其中标资格，给采购人造成损失的，还必须进行赔偿并负相关责任。评标过程中无论是否有对原件进行核实，投标人都必须对其提供各种资料、说明的真实性负责。 19.2投标人须保障采购人在使用该货物或其任何一部分时不受到第三方关于侵犯专利权、商标权或工业设计权等知识产权的指控。如果任何第三方提出侵权指控与采购人无关，投标人须与第三方交涉并承担可能发生的责任与一切费用。如采购人因此而遭致损失的，投标人应赔偿该损失。 19.3接收质疑函的方式、联系部门、联系电话和通讯地址：（1）接收质疑函原件的方式：现场方式；（2）接收质疑函的联系部门：办公室；（3）接收质疑函的联系电话：0591-88002309；（4）接收质疑函的通讯地址：福州市鼓楼区铜盘路466-3号大自然文化创意园5号楼4层福建信发招标代理有限公司。 19.4投标无效条款：1）投标有效期不符合投标人须知前附表中表1第4项号规定的；2）出现第二章投标人须知前附表中表1第11项号中规定情形的；3）出现第二章投标人须知前附表中表2投标无效规定的；4）出现第三章投标人须知第9、10.6、10.8、10.9、10.11、10.12条款中投标无效规定的；5）出现第四章资格审查与评标中投标无效规定的；6）出现第五章招标内容及要求中投标无效规定或“★”标示的内容为负偏离的；7）出现第七章投标文件格式中投标无效规定的。 19.5关于“成立年限满1年及以上的投标人，提供经审计的上一年度的年度财务报告”补充说明：经审计的上一年度的年度财务报告是指经审计的2023年度财务报告复印件。 19.6因疫情影响享受缓缴或免缴社保资金、税款的企业，无法提供相关社保、税收缴纳证明材料的，提供有关情况说明视同社保、税收缴纳证明材料提交完整。 19.7投标人出现 《福建省财政厅关于电子化政府采购项目中视为串标情形认定与处理的指导意见》（闽财购〔2018〕30号）文中规定的视为串标情形的，其投标无效。</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无</w:t>
            </w:r>
            <w:r>
              <w:rPr/>
              <w:t xml:space="preserve"> 的内容修正为下列内容：</w:t>
            </w:r>
          </w:p>
          <w:p>
            <w:pPr>
              <w:pStyle w:val="null3"/>
              <w:jc w:val="left"/>
            </w:pPr>
            <w:r>
              <w:rPr/>
              <w:t>无</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保持一致，并以投标客户端的投标（响应）报价明细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a.本项目采用“远程开标”，投标人可到开标现场，也可不到开标现场，由投标人自行决定。投标人选择到开标现场开标的，请在投标截止时间前将CA证书送达厦门市行政服务中心4层信息发布大厅指定收标窗口（具体收标窗口详见信息屏显示）。】 【b.投标人不到开标现场的，请在开标时自行登录采购系统，线上观看开标过程，并按要求在开标时段对投标文件进行远程解密、远程签章。】 【c.投标人应确保自身设施、设备、网络状况良好，提前了解熟悉远程开标流程，因投标人自身原因造成无法正常观看开标过程、远程解密或签章的，后果由投标人自行承担。】 【d.在规定的时间内正确提交电子投标文件的投标人在开标时将由系统判断签到情况，具体信息以福建省政府采购网上公开信息系统所示为准。】 【e.投标人应在远程解密开启后在规定时间（30分钟）内使用CA数字证书（应与投标文件加密时所用CA证书一致）进行投标文件的解密操作，逾期未解密的视为放弃投标。】 【f.唱标结束后，投标人可对开标结果进行签章，并在远程签章开放后5分钟内完成，逾期未签章的视同认可开标结果。】 【g.开、评标期间，投标人代表应保证采购系统中预留的联系方式畅通，以便随时接收并答复评标委员会发起的澄清等事项。】 【h.在操作过程中如有疑问请咨询技术人员（400-1612-666、0592-2858142）或采购代理机构工作人员。】 【i.本项目远程开标过程中如出现不可抗力或在3个小时内未能解决的系统及网络故障，导致远程开标无法进行的，采购人或采购代理机构根据现场情况中止开标活动，封存所有开标资料，择期重新开标，并将相关情况报同级财政部门备案。】</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福建信发招标代理有限公司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福建信发招标代理有限公司</w:t>
      </w:r>
      <w:r>
        <w:rPr/>
        <w:t xml:space="preserve"> 将在投标截止时间至少15个日历日前，在招标文件载明的指定媒体以更正公告的形式发布澄清或修改的内容。不足15个日历日的， </w:t>
      </w:r>
      <w:r>
        <w:rPr/>
        <w:t>福建信发招标代理有限公司</w:t>
      </w:r>
      <w:r>
        <w:rPr/>
        <w:t xml:space="preserve"> 将顺延投标截止时间及开标时间， </w:t>
      </w:r>
      <w:r>
        <w:rPr/>
        <w:t>福建信发招标代理有限公司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福建信发招标代理有限公司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福建信发招标代理有限公司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福建信发招标代理有限公司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福建信发招标代理有限公司</w:t>
      </w:r>
      <w:r>
        <w:rPr/>
        <w:t xml:space="preserve"> 可终止招标并发布终止公告。</w:t>
      </w:r>
    </w:p>
    <w:p>
      <w:pPr>
        <w:pStyle w:val="null3"/>
        <w:ind w:firstLine="480"/>
        <w:jc w:val="both"/>
      </w:pPr>
      <w:r>
        <w:rPr/>
        <w:t xml:space="preserve">8.2终止公告作为 </w:t>
      </w:r>
      <w:r>
        <w:rPr/>
        <w:t>福建信发招标代理有限公司</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①开标（报价）一览表</w:t>
      </w:r>
    </w:p>
    <w:p>
      <w:pPr>
        <w:pStyle w:val="null3"/>
        <w:ind w:firstLine="480"/>
        <w:jc w:val="both"/>
      </w:pPr>
      <w:r>
        <w:rPr/>
        <w:t>②投标（响应）报价明细表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福建信发招标代理有限公司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福建信发招标代理有限公司</w:t>
      </w:r>
      <w:r>
        <w:rPr/>
        <w:t xml:space="preserve"> 可于投标有效期届满之前书面要求投标人延长投标有效期，投标人应在 </w:t>
      </w:r>
      <w:r>
        <w:rPr/>
        <w:t>福建信发招标代理有限公司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福建信发招标代理有限公司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福建信发招标代理有限公司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福建信发招标代理有限公司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福建信发招标代理有限公司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福建信发招标代理有限公司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福建信发招标代理有限公司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福建信发招标代理有限公司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福建信发招标代理有限公司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福建信发招标代理有限公司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福建信发招标代理有限公司</w:t>
      </w:r>
      <w:r>
        <w:rPr/>
        <w:t xml:space="preserve"> 提出询问， </w:t>
      </w:r>
      <w:r>
        <w:rPr/>
        <w:t>福建信发招标代理有限公司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福建信发招标代理有限公司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福建信发招标代理有限公司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由福建信发招标代理有限公司派出的工作人员至少1人，</w:t>
      </w:r>
      <w:r>
        <w:rPr/>
        <w:t>其余1人可为采购人代表或福建信发招标代理有限公司的工作人员。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both"/>
      </w:pPr>
      <w:r>
        <w:rPr/>
        <w:t>②.其他资格证明文件：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信用记录要求（招标文件其他地方要求与本条款要求不一致的，以本条款要求为准）</w:t>
            </w:r>
          </w:p>
        </w:tc>
        <w:tc>
          <w:tcPr>
            <w:tcW w:type="dxa" w:w="4614"/>
          </w:tcPr>
          <w:p>
            <w:pPr>
              <w:pStyle w:val="null3"/>
              <w:jc w:val="left"/>
            </w:pPr>
            <w:r>
              <w:rPr/>
              <w:t>依据《财政部关于在政府采购活动中查询及使用信用记录有关问题的通知》财库〔2016〕125号规定及厦门市财政局《关于进一步规范供应商信用记录查询使用的通知》（厦财采〔2020〕14号）的规定执行，具体要求如下： 1、信用信息查询渠道：资格审查小组通过“信用中国”网站（www.creditchina.gov.cn）、中国政府采购网（www.ccgp.gov.cn）、“信用厦门”网站（credit.xm.gov.cn）查询所有投标人的信用信息。 2、截止时点：查询本项目投标截止时间点前三年内的信用信息。 3、查询记录和证据留存方式：资格审查小组将查询结果网页打印后随采购文件一并存档。 4、信用信息的使用规则： （1）查询结果显示存在不良信用记录（包含列入失信被执行人、重大税收违法案件当事人名单、政府采购严重违法失信行为记录名单，且相关信用惩戒期限未满及其他不符合《中华人民共和国政府采购法》第二十二条规定条件）的投标人，其资格审查不合格。（2）联合体参加政府采购活动的，资格审查小组将对所有联合体成员进行信用记录查询，联合体成员存在不良信用记录的，视同联合体存在不良信用记录，联合体资格审查不合格。（3）因查询渠道网站原因导致查无投标人信息的，不认定投标人资格审查不合格；评审结束后，通过其他渠道发现投标人存在不良信用记录的，不认定为资格审查错误，将依照有关规定进行调查处理。（4）投标人无需提供信用信息查询结果。若投标人自行提供查询结果的，仍以资格审查人员查询结果为准。</w:t>
            </w:r>
          </w:p>
        </w:tc>
      </w:tr>
      <w:tr>
        <w:tc>
          <w:tcPr>
            <w:tcW w:type="dxa" w:w="3692"/>
          </w:tcPr>
          <w:p>
            <w:pPr>
              <w:pStyle w:val="null3"/>
              <w:jc w:val="left"/>
            </w:pPr>
            <w:r>
              <w:rPr/>
              <w:t>财务状况报告、依法缴纳税收和依法缴纳社会保障资金的相关材料要求（招标文件其他地方要求与本条款要求不一致的，以本条款要求为准）</w:t>
            </w:r>
          </w:p>
        </w:tc>
        <w:tc>
          <w:tcPr>
            <w:tcW w:type="dxa" w:w="4614"/>
          </w:tcPr>
          <w:p>
            <w:pPr>
              <w:pStyle w:val="null3"/>
              <w:jc w:val="left"/>
            </w:pPr>
            <w:r>
              <w:rPr/>
              <w:t>1、根据《厦门市财政局关于进一步减轻供应商参与政府采购活动成本负担的通知》（厦财采〔2021〕5号）文件要求，本项目基本资格条件不再要求提供财务状况报告、依法缴纳税收和社会保障资金的相关证明材料，改为采取“信用承诺制”，投标人在投标文件中提供资格承诺函（格式见招标文件附件）的即可参加采购活动。 2、投标人应当遵循诚实信用原则，不得作虚假承诺。投标人承诺不实的，属于提供虚假材料谋取中标、成交，应依法承担相应的法律责任。 3、投标人可自行选择是否提供资格承诺函，若不提供资格承诺函的，应按招标文件要求提供相应的证明材料。</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投标文件的资格及资信证明部分中出现报价部分的全部或部分的投标报价信息（或组成资料）。</w:t>
            </w:r>
          </w:p>
        </w:tc>
      </w:tr>
    </w:tbl>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福建信发招标代理有限公司</w:t>
      </w:r>
      <w:r>
        <w:rPr/>
        <w:t xml:space="preserve"> 统一对外发布。</w:t>
      </w:r>
    </w:p>
    <w:p>
      <w:pPr>
        <w:pStyle w:val="null3"/>
        <w:ind w:firstLine="480"/>
        <w:jc w:val="both"/>
      </w:pPr>
      <w:r>
        <w:rPr/>
        <w:t xml:space="preserve">3、资格审查合格的投标人不足三家的，不进行评标。同时，本次采购活动结束， </w:t>
      </w:r>
      <w:r>
        <w:rPr/>
        <w:t>福建信发招标代理有限公司</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福建信发招标代理有限公司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福建信发招标代理有限公司</w:t>
      </w:r>
      <w:r>
        <w:rPr/>
        <w:t xml:space="preserve"> 统一对外发布。</w:t>
      </w:r>
    </w:p>
    <w:p>
      <w:pPr>
        <w:pStyle w:val="null3"/>
        <w:ind w:firstLine="480"/>
        <w:jc w:val="both"/>
      </w:pPr>
      <w:r>
        <w:rPr/>
        <w:t xml:space="preserve">②对 </w:t>
      </w:r>
      <w:r>
        <w:rPr/>
        <w:t>福建信发招标代理有限公司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投标文件的技术部分中出现报价部分的全部或部分的投标报价信息（或组成资料）。</w:t>
            </w:r>
          </w:p>
        </w:tc>
      </w:tr>
      <w:tr>
        <w:tc>
          <w:tcPr>
            <w:tcW w:type="dxa" w:w="4153"/>
          </w:tcPr>
          <w:p>
            <w:pPr>
              <w:pStyle w:val="null3"/>
              <w:jc w:val="left"/>
            </w:pPr>
            <w:r>
              <w:rPr/>
              <w:t>其他情形</w:t>
            </w:r>
          </w:p>
        </w:tc>
        <w:tc>
          <w:tcPr>
            <w:tcW w:type="dxa" w:w="4153"/>
          </w:tcPr>
          <w:p>
            <w:pPr>
              <w:pStyle w:val="null3"/>
              <w:jc w:val="left"/>
            </w:pPr>
            <w:r>
              <w:rPr/>
              <w:t>违反招标文件中载明“投标无效”条款的规定。</w:t>
            </w:r>
          </w:p>
        </w:tc>
      </w:tr>
      <w:tr>
        <w:tc>
          <w:tcPr>
            <w:tcW w:type="dxa" w:w="4153"/>
          </w:tcPr>
          <w:p>
            <w:pPr>
              <w:pStyle w:val="null3"/>
              <w:jc w:val="left"/>
            </w:pPr>
            <w:r>
              <w:rPr/>
              <w:t>其他情形</w:t>
            </w:r>
          </w:p>
        </w:tc>
        <w:tc>
          <w:tcPr>
            <w:tcW w:type="dxa" w:w="4153"/>
          </w:tcPr>
          <w:p>
            <w:pPr>
              <w:pStyle w:val="null3"/>
              <w:jc w:val="left"/>
            </w:pPr>
            <w:r>
              <w:rPr/>
              <w:t>属于招标文件规定评标委员会应否决其投标的情形。</w:t>
            </w:r>
          </w:p>
        </w:tc>
      </w:tr>
      <w:tr>
        <w:tc>
          <w:tcPr>
            <w:tcW w:type="dxa" w:w="4153"/>
          </w:tcPr>
          <w:p>
            <w:pPr>
              <w:pStyle w:val="null3"/>
              <w:jc w:val="left"/>
            </w:pPr>
            <w:r>
              <w:rPr/>
              <w:t>其他情形</w:t>
            </w:r>
          </w:p>
        </w:tc>
        <w:tc>
          <w:tcPr>
            <w:tcW w:type="dxa" w:w="4153"/>
          </w:tcPr>
          <w:p>
            <w:pPr>
              <w:pStyle w:val="null3"/>
              <w:jc w:val="left"/>
            </w:pPr>
            <w:r>
              <w:rPr/>
              <w:t>投标人所投产品属于国家有强制性要求的(如3C认证、信息安全产品等)，投标文件中未提供相关的证明文件或证书复印件。</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投标文件的商务部分中出现报价部分的全部或部分的投标报价信息（或组成资料）。</w:t>
            </w:r>
          </w:p>
        </w:tc>
      </w:tr>
      <w:tr>
        <w:tc>
          <w:tcPr>
            <w:tcW w:type="dxa" w:w="4153"/>
          </w:tcPr>
          <w:p>
            <w:pPr>
              <w:pStyle w:val="null3"/>
              <w:jc w:val="left"/>
            </w:pPr>
            <w:r>
              <w:rPr/>
              <w:t>其他情形</w:t>
            </w:r>
          </w:p>
        </w:tc>
        <w:tc>
          <w:tcPr>
            <w:tcW w:type="dxa" w:w="4153"/>
          </w:tcPr>
          <w:p>
            <w:pPr>
              <w:pStyle w:val="null3"/>
              <w:jc w:val="left"/>
            </w:pPr>
            <w:r>
              <w:rPr/>
              <w:t>投标人未在投标文件中完全响应招标文件第五章招标内容及要求中第“三、商务条件”全部条款的。</w:t>
            </w:r>
          </w:p>
        </w:tc>
      </w:tr>
      <w:tr>
        <w:tc>
          <w:tcPr>
            <w:tcW w:type="dxa" w:w="4153"/>
          </w:tcPr>
          <w:p>
            <w:pPr>
              <w:pStyle w:val="null3"/>
              <w:jc w:val="left"/>
            </w:pPr>
            <w:r>
              <w:rPr/>
              <w:t>其他情形</w:t>
            </w:r>
          </w:p>
        </w:tc>
        <w:tc>
          <w:tcPr>
            <w:tcW w:type="dxa" w:w="4153"/>
          </w:tcPr>
          <w:p>
            <w:pPr>
              <w:pStyle w:val="null3"/>
              <w:jc w:val="left"/>
            </w:pPr>
            <w:r>
              <w:rPr/>
              <w:t>违反招标文件中载明“投标无效”条款的规定。</w:t>
            </w:r>
          </w:p>
        </w:tc>
      </w:tr>
      <w:tr>
        <w:tc>
          <w:tcPr>
            <w:tcW w:type="dxa" w:w="4153"/>
          </w:tcPr>
          <w:p>
            <w:pPr>
              <w:pStyle w:val="null3"/>
              <w:jc w:val="left"/>
            </w:pPr>
            <w:r>
              <w:rPr/>
              <w:t>其他情形</w:t>
            </w:r>
          </w:p>
        </w:tc>
        <w:tc>
          <w:tcPr>
            <w:tcW w:type="dxa" w:w="4153"/>
          </w:tcPr>
          <w:p>
            <w:pPr>
              <w:pStyle w:val="null3"/>
              <w:jc w:val="left"/>
            </w:pPr>
            <w:r>
              <w:rPr/>
              <w:t>属于招标文件规定评标委员会应否决其投标的情形。</w:t>
            </w:r>
          </w:p>
        </w:tc>
      </w:tr>
    </w:tbl>
    <w:p>
      <w:pPr>
        <w:pStyle w:val="null3"/>
        <w:jc w:val="left"/>
      </w:pPr>
      <w:r>
        <w:rPr/>
        <w:t>附加符合性：无</w:t>
      </w:r>
    </w:p>
    <w:p>
      <w:pPr>
        <w:pStyle w:val="null3"/>
        <w:jc w:val="left"/>
      </w:pPr>
      <w:r>
        <w:rPr/>
        <w:t>价格符合性：无</w:t>
      </w:r>
    </w:p>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①开标（报价）一览表内容与电子投标文件中相应内容不一致的，以开标（报价）一览表为准；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③单价金额小数点或百分比有明显错位的，以开标（报价）一览表的总价为准，并修改单价；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福建信发招标代理有限公司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价格项（F1×A1）满分为30.0000分</w:t>
      </w:r>
    </w:p>
    <w:p>
      <w:pPr>
        <w:pStyle w:val="null3"/>
        <w:jc w:val="both"/>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t xml:space="preserve"> 项目</w:t>
            </w:r>
          </w:p>
        </w:tc>
        <w:tc>
          <w:tcPr>
            <w:tcW w:type="dxa" w:w="1661"/>
          </w:tcPr>
          <w:p>
            <w:pPr>
              <w:pStyle w:val="null3"/>
              <w:jc w:val="both"/>
            </w:pPr>
            <w:r>
              <w:rPr/>
              <w:t xml:space="preserve"> 适用对象</w:t>
            </w:r>
          </w:p>
        </w:tc>
        <w:tc>
          <w:tcPr>
            <w:tcW w:type="dxa" w:w="831"/>
          </w:tcPr>
          <w:p>
            <w:pPr>
              <w:pStyle w:val="null3"/>
              <w:jc w:val="both"/>
            </w:pPr>
            <w:r>
              <w:rPr/>
              <w:t xml:space="preserve"> 比例</w:t>
            </w:r>
          </w:p>
        </w:tc>
        <w:tc>
          <w:tcPr>
            <w:tcW w:type="dxa" w:w="4153"/>
          </w:tcPr>
          <w:p>
            <w:pPr>
              <w:pStyle w:val="null3"/>
              <w:jc w:val="both"/>
            </w:pPr>
            <w:r>
              <w:rPr/>
              <w:t xml:space="preserve"> 描述</w:t>
            </w:r>
          </w:p>
        </w:tc>
      </w:tr>
    </w:tbl>
    <w:p>
      <w:pPr>
        <w:pStyle w:val="null3"/>
        <w:jc w:val="both"/>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both"/>
            </w:pPr>
            <w:r>
              <w:rPr/>
              <w:t xml:space="preserve"> 项目</w:t>
            </w:r>
          </w:p>
        </w:tc>
        <w:tc>
          <w:tcPr>
            <w:tcW w:type="dxa" w:w="1038"/>
          </w:tcPr>
          <w:p>
            <w:pPr>
              <w:pStyle w:val="null3"/>
              <w:jc w:val="both"/>
            </w:pPr>
            <w:r>
              <w:rPr/>
              <w:t xml:space="preserve"> 比例</w:t>
            </w:r>
          </w:p>
        </w:tc>
        <w:tc>
          <w:tcPr>
            <w:tcW w:type="dxa" w:w="5191"/>
          </w:tcPr>
          <w:p>
            <w:pPr>
              <w:pStyle w:val="null3"/>
              <w:jc w:val="both"/>
            </w:pPr>
            <w:r>
              <w:rPr/>
              <w:t xml:space="preserve"> 方法</w:t>
            </w:r>
          </w:p>
        </w:tc>
      </w:tr>
      <w:tr>
        <w:tc>
          <w:tcPr>
            <w:tcW w:type="dxa" w:w="2076"/>
          </w:tcPr>
          <w:p>
            <w:pPr>
              <w:pStyle w:val="null3"/>
              <w:jc w:val="both"/>
            </w:pPr>
            <w:r>
              <w:rPr/>
              <w:t>节能、环境标志产品</w:t>
            </w:r>
          </w:p>
        </w:tc>
        <w:tc>
          <w:tcPr>
            <w:tcW w:type="dxa" w:w="1038"/>
          </w:tcPr>
          <w:p>
            <w:pPr>
              <w:pStyle w:val="null3"/>
              <w:jc w:val="right"/>
            </w:pPr>
            <w:r>
              <w:rPr/>
              <w:t>10.0000%</w:t>
            </w:r>
          </w:p>
        </w:tc>
        <w:tc>
          <w:tcPr>
            <w:tcW w:type="dxa" w:w="5191"/>
          </w:tcPr>
          <w:p>
            <w:pPr>
              <w:pStyle w:val="null3"/>
              <w:jc w:val="both"/>
            </w:pPr>
            <w:r>
              <w:rPr/>
              <w:t>根据《福建省财政厅关于加强政府绿色采购工作的通知》（闽财规〔2024〕3号）文件，本采购包给予节能、环境标志产品每个单项报价10%的价格扣除。注：①节能产品是指财政部、发展改革委最新公布的《节能产品政府采购品目清单》内且获得国家确定的认证机构出具的、处于有效期之内的产品认证证书的产品；环境标志产品是指生态环境部和财政部最新公布的《环境标志产品政府采购品目清单》内且获得国家确定的认证机构出具的、处于有效期之内的产品认证证书的产品；②同一采购包内的节能、环境标志产品部分价格扣除只对属于清单内的非强制类产品进行价格扣除，强制类产品不给予价格扣除。③若同一采购包内的节能、环境标志产品仅是构成报价产品的部件、组件或零件的，则不给予价格扣除。获得上述认证的产品在报价时应提供有效证明材料）。同一品目中各认证证书不重复计算价格扣除。属于政府强制采购的节能产品不享受价格扣除。④投标人在报价时必须对节能（非强制类产品）、环境标志产品单独分项报价，并于投标文件中提供属于节能（非强制类产品）、环境标志产品的证明资料（国家确定的认证机构出具的、处于有效期之内的产品认证证书复印件）。</w:t>
            </w:r>
          </w:p>
        </w:tc>
      </w:tr>
    </w:tbl>
    <w:p>
      <w:pPr>
        <w:pStyle w:val="null3"/>
        <w:jc w:val="both"/>
      </w:pPr>
      <w:r>
        <w:rPr/>
        <w:t>其他：无</w:t>
      </w:r>
    </w:p>
    <w:p>
      <w:pPr>
        <w:pStyle w:val="null3"/>
        <w:jc w:val="both"/>
      </w:pPr>
      <w:r>
        <w:rPr/>
        <w:t>技术项（F2×A2）满分为55.0000分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1、固定监测站监测功能</w:t>
            </w:r>
          </w:p>
        </w:tc>
        <w:tc>
          <w:tcPr>
            <w:tcW w:type="dxa" w:w="831"/>
          </w:tcPr>
          <w:p>
            <w:pPr>
              <w:pStyle w:val="null3"/>
              <w:jc w:val="right"/>
            </w:pPr>
            <w:r>
              <w:rPr/>
              <w:t>16.0000</w:t>
            </w:r>
          </w:p>
        </w:tc>
        <w:tc>
          <w:tcPr>
            <w:tcW w:type="dxa" w:w="4153"/>
          </w:tcPr>
          <w:p>
            <w:pPr>
              <w:pStyle w:val="null3"/>
              <w:jc w:val="both"/>
            </w:pPr>
            <w:r>
              <w:rPr/>
              <w:t>根据投标人所投货物技术性能对招标文件“第五章招标内容及要求 二、技术和服务要求（二）固定站基础功能具体要求”中标注“▲”符号的技术要求（共8项）逐项响应情况由评委进行评分，完全满足的得16分，每有一项不满足扣2分。 注：以上内容投标人需提供第三方测试合格报告扫描件或操作界面功能截图予以证明。以“★”标示的内容为不允许负偏离的实质性要求，如有负偏离，按投标无效处理。</w:t>
            </w:r>
          </w:p>
        </w:tc>
      </w:tr>
      <w:tr>
        <w:tc>
          <w:tcPr>
            <w:tcW w:type="dxa" w:w="3322"/>
          </w:tcPr>
          <w:p>
            <w:pPr>
              <w:pStyle w:val="null3"/>
              <w:jc w:val="both"/>
            </w:pPr>
            <w:r>
              <w:rPr/>
              <w:t>2、固定监测站专用监测功能</w:t>
            </w:r>
          </w:p>
        </w:tc>
        <w:tc>
          <w:tcPr>
            <w:tcW w:type="dxa" w:w="831"/>
          </w:tcPr>
          <w:p>
            <w:pPr>
              <w:pStyle w:val="null3"/>
              <w:jc w:val="right"/>
            </w:pPr>
            <w:r>
              <w:rPr/>
              <w:t>3.0000</w:t>
            </w:r>
          </w:p>
        </w:tc>
        <w:tc>
          <w:tcPr>
            <w:tcW w:type="dxa" w:w="4153"/>
          </w:tcPr>
          <w:p>
            <w:pPr>
              <w:pStyle w:val="null3"/>
              <w:jc w:val="both"/>
            </w:pPr>
            <w:r>
              <w:rPr/>
              <w:t>评委根据投标人升级固定监测站提供的专用监测功能进行评分。 ①公众移动及不明基站监测：能对公众移动通信（2G/3G/4G/5G）信号进行解码，并识别伪基站和不明基站。 ②多路窄带信号监听：可用于同时进行至少32路的信道侦测，对多进行声音、IQ、电平、频谱进行测量。 ③数字对讲机解调：支持DMR、NXDN、DPMR、PDT、TETRA主流数字对讲标准通信协议解析支持DMR、NXDN、DPMR、PDT、TETRA主流数字对讲标准通信协议解析。 ④ADS-B信号识别与分析：具备ADS-B信号识别与分析功能，既能获取飞行航线轨迹信息，包括飞行器的经度、纬度、高度、速度、航向等信息。 ⑤信号解调识别与分析：可以针对扫描的信号进行调制方式识别和分析，包括AM、FM、CW、ASK、PSK、DPSK、QAM、FSK、MSK 等。 ⑥频谱使用评估数据采集：可进行频谱评估的固定站数据采集，能同时对多个站进行采集控制。采集数据符合国家频谱使用评估格式。 每符合一项得0.5分，满分3.0分。注：需提供第三方检测报告扫描件或操作界面功能截图予以证明。投标人所提供的证明材料与投标响应情况（承诺）不一致时，以证明材料为准。（投标人可在其提供的证明材料上以划线等方式注明对应的技术参数，以利评委审阅）</w:t>
            </w:r>
          </w:p>
        </w:tc>
      </w:tr>
      <w:tr>
        <w:tc>
          <w:tcPr>
            <w:tcW w:type="dxa" w:w="3322"/>
          </w:tcPr>
          <w:p>
            <w:pPr>
              <w:pStyle w:val="null3"/>
              <w:jc w:val="both"/>
            </w:pPr>
            <w:r>
              <w:rPr/>
              <w:t>3、偶发信号回放</w:t>
            </w:r>
          </w:p>
        </w:tc>
        <w:tc>
          <w:tcPr>
            <w:tcW w:type="dxa" w:w="831"/>
          </w:tcPr>
          <w:p>
            <w:pPr>
              <w:pStyle w:val="null3"/>
              <w:jc w:val="right"/>
            </w:pPr>
            <w:r>
              <w:rPr/>
              <w:t>1.0000</w:t>
            </w:r>
          </w:p>
        </w:tc>
        <w:tc>
          <w:tcPr>
            <w:tcW w:type="dxa" w:w="4153"/>
          </w:tcPr>
          <w:p>
            <w:pPr>
              <w:pStyle w:val="null3"/>
              <w:jc w:val="both"/>
            </w:pPr>
            <w:r>
              <w:rPr/>
              <w:t>能对不少于24小时内出现的偶发信号进行回放，显示信号的幅度和示向度及信号出现时间的得1分。 以上内容投标人需提供第三方测试合格报告扫描件或操作界面功能截图予以证明。（投标人可在其提供的证明材料上以划线等方式注明对应的技术参数，以利评委审阅）</w:t>
            </w:r>
          </w:p>
        </w:tc>
      </w:tr>
      <w:tr>
        <w:tc>
          <w:tcPr>
            <w:tcW w:type="dxa" w:w="3322"/>
          </w:tcPr>
          <w:p>
            <w:pPr>
              <w:pStyle w:val="null3"/>
              <w:jc w:val="both"/>
            </w:pPr>
            <w:r>
              <w:rPr/>
              <w:t>4、射频前端预选器</w:t>
            </w:r>
          </w:p>
        </w:tc>
        <w:tc>
          <w:tcPr>
            <w:tcW w:type="dxa" w:w="831"/>
          </w:tcPr>
          <w:p>
            <w:pPr>
              <w:pStyle w:val="null3"/>
              <w:jc w:val="right"/>
            </w:pPr>
            <w:r>
              <w:rPr/>
              <w:t>3.0000</w:t>
            </w:r>
          </w:p>
        </w:tc>
        <w:tc>
          <w:tcPr>
            <w:tcW w:type="dxa" w:w="4153"/>
          </w:tcPr>
          <w:p>
            <w:pPr>
              <w:pStyle w:val="null3"/>
              <w:jc w:val="both"/>
            </w:pPr>
            <w:r>
              <w:rPr/>
              <w:t>对投标人提供接收机的射频前端预选器进行评分：接收机射频前端预选滤波器包括 ①低通滤波器； ②高通滤波器； ③带通滤波器。 每满足一项得1分，满分3分。投标人需提供所投设备的产品手册扫描件进行佐证，未提供的不得分。（投标人可在其提供的证明材料上以划线等方式注明对应的技术参数，以利评委审阅）</w:t>
            </w:r>
          </w:p>
        </w:tc>
      </w:tr>
      <w:tr>
        <w:tc>
          <w:tcPr>
            <w:tcW w:type="dxa" w:w="3322"/>
          </w:tcPr>
          <w:p>
            <w:pPr>
              <w:pStyle w:val="null3"/>
              <w:jc w:val="both"/>
            </w:pPr>
            <w:r>
              <w:rPr/>
              <w:t>5、测向准确度（测向精度）</w:t>
            </w:r>
          </w:p>
        </w:tc>
        <w:tc>
          <w:tcPr>
            <w:tcW w:type="dxa" w:w="831"/>
          </w:tcPr>
          <w:p>
            <w:pPr>
              <w:pStyle w:val="null3"/>
              <w:jc w:val="right"/>
            </w:pPr>
            <w:r>
              <w:rPr/>
              <w:t>2.0000</w:t>
            </w:r>
          </w:p>
        </w:tc>
        <w:tc>
          <w:tcPr>
            <w:tcW w:type="dxa" w:w="4153"/>
          </w:tcPr>
          <w:p>
            <w:pPr>
              <w:pStyle w:val="null3"/>
              <w:jc w:val="both"/>
            </w:pPr>
            <w:r>
              <w:rPr/>
              <w:t>根据投标人所投监测测向系统的测向准确度（测向精度）进行评分，测向准确度（测向精度）的检测项目必须在第三方检测机构的CMA或CNAS的授权范围内，投标人提供检测报告中的技术标准依据为GB/T34089-2017《VHF/UHF无线电监测测向系统开场测试参数和测试方法》、YD/T 3811-2020《3GHz~12.75GHz 频段无线电测向系统测试方法》，否则不予认可： ①测向准确度（测向精度）≤1.5°（30MHz-8GHz，R.M.S，无反射环境），（垂直极化）； ②测向准确度（测向精度）≤1.5°（30MHz-8GHz，R.M.S，无反射环境），（水平极化）； 同时满足2项的得2分，仅满足1项的得1分，不满足不得分。 注：需提供具有CMA或CNAS资质的第三方检测机构出具的检测报告扫描件予以证明。投标人所提供的证明材料与投标响应情况（承诺）不一致时，以证明材料为准。（投标人可在其提供的证明材料上以划线等方式注明对应的技术参数及检测结论，以利评委审阅）。</w:t>
            </w:r>
          </w:p>
        </w:tc>
      </w:tr>
      <w:tr>
        <w:tc>
          <w:tcPr>
            <w:tcW w:type="dxa" w:w="3322"/>
          </w:tcPr>
          <w:p>
            <w:pPr>
              <w:pStyle w:val="null3"/>
              <w:jc w:val="both"/>
            </w:pPr>
            <w:r>
              <w:rPr/>
              <w:t>6、监测测向天线环境适应性</w:t>
            </w:r>
          </w:p>
        </w:tc>
        <w:tc>
          <w:tcPr>
            <w:tcW w:type="dxa" w:w="831"/>
          </w:tcPr>
          <w:p>
            <w:pPr>
              <w:pStyle w:val="null3"/>
              <w:jc w:val="right"/>
            </w:pPr>
            <w:r>
              <w:rPr/>
              <w:t>3.0000</w:t>
            </w:r>
          </w:p>
        </w:tc>
        <w:tc>
          <w:tcPr>
            <w:tcW w:type="dxa" w:w="4153"/>
          </w:tcPr>
          <w:p>
            <w:pPr>
              <w:pStyle w:val="null3"/>
              <w:jc w:val="both"/>
            </w:pPr>
            <w:r>
              <w:rPr/>
              <w:t>对投标人提供的室外监测测向天线的环境适应性进行评审： ①依据GB/T4208试验满足IP66防护等级（或以上）且提供测试报告的，得1分，不满足或不提供的不得分； ②依据GJB150A通过高温、低温、相对湿度（湿热）、大气压力、盐雾共5个环境试验项目的，每提供1项得0.4分，满分2.0分。 注：需提供具有CMA或CNAS资质的第三方检测机构出具的检测报告扫描件予以证明。投标人所提供的证明材料与投标响应情况（承诺）不一致时，以证明材料为准。（投标人可在其提供的证明材料上以划线等方式注明对应的技术参数，以利评委审阅）</w:t>
            </w:r>
          </w:p>
        </w:tc>
      </w:tr>
      <w:tr>
        <w:tc>
          <w:tcPr>
            <w:tcW w:type="dxa" w:w="3322"/>
          </w:tcPr>
          <w:p>
            <w:pPr>
              <w:pStyle w:val="null3"/>
              <w:jc w:val="both"/>
            </w:pPr>
            <w:r>
              <w:rPr/>
              <w:t>7、监测测向天线垂直和水平极化切换能力</w:t>
            </w:r>
          </w:p>
        </w:tc>
        <w:tc>
          <w:tcPr>
            <w:tcW w:type="dxa" w:w="831"/>
          </w:tcPr>
          <w:p>
            <w:pPr>
              <w:pStyle w:val="null3"/>
              <w:jc w:val="right"/>
            </w:pPr>
            <w:r>
              <w:rPr/>
              <w:t>3.0000</w:t>
            </w:r>
          </w:p>
        </w:tc>
        <w:tc>
          <w:tcPr>
            <w:tcW w:type="dxa" w:w="4153"/>
          </w:tcPr>
          <w:p>
            <w:pPr>
              <w:pStyle w:val="null3"/>
              <w:jc w:val="both"/>
            </w:pPr>
            <w:r>
              <w:rPr/>
              <w:t>根据投标人提供的监测测向天线进行评分： ①监测测向天线具备20MHz~1300MHz频率范围内实现垂直和水平双极化； ②监测测向天线具备20MHz~6000MHz频率范围内实现垂直和水平双极化； ③监测测向天线具备20MHz~8000MHz频率范围内实现垂直和水平双极化； 满足要求①的得1分，满足②的得2分，满足③的得3分，否则不得分。注：需提供具有CMA或CNAS资质的第三方检测机构出具的检测报告扫描件予以证明，否则不得分；投标人所提供的证明材料与投标响应情况（承诺）不一致时，以证明材料为准。（投标人可在其提供的证明材料上以划线等方式注明对应的技术参数，以利评委审阅）</w:t>
            </w:r>
          </w:p>
        </w:tc>
      </w:tr>
      <w:tr>
        <w:tc>
          <w:tcPr>
            <w:tcW w:type="dxa" w:w="3322"/>
          </w:tcPr>
          <w:p>
            <w:pPr>
              <w:pStyle w:val="null3"/>
              <w:jc w:val="both"/>
            </w:pPr>
            <w:r>
              <w:rPr/>
              <w:t>8、监测测向天线有源无源切换能力</w:t>
            </w:r>
          </w:p>
        </w:tc>
        <w:tc>
          <w:tcPr>
            <w:tcW w:type="dxa" w:w="831"/>
          </w:tcPr>
          <w:p>
            <w:pPr>
              <w:pStyle w:val="null3"/>
              <w:jc w:val="right"/>
            </w:pPr>
            <w:r>
              <w:rPr/>
              <w:t>2.0000</w:t>
            </w:r>
          </w:p>
        </w:tc>
        <w:tc>
          <w:tcPr>
            <w:tcW w:type="dxa" w:w="4153"/>
          </w:tcPr>
          <w:p>
            <w:pPr>
              <w:pStyle w:val="null3"/>
              <w:jc w:val="both"/>
            </w:pPr>
            <w:r>
              <w:rPr/>
              <w:t>对投标人提供的监测测向天线进行评分：监测测向天线在20MHz-1.3GHz具备有源无源可切换，得2分，不具备的得分。 注：需提供具有CMA或CNAS资质的第三方检测机构出具的检测报告扫描件予以证明。（投标人可在其提供的证明材料上以划线等方式注明对应的技术参数，以利评委审阅）</w:t>
            </w:r>
          </w:p>
        </w:tc>
      </w:tr>
      <w:tr>
        <w:tc>
          <w:tcPr>
            <w:tcW w:type="dxa" w:w="3322"/>
          </w:tcPr>
          <w:p>
            <w:pPr>
              <w:pStyle w:val="null3"/>
              <w:jc w:val="both"/>
            </w:pPr>
            <w:r>
              <w:rPr/>
              <w:t>9、监测接收机测量能力</w:t>
            </w:r>
          </w:p>
        </w:tc>
        <w:tc>
          <w:tcPr>
            <w:tcW w:type="dxa" w:w="831"/>
          </w:tcPr>
          <w:p>
            <w:pPr>
              <w:pStyle w:val="null3"/>
              <w:jc w:val="right"/>
            </w:pPr>
            <w:r>
              <w:rPr/>
              <w:t>2.0000</w:t>
            </w:r>
          </w:p>
        </w:tc>
        <w:tc>
          <w:tcPr>
            <w:tcW w:type="dxa" w:w="4153"/>
          </w:tcPr>
          <w:p>
            <w:pPr>
              <w:pStyle w:val="null3"/>
              <w:jc w:val="both"/>
            </w:pPr>
            <w:r>
              <w:rPr/>
              <w:t>对投标人提供的接收机测量功能进行评分： ①信号测量能力，具备平均值检波器和FFT检波器，FFT检波器包含有自动、平均、正峰值和负峰值检波器； ②具备射频前端衰减器，接收机具备内置可手动及自动调节衰减器≥40dB，步进可调； 同时满足①②两项功能要求的得2分，只满足1项的得1分，全部不满足的不得分。 注：需提供具有CMA或CNAS资质的第三方检测机构出具的检测报告扫描件予以证明。（投标人可在其提供的证明材料上以划线等方式注明对应的技术参数，以利评委审阅）</w:t>
            </w:r>
          </w:p>
        </w:tc>
      </w:tr>
      <w:tr>
        <w:tc>
          <w:tcPr>
            <w:tcW w:type="dxa" w:w="3322"/>
          </w:tcPr>
          <w:p>
            <w:pPr>
              <w:pStyle w:val="null3"/>
              <w:jc w:val="both"/>
            </w:pPr>
            <w:r>
              <w:rPr/>
              <w:t>10、监测接收机信号记录</w:t>
            </w:r>
          </w:p>
        </w:tc>
        <w:tc>
          <w:tcPr>
            <w:tcW w:type="dxa" w:w="831"/>
          </w:tcPr>
          <w:p>
            <w:pPr>
              <w:pStyle w:val="null3"/>
              <w:jc w:val="right"/>
            </w:pPr>
            <w:r>
              <w:rPr/>
              <w:t>2.0000</w:t>
            </w:r>
          </w:p>
        </w:tc>
        <w:tc>
          <w:tcPr>
            <w:tcW w:type="dxa" w:w="4153"/>
          </w:tcPr>
          <w:p>
            <w:pPr>
              <w:pStyle w:val="null3"/>
              <w:jc w:val="both"/>
            </w:pPr>
            <w:r>
              <w:rPr/>
              <w:t>对投标人提供的接收机信号记录功能进行评分： 具备信号I/Q数据记录功能，具备至少两路独立中频通路架构，在中频频谱监测同时可记录I/Q数据。 满足功能要求的得2分，不满足的不得分。 注：需提供具有CMA或CNAS资质的第三方检测机构出具的检测报告扫描件予以证明。（投标人可在其提供的证明材料上以划线等方式注明对应的技术参数，以利评委审阅）</w:t>
            </w:r>
          </w:p>
        </w:tc>
      </w:tr>
      <w:tr>
        <w:tc>
          <w:tcPr>
            <w:tcW w:type="dxa" w:w="3322"/>
          </w:tcPr>
          <w:p>
            <w:pPr>
              <w:pStyle w:val="null3"/>
              <w:jc w:val="both"/>
            </w:pPr>
            <w:r>
              <w:rPr/>
              <w:t>11、监测接收机信号捕获能力</w:t>
            </w:r>
          </w:p>
        </w:tc>
        <w:tc>
          <w:tcPr>
            <w:tcW w:type="dxa" w:w="831"/>
          </w:tcPr>
          <w:p>
            <w:pPr>
              <w:pStyle w:val="null3"/>
              <w:jc w:val="right"/>
            </w:pPr>
            <w:r>
              <w:rPr/>
              <w:t>3.0000</w:t>
            </w:r>
          </w:p>
        </w:tc>
        <w:tc>
          <w:tcPr>
            <w:tcW w:type="dxa" w:w="4153"/>
          </w:tcPr>
          <w:p>
            <w:pPr>
              <w:pStyle w:val="null3"/>
              <w:jc w:val="both"/>
            </w:pPr>
            <w:r>
              <w:rPr/>
              <w:t>投标人所投接收机具备对不同脉宽的短时信号频率和电平监测能力POI（100%最短信号截获时长）参数由评委进行评议并评分： 监测系统能够捕获到周期为100ms的短时脉宽信号(测量值与射频信号功率误差≤3dB) 捕获25μs脉宽信号得1分； 捕获5μs脉宽信号得2分； 捕获1μs脉宽信号得3分。 投标人需提供具有CMA或CNAS资质的第三方检测机构出具的检测报告扫描件予以证明，否则不得分；投标人所提供的证明材料与投标响应情况（承诺）不一致时，以证明材料为准。（投标人可在其提供的证明材料上以划线等方式注明对应的技术参数，以利评委审阅）</w:t>
            </w:r>
          </w:p>
        </w:tc>
      </w:tr>
      <w:tr>
        <w:tc>
          <w:tcPr>
            <w:tcW w:type="dxa" w:w="3322"/>
          </w:tcPr>
          <w:p>
            <w:pPr>
              <w:pStyle w:val="null3"/>
              <w:jc w:val="both"/>
            </w:pPr>
            <w:r>
              <w:rPr/>
              <w:t>12、监测接收机信号回溯能力</w:t>
            </w:r>
          </w:p>
        </w:tc>
        <w:tc>
          <w:tcPr>
            <w:tcW w:type="dxa" w:w="831"/>
          </w:tcPr>
          <w:p>
            <w:pPr>
              <w:pStyle w:val="null3"/>
              <w:jc w:val="right"/>
            </w:pPr>
            <w:r>
              <w:rPr/>
              <w:t>3.0000</w:t>
            </w:r>
          </w:p>
        </w:tc>
        <w:tc>
          <w:tcPr>
            <w:tcW w:type="dxa" w:w="4153"/>
          </w:tcPr>
          <w:p>
            <w:pPr>
              <w:pStyle w:val="null3"/>
              <w:jc w:val="both"/>
            </w:pPr>
            <w:r>
              <w:rPr/>
              <w:t>对投标人提供的接收机实时历史频谱信号回溯功能进行评分： 满足对瞬态、跳频信号的测量需求， 可回溯时长不少于30s且可以不高于1ms步进回放查看的，得1分； 可回溯时长不少于30s且可以不高于500μs步进回放查看的，得2分； 可回溯时长不少于30s且可以不高于100μs步进回放查看的，得3分；否则不得分。 投标人需提供具有CMA或CNAS资质的第三方检测机构出具的检测报告扫描件予以证明,否则不得分；投标人所提供的证明材料与投标响应情况（承诺）不一致时，以证明材料为准。（投标人可在其提供的证明材料上以划线等方式注明对应的技术参数，以利评委审阅）</w:t>
            </w:r>
          </w:p>
        </w:tc>
      </w:tr>
      <w:tr>
        <w:tc>
          <w:tcPr>
            <w:tcW w:type="dxa" w:w="3322"/>
          </w:tcPr>
          <w:p>
            <w:pPr>
              <w:pStyle w:val="null3"/>
              <w:jc w:val="both"/>
            </w:pPr>
            <w:r>
              <w:rPr/>
              <w:t>13、站点防雷</w:t>
            </w:r>
          </w:p>
        </w:tc>
        <w:tc>
          <w:tcPr>
            <w:tcW w:type="dxa" w:w="831"/>
          </w:tcPr>
          <w:p>
            <w:pPr>
              <w:pStyle w:val="null3"/>
              <w:jc w:val="right"/>
            </w:pPr>
            <w:r>
              <w:rPr/>
              <w:t>2.0000</w:t>
            </w:r>
          </w:p>
        </w:tc>
        <w:tc>
          <w:tcPr>
            <w:tcW w:type="dxa" w:w="4153"/>
          </w:tcPr>
          <w:p>
            <w:pPr>
              <w:pStyle w:val="null3"/>
              <w:jc w:val="both"/>
            </w:pPr>
            <w:r>
              <w:rPr/>
              <w:t>对站点提供的防雷设施进行评价 ①天线直击雷防护保护设备：雷电保护等级不低于Ⅱ级（150 kA）； ②防雷系统：避雷器，包括雷电感应防护、防雷接地等符合固定监测站建设规范。 同时满足①②两项功能要求的得2分，只满足1项的得1分，全部不满足的不得分。 注：需提供具有CMA或CNAS资质的第三方检测机构出具的检测报告扫描件予以证明。（投标人可在其提供的证明材料上以划线等方式注明对应的技术参数，以利评委审阅）</w:t>
            </w:r>
          </w:p>
        </w:tc>
      </w:tr>
      <w:tr>
        <w:tc>
          <w:tcPr>
            <w:tcW w:type="dxa" w:w="3322"/>
          </w:tcPr>
          <w:p>
            <w:pPr>
              <w:pStyle w:val="null3"/>
              <w:jc w:val="both"/>
            </w:pPr>
            <w:r>
              <w:rPr/>
              <w:t>14、数据处理平台与网络平台</w:t>
            </w:r>
          </w:p>
        </w:tc>
        <w:tc>
          <w:tcPr>
            <w:tcW w:type="dxa" w:w="831"/>
          </w:tcPr>
          <w:p>
            <w:pPr>
              <w:pStyle w:val="null3"/>
              <w:jc w:val="right"/>
            </w:pPr>
            <w:r>
              <w:rPr/>
              <w:t>2.0000</w:t>
            </w:r>
          </w:p>
        </w:tc>
        <w:tc>
          <w:tcPr>
            <w:tcW w:type="dxa" w:w="4153"/>
          </w:tcPr>
          <w:p>
            <w:pPr>
              <w:pStyle w:val="null3"/>
              <w:jc w:val="both"/>
            </w:pPr>
            <w:r>
              <w:rPr/>
              <w:t>①数据处理平台要求：投标人提供不低于处理器8核心16线程2.4G主频14纳米制作工艺/内存32G/硬盘10TB； ②网络平台要求：传输速率：100/1000Mbps；端口数量：不少于16口；背板带宽：不低于32Gbps；包转发率：不低于23.8Mpps； 同时满足①②两项功能要求的得2分，只满足1项的得1分，全部不满足的不得分。需提供产品手册扫描件佐证。（投标人可在其提供的证明材料上以划线等方式注明对应的技术参数，以利评委审阅）</w:t>
            </w:r>
          </w:p>
        </w:tc>
      </w:tr>
      <w:tr>
        <w:tc>
          <w:tcPr>
            <w:tcW w:type="dxa" w:w="3322"/>
          </w:tcPr>
          <w:p>
            <w:pPr>
              <w:pStyle w:val="null3"/>
              <w:jc w:val="both"/>
            </w:pPr>
            <w:r>
              <w:rPr/>
              <w:t>15、机房动力系统</w:t>
            </w:r>
          </w:p>
        </w:tc>
        <w:tc>
          <w:tcPr>
            <w:tcW w:type="dxa" w:w="831"/>
          </w:tcPr>
          <w:p>
            <w:pPr>
              <w:pStyle w:val="null3"/>
              <w:jc w:val="right"/>
            </w:pPr>
            <w:r>
              <w:rPr/>
              <w:t>2.0000</w:t>
            </w:r>
          </w:p>
        </w:tc>
        <w:tc>
          <w:tcPr>
            <w:tcW w:type="dxa" w:w="4153"/>
          </w:tcPr>
          <w:p>
            <w:pPr>
              <w:pStyle w:val="null3"/>
              <w:jc w:val="both"/>
            </w:pPr>
            <w:r>
              <w:rPr/>
              <w:t>①电源系统包括正常情况下市电供电和断电情况下供电。正常情况系统采用市电供电，为保证设备在突然断电的情况下继续使用，系统配备2000VA UPS电源及48V铅酸电池组，保证在市电停电的情况下，固定监测站连续工作时间不少于8小时。监测系统能在电池电量低时及时报警，并在电量不足时提前自动关机，在电池电量未耗尽时来电后自动启动。 ②提供交流稳压器：输入电压：160-250VAC；输入频率：40～60Hz；输出电压：220V±2%AC；输出波形：正弦波。 同时满足①②两项功能要求的得2分，只满足1项的得1分，全部不满足的不得分。投标人需提供所投设备产品手册作为佐证，否则不得分；投标人所提供的证明材料与投标响应情况（承诺）不一致时，以证明材料为准。（投标人可在其提供的证明材料上以划线等方式注明对应的技术参数，以利评委审阅。</w:t>
            </w:r>
          </w:p>
        </w:tc>
      </w:tr>
      <w:tr>
        <w:tc>
          <w:tcPr>
            <w:tcW w:type="dxa" w:w="3322"/>
          </w:tcPr>
          <w:p>
            <w:pPr>
              <w:pStyle w:val="null3"/>
              <w:jc w:val="both"/>
            </w:pPr>
            <w:r>
              <w:rPr/>
              <w:t>16、站点勘察</w:t>
            </w:r>
          </w:p>
        </w:tc>
        <w:tc>
          <w:tcPr>
            <w:tcW w:type="dxa" w:w="831"/>
          </w:tcPr>
          <w:p>
            <w:pPr>
              <w:pStyle w:val="null3"/>
              <w:jc w:val="right"/>
            </w:pPr>
            <w:r>
              <w:rPr/>
              <w:t>3.0000</w:t>
            </w:r>
          </w:p>
        </w:tc>
        <w:tc>
          <w:tcPr>
            <w:tcW w:type="dxa" w:w="4153"/>
          </w:tcPr>
          <w:p>
            <w:pPr>
              <w:pStyle w:val="null3"/>
              <w:jc w:val="both"/>
            </w:pPr>
            <w:r>
              <w:rPr/>
              <w:t>投标人应事先勘察本项目站点，提供详细的现场勘察报告（可向采购人提出勘察需求，由采购人安排时间统一勘察）。勘查报告应包含站点现场勘察情况和站点解决方案两方面。其中：（1）站点现场勘察情况包括站点基本信息、站点位置、站点情况描述、站点电磁环境情况等情况。评委根据投标人提供的站点现场勘查情况进行评分： ①内容包含的要点齐全、内容与要点相符、每个要点均有展开详细的阐述，内容描述全面合理，附有现场照片，且针对性强的得2分； ②内容与要点相符，附有现场照片，但内容简略、不够细化的得1分； ③未提供或内容存在明显错误、内容明显不适用于本项目需求的不得分。 （2）站点解决方案包括机房情况（需说明供电、网络连接、消防、空调等实际实施计划或拟建设情况）、铁塔位置或拟建设情况、设备拟安装位置、机房布线等。评委根据投标人提供的站点解决方案进行评分： ①内容包含的要点齐全、内容与要点相符、每个要点均有展开详细的阐述，内容描述全面合理，细节考虑周全且能够适用于本项目的得1分； ②内容描述较全面但不够细化，基本能够适用于本项目的得0.5分； ③未提供或内容存在明显错误、内容明显不适用于本项目需求的不得分。</w:t>
            </w:r>
          </w:p>
        </w:tc>
      </w:tr>
      <w:tr>
        <w:tc>
          <w:tcPr>
            <w:tcW w:type="dxa" w:w="3322"/>
          </w:tcPr>
          <w:p>
            <w:pPr>
              <w:pStyle w:val="null3"/>
              <w:jc w:val="both"/>
            </w:pPr>
            <w:r>
              <w:rPr/>
              <w:t>17、实施方案</w:t>
            </w:r>
          </w:p>
        </w:tc>
        <w:tc>
          <w:tcPr>
            <w:tcW w:type="dxa" w:w="831"/>
          </w:tcPr>
          <w:p>
            <w:pPr>
              <w:pStyle w:val="null3"/>
              <w:jc w:val="right"/>
            </w:pPr>
            <w:r>
              <w:rPr/>
              <w:t>3.0000</w:t>
            </w:r>
          </w:p>
        </w:tc>
        <w:tc>
          <w:tcPr>
            <w:tcW w:type="dxa" w:w="4153"/>
          </w:tcPr>
          <w:p>
            <w:pPr>
              <w:pStyle w:val="null3"/>
              <w:jc w:val="both"/>
            </w:pPr>
            <w:r>
              <w:rPr/>
              <w:t>根据投标人提供的实施方案，方案内容应包括 ①可用机房整备、新建机房、铁塔建设、天馈系统的杆塔搭建方案； ②既有设备利用处置方案； ③项目人员管理，包括详细的人员配置，能力说明，职责分工； ④项目实施方案，包括项目计划实施表，货物备货到货时间表等方面内容，由评委进行评分： （1）方案完整可行，对于上述要求的各方面内容均有详细解决方案，配置科学合理、符合项目实际，可操作性强的得3分； （2）方案基本完整、对于上述要求的各方面内容有涉及，具有一般可操作性，不影响项目实施的得2分； （3）方案基本完整、对于上述要求的各方面内容未能完全涉及，可操作性较差，可能影响项目实施的得1分； （4）未提供的不得分。</w:t>
            </w:r>
          </w:p>
        </w:tc>
      </w:tr>
    </w:tbl>
    <w:p>
      <w:pPr>
        <w:pStyle w:val="null3"/>
        <w:jc w:val="both"/>
      </w:pPr>
      <w:r>
        <w:rPr/>
        <w:t>商务项（F3×A3）满分为15.0000分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1、业绩情况</w:t>
            </w:r>
          </w:p>
        </w:tc>
        <w:tc>
          <w:tcPr>
            <w:tcW w:type="dxa" w:w="831"/>
          </w:tcPr>
          <w:p>
            <w:pPr>
              <w:pStyle w:val="null3"/>
              <w:jc w:val="right"/>
            </w:pPr>
            <w:r>
              <w:rPr/>
              <w:t>3.0000</w:t>
            </w:r>
          </w:p>
        </w:tc>
        <w:tc>
          <w:tcPr>
            <w:tcW w:type="dxa" w:w="4153"/>
          </w:tcPr>
          <w:p>
            <w:pPr>
              <w:pStyle w:val="null3"/>
              <w:jc w:val="both"/>
            </w:pPr>
            <w:r>
              <w:rPr/>
              <w:t>根据投标人所提供的自2021年1月1日至本项目投标截止时间止（以合同签订时间为准）投标人独立完成的与本次招标同类项目的业绩情况进行评分，每提供一份业绩得1分，满分3分。 注：同类项目是指无线电监测固定站建设项目，投标人需提供该业绩项目的中标公告（提供中标公告的下载网页并注明网址）、中标通知书、采购合同文本，以及能够证明该业绩项目已经采购人验收合格的相关证明文件。每个项目业绩的上述材料都必须提供完整，否则不得分。</w:t>
            </w:r>
          </w:p>
        </w:tc>
      </w:tr>
      <w:tr>
        <w:tc>
          <w:tcPr>
            <w:tcW w:type="dxa" w:w="3322"/>
          </w:tcPr>
          <w:p>
            <w:pPr>
              <w:pStyle w:val="null3"/>
              <w:jc w:val="both"/>
            </w:pPr>
            <w:r>
              <w:rPr/>
              <w:t>2、综合实力</w:t>
            </w:r>
          </w:p>
        </w:tc>
        <w:tc>
          <w:tcPr>
            <w:tcW w:type="dxa" w:w="831"/>
          </w:tcPr>
          <w:p>
            <w:pPr>
              <w:pStyle w:val="null3"/>
              <w:jc w:val="right"/>
            </w:pPr>
            <w:r>
              <w:rPr/>
              <w:t>1.0000</w:t>
            </w:r>
          </w:p>
        </w:tc>
        <w:tc>
          <w:tcPr>
            <w:tcW w:type="dxa" w:w="4153"/>
          </w:tcPr>
          <w:p>
            <w:pPr>
              <w:pStyle w:val="null3"/>
              <w:jc w:val="both"/>
            </w:pPr>
            <w:r>
              <w:rPr/>
              <w:t>根据投标人提供的原子化服务封装软件产品取得软件著作权证书得1分。证明材料须提供扫描件并加盖投标人公章，证书需在有效期内，未按照要求提供的不得分。</w:t>
            </w:r>
          </w:p>
        </w:tc>
      </w:tr>
      <w:tr>
        <w:tc>
          <w:tcPr>
            <w:tcW w:type="dxa" w:w="3322"/>
          </w:tcPr>
          <w:p>
            <w:pPr>
              <w:pStyle w:val="null3"/>
              <w:jc w:val="both"/>
            </w:pPr>
            <w:r>
              <w:rPr/>
              <w:t>3、项目管理人员情况</w:t>
            </w:r>
          </w:p>
        </w:tc>
        <w:tc>
          <w:tcPr>
            <w:tcW w:type="dxa" w:w="831"/>
          </w:tcPr>
          <w:p>
            <w:pPr>
              <w:pStyle w:val="null3"/>
              <w:jc w:val="right"/>
            </w:pPr>
            <w:r>
              <w:rPr/>
              <w:t>2.0000</w:t>
            </w:r>
          </w:p>
        </w:tc>
        <w:tc>
          <w:tcPr>
            <w:tcW w:type="dxa" w:w="4153"/>
          </w:tcPr>
          <w:p>
            <w:pPr>
              <w:pStyle w:val="null3"/>
              <w:jc w:val="both"/>
            </w:pPr>
            <w:r>
              <w:rPr/>
              <w:t>根据投标人针对本项目配置的项目管理人员进行能力评分，①具备高级系统分析师或高级系统集成项目管理工程师证书的，得2分。 ②具备中级系统分析师或中级系统集成项目管理工程师证书的，得1分。 投标人须提供人员证书扫描件、身份证扫描件、投标截止时间前六个月（不含投标截止时间的当月）中任一月份的社会保障资金缴纳凭据复印件并加盖投标人公章，未提供不得分。</w:t>
            </w:r>
          </w:p>
        </w:tc>
      </w:tr>
      <w:tr>
        <w:tc>
          <w:tcPr>
            <w:tcW w:type="dxa" w:w="3322"/>
          </w:tcPr>
          <w:p>
            <w:pPr>
              <w:pStyle w:val="null3"/>
              <w:jc w:val="both"/>
            </w:pPr>
            <w:r>
              <w:rPr/>
              <w:t>4、售后服务情况</w:t>
            </w:r>
          </w:p>
        </w:tc>
        <w:tc>
          <w:tcPr>
            <w:tcW w:type="dxa" w:w="831"/>
          </w:tcPr>
          <w:p>
            <w:pPr>
              <w:pStyle w:val="null3"/>
              <w:jc w:val="right"/>
            </w:pPr>
            <w:r>
              <w:rPr/>
              <w:t>3.0000</w:t>
            </w:r>
          </w:p>
        </w:tc>
        <w:tc>
          <w:tcPr>
            <w:tcW w:type="dxa" w:w="4153"/>
          </w:tcPr>
          <w:p>
            <w:pPr>
              <w:pStyle w:val="null3"/>
              <w:jc w:val="both"/>
            </w:pPr>
            <w:r>
              <w:rPr/>
              <w:t>投标人需提供包括售后支持技术人员、故障响应时间、退返检测和维修期限、以旧换新、备品备件、巡检、技术支持等内容在内的维保方案。维保方案中包括： ①对于产品故障的响应时间、负责人员、保障举措； ②退返检测和维修维修流程，内控制度、完成时限； ③在福建地区设置备品仓库、提供备件设备的现场图片、场地产权证明材料或租赁合同（含付款发票）扫描件。 满足三点的得3分，满足两点的得2分，满足一点的得1分，未满足的不得分。 投标人需提供包括售后支持技术人员、故障响应时间、退返检测和维修期限、以旧换新、备品备件、巡检、技术支持等内容在内的维保方案，格式自拟。</w:t>
            </w:r>
          </w:p>
        </w:tc>
      </w:tr>
      <w:tr>
        <w:tc>
          <w:tcPr>
            <w:tcW w:type="dxa" w:w="3322"/>
          </w:tcPr>
          <w:p>
            <w:pPr>
              <w:pStyle w:val="null3"/>
              <w:jc w:val="both"/>
            </w:pPr>
            <w:r>
              <w:rPr/>
              <w:t>5、培训方案</w:t>
            </w:r>
          </w:p>
        </w:tc>
        <w:tc>
          <w:tcPr>
            <w:tcW w:type="dxa" w:w="831"/>
          </w:tcPr>
          <w:p>
            <w:pPr>
              <w:pStyle w:val="null3"/>
              <w:jc w:val="right"/>
            </w:pPr>
            <w:r>
              <w:rPr/>
              <w:t>2.0000</w:t>
            </w:r>
          </w:p>
        </w:tc>
        <w:tc>
          <w:tcPr>
            <w:tcW w:type="dxa" w:w="4153"/>
          </w:tcPr>
          <w:p>
            <w:pPr>
              <w:pStyle w:val="null3"/>
              <w:jc w:val="both"/>
            </w:pPr>
            <w:r>
              <w:rPr/>
              <w:t>根据投标人提供的针对本项目制定的现场技术培训方案情况进行评分，现场技术培训方案应包含： ①培训计划； ②培训范围； ③实施及针对性措施； ④保证培训成效的措施。 现场技术培训方案包含上述全部内容且方案详细、合理、可行的得2分，现场技术培训方案中仅包含部分上述内容且方案基本合理、基本可行的得1分，未提供或方案内容明显不适用于本项目需求的均不得分。</w:t>
            </w:r>
          </w:p>
        </w:tc>
      </w:tr>
      <w:tr>
        <w:tc>
          <w:tcPr>
            <w:tcW w:type="dxa" w:w="3322"/>
          </w:tcPr>
          <w:p>
            <w:pPr>
              <w:pStyle w:val="null3"/>
              <w:jc w:val="both"/>
            </w:pPr>
            <w:r>
              <w:rPr/>
              <w:t>6、资质情况</w:t>
            </w:r>
          </w:p>
        </w:tc>
        <w:tc>
          <w:tcPr>
            <w:tcW w:type="dxa" w:w="831"/>
          </w:tcPr>
          <w:p>
            <w:pPr>
              <w:pStyle w:val="null3"/>
              <w:jc w:val="right"/>
            </w:pPr>
            <w:r>
              <w:rPr/>
              <w:t>3.0000</w:t>
            </w:r>
          </w:p>
        </w:tc>
        <w:tc>
          <w:tcPr>
            <w:tcW w:type="dxa" w:w="4153"/>
          </w:tcPr>
          <w:p>
            <w:pPr>
              <w:pStyle w:val="null3"/>
              <w:jc w:val="both"/>
            </w:pPr>
            <w:r>
              <w:rPr/>
              <w:t>根据监测测向系统检测维修校准的资质进行评分：投标人或产品制造商具有以下资质： ①无线电设备检测； ②无线电设备维修； ③无线电设备校准。 以上3项内容需提供CNAS或ISO9001认证证书，否则不予认可。提供3项资质的得3分，提供2项的得2分，提供1项的得1分，未提供的不得分。注：须提供证书扫描件并加盖投标人公章，证书需在有效期内，否则不得分。</w:t>
            </w:r>
          </w:p>
        </w:tc>
      </w:tr>
      <w:tr>
        <w:tc>
          <w:tcPr>
            <w:tcW w:type="dxa" w:w="3322"/>
          </w:tcPr>
          <w:p>
            <w:pPr>
              <w:pStyle w:val="null3"/>
              <w:jc w:val="both"/>
            </w:pPr>
            <w:r>
              <w:rPr/>
              <w:t>7、利旧情况</w:t>
            </w:r>
          </w:p>
        </w:tc>
        <w:tc>
          <w:tcPr>
            <w:tcW w:type="dxa" w:w="831"/>
          </w:tcPr>
          <w:p>
            <w:pPr>
              <w:pStyle w:val="null3"/>
              <w:jc w:val="right"/>
            </w:pPr>
            <w:r>
              <w:rPr/>
              <w:t>1.0000</w:t>
            </w:r>
          </w:p>
        </w:tc>
        <w:tc>
          <w:tcPr>
            <w:tcW w:type="dxa" w:w="4153"/>
          </w:tcPr>
          <w:p>
            <w:pPr>
              <w:pStyle w:val="null3"/>
              <w:jc w:val="both"/>
            </w:pPr>
            <w:r>
              <w:rPr/>
              <w:t>对投标人提供的固定站原有监测接收机及配套天线作为监测第二通道利旧承诺进行评分：提供承诺书对固定监测站进行升级改造内容包括对原有监测接收机及配套天线作为监测第二通道使用的，得1分。未提供承诺的不得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pPr>
      <w:r>
        <w:rPr>
          <w:rFonts w:ascii="宋体" w:hAnsi="宋体" w:cs="宋体" w:eastAsia="宋体"/>
          <w:sz w:val="24"/>
          <w:shd w:fill="FFFFFF" w:val="clear"/>
        </w:rPr>
        <w:t>1、本次拟升级改造的海事大楼二类站于2015年1月建设，实际使用年限已超过8年，山体南部隔海与金门的大担岛、二担岛相望，监测频段为20~3000MHz，中频带宽20MHz，远低于《省级无线电监测设施建设规范和技术要求（试行）》（国无办函〔2019〕3号）要求的6GHz监测频段，同时因该站架设在海边，受盐雾影响大，指标性能严重下降，测向可信度极低，已降级为4类站（只采信监测结果）。因此，有必要对海事大楼二类固定监测站进行升级改造，并将其原有监测接收机及配套天线作为监测第二通道使用，在提高旧设备利用率的同时，进一步加强海上（厦门金门海域）信号监测测向。</w:t>
      </w:r>
    </w:p>
    <w:p>
      <w:pPr>
        <w:pStyle w:val="null3"/>
        <w:ind w:firstLine="480"/>
        <w:jc w:val="both"/>
      </w:pPr>
      <w:r>
        <w:rPr>
          <w:rFonts w:ascii="宋体" w:hAnsi="宋体" w:cs="宋体" w:eastAsia="宋体"/>
          <w:sz w:val="24"/>
          <w:shd w:fill="FFFFFF" w:val="clear"/>
        </w:rPr>
        <w:t>2、海事大楼站原站址拟微调，最终安装位置以采购人要求为准。本项目需选取符合要求的机房、铁塔并进行相应改造或新建机房、铁塔。为保证监测测向效果，新建铁塔高度不得低于</w:t>
      </w:r>
      <w:r>
        <w:rPr>
          <w:rFonts w:ascii="宋体" w:hAnsi="宋体" w:cs="宋体" w:eastAsia="宋体"/>
          <w:sz w:val="24"/>
          <w:shd w:fill="FFFFFF" w:val="clear"/>
        </w:rPr>
        <w:t>30米。</w:t>
      </w:r>
      <w:r>
        <w:rPr>
          <w:rFonts w:ascii="宋体" w:hAnsi="宋体" w:cs="宋体" w:eastAsia="宋体"/>
          <w:sz w:val="24"/>
          <w:shd w:fill="FFFFFF" w:val="clear"/>
        </w:rPr>
        <w:t>机房、铁塔的新建或改造费用，均包含在本项目投标总价中。</w:t>
      </w:r>
    </w:p>
    <w:p>
      <w:pPr>
        <w:pStyle w:val="null3"/>
        <w:ind w:firstLine="482"/>
        <w:jc w:val="both"/>
      </w:pPr>
      <w:r>
        <w:rPr>
          <w:rFonts w:ascii="宋体" w:hAnsi="宋体" w:cs="宋体" w:eastAsia="宋体"/>
          <w:sz w:val="24"/>
          <w:b/>
          <w:shd w:fill="FFFFFF" w:val="clear"/>
        </w:rPr>
        <w:t>3、本项目核心产品为：</w:t>
      </w:r>
      <w:r>
        <w:rPr>
          <w:rFonts w:ascii="宋体" w:hAnsi="宋体" w:cs="宋体" w:eastAsia="宋体"/>
          <w:sz w:val="24"/>
          <w:b/>
        </w:rPr>
        <w:t>◆监测接收机、◆测向接收机</w:t>
      </w:r>
      <w:r>
        <w:rPr>
          <w:rFonts w:ascii="宋体" w:hAnsi="宋体" w:cs="宋体" w:eastAsia="宋体"/>
          <w:sz w:val="24"/>
          <w:b/>
          <w:shd w:fill="FFFFFF" w:val="clear"/>
        </w:rPr>
        <w:t>；多家投标人提供的产品品牌相同的</w:t>
      </w:r>
      <w:r>
        <w:rPr>
          <w:rFonts w:ascii="宋体" w:hAnsi="宋体" w:cs="宋体" w:eastAsia="宋体"/>
          <w:sz w:val="24"/>
          <w:b/>
          <w:shd w:fill="FFFFFF" w:val="clear"/>
        </w:rPr>
        <w:t>，</w:t>
      </w:r>
      <w:r>
        <w:rPr>
          <w:rFonts w:ascii="宋体" w:hAnsi="宋体" w:cs="宋体" w:eastAsia="宋体"/>
          <w:sz w:val="24"/>
          <w:b/>
          <w:shd w:fill="FFFFFF" w:val="clear"/>
        </w:rPr>
        <w:t>按招标文件第四章</w:t>
      </w:r>
      <w:r>
        <w:rPr>
          <w:rFonts w:ascii="宋体" w:hAnsi="宋体" w:cs="宋体" w:eastAsia="宋体"/>
          <w:sz w:val="24"/>
          <w:b/>
          <w:shd w:fill="FFFFFF" w:val="clear"/>
        </w:rPr>
        <w:t>6.4条款的规定处理。</w:t>
      </w:r>
    </w:p>
    <w:p>
      <w:pPr>
        <w:pStyle w:val="null3"/>
        <w:jc w:val="both"/>
        <w:outlineLvl w:val="2"/>
      </w:pPr>
      <w:r>
        <w:rPr>
          <w:sz w:val="28"/>
          <w:b/>
        </w:rPr>
        <w:t>二、技术和服务要求（以“★”标示的内容为不允许负偏离的实质性要求）</w:t>
      </w:r>
    </w:p>
    <w:p>
      <w:pPr>
        <w:pStyle w:val="null3"/>
        <w:ind w:firstLine="480"/>
        <w:jc w:val="both"/>
      </w:pPr>
      <w:r>
        <w:rPr>
          <w:rFonts w:ascii="宋体" w:hAnsi="宋体" w:cs="宋体" w:eastAsia="宋体"/>
          <w:sz w:val="24"/>
          <w:b/>
          <w:shd w:fill="FFFFFF" w:val="clear"/>
        </w:rPr>
        <w:t>★（一）总体要求</w:t>
      </w:r>
    </w:p>
    <w:p>
      <w:pPr>
        <w:pStyle w:val="null3"/>
        <w:ind w:firstLine="424"/>
        <w:jc w:val="both"/>
      </w:pPr>
      <w:r>
        <w:rPr>
          <w:rFonts w:ascii="宋体" w:hAnsi="宋体" w:cs="宋体" w:eastAsia="宋体"/>
          <w:sz w:val="24"/>
          <w:shd w:fill="FFFFFF" w:val="clear"/>
        </w:rPr>
        <w:t>二类固定监测站基础功能包括</w:t>
      </w:r>
    </w:p>
    <w:p>
      <w:pPr>
        <w:pStyle w:val="null3"/>
        <w:ind w:firstLine="424"/>
        <w:jc w:val="both"/>
      </w:pPr>
      <w:r>
        <w:rPr>
          <w:rFonts w:ascii="宋体" w:hAnsi="宋体" w:cs="宋体" w:eastAsia="宋体"/>
          <w:sz w:val="24"/>
          <w:shd w:fill="FFFFFF" w:val="clear"/>
        </w:rPr>
        <w:t>（</w:t>
      </w:r>
      <w:r>
        <w:rPr>
          <w:rFonts w:ascii="宋体" w:hAnsi="宋体" w:cs="宋体" w:eastAsia="宋体"/>
          <w:sz w:val="24"/>
          <w:shd w:fill="FFFFFF" w:val="clear"/>
        </w:rPr>
        <w:t>1）基本监测功能（频率测量、电平测量、场强和功率通量密度测量、占用带宽测量、调制测量、脉冲测量、频率使用率测量、无用发射测量、信号分析和发射机类别识别等）；</w:t>
      </w:r>
    </w:p>
    <w:p>
      <w:pPr>
        <w:pStyle w:val="null3"/>
        <w:ind w:firstLine="424"/>
        <w:jc w:val="both"/>
      </w:pPr>
      <w:r>
        <w:rPr>
          <w:rFonts w:ascii="宋体" w:hAnsi="宋体" w:cs="宋体" w:eastAsia="宋体"/>
          <w:sz w:val="24"/>
          <w:shd w:fill="FFFFFF" w:val="clear"/>
        </w:rPr>
        <w:t>（</w:t>
      </w:r>
      <w:r>
        <w:rPr>
          <w:rFonts w:ascii="宋体" w:hAnsi="宋体" w:cs="宋体" w:eastAsia="宋体"/>
          <w:sz w:val="24"/>
          <w:shd w:fill="FFFFFF" w:val="clear"/>
        </w:rPr>
        <w:t>2）电磁环境测量；</w:t>
      </w:r>
    </w:p>
    <w:p>
      <w:pPr>
        <w:pStyle w:val="null3"/>
        <w:ind w:firstLine="424"/>
        <w:jc w:val="both"/>
      </w:pPr>
      <w:r>
        <w:rPr>
          <w:rFonts w:ascii="宋体" w:hAnsi="宋体" w:cs="宋体" w:eastAsia="宋体"/>
          <w:sz w:val="24"/>
          <w:shd w:fill="FFFFFF" w:val="clear"/>
        </w:rPr>
        <w:t>（</w:t>
      </w:r>
      <w:r>
        <w:rPr>
          <w:rFonts w:ascii="宋体" w:hAnsi="宋体" w:cs="宋体" w:eastAsia="宋体"/>
          <w:sz w:val="24"/>
          <w:shd w:fill="FFFFFF" w:val="clear"/>
        </w:rPr>
        <w:t>3）广播电视声音及图像信号监测；</w:t>
      </w:r>
    </w:p>
    <w:p>
      <w:pPr>
        <w:pStyle w:val="null3"/>
        <w:ind w:firstLine="424"/>
        <w:jc w:val="both"/>
      </w:pPr>
      <w:r>
        <w:rPr>
          <w:rFonts w:ascii="宋体" w:hAnsi="宋体" w:cs="宋体" w:eastAsia="宋体"/>
          <w:sz w:val="24"/>
          <w:shd w:fill="FFFFFF" w:val="clear"/>
        </w:rPr>
        <w:t>（</w:t>
      </w:r>
      <w:r>
        <w:rPr>
          <w:rFonts w:ascii="宋体" w:hAnsi="宋体" w:cs="宋体" w:eastAsia="宋体"/>
          <w:sz w:val="24"/>
          <w:shd w:fill="FFFFFF" w:val="clear"/>
        </w:rPr>
        <w:t>4）无线电测向及测向数据回放（能够对过去不少于24小时内出现过的干扰信号进行测向定位）；</w:t>
      </w:r>
    </w:p>
    <w:p>
      <w:pPr>
        <w:pStyle w:val="null3"/>
        <w:ind w:firstLine="424"/>
        <w:jc w:val="both"/>
      </w:pPr>
      <w:r>
        <w:rPr>
          <w:rFonts w:ascii="宋体" w:hAnsi="宋体" w:cs="宋体" w:eastAsia="宋体"/>
          <w:sz w:val="24"/>
          <w:shd w:fill="FFFFFF" w:val="clear"/>
        </w:rPr>
        <w:t>（</w:t>
      </w:r>
      <w:r>
        <w:rPr>
          <w:rFonts w:ascii="宋体" w:hAnsi="宋体" w:cs="宋体" w:eastAsia="宋体"/>
          <w:sz w:val="24"/>
          <w:shd w:fill="FFFFFF" w:val="clear"/>
        </w:rPr>
        <w:t>5）监测数据存储及处理；</w:t>
      </w:r>
    </w:p>
    <w:p>
      <w:pPr>
        <w:pStyle w:val="null3"/>
        <w:ind w:firstLine="424"/>
        <w:jc w:val="both"/>
      </w:pPr>
      <w:r>
        <w:rPr>
          <w:rFonts w:ascii="宋体" w:hAnsi="宋体" w:cs="宋体" w:eastAsia="宋体"/>
          <w:sz w:val="24"/>
          <w:shd w:fill="FFFFFF" w:val="clear"/>
        </w:rPr>
        <w:t>（</w:t>
      </w:r>
      <w:r>
        <w:rPr>
          <w:rFonts w:ascii="宋体" w:hAnsi="宋体" w:cs="宋体" w:eastAsia="宋体"/>
          <w:sz w:val="24"/>
          <w:shd w:fill="FFFFFF" w:val="clear"/>
        </w:rPr>
        <w:t>6）系统遥控；</w:t>
      </w:r>
    </w:p>
    <w:p>
      <w:pPr>
        <w:pStyle w:val="null3"/>
        <w:ind w:firstLine="424"/>
        <w:jc w:val="both"/>
      </w:pPr>
      <w:r>
        <w:rPr>
          <w:rFonts w:ascii="宋体" w:hAnsi="宋体" w:cs="宋体" w:eastAsia="宋体"/>
          <w:sz w:val="24"/>
          <w:shd w:fill="FFFFFF" w:val="clear"/>
        </w:rPr>
        <w:t>（</w:t>
      </w:r>
      <w:r>
        <w:rPr>
          <w:rFonts w:ascii="宋体" w:hAnsi="宋体" w:cs="宋体" w:eastAsia="宋体"/>
          <w:sz w:val="24"/>
          <w:shd w:fill="FFFFFF" w:val="clear"/>
        </w:rPr>
        <w:t>7）联网；</w:t>
      </w:r>
    </w:p>
    <w:p>
      <w:pPr>
        <w:pStyle w:val="null3"/>
        <w:ind w:firstLine="424"/>
        <w:jc w:val="both"/>
      </w:pPr>
      <w:r>
        <w:rPr>
          <w:rFonts w:ascii="宋体" w:hAnsi="宋体" w:cs="宋体" w:eastAsia="宋体"/>
          <w:sz w:val="24"/>
        </w:rPr>
        <w:t>（</w:t>
      </w:r>
      <w:r>
        <w:rPr>
          <w:rFonts w:ascii="calibri" w:hAnsi="calibri" w:cs="calibri" w:eastAsia="calibri"/>
          <w:sz w:val="24"/>
        </w:rPr>
        <w:t>8</w:t>
      </w:r>
      <w:r>
        <w:rPr>
          <w:rFonts w:ascii="宋体" w:hAnsi="宋体" w:cs="宋体" w:eastAsia="宋体"/>
          <w:sz w:val="24"/>
        </w:rPr>
        <w:t>）</w:t>
      </w:r>
      <w:r>
        <w:rPr>
          <w:rFonts w:ascii="宋体" w:hAnsi="宋体" w:cs="宋体" w:eastAsia="宋体"/>
          <w:sz w:val="24"/>
          <w:shd w:fill="FFFFFF" w:val="clear"/>
        </w:rPr>
        <w:t>电子地图功能；</w:t>
      </w:r>
    </w:p>
    <w:p>
      <w:pPr>
        <w:pStyle w:val="null3"/>
        <w:ind w:left="420"/>
        <w:jc w:val="both"/>
      </w:pPr>
      <w:r>
        <w:rPr>
          <w:rFonts w:ascii="宋体" w:hAnsi="宋体" w:cs="宋体" w:eastAsia="宋体"/>
          <w:sz w:val="24"/>
          <w:shd w:fill="FFFFFF" w:val="clear"/>
        </w:rPr>
        <w:t>（</w:t>
      </w:r>
      <w:r>
        <w:rPr>
          <w:rFonts w:ascii="宋体" w:hAnsi="宋体" w:cs="宋体" w:eastAsia="宋体"/>
          <w:sz w:val="24"/>
          <w:shd w:fill="FFFFFF" w:val="clear"/>
        </w:rPr>
        <w:t>9）系统自检等功能。</w:t>
      </w:r>
    </w:p>
    <w:p>
      <w:pPr>
        <w:pStyle w:val="null3"/>
        <w:jc w:val="both"/>
      </w:pPr>
      <w:r>
        <w:rPr>
          <w:rFonts w:ascii="宋体" w:hAnsi="宋体" w:cs="宋体" w:eastAsia="宋体"/>
          <w:sz w:val="24"/>
          <w:b/>
          <w:shd w:fill="FFFFFF" w:val="clear"/>
        </w:rPr>
        <w:t>（二）固定站基础功能具体要求</w:t>
      </w:r>
    </w:p>
    <w:p>
      <w:pPr>
        <w:pStyle w:val="null3"/>
        <w:ind w:firstLine="420"/>
        <w:jc w:val="both"/>
      </w:pPr>
      <w:r>
        <w:rPr>
          <w:rFonts w:ascii="宋体" w:hAnsi="宋体" w:cs="宋体" w:eastAsia="宋体"/>
          <w:sz w:val="24"/>
          <w:b/>
          <w:shd w:fill="FFFFFF" w:val="clear"/>
        </w:rPr>
        <w:t>▲</w:t>
      </w:r>
      <w:r>
        <w:rPr>
          <w:rFonts w:ascii="宋体" w:hAnsi="宋体" w:cs="宋体" w:eastAsia="宋体"/>
          <w:sz w:val="24"/>
          <w:shd w:fill="FFFFFF" w:val="clear"/>
        </w:rPr>
        <w:t>（</w:t>
      </w:r>
      <w:r>
        <w:rPr>
          <w:rFonts w:ascii="宋体" w:hAnsi="宋体" w:cs="宋体" w:eastAsia="宋体"/>
          <w:sz w:val="24"/>
          <w:shd w:fill="FFFFFF" w:val="clear"/>
        </w:rPr>
        <w:t>1）电磁环境测量：</w:t>
      </w:r>
    </w:p>
    <w:p>
      <w:pPr>
        <w:pStyle w:val="null3"/>
        <w:ind w:firstLine="420"/>
        <w:jc w:val="both"/>
      </w:pPr>
      <w:r>
        <w:rPr>
          <w:rFonts w:ascii="宋体" w:hAnsi="宋体" w:cs="宋体" w:eastAsia="宋体"/>
          <w:sz w:val="24"/>
          <w:shd w:fill="FFFFFF" w:val="clear"/>
        </w:rPr>
        <w:t>可实现对覆盖区域电磁环境进行扫描测量，包含快速扫描、频段扫描和离散频段扫描。</w:t>
      </w:r>
    </w:p>
    <w:p>
      <w:pPr>
        <w:pStyle w:val="null3"/>
        <w:ind w:firstLine="420"/>
        <w:jc w:val="both"/>
      </w:pPr>
      <w:r>
        <w:rPr>
          <w:rFonts w:ascii="宋体" w:hAnsi="宋体" w:cs="宋体" w:eastAsia="宋体"/>
          <w:sz w:val="24"/>
          <w:b/>
          <w:shd w:fill="FFFFFF" w:val="clear"/>
        </w:rPr>
        <w:t>▲</w:t>
      </w:r>
      <w:r>
        <w:rPr>
          <w:rFonts w:ascii="宋体" w:hAnsi="宋体" w:cs="宋体" w:eastAsia="宋体"/>
          <w:sz w:val="24"/>
          <w:shd w:fill="FFFFFF" w:val="clear"/>
        </w:rPr>
        <w:t>（</w:t>
      </w:r>
      <w:r>
        <w:rPr>
          <w:rFonts w:ascii="宋体" w:hAnsi="宋体" w:cs="宋体" w:eastAsia="宋体"/>
          <w:sz w:val="24"/>
          <w:shd w:fill="FFFFFF" w:val="clear"/>
        </w:rPr>
        <w:t>2）广播电视声音及图像信号监测：</w:t>
      </w:r>
    </w:p>
    <w:p>
      <w:pPr>
        <w:pStyle w:val="null3"/>
        <w:ind w:firstLine="420"/>
        <w:jc w:val="both"/>
      </w:pPr>
      <w:r>
        <w:rPr>
          <w:rFonts w:ascii="宋体" w:hAnsi="宋体" w:cs="宋体" w:eastAsia="宋体"/>
          <w:sz w:val="24"/>
          <w:shd w:fill="FFFFFF" w:val="clear"/>
        </w:rPr>
        <w:t>能够进行声音转文字提取以及对关键字的识别和告警等。</w:t>
      </w:r>
    </w:p>
    <w:p>
      <w:pPr>
        <w:pStyle w:val="null3"/>
        <w:ind w:firstLine="420"/>
        <w:jc w:val="both"/>
      </w:pPr>
      <w:r>
        <w:rPr>
          <w:rFonts w:ascii="宋体" w:hAnsi="宋体" w:cs="宋体" w:eastAsia="宋体"/>
          <w:sz w:val="24"/>
          <w:b/>
          <w:shd w:fill="FFFFFF" w:val="clear"/>
        </w:rPr>
        <w:t>▲</w:t>
      </w:r>
      <w:r>
        <w:rPr>
          <w:rFonts w:ascii="宋体" w:hAnsi="宋体" w:cs="宋体" w:eastAsia="宋体"/>
          <w:sz w:val="24"/>
          <w:shd w:fill="FFFFFF" w:val="clear"/>
        </w:rPr>
        <w:t>（</w:t>
      </w:r>
      <w:r>
        <w:rPr>
          <w:rFonts w:ascii="宋体" w:hAnsi="宋体" w:cs="宋体" w:eastAsia="宋体"/>
          <w:sz w:val="24"/>
          <w:shd w:fill="FFFFFF" w:val="clear"/>
        </w:rPr>
        <w:t>3）无线电测向及测向数据回放：</w:t>
      </w:r>
    </w:p>
    <w:p>
      <w:pPr>
        <w:pStyle w:val="null3"/>
        <w:ind w:firstLine="420"/>
        <w:jc w:val="both"/>
      </w:pPr>
      <w:r>
        <w:rPr>
          <w:rFonts w:ascii="宋体" w:hAnsi="宋体" w:cs="宋体" w:eastAsia="宋体"/>
          <w:sz w:val="24"/>
          <w:shd w:fill="FFFFFF" w:val="clear"/>
        </w:rPr>
        <w:t>能够对过去不少于</w:t>
      </w:r>
      <w:r>
        <w:rPr>
          <w:rFonts w:ascii="宋体" w:hAnsi="宋体" w:cs="宋体" w:eastAsia="宋体"/>
          <w:sz w:val="24"/>
          <w:shd w:fill="FFFFFF" w:val="clear"/>
        </w:rPr>
        <w:t>24小时内出现过的、工作频段范围内的任意频率进行测向，给出可信来波示向度、测向品质因素、信号电平等指标；同时在电子地图界面显示示向线。在进行测向时，要求测向通道的频谱带宽、解调带宽与测向带宽分别独立可调。测向通道能够在测向的同时对声音解调并输出连续音频信号。</w:t>
      </w:r>
    </w:p>
    <w:p>
      <w:pPr>
        <w:pStyle w:val="null3"/>
        <w:ind w:firstLine="420"/>
        <w:jc w:val="both"/>
      </w:pPr>
      <w:r>
        <w:rPr>
          <w:rFonts w:ascii="宋体" w:hAnsi="宋体" w:cs="宋体" w:eastAsia="宋体"/>
          <w:sz w:val="24"/>
          <w:b/>
          <w:shd w:fill="FFFFFF" w:val="clear"/>
        </w:rPr>
        <w:t>▲</w:t>
      </w:r>
      <w:r>
        <w:rPr>
          <w:rFonts w:ascii="宋体" w:hAnsi="宋体" w:cs="宋体" w:eastAsia="宋体"/>
          <w:sz w:val="24"/>
          <w:shd w:fill="FFFFFF" w:val="clear"/>
        </w:rPr>
        <w:t>（</w:t>
      </w:r>
      <w:r>
        <w:rPr>
          <w:rFonts w:ascii="宋体" w:hAnsi="宋体" w:cs="宋体" w:eastAsia="宋体"/>
          <w:sz w:val="24"/>
          <w:shd w:fill="FFFFFF" w:val="clear"/>
        </w:rPr>
        <w:t>4）监测数据采集、存储及处理：</w:t>
      </w:r>
    </w:p>
    <w:p>
      <w:pPr>
        <w:pStyle w:val="null3"/>
        <w:ind w:firstLine="420"/>
        <w:jc w:val="both"/>
      </w:pPr>
      <w:r>
        <w:rPr>
          <w:rFonts w:ascii="宋体" w:hAnsi="宋体" w:cs="宋体" w:eastAsia="宋体"/>
          <w:sz w:val="24"/>
          <w:shd w:fill="FFFFFF" w:val="clear"/>
        </w:rPr>
        <w:t>IQ 短时存储：DDR4 存储≥4GB，80MHz 带宽存储时间≥5 秒；</w:t>
      </w:r>
    </w:p>
    <w:p>
      <w:pPr>
        <w:pStyle w:val="null3"/>
        <w:ind w:firstLine="420"/>
        <w:jc w:val="both"/>
      </w:pPr>
      <w:r>
        <w:rPr>
          <w:rFonts w:ascii="宋体" w:hAnsi="宋体" w:cs="宋体" w:eastAsia="宋体"/>
          <w:sz w:val="24"/>
          <w:shd w:fill="FFFFFF" w:val="clear"/>
        </w:rPr>
        <w:t>多路控守：在实时中频带内提供不少于</w:t>
      </w:r>
      <w:r>
        <w:rPr>
          <w:rFonts w:ascii="宋体" w:hAnsi="宋体" w:cs="宋体" w:eastAsia="宋体"/>
          <w:sz w:val="24"/>
          <w:shd w:fill="FFFFFF" w:val="clear"/>
        </w:rPr>
        <w:t xml:space="preserve"> 64 个独立监测通道，可以在任意频点同时进行频谱、IQ、声音等数据测量，具备I/Q数据输出能力，提供符合日常使用规范的I/Q格式信号。</w:t>
      </w:r>
    </w:p>
    <w:p>
      <w:pPr>
        <w:pStyle w:val="null3"/>
        <w:ind w:firstLine="420"/>
        <w:jc w:val="both"/>
      </w:pPr>
      <w:r>
        <w:rPr>
          <w:rFonts w:ascii="宋体" w:hAnsi="宋体" w:cs="宋体" w:eastAsia="宋体"/>
          <w:sz w:val="24"/>
          <w:shd w:fill="FFFFFF" w:val="clear"/>
        </w:rPr>
        <w:t>可对监测数据进行存储，可实现对存储的监测数据、任务记录进行管理、查询，支持对原始数据的回放分析；</w:t>
      </w:r>
    </w:p>
    <w:p>
      <w:pPr>
        <w:pStyle w:val="null3"/>
        <w:ind w:firstLine="420"/>
        <w:jc w:val="both"/>
      </w:pPr>
      <w:r>
        <w:rPr>
          <w:rFonts w:ascii="宋体" w:hAnsi="宋体" w:cs="宋体" w:eastAsia="宋体"/>
          <w:sz w:val="24"/>
          <w:shd w:fill="FFFFFF" w:val="clear"/>
        </w:rPr>
        <w:t>能够对选定的监测数据进行实时统计、分析，以图形和列表方式显示各种实时占用度数据；</w:t>
      </w:r>
    </w:p>
    <w:p>
      <w:pPr>
        <w:pStyle w:val="null3"/>
        <w:ind w:firstLine="420"/>
        <w:jc w:val="both"/>
      </w:pPr>
      <w:r>
        <w:rPr>
          <w:rFonts w:ascii="宋体" w:hAnsi="宋体" w:cs="宋体" w:eastAsia="宋体"/>
          <w:sz w:val="24"/>
          <w:shd w:fill="FFFFFF" w:val="clear"/>
        </w:rPr>
        <w:t>能够按照标准格式提供监测日报、月报。</w:t>
      </w:r>
    </w:p>
    <w:p>
      <w:pPr>
        <w:pStyle w:val="null3"/>
        <w:ind w:firstLine="420"/>
        <w:jc w:val="both"/>
      </w:pPr>
      <w:r>
        <w:rPr>
          <w:rFonts w:ascii="宋体" w:hAnsi="宋体" w:cs="宋体" w:eastAsia="宋体"/>
          <w:sz w:val="24"/>
          <w:b/>
          <w:shd w:fill="FFFFFF" w:val="clear"/>
        </w:rPr>
        <w:t>▲</w:t>
      </w:r>
      <w:r>
        <w:rPr>
          <w:rFonts w:ascii="宋体" w:hAnsi="宋体" w:cs="宋体" w:eastAsia="宋体"/>
          <w:sz w:val="24"/>
          <w:shd w:fill="FFFFFF" w:val="clear"/>
        </w:rPr>
        <w:t>（</w:t>
      </w:r>
      <w:r>
        <w:rPr>
          <w:rFonts w:ascii="宋体" w:hAnsi="宋体" w:cs="宋体" w:eastAsia="宋体"/>
          <w:sz w:val="24"/>
          <w:shd w:fill="FFFFFF" w:val="clear"/>
        </w:rPr>
        <w:t>5）系统遥控：</w:t>
      </w:r>
    </w:p>
    <w:p>
      <w:pPr>
        <w:pStyle w:val="null3"/>
        <w:ind w:firstLine="420"/>
        <w:jc w:val="both"/>
      </w:pPr>
      <w:r>
        <w:rPr>
          <w:rFonts w:ascii="宋体" w:hAnsi="宋体" w:cs="宋体" w:eastAsia="宋体"/>
          <w:sz w:val="24"/>
          <w:shd w:fill="FFFFFF" w:val="clear"/>
        </w:rPr>
        <w:t>通过网络，远程控制无人值守监测站设备电源的开关机，并对机房环境参数进行监测；</w:t>
      </w:r>
    </w:p>
    <w:p>
      <w:pPr>
        <w:pStyle w:val="null3"/>
        <w:ind w:firstLine="420"/>
        <w:jc w:val="both"/>
      </w:pPr>
      <w:r>
        <w:rPr>
          <w:rFonts w:ascii="宋体" w:hAnsi="宋体" w:cs="宋体" w:eastAsia="宋体"/>
          <w:sz w:val="24"/>
          <w:shd w:fill="FFFFFF" w:val="clear"/>
        </w:rPr>
        <w:t>通过网络，实现对无人值守机房视频图像的远程监视。</w:t>
      </w:r>
    </w:p>
    <w:p>
      <w:pPr>
        <w:pStyle w:val="null3"/>
        <w:ind w:firstLine="420"/>
        <w:jc w:val="both"/>
      </w:pPr>
      <w:r>
        <w:rPr>
          <w:rFonts w:ascii="宋体" w:hAnsi="宋体" w:cs="宋体" w:eastAsia="宋体"/>
          <w:sz w:val="24"/>
          <w:b/>
          <w:shd w:fill="FFFFFF" w:val="clear"/>
        </w:rPr>
        <w:t>▲</w:t>
      </w:r>
      <w:r>
        <w:rPr>
          <w:rFonts w:ascii="宋体" w:hAnsi="宋体" w:cs="宋体" w:eastAsia="宋体"/>
          <w:sz w:val="24"/>
          <w:shd w:fill="FFFFFF" w:val="clear"/>
        </w:rPr>
        <w:t>（</w:t>
      </w:r>
      <w:r>
        <w:rPr>
          <w:rFonts w:ascii="宋体" w:hAnsi="宋体" w:cs="宋体" w:eastAsia="宋体"/>
          <w:sz w:val="24"/>
          <w:shd w:fill="FFFFFF" w:val="clear"/>
        </w:rPr>
        <w:t>6）联网功能：</w:t>
      </w:r>
    </w:p>
    <w:p>
      <w:pPr>
        <w:pStyle w:val="null3"/>
        <w:ind w:firstLine="420"/>
        <w:jc w:val="both"/>
      </w:pPr>
      <w:r>
        <w:rPr>
          <w:rFonts w:ascii="宋体" w:hAnsi="宋体" w:cs="宋体" w:eastAsia="宋体"/>
          <w:sz w:val="24"/>
          <w:shd w:fill="FFFFFF" w:val="clear"/>
        </w:rPr>
        <w:t>遵循国家统一的技术标准和规范要求，能够联入厦门市无线电监测控制中心以及省无线电监测指挥中心，实现由市监控中心或省指挥中心直接控制和调度，可与其它监测站联合监测与测向；</w:t>
      </w:r>
    </w:p>
    <w:p>
      <w:pPr>
        <w:pStyle w:val="null3"/>
        <w:ind w:firstLine="420"/>
        <w:jc w:val="both"/>
      </w:pPr>
      <w:r>
        <w:rPr>
          <w:rFonts w:ascii="宋体" w:hAnsi="宋体" w:cs="宋体" w:eastAsia="宋体"/>
          <w:sz w:val="24"/>
          <w:shd w:fill="FFFFFF" w:val="clear"/>
        </w:rPr>
        <w:t>联网协议遵循国家无线电监测中心关于超短波无线电监测网建设规范，满足《超短波监测管理服务接口规范》。</w:t>
      </w:r>
    </w:p>
    <w:p>
      <w:pPr>
        <w:pStyle w:val="null3"/>
        <w:ind w:firstLine="420"/>
        <w:jc w:val="both"/>
      </w:pPr>
      <w:r>
        <w:rPr>
          <w:rFonts w:ascii="宋体" w:hAnsi="宋体" w:cs="宋体" w:eastAsia="宋体"/>
          <w:sz w:val="24"/>
          <w:b/>
          <w:shd w:fill="FFFFFF" w:val="clear"/>
        </w:rPr>
        <w:t>▲</w:t>
      </w:r>
      <w:r>
        <w:rPr>
          <w:rFonts w:ascii="宋体" w:hAnsi="宋体" w:cs="宋体" w:eastAsia="宋体"/>
          <w:sz w:val="24"/>
          <w:shd w:fill="FFFFFF" w:val="clear"/>
        </w:rPr>
        <w:t>（</w:t>
      </w:r>
      <w:r>
        <w:rPr>
          <w:rFonts w:ascii="宋体" w:hAnsi="宋体" w:cs="宋体" w:eastAsia="宋体"/>
          <w:sz w:val="24"/>
          <w:shd w:fill="FFFFFF" w:val="clear"/>
        </w:rPr>
        <w:t>7）系统自检：</w:t>
      </w:r>
    </w:p>
    <w:p>
      <w:pPr>
        <w:pStyle w:val="null3"/>
        <w:ind w:firstLine="420"/>
        <w:jc w:val="both"/>
      </w:pPr>
      <w:r>
        <w:rPr>
          <w:rFonts w:ascii="宋体" w:hAnsi="宋体" w:cs="宋体" w:eastAsia="宋体"/>
          <w:sz w:val="24"/>
          <w:shd w:fill="FFFFFF" w:val="clear"/>
        </w:rPr>
        <w:t>可对系统中的主要组成部分进行自检，通过列表形式显示自检结果，确认设备是否正常工作或确定设备的故障部位，实时掌握系统状态。</w:t>
      </w:r>
    </w:p>
    <w:p>
      <w:pPr>
        <w:pStyle w:val="null3"/>
        <w:ind w:firstLine="420"/>
        <w:jc w:val="both"/>
      </w:pPr>
      <w:r>
        <w:rPr>
          <w:rFonts w:ascii="宋体" w:hAnsi="宋体" w:cs="宋体" w:eastAsia="宋体"/>
          <w:sz w:val="24"/>
          <w:b/>
          <w:shd w:fill="FFFFFF" w:val="clear"/>
        </w:rPr>
        <w:t>▲</w:t>
      </w:r>
      <w:r>
        <w:rPr>
          <w:rFonts w:ascii="宋体" w:hAnsi="宋体" w:cs="宋体" w:eastAsia="宋体"/>
          <w:sz w:val="24"/>
          <w:shd w:fill="FFFFFF" w:val="clear"/>
        </w:rPr>
        <w:t>（</w:t>
      </w:r>
      <w:r>
        <w:rPr>
          <w:rFonts w:ascii="宋体" w:hAnsi="宋体" w:cs="宋体" w:eastAsia="宋体"/>
          <w:sz w:val="24"/>
          <w:shd w:fill="FFFFFF" w:val="clear"/>
        </w:rPr>
        <w:t>8）</w:t>
      </w:r>
      <w:r>
        <w:rPr>
          <w:rFonts w:ascii="宋体" w:hAnsi="宋体" w:cs="宋体" w:eastAsia="宋体"/>
          <w:sz w:val="24"/>
        </w:rPr>
        <w:t>测向系统：</w:t>
      </w:r>
    </w:p>
    <w:p>
      <w:pPr>
        <w:pStyle w:val="null3"/>
        <w:ind w:firstLine="420"/>
        <w:jc w:val="both"/>
      </w:pPr>
      <w:r>
        <w:rPr>
          <w:rFonts w:ascii="宋体" w:hAnsi="宋体" w:cs="宋体" w:eastAsia="宋体"/>
          <w:sz w:val="24"/>
        </w:rPr>
        <w:t>包括测向天线和测向接收机，形成垂直极化、水平极化测向覆盖能力，测向接收机具备宽带测向能力，测向系统与监测系统可实时并行工作。</w:t>
      </w:r>
    </w:p>
    <w:p>
      <w:pPr>
        <w:pStyle w:val="null3"/>
        <w:ind w:firstLine="420"/>
        <w:jc w:val="both"/>
      </w:pPr>
      <w:r>
        <w:rPr>
          <w:rFonts w:ascii="宋体" w:hAnsi="宋体" w:cs="宋体" w:eastAsia="宋体"/>
          <w:sz w:val="24"/>
        </w:rPr>
        <w:t>（</w:t>
      </w:r>
      <w:r>
        <w:rPr>
          <w:rFonts w:ascii="宋体" w:hAnsi="宋体" w:cs="宋体" w:eastAsia="宋体"/>
          <w:sz w:val="24"/>
        </w:rPr>
        <w:t>9）监测接收机具备射频前端预选滤波器</w:t>
      </w:r>
      <w:r>
        <w:rPr>
          <w:rFonts w:ascii="宋体" w:hAnsi="宋体" w:cs="宋体" w:eastAsia="宋体"/>
          <w:sz w:val="24"/>
        </w:rPr>
        <w:t>。</w:t>
      </w:r>
    </w:p>
    <w:p>
      <w:pPr>
        <w:pStyle w:val="null3"/>
        <w:ind w:firstLine="420"/>
        <w:jc w:val="both"/>
      </w:pPr>
      <w:r>
        <w:rPr>
          <w:rFonts w:ascii="宋体" w:hAnsi="宋体" w:cs="宋体" w:eastAsia="宋体"/>
          <w:sz w:val="24"/>
        </w:rPr>
        <w:t>（</w:t>
      </w:r>
      <w:r>
        <w:rPr>
          <w:rFonts w:ascii="宋体" w:hAnsi="宋体" w:cs="宋体" w:eastAsia="宋体"/>
          <w:sz w:val="24"/>
        </w:rPr>
        <w:t>10）监测接收机具有检波器及衰减器。</w:t>
      </w:r>
    </w:p>
    <w:p>
      <w:pPr>
        <w:pStyle w:val="null3"/>
        <w:jc w:val="both"/>
      </w:pPr>
      <w:r>
        <w:rPr>
          <w:rFonts w:ascii="宋体" w:hAnsi="宋体" w:cs="宋体" w:eastAsia="宋体"/>
          <w:sz w:val="24"/>
          <w:b/>
          <w:shd w:fill="FFFFFF" w:val="clear"/>
        </w:rPr>
        <w:t>（三）专用监测功能</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1）公众移动及不明基站监测</w:t>
      </w:r>
    </w:p>
    <w:p>
      <w:pPr>
        <w:pStyle w:val="null3"/>
        <w:ind w:firstLine="420"/>
        <w:jc w:val="both"/>
      </w:pPr>
      <w:r>
        <w:rPr>
          <w:rFonts w:ascii="宋体" w:hAnsi="宋体" w:cs="宋体" w:eastAsia="宋体"/>
          <w:sz w:val="24"/>
          <w:shd w:fill="FFFFFF" w:val="clear"/>
        </w:rPr>
        <w:t>能对公众移动通信（</w:t>
      </w:r>
      <w:r>
        <w:rPr>
          <w:rFonts w:ascii="宋体" w:hAnsi="宋体" w:cs="宋体" w:eastAsia="宋体"/>
          <w:sz w:val="24"/>
          <w:shd w:fill="FFFFFF" w:val="clear"/>
        </w:rPr>
        <w:t>2G/3G/4G/5G）信号进行解码，并识别伪基站和不明基站。</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2）多路窄带信号监听</w:t>
      </w:r>
    </w:p>
    <w:p>
      <w:pPr>
        <w:pStyle w:val="null3"/>
        <w:ind w:firstLine="420"/>
        <w:jc w:val="both"/>
      </w:pPr>
      <w:r>
        <w:rPr>
          <w:rFonts w:ascii="宋体" w:hAnsi="宋体" w:cs="宋体" w:eastAsia="宋体"/>
          <w:sz w:val="24"/>
          <w:shd w:fill="FFFFFF" w:val="clear"/>
        </w:rPr>
        <w:t>可用于同时进行至少</w:t>
      </w:r>
      <w:r>
        <w:rPr>
          <w:rFonts w:ascii="宋体" w:hAnsi="宋体" w:cs="宋体" w:eastAsia="宋体"/>
          <w:sz w:val="24"/>
          <w:shd w:fill="FFFFFF" w:val="clear"/>
        </w:rPr>
        <w:t>32路的信道侦测，对多进行声音、IQ、电平、频谱进行测量。</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3）数字对讲机解调</w:t>
      </w:r>
    </w:p>
    <w:p>
      <w:pPr>
        <w:pStyle w:val="null3"/>
        <w:ind w:firstLine="420"/>
        <w:jc w:val="both"/>
      </w:pPr>
      <w:r>
        <w:rPr>
          <w:rFonts w:ascii="宋体" w:hAnsi="宋体" w:cs="宋体" w:eastAsia="宋体"/>
          <w:sz w:val="24"/>
          <w:shd w:fill="FFFFFF" w:val="clear"/>
        </w:rPr>
        <w:t>支持</w:t>
      </w:r>
      <w:r>
        <w:rPr>
          <w:rFonts w:ascii="宋体" w:hAnsi="宋体" w:cs="宋体" w:eastAsia="宋体"/>
          <w:sz w:val="24"/>
          <w:shd w:fill="FFFFFF" w:val="clear"/>
        </w:rPr>
        <w:t>DMR、NXDN、DPMR、PDT、TETRA主流数字对讲标准通信协议解析支持DMR、NXDN、DPMR、PDT、TETRA主流数字对讲标准通信协议解析。</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4）ADS-B信号识别与分析</w:t>
      </w:r>
    </w:p>
    <w:p>
      <w:pPr>
        <w:pStyle w:val="null3"/>
        <w:ind w:firstLine="420"/>
        <w:jc w:val="both"/>
      </w:pPr>
      <w:r>
        <w:rPr>
          <w:rFonts w:ascii="宋体" w:hAnsi="宋体" w:cs="宋体" w:eastAsia="宋体"/>
          <w:sz w:val="24"/>
          <w:shd w:fill="FFFFFF" w:val="clear"/>
        </w:rPr>
        <w:t>具备</w:t>
      </w:r>
      <w:r>
        <w:rPr>
          <w:rFonts w:ascii="宋体" w:hAnsi="宋体" w:cs="宋体" w:eastAsia="宋体"/>
          <w:sz w:val="24"/>
          <w:shd w:fill="FFFFFF" w:val="clear"/>
        </w:rPr>
        <w:t>ADS-B信号识别与分析功能，既能获取飞行航线轨迹信息，包括飞行器的经度、纬度、高度、速度、航向等信息。</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5）信号解调识别与分析</w:t>
      </w:r>
    </w:p>
    <w:p>
      <w:pPr>
        <w:pStyle w:val="null3"/>
        <w:ind w:firstLine="420"/>
        <w:jc w:val="both"/>
      </w:pPr>
      <w:r>
        <w:rPr>
          <w:rFonts w:ascii="宋体" w:hAnsi="宋体" w:cs="宋体" w:eastAsia="宋体"/>
          <w:sz w:val="24"/>
          <w:shd w:fill="FFFFFF" w:val="clear"/>
        </w:rPr>
        <w:t>可以针对扫描的信号进行调制方式识别和分析，包括</w:t>
      </w:r>
      <w:r>
        <w:rPr>
          <w:rFonts w:ascii="宋体" w:hAnsi="宋体" w:cs="宋体" w:eastAsia="宋体"/>
          <w:sz w:val="24"/>
          <w:shd w:fill="FFFFFF" w:val="clear"/>
        </w:rPr>
        <w:t>AM、FM、CW、ASK、PSK、DPSK、QAM、FSK、MSK 等。</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6）频谱使用评估数据采集</w:t>
      </w:r>
    </w:p>
    <w:p>
      <w:pPr>
        <w:pStyle w:val="null3"/>
        <w:ind w:firstLine="420"/>
        <w:jc w:val="both"/>
      </w:pPr>
      <w:r>
        <w:rPr>
          <w:rFonts w:ascii="宋体" w:hAnsi="宋体" w:cs="宋体" w:eastAsia="宋体"/>
          <w:sz w:val="24"/>
          <w:shd w:fill="FFFFFF" w:val="clear"/>
        </w:rPr>
        <w:t>可进行频谱评估的固定站数据采集，能同时对多个站进行采集控制。采集数据符合国家频谱使用评估格式。</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7）环境监测控制</w:t>
      </w:r>
    </w:p>
    <w:p>
      <w:pPr>
        <w:pStyle w:val="null3"/>
        <w:ind w:firstLine="420"/>
        <w:jc w:val="both"/>
      </w:pPr>
      <w:r>
        <w:rPr>
          <w:rFonts w:ascii="宋体" w:hAnsi="宋体" w:cs="宋体" w:eastAsia="宋体"/>
          <w:sz w:val="24"/>
          <w:shd w:fill="FFFFFF" w:val="clear"/>
        </w:rPr>
        <w:t>具备环境监控信息（温度、湿度、断电、主开关状态、设备开关状态）自动采集功能和记录功能。</w:t>
      </w:r>
    </w:p>
    <w:p>
      <w:pPr>
        <w:pStyle w:val="null3"/>
        <w:ind w:firstLine="482"/>
      </w:pPr>
      <w:r>
        <w:rPr>
          <w:rFonts w:ascii="宋体" w:hAnsi="宋体" w:cs="宋体" w:eastAsia="宋体"/>
          <w:sz w:val="24"/>
          <w:b/>
          <w:shd w:fill="FFFFFF" w:val="clear"/>
        </w:rPr>
        <w:t>★</w:t>
      </w:r>
      <w:r>
        <w:rPr>
          <w:rFonts w:ascii="宋体" w:hAnsi="宋体" w:cs="宋体" w:eastAsia="宋体"/>
          <w:sz w:val="24"/>
          <w:shd w:fill="FFFFFF" w:val="clear"/>
        </w:rPr>
        <w:t>(8)</w:t>
      </w:r>
      <w:r>
        <w:rPr>
          <w:rFonts w:ascii="宋体" w:hAnsi="宋体" w:cs="宋体" w:eastAsia="宋体"/>
          <w:sz w:val="24"/>
        </w:rPr>
        <w:t>AIS船舶监测</w:t>
      </w:r>
    </w:p>
    <w:p>
      <w:pPr>
        <w:pStyle w:val="null3"/>
        <w:ind w:firstLine="480"/>
        <w:jc w:val="both"/>
      </w:pPr>
      <w:r>
        <w:rPr>
          <w:rFonts w:ascii="宋体" w:hAnsi="宋体" w:cs="宋体" w:eastAsia="宋体"/>
          <w:sz w:val="24"/>
        </w:rPr>
        <w:t>具备船舶自动识别系统（</w:t>
      </w:r>
      <w:r>
        <w:rPr>
          <w:rFonts w:ascii="宋体" w:hAnsi="宋体" w:cs="宋体" w:eastAsia="宋体"/>
          <w:sz w:val="24"/>
        </w:rPr>
        <w:t>AIS），可接收AIS无线信号，通过IQ数据实时进行解调、解码，能够显示、存储、查询、实时监控船舶属性及航向参数，在地图上的呈现船舶位置、轨迹。</w:t>
      </w:r>
    </w:p>
    <w:p>
      <w:pPr>
        <w:pStyle w:val="null3"/>
        <w:ind w:firstLine="480"/>
        <w:jc w:val="both"/>
      </w:pPr>
      <w:r>
        <w:rPr>
          <w:rFonts w:ascii="宋体" w:hAnsi="宋体" w:cs="宋体" w:eastAsia="宋体"/>
          <w:sz w:val="24"/>
        </w:rPr>
        <w:t>（</w:t>
      </w:r>
      <w:r>
        <w:rPr>
          <w:rFonts w:ascii="宋体" w:hAnsi="宋体" w:cs="宋体" w:eastAsia="宋体"/>
          <w:sz w:val="24"/>
        </w:rPr>
        <w:t>9）偶发信号回放功能；</w:t>
      </w:r>
    </w:p>
    <w:p>
      <w:pPr>
        <w:pStyle w:val="null3"/>
        <w:ind w:firstLine="480"/>
        <w:jc w:val="both"/>
      </w:pPr>
      <w:r>
        <w:rPr>
          <w:rFonts w:ascii="宋体" w:hAnsi="宋体" w:cs="宋体" w:eastAsia="宋体"/>
          <w:sz w:val="24"/>
        </w:rPr>
        <w:t>（</w:t>
      </w:r>
      <w:r>
        <w:rPr>
          <w:rFonts w:ascii="宋体" w:hAnsi="宋体" w:cs="宋体" w:eastAsia="宋体"/>
          <w:sz w:val="24"/>
        </w:rPr>
        <w:t>10）监测接收机具备信号I/Q数据记录功能；</w:t>
      </w:r>
    </w:p>
    <w:p>
      <w:pPr>
        <w:pStyle w:val="null3"/>
        <w:ind w:firstLine="480"/>
        <w:jc w:val="both"/>
      </w:pPr>
      <w:r>
        <w:rPr>
          <w:rFonts w:ascii="宋体" w:hAnsi="宋体" w:cs="宋体" w:eastAsia="宋体"/>
          <w:sz w:val="24"/>
        </w:rPr>
        <w:t>（</w:t>
      </w:r>
      <w:r>
        <w:rPr>
          <w:rFonts w:ascii="宋体" w:hAnsi="宋体" w:cs="宋体" w:eastAsia="宋体"/>
          <w:sz w:val="24"/>
        </w:rPr>
        <w:t>11）监测接收机具备对不同脉宽的短时信号频率和电平监测能力POI（100%最短信号截获时长）；</w:t>
      </w:r>
    </w:p>
    <w:p>
      <w:pPr>
        <w:pStyle w:val="null3"/>
        <w:ind w:firstLine="480"/>
        <w:jc w:val="both"/>
      </w:pPr>
      <w:r>
        <w:rPr>
          <w:rFonts w:ascii="宋体" w:hAnsi="宋体" w:cs="宋体" w:eastAsia="宋体"/>
          <w:sz w:val="24"/>
        </w:rPr>
        <w:t>（</w:t>
      </w:r>
      <w:r>
        <w:rPr>
          <w:rFonts w:ascii="宋体" w:hAnsi="宋体" w:cs="宋体" w:eastAsia="宋体"/>
          <w:sz w:val="24"/>
        </w:rPr>
        <w:t>12）监测接收机具备实时历史频谱信号回溯功能。</w:t>
      </w:r>
    </w:p>
    <w:p>
      <w:pPr>
        <w:pStyle w:val="null3"/>
        <w:jc w:val="both"/>
      </w:pPr>
      <w:r>
        <w:rPr>
          <w:rFonts w:ascii="宋体" w:hAnsi="宋体" w:cs="宋体" w:eastAsia="宋体"/>
          <w:sz w:val="24"/>
          <w:b/>
          <w:shd w:fill="FFFFFF" w:val="clear"/>
        </w:rPr>
        <w:t>（四）、相关技术标准和依据</w:t>
      </w:r>
    </w:p>
    <w:p>
      <w:pPr>
        <w:pStyle w:val="null3"/>
        <w:ind w:firstLine="420"/>
        <w:jc w:val="both"/>
      </w:pPr>
      <w:r>
        <w:rPr>
          <w:rFonts w:ascii="宋体" w:hAnsi="宋体" w:cs="宋体" w:eastAsia="宋体"/>
          <w:sz w:val="24"/>
          <w:shd w:fill="FFFFFF" w:val="clear"/>
        </w:rPr>
        <w:t>本项目的建设须严格按照国家相关标准进行总体设计、规划、建设和实施，技术标准应满足以下文件主要要求：</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1）《频谱监测手册》（2011版）；</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2）《省级无线电监测设施建设规范和技术要求（试行）》（国无办〔2019〕3号）；</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3）GB/T34089-2017《VHF/UHF无线电监测测向系统开场测试参数和测试方法》；</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4）</w:t>
      </w:r>
      <w:r>
        <w:rPr>
          <w:rFonts w:ascii="&quot;times new roman&quot;" w:hAnsi="&quot;times new roman&quot;" w:cs="&quot;times new roman&quot;" w:eastAsia="&quot;times new roman&quot;"/>
          <w:sz w:val="24"/>
        </w:rPr>
        <w:t>YD/T 3811-2020</w:t>
      </w:r>
      <w:r>
        <w:rPr>
          <w:rFonts w:ascii="宋体" w:hAnsi="宋体" w:cs="宋体" w:eastAsia="宋体"/>
          <w:sz w:val="24"/>
        </w:rPr>
        <w:t>《</w:t>
      </w:r>
      <w:r>
        <w:rPr>
          <w:rFonts w:ascii="times new roman, times, serif" w:hAnsi="times new roman, times, serif" w:cs="times new roman, times, serif" w:eastAsia="times new roman, times, serif"/>
          <w:sz w:val="24"/>
        </w:rPr>
        <w:t xml:space="preserve">3GHz~12.75GHz </w:t>
      </w:r>
      <w:r>
        <w:rPr>
          <w:rFonts w:ascii="宋体" w:hAnsi="宋体" w:cs="宋体" w:eastAsia="宋体"/>
          <w:sz w:val="24"/>
        </w:rPr>
        <w:t>频段无线电测向系统测试方法》</w:t>
      </w:r>
      <w:r>
        <w:rPr>
          <w:rFonts w:ascii="宋体" w:hAnsi="宋体" w:cs="宋体" w:eastAsia="宋体"/>
          <w:sz w:val="24"/>
          <w:shd w:fill="FFFFFF" w:val="clear"/>
        </w:rPr>
        <w:t>；</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5）GB/T32401-2015《VHF/UHF频段无线电监测接收机技术要求及测试方法》；</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6）《超短波频段监测数据统计汇总数据库结构技术标准》；</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7）《无线电管理基础和技术设施建设项目管理指导意见》（国无办函〔2019〕21号）；</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8）YD/T3699-2020《无线电管理一体化平台体系架构及应用规范》；</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9）YD/T3700-2020《超短波监测管理一体化平台技术规范》；</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10）《VHF/UHF无线电监测测向系统现场测试方法》（2015-0708T-YD）；</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11）《固定测向系统测向精度的现场测试程序》（ITU-R SM.2097）；</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12）《测向系统测向精度的测试程序》（ITU-R SM.2060）；</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13）《VHF/UHF频率范围内测向系统测向灵敏度的测试程序》（ITU-R SM.2096）；</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14）《超短波频段无线电监测网数据库结构技术标准》；</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15）最新相关行业标准及规范。</w:t>
      </w:r>
    </w:p>
    <w:p>
      <w:pPr>
        <w:pStyle w:val="null3"/>
        <w:jc w:val="both"/>
      </w:pPr>
      <w:r>
        <w:rPr>
          <w:rFonts w:ascii="宋体" w:hAnsi="宋体" w:cs="宋体" w:eastAsia="宋体"/>
          <w:sz w:val="24"/>
          <w:b/>
          <w:shd w:fill="FFFFFF" w:val="clear"/>
        </w:rPr>
        <w:t>（五）、项目设备清单和主要技术参数及服务</w:t>
      </w:r>
    </w:p>
    <w:p>
      <w:pPr>
        <w:pStyle w:val="null3"/>
        <w:ind w:firstLine="420"/>
        <w:jc w:val="both"/>
      </w:pPr>
      <w:r>
        <w:rPr>
          <w:rFonts w:ascii="宋体" w:hAnsi="宋体" w:cs="宋体" w:eastAsia="宋体"/>
          <w:sz w:val="24"/>
          <w:b/>
          <w:shd w:fill="FFFFFF" w:val="clear"/>
        </w:rPr>
        <w:t>（</w:t>
      </w:r>
      <w:r>
        <w:rPr>
          <w:rFonts w:ascii="宋体" w:hAnsi="宋体" w:cs="宋体" w:eastAsia="宋体"/>
          <w:sz w:val="24"/>
          <w:b/>
          <w:shd w:fill="FFFFFF" w:val="clear"/>
        </w:rPr>
        <w:t>1）设备配置清单及要求</w:t>
      </w:r>
    </w:p>
    <w:p>
      <w:pPr>
        <w:pStyle w:val="null3"/>
        <w:ind w:firstLine="420"/>
        <w:jc w:val="both"/>
      </w:pPr>
      <w:r>
        <w:rPr>
          <w:rFonts w:ascii="宋体" w:hAnsi="宋体" w:cs="宋体" w:eastAsia="宋体"/>
          <w:sz w:val="24"/>
          <w:b/>
          <w:shd w:fill="FFFFFF" w:val="clear"/>
        </w:rPr>
        <w:t>★</w:t>
      </w:r>
      <w:r>
        <w:rPr>
          <w:rFonts w:ascii="宋体" w:hAnsi="宋体" w:cs="宋体" w:eastAsia="宋体"/>
          <w:sz w:val="24"/>
          <w:shd w:fill="FFFFFF" w:val="clear"/>
        </w:rPr>
        <w:t>表</w:t>
      </w:r>
      <w:r>
        <w:rPr>
          <w:rFonts w:ascii="宋体" w:hAnsi="宋体" w:cs="宋体" w:eastAsia="宋体"/>
          <w:sz w:val="24"/>
          <w:shd w:fill="FFFFFF" w:val="clear"/>
        </w:rPr>
        <w:t>1 二类固定监测站配置明细（最低配置要求）</w:t>
      </w:r>
    </w:p>
    <w:tbl>
      <w:tblPr>
        <w:tblW w:w="0" w:type="auto"/>
        <w:tblBorders>
          <w:top w:val="none" w:color="000000" w:sz="4"/>
          <w:left w:val="none" w:color="000000" w:sz="4"/>
          <w:bottom w:val="none" w:color="000000" w:sz="4"/>
          <w:right w:val="none" w:color="000000" w:sz="4"/>
          <w:insideH w:val="none"/>
          <w:insideV w:val="none"/>
        </w:tblBorders>
      </w:tblPr>
      <w:tblGrid>
        <w:gridCol w:w="872"/>
        <w:gridCol w:w="1786"/>
        <w:gridCol w:w="4828"/>
        <w:gridCol w:w="777"/>
      </w:tblGrid>
      <w:tr>
        <w:tc>
          <w:tcPr>
            <w:tcW w:type="dxa" w:w="8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序号</w:t>
            </w:r>
          </w:p>
        </w:tc>
        <w:tc>
          <w:tcPr>
            <w:tcW w:type="dxa" w:w="17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内容</w:t>
            </w:r>
          </w:p>
        </w:tc>
        <w:tc>
          <w:tcPr>
            <w:tcW w:type="dxa" w:w="48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规格型号</w:t>
            </w:r>
          </w:p>
        </w:tc>
        <w:tc>
          <w:tcPr>
            <w:tcW w:type="dxa" w:w="7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数量</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天馈系统</w:t>
            </w:r>
          </w:p>
        </w:tc>
        <w:tc>
          <w:tcPr>
            <w:tcW w:type="dxa" w:w="4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监测：</w:t>
            </w:r>
            <w:r>
              <w:rPr>
                <w:rFonts w:ascii="宋体" w:hAnsi="宋体" w:cs="宋体" w:eastAsia="宋体"/>
                <w:sz w:val="24"/>
              </w:rPr>
              <w:t>20MHz～8GHz；</w:t>
            </w:r>
          </w:p>
          <w:p>
            <w:pPr>
              <w:pStyle w:val="null3"/>
              <w:jc w:val="both"/>
            </w:pPr>
            <w:r>
              <w:rPr>
                <w:rFonts w:ascii="宋体" w:hAnsi="宋体" w:cs="宋体" w:eastAsia="宋体"/>
                <w:sz w:val="24"/>
              </w:rPr>
              <w:t>测向：</w:t>
            </w:r>
            <w:r>
              <w:rPr>
                <w:rFonts w:ascii="宋体" w:hAnsi="宋体" w:cs="宋体" w:eastAsia="宋体"/>
                <w:sz w:val="24"/>
              </w:rPr>
              <w:t>30MHz～8GHz（垂直极化）；</w:t>
            </w:r>
          </w:p>
          <w:p>
            <w:pPr>
              <w:pStyle w:val="null3"/>
              <w:jc w:val="both"/>
            </w:pPr>
            <w:r>
              <w:rPr>
                <w:rFonts w:ascii="宋体" w:hAnsi="宋体" w:cs="宋体" w:eastAsia="宋体"/>
                <w:sz w:val="24"/>
              </w:rPr>
              <w:t>40MHz～1.3GHz（水平极化）；</w:t>
            </w:r>
          </w:p>
          <w:p>
            <w:pPr>
              <w:pStyle w:val="null3"/>
              <w:jc w:val="both"/>
            </w:pPr>
            <w:r>
              <w:rPr>
                <w:rFonts w:ascii="宋体" w:hAnsi="宋体" w:cs="宋体" w:eastAsia="宋体"/>
                <w:sz w:val="24"/>
              </w:rPr>
              <w:t>室外铁塔建设（改造或新建）；</w:t>
            </w:r>
          </w:p>
          <w:p>
            <w:pPr>
              <w:pStyle w:val="null3"/>
              <w:jc w:val="both"/>
            </w:pPr>
            <w:r>
              <w:rPr>
                <w:rFonts w:ascii="宋体" w:hAnsi="宋体" w:cs="宋体" w:eastAsia="宋体"/>
                <w:sz w:val="24"/>
              </w:rPr>
              <w:t>防雷系统符合固定监测站建设规范。</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监测接收机</w:t>
            </w:r>
          </w:p>
        </w:tc>
        <w:tc>
          <w:tcPr>
            <w:tcW w:type="dxa" w:w="4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20MHz～8GHz。</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测向接收机</w:t>
            </w:r>
          </w:p>
        </w:tc>
        <w:tc>
          <w:tcPr>
            <w:tcW w:type="dxa" w:w="4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30MHz～8GHz。</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无线电监测测向应用软件</w:t>
            </w:r>
          </w:p>
        </w:tc>
        <w:tc>
          <w:tcPr>
            <w:tcW w:type="dxa" w:w="4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支持接入一体化平台的原子协议。</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UPS（含电池组）</w:t>
            </w:r>
          </w:p>
        </w:tc>
        <w:tc>
          <w:tcPr>
            <w:tcW w:type="dxa" w:w="4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断电后维持系统正常工作不低于</w:t>
            </w:r>
            <w:r>
              <w:rPr>
                <w:rFonts w:ascii="宋体" w:hAnsi="宋体" w:cs="宋体" w:eastAsia="宋体"/>
                <w:sz w:val="24"/>
              </w:rPr>
              <w:t>8小时。</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网络平台</w:t>
            </w:r>
          </w:p>
        </w:tc>
        <w:tc>
          <w:tcPr>
            <w:tcW w:type="dxa" w:w="4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传输速度</w:t>
            </w:r>
            <w:r>
              <w:rPr>
                <w:rFonts w:ascii="宋体" w:hAnsi="宋体" w:cs="宋体" w:eastAsia="宋体"/>
                <w:sz w:val="24"/>
              </w:rPr>
              <w:t>：</w:t>
            </w:r>
            <w:r>
              <w:rPr>
                <w:rFonts w:ascii="宋体" w:hAnsi="宋体" w:cs="宋体" w:eastAsia="宋体"/>
                <w:sz w:val="24"/>
              </w:rPr>
              <w:t>10Mbps/100Mbps/1000Mbps。</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集成附件</w:t>
            </w:r>
          </w:p>
        </w:tc>
        <w:tc>
          <w:tcPr>
            <w:tcW w:type="dxa" w:w="4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包括控制线缆、馈线避雷器、安装支架、一体化</w:t>
            </w:r>
            <w:r>
              <w:rPr>
                <w:rFonts w:ascii="宋体" w:hAnsi="宋体" w:cs="宋体" w:eastAsia="宋体"/>
                <w:sz w:val="24"/>
              </w:rPr>
              <w:t>KVM等。</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数据处理平台</w:t>
            </w:r>
          </w:p>
        </w:tc>
        <w:tc>
          <w:tcPr>
            <w:tcW w:type="dxa" w:w="4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作为软件原子服务转换和其他外设连接；</w:t>
            </w:r>
          </w:p>
          <w:p>
            <w:pPr>
              <w:pStyle w:val="null3"/>
              <w:jc w:val="both"/>
            </w:pPr>
            <w:r>
              <w:rPr>
                <w:rFonts w:ascii="宋体" w:hAnsi="宋体" w:cs="宋体" w:eastAsia="宋体"/>
                <w:sz w:val="24"/>
              </w:rPr>
              <w:t>不低于</w:t>
            </w:r>
            <w:r>
              <w:rPr>
                <w:rFonts w:ascii="宋体" w:hAnsi="宋体" w:cs="宋体" w:eastAsia="宋体"/>
                <w:sz w:val="24"/>
              </w:rPr>
              <w:t>8核心16线程2.4G主频14纳米制作工艺，内存24G/硬盘8TB。</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9</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机房</w:t>
            </w:r>
            <w:r>
              <w:rPr>
                <w:rFonts w:ascii="宋体" w:hAnsi="宋体" w:cs="宋体" w:eastAsia="宋体"/>
                <w:sz w:val="24"/>
              </w:rPr>
              <w:t>/机柜及附属设施</w:t>
            </w:r>
          </w:p>
        </w:tc>
        <w:tc>
          <w:tcPr>
            <w:tcW w:type="dxa" w:w="4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包含但不限于：接入动环设备（温湿度、</w:t>
            </w:r>
            <w:r>
              <w:rPr>
                <w:rFonts w:ascii="宋体" w:hAnsi="宋体" w:cs="宋体" w:eastAsia="宋体"/>
                <w:sz w:val="24"/>
              </w:rPr>
              <w:t>PDU等），配套室内外机柜，网络、电源改造等确保固定监测在安全可靠运行的必要附属设施。</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bl>
    <w:p>
      <w:pPr>
        <w:pStyle w:val="null3"/>
        <w:ind w:firstLine="420"/>
        <w:jc w:val="both"/>
      </w:pPr>
      <w:r>
        <w:rPr>
          <w:rFonts w:ascii="宋体" w:hAnsi="宋体" w:cs="宋体" w:eastAsia="宋体"/>
          <w:sz w:val="24"/>
          <w:b/>
          <w:shd w:fill="FFFFFF" w:val="clear"/>
        </w:rPr>
        <w:t>★各投标人分项报价以表1所列配置清单为基础，其他诸如勘查、设计、铁塔或机房的改造（新建）、施工、检验、测试、交通、运输、验收等所有配套费用均包含在投标总价中并摊入设备清单，不得单列。</w:t>
      </w:r>
    </w:p>
    <w:p>
      <w:pPr>
        <w:pStyle w:val="null3"/>
        <w:ind w:firstLine="420"/>
        <w:jc w:val="both"/>
      </w:pPr>
      <w:r>
        <w:rPr>
          <w:rFonts w:ascii="宋体" w:hAnsi="宋体" w:cs="宋体" w:eastAsia="宋体"/>
          <w:sz w:val="24"/>
          <w:shd w:fill="FFFFFF" w:val="clear"/>
        </w:rPr>
        <w:t>固定监测站系统由天馈、监测、测向、电源及控制系统等组成。</w:t>
      </w:r>
    </w:p>
    <w:p>
      <w:pPr>
        <w:pStyle w:val="null3"/>
        <w:ind w:firstLine="480"/>
        <w:jc w:val="both"/>
      </w:pPr>
      <w:r>
        <w:rPr>
          <w:rFonts w:ascii="宋体" w:hAnsi="宋体" w:cs="宋体" w:eastAsia="宋体"/>
          <w:sz w:val="24"/>
          <w:b/>
          <w:shd w:fill="FFFFFF" w:val="clear"/>
        </w:rPr>
        <w:t>★</w:t>
      </w:r>
      <w:r>
        <w:rPr>
          <w:rFonts w:ascii="宋体" w:hAnsi="宋体" w:cs="宋体" w:eastAsia="宋体"/>
          <w:sz w:val="24"/>
          <w:shd w:fill="FFFFFF" w:val="clear"/>
        </w:rPr>
        <w:t>1、</w:t>
      </w:r>
      <w:r>
        <w:rPr>
          <w:rFonts w:ascii="宋体" w:hAnsi="宋体" w:cs="宋体" w:eastAsia="宋体"/>
          <w:sz w:val="24"/>
          <w:color w:val="000000"/>
        </w:rPr>
        <w:t>固定监测站系统由</w:t>
      </w:r>
      <w:r>
        <w:rPr>
          <w:rFonts w:ascii="宋体" w:hAnsi="宋体" w:cs="宋体" w:eastAsia="宋体"/>
          <w:sz w:val="24"/>
        </w:rPr>
        <w:t>天馈、监测、测向、电源及控制系统等组成。为确保系统运行稳定，运行效果最佳，要求监测天线、测向天线、监测接收机、测向接收机为同一品牌。</w:t>
      </w:r>
    </w:p>
    <w:p>
      <w:pPr>
        <w:pStyle w:val="null3"/>
        <w:ind w:firstLine="420"/>
        <w:jc w:val="both"/>
      </w:pPr>
      <w:r>
        <w:rPr>
          <w:rFonts w:ascii="宋体" w:hAnsi="宋体" w:cs="宋体" w:eastAsia="宋体"/>
          <w:sz w:val="24"/>
          <w:shd w:fill="FFFFFF" w:val="clear"/>
        </w:rPr>
        <w:t>2、监测系统包括监测天线组、天线控制器及宽带监测接收机，形成垂直极化、水平极化监测覆盖能力。</w:t>
      </w:r>
    </w:p>
    <w:p>
      <w:pPr>
        <w:pStyle w:val="null3"/>
        <w:ind w:firstLine="420"/>
        <w:jc w:val="both"/>
      </w:pPr>
      <w:r>
        <w:rPr>
          <w:rFonts w:ascii="宋体" w:hAnsi="宋体" w:cs="宋体" w:eastAsia="宋体"/>
          <w:sz w:val="24"/>
          <w:shd w:fill="FFFFFF" w:val="clear"/>
        </w:rPr>
        <w:t>3、测向系统包括测向天线和测向接收机，形成垂直极化、水平极化测向覆盖能力，测向接收机具备宽带测向能力，测向系统与监测系统可实时并行工作。</w:t>
      </w:r>
    </w:p>
    <w:p>
      <w:pPr>
        <w:pStyle w:val="null3"/>
        <w:ind w:firstLine="420"/>
        <w:jc w:val="both"/>
      </w:pPr>
      <w:r>
        <w:rPr>
          <w:rFonts w:ascii="宋体" w:hAnsi="宋体" w:cs="宋体" w:eastAsia="宋体"/>
          <w:sz w:val="24"/>
          <w:shd w:fill="FFFFFF" w:val="clear"/>
        </w:rPr>
        <w:t>4、电源系统包括正常情况下市电供电和断电情况下供电。正常情况系统采用市电供电；为保证设备在突然断电的情况下继续使用，系统需配备2000VA UPS电源及48V铅酸电池组，保证在市电停电的情况下，固定监测站连续工作时间不少于8小时。监测系统能在电池电量低时及时报警，并在电量不足时提前自动关机，在电池电量未耗尽时来电后自动启动。</w:t>
      </w:r>
    </w:p>
    <w:p>
      <w:pPr>
        <w:pStyle w:val="null3"/>
        <w:ind w:firstLine="420"/>
        <w:jc w:val="both"/>
      </w:pPr>
      <w:r>
        <w:rPr>
          <w:rFonts w:ascii="宋体" w:hAnsi="宋体" w:cs="宋体" w:eastAsia="宋体"/>
          <w:sz w:val="24"/>
          <w:shd w:fill="FFFFFF" w:val="clear"/>
        </w:rPr>
        <w:t>5、控制系统包括数据处理平台、网络平台、遥控设备、一体化KVM等。</w:t>
      </w:r>
    </w:p>
    <w:p>
      <w:pPr>
        <w:pStyle w:val="null3"/>
        <w:ind w:firstLine="420"/>
        <w:jc w:val="both"/>
      </w:pPr>
      <w:r>
        <w:rPr>
          <w:rFonts w:ascii="宋体" w:hAnsi="宋体" w:cs="宋体" w:eastAsia="宋体"/>
          <w:sz w:val="24"/>
          <w:shd w:fill="FFFFFF" w:val="clear"/>
        </w:rPr>
        <w:t>6、专项监测：系统配备电视信号监测系统，实现对地面广播电视声音、图像信号的监视识别。</w:t>
      </w:r>
    </w:p>
    <w:p>
      <w:pPr>
        <w:pStyle w:val="null3"/>
        <w:ind w:firstLine="420"/>
        <w:jc w:val="both"/>
      </w:pPr>
      <w:r>
        <w:rPr>
          <w:rFonts w:ascii="宋体" w:hAnsi="宋体" w:cs="宋体" w:eastAsia="宋体"/>
          <w:sz w:val="24"/>
          <w:shd w:fill="FFFFFF" w:val="clear"/>
        </w:rPr>
        <w:t>7、监测测向设施（天线等）室外的设备必须具有防腐、防盐雾、抗风等防护措施，符合《省级无线电监测设施建设规范和技术要求（试行）》中的相关规定。室外设备防水防护等级要求不低于IP66。天线等雷电保护等级不低于150 kA。</w:t>
      </w:r>
    </w:p>
    <w:p>
      <w:pPr>
        <w:pStyle w:val="null3"/>
        <w:ind w:firstLine="420"/>
        <w:jc w:val="both"/>
      </w:pPr>
      <w:r>
        <w:rPr>
          <w:rFonts w:ascii="宋体" w:hAnsi="宋体" w:cs="宋体" w:eastAsia="宋体"/>
          <w:sz w:val="24"/>
          <w:shd w:fill="FFFFFF" w:val="clear"/>
        </w:rPr>
        <w:t>8、本站点具有高山、高楼、高塔等地理要素，投标人应采取必要措施文明施工，确保施工安全。投标人施工期间出现的一切事故由投标人承担损失并赔偿。</w:t>
      </w:r>
    </w:p>
    <w:p>
      <w:pPr>
        <w:pStyle w:val="null3"/>
        <w:jc w:val="both"/>
      </w:pPr>
      <w:r>
        <w:rPr>
          <w:rFonts w:ascii="宋体" w:hAnsi="宋体" w:cs="宋体" w:eastAsia="宋体"/>
          <w:sz w:val="24"/>
          <w:b/>
          <w:shd w:fill="FFFFFF" w:val="clear"/>
        </w:rPr>
        <w:t>（</w:t>
      </w:r>
      <w:r>
        <w:rPr>
          <w:rFonts w:ascii="宋体" w:hAnsi="宋体" w:cs="宋体" w:eastAsia="宋体"/>
          <w:sz w:val="24"/>
          <w:b/>
          <w:shd w:fill="FFFFFF" w:val="clear"/>
        </w:rPr>
        <w:t>2）主要技术参数要求</w:t>
      </w:r>
    </w:p>
    <w:p>
      <w:pPr>
        <w:pStyle w:val="null3"/>
        <w:ind w:firstLine="420"/>
        <w:jc w:val="both"/>
      </w:pPr>
      <w:r>
        <w:rPr>
          <w:rFonts w:ascii="宋体" w:hAnsi="宋体" w:cs="宋体" w:eastAsia="宋体"/>
          <w:sz w:val="24"/>
          <w:shd w:fill="FFFFFF" w:val="clear"/>
        </w:rPr>
        <w:t>★表2  二类固定监测站技术指标</w:t>
      </w:r>
    </w:p>
    <w:tbl>
      <w:tblPr>
        <w:tblW w:w="0" w:type="auto"/>
        <w:tblBorders>
          <w:top w:val="none" w:color="000000" w:sz="4"/>
          <w:left w:val="none" w:color="000000" w:sz="4"/>
          <w:bottom w:val="none" w:color="000000" w:sz="4"/>
          <w:right w:val="none" w:color="000000" w:sz="4"/>
          <w:insideH w:val="none"/>
          <w:insideV w:val="none"/>
        </w:tblBorders>
      </w:tblPr>
      <w:tblGrid>
        <w:gridCol w:w="3302"/>
        <w:gridCol w:w="4989"/>
      </w:tblGrid>
      <w:tr>
        <w:tc>
          <w:tcPr>
            <w:tcW w:type="dxa" w:w="3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指标名称</w:t>
            </w:r>
          </w:p>
        </w:tc>
        <w:tc>
          <w:tcPr>
            <w:tcW w:type="dxa" w:w="4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指标要求</w:t>
            </w:r>
          </w:p>
        </w:tc>
      </w:tr>
      <w:tr>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监测频率范围</w:t>
            </w:r>
          </w:p>
        </w:tc>
        <w:tc>
          <w:tcPr>
            <w:tcW w:type="dxa" w:w="4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包括但不限于</w:t>
            </w:r>
            <w:r>
              <w:rPr>
                <w:rFonts w:ascii="宋体" w:hAnsi="宋体" w:cs="宋体" w:eastAsia="宋体"/>
                <w:sz w:val="24"/>
              </w:rPr>
              <w:t>20～8000MHz</w:t>
            </w:r>
          </w:p>
        </w:tc>
      </w:tr>
      <w:tr>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测向频率范围</w:t>
            </w:r>
          </w:p>
        </w:tc>
        <w:tc>
          <w:tcPr>
            <w:tcW w:type="dxa" w:w="4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包括但不限于</w:t>
            </w:r>
            <w:r>
              <w:rPr>
                <w:rFonts w:ascii="宋体" w:hAnsi="宋体" w:cs="宋体" w:eastAsia="宋体"/>
                <w:sz w:val="24"/>
              </w:rPr>
              <w:t>30MHz～8000MHz</w:t>
            </w:r>
            <w:r>
              <w:rPr>
                <w:rFonts w:ascii="宋体" w:hAnsi="宋体" w:cs="宋体" w:eastAsia="宋体"/>
                <w:sz w:val="24"/>
              </w:rPr>
              <w:t>（</w:t>
            </w:r>
            <w:r>
              <w:rPr>
                <w:rFonts w:ascii="宋体" w:hAnsi="宋体" w:cs="宋体" w:eastAsia="宋体"/>
                <w:sz w:val="24"/>
              </w:rPr>
              <w:t>垂直极化</w:t>
            </w:r>
            <w:r>
              <w:rPr>
                <w:rFonts w:ascii="宋体" w:hAnsi="宋体" w:cs="宋体" w:eastAsia="宋体"/>
                <w:sz w:val="24"/>
              </w:rPr>
              <w:t>）</w:t>
            </w:r>
          </w:p>
          <w:p>
            <w:pPr>
              <w:pStyle w:val="null3"/>
              <w:jc w:val="both"/>
            </w:pPr>
            <w:r>
              <w:rPr>
                <w:rFonts w:ascii="宋体" w:hAnsi="宋体" w:cs="宋体" w:eastAsia="宋体"/>
                <w:sz w:val="24"/>
              </w:rPr>
              <w:t>包括但不限于</w:t>
            </w:r>
            <w:r>
              <w:rPr>
                <w:rFonts w:ascii="宋体" w:hAnsi="宋体" w:cs="宋体" w:eastAsia="宋体"/>
                <w:sz w:val="24"/>
              </w:rPr>
              <w:t>40MHz～1300MHz</w:t>
            </w:r>
            <w:r>
              <w:rPr>
                <w:rFonts w:ascii="宋体" w:hAnsi="宋体" w:cs="宋体" w:eastAsia="宋体"/>
                <w:sz w:val="24"/>
              </w:rPr>
              <w:t>（</w:t>
            </w:r>
            <w:r>
              <w:rPr>
                <w:rFonts w:ascii="宋体" w:hAnsi="宋体" w:cs="宋体" w:eastAsia="宋体"/>
                <w:sz w:val="24"/>
              </w:rPr>
              <w:t>水平极化</w:t>
            </w:r>
            <w:r>
              <w:rPr>
                <w:rFonts w:ascii="宋体" w:hAnsi="宋体" w:cs="宋体" w:eastAsia="宋体"/>
                <w:sz w:val="24"/>
              </w:rPr>
              <w:t>）</w:t>
            </w:r>
          </w:p>
        </w:tc>
      </w:tr>
      <w:tr>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频率稳定度（</w:t>
            </w:r>
            <w:r>
              <w:rPr>
                <w:rFonts w:ascii="宋体" w:hAnsi="宋体" w:cs="宋体" w:eastAsia="宋体"/>
                <w:sz w:val="24"/>
              </w:rPr>
              <w:t>0℃～45℃）</w:t>
            </w:r>
          </w:p>
        </w:tc>
        <w:tc>
          <w:tcPr>
            <w:tcW w:type="dxa" w:w="4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-3×10</w:t>
            </w:r>
            <w:r>
              <w:rPr>
                <w:rFonts w:ascii="宋体" w:hAnsi="宋体" w:cs="宋体" w:eastAsia="宋体"/>
                <w:sz w:val="24"/>
                <w:vertAlign w:val="superscript"/>
              </w:rPr>
              <w:t>-7</w:t>
            </w:r>
            <w:r>
              <w:rPr>
                <w:rFonts w:ascii="宋体" w:hAnsi="宋体" w:cs="宋体" w:eastAsia="宋体"/>
                <w:sz w:val="24"/>
              </w:rPr>
              <w:t>到</w:t>
            </w:r>
            <w:r>
              <w:rPr>
                <w:rFonts w:ascii="宋体" w:hAnsi="宋体" w:cs="宋体" w:eastAsia="宋体"/>
                <w:sz w:val="24"/>
              </w:rPr>
              <w:t>3×10</w:t>
            </w:r>
            <w:r>
              <w:rPr>
                <w:rFonts w:ascii="宋体" w:hAnsi="宋体" w:cs="宋体" w:eastAsia="宋体"/>
                <w:sz w:val="24"/>
                <w:vertAlign w:val="superscript"/>
              </w:rPr>
              <w:t>-7</w:t>
            </w:r>
            <w:r>
              <w:rPr>
                <w:rFonts w:ascii="宋体" w:hAnsi="宋体" w:cs="宋体" w:eastAsia="宋体"/>
                <w:sz w:val="24"/>
              </w:rPr>
              <w:t>之间</w:t>
            </w:r>
          </w:p>
        </w:tc>
      </w:tr>
      <w:tr>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相位噪声（</w:t>
            </w:r>
            <w:r>
              <w:rPr>
                <w:rFonts w:ascii="宋体" w:hAnsi="宋体" w:cs="宋体" w:eastAsia="宋体"/>
                <w:sz w:val="24"/>
              </w:rPr>
              <w:t>fc=1GHz）</w:t>
            </w:r>
          </w:p>
        </w:tc>
        <w:tc>
          <w:tcPr>
            <w:tcW w:type="dxa" w:w="4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≤-110dBc/Hz@10KHz</w:t>
            </w:r>
          </w:p>
        </w:tc>
      </w:tr>
      <w:tr>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实时中频带宽</w:t>
            </w:r>
          </w:p>
        </w:tc>
        <w:tc>
          <w:tcPr>
            <w:tcW w:type="dxa" w:w="4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≥40MHz</w:t>
            </w:r>
          </w:p>
        </w:tc>
      </w:tr>
      <w:tr>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噪声系数（实时带宽</w:t>
            </w:r>
            <w:r>
              <w:rPr>
                <w:rFonts w:ascii="宋体" w:hAnsi="宋体" w:cs="宋体" w:eastAsia="宋体"/>
                <w:sz w:val="24"/>
              </w:rPr>
              <w:t>20MHz）</w:t>
            </w:r>
          </w:p>
        </w:tc>
        <w:tc>
          <w:tcPr>
            <w:tcW w:type="dxa" w:w="4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≤15dB（20～3000MHz）</w:t>
            </w:r>
          </w:p>
          <w:p>
            <w:pPr>
              <w:pStyle w:val="null3"/>
              <w:jc w:val="both"/>
            </w:pPr>
            <w:r>
              <w:rPr>
                <w:rFonts w:ascii="宋体" w:hAnsi="宋体" w:cs="宋体" w:eastAsia="宋体"/>
                <w:sz w:val="24"/>
              </w:rPr>
              <w:t>≤20dB（3～8GHz）</w:t>
            </w:r>
          </w:p>
        </w:tc>
      </w:tr>
      <w:tr>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监测灵敏度</w:t>
            </w:r>
          </w:p>
        </w:tc>
        <w:tc>
          <w:tcPr>
            <w:tcW w:type="dxa" w:w="4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≤10dBμV/m（20～3000MHz）</w:t>
            </w:r>
          </w:p>
          <w:p>
            <w:pPr>
              <w:pStyle w:val="null3"/>
              <w:jc w:val="both"/>
            </w:pPr>
            <w:r>
              <w:rPr>
                <w:rFonts w:ascii="宋体" w:hAnsi="宋体" w:cs="宋体" w:eastAsia="宋体"/>
                <w:sz w:val="24"/>
              </w:rPr>
              <w:t>≤15dBμV/m（3～8GHz）</w:t>
            </w:r>
          </w:p>
        </w:tc>
      </w:tr>
      <w:tr>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测向灵敏度</w:t>
            </w:r>
          </w:p>
        </w:tc>
        <w:tc>
          <w:tcPr>
            <w:tcW w:type="dxa" w:w="4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≤20dBμV/m（30～3000MHz）</w:t>
            </w:r>
          </w:p>
          <w:p>
            <w:pPr>
              <w:pStyle w:val="null3"/>
              <w:jc w:val="both"/>
            </w:pPr>
            <w:r>
              <w:rPr>
                <w:rFonts w:ascii="宋体" w:hAnsi="宋体" w:cs="宋体" w:eastAsia="宋体"/>
                <w:sz w:val="24"/>
              </w:rPr>
              <w:t>≤25dBμV/m（3～8GHz）</w:t>
            </w:r>
          </w:p>
        </w:tc>
      </w:tr>
      <w:tr>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测向准确度（测向精度）</w:t>
            </w:r>
          </w:p>
        </w:tc>
        <w:tc>
          <w:tcPr>
            <w:tcW w:type="dxa" w:w="4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≤1.5°（30～3000MHz，R.M.S，无反射环境）</w:t>
            </w:r>
          </w:p>
          <w:p>
            <w:pPr>
              <w:pStyle w:val="null3"/>
              <w:jc w:val="both"/>
            </w:pPr>
            <w:r>
              <w:rPr>
                <w:rFonts w:ascii="宋体" w:hAnsi="宋体" w:cs="宋体" w:eastAsia="宋体"/>
                <w:sz w:val="24"/>
              </w:rPr>
              <w:t>≤2°（3～8GHz，R.M.S，无反射环境）</w:t>
            </w:r>
          </w:p>
        </w:tc>
      </w:tr>
      <w:tr>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测向时效</w:t>
            </w:r>
          </w:p>
        </w:tc>
        <w:tc>
          <w:tcPr>
            <w:tcW w:type="dxa" w:w="4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≤2ms（单次突发信号）</w:t>
            </w:r>
          </w:p>
        </w:tc>
      </w:tr>
      <w:tr>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同频信号分离个数</w:t>
            </w:r>
          </w:p>
          <w:p>
            <w:pPr>
              <w:pStyle w:val="null3"/>
              <w:jc w:val="both"/>
            </w:pPr>
            <w:r>
              <w:rPr>
                <w:rFonts w:ascii="宋体" w:hAnsi="宋体" w:cs="宋体" w:eastAsia="宋体"/>
                <w:sz w:val="24"/>
              </w:rPr>
              <w:t>（</w:t>
            </w:r>
            <w:r>
              <w:rPr>
                <w:rFonts w:ascii="宋体" w:hAnsi="宋体" w:cs="宋体" w:eastAsia="宋体"/>
                <w:sz w:val="24"/>
              </w:rPr>
              <w:t>D/λ&gt;1）</w:t>
            </w:r>
          </w:p>
        </w:tc>
        <w:tc>
          <w:tcPr>
            <w:tcW w:type="dxa" w:w="4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≥3</w:t>
            </w:r>
          </w:p>
        </w:tc>
      </w:tr>
      <w:tr>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最小同频信号分辨角度（</w:t>
            </w:r>
            <w:r>
              <w:rPr>
                <w:rFonts w:ascii="宋体" w:hAnsi="宋体" w:cs="宋体" w:eastAsia="宋体"/>
                <w:sz w:val="24"/>
              </w:rPr>
              <w:t>D/λ&gt;1）</w:t>
            </w:r>
          </w:p>
        </w:tc>
        <w:tc>
          <w:tcPr>
            <w:tcW w:type="dxa" w:w="4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≤20°</w:t>
            </w:r>
          </w:p>
        </w:tc>
      </w:tr>
      <w:tr>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扫描速度（</w:t>
            </w:r>
            <w:r>
              <w:rPr>
                <w:rFonts w:ascii="宋体" w:hAnsi="宋体" w:cs="宋体" w:eastAsia="宋体"/>
                <w:sz w:val="24"/>
              </w:rPr>
              <w:t>25kHz步进）</w:t>
            </w:r>
          </w:p>
        </w:tc>
        <w:tc>
          <w:tcPr>
            <w:tcW w:type="dxa" w:w="4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≥50GHz/s</w:t>
            </w:r>
          </w:p>
        </w:tc>
      </w:tr>
      <w:tr>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二阶截断点（低失真模式；中频带宽</w:t>
            </w:r>
            <w:r>
              <w:rPr>
                <w:rFonts w:ascii="宋体" w:hAnsi="宋体" w:cs="宋体" w:eastAsia="宋体"/>
                <w:sz w:val="24"/>
              </w:rPr>
              <w:t>20MHz）</w:t>
            </w:r>
          </w:p>
        </w:tc>
        <w:tc>
          <w:tcPr>
            <w:tcW w:type="dxa" w:w="4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≥50dBm</w:t>
            </w:r>
          </w:p>
        </w:tc>
      </w:tr>
      <w:tr>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三阶截断点（低失真模式；中频带宽</w:t>
            </w:r>
            <w:r>
              <w:rPr>
                <w:rFonts w:ascii="宋体" w:hAnsi="宋体" w:cs="宋体" w:eastAsia="宋体"/>
                <w:sz w:val="24"/>
              </w:rPr>
              <w:t>20MHz）</w:t>
            </w:r>
          </w:p>
        </w:tc>
        <w:tc>
          <w:tcPr>
            <w:tcW w:type="dxa" w:w="4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≥10dBm</w:t>
            </w:r>
          </w:p>
        </w:tc>
      </w:tr>
      <w:tr>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中频</w:t>
            </w:r>
            <w:r>
              <w:rPr>
                <w:rFonts w:ascii="宋体" w:hAnsi="宋体" w:cs="宋体" w:eastAsia="宋体"/>
                <w:sz w:val="24"/>
              </w:rPr>
              <w:t>/镜像抑制</w:t>
            </w:r>
          </w:p>
        </w:tc>
        <w:tc>
          <w:tcPr>
            <w:tcW w:type="dxa" w:w="4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≥90dB</w:t>
            </w:r>
          </w:p>
        </w:tc>
      </w:tr>
      <w:tr>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调制测量能力</w:t>
            </w:r>
          </w:p>
        </w:tc>
        <w:tc>
          <w:tcPr>
            <w:tcW w:type="dxa" w:w="4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AM、FM、CW、ASK、PSK、DPSK、QAM、FSK、MSK等</w:t>
            </w:r>
          </w:p>
        </w:tc>
      </w:tr>
    </w:tbl>
    <w:p>
      <w:pPr>
        <w:pStyle w:val="null3"/>
        <w:ind w:firstLine="420"/>
        <w:jc w:val="both"/>
      </w:pPr>
      <w:r>
        <w:rPr>
          <w:rFonts w:ascii="宋体" w:hAnsi="宋体" w:cs="宋体" w:eastAsia="宋体"/>
          <w:sz w:val="24"/>
          <w:shd w:fill="FFFFFF" w:val="clear"/>
        </w:rPr>
        <w:t>注：</w:t>
      </w:r>
      <w:r>
        <w:rPr>
          <w:rFonts w:ascii="宋体" w:hAnsi="宋体" w:cs="宋体" w:eastAsia="宋体"/>
          <w:sz w:val="24"/>
          <w:shd w:fill="FFFFFF" w:val="clear"/>
        </w:rPr>
        <w:t>D为天线孔径，λ为信号频率对应的波长。</w:t>
      </w:r>
    </w:p>
    <w:p>
      <w:pPr>
        <w:pStyle w:val="null3"/>
        <w:jc w:val="both"/>
      </w:pPr>
      <w:r>
        <w:rPr>
          <w:rFonts w:ascii="宋体" w:hAnsi="宋体" w:cs="宋体" w:eastAsia="宋体"/>
          <w:sz w:val="24"/>
          <w:b/>
          <w:shd w:fill="FFFFFF" w:val="clear"/>
        </w:rPr>
        <w:t>（</w:t>
      </w:r>
      <w:r>
        <w:rPr>
          <w:rFonts w:ascii="宋体" w:hAnsi="宋体" w:cs="宋体" w:eastAsia="宋体"/>
          <w:sz w:val="24"/>
          <w:b/>
          <w:shd w:fill="FFFFFF" w:val="clear"/>
        </w:rPr>
        <w:t>3）其他技术要求</w:t>
      </w:r>
    </w:p>
    <w:p>
      <w:pPr>
        <w:pStyle w:val="null3"/>
        <w:ind w:firstLine="480"/>
      </w:pPr>
      <w:r>
        <w:rPr>
          <w:rFonts w:ascii="calibri" w:hAnsi="calibri" w:cs="calibri" w:eastAsia="calibri"/>
          <w:sz w:val="24"/>
        </w:rPr>
        <w:t>★1</w:t>
      </w:r>
      <w:r>
        <w:rPr>
          <w:rFonts w:ascii="宋体" w:hAnsi="宋体" w:cs="宋体" w:eastAsia="宋体"/>
          <w:sz w:val="24"/>
        </w:rPr>
        <w:t>、</w:t>
      </w:r>
      <w:r>
        <w:rPr>
          <w:rFonts w:ascii="宋体" w:hAnsi="宋体" w:cs="宋体" w:eastAsia="宋体"/>
          <w:sz w:val="24"/>
        </w:rPr>
        <w:t>投标人提供的固定监测站升级改造应适配现部署于厦门市无线电管理一体化平台的监测应用软件，具备原子化服务封装。其设计原则应（</w:t>
      </w:r>
      <w:r>
        <w:rPr>
          <w:rFonts w:ascii="calibri" w:hAnsi="calibri" w:cs="calibri" w:eastAsia="calibri"/>
          <w:sz w:val="24"/>
        </w:rPr>
        <w:t>1</w:t>
      </w:r>
      <w:r>
        <w:rPr>
          <w:rFonts w:ascii="宋体" w:hAnsi="宋体" w:cs="宋体" w:eastAsia="宋体"/>
          <w:sz w:val="24"/>
        </w:rPr>
        <w:t>）满足《超短波监测管理一体化平台技术规范第</w:t>
      </w:r>
      <w:r>
        <w:rPr>
          <w:rFonts w:ascii="calibri" w:hAnsi="calibri" w:cs="calibri" w:eastAsia="calibri"/>
          <w:sz w:val="24"/>
        </w:rPr>
        <w:t>3</w:t>
      </w:r>
      <w:r>
        <w:rPr>
          <w:rFonts w:ascii="宋体" w:hAnsi="宋体" w:cs="宋体" w:eastAsia="宋体"/>
          <w:sz w:val="24"/>
        </w:rPr>
        <w:t>部分：设备操作服务》的技术规定，实现技术规范规定的所有设备操作服务；（</w:t>
      </w:r>
      <w:r>
        <w:rPr>
          <w:rFonts w:ascii="calibri" w:hAnsi="calibri" w:cs="calibri" w:eastAsia="calibri"/>
          <w:sz w:val="24"/>
        </w:rPr>
        <w:t>2</w:t>
      </w:r>
      <w:r>
        <w:rPr>
          <w:rFonts w:ascii="宋体" w:hAnsi="宋体" w:cs="宋体" w:eastAsia="宋体"/>
          <w:sz w:val="24"/>
        </w:rPr>
        <w:t>）监测设备服务和接口设计应满足《超短波监测管理一体化平台技术规范 第</w:t>
      </w:r>
      <w:r>
        <w:rPr>
          <w:rFonts w:ascii="calibri" w:hAnsi="calibri" w:cs="calibri" w:eastAsia="calibri"/>
          <w:sz w:val="24"/>
        </w:rPr>
        <w:t>2</w:t>
      </w:r>
      <w:r>
        <w:rPr>
          <w:rFonts w:ascii="宋体" w:hAnsi="宋体" w:cs="宋体" w:eastAsia="宋体"/>
          <w:sz w:val="24"/>
        </w:rPr>
        <w:t>部分：服务设计》关于服务总结点编码规则和服务接口命名规则的技术规定，（</w:t>
      </w:r>
      <w:r>
        <w:rPr>
          <w:rFonts w:ascii="calibri" w:hAnsi="calibri" w:cs="calibri" w:eastAsia="calibri"/>
          <w:sz w:val="24"/>
        </w:rPr>
        <w:t>3</w:t>
      </w:r>
      <w:r>
        <w:rPr>
          <w:rFonts w:ascii="宋体" w:hAnsi="宋体" w:cs="宋体" w:eastAsia="宋体"/>
          <w:sz w:val="24"/>
        </w:rPr>
        <w:t>）监测设备服务改造应基于设备层级开发，即在设备原生驱动或协议基础上封装，而不能在上层应用或其他协议层级封装</w:t>
      </w:r>
      <w:r>
        <w:rPr>
          <w:rFonts w:ascii="宋体" w:hAnsi="宋体" w:cs="宋体" w:eastAsia="宋体"/>
          <w:sz w:val="24"/>
        </w:rPr>
        <w:t>；</w:t>
      </w:r>
      <w:r>
        <w:rPr>
          <w:rFonts w:ascii="宋体" w:hAnsi="宋体" w:cs="宋体" w:eastAsia="宋体"/>
          <w:sz w:val="24"/>
        </w:rPr>
        <w:t xml:space="preserve"> </w:t>
      </w:r>
      <w:r>
        <w:rPr>
          <w:rFonts w:ascii="宋体" w:hAnsi="宋体" w:cs="宋体" w:eastAsia="宋体"/>
          <w:sz w:val="24"/>
        </w:rPr>
        <w:t>（</w:t>
      </w:r>
      <w:r>
        <w:rPr>
          <w:rFonts w:ascii="calibri" w:hAnsi="calibri" w:cs="calibri" w:eastAsia="calibri"/>
          <w:sz w:val="24"/>
        </w:rPr>
        <w:t>4</w:t>
      </w:r>
      <w:r>
        <w:rPr>
          <w:rFonts w:ascii="宋体" w:hAnsi="宋体" w:cs="宋体" w:eastAsia="宋体"/>
          <w:sz w:val="24"/>
        </w:rPr>
        <w:t>）</w:t>
      </w:r>
      <w:r>
        <w:rPr>
          <w:rFonts w:ascii="宋体" w:hAnsi="宋体" w:cs="宋体" w:eastAsia="宋体"/>
          <w:sz w:val="24"/>
        </w:rPr>
        <w:t>设备原子化服务改造应通过第三方中立机构的评测（包含</w:t>
      </w:r>
      <w:r>
        <w:rPr>
          <w:rFonts w:ascii="calibri" w:hAnsi="calibri" w:cs="calibri" w:eastAsia="calibri"/>
          <w:sz w:val="24"/>
        </w:rPr>
        <w:t>stream</w:t>
      </w:r>
      <w:r>
        <w:rPr>
          <w:rFonts w:ascii="宋体" w:hAnsi="宋体" w:cs="宋体" w:eastAsia="宋体"/>
          <w:sz w:val="24"/>
        </w:rPr>
        <w:t>和</w:t>
      </w:r>
      <w:r>
        <w:rPr>
          <w:rFonts w:ascii="calibri" w:hAnsi="calibri" w:cs="calibri" w:eastAsia="calibri"/>
          <w:sz w:val="24"/>
        </w:rPr>
        <w:t>FTP</w:t>
      </w:r>
      <w:r>
        <w:rPr>
          <w:rFonts w:ascii="宋体" w:hAnsi="宋体" w:cs="宋体" w:eastAsia="宋体"/>
          <w:sz w:val="24"/>
        </w:rPr>
        <w:t>两种模式）</w:t>
      </w:r>
      <w:r>
        <w:rPr>
          <w:rFonts w:ascii="宋体" w:hAnsi="宋体" w:cs="宋体" w:eastAsia="宋体"/>
          <w:sz w:val="24"/>
        </w:rPr>
        <w:t>。</w:t>
      </w:r>
      <w:r>
        <w:rPr>
          <w:rFonts w:ascii="宋体" w:hAnsi="宋体" w:cs="宋体" w:eastAsia="宋体"/>
          <w:sz w:val="24"/>
          <w:b/>
        </w:rPr>
        <w:t>产品交付时须提供产品经具有</w:t>
      </w:r>
      <w:r>
        <w:rPr>
          <w:rFonts w:ascii="宋体" w:hAnsi="宋体" w:cs="宋体" w:eastAsia="宋体"/>
          <w:sz w:val="24"/>
          <w:b/>
        </w:rPr>
        <w:t>CMA或CNAS资质的第三方检测机构出具的测试报告，</w:t>
      </w:r>
      <w:r>
        <w:rPr>
          <w:rFonts w:ascii="宋体" w:hAnsi="宋体" w:cs="宋体" w:eastAsia="宋体"/>
          <w:sz w:val="24"/>
          <w:b/>
          <w:shd w:fill="FFFFFF" w:val="clear"/>
        </w:rPr>
        <w:t>检测报告上须带有</w:t>
      </w:r>
      <w:r>
        <w:rPr>
          <w:rFonts w:ascii="宋体" w:hAnsi="宋体" w:cs="宋体" w:eastAsia="宋体"/>
          <w:sz w:val="24"/>
          <w:b/>
          <w:shd w:fill="FFFFFF" w:val="clear"/>
        </w:rPr>
        <w:t>CMA或CNAS标志</w:t>
      </w:r>
      <w:r>
        <w:rPr>
          <w:rFonts w:ascii="宋体" w:hAnsi="宋体" w:cs="宋体" w:eastAsia="宋体"/>
          <w:sz w:val="24"/>
          <w:b/>
        </w:rPr>
        <w:t>。</w:t>
      </w:r>
      <w:r>
        <w:rPr>
          <w:rFonts w:ascii="宋体" w:hAnsi="宋体" w:cs="宋体" w:eastAsia="宋体"/>
          <w:sz w:val="24"/>
          <w:b/>
          <w:shd w:fill="FFFFFF" w:val="clear"/>
        </w:rPr>
        <w:t>投标人需承诺选取的第三方测试验证机构应符合工业和信息化部《无线电监测设施测试验证工作规定（试行）》（工信部无〔</w:t>
      </w:r>
      <w:r>
        <w:rPr>
          <w:rFonts w:ascii="宋体" w:hAnsi="宋体" w:cs="宋体" w:eastAsia="宋体"/>
          <w:sz w:val="24"/>
          <w:b/>
          <w:shd w:fill="FFFFFF" w:val="clear"/>
        </w:rPr>
        <w:t>2017〕283号）有关规定，并征得采购人书面认可。</w:t>
      </w:r>
      <w:r>
        <w:rPr>
          <w:rFonts w:ascii="宋体" w:hAnsi="宋体" w:cs="宋体" w:eastAsia="宋体"/>
          <w:sz w:val="24"/>
          <w:b/>
        </w:rPr>
        <w:t>采购人有权委托具有</w:t>
      </w:r>
      <w:r>
        <w:rPr>
          <w:rFonts w:ascii="宋体" w:hAnsi="宋体" w:cs="宋体" w:eastAsia="宋体"/>
          <w:sz w:val="24"/>
          <w:b/>
        </w:rPr>
        <w:t>CMA或CNAS资质的第三方检测机构对部分指标进行抽测，并以抽测结果是否合格作为是否进行验收的依据。测试验证、指标抽测等性能测试费用由投标人承担，含在投标总价中。</w:t>
      </w:r>
    </w:p>
    <w:p>
      <w:pPr>
        <w:pStyle w:val="null3"/>
        <w:ind w:firstLine="567"/>
        <w:jc w:val="both"/>
      </w:pPr>
      <w:r>
        <w:rPr>
          <w:rFonts w:ascii="宋体" w:hAnsi="宋体" w:cs="宋体" w:eastAsia="宋体"/>
          <w:sz w:val="24"/>
          <w:b/>
          <w:shd w:fill="FFFFFF" w:val="clear"/>
        </w:rPr>
        <w:t>★2、监测接收机的性能指标：投标人需承诺到货验收前需提供具有CMA或CNAS资质的第三方检测机构按GB/T32401-2015《VHF/UHF频段无线电监测接收机技术要求及测试方法》出具的正式检测报告（须提供扫描件），报告内容需包括需包括实际交付清单（含设备序列号）所列接收机主要指标：包括但不限于监测灵敏度、解调灵敏度、电平测量误差、频率准确度（频率稳定度）、二阶截断点、三阶截断点、中频抑制、镜频抑制、扫描速度、杂散发射等指标的测试结果数据。检测报告上须带有CMA或CNAS标志。投标人选取的第三方测试验证机构应符合工业和信息化部《无线电监测设施测试验证工作规定（试行）》（工信部无〔2017〕283号）有关规定，并征得采购人书面认可。采购人在到货验收前有权委托具有CMA或CNAS资质的第三方检测机构对投标人提供的监测接收机部分指标进行抽测，并以抽测结果是否合格作为是否进行到货验收的依据。测试验证、指标抽测等性能测试费用由投标人承担，含在投标总价中。</w:t>
      </w:r>
    </w:p>
    <w:p>
      <w:pPr>
        <w:pStyle w:val="null3"/>
        <w:ind w:firstLine="480"/>
      </w:pPr>
      <w:r>
        <w:rPr>
          <w:rFonts w:ascii="宋体" w:hAnsi="宋体" w:cs="宋体" w:eastAsia="宋体"/>
          <w:sz w:val="24"/>
          <w:b/>
          <w:shd w:fill="FFFFFF" w:val="clear"/>
        </w:rPr>
        <w:t>★3、性能测试：投标人需承诺在到货验收前</w:t>
      </w:r>
      <w:r>
        <w:rPr>
          <w:rFonts w:ascii="宋体" w:hAnsi="宋体" w:cs="宋体" w:eastAsia="宋体"/>
          <w:sz w:val="24"/>
          <w:shd w:fill="FFFFFF" w:val="clear"/>
        </w:rPr>
        <w:t>委托具有</w:t>
      </w:r>
      <w:r>
        <w:rPr>
          <w:rFonts w:ascii="宋体" w:hAnsi="宋体" w:cs="宋体" w:eastAsia="宋体"/>
          <w:sz w:val="24"/>
          <w:shd w:fill="FFFFFF" w:val="clear"/>
        </w:rPr>
        <w:t>CMA或CNAS资质的第三方检测机构按GB/T34089-2017《VHF/UHF无线电监测测向系统开场测试参数和测试方法》，采用符合标准规定的测试场地进行测试验证，对本项目交付清单（含设备序列号）中所升级的监测测向系统进行第三方测试并出具检测报告，测试验证项目至少包括监测灵敏度、场强测量精度（误差）、频率测量精度（频率准确度）、测向精度、瞬时信号监测能力、瞬时信号测向能力、天馈系统驻波比等指标。检测报告上须带有CMA或CNAS标志。投标人选取的第三方测试验证机构应符合工业和信息化部《无线电监测设施测试验证工作规定（试行）》（工信部无〔2017〕283号）有关规定，并征得采购人书面认可。相关费用含在投标总价中。</w:t>
      </w:r>
      <w:r>
        <w:rPr>
          <w:rFonts w:ascii="宋体" w:hAnsi="宋体" w:cs="宋体" w:eastAsia="宋体"/>
          <w:sz w:val="24"/>
          <w:b/>
        </w:rPr>
        <w:t>采购人在到货验收前有权委托具有</w:t>
      </w:r>
      <w:r>
        <w:rPr>
          <w:rFonts w:ascii="宋体" w:hAnsi="宋体" w:cs="宋体" w:eastAsia="宋体"/>
          <w:sz w:val="24"/>
          <w:b/>
        </w:rPr>
        <w:t>CMA或CNAS资质的第三方检测机构对部分指标进行抽测，并以抽测结果是否合格作为是否进行验收的依据。测试验证、指标抽测等性能测试费用由投标人承担，含在投标总价中。</w:t>
      </w:r>
    </w:p>
    <w:p>
      <w:pPr>
        <w:pStyle w:val="null3"/>
        <w:ind w:firstLine="567"/>
        <w:jc w:val="both"/>
      </w:pPr>
      <w:r>
        <w:rPr>
          <w:rFonts w:ascii="宋体" w:hAnsi="宋体" w:cs="宋体" w:eastAsia="宋体"/>
          <w:sz w:val="24"/>
          <w:shd w:fill="FFFFFF" w:val="clear"/>
        </w:rPr>
        <w:t>★4、本项目需对铁塔、构筑物、机房、电力等所有附属设施进行必要的论证和改造。因铁塔及机房产权非采购人所有，故投标人需在施工前提供铁塔、机房改造施工方案并获机房、铁塔产权人书面认可，改造后的设施需满足设备安装和项目的需要，同时需满足国家、行业的相关标准及要求，由此产生的勘测、设计、改造、施工、监理等一切费用由投标人支付。若新建铁塔、机房，一切建设及建设相关费用均由投标人承担，采购人不另支付任何费用。</w:t>
      </w:r>
    </w:p>
    <w:p>
      <w:pPr>
        <w:pStyle w:val="null3"/>
        <w:jc w:val="both"/>
      </w:pPr>
      <w:r>
        <w:rPr>
          <w:rFonts w:ascii="宋体" w:hAnsi="宋体" w:cs="宋体" w:eastAsia="宋体"/>
          <w:sz w:val="24"/>
          <w:b/>
          <w:shd w:fill="FFFFFF" w:val="clear"/>
        </w:rPr>
        <w:t>（</w:t>
      </w:r>
      <w:r>
        <w:rPr>
          <w:rFonts w:ascii="宋体" w:hAnsi="宋体" w:cs="宋体" w:eastAsia="宋体"/>
          <w:sz w:val="24"/>
          <w:b/>
          <w:shd w:fill="FFFFFF" w:val="clear"/>
        </w:rPr>
        <w:t>4）海事大楼二类无线电固定监测站建设配置清单</w:t>
      </w:r>
    </w:p>
    <w:p>
      <w:pPr>
        <w:pStyle w:val="null3"/>
        <w:ind w:firstLine="567"/>
        <w:jc w:val="both"/>
      </w:pPr>
      <w:r>
        <w:rPr>
          <w:rFonts w:ascii="宋体" w:hAnsi="宋体" w:cs="宋体" w:eastAsia="宋体"/>
          <w:sz w:val="24"/>
          <w:shd w:fill="FFFFFF" w:val="clear"/>
        </w:rPr>
        <w:t>二类站建设包含的内容清单如下表。</w:t>
      </w:r>
      <w:r>
        <w:rPr>
          <w:rFonts w:ascii="宋体" w:hAnsi="宋体" w:cs="宋体" w:eastAsia="宋体"/>
          <w:sz w:val="24"/>
          <w:shd w:fill="FFFFFF" w:val="clear"/>
        </w:rPr>
        <w:t>“正偏离”指满足《省级无线电监测设施建设规范和技术要求(试行)》中的相关条款的前提下，“是”指优于相关指标；“否”指满足相关指标但不优于。投标人所提供设备指标，不允许负偏离。投标人须填写中标设备的各项指标的具体数值，同时标明正偏离“是”或者“否”。</w:t>
      </w:r>
    </w:p>
    <w:tbl>
      <w:tblPr>
        <w:tblW w:w="0" w:type="auto"/>
        <w:tblBorders>
          <w:top w:val="none" w:color="000000" w:sz="4"/>
          <w:left w:val="none" w:color="000000" w:sz="4"/>
          <w:bottom w:val="none" w:color="000000" w:sz="4"/>
          <w:right w:val="none" w:color="000000" w:sz="4"/>
          <w:insideH w:val="none"/>
          <w:insideV w:val="none"/>
        </w:tblBorders>
      </w:tblPr>
      <w:tblGrid>
        <w:gridCol w:w="820"/>
        <w:gridCol w:w="1625"/>
        <w:gridCol w:w="2222"/>
        <w:gridCol w:w="3639"/>
      </w:tblGrid>
      <w:tr>
        <w:tc>
          <w:tcPr>
            <w:tcW w:type="dxa" w:w="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序号</w:t>
            </w:r>
          </w:p>
        </w:tc>
        <w:tc>
          <w:tcPr>
            <w:tcW w:type="dxa" w:w="1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货物名称</w:t>
            </w:r>
          </w:p>
        </w:tc>
        <w:tc>
          <w:tcPr>
            <w:tcW w:type="dxa" w:w="586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主要性能指标</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一、硬件设备，含运杂、保险费、各种税费等</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二、监测测向系统各项指标</w:t>
            </w:r>
          </w:p>
        </w:tc>
      </w:tr>
      <w:tr>
        <w:tc>
          <w:tcPr>
            <w:tcW w:type="dxa" w:w="8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162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监测测向系统</w:t>
            </w:r>
          </w:p>
        </w:tc>
        <w:tc>
          <w:tcPr>
            <w:tcW w:type="dxa" w:w="2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接收机形态</w:t>
            </w:r>
          </w:p>
        </w:tc>
        <w:tc>
          <w:tcPr>
            <w:tcW w:type="dxa" w:w="3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监测测向一体机</w:t>
            </w:r>
            <w:r>
              <w:rPr>
                <w:rFonts w:ascii="宋体" w:hAnsi="宋体" w:cs="宋体" w:eastAsia="宋体"/>
                <w:sz w:val="24"/>
              </w:rPr>
              <w:t>☐</w:t>
            </w:r>
          </w:p>
          <w:p>
            <w:pPr>
              <w:pStyle w:val="null3"/>
              <w:jc w:val="both"/>
            </w:pPr>
            <w:r>
              <w:rPr>
                <w:rFonts w:ascii="宋体" w:hAnsi="宋体" w:cs="宋体" w:eastAsia="宋体"/>
                <w:sz w:val="24"/>
              </w:rPr>
              <w:t>监测接收机</w:t>
            </w:r>
            <w:r>
              <w:rPr>
                <w:rFonts w:ascii="宋体" w:hAnsi="宋体" w:cs="宋体" w:eastAsia="宋体"/>
                <w:sz w:val="24"/>
              </w:rPr>
              <w:t>+测向接收机☐</w:t>
            </w:r>
          </w:p>
        </w:tc>
      </w:tr>
      <w:tr>
        <w:tc>
          <w:tcPr>
            <w:tcW w:type="dxa" w:w="820"/>
            <w:vMerge/>
            <w:tcBorders>
              <w:top w:val="none" w:color="000000" w:sz="4"/>
              <w:left w:val="single" w:color="000000" w:sz="4"/>
              <w:bottom w:val="single" w:color="000000" w:sz="4"/>
              <w:right w:val="single" w:color="000000" w:sz="4"/>
            </w:tcBorders>
          </w:tcPr>
          <w:p/>
        </w:tc>
        <w:tc>
          <w:tcPr>
            <w:tcW w:type="dxa" w:w="1625"/>
            <w:vMerge/>
            <w:tcBorders>
              <w:top w:val="single" w:color="000000" w:sz="4"/>
              <w:left w:val="none" w:color="000000" w:sz="4"/>
              <w:bottom w:val="single" w:color="000000" w:sz="4"/>
              <w:right w:val="single" w:color="000000" w:sz="4"/>
            </w:tcBorders>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◆监测接收机品牌型号</w:t>
            </w:r>
          </w:p>
        </w:tc>
        <w:tc>
          <w:tcPr>
            <w:tcW w:type="dxa" w:w="3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0"/>
            <w:vMerge/>
            <w:tcBorders>
              <w:top w:val="none" w:color="000000" w:sz="4"/>
              <w:left w:val="single" w:color="000000" w:sz="4"/>
              <w:bottom w:val="single" w:color="000000" w:sz="4"/>
              <w:right w:val="single" w:color="000000" w:sz="4"/>
            </w:tcBorders>
          </w:tcPr>
          <w:p/>
        </w:tc>
        <w:tc>
          <w:tcPr>
            <w:tcW w:type="dxa" w:w="1625"/>
            <w:vMerge/>
            <w:tcBorders>
              <w:top w:val="single" w:color="000000" w:sz="4"/>
              <w:left w:val="none" w:color="000000" w:sz="4"/>
              <w:bottom w:val="single" w:color="000000" w:sz="4"/>
              <w:right w:val="single" w:color="000000" w:sz="4"/>
            </w:tcBorders>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监测线缆、微波射频线缆、天线安装适配器等配件</w:t>
            </w:r>
          </w:p>
        </w:tc>
        <w:tc>
          <w:tcPr>
            <w:tcW w:type="dxa" w:w="3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0"/>
            <w:vMerge/>
            <w:tcBorders>
              <w:top w:val="none" w:color="000000" w:sz="4"/>
              <w:left w:val="single" w:color="000000" w:sz="4"/>
              <w:bottom w:val="single" w:color="000000" w:sz="4"/>
              <w:right w:val="single" w:color="000000" w:sz="4"/>
            </w:tcBorders>
          </w:tcPr>
          <w:p/>
        </w:tc>
        <w:tc>
          <w:tcPr>
            <w:tcW w:type="dxa" w:w="1625"/>
            <w:vMerge/>
            <w:tcBorders>
              <w:top w:val="single" w:color="000000" w:sz="4"/>
              <w:left w:val="none" w:color="000000" w:sz="4"/>
              <w:bottom w:val="single" w:color="000000" w:sz="4"/>
              <w:right w:val="single" w:color="000000" w:sz="4"/>
            </w:tcBorders>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◆测向接收机品牌型号</w:t>
            </w:r>
          </w:p>
        </w:tc>
        <w:tc>
          <w:tcPr>
            <w:tcW w:type="dxa" w:w="3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0"/>
            <w:vMerge/>
            <w:tcBorders>
              <w:top w:val="none" w:color="000000" w:sz="4"/>
              <w:left w:val="single" w:color="000000" w:sz="4"/>
              <w:bottom w:val="single" w:color="000000" w:sz="4"/>
              <w:right w:val="single" w:color="000000" w:sz="4"/>
            </w:tcBorders>
          </w:tcPr>
          <w:p/>
        </w:tc>
        <w:tc>
          <w:tcPr>
            <w:tcW w:type="dxa" w:w="1625"/>
            <w:vMerge/>
            <w:tcBorders>
              <w:top w:val="single" w:color="000000" w:sz="4"/>
              <w:left w:val="none" w:color="000000" w:sz="4"/>
              <w:bottom w:val="single" w:color="000000" w:sz="4"/>
              <w:right w:val="single" w:color="000000" w:sz="4"/>
            </w:tcBorders>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测向线缆、射频控制电缆、天线安装适配器等配件</w:t>
            </w:r>
          </w:p>
        </w:tc>
        <w:tc>
          <w:tcPr>
            <w:tcW w:type="dxa" w:w="3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0"/>
            <w:vMerge/>
            <w:tcBorders>
              <w:top w:val="none" w:color="000000" w:sz="4"/>
              <w:left w:val="single" w:color="000000" w:sz="4"/>
              <w:bottom w:val="single" w:color="000000" w:sz="4"/>
              <w:right w:val="single" w:color="000000" w:sz="4"/>
            </w:tcBorders>
          </w:tcPr>
          <w:p/>
        </w:tc>
        <w:tc>
          <w:tcPr>
            <w:tcW w:type="dxa" w:w="1625"/>
            <w:vMerge/>
            <w:tcBorders>
              <w:top w:val="single" w:color="000000" w:sz="4"/>
              <w:left w:val="none" w:color="000000" w:sz="4"/>
              <w:bottom w:val="single" w:color="000000" w:sz="4"/>
              <w:right w:val="single" w:color="000000" w:sz="4"/>
            </w:tcBorders>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监测频率范围</w:t>
            </w:r>
          </w:p>
        </w:tc>
        <w:tc>
          <w:tcPr>
            <w:tcW w:type="dxa" w:w="3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正偏离是</w:t>
            </w:r>
            <w:r>
              <w:rPr>
                <w:rFonts w:ascii="宋体" w:hAnsi="宋体" w:cs="宋体" w:eastAsia="宋体"/>
                <w:sz w:val="24"/>
              </w:rPr>
              <w:t>☐</w:t>
            </w:r>
          </w:p>
          <w:p>
            <w:pPr>
              <w:pStyle w:val="null3"/>
              <w:jc w:val="both"/>
            </w:pPr>
            <w:r>
              <w:rPr>
                <w:rFonts w:ascii="宋体" w:hAnsi="宋体" w:cs="宋体" w:eastAsia="宋体"/>
                <w:sz w:val="24"/>
              </w:rPr>
              <w:t>否</w:t>
            </w:r>
            <w:r>
              <w:rPr>
                <w:rFonts w:ascii="宋体" w:hAnsi="宋体" w:cs="宋体" w:eastAsia="宋体"/>
                <w:sz w:val="24"/>
              </w:rPr>
              <w:t>☐</w:t>
            </w:r>
          </w:p>
        </w:tc>
      </w:tr>
      <w:tr>
        <w:tc>
          <w:tcPr>
            <w:tcW w:type="dxa" w:w="820"/>
            <w:vMerge/>
            <w:tcBorders>
              <w:top w:val="none" w:color="000000" w:sz="4"/>
              <w:left w:val="single" w:color="000000" w:sz="4"/>
              <w:bottom w:val="single" w:color="000000" w:sz="4"/>
              <w:right w:val="single" w:color="000000" w:sz="4"/>
            </w:tcBorders>
          </w:tcPr>
          <w:p/>
        </w:tc>
        <w:tc>
          <w:tcPr>
            <w:tcW w:type="dxa" w:w="1625"/>
            <w:vMerge/>
            <w:tcBorders>
              <w:top w:val="single" w:color="000000" w:sz="4"/>
              <w:left w:val="none" w:color="000000" w:sz="4"/>
              <w:bottom w:val="single" w:color="000000" w:sz="4"/>
              <w:right w:val="single" w:color="000000" w:sz="4"/>
            </w:tcBorders>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测向频率范围</w:t>
            </w:r>
          </w:p>
        </w:tc>
        <w:tc>
          <w:tcPr>
            <w:tcW w:type="dxa" w:w="3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垂直极化</w:t>
            </w:r>
            <w:r>
              <w:rPr>
                <w:rFonts w:ascii="宋体" w:hAnsi="宋体" w:cs="宋体" w:eastAsia="宋体"/>
                <w:sz w:val="24"/>
              </w:rPr>
              <w:t>：</w:t>
            </w:r>
            <w:r>
              <w:rPr>
                <w:rFonts w:ascii="宋体" w:hAnsi="宋体" w:cs="宋体" w:eastAsia="宋体"/>
                <w:sz w:val="24"/>
              </w:rPr>
              <w:t>正偏离是</w:t>
            </w:r>
            <w:r>
              <w:rPr>
                <w:rFonts w:ascii="宋体" w:hAnsi="宋体" w:cs="宋体" w:eastAsia="宋体"/>
                <w:sz w:val="24"/>
              </w:rPr>
              <w:t>☐</w:t>
            </w:r>
            <w:r>
              <w:rPr>
                <w:rFonts w:ascii="calibri" w:hAnsi="calibri" w:cs="calibri" w:eastAsia="calibri"/>
                <w:sz w:val="24"/>
              </w:rPr>
              <w:t xml:space="preserve"> </w:t>
            </w:r>
            <w:r>
              <w:rPr>
                <w:rFonts w:ascii="宋体" w:hAnsi="宋体" w:cs="宋体" w:eastAsia="宋体"/>
                <w:sz w:val="24"/>
              </w:rPr>
              <w:t>否</w:t>
            </w:r>
            <w:r>
              <w:rPr>
                <w:rFonts w:ascii="宋体" w:hAnsi="宋体" w:cs="宋体" w:eastAsia="宋体"/>
                <w:sz w:val="24"/>
              </w:rPr>
              <w:t>☐</w:t>
            </w:r>
          </w:p>
          <w:p>
            <w:pPr>
              <w:pStyle w:val="null3"/>
              <w:jc w:val="both"/>
            </w:pPr>
            <w:r>
              <w:rPr>
                <w:rFonts w:ascii="宋体" w:hAnsi="宋体" w:cs="宋体" w:eastAsia="宋体"/>
                <w:sz w:val="24"/>
              </w:rPr>
              <w:t>水平极化</w:t>
            </w:r>
            <w:r>
              <w:rPr>
                <w:rFonts w:ascii="宋体" w:hAnsi="宋体" w:cs="宋体" w:eastAsia="宋体"/>
                <w:sz w:val="24"/>
              </w:rPr>
              <w:t>：</w:t>
            </w:r>
            <w:r>
              <w:rPr>
                <w:rFonts w:ascii="宋体" w:hAnsi="宋体" w:cs="宋体" w:eastAsia="宋体"/>
                <w:sz w:val="24"/>
              </w:rPr>
              <w:t>正偏离是</w:t>
            </w:r>
            <w:r>
              <w:rPr>
                <w:rFonts w:ascii="宋体" w:hAnsi="宋体" w:cs="宋体" w:eastAsia="宋体"/>
                <w:sz w:val="24"/>
              </w:rPr>
              <w:t>☐</w:t>
            </w:r>
            <w:r>
              <w:rPr>
                <w:rFonts w:ascii="calibri" w:hAnsi="calibri" w:cs="calibri" w:eastAsia="calibri"/>
                <w:sz w:val="24"/>
              </w:rPr>
              <w:t xml:space="preserve"> </w:t>
            </w:r>
            <w:r>
              <w:rPr>
                <w:rFonts w:ascii="宋体" w:hAnsi="宋体" w:cs="宋体" w:eastAsia="宋体"/>
                <w:sz w:val="24"/>
              </w:rPr>
              <w:t>否</w:t>
            </w:r>
            <w:r>
              <w:rPr>
                <w:rFonts w:ascii="宋体" w:hAnsi="宋体" w:cs="宋体" w:eastAsia="宋体"/>
                <w:sz w:val="24"/>
              </w:rPr>
              <w:t>☐</w:t>
            </w:r>
          </w:p>
        </w:tc>
      </w:tr>
      <w:tr>
        <w:tc>
          <w:tcPr>
            <w:tcW w:type="dxa" w:w="820"/>
            <w:vMerge/>
            <w:tcBorders>
              <w:top w:val="none" w:color="000000" w:sz="4"/>
              <w:left w:val="single" w:color="000000" w:sz="4"/>
              <w:bottom w:val="single" w:color="000000" w:sz="4"/>
              <w:right w:val="single" w:color="000000" w:sz="4"/>
            </w:tcBorders>
          </w:tcPr>
          <w:p/>
        </w:tc>
        <w:tc>
          <w:tcPr>
            <w:tcW w:type="dxa" w:w="1625"/>
            <w:vMerge/>
            <w:tcBorders>
              <w:top w:val="single" w:color="000000" w:sz="4"/>
              <w:left w:val="none" w:color="000000" w:sz="4"/>
              <w:bottom w:val="single" w:color="000000" w:sz="4"/>
              <w:right w:val="single" w:color="000000" w:sz="4"/>
            </w:tcBorders>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频率稳定度</w:t>
            </w:r>
            <w:r>
              <w:rPr>
                <w:rFonts w:ascii="宋体" w:hAnsi="宋体" w:cs="宋体" w:eastAsia="宋体"/>
                <w:sz w:val="24"/>
              </w:rPr>
              <w:t>(0°C-45°C)</w:t>
            </w:r>
          </w:p>
        </w:tc>
        <w:tc>
          <w:tcPr>
            <w:tcW w:type="dxa" w:w="3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正偏离是</w:t>
            </w:r>
            <w:r>
              <w:rPr>
                <w:rFonts w:ascii="宋体" w:hAnsi="宋体" w:cs="宋体" w:eastAsia="宋体"/>
                <w:sz w:val="24"/>
              </w:rPr>
              <w:t>☐</w:t>
            </w:r>
          </w:p>
          <w:p>
            <w:pPr>
              <w:pStyle w:val="null3"/>
              <w:jc w:val="both"/>
            </w:pPr>
            <w:r>
              <w:rPr>
                <w:rFonts w:ascii="宋体" w:hAnsi="宋体" w:cs="宋体" w:eastAsia="宋体"/>
                <w:sz w:val="24"/>
              </w:rPr>
              <w:t>否</w:t>
            </w:r>
            <w:r>
              <w:rPr>
                <w:rFonts w:ascii="宋体" w:hAnsi="宋体" w:cs="宋体" w:eastAsia="宋体"/>
                <w:sz w:val="24"/>
              </w:rPr>
              <w:t>☐</w:t>
            </w:r>
          </w:p>
        </w:tc>
      </w:tr>
      <w:tr>
        <w:tc>
          <w:tcPr>
            <w:tcW w:type="dxa" w:w="820"/>
            <w:vMerge/>
            <w:tcBorders>
              <w:top w:val="none" w:color="000000" w:sz="4"/>
              <w:left w:val="single" w:color="000000" w:sz="4"/>
              <w:bottom w:val="single" w:color="000000" w:sz="4"/>
              <w:right w:val="single" w:color="000000" w:sz="4"/>
            </w:tcBorders>
          </w:tcPr>
          <w:p/>
        </w:tc>
        <w:tc>
          <w:tcPr>
            <w:tcW w:type="dxa" w:w="1625"/>
            <w:vMerge/>
            <w:tcBorders>
              <w:top w:val="single" w:color="000000" w:sz="4"/>
              <w:left w:val="none" w:color="000000" w:sz="4"/>
              <w:bottom w:val="single" w:color="000000" w:sz="4"/>
              <w:right w:val="single" w:color="000000" w:sz="4"/>
            </w:tcBorders>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相位噪声</w:t>
            </w:r>
            <w:r>
              <w:rPr>
                <w:rFonts w:ascii="宋体" w:hAnsi="宋体" w:cs="宋体" w:eastAsia="宋体"/>
                <w:sz w:val="24"/>
              </w:rPr>
              <w:t>(fc=1GHz)</w:t>
            </w:r>
          </w:p>
        </w:tc>
        <w:tc>
          <w:tcPr>
            <w:tcW w:type="dxa" w:w="3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正偏离是</w:t>
            </w:r>
            <w:r>
              <w:rPr>
                <w:rFonts w:ascii="宋体" w:hAnsi="宋体" w:cs="宋体" w:eastAsia="宋体"/>
                <w:sz w:val="24"/>
              </w:rPr>
              <w:t>☐</w:t>
            </w:r>
          </w:p>
          <w:p>
            <w:pPr>
              <w:pStyle w:val="null3"/>
              <w:jc w:val="both"/>
            </w:pPr>
            <w:r>
              <w:rPr>
                <w:rFonts w:ascii="宋体" w:hAnsi="宋体" w:cs="宋体" w:eastAsia="宋体"/>
                <w:sz w:val="24"/>
              </w:rPr>
              <w:t>否</w:t>
            </w:r>
            <w:r>
              <w:rPr>
                <w:rFonts w:ascii="宋体" w:hAnsi="宋体" w:cs="宋体" w:eastAsia="宋体"/>
                <w:sz w:val="24"/>
              </w:rPr>
              <w:t>☐</w:t>
            </w:r>
          </w:p>
        </w:tc>
      </w:tr>
      <w:tr>
        <w:tc>
          <w:tcPr>
            <w:tcW w:type="dxa" w:w="820"/>
            <w:vMerge/>
            <w:tcBorders>
              <w:top w:val="none" w:color="000000" w:sz="4"/>
              <w:left w:val="single" w:color="000000" w:sz="4"/>
              <w:bottom w:val="single" w:color="000000" w:sz="4"/>
              <w:right w:val="single" w:color="000000" w:sz="4"/>
            </w:tcBorders>
          </w:tcPr>
          <w:p/>
        </w:tc>
        <w:tc>
          <w:tcPr>
            <w:tcW w:type="dxa" w:w="1625"/>
            <w:vMerge/>
            <w:tcBorders>
              <w:top w:val="single" w:color="000000" w:sz="4"/>
              <w:left w:val="none" w:color="000000" w:sz="4"/>
              <w:bottom w:val="single" w:color="000000" w:sz="4"/>
              <w:right w:val="single" w:color="000000" w:sz="4"/>
            </w:tcBorders>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实时中频带宽</w:t>
            </w:r>
          </w:p>
        </w:tc>
        <w:tc>
          <w:tcPr>
            <w:tcW w:type="dxa" w:w="3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正偏离是</w:t>
            </w:r>
            <w:r>
              <w:rPr>
                <w:rFonts w:ascii="宋体" w:hAnsi="宋体" w:cs="宋体" w:eastAsia="宋体"/>
                <w:sz w:val="24"/>
              </w:rPr>
              <w:t>☐</w:t>
            </w:r>
          </w:p>
          <w:p>
            <w:pPr>
              <w:pStyle w:val="null3"/>
              <w:jc w:val="both"/>
            </w:pPr>
            <w:r>
              <w:rPr>
                <w:rFonts w:ascii="宋体" w:hAnsi="宋体" w:cs="宋体" w:eastAsia="宋体"/>
                <w:sz w:val="24"/>
              </w:rPr>
              <w:t>否</w:t>
            </w:r>
            <w:r>
              <w:rPr>
                <w:rFonts w:ascii="宋体" w:hAnsi="宋体" w:cs="宋体" w:eastAsia="宋体"/>
                <w:sz w:val="24"/>
              </w:rPr>
              <w:t>☐</w:t>
            </w:r>
          </w:p>
        </w:tc>
      </w:tr>
      <w:tr>
        <w:tc>
          <w:tcPr>
            <w:tcW w:type="dxa" w:w="820"/>
            <w:vMerge/>
            <w:tcBorders>
              <w:top w:val="none" w:color="000000" w:sz="4"/>
              <w:left w:val="single" w:color="000000" w:sz="4"/>
              <w:bottom w:val="single" w:color="000000" w:sz="4"/>
              <w:right w:val="single" w:color="000000" w:sz="4"/>
            </w:tcBorders>
          </w:tcPr>
          <w:p/>
        </w:tc>
        <w:tc>
          <w:tcPr>
            <w:tcW w:type="dxa" w:w="1625"/>
            <w:vMerge/>
            <w:tcBorders>
              <w:top w:val="single" w:color="000000" w:sz="4"/>
              <w:left w:val="none" w:color="000000" w:sz="4"/>
              <w:bottom w:val="single" w:color="000000" w:sz="4"/>
              <w:right w:val="single" w:color="000000" w:sz="4"/>
            </w:tcBorders>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噪声系数</w:t>
            </w:r>
            <w:r>
              <w:rPr>
                <w:rFonts w:ascii="宋体" w:hAnsi="宋体" w:cs="宋体" w:eastAsia="宋体"/>
                <w:sz w:val="24"/>
              </w:rPr>
              <w:t>(实时带宽20MHz)</w:t>
            </w:r>
          </w:p>
        </w:tc>
        <w:tc>
          <w:tcPr>
            <w:tcW w:type="dxa" w:w="3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正偏离是</w:t>
            </w:r>
            <w:r>
              <w:rPr>
                <w:rFonts w:ascii="宋体" w:hAnsi="宋体" w:cs="宋体" w:eastAsia="宋体"/>
                <w:sz w:val="24"/>
              </w:rPr>
              <w:t>☐</w:t>
            </w:r>
          </w:p>
          <w:p>
            <w:pPr>
              <w:pStyle w:val="null3"/>
              <w:jc w:val="both"/>
            </w:pPr>
            <w:r>
              <w:rPr>
                <w:rFonts w:ascii="宋体" w:hAnsi="宋体" w:cs="宋体" w:eastAsia="宋体"/>
                <w:sz w:val="24"/>
              </w:rPr>
              <w:t>否</w:t>
            </w:r>
            <w:r>
              <w:rPr>
                <w:rFonts w:ascii="宋体" w:hAnsi="宋体" w:cs="宋体" w:eastAsia="宋体"/>
                <w:sz w:val="24"/>
              </w:rPr>
              <w:t>☐</w:t>
            </w:r>
          </w:p>
        </w:tc>
      </w:tr>
      <w:tr>
        <w:tc>
          <w:tcPr>
            <w:tcW w:type="dxa" w:w="820"/>
            <w:vMerge/>
            <w:tcBorders>
              <w:top w:val="none" w:color="000000" w:sz="4"/>
              <w:left w:val="single" w:color="000000" w:sz="4"/>
              <w:bottom w:val="single" w:color="000000" w:sz="4"/>
              <w:right w:val="single" w:color="000000" w:sz="4"/>
            </w:tcBorders>
          </w:tcPr>
          <w:p/>
        </w:tc>
        <w:tc>
          <w:tcPr>
            <w:tcW w:type="dxa" w:w="1625"/>
            <w:vMerge/>
            <w:tcBorders>
              <w:top w:val="single" w:color="000000" w:sz="4"/>
              <w:left w:val="none" w:color="000000" w:sz="4"/>
              <w:bottom w:val="single" w:color="000000" w:sz="4"/>
              <w:right w:val="single" w:color="000000" w:sz="4"/>
            </w:tcBorders>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监测灵敏度</w:t>
            </w:r>
          </w:p>
        </w:tc>
        <w:tc>
          <w:tcPr>
            <w:tcW w:type="dxa" w:w="3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正偏离是</w:t>
            </w:r>
            <w:r>
              <w:rPr>
                <w:rFonts w:ascii="宋体" w:hAnsi="宋体" w:cs="宋体" w:eastAsia="宋体"/>
                <w:sz w:val="24"/>
              </w:rPr>
              <w:t>☐</w:t>
            </w:r>
          </w:p>
          <w:p>
            <w:pPr>
              <w:pStyle w:val="null3"/>
              <w:jc w:val="both"/>
            </w:pPr>
            <w:r>
              <w:rPr>
                <w:rFonts w:ascii="宋体" w:hAnsi="宋体" w:cs="宋体" w:eastAsia="宋体"/>
                <w:sz w:val="24"/>
              </w:rPr>
              <w:t>否</w:t>
            </w:r>
            <w:r>
              <w:rPr>
                <w:rFonts w:ascii="宋体" w:hAnsi="宋体" w:cs="宋体" w:eastAsia="宋体"/>
                <w:sz w:val="24"/>
              </w:rPr>
              <w:t>☐</w:t>
            </w:r>
          </w:p>
        </w:tc>
      </w:tr>
      <w:tr>
        <w:tc>
          <w:tcPr>
            <w:tcW w:type="dxa" w:w="820"/>
            <w:vMerge/>
            <w:tcBorders>
              <w:top w:val="none" w:color="000000" w:sz="4"/>
              <w:left w:val="single" w:color="000000" w:sz="4"/>
              <w:bottom w:val="single" w:color="000000" w:sz="4"/>
              <w:right w:val="single" w:color="000000" w:sz="4"/>
            </w:tcBorders>
          </w:tcPr>
          <w:p/>
        </w:tc>
        <w:tc>
          <w:tcPr>
            <w:tcW w:type="dxa" w:w="1625"/>
            <w:vMerge/>
            <w:tcBorders>
              <w:top w:val="single" w:color="000000" w:sz="4"/>
              <w:left w:val="none" w:color="000000" w:sz="4"/>
              <w:bottom w:val="single" w:color="000000" w:sz="4"/>
              <w:right w:val="single" w:color="000000" w:sz="4"/>
            </w:tcBorders>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测向灵敏度</w:t>
            </w:r>
          </w:p>
        </w:tc>
        <w:tc>
          <w:tcPr>
            <w:tcW w:type="dxa" w:w="3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正偏离是</w:t>
            </w:r>
            <w:r>
              <w:rPr>
                <w:rFonts w:ascii="宋体" w:hAnsi="宋体" w:cs="宋体" w:eastAsia="宋体"/>
                <w:sz w:val="24"/>
              </w:rPr>
              <w:t>☐</w:t>
            </w:r>
          </w:p>
          <w:p>
            <w:pPr>
              <w:pStyle w:val="null3"/>
              <w:jc w:val="both"/>
            </w:pPr>
            <w:r>
              <w:rPr>
                <w:rFonts w:ascii="宋体" w:hAnsi="宋体" w:cs="宋体" w:eastAsia="宋体"/>
                <w:sz w:val="24"/>
              </w:rPr>
              <w:t>否</w:t>
            </w:r>
            <w:r>
              <w:rPr>
                <w:rFonts w:ascii="宋体" w:hAnsi="宋体" w:cs="宋体" w:eastAsia="宋体"/>
                <w:sz w:val="24"/>
              </w:rPr>
              <w:t>☐</w:t>
            </w:r>
          </w:p>
        </w:tc>
      </w:tr>
      <w:tr>
        <w:tc>
          <w:tcPr>
            <w:tcW w:type="dxa" w:w="820"/>
            <w:vMerge/>
            <w:tcBorders>
              <w:top w:val="none" w:color="000000" w:sz="4"/>
              <w:left w:val="single" w:color="000000" w:sz="4"/>
              <w:bottom w:val="single" w:color="000000" w:sz="4"/>
              <w:right w:val="single" w:color="000000" w:sz="4"/>
            </w:tcBorders>
          </w:tcPr>
          <w:p/>
        </w:tc>
        <w:tc>
          <w:tcPr>
            <w:tcW w:type="dxa" w:w="1625"/>
            <w:vMerge/>
            <w:tcBorders>
              <w:top w:val="single" w:color="000000" w:sz="4"/>
              <w:left w:val="none" w:color="000000" w:sz="4"/>
              <w:bottom w:val="single" w:color="000000" w:sz="4"/>
              <w:right w:val="single" w:color="000000" w:sz="4"/>
            </w:tcBorders>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测向准确度（测向精度）</w:t>
            </w:r>
          </w:p>
        </w:tc>
        <w:tc>
          <w:tcPr>
            <w:tcW w:type="dxa" w:w="3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正偏离是</w:t>
            </w:r>
            <w:r>
              <w:rPr>
                <w:rFonts w:ascii="宋体" w:hAnsi="宋体" w:cs="宋体" w:eastAsia="宋体"/>
                <w:sz w:val="24"/>
              </w:rPr>
              <w:t>☐</w:t>
            </w:r>
          </w:p>
          <w:p>
            <w:pPr>
              <w:pStyle w:val="null3"/>
              <w:jc w:val="both"/>
            </w:pPr>
            <w:r>
              <w:rPr>
                <w:rFonts w:ascii="宋体" w:hAnsi="宋体" w:cs="宋体" w:eastAsia="宋体"/>
                <w:sz w:val="24"/>
              </w:rPr>
              <w:t>否</w:t>
            </w:r>
            <w:r>
              <w:rPr>
                <w:rFonts w:ascii="宋体" w:hAnsi="宋体" w:cs="宋体" w:eastAsia="宋体"/>
                <w:sz w:val="24"/>
              </w:rPr>
              <w:t>☐</w:t>
            </w:r>
          </w:p>
        </w:tc>
      </w:tr>
      <w:tr>
        <w:tc>
          <w:tcPr>
            <w:tcW w:type="dxa" w:w="820"/>
            <w:vMerge/>
            <w:tcBorders>
              <w:top w:val="none" w:color="000000" w:sz="4"/>
              <w:left w:val="single" w:color="000000" w:sz="4"/>
              <w:bottom w:val="single" w:color="000000" w:sz="4"/>
              <w:right w:val="single" w:color="000000" w:sz="4"/>
            </w:tcBorders>
          </w:tcPr>
          <w:p/>
        </w:tc>
        <w:tc>
          <w:tcPr>
            <w:tcW w:type="dxa" w:w="1625"/>
            <w:vMerge/>
            <w:tcBorders>
              <w:top w:val="single" w:color="000000" w:sz="4"/>
              <w:left w:val="none" w:color="000000" w:sz="4"/>
              <w:bottom w:val="single" w:color="000000" w:sz="4"/>
              <w:right w:val="single" w:color="000000" w:sz="4"/>
            </w:tcBorders>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测向时效</w:t>
            </w:r>
          </w:p>
        </w:tc>
        <w:tc>
          <w:tcPr>
            <w:tcW w:type="dxa" w:w="3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正偏离是</w:t>
            </w:r>
            <w:r>
              <w:rPr>
                <w:rFonts w:ascii="宋体" w:hAnsi="宋体" w:cs="宋体" w:eastAsia="宋体"/>
                <w:sz w:val="24"/>
              </w:rPr>
              <w:t>☐</w:t>
            </w:r>
          </w:p>
          <w:p>
            <w:pPr>
              <w:pStyle w:val="null3"/>
              <w:jc w:val="both"/>
            </w:pPr>
            <w:r>
              <w:rPr>
                <w:rFonts w:ascii="宋体" w:hAnsi="宋体" w:cs="宋体" w:eastAsia="宋体"/>
                <w:sz w:val="24"/>
              </w:rPr>
              <w:t>否</w:t>
            </w:r>
            <w:r>
              <w:rPr>
                <w:rFonts w:ascii="宋体" w:hAnsi="宋体" w:cs="宋体" w:eastAsia="宋体"/>
                <w:sz w:val="24"/>
              </w:rPr>
              <w:t>☐</w:t>
            </w:r>
          </w:p>
        </w:tc>
      </w:tr>
      <w:tr>
        <w:tc>
          <w:tcPr>
            <w:tcW w:type="dxa" w:w="820"/>
            <w:vMerge/>
            <w:tcBorders>
              <w:top w:val="none" w:color="000000" w:sz="4"/>
              <w:left w:val="single" w:color="000000" w:sz="4"/>
              <w:bottom w:val="single" w:color="000000" w:sz="4"/>
              <w:right w:val="single" w:color="000000" w:sz="4"/>
            </w:tcBorders>
          </w:tcPr>
          <w:p/>
        </w:tc>
        <w:tc>
          <w:tcPr>
            <w:tcW w:type="dxa" w:w="1625"/>
            <w:vMerge/>
            <w:tcBorders>
              <w:top w:val="single" w:color="000000" w:sz="4"/>
              <w:left w:val="none" w:color="000000" w:sz="4"/>
              <w:bottom w:val="single" w:color="000000" w:sz="4"/>
              <w:right w:val="single" w:color="000000" w:sz="4"/>
            </w:tcBorders>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扫描速度</w:t>
            </w:r>
            <w:r>
              <w:rPr>
                <w:rFonts w:ascii="宋体" w:hAnsi="宋体" w:cs="宋体" w:eastAsia="宋体"/>
                <w:sz w:val="24"/>
              </w:rPr>
              <w:t>(25KHz步进)</w:t>
            </w:r>
          </w:p>
        </w:tc>
        <w:tc>
          <w:tcPr>
            <w:tcW w:type="dxa" w:w="3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正偏离是</w:t>
            </w:r>
            <w:r>
              <w:rPr>
                <w:rFonts w:ascii="宋体" w:hAnsi="宋体" w:cs="宋体" w:eastAsia="宋体"/>
                <w:sz w:val="24"/>
              </w:rPr>
              <w:t>☐</w:t>
            </w:r>
          </w:p>
          <w:p>
            <w:pPr>
              <w:pStyle w:val="null3"/>
              <w:jc w:val="both"/>
            </w:pPr>
            <w:r>
              <w:rPr>
                <w:rFonts w:ascii="宋体" w:hAnsi="宋体" w:cs="宋体" w:eastAsia="宋体"/>
                <w:sz w:val="24"/>
              </w:rPr>
              <w:t>否</w:t>
            </w:r>
            <w:r>
              <w:rPr>
                <w:rFonts w:ascii="宋体" w:hAnsi="宋体" w:cs="宋体" w:eastAsia="宋体"/>
                <w:sz w:val="24"/>
              </w:rPr>
              <w:t>☐</w:t>
            </w:r>
          </w:p>
        </w:tc>
      </w:tr>
      <w:tr>
        <w:tc>
          <w:tcPr>
            <w:tcW w:type="dxa" w:w="820"/>
            <w:vMerge/>
            <w:tcBorders>
              <w:top w:val="none" w:color="000000" w:sz="4"/>
              <w:left w:val="single" w:color="000000" w:sz="4"/>
              <w:bottom w:val="single" w:color="000000" w:sz="4"/>
              <w:right w:val="single" w:color="000000" w:sz="4"/>
            </w:tcBorders>
          </w:tcPr>
          <w:p/>
        </w:tc>
        <w:tc>
          <w:tcPr>
            <w:tcW w:type="dxa" w:w="1625"/>
            <w:vMerge/>
            <w:tcBorders>
              <w:top w:val="single" w:color="000000" w:sz="4"/>
              <w:left w:val="none" w:color="000000" w:sz="4"/>
              <w:bottom w:val="single" w:color="000000" w:sz="4"/>
              <w:right w:val="single" w:color="000000" w:sz="4"/>
            </w:tcBorders>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二阶截断点</w:t>
            </w:r>
            <w:r>
              <w:rPr>
                <w:rFonts w:ascii="宋体" w:hAnsi="宋体" w:cs="宋体" w:eastAsia="宋体"/>
                <w:sz w:val="24"/>
              </w:rPr>
              <w:t>(低失真模式：中频带宽20MHz)</w:t>
            </w:r>
          </w:p>
        </w:tc>
        <w:tc>
          <w:tcPr>
            <w:tcW w:type="dxa" w:w="3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正偏离是</w:t>
            </w:r>
            <w:r>
              <w:rPr>
                <w:rFonts w:ascii="宋体" w:hAnsi="宋体" w:cs="宋体" w:eastAsia="宋体"/>
                <w:sz w:val="24"/>
              </w:rPr>
              <w:t>☐</w:t>
            </w:r>
          </w:p>
          <w:p>
            <w:pPr>
              <w:pStyle w:val="null3"/>
              <w:jc w:val="both"/>
            </w:pPr>
            <w:r>
              <w:rPr>
                <w:rFonts w:ascii="宋体" w:hAnsi="宋体" w:cs="宋体" w:eastAsia="宋体"/>
                <w:sz w:val="24"/>
              </w:rPr>
              <w:t>否</w:t>
            </w:r>
            <w:r>
              <w:rPr>
                <w:rFonts w:ascii="宋体" w:hAnsi="宋体" w:cs="宋体" w:eastAsia="宋体"/>
                <w:sz w:val="24"/>
              </w:rPr>
              <w:t>☐</w:t>
            </w:r>
          </w:p>
        </w:tc>
      </w:tr>
      <w:tr>
        <w:tc>
          <w:tcPr>
            <w:tcW w:type="dxa" w:w="820"/>
            <w:vMerge/>
            <w:tcBorders>
              <w:top w:val="none" w:color="000000" w:sz="4"/>
              <w:left w:val="single" w:color="000000" w:sz="4"/>
              <w:bottom w:val="single" w:color="000000" w:sz="4"/>
              <w:right w:val="single" w:color="000000" w:sz="4"/>
            </w:tcBorders>
          </w:tcPr>
          <w:p/>
        </w:tc>
        <w:tc>
          <w:tcPr>
            <w:tcW w:type="dxa" w:w="1625"/>
            <w:vMerge/>
            <w:tcBorders>
              <w:top w:val="single" w:color="000000" w:sz="4"/>
              <w:left w:val="none" w:color="000000" w:sz="4"/>
              <w:bottom w:val="single" w:color="000000" w:sz="4"/>
              <w:right w:val="single" w:color="000000" w:sz="4"/>
            </w:tcBorders>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三阶截断点</w:t>
            </w:r>
            <w:r>
              <w:rPr>
                <w:rFonts w:ascii="宋体" w:hAnsi="宋体" w:cs="宋体" w:eastAsia="宋体"/>
                <w:sz w:val="24"/>
              </w:rPr>
              <w:t>(低失真模式：中频带宽20MHz)</w:t>
            </w:r>
          </w:p>
        </w:tc>
        <w:tc>
          <w:tcPr>
            <w:tcW w:type="dxa" w:w="3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正偏离是</w:t>
            </w:r>
            <w:r>
              <w:rPr>
                <w:rFonts w:ascii="宋体" w:hAnsi="宋体" w:cs="宋体" w:eastAsia="宋体"/>
                <w:sz w:val="24"/>
              </w:rPr>
              <w:t>☐</w:t>
            </w:r>
          </w:p>
          <w:p>
            <w:pPr>
              <w:pStyle w:val="null3"/>
              <w:jc w:val="both"/>
            </w:pPr>
            <w:r>
              <w:rPr>
                <w:rFonts w:ascii="宋体" w:hAnsi="宋体" w:cs="宋体" w:eastAsia="宋体"/>
                <w:sz w:val="24"/>
              </w:rPr>
              <w:t>否</w:t>
            </w:r>
            <w:r>
              <w:rPr>
                <w:rFonts w:ascii="宋体" w:hAnsi="宋体" w:cs="宋体" w:eastAsia="宋体"/>
                <w:sz w:val="24"/>
              </w:rPr>
              <w:t>☐</w:t>
            </w:r>
          </w:p>
        </w:tc>
      </w:tr>
      <w:tr>
        <w:tc>
          <w:tcPr>
            <w:tcW w:type="dxa" w:w="820"/>
            <w:vMerge/>
            <w:tcBorders>
              <w:top w:val="none" w:color="000000" w:sz="4"/>
              <w:left w:val="single" w:color="000000" w:sz="4"/>
              <w:bottom w:val="single" w:color="000000" w:sz="4"/>
              <w:right w:val="single" w:color="000000" w:sz="4"/>
            </w:tcBorders>
          </w:tcPr>
          <w:p/>
        </w:tc>
        <w:tc>
          <w:tcPr>
            <w:tcW w:type="dxa" w:w="1625"/>
            <w:vMerge/>
            <w:tcBorders>
              <w:top w:val="single" w:color="000000" w:sz="4"/>
              <w:left w:val="none" w:color="000000" w:sz="4"/>
              <w:bottom w:val="single" w:color="000000" w:sz="4"/>
              <w:right w:val="single" w:color="000000" w:sz="4"/>
            </w:tcBorders>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中频</w:t>
            </w:r>
            <w:r>
              <w:rPr>
                <w:rFonts w:ascii="宋体" w:hAnsi="宋体" w:cs="宋体" w:eastAsia="宋体"/>
                <w:sz w:val="24"/>
              </w:rPr>
              <w:t>/镜像抑制</w:t>
            </w:r>
          </w:p>
        </w:tc>
        <w:tc>
          <w:tcPr>
            <w:tcW w:type="dxa" w:w="3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正偏离是</w:t>
            </w:r>
            <w:r>
              <w:rPr>
                <w:rFonts w:ascii="宋体" w:hAnsi="宋体" w:cs="宋体" w:eastAsia="宋体"/>
                <w:sz w:val="24"/>
              </w:rPr>
              <w:t>☐</w:t>
            </w:r>
          </w:p>
          <w:p>
            <w:pPr>
              <w:pStyle w:val="null3"/>
              <w:jc w:val="both"/>
            </w:pPr>
            <w:r>
              <w:rPr>
                <w:rFonts w:ascii="宋体" w:hAnsi="宋体" w:cs="宋体" w:eastAsia="宋体"/>
                <w:sz w:val="24"/>
              </w:rPr>
              <w:t>否</w:t>
            </w:r>
            <w:r>
              <w:rPr>
                <w:rFonts w:ascii="宋体" w:hAnsi="宋体" w:cs="宋体" w:eastAsia="宋体"/>
                <w:sz w:val="24"/>
              </w:rPr>
              <w:t>☐</w:t>
            </w:r>
          </w:p>
        </w:tc>
      </w:tr>
      <w:tr>
        <w:tc>
          <w:tcPr>
            <w:tcW w:type="dxa" w:w="8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16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监测测向天线</w:t>
            </w: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监测测向天线形态</w:t>
            </w:r>
          </w:p>
        </w:tc>
        <w:tc>
          <w:tcPr>
            <w:tcW w:type="dxa" w:w="3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一体化天线</w:t>
            </w:r>
            <w:r>
              <w:rPr>
                <w:rFonts w:ascii="宋体" w:hAnsi="宋体" w:cs="宋体" w:eastAsia="宋体"/>
                <w:sz w:val="24"/>
              </w:rPr>
              <w:t>☐监测测向分体天线☐</w:t>
            </w:r>
          </w:p>
        </w:tc>
      </w:tr>
      <w:tr>
        <w:tc>
          <w:tcPr>
            <w:tcW w:type="dxa" w:w="820"/>
            <w:vMerge/>
            <w:tcBorders>
              <w:top w:val="none" w:color="000000" w:sz="4"/>
              <w:left w:val="single" w:color="000000" w:sz="4"/>
              <w:bottom w:val="single" w:color="000000" w:sz="4"/>
              <w:right w:val="single" w:color="000000" w:sz="4"/>
            </w:tcBorders>
          </w:tcPr>
          <w:p/>
        </w:tc>
        <w:tc>
          <w:tcPr>
            <w:tcW w:type="dxa" w:w="1625"/>
            <w:vMerge/>
            <w:tcBorders>
              <w:top w:val="none" w:color="000000" w:sz="4"/>
              <w:left w:val="none" w:color="000000" w:sz="4"/>
              <w:bottom w:val="single" w:color="000000" w:sz="4"/>
              <w:right w:val="single" w:color="000000" w:sz="4"/>
            </w:tcBorders>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监测天线品牌型号</w:t>
            </w:r>
          </w:p>
        </w:tc>
        <w:tc>
          <w:tcPr>
            <w:tcW w:type="dxa" w:w="3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0"/>
            <w:vMerge/>
            <w:tcBorders>
              <w:top w:val="none" w:color="000000" w:sz="4"/>
              <w:left w:val="single" w:color="000000" w:sz="4"/>
              <w:bottom w:val="single" w:color="000000" w:sz="4"/>
              <w:right w:val="single" w:color="000000" w:sz="4"/>
            </w:tcBorders>
          </w:tcPr>
          <w:p/>
        </w:tc>
        <w:tc>
          <w:tcPr>
            <w:tcW w:type="dxa" w:w="1625"/>
            <w:vMerge/>
            <w:tcBorders>
              <w:top w:val="none" w:color="000000" w:sz="4"/>
              <w:left w:val="none" w:color="000000" w:sz="4"/>
              <w:bottom w:val="single" w:color="000000" w:sz="4"/>
              <w:right w:val="single" w:color="000000" w:sz="4"/>
            </w:tcBorders>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测向天线品牌型号</w:t>
            </w:r>
          </w:p>
        </w:tc>
        <w:tc>
          <w:tcPr>
            <w:tcW w:type="dxa" w:w="3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0"/>
            <w:vMerge/>
            <w:tcBorders>
              <w:top w:val="none" w:color="000000" w:sz="4"/>
              <w:left w:val="single" w:color="000000" w:sz="4"/>
              <w:bottom w:val="single" w:color="000000" w:sz="4"/>
              <w:right w:val="single" w:color="000000" w:sz="4"/>
            </w:tcBorders>
          </w:tcPr>
          <w:p/>
        </w:tc>
        <w:tc>
          <w:tcPr>
            <w:tcW w:type="dxa" w:w="1625"/>
            <w:vMerge/>
            <w:tcBorders>
              <w:top w:val="none" w:color="000000" w:sz="4"/>
              <w:left w:val="none" w:color="000000" w:sz="4"/>
              <w:bottom w:val="single" w:color="000000" w:sz="4"/>
              <w:right w:val="single" w:color="000000" w:sz="4"/>
            </w:tcBorders>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监测频率范围</w:t>
            </w:r>
            <w:r>
              <w:rPr>
                <w:rFonts w:ascii="宋体" w:hAnsi="宋体" w:cs="宋体" w:eastAsia="宋体"/>
                <w:sz w:val="24"/>
              </w:rPr>
              <w:t>(注明极化方向)</w:t>
            </w:r>
          </w:p>
        </w:tc>
        <w:tc>
          <w:tcPr>
            <w:tcW w:type="dxa" w:w="3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0"/>
            <w:vMerge/>
            <w:tcBorders>
              <w:top w:val="none" w:color="000000" w:sz="4"/>
              <w:left w:val="single" w:color="000000" w:sz="4"/>
              <w:bottom w:val="single" w:color="000000" w:sz="4"/>
              <w:right w:val="single" w:color="000000" w:sz="4"/>
            </w:tcBorders>
          </w:tcPr>
          <w:p/>
        </w:tc>
        <w:tc>
          <w:tcPr>
            <w:tcW w:type="dxa" w:w="1625"/>
            <w:vMerge/>
            <w:tcBorders>
              <w:top w:val="none" w:color="000000" w:sz="4"/>
              <w:left w:val="none" w:color="000000" w:sz="4"/>
              <w:bottom w:val="single" w:color="000000" w:sz="4"/>
              <w:right w:val="single" w:color="000000" w:sz="4"/>
            </w:tcBorders>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测向频率范围</w:t>
            </w:r>
          </w:p>
          <w:p>
            <w:pPr>
              <w:pStyle w:val="null3"/>
              <w:jc w:val="both"/>
            </w:pPr>
            <w:r>
              <w:rPr>
                <w:rFonts w:ascii="宋体" w:hAnsi="宋体" w:cs="宋体" w:eastAsia="宋体"/>
                <w:sz w:val="24"/>
              </w:rPr>
              <w:t>(注明极化方向)</w:t>
            </w:r>
          </w:p>
        </w:tc>
        <w:tc>
          <w:tcPr>
            <w:tcW w:type="dxa" w:w="3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0"/>
            <w:vMerge/>
            <w:tcBorders>
              <w:top w:val="none" w:color="000000" w:sz="4"/>
              <w:left w:val="single" w:color="000000" w:sz="4"/>
              <w:bottom w:val="single" w:color="000000" w:sz="4"/>
              <w:right w:val="single" w:color="000000" w:sz="4"/>
            </w:tcBorders>
          </w:tcPr>
          <w:p/>
        </w:tc>
        <w:tc>
          <w:tcPr>
            <w:tcW w:type="dxa" w:w="1625"/>
            <w:vMerge/>
            <w:tcBorders>
              <w:top w:val="none" w:color="000000" w:sz="4"/>
              <w:left w:val="none" w:color="000000" w:sz="4"/>
              <w:bottom w:val="single" w:color="000000" w:sz="4"/>
              <w:right w:val="single" w:color="000000" w:sz="4"/>
            </w:tcBorders>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监测天线有源无源切换能力</w:t>
            </w:r>
          </w:p>
        </w:tc>
        <w:tc>
          <w:tcPr>
            <w:tcW w:type="dxa" w:w="3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有源</w:t>
            </w:r>
            <w:r>
              <w:rPr>
                <w:rFonts w:ascii="宋体" w:hAnsi="宋体" w:cs="宋体" w:eastAsia="宋体"/>
                <w:sz w:val="24"/>
              </w:rPr>
              <w:t>☐无源☐可切换☐</w:t>
            </w:r>
          </w:p>
          <w:p>
            <w:pPr>
              <w:pStyle w:val="null3"/>
              <w:jc w:val="both"/>
            </w:pPr>
            <w:r>
              <w:rPr>
                <w:rFonts w:ascii="宋体" w:hAnsi="宋体" w:cs="宋体" w:eastAsia="宋体"/>
                <w:sz w:val="24"/>
              </w:rPr>
              <w:t>可切换频率范围</w:t>
            </w:r>
            <w:r>
              <w:rPr>
                <w:rFonts w:ascii="宋体" w:hAnsi="宋体" w:cs="宋体" w:eastAsia="宋体"/>
                <w:sz w:val="24"/>
              </w:rPr>
              <w:t>Hz</w:t>
            </w:r>
          </w:p>
        </w:tc>
      </w:tr>
      <w:tr>
        <w:tc>
          <w:tcPr>
            <w:tcW w:type="dxa" w:w="820"/>
            <w:vMerge/>
            <w:tcBorders>
              <w:top w:val="none" w:color="000000" w:sz="4"/>
              <w:left w:val="single" w:color="000000" w:sz="4"/>
              <w:bottom w:val="single" w:color="000000" w:sz="4"/>
              <w:right w:val="single" w:color="000000" w:sz="4"/>
            </w:tcBorders>
          </w:tcPr>
          <w:p/>
        </w:tc>
        <w:tc>
          <w:tcPr>
            <w:tcW w:type="dxa" w:w="1625"/>
            <w:vMerge/>
            <w:tcBorders>
              <w:top w:val="none" w:color="000000" w:sz="4"/>
              <w:left w:val="none" w:color="000000" w:sz="4"/>
              <w:bottom w:val="single" w:color="000000" w:sz="4"/>
              <w:right w:val="single" w:color="000000" w:sz="4"/>
            </w:tcBorders>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测向天线有源无源切换能力</w:t>
            </w:r>
          </w:p>
        </w:tc>
        <w:tc>
          <w:tcPr>
            <w:tcW w:type="dxa" w:w="3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有源</w:t>
            </w:r>
            <w:r>
              <w:rPr>
                <w:rFonts w:ascii="宋体" w:hAnsi="宋体" w:cs="宋体" w:eastAsia="宋体"/>
                <w:sz w:val="24"/>
              </w:rPr>
              <w:t>☐无源☐可切换☐</w:t>
            </w:r>
          </w:p>
          <w:p>
            <w:pPr>
              <w:pStyle w:val="null3"/>
              <w:jc w:val="both"/>
            </w:pPr>
            <w:r>
              <w:rPr>
                <w:rFonts w:ascii="宋体" w:hAnsi="宋体" w:cs="宋体" w:eastAsia="宋体"/>
                <w:sz w:val="24"/>
              </w:rPr>
              <w:t>可切换频率范围</w:t>
            </w:r>
            <w:r>
              <w:rPr>
                <w:rFonts w:ascii="宋体" w:hAnsi="宋体" w:cs="宋体" w:eastAsia="宋体"/>
                <w:sz w:val="24"/>
              </w:rPr>
              <w:t>Hz</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二、存储、控制和网络设备</w:t>
            </w:r>
          </w:p>
        </w:tc>
      </w:tr>
      <w:tr>
        <w:tc>
          <w:tcPr>
            <w:tcW w:type="dxa" w:w="8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162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前端控制系统</w:t>
            </w:r>
          </w:p>
        </w:tc>
        <w:tc>
          <w:tcPr>
            <w:tcW w:type="dxa" w:w="586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具有正版操作系统软件，原子化服务封装需符合</w:t>
            </w:r>
            <w:r>
              <w:rPr>
                <w:rFonts w:ascii="宋体" w:hAnsi="宋体" w:cs="宋体" w:eastAsia="宋体"/>
                <w:sz w:val="24"/>
              </w:rPr>
              <w:t>YD/T3699-2020《无线电管理一体化平台体系架构及应用规范》、YD/T3700-2020《超短波监测管理一体化平台技术规范》、《无线电管理一体化平台集成规范第2部分：服务治理》</w:t>
            </w:r>
          </w:p>
        </w:tc>
      </w:tr>
      <w:tr>
        <w:tc>
          <w:tcPr>
            <w:tcW w:type="dxa" w:w="820"/>
            <w:vMerge/>
            <w:tcBorders>
              <w:top w:val="none" w:color="000000" w:sz="4"/>
              <w:left w:val="single" w:color="000000" w:sz="4"/>
              <w:bottom w:val="single" w:color="000000" w:sz="4"/>
              <w:right w:val="single" w:color="000000" w:sz="4"/>
            </w:tcBorders>
          </w:tcPr>
          <w:p/>
        </w:tc>
        <w:tc>
          <w:tcPr>
            <w:tcW w:type="dxa" w:w="1625"/>
            <w:vMerge/>
            <w:tcBorders>
              <w:top w:val="single" w:color="000000" w:sz="4"/>
              <w:left w:val="none" w:color="000000" w:sz="4"/>
              <w:bottom w:val="single" w:color="000000" w:sz="4"/>
              <w:right w:val="single" w:color="000000" w:sz="4"/>
            </w:tcBorders>
          </w:tcPr>
          <w:p/>
        </w:tc>
        <w:tc>
          <w:tcPr>
            <w:tcW w:type="dxa" w:w="586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数据处理平台型号</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网络平台</w:t>
            </w:r>
          </w:p>
        </w:tc>
        <w:tc>
          <w:tcPr>
            <w:tcW w:type="dxa" w:w="586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三、配套设施</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1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电源系统</w:t>
            </w:r>
          </w:p>
        </w:tc>
        <w:tc>
          <w:tcPr>
            <w:tcW w:type="dxa" w:w="586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视频和环境监控</w:t>
            </w:r>
          </w:p>
        </w:tc>
        <w:tc>
          <w:tcPr>
            <w:tcW w:type="dxa" w:w="586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其它</w:t>
            </w:r>
          </w:p>
        </w:tc>
        <w:tc>
          <w:tcPr>
            <w:tcW w:type="dxa" w:w="586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四、软件</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1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监测测向系统软件</w:t>
            </w:r>
          </w:p>
        </w:tc>
        <w:tc>
          <w:tcPr>
            <w:tcW w:type="dxa" w:w="586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原子化服务改造</w:t>
            </w:r>
          </w:p>
        </w:tc>
        <w:tc>
          <w:tcPr>
            <w:tcW w:type="dxa" w:w="586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五、其他</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1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集成安装及相关网络配件等</w:t>
            </w:r>
          </w:p>
        </w:tc>
        <w:tc>
          <w:tcPr>
            <w:tcW w:type="dxa" w:w="586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第三方测试验证</w:t>
            </w:r>
          </w:p>
        </w:tc>
        <w:tc>
          <w:tcPr>
            <w:tcW w:type="dxa" w:w="586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outlineLvl w:val="2"/>
      </w:pPr>
      <w:r>
        <w:rPr>
          <w:rFonts w:ascii="宋体" w:hAnsi="宋体" w:cs="宋体" w:eastAsia="宋体"/>
          <w:sz w:val="28"/>
          <w:b/>
          <w:shd w:fill="FFFFFF" w:val="clear"/>
        </w:rPr>
        <w:t>注：投标人须对上述技术和服务要求中以</w:t>
      </w:r>
      <w:r>
        <w:rPr>
          <w:rFonts w:ascii="宋体" w:hAnsi="宋体" w:cs="宋体" w:eastAsia="宋体"/>
          <w:sz w:val="28"/>
          <w:b/>
          <w:shd w:fill="FFFFFF" w:val="clear"/>
        </w:rPr>
        <w:t>“★”标示的内容提供专项承诺，未提供专项承诺或承诺有缺漏项的，按投标无效处理。</w:t>
      </w:r>
    </w:p>
    <w:p>
      <w:pPr>
        <w:pStyle w:val="null3"/>
        <w:jc w:val="both"/>
        <w:outlineLvl w:val="2"/>
      </w:pPr>
      <w:r>
        <w:rPr>
          <w:sz w:val="28"/>
          <w:b/>
        </w:rPr>
        <w:t>三、商务要求（以“★”标示的内容为不允许负偏离的实质性要求）</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both"/>
            </w:pPr>
            <w:r>
              <w:rPr/>
              <w:t>序号</w:t>
            </w:r>
          </w:p>
        </w:tc>
        <w:tc>
          <w:tcPr>
            <w:tcW w:type="dxa" w:w="2076"/>
          </w:tcPr>
          <w:p>
            <w:pPr>
              <w:pStyle w:val="null3"/>
              <w:jc w:val="both"/>
            </w:pPr>
            <w:r>
              <w:rPr/>
              <w:t>参数性质</w:t>
            </w:r>
          </w:p>
        </w:tc>
        <w:tc>
          <w:tcPr>
            <w:tcW w:type="dxa" w:w="2076"/>
          </w:tcPr>
          <w:p>
            <w:pPr>
              <w:pStyle w:val="null3"/>
              <w:jc w:val="both"/>
            </w:pPr>
            <w:r>
              <w:rPr/>
              <w:t>类型</w:t>
            </w:r>
          </w:p>
        </w:tc>
        <w:tc>
          <w:tcPr>
            <w:tcW w:type="dxa" w:w="2076"/>
          </w:tcPr>
          <w:p>
            <w:pPr>
              <w:pStyle w:val="null3"/>
              <w:jc w:val="both"/>
            </w:pPr>
            <w:r>
              <w:rPr/>
              <w:t>要求</w:t>
            </w:r>
          </w:p>
        </w:tc>
      </w:tr>
      <w:tr>
        <w:tc>
          <w:tcPr>
            <w:tcW w:type="dxa" w:w="2076"/>
          </w:tcPr>
          <w:p>
            <w:pPr>
              <w:pStyle w:val="null3"/>
              <w:jc w:val="both"/>
            </w:pPr>
            <w:r>
              <w:rPr/>
              <w:t>1</w:t>
            </w:r>
          </w:p>
        </w:tc>
        <w:tc>
          <w:tcPr>
            <w:tcW w:type="dxa" w:w="2076"/>
          </w:tcPr>
          <w:p>
            <w:pPr>
              <w:pStyle w:val="null3"/>
              <w:jc w:val="both"/>
            </w:pPr>
            <w:r>
              <w:rPr/>
              <w:t>★</w:t>
            </w:r>
          </w:p>
        </w:tc>
        <w:tc>
          <w:tcPr>
            <w:tcW w:type="dxa" w:w="2076"/>
          </w:tcPr>
          <w:p>
            <w:pPr>
              <w:pStyle w:val="null3"/>
              <w:jc w:val="both"/>
            </w:pPr>
            <w:r>
              <w:rPr/>
              <w:t>交货时间</w:t>
            </w:r>
          </w:p>
        </w:tc>
        <w:tc>
          <w:tcPr>
            <w:tcW w:type="dxa" w:w="2076"/>
          </w:tcPr>
          <w:p>
            <w:pPr>
              <w:pStyle w:val="null3"/>
              <w:jc w:val="both"/>
            </w:pPr>
            <w:r>
              <w:rPr/>
              <w:t>自合同签订之日起90个日历日</w:t>
            </w:r>
          </w:p>
        </w:tc>
      </w:tr>
      <w:tr>
        <w:tc>
          <w:tcPr>
            <w:tcW w:type="dxa" w:w="2076"/>
          </w:tcPr>
          <w:p>
            <w:pPr>
              <w:pStyle w:val="null3"/>
              <w:jc w:val="both"/>
            </w:pPr>
            <w:r>
              <w:rPr/>
              <w:t>2</w:t>
            </w:r>
          </w:p>
        </w:tc>
        <w:tc>
          <w:tcPr>
            <w:tcW w:type="dxa" w:w="2076"/>
          </w:tcPr>
          <w:p>
            <w:pPr>
              <w:pStyle w:val="null3"/>
              <w:jc w:val="both"/>
            </w:pPr>
            <w:r>
              <w:rPr/>
              <w:t>★</w:t>
            </w:r>
          </w:p>
        </w:tc>
        <w:tc>
          <w:tcPr>
            <w:tcW w:type="dxa" w:w="2076"/>
          </w:tcPr>
          <w:p>
            <w:pPr>
              <w:pStyle w:val="null3"/>
              <w:jc w:val="both"/>
            </w:pPr>
            <w:r>
              <w:rPr/>
              <w:t>交货地点</w:t>
            </w:r>
          </w:p>
        </w:tc>
        <w:tc>
          <w:tcPr>
            <w:tcW w:type="dxa" w:w="2076"/>
          </w:tcPr>
          <w:p>
            <w:pPr>
              <w:pStyle w:val="null3"/>
              <w:jc w:val="both"/>
            </w:pPr>
            <w:r>
              <w:rPr/>
              <w:t>厦门市无线电管理局指定地点</w:t>
            </w:r>
          </w:p>
        </w:tc>
      </w:tr>
      <w:tr>
        <w:tc>
          <w:tcPr>
            <w:tcW w:type="dxa" w:w="2076"/>
          </w:tcPr>
          <w:p>
            <w:pPr>
              <w:pStyle w:val="null3"/>
              <w:jc w:val="both"/>
            </w:pPr>
            <w:r>
              <w:rPr/>
              <w:t>3</w:t>
            </w:r>
          </w:p>
        </w:tc>
        <w:tc>
          <w:tcPr>
            <w:tcW w:type="dxa" w:w="2076"/>
          </w:tcPr>
          <w:p>
            <w:pPr>
              <w:pStyle w:val="null3"/>
              <w:jc w:val="both"/>
            </w:pPr>
            <w:r>
              <w:rPr/>
              <w:t>★</w:t>
            </w:r>
          </w:p>
        </w:tc>
        <w:tc>
          <w:tcPr>
            <w:tcW w:type="dxa" w:w="2076"/>
          </w:tcPr>
          <w:p>
            <w:pPr>
              <w:pStyle w:val="null3"/>
              <w:jc w:val="both"/>
            </w:pPr>
            <w:r>
              <w:rPr/>
              <w:t>交货条件</w:t>
            </w:r>
          </w:p>
        </w:tc>
        <w:tc>
          <w:tcPr>
            <w:tcW w:type="dxa" w:w="2076"/>
          </w:tcPr>
          <w:p>
            <w:pPr>
              <w:pStyle w:val="null3"/>
              <w:jc w:val="both"/>
            </w:pPr>
            <w:r>
              <w:rPr/>
              <w:t>初步验收合格，交付试运行</w:t>
            </w:r>
          </w:p>
        </w:tc>
      </w:tr>
      <w:tr>
        <w:tc>
          <w:tcPr>
            <w:tcW w:type="dxa" w:w="2076"/>
          </w:tcPr>
          <w:p>
            <w:pPr>
              <w:pStyle w:val="null3"/>
              <w:jc w:val="both"/>
            </w:pPr>
            <w:r>
              <w:rPr/>
              <w:t>4</w:t>
            </w:r>
          </w:p>
        </w:tc>
        <w:tc>
          <w:tcPr>
            <w:tcW w:type="dxa" w:w="2076"/>
          </w:tcPr>
          <w:p>
            <w:pPr>
              <w:pStyle w:val="null3"/>
              <w:jc w:val="both"/>
            </w:pPr>
            <w:r>
              <w:rPr/>
              <w:t>★</w:t>
            </w:r>
          </w:p>
        </w:tc>
        <w:tc>
          <w:tcPr>
            <w:tcW w:type="dxa" w:w="2076"/>
          </w:tcPr>
          <w:p>
            <w:pPr>
              <w:pStyle w:val="null3"/>
              <w:jc w:val="both"/>
            </w:pPr>
            <w:r>
              <w:rPr/>
              <w:t>是否邀请投标人验收</w:t>
            </w:r>
          </w:p>
        </w:tc>
        <w:tc>
          <w:tcPr>
            <w:tcW w:type="dxa" w:w="2076"/>
          </w:tcPr>
          <w:p>
            <w:pPr>
              <w:pStyle w:val="null3"/>
              <w:jc w:val="both"/>
            </w:pPr>
            <w:r>
              <w:rPr/>
              <w:t>不邀请投标人验收</w:t>
            </w:r>
          </w:p>
        </w:tc>
      </w:tr>
      <w:tr>
        <w:tc>
          <w:tcPr>
            <w:tcW w:type="dxa" w:w="2076"/>
          </w:tcPr>
          <w:p>
            <w:pPr>
              <w:pStyle w:val="null3"/>
              <w:jc w:val="both"/>
            </w:pPr>
            <w:r>
              <w:rPr/>
              <w:t>5</w:t>
            </w:r>
          </w:p>
        </w:tc>
        <w:tc>
          <w:tcPr>
            <w:tcW w:type="dxa" w:w="2076"/>
          </w:tcPr>
          <w:p>
            <w:pPr>
              <w:pStyle w:val="null3"/>
              <w:jc w:val="both"/>
            </w:pPr>
            <w:r>
              <w:rPr/>
              <w:t>★</w:t>
            </w:r>
          </w:p>
        </w:tc>
        <w:tc>
          <w:tcPr>
            <w:tcW w:type="dxa" w:w="2076"/>
          </w:tcPr>
          <w:p>
            <w:pPr>
              <w:pStyle w:val="null3"/>
              <w:jc w:val="both"/>
            </w:pPr>
            <w:r>
              <w:rPr/>
              <w:t>履约验收方式</w:t>
            </w:r>
          </w:p>
        </w:tc>
        <w:tc>
          <w:tcPr>
            <w:tcW w:type="dxa" w:w="2076"/>
          </w:tcPr>
          <w:p>
            <w:pPr>
              <w:pStyle w:val="null3"/>
              <w:jc w:val="both"/>
            </w:pPr>
            <w:r>
              <w:rPr/>
              <w:t>1、期次1，说明：验收包括到货验收、初步验收（含合同验收）和竣工验收。详见“三、商务要求”中“10、验收方案”的内容及要求</w:t>
            </w:r>
          </w:p>
        </w:tc>
      </w:tr>
      <w:tr>
        <w:tc>
          <w:tcPr>
            <w:tcW w:type="dxa" w:w="2076"/>
          </w:tcPr>
          <w:p>
            <w:pPr>
              <w:pStyle w:val="null3"/>
              <w:jc w:val="both"/>
            </w:pPr>
            <w:r>
              <w:rPr/>
              <w:t>6</w:t>
            </w:r>
          </w:p>
        </w:tc>
        <w:tc>
          <w:tcPr>
            <w:tcW w:type="dxa" w:w="2076"/>
          </w:tcPr>
          <w:p>
            <w:pPr>
              <w:pStyle w:val="null3"/>
              <w:jc w:val="both"/>
            </w:pPr>
            <w:r>
              <w:rPr/>
              <w:t>★</w:t>
            </w:r>
          </w:p>
        </w:tc>
        <w:tc>
          <w:tcPr>
            <w:tcW w:type="dxa" w:w="2076"/>
          </w:tcPr>
          <w:p>
            <w:pPr>
              <w:pStyle w:val="null3"/>
              <w:jc w:val="both"/>
            </w:pPr>
            <w:r>
              <w:rPr/>
              <w:t>合同支付方式</w:t>
            </w:r>
          </w:p>
        </w:tc>
        <w:tc>
          <w:tcPr>
            <w:tcW w:type="dxa" w:w="2076"/>
          </w:tcPr>
          <w:p>
            <w:pPr>
              <w:pStyle w:val="null3"/>
              <w:jc w:val="both"/>
            </w:pPr>
            <w:r>
              <w:rPr/>
              <w:t>1、到货验收合格，双方签署到货验收报告且中标人开具本合同总金额100%的正式发票给采购人，本项目为财政支付项目，采购人须遵守财政支付规定，按照合同按期及时付款，达到付款条件起7日内，支付合同总金额的70.00%</w:t>
            </w:r>
          </w:p>
          <w:p>
            <w:pPr>
              <w:pStyle w:val="null3"/>
              <w:jc w:val="both"/>
            </w:pPr>
            <w:r>
              <w:rPr/>
              <w:t>2、初步验收（含合同验收）合格，双方签署初步验收报告后，本项目为财政支付项目，采购人须遵守财政支付规定，按照合同按期及时付款，达到付款条件起7日内，支付合同总金额的20.00%</w:t>
            </w:r>
          </w:p>
          <w:p>
            <w:pPr>
              <w:pStyle w:val="null3"/>
              <w:jc w:val="both"/>
            </w:pPr>
            <w:r>
              <w:rPr/>
              <w:t>3、初步验收合格后的10个工作日内，中标人向采购人提供合同金额10.00%的项目款银行保函（保函有效期不少于1年），采购人须遵守财政支付规定，按照合同按期及时付款，达到付款条件起15日内，支付合同总金额的10.00%</w:t>
            </w:r>
          </w:p>
        </w:tc>
      </w:tr>
      <w:tr>
        <w:tc>
          <w:tcPr>
            <w:tcW w:type="dxa" w:w="2076"/>
          </w:tcPr>
          <w:p>
            <w:pPr>
              <w:pStyle w:val="null3"/>
              <w:jc w:val="both"/>
            </w:pPr>
            <w:r>
              <w:rPr/>
              <w:t>7</w:t>
            </w:r>
          </w:p>
        </w:tc>
        <w:tc>
          <w:tcPr>
            <w:tcW w:type="dxa" w:w="2076"/>
          </w:tcPr>
          <w:p>
            <w:pPr>
              <w:pStyle w:val="null3"/>
              <w:jc w:val="both"/>
            </w:pPr>
            <w:r>
              <w:rPr/>
              <w:t>★</w:t>
            </w:r>
          </w:p>
        </w:tc>
        <w:tc>
          <w:tcPr>
            <w:tcW w:type="dxa" w:w="2076"/>
          </w:tcPr>
          <w:p>
            <w:pPr>
              <w:pStyle w:val="null3"/>
              <w:jc w:val="both"/>
            </w:pPr>
            <w:r>
              <w:rPr/>
              <w:t>履约保证金</w:t>
            </w:r>
          </w:p>
        </w:tc>
        <w:tc>
          <w:tcPr>
            <w:tcW w:type="dxa" w:w="2076"/>
          </w:tcPr>
          <w:p>
            <w:pPr>
              <w:pStyle w:val="null3"/>
              <w:jc w:val="both"/>
            </w:pPr>
            <w:r>
              <w:rPr/>
              <w:t>缴纳</w:t>
            </w:r>
            <w:r>
              <w:rPr/>
              <w:t>, 本采购包履约保证金为合同金额的5.0%</w:t>
            </w:r>
          </w:p>
          <w:p>
            <w:pPr>
              <w:pStyle w:val="null3"/>
              <w:jc w:val="both"/>
            </w:pPr>
            <w:r>
              <w:rPr/>
              <w:t>说明：中标人在签订政府采购合同前五个工作日内，以银行保函的形式向采购人缴纳合同总金额的5.0%作为履约保证金，该履约保证金于服务期满后且中标人无违约的前提下无息退还。</w:t>
            </w:r>
          </w:p>
        </w:tc>
      </w:tr>
      <w:tr>
        <w:tc>
          <w:tcPr>
            <w:tcW w:type="dxa" w:w="2076"/>
          </w:tcPr>
          <w:p>
            <w:pPr>
              <w:pStyle w:val="null3"/>
              <w:jc w:val="both"/>
            </w:pPr>
            <w:r>
              <w:rPr/>
              <w:t>8</w:t>
            </w:r>
          </w:p>
        </w:tc>
        <w:tc>
          <w:tcPr>
            <w:tcW w:type="dxa" w:w="2076"/>
          </w:tcPr>
          <w:p>
            <w:pPr>
              <w:pStyle w:val="null3"/>
              <w:jc w:val="both"/>
            </w:pPr>
            <w:r>
              <w:rPr/>
              <w:t>★</w:t>
            </w:r>
          </w:p>
        </w:tc>
        <w:tc>
          <w:tcPr>
            <w:tcW w:type="dxa" w:w="2076"/>
          </w:tcPr>
          <w:p>
            <w:pPr>
              <w:pStyle w:val="null3"/>
              <w:jc w:val="both"/>
            </w:pPr>
            <w:r>
              <w:rPr/>
              <w:t>其他</w:t>
            </w:r>
          </w:p>
        </w:tc>
        <w:tc>
          <w:tcPr>
            <w:tcW w:type="dxa" w:w="2076"/>
          </w:tcPr>
          <w:p>
            <w:pPr>
              <w:pStyle w:val="null3"/>
              <w:jc w:val="both"/>
            </w:pPr>
            <w:r>
              <w:rPr/>
              <w:t>1、竣工验收合格，双方签署竣工验收报告起15日内，采购人向中标人归还合同金额10.00%的项目款银行保函。</w:t>
            </w:r>
          </w:p>
        </w:tc>
      </w:tr>
    </w:tbl>
    <w:p>
      <w:pPr>
        <w:pStyle w:val="null3"/>
        <w:jc w:val="left"/>
      </w:pPr>
      <w:r>
        <w:rPr/>
        <w:t>其他商务要求</w:t>
      </w:r>
    </w:p>
    <w:p>
      <w:pPr>
        <w:pStyle w:val="null3"/>
        <w:ind w:firstLine="480"/>
        <w:jc w:val="left"/>
      </w:pPr>
      <w:r>
        <w:rPr>
          <w:rFonts w:ascii="宋体" w:hAnsi="宋体" w:cs="宋体" w:eastAsia="宋体"/>
          <w:sz w:val="24"/>
          <w:b/>
          <w:shd w:fill="FFFFFF" w:val="clear"/>
        </w:rPr>
        <w:t>★</w:t>
      </w:r>
      <w:r>
        <w:rPr>
          <w:rFonts w:ascii="宋体" w:hAnsi="宋体" w:cs="宋体" w:eastAsia="宋体"/>
          <w:sz w:val="24"/>
          <w:b/>
          <w:shd w:fill="FFFFFF" w:val="clear"/>
        </w:rPr>
        <w:t>其他商务要求如下</w:t>
      </w:r>
      <w:r>
        <w:rPr>
          <w:rFonts w:ascii="宋体" w:hAnsi="宋体" w:cs="宋体" w:eastAsia="宋体"/>
          <w:sz w:val="24"/>
          <w:shd w:fill="FFFFFF" w:val="clear"/>
        </w:rPr>
        <w:t>：</w:t>
      </w:r>
    </w:p>
    <w:p>
      <w:pPr>
        <w:pStyle w:val="null3"/>
        <w:ind w:firstLine="480"/>
        <w:jc w:val="both"/>
      </w:pPr>
      <w:r>
        <w:rPr>
          <w:rFonts w:ascii="宋体" w:hAnsi="宋体" w:cs="宋体" w:eastAsia="宋体"/>
          <w:sz w:val="24"/>
          <w:b/>
          <w:shd w:fill="FFFFFF" w:val="clear"/>
        </w:rPr>
        <w:t>9、安装与调试</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1）合同签订后，中标人应在规定时间内向采购人提供详细的安装要求并提供技术咨询。</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2）由中标人负责将设备按签订合同的具体数量、具体地点运送到指定地点，中标人应在接到采购人通知后在规定时间内负责派技术人员到现场进行安装、调试，并负责调试至验收合格交付采购人使用。中标人应提供进度表，在安装、调试等全过程中接受采购人的监督。</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3）中标人负责组织专业技术人员进行货物安装调试，采购人应提供必需的基本条件和专人配合，保证各项安装工作顺利进行。</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4）设备到达采购人指定的最终现场后，中标人的工程师到现场安装设备，同时应向采购人介绍设备功能并进行现场演示。</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5）设备进场后须在接到采购人安装通知后一个月内安装调试完毕并交付使用。</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6）安装调试过程所发生的一切费用，均由中标人承担。</w:t>
      </w:r>
    </w:p>
    <w:p>
      <w:pPr>
        <w:pStyle w:val="null3"/>
        <w:ind w:firstLine="480"/>
        <w:jc w:val="both"/>
      </w:pPr>
      <w:r>
        <w:rPr>
          <w:rFonts w:ascii="宋体" w:hAnsi="宋体" w:cs="宋体" w:eastAsia="宋体"/>
          <w:sz w:val="24"/>
          <w:b/>
          <w:shd w:fill="FFFFFF" w:val="clear"/>
        </w:rPr>
        <w:t>10、验收方案</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1）验收主体：政府采购合同采购人（甲方）；</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2）验收环节：到货验收、初步验收（含合同验收）、竣工验收；</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3）到货验收。依据《无线电监测设施测试验证工作规定（试行）》（工信部无﹝2017﹞283号）</w:t>
      </w:r>
      <w:r>
        <w:rPr>
          <w:rFonts w:ascii="宋体" w:hAnsi="宋体" w:cs="宋体" w:eastAsia="宋体"/>
          <w:sz w:val="24"/>
        </w:rPr>
        <w:t>和《福建省工业和信息化厅关于印发无线电基础和技术设施建设项目管理办法的通知》（闽工信函频管</w:t>
      </w:r>
      <w:r>
        <w:rPr>
          <w:rFonts w:ascii="宋体" w:hAnsi="宋体" w:cs="宋体" w:eastAsia="宋体"/>
          <w:sz w:val="24"/>
          <w:shd w:fill="FFFFFF" w:val="clear"/>
        </w:rPr>
        <w:t>﹝</w:t>
      </w:r>
      <w:r>
        <w:rPr>
          <w:rFonts w:ascii="宋体" w:hAnsi="宋体" w:cs="宋体" w:eastAsia="宋体"/>
          <w:sz w:val="24"/>
        </w:rPr>
        <w:t>2023</w:t>
      </w:r>
      <w:r>
        <w:rPr>
          <w:rFonts w:ascii="宋体" w:hAnsi="宋体" w:cs="宋体" w:eastAsia="宋体"/>
          <w:sz w:val="24"/>
          <w:shd w:fill="FFFFFF" w:val="clear"/>
        </w:rPr>
        <w:t>﹞</w:t>
      </w:r>
      <w:r>
        <w:rPr>
          <w:rFonts w:ascii="宋体" w:hAnsi="宋体" w:cs="宋体" w:eastAsia="宋体"/>
          <w:sz w:val="24"/>
        </w:rPr>
        <w:t>417号）</w:t>
      </w:r>
      <w:r>
        <w:rPr>
          <w:rFonts w:ascii="宋体" w:hAnsi="宋体" w:cs="宋体" w:eastAsia="宋体"/>
          <w:sz w:val="24"/>
          <w:shd w:fill="FFFFFF" w:val="clear"/>
        </w:rPr>
        <w:t>相关要求及招投标文件、合同等有关内容进行验收。</w:t>
      </w:r>
      <w:r>
        <w:rPr>
          <w:rFonts w:ascii="宋体" w:hAnsi="宋体" w:cs="宋体" w:eastAsia="宋体"/>
          <w:sz w:val="24"/>
        </w:rPr>
        <w:t>验收小组由采购人、中标人的人员组成。</w:t>
      </w:r>
      <w:r>
        <w:rPr>
          <w:rFonts w:ascii="宋体" w:hAnsi="宋体" w:cs="宋体" w:eastAsia="宋体"/>
          <w:sz w:val="24"/>
          <w:shd w:fill="FFFFFF" w:val="clear"/>
        </w:rPr>
        <w:t>全部货物到达</w:t>
      </w:r>
      <w:r>
        <w:rPr>
          <w:rFonts w:ascii="宋体" w:hAnsi="宋体" w:cs="宋体" w:eastAsia="宋体"/>
          <w:sz w:val="24"/>
        </w:rPr>
        <w:t>中标人集成地（含检测场所）</w:t>
      </w:r>
      <w:r>
        <w:rPr>
          <w:rFonts w:ascii="宋体" w:hAnsi="宋体" w:cs="宋体" w:eastAsia="宋体"/>
          <w:sz w:val="24"/>
        </w:rPr>
        <w:t>或</w:t>
      </w:r>
      <w:r>
        <w:rPr>
          <w:rFonts w:ascii="宋体" w:hAnsi="宋体" w:cs="宋体" w:eastAsia="宋体"/>
          <w:sz w:val="24"/>
          <w:shd w:fill="FFFFFF" w:val="clear"/>
        </w:rPr>
        <w:t>采购人指定地点后，中标人和采购人一同对全部货物的数量、型号、基本质量进行到货点验。随同货物应提供供货证明、设备质量合格证、</w:t>
      </w:r>
      <w:r>
        <w:rPr>
          <w:rFonts w:ascii="宋体" w:hAnsi="宋体" w:cs="宋体" w:eastAsia="宋体"/>
          <w:sz w:val="24"/>
          <w:b/>
          <w:shd w:fill="FFFFFF" w:val="clear"/>
        </w:rPr>
        <w:t>具有</w:t>
      </w:r>
      <w:r>
        <w:rPr>
          <w:rFonts w:ascii="宋体" w:hAnsi="宋体" w:cs="宋体" w:eastAsia="宋体"/>
          <w:sz w:val="24"/>
          <w:b/>
          <w:shd w:fill="FFFFFF" w:val="clear"/>
        </w:rPr>
        <w:t>CMA或CNAS资质的第三方检测机构按GB/T32401-2015《VHF/UHF频段无线电监测接收机技术要求及测试方法》出具的本项目交付清单（含设备序列号）中所列监测接收机正式检测报告（须提供复印件），检测费用由中标人承担。</w:t>
      </w:r>
    </w:p>
    <w:p>
      <w:pPr>
        <w:pStyle w:val="null3"/>
        <w:ind w:firstLine="480"/>
        <w:jc w:val="left"/>
      </w:pPr>
      <w:r>
        <w:rPr>
          <w:rFonts w:ascii="宋体" w:hAnsi="宋体" w:cs="宋体" w:eastAsia="宋体"/>
          <w:sz w:val="24"/>
        </w:rPr>
        <w:t>中标人按招标文件、合同等有关内容完成货物现场安装、联网调试，可以正常运行</w:t>
      </w:r>
      <w:r>
        <w:rPr>
          <w:rFonts w:ascii="calibri" w:hAnsi="calibri" w:cs="calibri" w:eastAsia="calibri"/>
          <w:sz w:val="24"/>
        </w:rPr>
        <w:t>24</w:t>
      </w:r>
      <w:r>
        <w:rPr>
          <w:rFonts w:ascii="宋体" w:hAnsi="宋体" w:cs="宋体" w:eastAsia="宋体"/>
          <w:sz w:val="24"/>
        </w:rPr>
        <w:t>小时后，中标人申请进行到货验收。</w:t>
      </w:r>
    </w:p>
    <w:p>
      <w:pPr>
        <w:pStyle w:val="null3"/>
        <w:ind w:firstLine="480"/>
        <w:jc w:val="left"/>
      </w:pPr>
      <w:r>
        <w:rPr>
          <w:rFonts w:ascii="宋体" w:hAnsi="宋体" w:cs="宋体" w:eastAsia="宋体"/>
          <w:sz w:val="24"/>
        </w:rPr>
        <w:t>到货验收如果不合格，中标人进行为期</w:t>
      </w:r>
      <w:r>
        <w:rPr>
          <w:rFonts w:ascii="宋体" w:hAnsi="宋体" w:cs="宋体" w:eastAsia="宋体"/>
          <w:sz w:val="24"/>
        </w:rPr>
        <w:t>15个日历日的整改后再次组织到货验收。再次到货验收不合格的，采购人有权解除采购合同且履约保证金不予退还，要求中标人赔偿损失以及保留更换中标人或重新组织政府采购的权力，并将相关情况报相关行政主管部门处理。</w:t>
      </w:r>
    </w:p>
    <w:p>
      <w:pPr>
        <w:pStyle w:val="null3"/>
        <w:ind w:firstLine="480"/>
        <w:jc w:val="left"/>
      </w:pPr>
      <w:r>
        <w:rPr>
          <w:rFonts w:ascii="宋体" w:hAnsi="宋体" w:cs="宋体" w:eastAsia="宋体"/>
          <w:sz w:val="24"/>
          <w:shd w:fill="FFFFFF" w:val="clear"/>
        </w:rPr>
        <w:t>（</w:t>
      </w:r>
      <w:r>
        <w:rPr>
          <w:rFonts w:ascii="宋体" w:hAnsi="宋体" w:cs="宋体" w:eastAsia="宋体"/>
          <w:sz w:val="24"/>
          <w:shd w:fill="FFFFFF" w:val="clear"/>
        </w:rPr>
        <w:t>4）初步验收（含合同验收）。</w:t>
      </w:r>
      <w:r>
        <w:rPr>
          <w:rFonts w:ascii="宋体" w:hAnsi="宋体" w:cs="宋体" w:eastAsia="宋体"/>
          <w:sz w:val="24"/>
        </w:rPr>
        <w:t>到货验收合格后，采购人</w:t>
      </w:r>
      <w:r>
        <w:rPr>
          <w:rFonts w:ascii="宋体" w:hAnsi="宋体" w:cs="宋体" w:eastAsia="宋体"/>
          <w:sz w:val="24"/>
        </w:rPr>
        <w:t>按照国家无线电管理（技术）机构规定及《福建省工业和信息化厅关于印发无线电基础和技术设施建设项目管理办法的通知》（闽工信函频管</w:t>
      </w:r>
      <w:r>
        <w:rPr>
          <w:rFonts w:ascii="宋体" w:hAnsi="宋体" w:cs="宋体" w:eastAsia="宋体"/>
          <w:sz w:val="24"/>
          <w:shd w:fill="FFFFFF" w:val="clear"/>
        </w:rPr>
        <w:t>﹝</w:t>
      </w:r>
      <w:r>
        <w:rPr>
          <w:rFonts w:ascii="宋体" w:hAnsi="宋体" w:cs="宋体" w:eastAsia="宋体"/>
          <w:sz w:val="24"/>
        </w:rPr>
        <w:t>2023</w:t>
      </w:r>
      <w:r>
        <w:rPr>
          <w:rFonts w:ascii="宋体" w:hAnsi="宋体" w:cs="宋体" w:eastAsia="宋体"/>
          <w:sz w:val="24"/>
          <w:shd w:fill="FFFFFF" w:val="clear"/>
        </w:rPr>
        <w:t>﹞</w:t>
      </w:r>
      <w:r>
        <w:rPr>
          <w:rFonts w:ascii="宋体" w:hAnsi="宋体" w:cs="宋体" w:eastAsia="宋体"/>
          <w:sz w:val="24"/>
        </w:rPr>
        <w:t>417号）要求</w:t>
      </w:r>
      <w:r>
        <w:rPr>
          <w:rFonts w:ascii="宋体" w:hAnsi="宋体" w:cs="宋体" w:eastAsia="宋体"/>
          <w:sz w:val="24"/>
        </w:rPr>
        <w:t>组织专家组对项目进行初步验收。</w:t>
      </w:r>
    </w:p>
    <w:p>
      <w:pPr>
        <w:pStyle w:val="null3"/>
        <w:ind w:firstLine="480"/>
        <w:jc w:val="left"/>
      </w:pPr>
      <w:r>
        <w:rPr>
          <w:rFonts w:ascii="宋体" w:hAnsi="宋体" w:cs="宋体" w:eastAsia="宋体"/>
          <w:sz w:val="24"/>
        </w:rPr>
        <w:t>一体化设备操作服务（原子化服务封装）建设内容应按照《省级无线电管理一体化平台建设规范》（国无办〔</w:t>
      </w:r>
      <w:r>
        <w:rPr>
          <w:rFonts w:ascii="&quot;&quot;times new roman&quot;,serif&quot;" w:hAnsi="&quot;&quot;times new roman&quot;,serif&quot;" w:cs="&quot;&quot;times new roman&quot;,serif&quot;" w:eastAsia="&quot;&quot;times new roman&quot;,serif&quot;"/>
          <w:sz w:val="24"/>
        </w:rPr>
        <w:t>2019</w:t>
      </w:r>
      <w:r>
        <w:rPr>
          <w:rFonts w:ascii="宋体" w:hAnsi="宋体" w:cs="宋体" w:eastAsia="宋体"/>
          <w:sz w:val="24"/>
        </w:rPr>
        <w:t>〕</w:t>
      </w:r>
      <w:r>
        <w:rPr>
          <w:rFonts w:ascii="&quot;&quot;times new roman&quot;,serif&quot;" w:hAnsi="&quot;&quot;times new roman&quot;,serif&quot;" w:cs="&quot;&quot;times new roman&quot;,serif&quot;" w:eastAsia="&quot;&quot;times new roman&quot;,serif&quot;"/>
          <w:sz w:val="24"/>
        </w:rPr>
        <w:t>37</w:t>
      </w:r>
      <w:r>
        <w:rPr>
          <w:rFonts w:ascii="宋体" w:hAnsi="宋体" w:cs="宋体" w:eastAsia="宋体"/>
          <w:sz w:val="24"/>
        </w:rPr>
        <w:t>号）文件要求，提供</w:t>
      </w:r>
      <w:r>
        <w:rPr>
          <w:rFonts w:ascii="宋体" w:hAnsi="宋体" w:cs="宋体" w:eastAsia="宋体"/>
          <w:sz w:val="24"/>
          <w:b/>
          <w:shd w:fill="FFFFFF" w:val="clear"/>
        </w:rPr>
        <w:t>具有</w:t>
      </w:r>
      <w:r>
        <w:rPr>
          <w:rFonts w:ascii="宋体" w:hAnsi="宋体" w:cs="宋体" w:eastAsia="宋体"/>
          <w:sz w:val="24"/>
          <w:b/>
          <w:shd w:fill="FFFFFF" w:val="clear"/>
        </w:rPr>
        <w:t>CMA或CNAS资质的</w:t>
      </w:r>
      <w:r>
        <w:rPr>
          <w:rFonts w:ascii="宋体" w:hAnsi="宋体" w:cs="宋体" w:eastAsia="宋体"/>
          <w:sz w:val="24"/>
        </w:rPr>
        <w:t>第三方测试机构出具的协议符合性测试报告，其中第三方测试机构应由中标人初步选定并由采购人书面认可，相关测试费用均由中标人承担。软件功能采取现场操作比对和测试指标比对的方式验收。</w:t>
      </w:r>
    </w:p>
    <w:p>
      <w:pPr>
        <w:pStyle w:val="null3"/>
        <w:ind w:firstLine="480"/>
        <w:jc w:val="left"/>
      </w:pPr>
      <w:r>
        <w:rPr>
          <w:rFonts w:ascii="宋体" w:hAnsi="宋体" w:cs="宋体" w:eastAsia="宋体"/>
          <w:sz w:val="24"/>
        </w:rPr>
        <w:t>初步验收前，要求对各个单项功能进行逐项检验和系统总体测试，均达到标书所要求的系统功能，并实现系统正常运行。中标人应负责在验收时将系统的全部有关技术文件、资料及安装、测试报告等文档汇集成册交付采购人。</w:t>
      </w:r>
    </w:p>
    <w:p>
      <w:pPr>
        <w:pStyle w:val="null3"/>
        <w:ind w:firstLine="480"/>
        <w:jc w:val="left"/>
      </w:pPr>
      <w:r>
        <w:rPr>
          <w:rFonts w:ascii="宋体" w:hAnsi="宋体" w:cs="宋体" w:eastAsia="宋体"/>
          <w:sz w:val="24"/>
        </w:rPr>
        <w:t>初步验收不合格的，中标人进行为期</w:t>
      </w:r>
      <w:r>
        <w:rPr>
          <w:rFonts w:ascii="宋体" w:hAnsi="宋体" w:cs="宋体" w:eastAsia="宋体"/>
          <w:sz w:val="24"/>
        </w:rPr>
        <w:t>15个日历日的整改后再次组织验收。再次初步验收不合格的，采购人有权废止采购合同且履约保证金不予退还，要求中标人赔偿损失以及保留更换中标人或重新组织政府采购的权力，并将相关情况报相关行政主管部门处理。</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5）试运行。初步验收合格后，投标人需与采购人进行交接工作，授与采购人相关知识专题培训，进入试运行期，开展30*24小时连续试运行，试运行期间系统集成核心设备及功能连续30天无故障的，由中标人书面提出竣工验收申请。</w:t>
      </w:r>
      <w:r>
        <w:rPr>
          <w:rFonts w:ascii="宋体" w:hAnsi="宋体" w:cs="宋体" w:eastAsia="宋体"/>
          <w:sz w:val="24"/>
        </w:rPr>
        <w:t>在试运行期间，出现重大故障，如：系统崩溃、招标文件技术要求中列入的主要功能不能实现以及存在致使系统不能正常工作的缺陷，则试运行期从故障修复之日起重新计算，顺延一个月</w:t>
      </w:r>
      <w:r>
        <w:rPr>
          <w:rFonts w:ascii="宋体" w:hAnsi="宋体" w:cs="宋体" w:eastAsia="宋体"/>
          <w:sz w:val="24"/>
        </w:rPr>
        <w:t>。</w:t>
      </w:r>
    </w:p>
    <w:p>
      <w:pPr>
        <w:pStyle w:val="null3"/>
        <w:ind w:firstLine="480"/>
        <w:jc w:val="left"/>
      </w:pPr>
      <w:r>
        <w:rPr>
          <w:rFonts w:ascii="宋体" w:hAnsi="宋体" w:cs="宋体" w:eastAsia="宋体"/>
          <w:sz w:val="24"/>
          <w:shd w:fill="FFFFFF" w:val="clear"/>
        </w:rPr>
        <w:t>（</w:t>
      </w:r>
      <w:r>
        <w:rPr>
          <w:rFonts w:ascii="宋体" w:hAnsi="宋体" w:cs="宋体" w:eastAsia="宋体"/>
          <w:sz w:val="24"/>
          <w:shd w:fill="FFFFFF" w:val="clear"/>
        </w:rPr>
        <w:t>6）竣工验收。试运行期满后，</w:t>
      </w:r>
      <w:r>
        <w:rPr>
          <w:rFonts w:ascii="宋体" w:hAnsi="宋体" w:cs="宋体" w:eastAsia="宋体"/>
          <w:sz w:val="24"/>
        </w:rPr>
        <w:t>中标人需按照国家无线电管理（技术）机构规定及《福建省工业和信息化厅关于印发无线电基础和技术设施建设项目管理办法的通知》（闽工信函频管</w:t>
      </w:r>
      <w:r>
        <w:rPr>
          <w:rFonts w:ascii="宋体" w:hAnsi="宋体" w:cs="宋体" w:eastAsia="宋体"/>
          <w:sz w:val="24"/>
          <w:shd w:fill="FFFFFF" w:val="clear"/>
        </w:rPr>
        <w:t>﹝</w:t>
      </w:r>
      <w:r>
        <w:rPr>
          <w:rFonts w:ascii="宋体" w:hAnsi="宋体" w:cs="宋体" w:eastAsia="宋体"/>
          <w:sz w:val="24"/>
        </w:rPr>
        <w:t>2023</w:t>
      </w:r>
      <w:r>
        <w:rPr>
          <w:rFonts w:ascii="宋体" w:hAnsi="宋体" w:cs="宋体" w:eastAsia="宋体"/>
          <w:sz w:val="24"/>
          <w:shd w:fill="FFFFFF" w:val="clear"/>
        </w:rPr>
        <w:t>﹞</w:t>
      </w:r>
      <w:r>
        <w:rPr>
          <w:rFonts w:ascii="宋体" w:hAnsi="宋体" w:cs="宋体" w:eastAsia="宋体"/>
          <w:sz w:val="24"/>
        </w:rPr>
        <w:t>417号）要求，</w:t>
      </w:r>
      <w:r>
        <w:rPr>
          <w:rFonts w:ascii="宋体" w:hAnsi="宋体" w:cs="宋体" w:eastAsia="宋体"/>
          <w:sz w:val="24"/>
        </w:rPr>
        <w:t>提交完备的项目竣工相关文档（包括但不限于设备的安装、运行、使用、测试、诊断、软硬件设备的安装指南和维修的技术文件）、备份的资料、采集的数据（如实施文档、配置文档、拓扑图、施工效果图等）等材料，交由采购人组织专家组进行竣工验收。</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7）验收标准：招标文件、投标文件、采购合同约定的标的及其功能、性能及技术指标等；未约定的，应当符合国家强制性规定、政策要求、安全标准、行业或企业有关标准等。</w:t>
      </w:r>
    </w:p>
    <w:p>
      <w:pPr>
        <w:pStyle w:val="null3"/>
        <w:ind w:firstLine="420"/>
        <w:jc w:val="both"/>
      </w:pPr>
      <w:r>
        <w:rPr>
          <w:rFonts w:ascii="宋体" w:hAnsi="宋体" w:cs="宋体" w:eastAsia="宋体"/>
          <w:sz w:val="24"/>
          <w:shd w:fill="FFFFFF" w:val="clear"/>
        </w:rPr>
        <w:t>验收达不到标准的，中标人必须予以调换全新产品，并且赔偿由此给采购人造成的损失。</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8）各验收环节所涉及的费用，包含且不限于交通运输、安装、测试、专家评审等，均由中标人承担。</w:t>
      </w:r>
    </w:p>
    <w:p>
      <w:pPr>
        <w:pStyle w:val="null3"/>
        <w:ind w:firstLine="480"/>
        <w:jc w:val="both"/>
      </w:pPr>
      <w:r>
        <w:rPr>
          <w:rFonts w:ascii="宋体" w:hAnsi="宋体" w:cs="宋体" w:eastAsia="宋体"/>
          <w:sz w:val="24"/>
          <w:b/>
          <w:shd w:fill="FFFFFF" w:val="clear"/>
        </w:rPr>
        <w:t>11、质量要求</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1）中标人保证货物是全新原装品牌货物并完全符合招标文件、合同规定的质量、规格的要求。</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2）中标人保证所提供的货物经正确安装在其使用寿命期内应具有满意的效果。在质量保证期之内，中标人对由于设计、工艺或材料的缺陷而导致的后果负责。</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3）系统所有设备和材料在安装调试完成，经验收合格并交付使用后，质量保证期内，产品因非采购人人为原因造成的任何缺陷或损坏时，中标人应负责修理和更换，由此发生的一切费用由中标人承担。</w:t>
      </w:r>
    </w:p>
    <w:p>
      <w:pPr>
        <w:pStyle w:val="null3"/>
        <w:ind w:firstLine="480"/>
        <w:jc w:val="both"/>
      </w:pPr>
      <w:r>
        <w:rPr>
          <w:rFonts w:ascii="宋体" w:hAnsi="宋体" w:cs="宋体" w:eastAsia="宋体"/>
          <w:sz w:val="24"/>
          <w:b/>
          <w:shd w:fill="FFFFFF" w:val="clear"/>
        </w:rPr>
        <w:t>12、售后服务要求</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1）所有新采购产品须提供3年的质保期，系统软件终身提供无偿升级服务</w:t>
      </w:r>
      <w:r>
        <w:rPr>
          <w:rFonts w:ascii="宋体" w:hAnsi="宋体" w:cs="宋体" w:eastAsia="宋体"/>
          <w:sz w:val="24"/>
          <w:shd w:fill="FFFFFF" w:val="clear"/>
        </w:rPr>
        <w:t>，</w:t>
      </w:r>
      <w:r>
        <w:rPr>
          <w:rFonts w:ascii="宋体" w:hAnsi="宋体" w:cs="宋体" w:eastAsia="宋体"/>
          <w:sz w:val="24"/>
          <w:shd w:fill="FFFFFF" w:val="clear"/>
        </w:rPr>
        <w:t>终身提供技术支持，质保期自竣工验收完成之日起计算。</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2）质保期内：中标人须进行设备调试；上门维修保养及更换配件；在质量保证期内设备运行发生故障时，中标人在接到采购人故障通知后1小时内响应要求，24小时内应委派专业技术人员到现场提供咨询、维修和更换有缺陷的零部件或整机等服务，并及时填写维修报告（包括故障原因、处理情况及采购人意见等)报采购人备案，若48小时内无法排除故障，则应先提供同等配置的备用机供采购人使用，由此产生的一切费用由中标人承担。质量保证期内中标人有责任对设备进行不定期的巡查检修。质量保证期内中标人无法根据合同及招标文件的要求提供质量保修服务，造成采购人损失的，采购人有权提出索赔，索赔金额不超过采购人实际损失的2倍。</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3）质保期外：中标人仍应对货物提供终身维修服务，收到采购人故障通知后6小时内响应，48小时内派人到达现场解决，维修过程只收取配件费，且以最优惠价格提供。</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4）中标人应对售后/保修服务内容做出详细说明，包括服务人员组成、服务体系、服务项目、服务方式、响应时间和到场时间等。</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5）投标人应响应本次采购售后服务要求并在投标文件中提供详细具体的售后服务条件及保证，也可视自身能力在投标文件中提供更优、更合理的售后服务承诺。</w:t>
      </w:r>
    </w:p>
    <w:p>
      <w:pPr>
        <w:pStyle w:val="null3"/>
        <w:ind w:firstLine="480"/>
        <w:jc w:val="both"/>
      </w:pPr>
      <w:r>
        <w:rPr>
          <w:rFonts w:ascii="宋体" w:hAnsi="宋体" w:cs="宋体" w:eastAsia="宋体"/>
          <w:sz w:val="24"/>
          <w:b/>
          <w:shd w:fill="FFFFFF" w:val="clear"/>
        </w:rPr>
        <w:t>13、培训要求</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1）中标人应分析用户的整体培训需求，制定完整合理培训方案。</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2）中标人应根据项目特点，对采购人技术人员、管理人员进行专业培训，直至能独立操作。</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3）培训内容包括软件和硬件的操作培训、管理培训、维护培训。</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4）培训方式包括集中培训和现场培训等，使采购人掌握基本的日常维护和对系统的独立操作、管理能力，确保系统能正常安全运行。</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5）在项目实施及质保期内，中标人须按用户要求提供充分的各类现场培训。</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6）中标人提供培训所需的资料、讲师、场地等相关费用，在投标时计入投标总价。</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7）培训人数为3～5人。具体培训事项待采购人与中标人签订合同时，由双方商定。</w:t>
      </w:r>
    </w:p>
    <w:p>
      <w:pPr>
        <w:pStyle w:val="null3"/>
        <w:ind w:firstLine="480"/>
        <w:jc w:val="both"/>
      </w:pPr>
      <w:r>
        <w:rPr>
          <w:rFonts w:ascii="宋体" w:hAnsi="宋体" w:cs="宋体" w:eastAsia="宋体"/>
          <w:sz w:val="24"/>
          <w:b/>
          <w:shd w:fill="FFFFFF" w:val="clear"/>
        </w:rPr>
        <w:t>14、知识产权</w:t>
      </w:r>
    </w:p>
    <w:p>
      <w:pPr>
        <w:pStyle w:val="null3"/>
        <w:ind w:firstLine="480"/>
        <w:jc w:val="both"/>
      </w:pPr>
      <w:r>
        <w:rPr>
          <w:rFonts w:ascii="宋体" w:hAnsi="宋体" w:cs="宋体" w:eastAsia="宋体"/>
          <w:sz w:val="24"/>
          <w:shd w:fill="FFFFFF" w:val="clear"/>
        </w:rPr>
        <w:t>投标人须保障采购人在使用该货物或其任何一部分时不受到第三方关于侵犯专利权、商标权或工业设计权等知识产权的指控。如果任何第三方提出侵权指控与采购人无关，投标人须与第三方交涉并承担可能发生的责任与一切费用。如采购人因此而遭致损失的，投标人应赔偿该损失。</w:t>
      </w:r>
    </w:p>
    <w:p>
      <w:pPr>
        <w:pStyle w:val="null3"/>
        <w:ind w:firstLine="480"/>
        <w:jc w:val="both"/>
      </w:pPr>
      <w:r>
        <w:rPr>
          <w:rFonts w:ascii="宋体" w:hAnsi="宋体" w:cs="宋体" w:eastAsia="宋体"/>
          <w:sz w:val="24"/>
          <w:b/>
          <w:shd w:fill="FFFFFF" w:val="clear"/>
        </w:rPr>
        <w:t>15、招标文件附件</w:t>
      </w:r>
    </w:p>
    <w:p>
      <w:pPr>
        <w:pStyle w:val="null3"/>
        <w:ind w:firstLine="482"/>
        <w:jc w:val="left"/>
      </w:pPr>
      <w:r>
        <w:rPr>
          <w:rFonts w:ascii="宋体" w:hAnsi="宋体" w:cs="宋体" w:eastAsia="宋体"/>
          <w:sz w:val="24"/>
          <w:b/>
          <w:shd w:fill="FFFFFF" w:val="clear"/>
        </w:rPr>
        <w:t>附件</w:t>
      </w:r>
      <w:r>
        <w:rPr>
          <w:rFonts w:ascii="宋体" w:hAnsi="宋体" w:cs="宋体" w:eastAsia="宋体"/>
          <w:sz w:val="24"/>
          <w:b/>
          <w:shd w:fill="FFFFFF" w:val="clear"/>
        </w:rPr>
        <w:t>1：关于串标情形及后果的告知函</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宋体" w:hAnsi="宋体" w:cs="宋体" w:eastAsia="宋体"/>
                <w:sz w:val="24"/>
                <w:b/>
              </w:rPr>
              <w:t>关于串标情形及后果的告知函</w:t>
            </w:r>
          </w:p>
          <w:p>
            <w:pPr>
              <w:pStyle w:val="null3"/>
              <w:ind w:firstLine="480"/>
              <w:jc w:val="left"/>
            </w:pPr>
            <w:r>
              <w:rPr>
                <w:rFonts w:ascii="宋体" w:hAnsi="宋体" w:cs="宋体" w:eastAsia="宋体"/>
                <w:sz w:val="24"/>
              </w:rPr>
              <w:t>致各投标人：</w:t>
            </w:r>
          </w:p>
          <w:p>
            <w:pPr>
              <w:pStyle w:val="null3"/>
              <w:ind w:firstLine="480"/>
              <w:jc w:val="left"/>
            </w:pPr>
            <w:r>
              <w:rPr>
                <w:rFonts w:ascii="宋体" w:hAnsi="宋体" w:cs="宋体" w:eastAsia="宋体"/>
                <w:sz w:val="24"/>
              </w:rPr>
              <w:t xml:space="preserve">   根据《厦门市财政局关于加强涉嫌串通投标情形处理的通知》要求，现将有关恶意串通、视为串通情形及供应商需承担的后果列明如下，请各供应商仔细阅读，如在参与本项目采购活动中存在串通投标情形，将依法承担相应责任：</w:t>
            </w:r>
          </w:p>
          <w:p>
            <w:pPr>
              <w:pStyle w:val="null3"/>
              <w:ind w:firstLine="480"/>
              <w:jc w:val="left"/>
            </w:pPr>
            <w:r>
              <w:rPr>
                <w:rFonts w:ascii="宋体" w:hAnsi="宋体" w:cs="宋体" w:eastAsia="宋体"/>
                <w:sz w:val="24"/>
                <w:b/>
              </w:rPr>
              <w:t>一、恶意串通情形</w:t>
            </w:r>
          </w:p>
          <w:p>
            <w:pPr>
              <w:pStyle w:val="null3"/>
              <w:ind w:firstLine="315"/>
              <w:jc w:val="left"/>
            </w:pPr>
            <w:r>
              <w:rPr>
                <w:rFonts w:ascii="宋体" w:hAnsi="宋体" w:cs="宋体" w:eastAsia="宋体"/>
                <w:sz w:val="24"/>
                <w:b/>
              </w:rPr>
              <w:t>《政府采购法实施条例》第七十四条：有下列情形之一的，属于恶意串通：</w:t>
            </w:r>
          </w:p>
          <w:p>
            <w:pPr>
              <w:pStyle w:val="null3"/>
              <w:ind w:firstLine="315"/>
              <w:jc w:val="left"/>
            </w:pPr>
            <w:r>
              <w:rPr>
                <w:rFonts w:ascii="宋体" w:hAnsi="宋体" w:cs="宋体" w:eastAsia="宋体"/>
                <w:sz w:val="24"/>
              </w:rPr>
              <w:t>（一）供应商直接或者间接从采购人或者采购代</w:t>
            </w:r>
            <w:r>
              <w:rPr>
                <w:rFonts w:ascii="宋体" w:hAnsi="宋体" w:cs="宋体" w:eastAsia="宋体"/>
                <w:sz w:val="24"/>
              </w:rPr>
              <w:t xml:space="preserve"> 理机构处获得其他供应商的相关情况并修改其投标文件或者响应文件；</w:t>
            </w:r>
          </w:p>
          <w:p>
            <w:pPr>
              <w:pStyle w:val="null3"/>
              <w:ind w:firstLine="315"/>
              <w:jc w:val="left"/>
            </w:pPr>
            <w:r>
              <w:rPr>
                <w:rFonts w:ascii="宋体" w:hAnsi="宋体" w:cs="宋体" w:eastAsia="宋体"/>
                <w:sz w:val="24"/>
              </w:rPr>
              <w:t>（二）供应商按照采购人或者采购代</w:t>
            </w:r>
            <w:r>
              <w:rPr>
                <w:rFonts w:ascii="宋体" w:hAnsi="宋体" w:cs="宋体" w:eastAsia="宋体"/>
                <w:sz w:val="24"/>
              </w:rPr>
              <w:t xml:space="preserve"> 理机构的授意撤换、修改投标文件或者响应文件；</w:t>
            </w:r>
          </w:p>
          <w:p>
            <w:pPr>
              <w:pStyle w:val="null3"/>
              <w:ind w:firstLine="315"/>
              <w:jc w:val="left"/>
            </w:pPr>
            <w:r>
              <w:rPr>
                <w:rFonts w:ascii="宋体" w:hAnsi="宋体" w:cs="宋体" w:eastAsia="宋体"/>
                <w:sz w:val="24"/>
              </w:rPr>
              <w:t>（三）供应商之间协商报价、技术方案等投标文件或者响应文件的实质性内容；</w:t>
            </w:r>
          </w:p>
          <w:p>
            <w:pPr>
              <w:pStyle w:val="null3"/>
              <w:ind w:firstLine="315"/>
              <w:jc w:val="left"/>
            </w:pPr>
            <w:r>
              <w:rPr>
                <w:rFonts w:ascii="宋体" w:hAnsi="宋体" w:cs="宋体" w:eastAsia="宋体"/>
                <w:sz w:val="24"/>
              </w:rPr>
              <w:t>（四）属于同一集团、协会、商会等组织成员的供应商按照该组织要求协同参加政府采购活动；</w:t>
            </w:r>
          </w:p>
          <w:p>
            <w:pPr>
              <w:pStyle w:val="null3"/>
              <w:ind w:firstLine="315"/>
              <w:jc w:val="left"/>
            </w:pPr>
            <w:r>
              <w:rPr>
                <w:rFonts w:ascii="宋体" w:hAnsi="宋体" w:cs="宋体" w:eastAsia="宋体"/>
                <w:sz w:val="24"/>
              </w:rPr>
              <w:t>（五）供应商之间事先约定由某一特定供应商中标、成交；</w:t>
            </w:r>
          </w:p>
          <w:p>
            <w:pPr>
              <w:pStyle w:val="null3"/>
              <w:ind w:firstLine="315"/>
              <w:jc w:val="left"/>
            </w:pPr>
            <w:r>
              <w:rPr>
                <w:rFonts w:ascii="宋体" w:hAnsi="宋体" w:cs="宋体" w:eastAsia="宋体"/>
                <w:sz w:val="24"/>
              </w:rPr>
              <w:t>（六）供应商之间商定部分供应商放弃参加政府采购活动或者放弃中标、成交；</w:t>
            </w:r>
          </w:p>
          <w:p>
            <w:pPr>
              <w:pStyle w:val="null3"/>
              <w:ind w:firstLine="315"/>
              <w:jc w:val="left"/>
            </w:pPr>
            <w:r>
              <w:rPr>
                <w:rFonts w:ascii="宋体" w:hAnsi="宋体" w:cs="宋体" w:eastAsia="宋体"/>
                <w:sz w:val="24"/>
              </w:rPr>
              <w:t>（七）供应商与采购人或者采购代</w:t>
            </w:r>
            <w:r>
              <w:rPr>
                <w:rFonts w:ascii="宋体" w:hAnsi="宋体" w:cs="宋体" w:eastAsia="宋体"/>
                <w:sz w:val="24"/>
              </w:rPr>
              <w:t xml:space="preserve"> 理机构之间、供应商相互之间，为谋求特定供应商中标、成交或者排斥其他供应商的其他串通行为。</w:t>
            </w:r>
          </w:p>
          <w:p>
            <w:pPr>
              <w:pStyle w:val="null3"/>
              <w:ind w:firstLine="480"/>
              <w:jc w:val="left"/>
            </w:pPr>
            <w:r>
              <w:rPr>
                <w:rFonts w:ascii="宋体" w:hAnsi="宋体" w:cs="宋体" w:eastAsia="宋体"/>
                <w:sz w:val="24"/>
                <w:b/>
              </w:rPr>
              <w:t>二、视为串通情形</w:t>
            </w:r>
          </w:p>
          <w:p>
            <w:pPr>
              <w:pStyle w:val="null3"/>
              <w:ind w:firstLine="315"/>
              <w:jc w:val="left"/>
            </w:pPr>
            <w:r>
              <w:rPr>
                <w:rFonts w:ascii="宋体" w:hAnsi="宋体" w:cs="宋体" w:eastAsia="宋体"/>
                <w:sz w:val="24"/>
                <w:b/>
              </w:rPr>
              <w:t>《政府采购货物和服务招标投标管理办法》（财政部令第</w:t>
            </w:r>
            <w:r>
              <w:rPr>
                <w:rFonts w:ascii="宋体" w:hAnsi="宋体" w:cs="宋体" w:eastAsia="宋体"/>
                <w:sz w:val="24"/>
                <w:b/>
              </w:rPr>
              <w:t>87号）第三十七条：有下列情形之一的，视为投标人串通投标，其投标无效：</w:t>
            </w:r>
          </w:p>
          <w:p>
            <w:pPr>
              <w:pStyle w:val="null3"/>
              <w:ind w:firstLine="315"/>
              <w:jc w:val="left"/>
            </w:pPr>
            <w:r>
              <w:rPr>
                <w:rFonts w:ascii="宋体" w:hAnsi="宋体" w:cs="宋体" w:eastAsia="宋体"/>
                <w:sz w:val="24"/>
              </w:rPr>
              <w:t>（一）不同投标人的投标文件由同一单位或者个人编制；</w:t>
            </w:r>
          </w:p>
          <w:p>
            <w:pPr>
              <w:pStyle w:val="null3"/>
              <w:ind w:firstLine="315"/>
              <w:jc w:val="left"/>
            </w:pPr>
            <w:r>
              <w:rPr>
                <w:rFonts w:ascii="宋体" w:hAnsi="宋体" w:cs="宋体" w:eastAsia="宋体"/>
                <w:sz w:val="24"/>
              </w:rPr>
              <w:t>（二）不同投标人委托同一单位或者个人办理投标事宜；</w:t>
            </w:r>
          </w:p>
          <w:p>
            <w:pPr>
              <w:pStyle w:val="null3"/>
              <w:ind w:firstLine="360"/>
              <w:jc w:val="left"/>
            </w:pPr>
            <w:r>
              <w:rPr>
                <w:rFonts w:ascii="宋体" w:hAnsi="宋体" w:cs="宋体" w:eastAsia="宋体"/>
                <w:sz w:val="24"/>
              </w:rPr>
              <w:t>（三）不同投标人的投标文件载明的项目管理成员或者联系人员为同一人；</w:t>
            </w:r>
            <w:r>
              <w:rPr>
                <w:rFonts w:ascii="宋体" w:hAnsi="宋体" w:cs="宋体" w:eastAsia="宋体"/>
                <w:sz w:val="24"/>
              </w:rPr>
              <w:t xml:space="preserve"> （四）不同投标人的投标文件异常一致或者投标报价呈规律性差异；</w:t>
            </w:r>
          </w:p>
          <w:p>
            <w:pPr>
              <w:pStyle w:val="null3"/>
              <w:ind w:firstLine="360"/>
              <w:jc w:val="left"/>
            </w:pPr>
            <w:r>
              <w:rPr>
                <w:rFonts w:ascii="宋体" w:hAnsi="宋体" w:cs="宋体" w:eastAsia="宋体"/>
                <w:sz w:val="24"/>
              </w:rPr>
              <w:t>（五）不同投标人的投标文件相互混装；</w:t>
            </w:r>
          </w:p>
          <w:p>
            <w:pPr>
              <w:pStyle w:val="null3"/>
              <w:ind w:firstLine="360"/>
              <w:jc w:val="left"/>
            </w:pPr>
            <w:r>
              <w:rPr>
                <w:rFonts w:ascii="宋体" w:hAnsi="宋体" w:cs="宋体" w:eastAsia="宋体"/>
                <w:sz w:val="24"/>
              </w:rPr>
              <w:t>（六）不同投标人的投标保证金从同一单位或者个人的账户转出。</w:t>
            </w:r>
          </w:p>
          <w:p>
            <w:pPr>
              <w:pStyle w:val="null3"/>
              <w:ind w:firstLine="315"/>
              <w:jc w:val="left"/>
            </w:pPr>
            <w:r>
              <w:rPr>
                <w:rFonts w:ascii="宋体" w:hAnsi="宋体" w:cs="宋体" w:eastAsia="宋体"/>
                <w:sz w:val="24"/>
                <w:b/>
              </w:rPr>
              <w:t>《福建省财政厅关于电子化政府采购项目中视为串标情形认定与处理的指导意见》（闽财购〔</w:t>
            </w:r>
            <w:r>
              <w:rPr>
                <w:rFonts w:ascii="宋体" w:hAnsi="宋体" w:cs="宋体" w:eastAsia="宋体"/>
                <w:sz w:val="24"/>
                <w:b/>
              </w:rPr>
              <w:t>2018〕30号）</w:t>
            </w:r>
          </w:p>
          <w:p>
            <w:pPr>
              <w:pStyle w:val="null3"/>
              <w:ind w:firstLine="315"/>
              <w:jc w:val="left"/>
            </w:pPr>
            <w:r>
              <w:rPr>
                <w:rFonts w:ascii="宋体" w:hAnsi="宋体" w:cs="宋体" w:eastAsia="宋体"/>
                <w:sz w:val="24"/>
              </w:rPr>
              <w:t>（一）电子化招标项目视为串通情形的认定</w:t>
            </w:r>
          </w:p>
          <w:p>
            <w:pPr>
              <w:pStyle w:val="null3"/>
              <w:ind w:firstLine="315"/>
              <w:jc w:val="left"/>
            </w:pPr>
            <w:r>
              <w:rPr>
                <w:rFonts w:ascii="宋体" w:hAnsi="宋体" w:cs="宋体" w:eastAsia="宋体"/>
                <w:sz w:val="24"/>
              </w:rPr>
              <w:t>1、保证金验核阶段 不同投标人的投标保证金转出账户的银行账户名 称相同的，属于《政府采购货物和服务招标投标管理办法》（财政部令第87号）第三十七条第（六）项“不同投标人的投标保证金从同一单位或者个人的账户转出”的情形。</w:t>
            </w:r>
          </w:p>
          <w:p>
            <w:pPr>
              <w:pStyle w:val="null3"/>
              <w:ind w:firstLine="315"/>
              <w:jc w:val="left"/>
            </w:pPr>
            <w:r>
              <w:rPr>
                <w:rFonts w:ascii="宋体" w:hAnsi="宋体" w:cs="宋体" w:eastAsia="宋体"/>
                <w:sz w:val="24"/>
              </w:rPr>
              <w:t>2、电子响应文件解密阶段 电子响应文件的个性特征与本采购项目的其他响应人存在雷同的，按照以下方式进行认定：</w:t>
            </w:r>
          </w:p>
          <w:p>
            <w:pPr>
              <w:pStyle w:val="null3"/>
              <w:ind w:firstLine="315"/>
              <w:jc w:val="left"/>
            </w:pPr>
            <w:r>
              <w:rPr>
                <w:rFonts w:ascii="宋体" w:hAnsi="宋体" w:cs="宋体" w:eastAsia="宋体"/>
                <w:sz w:val="24"/>
              </w:rPr>
              <w:t>（</w:t>
            </w:r>
            <w:r>
              <w:rPr>
                <w:rFonts w:ascii="宋体" w:hAnsi="宋体" w:cs="宋体" w:eastAsia="宋体"/>
                <w:sz w:val="24"/>
              </w:rPr>
              <w:t>1）投标人上传电子投标文件被福建省政府采购网上公开信息系统投标客户端所赋予的项目内部识别码与本招标项目的其他投标人相同的，属于《政府采购货物和服务招标投标管理办法》（财政部令第87号）第三十七条第（一）项“不同投标人的投标文件由同一单位或者个人编制”的情形。</w:t>
            </w:r>
          </w:p>
          <w:p>
            <w:pPr>
              <w:pStyle w:val="null3"/>
              <w:ind w:firstLine="315"/>
              <w:jc w:val="left"/>
            </w:pPr>
            <w:r>
              <w:rPr>
                <w:rFonts w:ascii="宋体" w:hAnsi="宋体" w:cs="宋体" w:eastAsia="宋体"/>
                <w:sz w:val="24"/>
              </w:rPr>
              <w:t>（</w:t>
            </w:r>
            <w:r>
              <w:rPr>
                <w:rFonts w:ascii="宋体" w:hAnsi="宋体" w:cs="宋体" w:eastAsia="宋体"/>
                <w:sz w:val="24"/>
              </w:rPr>
              <w:t>2）系统记录的编制电子投标文件使用的计算机或上传电子投标文件使用的计算机网卡MAC地址与本招标项目的其他投标人一致的，属于《政府采购货物和服务招标投标管理办法》（财政部令第87号）第三十七条第（二）项“不同投标人委托同一单位或者个人办理投标事宜”的情形。</w:t>
            </w:r>
          </w:p>
          <w:p>
            <w:pPr>
              <w:pStyle w:val="null3"/>
              <w:ind w:firstLine="315"/>
              <w:jc w:val="left"/>
            </w:pPr>
            <w:r>
              <w:rPr>
                <w:rFonts w:ascii="宋体" w:hAnsi="宋体" w:cs="宋体" w:eastAsia="宋体"/>
                <w:sz w:val="24"/>
              </w:rPr>
              <w:t>（</w:t>
            </w:r>
            <w:r>
              <w:rPr>
                <w:rFonts w:ascii="宋体" w:hAnsi="宋体" w:cs="宋体" w:eastAsia="宋体"/>
                <w:sz w:val="24"/>
              </w:rPr>
              <w:t>3）投标人上传的电子投标文件若出现使用本项目其他投标人的数字证书加密的或加盖本项目的其他投标人的电子印章的，属于《政府采购货物和服务招标投标管理办法》（财政部令第87号）第三十七条第（五）项“不同投标人的投标文件相互混装”的情形。</w:t>
            </w:r>
          </w:p>
          <w:p>
            <w:pPr>
              <w:pStyle w:val="null3"/>
              <w:ind w:firstLine="315"/>
              <w:jc w:val="left"/>
            </w:pPr>
            <w:r>
              <w:rPr>
                <w:rFonts w:ascii="宋体" w:hAnsi="宋体" w:cs="宋体" w:eastAsia="宋体"/>
                <w:sz w:val="24"/>
              </w:rPr>
              <w:t>（二）电子化非招标项目视为串通情形的认定</w:t>
            </w:r>
          </w:p>
          <w:p>
            <w:pPr>
              <w:pStyle w:val="null3"/>
              <w:ind w:firstLine="315"/>
              <w:jc w:val="left"/>
            </w:pPr>
            <w:r>
              <w:rPr>
                <w:rFonts w:ascii="宋体" w:hAnsi="宋体" w:cs="宋体" w:eastAsia="宋体"/>
                <w:sz w:val="24"/>
              </w:rPr>
              <w:t>电子化非招标项目（包括竞争性谈判、竞争性磋商、询价）中出现本意见第一点所列情形的，属于《中华人民共和国政府采购法实施条例》第七十四条第（七）项</w:t>
            </w:r>
            <w:r>
              <w:rPr>
                <w:rFonts w:ascii="宋体" w:hAnsi="宋体" w:cs="宋体" w:eastAsia="宋体"/>
                <w:sz w:val="24"/>
              </w:rPr>
              <w:t>“供应商与采购人或者采购代 理机构之间、供应商相互之间，为谋求特定供应商中标、成交或者排斥其他供应商的其他串通行为”。</w:t>
            </w:r>
          </w:p>
          <w:p>
            <w:pPr>
              <w:pStyle w:val="null3"/>
              <w:ind w:firstLine="240"/>
              <w:jc w:val="left"/>
            </w:pPr>
            <w:r>
              <w:rPr>
                <w:rFonts w:ascii="宋体" w:hAnsi="宋体" w:cs="宋体" w:eastAsia="宋体"/>
                <w:sz w:val="24"/>
                <w:b/>
              </w:rPr>
              <w:t>《福建省财政厅关于福建省省</w:t>
            </w:r>
            <w:r>
              <w:rPr>
                <w:rFonts w:ascii="宋体" w:hAnsi="宋体" w:cs="宋体" w:eastAsia="宋体"/>
                <w:sz w:val="24"/>
                <w:b/>
              </w:rPr>
              <w:t xml:space="preserve"> 级政府采购货物和服务项目招标文件编制指引和实施指引的补充通知（三）》（闽财购〔2010〕28号）</w:t>
            </w:r>
          </w:p>
          <w:p>
            <w:pPr>
              <w:pStyle w:val="null3"/>
              <w:ind w:firstLine="480"/>
              <w:jc w:val="left"/>
            </w:pPr>
            <w:r>
              <w:rPr>
                <w:rFonts w:ascii="宋体" w:hAnsi="宋体" w:cs="宋体" w:eastAsia="宋体"/>
                <w:sz w:val="24"/>
              </w:rPr>
              <w:t>评标委员会在评标过程中发现投标人存在下列情形之一的，可认定其有串通投标行为，并做出其投标无效的决定：</w:t>
            </w:r>
          </w:p>
          <w:p>
            <w:pPr>
              <w:pStyle w:val="null3"/>
              <w:ind w:firstLine="240"/>
              <w:jc w:val="left"/>
            </w:pPr>
            <w:r>
              <w:rPr>
                <w:rFonts w:ascii="宋体" w:hAnsi="宋体" w:cs="宋体" w:eastAsia="宋体"/>
                <w:sz w:val="24"/>
              </w:rPr>
              <w:t>（一）不同投标人的投标文件错、漏之处一致或雷同，且不能合理解释的；</w:t>
            </w:r>
          </w:p>
          <w:p>
            <w:pPr>
              <w:pStyle w:val="null3"/>
              <w:ind w:firstLine="240"/>
              <w:jc w:val="left"/>
            </w:pPr>
            <w:r>
              <w:rPr>
                <w:rFonts w:ascii="宋体" w:hAnsi="宋体" w:cs="宋体" w:eastAsia="宋体"/>
                <w:sz w:val="24"/>
              </w:rPr>
              <w:t>（二）不同的投标人的法定代表人、委托代</w:t>
            </w:r>
            <w:r>
              <w:rPr>
                <w:rFonts w:ascii="宋体" w:hAnsi="宋体" w:cs="宋体" w:eastAsia="宋体"/>
                <w:sz w:val="24"/>
              </w:rPr>
              <w:t xml:space="preserve"> 理人等由同一个单位缴纳社会保险的；</w:t>
            </w:r>
          </w:p>
          <w:p>
            <w:pPr>
              <w:pStyle w:val="null3"/>
              <w:ind w:firstLine="240"/>
              <w:jc w:val="left"/>
            </w:pPr>
            <w:r>
              <w:rPr>
                <w:rFonts w:ascii="宋体" w:hAnsi="宋体" w:cs="宋体" w:eastAsia="宋体"/>
                <w:sz w:val="24"/>
              </w:rPr>
              <w:t>（三）由同一人或分别由几个有利害关系人携带两个以上（含两个）投标人的企业资料参与资格审查、领取招标资料，或代表两个以上（含两个）投标人参加招标答疑会、交纳或退还投标保证金、开标的；</w:t>
            </w:r>
          </w:p>
          <w:p>
            <w:pPr>
              <w:pStyle w:val="null3"/>
              <w:ind w:firstLine="240"/>
              <w:jc w:val="left"/>
            </w:pPr>
            <w:r>
              <w:rPr>
                <w:rFonts w:ascii="宋体" w:hAnsi="宋体" w:cs="宋体" w:eastAsia="宋体"/>
                <w:sz w:val="24"/>
              </w:rPr>
              <w:t>（四）有关法律、法规或规章规定的其他串通投标行为。</w:t>
            </w:r>
          </w:p>
          <w:p>
            <w:pPr>
              <w:pStyle w:val="null3"/>
              <w:ind w:firstLine="480"/>
              <w:jc w:val="left"/>
            </w:pPr>
            <w:r>
              <w:rPr>
                <w:rFonts w:ascii="宋体" w:hAnsi="宋体" w:cs="宋体" w:eastAsia="宋体"/>
                <w:sz w:val="24"/>
                <w:b/>
              </w:rPr>
              <w:t>三、供应商需承担的后果</w:t>
            </w:r>
          </w:p>
          <w:p>
            <w:pPr>
              <w:pStyle w:val="null3"/>
              <w:ind w:firstLine="480"/>
              <w:jc w:val="left"/>
            </w:pPr>
            <w:r>
              <w:rPr>
                <w:rFonts w:ascii="宋体" w:hAnsi="宋体" w:cs="宋体" w:eastAsia="宋体"/>
                <w:sz w:val="24"/>
              </w:rPr>
              <w:t>1、《政府采购法》第七十七条：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 （三）与采购人、其他供应商或者采购代 理机构恶意串通的； 供应商有前款第（一）至（五）项情形之一的，中标、成交无效。</w:t>
            </w:r>
          </w:p>
          <w:p>
            <w:pPr>
              <w:pStyle w:val="null3"/>
              <w:ind w:firstLine="480"/>
              <w:jc w:val="left"/>
            </w:pPr>
            <w:r>
              <w:rPr>
                <w:rFonts w:ascii="宋体" w:hAnsi="宋体" w:cs="宋体" w:eastAsia="宋体"/>
                <w:sz w:val="24"/>
              </w:rPr>
              <w:t>2、《政府采购非招标采购方式管理办法》（财政部令第74号）第二十条：有下列情形之一的，保证金不予退还： （四）供应商与采购人、其他供应商或者采购代 理机构恶意串通的；</w:t>
            </w:r>
          </w:p>
          <w:p>
            <w:pPr>
              <w:pStyle w:val="null3"/>
              <w:ind w:firstLine="552"/>
              <w:jc w:val="left"/>
            </w:pPr>
            <w:r>
              <w:rPr>
                <w:rFonts w:ascii="宋体" w:hAnsi="宋体" w:cs="宋体" w:eastAsia="宋体"/>
                <w:sz w:val="24"/>
              </w:rPr>
              <w:t>3、《政府采购竞争性磋商采购方式管理暂行办法》（财库〔2014〕214号）第三十一条：有下列情形之一的，磋商保证金不予退还： （四）供应商与采购人、其他供应商或者采购代 理机构恶意串通的；</w:t>
            </w:r>
          </w:p>
          <w:p>
            <w:pPr>
              <w:pStyle w:val="null3"/>
              <w:ind w:firstLine="380"/>
              <w:jc w:val="left"/>
            </w:pPr>
            <w:r>
              <w:rPr>
                <w:rFonts w:ascii="宋体" w:hAnsi="宋体" w:cs="宋体" w:eastAsia="宋体"/>
                <w:sz w:val="24"/>
              </w:rPr>
              <w:t>4、《福建省财政厅关于电子化政府采购项目中视为串标情形认定与处理的指导意见》（闽财购〔2018〕30号） 在开标过程中，发现投标（响应）人有上述情形的，采购人、采购代 理机构应当根据采购文件认定串通行为，认定其投标（响应）无效，没收其保证金，并书面报告本级财政部门；在评审过程中发现投标（响应）人有上述情形的，资格审查小组或评标委员会（谈判小组、磋商小组、询价小组）应当根据采购文件认定串通行为，认定其投标（响应）无效，没收其保证金，并书面报告本级财政部门。</w:t>
            </w:r>
          </w:p>
        </w:tc>
      </w:tr>
    </w:tbl>
    <w:p>
      <w:pPr>
        <w:pStyle w:val="null3"/>
        <w:ind w:firstLine="420"/>
        <w:jc w:val="left"/>
      </w:pPr>
      <w:r>
        <w:rPr>
          <w:rFonts w:ascii="宋体" w:hAnsi="宋体" w:cs="宋体" w:eastAsia="宋体"/>
          <w:sz w:val="24"/>
          <w:b/>
          <w:shd w:fill="FFFFFF" w:val="clear"/>
        </w:rPr>
        <w:t>附件</w:t>
      </w:r>
      <w:r>
        <w:rPr>
          <w:rFonts w:ascii="宋体" w:hAnsi="宋体" w:cs="宋体" w:eastAsia="宋体"/>
          <w:sz w:val="24"/>
          <w:b/>
          <w:shd w:fill="FFFFFF" w:val="clear"/>
        </w:rPr>
        <w:t>2：中小企业声明函</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宋体" w:hAnsi="宋体" w:cs="宋体" w:eastAsia="宋体"/>
                <w:sz w:val="24"/>
                <w:b/>
              </w:rPr>
              <w:t>中小企业声明函（货物）</w:t>
            </w:r>
          </w:p>
          <w:p>
            <w:pPr>
              <w:pStyle w:val="null3"/>
              <w:ind w:firstLine="420"/>
              <w:jc w:val="left"/>
            </w:pPr>
            <w:r>
              <w:rPr>
                <w:rFonts w:ascii="宋体" w:hAnsi="宋体" w:cs="宋体" w:eastAsia="宋体"/>
                <w:sz w:val="24"/>
              </w:rPr>
              <w:t xml:space="preserve">    本公司（联合体）郑重声明，根据《政府采购促进中小企业发展管理办法》（财库﹝2020﹞46 号）的规定，本公司（联合体）参加</w:t>
            </w:r>
            <w:r>
              <w:rPr>
                <w:rFonts w:ascii="宋体" w:hAnsi="宋体" w:cs="宋体" w:eastAsia="宋体"/>
                <w:sz w:val="24"/>
                <w:b/>
                <w:u w:val="single"/>
              </w:rPr>
              <w:t xml:space="preserve">              </w:t>
            </w:r>
            <w:r>
              <w:rPr>
                <w:rFonts w:ascii="宋体" w:hAnsi="宋体" w:cs="宋体" w:eastAsia="宋体"/>
                <w:sz w:val="24"/>
              </w:rPr>
              <w:t>的</w:t>
            </w:r>
            <w:r>
              <w:rPr>
                <w:rFonts w:ascii="宋体" w:hAnsi="宋体" w:cs="宋体" w:eastAsia="宋体"/>
                <w:sz w:val="24"/>
                <w:b/>
                <w:u w:val="single"/>
              </w:rPr>
              <w:t xml:space="preserve">         </w:t>
            </w:r>
            <w:r>
              <w:rPr>
                <w:rFonts w:ascii="宋体" w:hAnsi="宋体" w:cs="宋体" w:eastAsia="宋体"/>
                <w:sz w:val="24"/>
              </w:rPr>
              <w:t>采购活动，提供的货物全部由符合政策要求的中小企业制造。相关企业（含联合体中的中小企业、签订分包意向协议的中小企业）的具体情况如下：</w:t>
            </w:r>
          </w:p>
          <w:p>
            <w:pPr>
              <w:pStyle w:val="null3"/>
              <w:ind w:firstLine="420"/>
              <w:jc w:val="left"/>
            </w:pPr>
            <w:r>
              <w:rPr>
                <w:rFonts w:ascii="宋体" w:hAnsi="宋体" w:cs="宋体" w:eastAsia="宋体"/>
                <w:sz w:val="24"/>
              </w:rPr>
              <w:t>1、天馈系统，属于工业；制造商为（企业名称），从业人员  人，营业收入为  万元，资产总额为  万元，属于（中型企业、小型企业、微型企业）；</w:t>
            </w:r>
          </w:p>
          <w:p>
            <w:pPr>
              <w:pStyle w:val="null3"/>
              <w:ind w:firstLine="480"/>
              <w:jc w:val="left"/>
            </w:pPr>
            <w:r>
              <w:rPr>
                <w:rFonts w:ascii="宋体" w:hAnsi="宋体" w:cs="宋体" w:eastAsia="宋体"/>
                <w:sz w:val="24"/>
              </w:rPr>
              <w:t>2、监测接收机，属于工业；制造商为（企业名称），从业人员  人，营业收入为  万元，资产总额为  万元，属于（中型企业、小型企业、微型企业）；</w:t>
            </w:r>
          </w:p>
          <w:p>
            <w:pPr>
              <w:pStyle w:val="null3"/>
              <w:ind w:firstLine="480"/>
              <w:jc w:val="left"/>
            </w:pPr>
            <w:r>
              <w:rPr>
                <w:rFonts w:ascii="宋体" w:hAnsi="宋体" w:cs="宋体" w:eastAsia="宋体"/>
                <w:sz w:val="24"/>
              </w:rPr>
              <w:t>3、测向接收机，属于工业；制造商为（企业名称），从业人员  人，营业收入为  万元，资产总额为  万元，属于（中型企业、小型企业、微型企业）；</w:t>
            </w:r>
          </w:p>
          <w:p>
            <w:pPr>
              <w:pStyle w:val="null3"/>
              <w:ind w:firstLine="480"/>
              <w:jc w:val="left"/>
            </w:pPr>
            <w:r>
              <w:rPr>
                <w:rFonts w:ascii="宋体" w:hAnsi="宋体" w:cs="宋体" w:eastAsia="宋体"/>
                <w:sz w:val="24"/>
              </w:rPr>
              <w:t>4、无线电监测测向应用软件，属于工业；制造商为（企业名称），从业人员  人，营业收入为  万元，资产总额为  万元，属于（中型企业、小型企业、微型企业）；</w:t>
            </w:r>
          </w:p>
          <w:p>
            <w:pPr>
              <w:pStyle w:val="null3"/>
              <w:ind w:firstLine="480"/>
              <w:jc w:val="left"/>
            </w:pPr>
            <w:r>
              <w:rPr>
                <w:rFonts w:ascii="宋体" w:hAnsi="宋体" w:cs="宋体" w:eastAsia="宋体"/>
                <w:sz w:val="24"/>
              </w:rPr>
              <w:t>5、UPS（含电池组），属于工业；制造商为（企业名称），从业人员  人，营业收入为  万元，资产总额为  万元，属于（中型企业、小型企业、微型企业）；</w:t>
            </w:r>
          </w:p>
          <w:p>
            <w:pPr>
              <w:pStyle w:val="null3"/>
              <w:ind w:firstLine="480"/>
              <w:jc w:val="left"/>
            </w:pPr>
            <w:r>
              <w:rPr>
                <w:rFonts w:ascii="宋体" w:hAnsi="宋体" w:cs="宋体" w:eastAsia="宋体"/>
                <w:sz w:val="24"/>
              </w:rPr>
              <w:t>6、网络平台，属于工业；制造商为（企业名称），从业人员  人，营业收入为  万元，资产总额为  万元，属于（中型企业、小型企业、微型企业）；</w:t>
            </w:r>
          </w:p>
          <w:p>
            <w:pPr>
              <w:pStyle w:val="null3"/>
              <w:ind w:firstLine="480"/>
              <w:jc w:val="left"/>
            </w:pPr>
            <w:r>
              <w:rPr>
                <w:rFonts w:ascii="宋体" w:hAnsi="宋体" w:cs="宋体" w:eastAsia="宋体"/>
                <w:sz w:val="24"/>
              </w:rPr>
              <w:t>7、集成附件，属于工业；制造商为（企业名称），从业人员  人，营业收入为  万元，资产总额为  万元，属于（中型企业、小型企业、微型企业）；</w:t>
            </w:r>
          </w:p>
          <w:p>
            <w:pPr>
              <w:pStyle w:val="null3"/>
              <w:ind w:firstLine="480"/>
              <w:jc w:val="left"/>
            </w:pPr>
            <w:r>
              <w:rPr>
                <w:rFonts w:ascii="宋体" w:hAnsi="宋体" w:cs="宋体" w:eastAsia="宋体"/>
                <w:sz w:val="24"/>
              </w:rPr>
              <w:t>8、数据处理平台，属于工业；制造商为（企业名称），从业人员  人，营业收入为  万元，资产总额为  万元，属于（中型企业、小型企业、微型企业）；</w:t>
            </w:r>
          </w:p>
          <w:p>
            <w:pPr>
              <w:pStyle w:val="null3"/>
              <w:ind w:firstLine="480"/>
              <w:jc w:val="left"/>
            </w:pPr>
            <w:r>
              <w:rPr>
                <w:rFonts w:ascii="宋体" w:hAnsi="宋体" w:cs="宋体" w:eastAsia="宋体"/>
                <w:sz w:val="24"/>
              </w:rPr>
              <w:t>9、机房/机柜及附属设施，属于工业；制造商为（企业名称），从业人员  人，营业收入为  万元，资产总额为  万元，属于（中型企业、小型企业、微型企业）；</w:t>
            </w:r>
          </w:p>
          <w:p>
            <w:pPr>
              <w:pStyle w:val="null3"/>
              <w:ind w:firstLine="480"/>
              <w:jc w:val="left"/>
            </w:pPr>
            <w:r>
              <w:rPr>
                <w:rFonts w:ascii="宋体" w:hAnsi="宋体" w:cs="宋体" w:eastAsia="宋体"/>
                <w:sz w:val="24"/>
              </w:rPr>
              <w:t xml:space="preserve"> 以上企业，不属于大企业的分支机构，不存在控股股东为大企业的情形，也不存在与大企业的负责人为同一人的情形。</w:t>
            </w:r>
          </w:p>
          <w:p>
            <w:pPr>
              <w:pStyle w:val="null3"/>
              <w:ind w:firstLine="480"/>
              <w:jc w:val="left"/>
            </w:pPr>
            <w:r>
              <w:rPr>
                <w:rFonts w:ascii="宋体" w:hAnsi="宋体" w:cs="宋体" w:eastAsia="宋体"/>
                <w:sz w:val="24"/>
              </w:rPr>
              <w:t xml:space="preserve"> </w:t>
            </w:r>
          </w:p>
          <w:p>
            <w:pPr>
              <w:pStyle w:val="null3"/>
              <w:ind w:firstLine="480"/>
              <w:jc w:val="left"/>
            </w:pPr>
            <w:r>
              <w:rPr>
                <w:rFonts w:ascii="宋体" w:hAnsi="宋体" w:cs="宋体" w:eastAsia="宋体"/>
                <w:sz w:val="24"/>
              </w:rPr>
              <w:t xml:space="preserve"> 本企业对上述声明内容的真实性负责。如有虚假，将依法承担相应责任。</w:t>
            </w:r>
          </w:p>
          <w:p>
            <w:pPr>
              <w:pStyle w:val="null3"/>
              <w:ind w:firstLine="480"/>
              <w:jc w:val="left"/>
            </w:pPr>
            <w:r>
              <w:rPr>
                <w:rFonts w:ascii="宋体" w:hAnsi="宋体" w:cs="宋体" w:eastAsia="宋体"/>
                <w:sz w:val="24"/>
              </w:rPr>
              <w:t xml:space="preserve">                                投标人名称（盖章）：</w:t>
            </w:r>
          </w:p>
          <w:p>
            <w:pPr>
              <w:pStyle w:val="null3"/>
              <w:ind w:firstLine="3960"/>
              <w:jc w:val="left"/>
            </w:pPr>
            <w:r>
              <w:rPr>
                <w:rFonts w:ascii="宋体" w:hAnsi="宋体" w:cs="宋体" w:eastAsia="宋体"/>
                <w:sz w:val="24"/>
              </w:rPr>
              <w:t>日期：</w:t>
            </w:r>
          </w:p>
          <w:p>
            <w:pPr>
              <w:pStyle w:val="null3"/>
              <w:ind w:firstLine="480"/>
              <w:jc w:val="left"/>
            </w:pPr>
            <w:r>
              <w:rPr>
                <w:rFonts w:ascii="宋体" w:hAnsi="宋体" w:cs="宋体" w:eastAsia="宋体"/>
                <w:sz w:val="24"/>
              </w:rPr>
              <w:t xml:space="preserve">                                             </w:t>
            </w:r>
          </w:p>
          <w:p>
            <w:pPr>
              <w:pStyle w:val="null3"/>
              <w:ind w:firstLine="480"/>
              <w:jc w:val="left"/>
            </w:pPr>
            <w:r>
              <w:rPr>
                <w:rFonts w:ascii="宋体" w:hAnsi="宋体" w:cs="宋体" w:eastAsia="宋体"/>
                <w:sz w:val="24"/>
                <w:b/>
              </w:rPr>
              <w:t>※注意：</w:t>
            </w:r>
          </w:p>
          <w:p>
            <w:pPr>
              <w:pStyle w:val="null3"/>
              <w:ind w:firstLine="420"/>
              <w:jc w:val="left"/>
            </w:pPr>
            <w:r>
              <w:rPr>
                <w:rFonts w:ascii="宋体" w:hAnsi="宋体" w:cs="宋体" w:eastAsia="宋体"/>
                <w:sz w:val="24"/>
              </w:rPr>
              <w:t>1、从 业人员、营 业收入、资 产总额填报上一年度数据，无上一年度数据的新成立企业可不填报。（</w:t>
            </w:r>
            <w:r>
              <w:rPr>
                <w:rFonts w:ascii="宋体" w:hAnsi="宋体" w:cs="宋体" w:eastAsia="宋体"/>
                <w:sz w:val="24"/>
                <w:b/>
              </w:rPr>
              <w:t>“工业”行业的划型标准：</w:t>
            </w:r>
            <w:r>
              <w:rPr>
                <w:rFonts w:ascii="宋体" w:hAnsi="宋体" w:cs="宋体" w:eastAsia="宋体"/>
                <w:sz w:val="24"/>
              </w:rPr>
              <w:t>从业人员</w:t>
            </w:r>
            <w:r>
              <w:rPr>
                <w:rFonts w:ascii="宋体" w:hAnsi="宋体" w:cs="宋体" w:eastAsia="宋体"/>
                <w:sz w:val="24"/>
              </w:rPr>
              <w:t>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ind w:firstLine="420"/>
              <w:jc w:val="left"/>
            </w:pPr>
            <w:r>
              <w:rPr>
                <w:rFonts w:ascii="宋体" w:hAnsi="宋体" w:cs="宋体" w:eastAsia="宋体"/>
                <w:sz w:val="24"/>
              </w:rPr>
              <w:t>2、投标人须按招标文件中明确的所属行业填列，多品目项目中须按上表要求逐条填列，</w:t>
            </w:r>
            <w:r>
              <w:rPr>
                <w:rFonts w:ascii="宋体" w:hAnsi="宋体" w:cs="宋体" w:eastAsia="宋体"/>
                <w:sz w:val="24"/>
                <w:b/>
              </w:rPr>
              <w:t>且投标人应根据企业情况如实明确其中一种企业类型，</w:t>
            </w:r>
            <w:r>
              <w:rPr>
                <w:rFonts w:ascii="宋体" w:hAnsi="宋体" w:cs="宋体" w:eastAsia="宋体"/>
                <w:sz w:val="24"/>
              </w:rPr>
              <w:t>否则，其提供的中小企业声明将被判定为无效声明函，由此造成的后果由投标人自行承担（涉及资格的按无效投标处理；涉及价格评审优惠的，不予认定）。</w:t>
            </w:r>
          </w:p>
          <w:p>
            <w:pPr>
              <w:pStyle w:val="null3"/>
              <w:ind w:firstLine="420"/>
              <w:jc w:val="left"/>
            </w:pPr>
            <w:r>
              <w:rPr>
                <w:rFonts w:ascii="宋体" w:hAnsi="宋体" w:cs="宋体" w:eastAsia="宋体"/>
                <w:sz w:val="24"/>
              </w:rPr>
              <w:t xml:space="preserve">   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               </w:t>
            </w:r>
          </w:p>
          <w:p>
            <w:pPr>
              <w:pStyle w:val="null3"/>
              <w:ind w:firstLine="420"/>
              <w:jc w:val="left"/>
            </w:pPr>
            <w:r>
              <w:rPr>
                <w:rFonts w:ascii="宋体" w:hAnsi="宋体" w:cs="宋体" w:eastAsia="宋体"/>
                <w:sz w:val="24"/>
              </w:rPr>
              <w:t>4、投标人应当按照招标文件中明确的采购标的对应行业出具《中小企业声明函》，而不是按照投标人的经营范围或者货物制造商（工程承建商、服务承接商）的经营范围出具《中小企业声明函》。</w:t>
            </w:r>
          </w:p>
        </w:tc>
      </w:tr>
    </w:tbl>
    <w:p>
      <w:pPr>
        <w:pStyle w:val="null3"/>
        <w:ind w:firstLine="480"/>
        <w:jc w:val="left"/>
      </w:pPr>
      <w:r>
        <w:rPr>
          <w:rFonts w:ascii="宋体" w:hAnsi="宋体" w:cs="宋体" w:eastAsia="宋体"/>
          <w:sz w:val="24"/>
          <w:b/>
          <w:shd w:fill="FFFFFF" w:val="clear"/>
        </w:rPr>
        <w:t>附件</w:t>
      </w:r>
      <w:r>
        <w:rPr>
          <w:rFonts w:ascii="宋体" w:hAnsi="宋体" w:cs="宋体" w:eastAsia="宋体"/>
          <w:sz w:val="24"/>
          <w:b/>
          <w:shd w:fill="FFFFFF" w:val="clear"/>
        </w:rPr>
        <w:t>3：资格承诺函</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宋体" w:hAnsi="宋体" w:cs="宋体" w:eastAsia="宋体"/>
                <w:sz w:val="24"/>
              </w:rPr>
              <w:t>资格承诺函</w:t>
            </w:r>
          </w:p>
          <w:p>
            <w:pPr>
              <w:pStyle w:val="null3"/>
              <w:ind w:firstLine="480"/>
              <w:jc w:val="left"/>
            </w:pPr>
            <w:r>
              <w:rPr>
                <w:rFonts w:ascii="宋体" w:hAnsi="宋体" w:cs="宋体" w:eastAsia="宋体"/>
                <w:sz w:val="24"/>
              </w:rPr>
              <w:t>致：</w:t>
            </w:r>
            <w:r>
              <w:rPr>
                <w:rFonts w:ascii="宋体" w:hAnsi="宋体" w:cs="宋体" w:eastAsia="宋体"/>
                <w:sz w:val="24"/>
                <w:u w:val="single"/>
              </w:rPr>
              <w:t xml:space="preserve">    </w:t>
            </w:r>
            <w:r>
              <w:rPr>
                <w:rFonts w:ascii="宋体" w:hAnsi="宋体" w:cs="宋体" w:eastAsia="宋体"/>
                <w:sz w:val="24"/>
                <w:i/>
                <w:u w:val="single"/>
              </w:rPr>
              <w:t>（采购人、采购代</w:t>
            </w:r>
            <w:r>
              <w:rPr>
                <w:rFonts w:ascii="宋体" w:hAnsi="宋体" w:cs="宋体" w:eastAsia="宋体"/>
                <w:sz w:val="24"/>
                <w:i/>
                <w:u w:val="single"/>
              </w:rPr>
              <w:t xml:space="preserve"> 理机构）</w:t>
            </w:r>
            <w:r>
              <w:rPr>
                <w:rFonts w:ascii="宋体" w:hAnsi="宋体" w:cs="宋体" w:eastAsia="宋体"/>
                <w:sz w:val="24"/>
                <w:u w:val="single"/>
              </w:rPr>
              <w:t xml:space="preserve">   </w:t>
            </w:r>
          </w:p>
          <w:p>
            <w:pPr>
              <w:pStyle w:val="null3"/>
              <w:ind w:firstLine="435"/>
              <w:jc w:val="left"/>
            </w:pPr>
            <w:r>
              <w:rPr>
                <w:rFonts w:ascii="宋体" w:hAnsi="宋体" w:cs="宋体" w:eastAsia="宋体"/>
                <w:sz w:val="24"/>
              </w:rPr>
              <w:t>我单位参与</w:t>
            </w:r>
            <w:r>
              <w:rPr>
                <w:rFonts w:ascii="宋体" w:hAnsi="宋体" w:cs="宋体" w:eastAsia="宋体"/>
                <w:sz w:val="24"/>
                <w:u w:val="single"/>
              </w:rPr>
              <w:t xml:space="preserve">  （</w:t>
            </w:r>
            <w:r>
              <w:rPr>
                <w:rFonts w:ascii="宋体" w:hAnsi="宋体" w:cs="宋体" w:eastAsia="宋体"/>
                <w:sz w:val="24"/>
                <w:i/>
                <w:u w:val="single"/>
              </w:rPr>
              <w:t>项目名称</w:t>
            </w:r>
            <w:r>
              <w:rPr>
                <w:rFonts w:ascii="宋体" w:hAnsi="宋体" w:cs="宋体" w:eastAsia="宋体"/>
                <w:sz w:val="24"/>
                <w:u w:val="single"/>
              </w:rPr>
              <w:t>）</w:t>
            </w:r>
            <w:r>
              <w:rPr>
                <w:rFonts w:ascii="宋体" w:hAnsi="宋体" w:cs="宋体" w:eastAsia="宋体"/>
                <w:sz w:val="24"/>
                <w:u w:val="single"/>
              </w:rPr>
              <w:t xml:space="preserve">  （项目编号：    ）</w:t>
            </w:r>
            <w:r>
              <w:rPr>
                <w:rFonts w:ascii="宋体" w:hAnsi="宋体" w:cs="宋体" w:eastAsia="宋体"/>
                <w:sz w:val="24"/>
              </w:rPr>
              <w:t>项目的政府采购活动，现承诺如下：</w:t>
            </w:r>
          </w:p>
          <w:p>
            <w:pPr>
              <w:pStyle w:val="null3"/>
              <w:ind w:firstLine="435"/>
              <w:jc w:val="left"/>
            </w:pPr>
            <w:r>
              <w:rPr>
                <w:rFonts w:ascii="宋体" w:hAnsi="宋体" w:cs="宋体" w:eastAsia="宋体"/>
                <w:sz w:val="24"/>
              </w:rPr>
              <w:t>1.我单位具有符合采购文件资格要求的财务状况报告。</w:t>
            </w:r>
          </w:p>
          <w:p>
            <w:pPr>
              <w:pStyle w:val="null3"/>
              <w:ind w:firstLine="435"/>
              <w:jc w:val="left"/>
            </w:pPr>
            <w:r>
              <w:rPr>
                <w:rFonts w:ascii="宋体" w:hAnsi="宋体" w:cs="宋体" w:eastAsia="宋体"/>
                <w:sz w:val="24"/>
              </w:rPr>
              <w:t>2.我单位具有符合采购文件资格要求的依法缴纳税收的相关证明材料。</w:t>
            </w:r>
          </w:p>
          <w:p>
            <w:pPr>
              <w:pStyle w:val="null3"/>
              <w:ind w:firstLine="435"/>
              <w:jc w:val="left"/>
            </w:pPr>
            <w:r>
              <w:rPr>
                <w:rFonts w:ascii="宋体" w:hAnsi="宋体" w:cs="宋体" w:eastAsia="宋体"/>
                <w:sz w:val="24"/>
              </w:rPr>
              <w:t>3.我单位具有符合采购文件资格要求的依法缴纳社会保障资金的相关证明材料。</w:t>
            </w:r>
          </w:p>
          <w:p>
            <w:pPr>
              <w:pStyle w:val="null3"/>
              <w:ind w:firstLine="435"/>
              <w:jc w:val="left"/>
            </w:pPr>
            <w:r>
              <w:rPr>
                <w:rFonts w:ascii="宋体" w:hAnsi="宋体" w:cs="宋体" w:eastAsia="宋体"/>
                <w:sz w:val="24"/>
              </w:rPr>
              <w:t>若我单位承诺不实，自愿承担提供虚假材料谋取中标、成交的法律责任。</w:t>
            </w:r>
          </w:p>
          <w:p>
            <w:pPr>
              <w:pStyle w:val="null3"/>
              <w:ind w:firstLine="435"/>
              <w:jc w:val="left"/>
            </w:pPr>
            <w:r>
              <w:rPr>
                <w:rFonts w:ascii="宋体" w:hAnsi="宋体" w:cs="宋体" w:eastAsia="宋体"/>
                <w:sz w:val="24"/>
              </w:rPr>
              <w:t xml:space="preserve"> </w:t>
            </w:r>
          </w:p>
          <w:p>
            <w:pPr>
              <w:pStyle w:val="null3"/>
              <w:ind w:firstLine="435"/>
              <w:jc w:val="left"/>
            </w:pPr>
            <w:r>
              <w:rPr>
                <w:rFonts w:ascii="宋体" w:hAnsi="宋体" w:cs="宋体" w:eastAsia="宋体"/>
                <w:sz w:val="24"/>
              </w:rPr>
              <w:t>承诺供应商（全称并加盖公章）：</w:t>
            </w:r>
            <w:r>
              <w:rPr>
                <w:rFonts w:ascii="宋体" w:hAnsi="宋体" w:cs="宋体" w:eastAsia="宋体"/>
                <w:sz w:val="24"/>
                <w:u w:val="single"/>
              </w:rPr>
              <w:t xml:space="preserve">             </w:t>
            </w:r>
          </w:p>
          <w:p>
            <w:pPr>
              <w:pStyle w:val="null3"/>
              <w:ind w:firstLine="435"/>
              <w:jc w:val="left"/>
            </w:pPr>
            <w:r>
              <w:rPr>
                <w:rFonts w:ascii="宋体" w:hAnsi="宋体" w:cs="宋体" w:eastAsia="宋体"/>
                <w:sz w:val="24"/>
              </w:rPr>
              <w:t>单位负责人或授权代表（签字）：</w:t>
            </w:r>
            <w:r>
              <w:rPr>
                <w:rFonts w:ascii="宋体" w:hAnsi="宋体" w:cs="宋体" w:eastAsia="宋体"/>
                <w:sz w:val="24"/>
                <w:u w:val="single"/>
              </w:rPr>
              <w:t xml:space="preserve">             </w:t>
            </w:r>
          </w:p>
          <w:p>
            <w:pPr>
              <w:pStyle w:val="null3"/>
              <w:ind w:firstLine="435"/>
              <w:jc w:val="left"/>
            </w:pPr>
            <w:r>
              <w:rPr>
                <w:rFonts w:ascii="宋体" w:hAnsi="宋体" w:cs="宋体" w:eastAsia="宋体"/>
                <w:sz w:val="24"/>
              </w:rPr>
              <w:t>日期：</w:t>
            </w:r>
            <w:r>
              <w:rPr>
                <w:rFonts w:ascii="宋体" w:hAnsi="宋体" w:cs="宋体" w:eastAsia="宋体"/>
                <w:sz w:val="24"/>
                <w:u w:val="single"/>
              </w:rPr>
              <w:t xml:space="preserve">             </w:t>
            </w:r>
          </w:p>
          <w:p>
            <w:pPr>
              <w:pStyle w:val="null3"/>
              <w:ind w:firstLine="480"/>
              <w:jc w:val="left"/>
            </w:pPr>
            <w:r>
              <w:rPr>
                <w:rFonts w:ascii="宋体" w:hAnsi="宋体" w:cs="宋体" w:eastAsia="宋体"/>
                <w:sz w:val="24"/>
              </w:rPr>
              <w:t>﹍﹍﹍﹍﹍﹍﹍﹍﹍﹍﹍﹍﹍﹍﹍﹍﹍﹍﹍﹍﹍﹍﹍﹍﹍﹍﹍﹍﹍﹍﹍﹍﹍</w:t>
            </w:r>
          </w:p>
          <w:p>
            <w:pPr>
              <w:pStyle w:val="null3"/>
              <w:ind w:firstLine="480"/>
              <w:jc w:val="left"/>
            </w:pPr>
            <w:r>
              <w:rPr>
                <w:rFonts w:ascii="宋体" w:hAnsi="宋体" w:cs="宋体" w:eastAsia="宋体"/>
                <w:sz w:val="24"/>
              </w:rPr>
              <w:t>说明：</w:t>
            </w:r>
            <w:r>
              <w:rPr>
                <w:rFonts w:ascii="宋体" w:hAnsi="宋体" w:cs="宋体" w:eastAsia="宋体"/>
                <w:sz w:val="24"/>
              </w:rPr>
              <w:t>1.供应商可自行选择是否提供本承诺函，若不提供本承诺函的，应按采购文件要求提供相应的证明材料。</w:t>
            </w:r>
          </w:p>
          <w:p>
            <w:pPr>
              <w:pStyle w:val="null3"/>
              <w:ind w:firstLine="480"/>
              <w:jc w:val="left"/>
            </w:pPr>
            <w:r>
              <w:rPr>
                <w:rFonts w:ascii="宋体" w:hAnsi="宋体" w:cs="宋体" w:eastAsia="宋体"/>
                <w:sz w:val="24"/>
              </w:rPr>
              <w:t>2.供应商可删减承诺事项，如删去承诺第1项的，则应按采购文件要求提供财务状况报告。</w:t>
            </w:r>
          </w:p>
        </w:tc>
      </w:tr>
    </w:tbl>
    <w:p>
      <w:pPr>
        <w:pStyle w:val="null3"/>
        <w:jc w:val="both"/>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本项目支持供应商办理政府采购合同融资（即政采贷），具体相关政策详见《关于促进中小企业政府采购合同融资健康开展的通知》（闽财购函〔2019〕16 号）和《关于印发&lt;福建省支持中小企业政府采购合同融资暂行办法&gt;的通知（闽财购〔2018〕7 号）。办理渠道及政策查询网址： http://120.35.30.176/zcdproject/home/。</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outlineLvl w:val="0"/>
      </w:pPr>
      <w:r>
        <w:rPr>
          <w:sz w:val="48"/>
          <w:b/>
        </w:rPr>
        <w:t xml:space="preserve"> 政府采购货物买卖合同</w:t>
      </w:r>
    </w:p>
    <w:p>
      <w:pPr>
        <w:pStyle w:val="null3"/>
        <w:jc w:val="center"/>
        <w:outlineLvl w:val="0"/>
      </w:pPr>
      <w:r>
        <w:rPr>
          <w:sz w:val="48"/>
          <w:b/>
        </w:rPr>
        <w:t>（试行）</w:t>
      </w:r>
    </w:p>
    <w:p>
      <w:pPr>
        <w:pStyle w:val="null3"/>
        <w:jc w:val="left"/>
      </w:pPr>
      <w:r>
        <w:rPr>
          <w:sz w:val="31"/>
          <w:b/>
        </w:rPr>
        <w:t xml:space="preserve">项目名称： </w:t>
      </w:r>
      <w:r>
        <w:rPr>
          <w:sz w:val="31"/>
          <w:b/>
        </w:rPr>
        <w:t>__________________________</w:t>
      </w:r>
    </w:p>
    <w:p>
      <w:pPr>
        <w:pStyle w:val="null3"/>
        <w:jc w:val="left"/>
      </w:pPr>
      <w:r>
        <w:rPr>
          <w:sz w:val="31"/>
          <w:b/>
        </w:rPr>
        <w:t>合同编号：</w:t>
      </w:r>
      <w:r>
        <w:rPr>
          <w:sz w:val="31"/>
          <w:b/>
        </w:rPr>
        <w:t xml:space="preserve"> __________________________</w:t>
      </w:r>
    </w:p>
    <w:p>
      <w:pPr>
        <w:pStyle w:val="null3"/>
        <w:jc w:val="left"/>
      </w:pPr>
      <w:r>
        <w:rPr>
          <w:sz w:val="31"/>
          <w:b/>
        </w:rPr>
        <w:t xml:space="preserve">甲   方： </w:t>
      </w:r>
      <w:r>
        <w:rPr>
          <w:sz w:val="31"/>
          <w:b/>
        </w:rPr>
        <w:t>__________________________</w:t>
      </w:r>
    </w:p>
    <w:p>
      <w:pPr>
        <w:pStyle w:val="null3"/>
        <w:jc w:val="left"/>
      </w:pPr>
      <w:r>
        <w:rPr>
          <w:sz w:val="31"/>
          <w:b/>
        </w:rPr>
        <w:t>乙   方：</w:t>
      </w:r>
      <w:r>
        <w:rPr>
          <w:sz w:val="31"/>
          <w:b/>
        </w:rPr>
        <w:t>__________________________</w:t>
      </w:r>
    </w:p>
    <w:p>
      <w:pPr>
        <w:pStyle w:val="null3"/>
        <w:jc w:val="left"/>
      </w:pPr>
      <w:r>
        <w:rPr>
          <w:sz w:val="31"/>
          <w:b/>
        </w:rPr>
        <w:t>签订时间：</w:t>
      </w:r>
      <w:r>
        <w:rPr>
          <w:sz w:val="31"/>
          <w:b/>
        </w:rPr>
        <w:t xml:space="preserve"> __________________________</w:t>
      </w:r>
    </w:p>
    <w:p>
      <w:pPr>
        <w:pStyle w:val="null3"/>
        <w:jc w:val="left"/>
      </w:pPr>
      <w:r>
        <w:rPr/>
        <w:t xml:space="preserve"> </w:t>
      </w:r>
    </w:p>
    <w:p>
      <w:pPr>
        <w:pStyle w:val="null3"/>
        <w:jc w:val="center"/>
        <w:outlineLvl w:val="1"/>
      </w:pPr>
      <w:r>
        <w:rPr>
          <w:sz w:val="36"/>
          <w:b/>
        </w:rPr>
        <w:t>使用说明</w:t>
      </w:r>
    </w:p>
    <w:p>
      <w:pPr>
        <w:pStyle w:val="null3"/>
        <w:jc w:val="left"/>
        <w:outlineLvl w:val="3"/>
      </w:pPr>
      <w:r>
        <w:rPr>
          <w:sz w:val="24"/>
          <w:b/>
        </w:rPr>
        <w:t>1.本合同标准文本适用于购买现成货物的采购项目，不包括需要供应商定制开发、创新研发的货物采购项目。</w:t>
      </w:r>
    </w:p>
    <w:p>
      <w:pPr>
        <w:pStyle w:val="null3"/>
        <w:jc w:val="left"/>
        <w:outlineLvl w:val="3"/>
      </w:pPr>
      <w:r>
        <w:rPr>
          <w:sz w:val="24"/>
          <w:b/>
        </w:rPr>
        <w:t>2.本合同标准文本为政府采购货物买卖合同编制提供参考，可以结合采购项目具体情况，对文本作必要的调整修订后使用。</w:t>
      </w:r>
    </w:p>
    <w:p>
      <w:pPr>
        <w:pStyle w:val="null3"/>
        <w:jc w:val="left"/>
        <w:outlineLvl w:val="3"/>
      </w:pPr>
      <w:r>
        <w:rPr>
          <w:sz w:val="24"/>
          <w:b/>
        </w:rPr>
        <w:t>3.本合同标准文本各条款中，如涉及填写多家供应商、制造商，多种采购标的、分包主要内容等信息的，可根据采购项目具体情况添加信息项。</w:t>
      </w:r>
    </w:p>
    <w:p>
      <w:pPr>
        <w:pStyle w:val="null3"/>
        <w:jc w:val="center"/>
        <w:outlineLvl w:val="1"/>
      </w:pPr>
      <w:r>
        <w:rPr>
          <w:sz w:val="36"/>
          <w:b/>
        </w:rPr>
        <w:t>第一节 政府采购合同协议书</w:t>
      </w:r>
    </w:p>
    <w:p>
      <w:pPr>
        <w:pStyle w:val="null3"/>
        <w:jc w:val="left"/>
      </w:pPr>
      <w:r>
        <w:rPr/>
        <w:t>甲方（全称）：</w:t>
      </w:r>
      <w:r>
        <w:rPr/>
        <w:t>___________________________（采购人、受采购人委托签订合同的单位或采购文件约定的合同甲方）</w:t>
      </w:r>
    </w:p>
    <w:p>
      <w:pPr>
        <w:pStyle w:val="null3"/>
        <w:jc w:val="left"/>
      </w:pPr>
      <w:r>
        <w:rPr/>
        <w:t>乙方1（全称）：</w:t>
      </w:r>
      <w:r>
        <w:rPr/>
        <w:t>___________________________</w:t>
      </w:r>
      <w:r>
        <w:rPr/>
        <w:t>（供应商）</w:t>
      </w:r>
    </w:p>
    <w:p>
      <w:pPr>
        <w:pStyle w:val="null3"/>
        <w:jc w:val="left"/>
      </w:pPr>
      <w:r>
        <w:rPr/>
        <w:t>乙方2（全称）：</w:t>
      </w:r>
      <w:r>
        <w:rPr/>
        <w:t>___________________________</w:t>
      </w:r>
      <w:r>
        <w:rPr/>
        <w:t>（联合体成员供应商或其他合同主体）（如有）</w:t>
      </w:r>
    </w:p>
    <w:p>
      <w:pPr>
        <w:pStyle w:val="null3"/>
        <w:jc w:val="left"/>
      </w:pPr>
      <w:r>
        <w:rPr/>
        <w:t>乙方3（全称）：</w:t>
      </w:r>
      <w:r>
        <w:rPr/>
        <w:t>___________________________</w:t>
      </w:r>
      <w:r>
        <w:rPr/>
        <w:t>（联合体成员供应商或其他合同主体）（如有）</w:t>
      </w:r>
    </w:p>
    <w:p>
      <w:pPr>
        <w:pStyle w:val="null3"/>
        <w:jc w:val="left"/>
      </w:pPr>
      <w:r>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sz w:val="28"/>
          <w:b/>
        </w:rPr>
        <w:t>1.项目信息</w:t>
      </w:r>
    </w:p>
    <w:p>
      <w:pPr>
        <w:pStyle w:val="null3"/>
        <w:jc w:val="left"/>
      </w:pPr>
      <w:r>
        <w:rPr/>
        <w:t>(1)采购项目名称：</w:t>
      </w:r>
      <w:r>
        <w:rPr/>
        <w:t>___________________________</w:t>
      </w:r>
    </w:p>
    <w:p>
      <w:pPr>
        <w:pStyle w:val="null3"/>
        <w:jc w:val="left"/>
      </w:pPr>
      <w:r>
        <w:rPr/>
        <w:t xml:space="preserve"> 采购项目编号：</w:t>
      </w:r>
      <w:r>
        <w:rPr/>
        <w:t>____________________________</w:t>
      </w:r>
    </w:p>
    <w:p>
      <w:pPr>
        <w:pStyle w:val="null3"/>
        <w:jc w:val="left"/>
      </w:pPr>
      <w:r>
        <w:rPr/>
        <w:t>(2)采购计划编号：</w:t>
      </w:r>
      <w:r>
        <w:rPr/>
        <w:t>___________________________</w:t>
      </w:r>
    </w:p>
    <w:p>
      <w:pPr>
        <w:pStyle w:val="null3"/>
        <w:jc w:val="left"/>
      </w:pPr>
      <w:r>
        <w:rPr/>
        <w:t>(3)项目内容：</w:t>
      </w:r>
    </w:p>
    <w:p>
      <w:pPr>
        <w:pStyle w:val="null3"/>
        <w:jc w:val="left"/>
      </w:pPr>
      <w:r>
        <w:rPr/>
        <w:t>采购标的及数量（台/套/个/架/组等）：</w:t>
      </w:r>
      <w:r>
        <w:rPr/>
        <w:t>___________________</w:t>
      </w:r>
    </w:p>
    <w:p>
      <w:pPr>
        <w:pStyle w:val="null3"/>
        <w:jc w:val="left"/>
      </w:pPr>
      <w:r>
        <w:rPr/>
        <w:t xml:space="preserve"> 品牌： </w:t>
      </w:r>
      <w:r>
        <w:rPr/>
        <w:t>___________________</w:t>
      </w:r>
      <w:r>
        <w:rPr/>
        <w:t xml:space="preserve"> 规格型号：</w:t>
      </w:r>
      <w:r>
        <w:rPr/>
        <w:t>___________________</w:t>
      </w:r>
    </w:p>
    <w:p>
      <w:pPr>
        <w:pStyle w:val="null3"/>
        <w:jc w:val="left"/>
      </w:pPr>
      <w:r>
        <w:rPr/>
        <w:t>采购标的的技术要求、商务要求具体见附件。</w:t>
      </w:r>
    </w:p>
    <w:p>
      <w:pPr>
        <w:pStyle w:val="null3"/>
        <w:jc w:val="left"/>
      </w:pPr>
      <w:r>
        <w:rPr/>
        <w:t>①涉及信息类产品，请填写该产品关键部件的品牌、型号：</w:t>
      </w:r>
    </w:p>
    <w:p>
      <w:pPr>
        <w:pStyle w:val="null3"/>
        <w:jc w:val="left"/>
      </w:pPr>
      <w:r>
        <w:rPr/>
        <w:t xml:space="preserve">标的名称：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t>②涉及车辆采购，请填写是否属于新能源汽车：</w:t>
      </w:r>
    </w:p>
    <w:p>
      <w:pPr>
        <w:pStyle w:val="null3"/>
        <w:jc w:val="left"/>
      </w:pPr>
      <w:r>
        <w:rPr/>
        <w:t xml:space="preserve"> 是，《政府采购品目分类目录》底级品目名称：</w:t>
      </w:r>
      <w:r>
        <w:rPr/>
        <w:t>__________</w:t>
      </w:r>
      <w:r>
        <w:rPr/>
        <w:t xml:space="preserve">  数量：</w:t>
      </w:r>
      <w:r>
        <w:rPr/>
        <w:t>__________</w:t>
      </w:r>
      <w:r>
        <w:rPr/>
        <w:t xml:space="preserve">  金额：</w:t>
      </w:r>
      <w:r>
        <w:rPr/>
        <w:t>__________</w:t>
      </w:r>
    </w:p>
    <w:p>
      <w:pPr>
        <w:pStyle w:val="null3"/>
        <w:spacing w:lineRule="auto" w:line="300"/>
        <w:jc w:val="left"/>
      </w:pPr>
      <w:r>
        <w:rPr/>
        <w:t xml:space="preserve"> 否</w:t>
      </w:r>
    </w:p>
    <w:p>
      <w:pPr>
        <w:pStyle w:val="null3"/>
        <w:jc w:val="left"/>
      </w:pPr>
      <w:r>
        <w:rPr/>
        <w:t>(4)政府采购组织形式：</w:t>
      </w:r>
      <w:r>
        <w:rPr/>
        <w:t xml:space="preserve">政府集中采购 </w:t>
      </w:r>
      <w:r>
        <w:rPr/>
        <w:t xml:space="preserve">部门集中采购 </w:t>
      </w:r>
      <w:r>
        <w:rPr/>
        <w:t>分散采购</w:t>
      </w:r>
    </w:p>
    <w:p>
      <w:pPr>
        <w:pStyle w:val="null3"/>
        <w:jc w:val="left"/>
      </w:pPr>
      <w:r>
        <w:rPr/>
        <w:t>(5)政府采购方式：</w:t>
      </w:r>
      <w:r>
        <w:rPr/>
        <w:t xml:space="preserve">公开招标 </w:t>
      </w:r>
      <w:r>
        <w:rPr/>
        <w:t xml:space="preserve">邀请招标 </w:t>
      </w:r>
      <w:r>
        <w:rPr/>
        <w:t xml:space="preserve">竞争性谈判 </w:t>
      </w:r>
      <w:r>
        <w:rPr/>
        <w:t>竞争性磋商</w:t>
      </w:r>
      <w:r>
        <w:rPr/>
        <w:t xml:space="preserve">询价 </w:t>
      </w:r>
      <w:r>
        <w:rPr/>
        <w:t xml:space="preserve">单一来源 </w:t>
      </w:r>
      <w:r>
        <w:rPr/>
        <w:t xml:space="preserve">框架协议 </w:t>
      </w:r>
      <w:r>
        <w:rPr/>
        <w:t>其他：</w:t>
      </w:r>
      <w:r>
        <w:rPr/>
        <w:t>____________________</w:t>
      </w:r>
    </w:p>
    <w:p>
      <w:pPr>
        <w:pStyle w:val="null3"/>
        <w:jc w:val="left"/>
      </w:pPr>
      <w:r>
        <w:rPr/>
        <w:t>(6)中标（成交）采购标的制造商是否为中小企业：</w:t>
      </w:r>
      <w:r>
        <w:rPr/>
        <w:t>是</w:t>
      </w:r>
      <w:r>
        <w:rPr/>
        <w:t>否</w:t>
      </w:r>
    </w:p>
    <w:p>
      <w:pPr>
        <w:pStyle w:val="null3"/>
        <w:jc w:val="left"/>
      </w:pPr>
      <w:r>
        <w:rPr/>
        <w:t>本合同是否为专门面向中小企业的采购合同（中小企业预留合同）：</w:t>
      </w:r>
      <w:r>
        <w:rPr/>
        <w:t>是</w:t>
      </w:r>
      <w:r>
        <w:rPr/>
        <w:t>否</w:t>
      </w:r>
    </w:p>
    <w:p>
      <w:pPr>
        <w:pStyle w:val="null3"/>
        <w:jc w:val="left"/>
      </w:pPr>
      <w:r>
        <w:rPr/>
        <w:t>若本项目不专门面向中小企业采购，是否给予小微企业评审优惠：</w:t>
      </w:r>
      <w:r>
        <w:rPr/>
        <w:t>是</w:t>
      </w:r>
      <w:r>
        <w:rPr/>
        <w:t>否</w:t>
      </w:r>
    </w:p>
    <w:p>
      <w:pPr>
        <w:pStyle w:val="null3"/>
        <w:jc w:val="left"/>
      </w:pPr>
      <w:r>
        <w:rPr/>
        <w:t>中标（成交）采购标的制造商是否为残疾人福利性单位：</w:t>
      </w:r>
      <w:r>
        <w:rPr/>
        <w:t>是</w:t>
      </w:r>
      <w:r>
        <w:rPr/>
        <w:t>否</w:t>
      </w:r>
    </w:p>
    <w:p>
      <w:pPr>
        <w:pStyle w:val="null3"/>
        <w:jc w:val="left"/>
      </w:pPr>
      <w:r>
        <w:rPr/>
        <w:t>中标（成交）采购标的制造商是否为监狱企业：</w:t>
      </w:r>
      <w:r>
        <w:rPr/>
        <w:t>是</w:t>
      </w:r>
      <w:r>
        <w:rPr/>
        <w:t>否</w:t>
      </w:r>
    </w:p>
    <w:p>
      <w:pPr>
        <w:pStyle w:val="null3"/>
        <w:jc w:val="left"/>
      </w:pPr>
      <w:r>
        <w:rPr/>
        <w:t>(7)合同是否分包：</w:t>
      </w:r>
      <w:r>
        <w:rPr/>
        <w:t>是</w:t>
      </w:r>
      <w:r>
        <w:rPr/>
        <w:t>否</w:t>
      </w:r>
    </w:p>
    <w:p>
      <w:pPr>
        <w:pStyle w:val="null3"/>
        <w:jc w:val="left"/>
      </w:pPr>
      <w:r>
        <w:rPr/>
        <w:t>分包主要内容：</w:t>
      </w:r>
      <w:r>
        <w:rPr/>
        <w:t>________________________________________</w:t>
      </w:r>
    </w:p>
    <w:p>
      <w:pPr>
        <w:pStyle w:val="null3"/>
        <w:jc w:val="left"/>
      </w:pPr>
      <w:r>
        <w:rPr/>
        <w:t>分包供应商/制造商名称（如供应商和制造商不同，请分别填写）：</w:t>
      </w:r>
    </w:p>
    <w:p>
      <w:pPr>
        <w:pStyle w:val="null3"/>
        <w:jc w:val="left"/>
      </w:pPr>
      <w:r>
        <w:rPr/>
        <w:t>________________________________________</w:t>
      </w:r>
    </w:p>
    <w:p>
      <w:pPr>
        <w:pStyle w:val="null3"/>
        <w:jc w:val="left"/>
      </w:pPr>
      <w:r>
        <w:rPr/>
        <w:t>分包供应商/制造商类型（如果供应商和制造商不同，只填写制造商类型）：</w:t>
      </w:r>
    </w:p>
    <w:p>
      <w:pPr>
        <w:pStyle w:val="null3"/>
        <w:jc w:val="left"/>
      </w:pPr>
      <w:r>
        <w:rPr/>
        <w:t>大型企业</w:t>
      </w:r>
      <w:r>
        <w:rPr/>
        <w:t>中型企业</w:t>
      </w:r>
      <w:r>
        <w:rPr/>
        <w:t>小微型企业</w:t>
      </w:r>
    </w:p>
    <w:p>
      <w:pPr>
        <w:pStyle w:val="null3"/>
        <w:jc w:val="left"/>
      </w:pPr>
      <w:r>
        <w:rPr/>
        <w:t>残疾人福利性单位</w:t>
      </w:r>
      <w:r>
        <w:rPr/>
        <w:t>监狱企业</w:t>
      </w:r>
      <w:r>
        <w:rPr/>
        <w:t>其他</w:t>
      </w:r>
    </w:p>
    <w:p>
      <w:pPr>
        <w:pStyle w:val="null3"/>
        <w:jc w:val="left"/>
      </w:pPr>
      <w:r>
        <w:rPr/>
        <w:t>(8)中标（成交）供应商是否为外商投资企业：</w:t>
      </w:r>
      <w:r>
        <w:rPr/>
        <w:t>是</w:t>
      </w:r>
      <w:r>
        <w:rPr/>
        <w:t>否</w:t>
      </w:r>
    </w:p>
    <w:p>
      <w:pPr>
        <w:pStyle w:val="null3"/>
        <w:spacing w:lineRule="auto" w:line="300"/>
        <w:ind w:firstLine="840"/>
        <w:jc w:val="left"/>
      </w:pPr>
      <w:r>
        <w:rPr/>
        <w:t>外商投资企业类型：</w:t>
      </w:r>
      <w:r>
        <w:rPr/>
        <w:t>全部由外国投资者投资</w:t>
      </w:r>
      <w:r>
        <w:rPr/>
        <w:t>部分由外国投资者投资</w:t>
      </w:r>
    </w:p>
    <w:p>
      <w:pPr>
        <w:pStyle w:val="null3"/>
        <w:jc w:val="left"/>
      </w:pPr>
      <w:r>
        <w:rPr/>
        <w:t>（9）是否涉及进口产品：</w:t>
      </w:r>
    </w:p>
    <w:p>
      <w:pPr>
        <w:pStyle w:val="null3"/>
        <w:jc w:val="left"/>
      </w:pPr>
      <w:r>
        <w:rPr/>
        <w:t xml:space="preserve"> 是，《政府采购品目分类目录》底级品目名称：</w:t>
      </w:r>
      <w:r>
        <w:rPr/>
        <w:t>__________</w:t>
      </w:r>
      <w:r>
        <w:rPr/>
        <w:t xml:space="preserve">  金额：</w:t>
      </w:r>
      <w:r>
        <w:rPr/>
        <w:t>__________</w:t>
      </w:r>
    </w:p>
    <w:p>
      <w:pPr>
        <w:pStyle w:val="null3"/>
        <w:spacing w:lineRule="auto" w:line="300"/>
        <w:ind w:firstLine="1260"/>
        <w:jc w:val="left"/>
      </w:pPr>
      <w:r>
        <w:rPr/>
        <w:t>国别：</w:t>
      </w:r>
      <w:r>
        <w:rPr/>
        <w:t>__________</w:t>
      </w:r>
      <w:r>
        <w:rPr/>
        <w:t xml:space="preserve">  品牌：</w:t>
      </w:r>
      <w:r>
        <w:rPr/>
        <w:t>__________</w:t>
      </w:r>
      <w:r>
        <w:rPr/>
        <w:t xml:space="preserve">  规格型号</w:t>
      </w:r>
      <w:r>
        <w:rPr/>
        <w:t>__________</w:t>
      </w:r>
    </w:p>
    <w:p>
      <w:pPr>
        <w:pStyle w:val="null3"/>
        <w:spacing w:lineRule="auto" w:line="300"/>
        <w:ind w:firstLine="840"/>
        <w:jc w:val="left"/>
      </w:pPr>
      <w:r>
        <w:rPr/>
        <w:t xml:space="preserve"> 否</w:t>
      </w:r>
    </w:p>
    <w:p>
      <w:pPr>
        <w:pStyle w:val="null3"/>
        <w:jc w:val="left"/>
      </w:pPr>
      <w:r>
        <w:rPr/>
        <w:t>（10）是否涉及节能产品：</w:t>
      </w:r>
    </w:p>
    <w:p>
      <w:pPr>
        <w:pStyle w:val="null3"/>
        <w:jc w:val="left"/>
      </w:pPr>
      <w:r>
        <w:rPr/>
        <w:t xml:space="preserve"> 是，《节能产品政府采购品目清单》的底级品目名称：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是否涉及环境标志产品：</w:t>
      </w:r>
    </w:p>
    <w:p>
      <w:pPr>
        <w:pStyle w:val="null3"/>
        <w:jc w:val="left"/>
      </w:pPr>
      <w:r>
        <w:rPr/>
        <w:t xml:space="preserve"> 是，《环境标志产品政府采购品目清单》的底级品目名称：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是否涉及绿色产品：</w:t>
      </w:r>
    </w:p>
    <w:p>
      <w:pPr>
        <w:pStyle w:val="null3"/>
        <w:jc w:val="left"/>
      </w:pPr>
      <w:r>
        <w:rPr/>
        <w:t xml:space="preserve"> 是，绿色产品政府采购相关政策确定的底级品目名称：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jc w:val="left"/>
      </w:pPr>
      <w:r>
        <w:rPr/>
        <w:t xml:space="preserve"> (11)涉及商品包装和快递包装的，是否参考《商品包装政府采购需求标准（试行）》、《快递包装政府采购需求标准（试行）》明确产品及相关快递服务的具体包装要求：</w:t>
      </w:r>
    </w:p>
    <w:p>
      <w:pPr>
        <w:pStyle w:val="null3"/>
        <w:jc w:val="left"/>
      </w:pPr>
      <w:r>
        <w:rPr/>
        <w:t>是</w:t>
      </w:r>
      <w:r>
        <w:rPr/>
        <w:t xml:space="preserve">         </w:t>
      </w:r>
      <w:r>
        <w:rPr/>
        <w:t>否</w:t>
      </w:r>
      <w:r>
        <w:rPr/>
        <w:t xml:space="preserve">        </w:t>
      </w:r>
      <w:r>
        <w:rPr/>
        <w:t>不涉及</w:t>
      </w:r>
    </w:p>
    <w:p>
      <w:pPr>
        <w:pStyle w:val="null3"/>
        <w:jc w:val="left"/>
        <w:outlineLvl w:val="2"/>
      </w:pPr>
      <w:r>
        <w:rPr>
          <w:sz w:val="28"/>
          <w:b/>
        </w:rPr>
        <w:t>2.合同金额</w:t>
      </w:r>
    </w:p>
    <w:p>
      <w:pPr>
        <w:pStyle w:val="null3"/>
        <w:jc w:val="left"/>
      </w:pPr>
      <w:r>
        <w:rPr/>
        <w:t>（1）合同金额小写：</w:t>
      </w:r>
      <w:r>
        <w:rPr/>
        <w:t>____________________</w:t>
      </w:r>
    </w:p>
    <w:p>
      <w:pPr>
        <w:pStyle w:val="null3"/>
        <w:ind w:firstLine="1980"/>
        <w:jc w:val="left"/>
      </w:pPr>
      <w:r>
        <w:rPr/>
        <w:t>大写：</w:t>
      </w:r>
      <w:r>
        <w:rPr/>
        <w:t>____________________</w:t>
      </w:r>
    </w:p>
    <w:p>
      <w:pPr>
        <w:pStyle w:val="null3"/>
        <w:jc w:val="left"/>
      </w:pPr>
      <w:r>
        <w:rPr/>
        <w:t xml:space="preserve">  分包金额（如有）小写：</w:t>
      </w:r>
      <w:r>
        <w:rPr/>
        <w:t>____________________</w:t>
      </w:r>
    </w:p>
    <w:p>
      <w:pPr>
        <w:pStyle w:val="null3"/>
        <w:ind w:firstLine="2820"/>
        <w:jc w:val="left"/>
      </w:pPr>
      <w:r>
        <w:rPr/>
        <w:t>大写：</w:t>
      </w:r>
      <w:r>
        <w:rPr/>
        <w:t>____________________</w:t>
      </w:r>
    </w:p>
    <w:p>
      <w:pPr>
        <w:pStyle w:val="null3"/>
        <w:jc w:val="left"/>
      </w:pPr>
      <w:r>
        <w:rPr/>
        <w:t xml:space="preserve"> （注：固定单价合同应填写单价和最高限价）</w:t>
      </w:r>
    </w:p>
    <w:p>
      <w:pPr>
        <w:pStyle w:val="null3"/>
        <w:jc w:val="left"/>
      </w:pPr>
      <w:r>
        <w:rPr/>
        <w:t>（2）合同定价方式（采用组合定价方式的，可以勾选多项）：</w:t>
      </w:r>
    </w:p>
    <w:p>
      <w:pPr>
        <w:pStyle w:val="null3"/>
        <w:jc w:val="left"/>
      </w:pPr>
      <w:r>
        <w:rPr/>
        <w:t>固定总价</w:t>
      </w:r>
      <w:r>
        <w:rPr/>
        <w:t>固定单价</w:t>
      </w:r>
      <w:r>
        <w:rPr/>
        <w:t>成本补偿</w:t>
      </w:r>
      <w:r>
        <w:rPr/>
        <w:t>绩效激励</w:t>
      </w:r>
      <w:r>
        <w:rPr/>
        <w:t>其他</w:t>
      </w:r>
      <w:r>
        <w:rPr/>
        <w:t>__________</w:t>
      </w:r>
    </w:p>
    <w:p>
      <w:pPr>
        <w:pStyle w:val="null3"/>
        <w:jc w:val="left"/>
      </w:pPr>
      <w:r>
        <w:rPr/>
        <w:t>（3）付款方式（按项目实际勾选填写）：</w:t>
      </w:r>
    </w:p>
    <w:p>
      <w:pPr>
        <w:pStyle w:val="null3"/>
        <w:jc w:val="left"/>
      </w:pPr>
      <w:r>
        <w:rPr/>
        <w:t>全额付款：</w:t>
      </w:r>
      <w:r>
        <w:rPr/>
        <w:t>_______（应明确一次性支付合同款项的条件）_____________</w:t>
      </w:r>
    </w:p>
    <w:p>
      <w:pPr>
        <w:pStyle w:val="null3"/>
        <w:jc w:val="left"/>
      </w:pPr>
      <w:r>
        <w:rPr/>
        <w:t>分期付款：</w:t>
      </w:r>
      <w:r>
        <w:rPr/>
        <w:t>_______（应明确分期支付合同款项的各期比例和支付条件，各期支付条件应与分期履约验收情况挂钩）_____________</w:t>
      </w:r>
      <w:r>
        <w:rPr/>
        <w:t>，其中涉及预付款的：</w:t>
      </w:r>
      <w:r>
        <w:rPr/>
        <w:t>_______ （应明确预付款的支付比例和支付条件）</w:t>
      </w:r>
    </w:p>
    <w:p>
      <w:pPr>
        <w:pStyle w:val="null3"/>
        <w:jc w:val="left"/>
      </w:pPr>
      <w:r>
        <w:rPr/>
        <w:t>成本补偿：</w:t>
      </w:r>
      <w:r>
        <w:rPr/>
        <w:t>_______（应明确按照成本补偿方式的支付方式和支付条件）___________</w:t>
      </w:r>
    </w:p>
    <w:p>
      <w:pPr>
        <w:pStyle w:val="null3"/>
        <w:jc w:val="left"/>
      </w:pPr>
      <w:r>
        <w:rPr/>
        <w:t>绩效激励：</w:t>
      </w:r>
      <w:r>
        <w:rPr/>
        <w:t>_______（应明确按照绩效激励方式的支付方式和支付条件）_________</w:t>
      </w:r>
    </w:p>
    <w:p>
      <w:pPr>
        <w:pStyle w:val="null3"/>
        <w:jc w:val="left"/>
        <w:outlineLvl w:val="2"/>
      </w:pPr>
      <w:r>
        <w:rPr>
          <w:sz w:val="28"/>
          <w:b/>
        </w:rPr>
        <w:t>3.合同履行</w:t>
      </w:r>
    </w:p>
    <w:p>
      <w:pPr>
        <w:pStyle w:val="null3"/>
        <w:jc w:val="left"/>
      </w:pPr>
      <w:r>
        <w:rPr/>
        <w:t>（1）起始日期：</w:t>
      </w:r>
      <w:r>
        <w:rPr/>
        <w:t>____________________年____________________月 ____________________日</w:t>
      </w:r>
      <w:r>
        <w:rPr/>
        <w:t xml:space="preserve"> ，完成日期：</w:t>
      </w:r>
      <w:r>
        <w:rPr/>
        <w:t>____________________年____________________月____________________日</w:t>
      </w:r>
      <w:r>
        <w:rPr/>
        <w:t>。</w:t>
      </w:r>
    </w:p>
    <w:p>
      <w:pPr>
        <w:pStyle w:val="null3"/>
        <w:jc w:val="left"/>
      </w:pPr>
      <w:r>
        <w:rPr/>
        <w:t>（2）履约地点：</w:t>
      </w:r>
      <w:r>
        <w:rPr/>
        <w:t>____________________</w:t>
      </w:r>
    </w:p>
    <w:p>
      <w:pPr>
        <w:pStyle w:val="null3"/>
        <w:jc w:val="left"/>
      </w:pPr>
      <w:r>
        <w:rPr/>
        <w:t>（3）履约担保：</w:t>
      </w:r>
    </w:p>
    <w:p>
      <w:pPr>
        <w:pStyle w:val="null3"/>
        <w:jc w:val="left"/>
      </w:pPr>
      <w:r>
        <w:rPr/>
        <w:t>是否收取履约保证金：</w:t>
      </w:r>
      <w:r>
        <w:rPr/>
        <w:t>是</w:t>
      </w:r>
      <w:r>
        <w:rPr/>
        <w:t xml:space="preserve"> 否</w:t>
      </w:r>
    </w:p>
    <w:p>
      <w:pPr>
        <w:pStyle w:val="null3"/>
        <w:jc w:val="left"/>
      </w:pPr>
      <w:r>
        <w:rPr/>
        <w:t>收取履约保证金形式：</w:t>
      </w:r>
      <w:r>
        <w:rPr/>
        <w:t>____________________</w:t>
      </w:r>
    </w:p>
    <w:p>
      <w:pPr>
        <w:pStyle w:val="null3"/>
        <w:jc w:val="left"/>
      </w:pPr>
      <w:r>
        <w:rPr/>
        <w:t>收取履约保证金金额：</w:t>
      </w:r>
      <w:r>
        <w:rPr/>
        <w:t>____________________</w:t>
      </w:r>
    </w:p>
    <w:p>
      <w:pPr>
        <w:pStyle w:val="null3"/>
        <w:jc w:val="left"/>
      </w:pPr>
      <w:r>
        <w:rPr/>
        <w:t>履约担保期限：</w:t>
      </w:r>
      <w:r>
        <w:rPr/>
        <w:t>____________________</w:t>
      </w:r>
    </w:p>
    <w:p>
      <w:pPr>
        <w:pStyle w:val="null3"/>
        <w:ind w:firstLine="510"/>
        <w:jc w:val="left"/>
      </w:pPr>
      <w:r>
        <w:rPr/>
        <w:t>履约担保期限：</w:t>
      </w:r>
      <w:r>
        <w:rPr/>
        <w:t>____________________</w:t>
      </w:r>
    </w:p>
    <w:p>
      <w:pPr>
        <w:pStyle w:val="null3"/>
        <w:jc w:val="left"/>
      </w:pPr>
      <w:r>
        <w:rPr/>
        <w:t>（4）分期履行要求：</w:t>
      </w:r>
      <w:r>
        <w:rPr/>
        <w:t>____________________</w:t>
      </w:r>
    </w:p>
    <w:p>
      <w:pPr>
        <w:pStyle w:val="null3"/>
        <w:jc w:val="left"/>
      </w:pPr>
      <w:r>
        <w:rPr/>
        <w:t>（5）风险处置措施和替代方案：</w:t>
      </w:r>
      <w:r>
        <w:rPr/>
        <w:t>____________________</w:t>
      </w:r>
    </w:p>
    <w:p>
      <w:pPr>
        <w:pStyle w:val="null3"/>
        <w:jc w:val="left"/>
        <w:outlineLvl w:val="2"/>
      </w:pPr>
      <w:r>
        <w:rPr>
          <w:sz w:val="28"/>
          <w:b/>
        </w:rPr>
        <w:t>4.合同验收</w:t>
      </w:r>
    </w:p>
    <w:p>
      <w:pPr>
        <w:pStyle w:val="null3"/>
        <w:jc w:val="left"/>
      </w:pPr>
      <w:r>
        <w:rPr/>
        <w:t>（1）验收组织方式：</w:t>
      </w:r>
      <w:r>
        <w:rPr/>
        <w:t>自行验收</w:t>
      </w:r>
      <w:r>
        <w:rPr/>
        <w:t>委托第三方验收</w:t>
      </w:r>
    </w:p>
    <w:p>
      <w:pPr>
        <w:pStyle w:val="null3"/>
        <w:jc w:val="left"/>
      </w:pPr>
      <w:r>
        <w:rPr/>
        <w:t>验收主体：</w:t>
      </w:r>
      <w:r>
        <w:rPr/>
        <w:t>____________________</w:t>
      </w:r>
    </w:p>
    <w:p>
      <w:pPr>
        <w:pStyle w:val="null3"/>
        <w:jc w:val="left"/>
      </w:pPr>
      <w:r>
        <w:rPr/>
        <w:t>是否邀请本项目的其他供应商参加验收：</w:t>
      </w:r>
      <w:r>
        <w:rPr/>
        <w:t>是</w:t>
      </w:r>
      <w:r>
        <w:rPr/>
        <w:t>否</w:t>
      </w:r>
    </w:p>
    <w:p>
      <w:pPr>
        <w:pStyle w:val="null3"/>
        <w:jc w:val="left"/>
      </w:pPr>
      <w:r>
        <w:rPr/>
        <w:t>是否邀请专家参加验收：</w:t>
      </w:r>
      <w:r>
        <w:rPr/>
        <w:t>是</w:t>
      </w:r>
      <w:r>
        <w:rPr/>
        <w:t>否</w:t>
      </w:r>
    </w:p>
    <w:p>
      <w:pPr>
        <w:pStyle w:val="null3"/>
        <w:jc w:val="left"/>
      </w:pPr>
      <w:r>
        <w:rPr/>
        <w:t>是否邀请服务对象参加验收：</w:t>
      </w:r>
      <w:r>
        <w:rPr/>
        <w:t>是</w:t>
      </w:r>
      <w:r>
        <w:rPr/>
        <w:t>否</w:t>
      </w:r>
    </w:p>
    <w:p>
      <w:pPr>
        <w:pStyle w:val="null3"/>
        <w:jc w:val="left"/>
      </w:pPr>
      <w:r>
        <w:rPr/>
        <w:t>是否邀请第三方检测机构参加验收：</w:t>
      </w:r>
      <w:r>
        <w:rPr/>
        <w:t>是</w:t>
      </w:r>
      <w:r>
        <w:rPr/>
        <w:t>否</w:t>
      </w:r>
    </w:p>
    <w:p>
      <w:pPr>
        <w:pStyle w:val="null3"/>
        <w:jc w:val="left"/>
      </w:pPr>
      <w:r>
        <w:rPr/>
        <w:t>是否进行抽查检测：</w:t>
      </w:r>
      <w:r>
        <w:rPr/>
        <w:t xml:space="preserve"> 是，抽查比例：</w:t>
      </w:r>
      <w:r>
        <w:rPr/>
        <w:t>__________</w:t>
      </w:r>
      <w:r>
        <w:rPr/>
        <w:t>%</w:t>
      </w:r>
      <w:r>
        <w:rPr/>
        <w:t>否</w:t>
      </w:r>
    </w:p>
    <w:p>
      <w:pPr>
        <w:pStyle w:val="null3"/>
        <w:jc w:val="left"/>
      </w:pPr>
      <w:r>
        <w:rPr/>
        <w:t>是否存在破坏性检测：</w:t>
      </w:r>
      <w:r>
        <w:rPr/>
        <w:t xml:space="preserve"> 是，</w:t>
      </w:r>
      <w:r>
        <w:rPr/>
        <w:t>__________</w:t>
      </w:r>
      <w:r>
        <w:rPr/>
        <w:t>否</w:t>
      </w:r>
    </w:p>
    <w:p>
      <w:pPr>
        <w:pStyle w:val="null3"/>
        <w:jc w:val="left"/>
      </w:pPr>
      <w:r>
        <w:rPr/>
        <w:t>验收组织的其他事项：</w:t>
      </w:r>
      <w:r>
        <w:rPr/>
        <w:t>____________________</w:t>
      </w:r>
    </w:p>
    <w:p>
      <w:pPr>
        <w:pStyle w:val="null3"/>
        <w:jc w:val="left"/>
      </w:pPr>
      <w:r>
        <w:rPr/>
        <w:t>（2）履约验收时间：</w:t>
      </w:r>
      <w:r>
        <w:rPr/>
        <w:t>计划于何时验收/供应商提出验收申请之日起</w:t>
      </w:r>
      <w:r>
        <w:rPr/>
        <w:t>_______</w:t>
      </w:r>
      <w:r>
        <w:rPr/>
        <w:t>日内组织验收</w:t>
      </w:r>
    </w:p>
    <w:p>
      <w:pPr>
        <w:pStyle w:val="null3"/>
        <w:jc w:val="left"/>
      </w:pPr>
      <w:r>
        <w:rPr/>
        <w:t>（3）履约验收方式：</w:t>
      </w:r>
      <w:r>
        <w:rPr/>
        <w:t>一次性验收</w:t>
      </w:r>
      <w:r>
        <w:rPr/>
        <w:t>分期/分项验收：</w:t>
      </w:r>
      <w:r>
        <w:rPr/>
        <w:t>__________</w:t>
      </w:r>
    </w:p>
    <w:p>
      <w:pPr>
        <w:pStyle w:val="null3"/>
        <w:jc w:val="left"/>
      </w:pPr>
      <w:r>
        <w:rPr/>
        <w:t>（4）履约验收程序：</w:t>
      </w:r>
      <w:r>
        <w:rPr/>
        <w:t>____________________</w:t>
      </w:r>
    </w:p>
    <w:p>
      <w:pPr>
        <w:pStyle w:val="null3"/>
        <w:jc w:val="left"/>
      </w:pPr>
      <w:r>
        <w:rPr/>
        <w:t>（5）履约验收的内容：</w:t>
      </w:r>
      <w:r>
        <w:rPr/>
        <w:t>_________（应当包括每一项技术和商务要求的履约情况，特别是落实政府采购扶持中小企业，支持绿色发展和乡村振兴等政策情况）___________</w:t>
      </w:r>
    </w:p>
    <w:p>
      <w:pPr>
        <w:pStyle w:val="null3"/>
        <w:jc w:val="left"/>
      </w:pPr>
      <w:r>
        <w:rPr/>
        <w:t>（6）履约验收标准：</w:t>
      </w:r>
      <w:r>
        <w:rPr/>
        <w:t>_____________________________</w:t>
      </w:r>
    </w:p>
    <w:p>
      <w:pPr>
        <w:pStyle w:val="null3"/>
        <w:jc w:val="left"/>
      </w:pPr>
      <w:r>
        <w:rPr/>
        <w:t>（7）是否以采购活动中供应商提供的样品作为参考：</w:t>
      </w:r>
      <w:r>
        <w:rPr/>
        <w:t>是</w:t>
      </w:r>
      <w:r>
        <w:rPr/>
        <w:t>否</w:t>
      </w:r>
    </w:p>
    <w:p>
      <w:pPr>
        <w:pStyle w:val="null3"/>
        <w:jc w:val="left"/>
      </w:pPr>
      <w:r>
        <w:rPr/>
        <w:t>（8）履约验收其他事项：</w:t>
      </w:r>
      <w:r>
        <w:rPr/>
        <w:t>_______________</w:t>
      </w:r>
    </w:p>
    <w:p>
      <w:pPr>
        <w:pStyle w:val="null3"/>
        <w:jc w:val="left"/>
        <w:outlineLvl w:val="2"/>
      </w:pPr>
      <w:r>
        <w:rPr>
          <w:sz w:val="28"/>
          <w:b/>
        </w:rPr>
        <w:t>5.组成合同的文件</w:t>
      </w:r>
    </w:p>
    <w:p>
      <w:pPr>
        <w:pStyle w:val="null3"/>
        <w:jc w:val="left"/>
      </w:pPr>
      <w:r>
        <w:rPr/>
        <w:t>本协议书与下列文件一起构成合同文件，如下述文件之间有任何抵触、矛盾或歧义，应按以下顺序解释：</w:t>
      </w:r>
    </w:p>
    <w:p>
      <w:pPr>
        <w:pStyle w:val="null3"/>
        <w:jc w:val="left"/>
      </w:pPr>
      <w:r>
        <w:rPr/>
        <w:t>（1）政府采购合同协议书及其变更、补充协议</w:t>
      </w:r>
    </w:p>
    <w:p>
      <w:pPr>
        <w:pStyle w:val="null3"/>
        <w:jc w:val="left"/>
      </w:pPr>
      <w:r>
        <w:rPr/>
        <w:t>（2）政府采购合同专用条款</w:t>
      </w:r>
    </w:p>
    <w:p>
      <w:pPr>
        <w:pStyle w:val="null3"/>
        <w:jc w:val="left"/>
      </w:pPr>
      <w:r>
        <w:rPr/>
        <w:t>（3）政府采购合同通用条款</w:t>
      </w:r>
    </w:p>
    <w:p>
      <w:pPr>
        <w:pStyle w:val="null3"/>
        <w:jc w:val="left"/>
      </w:pPr>
      <w:r>
        <w:rPr/>
        <w:t>（4）中标（成交）通知书</w:t>
      </w:r>
    </w:p>
    <w:p>
      <w:pPr>
        <w:pStyle w:val="null3"/>
        <w:jc w:val="left"/>
      </w:pPr>
      <w:r>
        <w:rPr/>
        <w:t>（5）投标（响应）文件</w:t>
      </w:r>
    </w:p>
    <w:p>
      <w:pPr>
        <w:pStyle w:val="null3"/>
        <w:jc w:val="left"/>
      </w:pPr>
      <w:r>
        <w:rPr/>
        <w:t>（6）采购文件</w:t>
      </w:r>
    </w:p>
    <w:p>
      <w:pPr>
        <w:pStyle w:val="null3"/>
        <w:jc w:val="left"/>
      </w:pPr>
      <w:r>
        <w:rPr/>
        <w:t>（7）有关技术文件，图纸</w:t>
      </w:r>
    </w:p>
    <w:p>
      <w:pPr>
        <w:pStyle w:val="null3"/>
        <w:jc w:val="left"/>
      </w:pPr>
      <w:r>
        <w:rPr/>
        <w:t>（8）国家法律、行政法规和规章制度规定或合同约定的作为合同组成部分的其他文件</w:t>
      </w:r>
    </w:p>
    <w:p>
      <w:pPr>
        <w:pStyle w:val="null3"/>
        <w:jc w:val="left"/>
        <w:outlineLvl w:val="2"/>
      </w:pPr>
      <w:r>
        <w:rPr>
          <w:sz w:val="28"/>
          <w:b/>
        </w:rPr>
        <w:t>6.合同生效</w:t>
      </w:r>
    </w:p>
    <w:p>
      <w:pPr>
        <w:pStyle w:val="null3"/>
        <w:jc w:val="left"/>
      </w:pPr>
      <w:r>
        <w:rPr/>
        <w:t>本合同自</w:t>
      </w:r>
      <w:r>
        <w:rPr/>
        <w:t>____________________</w:t>
      </w:r>
      <w:r>
        <w:rPr/>
        <w:t>生效。</w:t>
      </w:r>
    </w:p>
    <w:p>
      <w:pPr>
        <w:pStyle w:val="null3"/>
        <w:jc w:val="left"/>
        <w:outlineLvl w:val="2"/>
      </w:pPr>
      <w:r>
        <w:rPr>
          <w:sz w:val="28"/>
          <w:b/>
        </w:rPr>
        <w:t>7.合同份数</w:t>
      </w:r>
    </w:p>
    <w:p>
      <w:pPr>
        <w:pStyle w:val="null3"/>
        <w:jc w:val="left"/>
      </w:pPr>
      <w:r>
        <w:rPr/>
        <w:t xml:space="preserve">本合同一式 </w:t>
      </w:r>
      <w:r>
        <w:rPr/>
        <w:t>_______</w:t>
      </w:r>
      <w:r>
        <w:rPr/>
        <w:t xml:space="preserve"> 份，甲方执 </w:t>
      </w:r>
      <w:r>
        <w:rPr/>
        <w:t>_______</w:t>
      </w:r>
      <w:r>
        <w:rPr/>
        <w:t xml:space="preserve"> 份，乙方执 </w:t>
      </w:r>
      <w:r>
        <w:rPr/>
        <w:t>_______</w:t>
      </w:r>
      <w:r>
        <w:rPr/>
        <w:t xml:space="preserve"> 份，均具有同等法律效力。</w:t>
      </w:r>
    </w:p>
    <w:p>
      <w:pPr>
        <w:pStyle w:val="null3"/>
        <w:jc w:val="left"/>
      </w:pPr>
      <w:r>
        <w:rPr/>
        <w:t>合同订立时间：详见本合同封面的签订时间。</w:t>
      </w:r>
    </w:p>
    <w:p>
      <w:pPr>
        <w:pStyle w:val="null3"/>
        <w:jc w:val="left"/>
      </w:pPr>
      <w:r>
        <w:rPr/>
        <w:t>合同订立地点：</w:t>
      </w:r>
      <w:r>
        <w:rPr/>
        <w:t xml:space="preserve"> ____________________________</w:t>
      </w:r>
    </w:p>
    <w:p>
      <w:pPr>
        <w:pStyle w:val="null3"/>
        <w:jc w:val="left"/>
      </w:pPr>
      <w:r>
        <w:rPr/>
        <w:t>附件：具体标的及其技术要求和商务要求、联合协议、分包意向协议等。</w:t>
      </w:r>
      <w:r>
        <w:br/>
      </w:r>
      <w:r>
        <w:br/>
      </w:r>
      <w:r>
        <w:br/>
      </w:r>
    </w:p>
    <w:p>
      <w:pPr>
        <w:pStyle w:val="null3"/>
        <w:jc w:val="left"/>
      </w:pPr>
      <w:r>
        <w:rPr/>
        <w:t>甲方（采购人、受采购人委托签订合同的单位或采购文件约定的合同甲方）</w:t>
      </w:r>
    </w:p>
    <w:p>
      <w:pPr>
        <w:pStyle w:val="null3"/>
        <w:jc w:val="left"/>
      </w:pPr>
      <w:r>
        <w:rPr/>
        <w:t xml:space="preserve"> 单位名称（公章或合同章）： </w:t>
      </w:r>
      <w:r>
        <w:rPr/>
        <w:t>{{未填写}}</w:t>
      </w:r>
      <w:r>
        <w:rPr/>
        <w:t>（盖章）</w:t>
      </w:r>
    </w:p>
    <w:p>
      <w:pPr>
        <w:pStyle w:val="null3"/>
        <w:jc w:val="left"/>
      </w:pPr>
      <w:r>
        <w:rPr/>
        <w:t xml:space="preserve"> 法定代表人或其委托代理人（签章）：</w:t>
      </w:r>
      <w:r>
        <w:rPr/>
        <w:t>{{未填写}}</w:t>
      </w:r>
    </w:p>
    <w:p>
      <w:pPr>
        <w:pStyle w:val="null3"/>
        <w:jc w:val="left"/>
      </w:pPr>
      <w:r>
        <w:rPr/>
        <w:t xml:space="preserve"> 住 所：</w:t>
      </w:r>
      <w:r>
        <w:rPr/>
        <w:t>{{未填写}}</w:t>
      </w:r>
    </w:p>
    <w:p>
      <w:pPr>
        <w:pStyle w:val="null3"/>
        <w:jc w:val="left"/>
      </w:pPr>
      <w:r>
        <w:rPr/>
        <w:t xml:space="preserve"> 联 系 人：</w:t>
      </w:r>
      <w:r>
        <w:rPr/>
        <w:t>{{未填写}}</w:t>
      </w:r>
    </w:p>
    <w:p>
      <w:pPr>
        <w:pStyle w:val="null3"/>
        <w:jc w:val="left"/>
      </w:pPr>
      <w:r>
        <w:rPr/>
        <w:t xml:space="preserve"> 联系电话：</w:t>
      </w:r>
      <w:r>
        <w:rPr/>
        <w:t>{{未填写}}</w:t>
      </w:r>
    </w:p>
    <w:p>
      <w:pPr>
        <w:pStyle w:val="null3"/>
        <w:jc w:val="left"/>
      </w:pPr>
      <w:r>
        <w:rPr/>
        <w:t xml:space="preserve"> 通信地址：</w:t>
      </w:r>
      <w:r>
        <w:rPr/>
        <w:t>{{未填写}}</w:t>
      </w:r>
    </w:p>
    <w:p>
      <w:pPr>
        <w:pStyle w:val="null3"/>
        <w:jc w:val="left"/>
      </w:pPr>
      <w:r>
        <w:rPr/>
        <w:t xml:space="preserve"> 邮政编码：</w:t>
      </w:r>
      <w:r>
        <w:rPr/>
        <w:t>{{未填写}}</w:t>
      </w:r>
    </w:p>
    <w:p>
      <w:pPr>
        <w:pStyle w:val="null3"/>
        <w:jc w:val="left"/>
      </w:pPr>
      <w:r>
        <w:rPr/>
        <w:t xml:space="preserve"> 电子邮箱：</w:t>
      </w:r>
      <w:r>
        <w:rPr/>
        <w:t>{{未填写}}</w:t>
      </w:r>
    </w:p>
    <w:p>
      <w:pPr>
        <w:pStyle w:val="null3"/>
        <w:jc w:val="left"/>
      </w:pPr>
      <w:r>
        <w:rPr/>
        <w:t xml:space="preserve"> 统一社会信用代码：</w:t>
      </w:r>
      <w:r>
        <w:rPr/>
        <w:t>{{未填写}}</w:t>
      </w:r>
    </w:p>
    <w:p>
      <w:pPr>
        <w:pStyle w:val="null3"/>
        <w:jc w:val="left"/>
      </w:pPr>
      <w:r>
        <w:rPr/>
        <w:t xml:space="preserve"> </w:t>
      </w:r>
    </w:p>
    <w:p>
      <w:pPr>
        <w:pStyle w:val="null3"/>
        <w:jc w:val="center"/>
        <w:outlineLvl w:val="1"/>
      </w:pPr>
      <w:r>
        <w:rPr>
          <w:sz w:val="36"/>
          <w:b/>
        </w:rPr>
        <w:t>第二节 政府采购合同通用条款</w:t>
      </w:r>
    </w:p>
    <w:p>
      <w:pPr>
        <w:pStyle w:val="null3"/>
        <w:jc w:val="left"/>
        <w:outlineLvl w:val="2"/>
      </w:pPr>
      <w:r>
        <w:rPr>
          <w:sz w:val="28"/>
          <w:b/>
        </w:rPr>
        <w:t>1. 定义</w:t>
      </w:r>
    </w:p>
    <w:p>
      <w:pPr>
        <w:pStyle w:val="null3"/>
        <w:jc w:val="left"/>
      </w:pPr>
      <w:r>
        <w:rPr/>
        <w:t>1.1合同当事人</w:t>
      </w:r>
    </w:p>
    <w:p>
      <w:pPr>
        <w:pStyle w:val="null3"/>
        <w:jc w:val="left"/>
      </w:pPr>
      <w:r>
        <w:rPr/>
        <w:t>（1）采购人（以下称甲方）是指使用财政性资金，通过政府采购方式向供应商购买货物及其相关服务的国家机关、事业单位、团体组织。</w:t>
      </w:r>
    </w:p>
    <w:p>
      <w:pPr>
        <w:pStyle w:val="null3"/>
        <w:jc w:val="left"/>
      </w:pPr>
      <w:r>
        <w:rPr/>
        <w:t>（2）供应商（以下称乙方）是指参加政府采购活动并且中标（成交），向采购人提供合同约定的货物及其相关服务的法人、非法人组织或者自然人。</w:t>
      </w:r>
    </w:p>
    <w:p>
      <w:pPr>
        <w:pStyle w:val="null3"/>
        <w:jc w:val="left"/>
      </w:pPr>
      <w:r>
        <w:rPr/>
        <w:t>（3）其他合同主体是指除采购人和供应商以外，依法参与合同缔结或履行，享有权利、承担义务的合同当事人。</w:t>
      </w:r>
    </w:p>
    <w:p>
      <w:pPr>
        <w:pStyle w:val="null3"/>
        <w:jc w:val="left"/>
      </w:pPr>
      <w:r>
        <w:rPr/>
        <w:t>1.2本合同下列术语应解释为：</w:t>
      </w:r>
    </w:p>
    <w:p>
      <w:pPr>
        <w:pStyle w:val="null3"/>
        <w:jc w:val="left"/>
      </w:pPr>
      <w:r>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t>（2）“合同价款”系指根据本合同规定乙方在全面履行合同义务后甲方应支付给乙方的价款。</w:t>
      </w:r>
    </w:p>
    <w:p>
      <w:pPr>
        <w:pStyle w:val="null3"/>
        <w:jc w:val="left"/>
      </w:pPr>
      <w:r>
        <w:rPr/>
        <w:t>（3）“货物”系指乙方根据本合同规定须向甲方提供的各种形态和种类的物品，包括原材料、设备、产品（包括软件）及相关的其备品备件、工具、手册及其他技术资料和材料等。</w:t>
      </w:r>
    </w:p>
    <w:p>
      <w:pPr>
        <w:pStyle w:val="null3"/>
        <w:jc w:val="left"/>
      </w:pPr>
      <w:r>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t>（5）“分包”系指中标（成交）供应商按采购文件、投标（响应）文件的规定，根据分包意向协议，将中标（成交）项目中的部分履约内容，分给具有相应资质条件的供应商履行合同的行为。</w:t>
      </w:r>
    </w:p>
    <w:p>
      <w:pPr>
        <w:pStyle w:val="null3"/>
        <w:jc w:val="left"/>
      </w:pPr>
      <w:r>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b/>
        </w:rPr>
        <w:t>【政府采购合同专用条款】</w:t>
      </w:r>
      <w:r>
        <w:rPr/>
        <w:t>。</w:t>
      </w:r>
    </w:p>
    <w:p>
      <w:pPr>
        <w:pStyle w:val="null3"/>
        <w:jc w:val="left"/>
      </w:pPr>
      <w:r>
        <w:rPr/>
        <w:t>（7）其他术语解释，见</w:t>
      </w:r>
      <w:r>
        <w:rPr>
          <w:b/>
        </w:rPr>
        <w:t>【政府采购合同专用条款】</w:t>
      </w:r>
      <w:r>
        <w:rPr/>
        <w:t>。</w:t>
      </w:r>
    </w:p>
    <w:p>
      <w:pPr>
        <w:pStyle w:val="null3"/>
        <w:jc w:val="left"/>
        <w:outlineLvl w:val="2"/>
      </w:pPr>
      <w:r>
        <w:rPr>
          <w:sz w:val="28"/>
          <w:b/>
        </w:rPr>
        <w:t>2.合同标的及金额</w:t>
      </w:r>
    </w:p>
    <w:p>
      <w:pPr>
        <w:pStyle w:val="null3"/>
        <w:jc w:val="left"/>
      </w:pPr>
      <w:r>
        <w:rPr/>
        <w:t>2.1 合同标的及金额应与中标（成交）结果一致。乙方为履行本合同而发生的所有费用均应包含在合同价款中，甲方不再另行支付其他任何费用。</w:t>
      </w:r>
    </w:p>
    <w:p>
      <w:pPr>
        <w:pStyle w:val="null3"/>
        <w:jc w:val="left"/>
        <w:outlineLvl w:val="2"/>
      </w:pPr>
      <w:r>
        <w:rPr>
          <w:sz w:val="28"/>
          <w:b/>
        </w:rPr>
        <w:t>3. 履行合同的时间、地点和方式</w:t>
      </w:r>
    </w:p>
    <w:p>
      <w:pPr>
        <w:pStyle w:val="null3"/>
        <w:jc w:val="left"/>
      </w:pPr>
      <w:r>
        <w:rPr/>
        <w:t>3.1 乙方应当在约定的时间、地点，按照约定方式履行合同。</w:t>
      </w:r>
    </w:p>
    <w:p>
      <w:pPr>
        <w:pStyle w:val="null3"/>
        <w:jc w:val="left"/>
        <w:outlineLvl w:val="2"/>
      </w:pPr>
      <w:r>
        <w:rPr>
          <w:sz w:val="28"/>
          <w:b/>
        </w:rPr>
        <w:t>4. 甲方的权利和义务</w:t>
      </w:r>
    </w:p>
    <w:p>
      <w:pPr>
        <w:pStyle w:val="null3"/>
        <w:jc w:val="left"/>
      </w:pPr>
      <w:r>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t>4.2 甲方有权要求乙方按时提交各阶段有关安排计划，并有权定期核对乙方提供货物数量、规格、质量等内容。甲方有权督促乙方工作并要求乙方更换不符合要求的货物。</w:t>
      </w:r>
    </w:p>
    <w:p>
      <w:pPr>
        <w:pStyle w:val="null3"/>
        <w:jc w:val="left"/>
      </w:pPr>
      <w:r>
        <w:rPr/>
        <w:t>4.3 甲方有权要求乙方对缺陷部分予以修复，并按合同约定享有货物保修及其他合同约定的权利。</w:t>
      </w:r>
    </w:p>
    <w:p>
      <w:pPr>
        <w:pStyle w:val="null3"/>
        <w:jc w:val="left"/>
      </w:pPr>
      <w:r>
        <w:rPr/>
        <w:t>4.4 甲方应当按照合同约定及时对交付的货物进行验收，未在</w:t>
      </w:r>
      <w:r>
        <w:rPr>
          <w:b/>
        </w:rPr>
        <w:t>【政府采购合同专用条款】</w:t>
      </w:r>
      <w:r>
        <w:rPr/>
        <w:t>约定的期限内对乙方履约提出任何异议或者向乙方作出任何说明的，视为验收通过。</w:t>
      </w:r>
    </w:p>
    <w:p>
      <w:pPr>
        <w:pStyle w:val="null3"/>
        <w:jc w:val="left"/>
      </w:pPr>
      <w:r>
        <w:rPr/>
        <w:t>4.5 甲方应当根据合同约定及时向乙方支付合同价款，不得以内部人员变更、履行内部付款流程等为由，拒绝或迟延支付。</w:t>
      </w:r>
    </w:p>
    <w:p>
      <w:pPr>
        <w:pStyle w:val="null3"/>
        <w:jc w:val="left"/>
      </w:pPr>
      <w:r>
        <w:rPr/>
        <w:t>4.6 国家法律法规规定及</w:t>
      </w:r>
      <w:r>
        <w:rPr>
          <w:b/>
        </w:rPr>
        <w:t>【政府采购合同专用条款】</w:t>
      </w:r>
      <w:r>
        <w:rPr/>
        <w:t>约定应由甲方承担的其他义务和责任。</w:t>
      </w:r>
    </w:p>
    <w:p>
      <w:pPr>
        <w:pStyle w:val="null3"/>
        <w:jc w:val="left"/>
        <w:outlineLvl w:val="2"/>
      </w:pPr>
      <w:r>
        <w:rPr>
          <w:sz w:val="28"/>
          <w:b/>
        </w:rPr>
        <w:t>5. 乙方的权利和义务</w:t>
      </w:r>
    </w:p>
    <w:p>
      <w:pPr>
        <w:pStyle w:val="null3"/>
        <w:jc w:val="left"/>
      </w:pPr>
      <w:r>
        <w:rPr/>
        <w:t>5.1 签署合同后，乙方应确定项目负责人（或项目联系人），负责与本合同有关的事务。</w:t>
      </w:r>
    </w:p>
    <w:p>
      <w:pPr>
        <w:pStyle w:val="null3"/>
        <w:jc w:val="left"/>
      </w:pPr>
      <w:r>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t>5.3乙方有权根据合同约定向甲方收取合同价款。</w:t>
      </w:r>
    </w:p>
    <w:p>
      <w:pPr>
        <w:pStyle w:val="null3"/>
        <w:jc w:val="left"/>
      </w:pPr>
      <w:r>
        <w:rPr/>
        <w:t>5.4国家法律法规规定及</w:t>
      </w:r>
      <w:r>
        <w:rPr>
          <w:b/>
        </w:rPr>
        <w:t>【政府采购合同专用条款】</w:t>
      </w:r>
      <w:r>
        <w:rPr/>
        <w:t>约定应由乙方承担的其他义务和责任。</w:t>
      </w:r>
    </w:p>
    <w:p>
      <w:pPr>
        <w:pStyle w:val="null3"/>
        <w:jc w:val="left"/>
        <w:outlineLvl w:val="2"/>
      </w:pPr>
      <w:r>
        <w:rPr>
          <w:sz w:val="28"/>
          <w:b/>
        </w:rPr>
        <w:t>6.合同履行</w:t>
      </w:r>
    </w:p>
    <w:p>
      <w:pPr>
        <w:pStyle w:val="null3"/>
        <w:jc w:val="left"/>
      </w:pPr>
      <w:r>
        <w:rPr/>
        <w:t>6.1 甲乙双方应当按照</w:t>
      </w:r>
      <w:r>
        <w:rPr>
          <w:b/>
        </w:rPr>
        <w:t>【政府采购合同专用条款】</w:t>
      </w:r>
      <w:r>
        <w:rPr/>
        <w:t>约定顺序履行合同义务；如果没有先后顺序的，应当同时履行。</w:t>
      </w:r>
    </w:p>
    <w:p>
      <w:pPr>
        <w:pStyle w:val="null3"/>
        <w:jc w:val="left"/>
      </w:pPr>
      <w:r>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sz w:val="28"/>
          <w:b/>
        </w:rPr>
        <w:t>7. 货物包装、运输、保险和交付要求</w:t>
      </w:r>
    </w:p>
    <w:p>
      <w:pPr>
        <w:pStyle w:val="null3"/>
        <w:jc w:val="left"/>
      </w:pPr>
      <w:r>
        <w:rPr/>
        <w:t>7.1 本合同涉及商品包装、快递包装的，除</w:t>
      </w:r>
      <w:r>
        <w:rPr>
          <w:b/>
        </w:rPr>
        <w:t>【政府采购合同专用条款】</w:t>
      </w:r>
      <w:r>
        <w:rPr/>
        <w:t>另有约定外，包装应适应远距离运输、防潮、防震、防锈和防野蛮装卸等要求，确保货物安全无损地运抵</w:t>
      </w:r>
      <w:r>
        <w:rPr>
          <w:b/>
        </w:rPr>
        <w:t>【政府采购合同专用条款】</w:t>
      </w:r>
      <w:r>
        <w:rPr/>
        <w:t>约定的指定现场。</w:t>
      </w:r>
    </w:p>
    <w:p>
      <w:pPr>
        <w:pStyle w:val="null3"/>
        <w:jc w:val="left"/>
      </w:pPr>
      <w:r>
        <w:rPr/>
        <w:t>7.2 除</w:t>
      </w:r>
      <w:r>
        <w:rPr>
          <w:b/>
        </w:rPr>
        <w:t>【政府采购合同专用条款】</w:t>
      </w:r>
      <w:r>
        <w:rPr/>
        <w:t>另有约定外，乙方负责办理将货物运抵本合同规定的交货地点，并装卸、交付至甲方的一切运输事项，相关费用应包含在合同价款中。</w:t>
      </w:r>
    </w:p>
    <w:p>
      <w:pPr>
        <w:pStyle w:val="null3"/>
        <w:jc w:val="left"/>
      </w:pPr>
      <w:r>
        <w:rPr/>
        <w:t>7.3 货物保险要求按</w:t>
      </w:r>
      <w:r>
        <w:rPr>
          <w:b/>
        </w:rPr>
        <w:t>【政府采购合同专用条款】</w:t>
      </w:r>
      <w:r>
        <w:rPr/>
        <w:t>规定执行。</w:t>
      </w:r>
    </w:p>
    <w:p>
      <w:pPr>
        <w:pStyle w:val="null3"/>
        <w:jc w:val="left"/>
      </w:pPr>
      <w:r>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t>7.5 乙方在运输到达之前应提前通知甲方，并提示货物运输装卸的注意事项，甲方配合乙方做好货物的接收工作。</w:t>
      </w:r>
    </w:p>
    <w:p>
      <w:pPr>
        <w:pStyle w:val="null3"/>
        <w:jc w:val="left"/>
      </w:pPr>
      <w:r>
        <w:rPr/>
        <w:t>7.6 如因包装、运输问题导致货物损毁、丢失或者品质下降，甲方有权要求降价、换货、拒收部分或整批货物，由此产生的费用和损失，均由乙方承担。</w:t>
      </w:r>
    </w:p>
    <w:p>
      <w:pPr>
        <w:pStyle w:val="null3"/>
        <w:jc w:val="left"/>
        <w:outlineLvl w:val="2"/>
      </w:pPr>
      <w:r>
        <w:rPr>
          <w:sz w:val="28"/>
          <w:b/>
        </w:rPr>
        <w:t>8. 质量标准和保证</w:t>
      </w:r>
    </w:p>
    <w:p>
      <w:pPr>
        <w:pStyle w:val="null3"/>
        <w:jc w:val="left"/>
      </w:pPr>
      <w:r>
        <w:rPr/>
        <w:t>8.1 质量标准</w:t>
      </w:r>
    </w:p>
    <w:p>
      <w:pPr>
        <w:pStyle w:val="null3"/>
        <w:jc w:val="left"/>
      </w:pPr>
      <w:r>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t>（2）采用中华人民共和国法定计量单位。</w:t>
      </w:r>
    </w:p>
    <w:p>
      <w:pPr>
        <w:pStyle w:val="null3"/>
        <w:jc w:val="left"/>
      </w:pPr>
      <w:r>
        <w:rPr/>
        <w:t>（3）乙方所提供的货物应符合国家有关安全、环保、卫生的规定。</w:t>
      </w:r>
    </w:p>
    <w:p>
      <w:pPr>
        <w:pStyle w:val="null3"/>
        <w:jc w:val="left"/>
      </w:pPr>
      <w:r>
        <w:rPr/>
        <w:t>（4）乙方应向甲方提交所提供货物的技术文件，包括相应的中文技术文件，如：产品目录、图纸、操作手册、使用说明、维护手册或服务指南等。上述文件应包装好随货物一同发运。</w:t>
      </w:r>
    </w:p>
    <w:p>
      <w:pPr>
        <w:pStyle w:val="null3"/>
        <w:jc w:val="left"/>
      </w:pPr>
      <w:r>
        <w:rPr/>
        <w:t>8.2 保证</w:t>
      </w:r>
    </w:p>
    <w:p>
      <w:pPr>
        <w:pStyle w:val="null3"/>
        <w:jc w:val="left"/>
      </w:pPr>
      <w:r>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t>（2）在质量保证期内所发现的缺陷，甲方应尽快以书面形式通知乙方。</w:t>
      </w:r>
    </w:p>
    <w:p>
      <w:pPr>
        <w:pStyle w:val="null3"/>
        <w:jc w:val="left"/>
      </w:pPr>
      <w:r>
        <w:rPr/>
        <w:t>（3）乙方收到通知后，应在【政府采购合同专用条款】规定的响应时间内以合理的速度免费维修或更换有缺陷的货物或部件。</w:t>
      </w:r>
    </w:p>
    <w:p>
      <w:pPr>
        <w:pStyle w:val="null3"/>
        <w:jc w:val="left"/>
      </w:pPr>
      <w:r>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t>（5）乙方在约定的时间内未能弥补缺陷，甲方可采取必要的补救措施，但其风险和费用将由乙方承担，甲方根据合同约定对乙方行使的其他权利不受影响。</w:t>
      </w:r>
    </w:p>
    <w:p>
      <w:pPr>
        <w:pStyle w:val="null3"/>
        <w:jc w:val="left"/>
        <w:outlineLvl w:val="2"/>
      </w:pPr>
      <w:r>
        <w:rPr>
          <w:sz w:val="28"/>
          <w:b/>
        </w:rPr>
        <w:t>9. 权利瑕疵担保</w:t>
      </w:r>
    </w:p>
    <w:p>
      <w:pPr>
        <w:pStyle w:val="null3"/>
        <w:jc w:val="left"/>
      </w:pPr>
      <w:r>
        <w:rPr/>
        <w:t>9.1 乙方保证对其出售的货物享有合法的权利。</w:t>
      </w:r>
    </w:p>
    <w:p>
      <w:pPr>
        <w:pStyle w:val="null3"/>
        <w:jc w:val="left"/>
      </w:pPr>
      <w:r>
        <w:rPr/>
        <w:t>9.2 乙方保证在交付的货物上不存在抵押权等担保物权。</w:t>
      </w:r>
    </w:p>
    <w:p>
      <w:pPr>
        <w:pStyle w:val="null3"/>
        <w:jc w:val="left"/>
      </w:pPr>
      <w:r>
        <w:rPr/>
        <w:t>9.3 如甲方使用上述货物构成对第三人侵权的，则由乙方承担全部责任。</w:t>
      </w:r>
    </w:p>
    <w:p>
      <w:pPr>
        <w:pStyle w:val="null3"/>
        <w:jc w:val="left"/>
        <w:outlineLvl w:val="2"/>
      </w:pPr>
      <w:r>
        <w:rPr>
          <w:sz w:val="28"/>
          <w:b/>
        </w:rPr>
        <w:t>10. 知识产权保护</w:t>
      </w:r>
    </w:p>
    <w:p>
      <w:pPr>
        <w:pStyle w:val="null3"/>
        <w:jc w:val="left"/>
      </w:pPr>
      <w:r>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sz w:val="28"/>
          <w:b/>
        </w:rPr>
        <w:t>11. 保密义务</w:t>
      </w:r>
    </w:p>
    <w:p>
      <w:pPr>
        <w:pStyle w:val="null3"/>
        <w:jc w:val="left"/>
      </w:pPr>
      <w:r>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rPr>
        <w:t>【政府采购合同专用条款】</w:t>
      </w:r>
      <w:r>
        <w:rPr/>
        <w:t>中约定。</w:t>
      </w:r>
    </w:p>
    <w:p>
      <w:pPr>
        <w:pStyle w:val="null3"/>
        <w:jc w:val="left"/>
        <w:outlineLvl w:val="2"/>
      </w:pPr>
      <w:r>
        <w:rPr>
          <w:sz w:val="28"/>
          <w:b/>
        </w:rPr>
        <w:t>12. 合同价款支付</w:t>
      </w:r>
    </w:p>
    <w:p>
      <w:pPr>
        <w:pStyle w:val="null3"/>
        <w:jc w:val="left"/>
      </w:pPr>
      <w:r>
        <w:rPr/>
        <w:t>12.1 合同价款支付按照国库集中支付制度及财政管理相关规定执行。</w:t>
      </w:r>
    </w:p>
    <w:p>
      <w:pPr>
        <w:pStyle w:val="null3"/>
        <w:jc w:val="left"/>
      </w:pPr>
      <w:r>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b/>
        </w:rPr>
        <w:t>【政府采购合同专用条款】</w:t>
      </w:r>
      <w:r>
        <w:rPr/>
        <w:t>中约定。</w:t>
      </w:r>
    </w:p>
    <w:p>
      <w:pPr>
        <w:pStyle w:val="null3"/>
        <w:jc w:val="left"/>
        <w:outlineLvl w:val="2"/>
      </w:pPr>
      <w:r>
        <w:rPr>
          <w:sz w:val="28"/>
          <w:b/>
        </w:rPr>
        <w:t>13. 履约保证金</w:t>
      </w:r>
    </w:p>
    <w:p>
      <w:pPr>
        <w:pStyle w:val="null3"/>
        <w:jc w:val="left"/>
      </w:pPr>
      <w:r>
        <w:rPr/>
        <w:t>13.1 乙方应当以支票、汇票、本票或者金融机构、担保机构出具的保函等非现金形式提交。</w:t>
      </w:r>
    </w:p>
    <w:p>
      <w:pPr>
        <w:pStyle w:val="null3"/>
        <w:jc w:val="left"/>
      </w:pPr>
      <w:r>
        <w:rPr/>
        <w:t>13.2 如果乙方出现</w:t>
      </w:r>
      <w:r>
        <w:rPr>
          <w:b/>
        </w:rPr>
        <w:t>【政府采购合同专用条款】</w:t>
      </w:r>
      <w:r>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t>13.3 甲方在项目通过验收后按照</w:t>
      </w:r>
      <w:r>
        <w:rPr>
          <w:b/>
        </w:rPr>
        <w:t>【政府采购合同专用条款】</w:t>
      </w:r>
      <w:r>
        <w:rPr/>
        <w:t>规定的时间内将履约保证金退还乙方；逾期退还的，乙方可要求甲方支付违约金，违约金按照</w:t>
      </w:r>
      <w:r>
        <w:rPr>
          <w:b/>
        </w:rPr>
        <w:t>【政府采购合同专用条款】</w:t>
      </w:r>
      <w:r>
        <w:rPr/>
        <w:t>规定支付。</w:t>
      </w:r>
    </w:p>
    <w:p>
      <w:pPr>
        <w:pStyle w:val="null3"/>
        <w:jc w:val="left"/>
        <w:outlineLvl w:val="2"/>
      </w:pPr>
      <w:r>
        <w:rPr>
          <w:sz w:val="28"/>
          <w:b/>
        </w:rPr>
        <w:t>14. 售后服务</w:t>
      </w:r>
    </w:p>
    <w:p>
      <w:pPr>
        <w:pStyle w:val="null3"/>
        <w:jc w:val="left"/>
      </w:pPr>
      <w:r>
        <w:rPr/>
        <w:t>14.1 除项目不涉及或采购活动中明确约定无须承担外，乙方还应提供下列服务：</w:t>
      </w:r>
    </w:p>
    <w:p>
      <w:pPr>
        <w:pStyle w:val="null3"/>
        <w:jc w:val="left"/>
      </w:pPr>
      <w:r>
        <w:rPr/>
        <w:t>（1）货物的现场移动、安装、调试、启动监督及技术支持；</w:t>
      </w:r>
    </w:p>
    <w:p>
      <w:pPr>
        <w:pStyle w:val="null3"/>
        <w:jc w:val="left"/>
      </w:pPr>
      <w:r>
        <w:rPr/>
        <w:t>（2）提供货物组装和维修所需的专用工具和辅助材料；</w:t>
      </w:r>
    </w:p>
    <w:p>
      <w:pPr>
        <w:pStyle w:val="null3"/>
        <w:jc w:val="left"/>
      </w:pPr>
      <w:r>
        <w:rPr/>
        <w:t>（3）在</w:t>
      </w:r>
      <w:r>
        <w:rPr>
          <w:b/>
        </w:rPr>
        <w:t>【政府采购合同专用条款】</w:t>
      </w:r>
      <w:r>
        <w:rPr/>
        <w:t>约定的期限内对所有的货物实施运行监督、维修，但前提条件是该服务并不能免除乙方在质量保证期内所承担的义务；</w:t>
      </w:r>
    </w:p>
    <w:p>
      <w:pPr>
        <w:pStyle w:val="null3"/>
        <w:jc w:val="left"/>
      </w:pPr>
      <w:r>
        <w:rPr/>
        <w:t>（4）在制造商所在地或指定现场就货物的安装、启动、运营、维护、废弃处置等对甲方操作人员进行培训；</w:t>
      </w:r>
    </w:p>
    <w:p>
      <w:pPr>
        <w:pStyle w:val="null3"/>
        <w:jc w:val="left"/>
      </w:pPr>
      <w:r>
        <w:rPr/>
        <w:t>（5）依照法律、行政法规的规定或者按照</w:t>
      </w:r>
      <w:r>
        <w:rPr>
          <w:b/>
        </w:rPr>
        <w:t>【政府采购合同专用条款】</w:t>
      </w:r>
      <w:r>
        <w:rPr/>
        <w:t>约定，货物在有效使用年限届满后应予回收的，乙方负有自行或者委托第三人对货物予以回收的义务；</w:t>
      </w:r>
    </w:p>
    <w:p>
      <w:pPr>
        <w:pStyle w:val="null3"/>
        <w:jc w:val="left"/>
      </w:pPr>
      <w:r>
        <w:rPr/>
        <w:t>（6）</w:t>
      </w:r>
      <w:r>
        <w:rPr>
          <w:b/>
        </w:rPr>
        <w:t>【政府采购合同专用条款】</w:t>
      </w:r>
      <w:r>
        <w:rPr/>
        <w:t>规定由乙方提供的其他服务。</w:t>
      </w:r>
    </w:p>
    <w:p>
      <w:pPr>
        <w:pStyle w:val="null3"/>
        <w:jc w:val="left"/>
      </w:pPr>
      <w:r>
        <w:rPr/>
        <w:t>14.2 乙方提供的售后服务的费用已包含在合同价款中，甲方不再另行支付。</w:t>
      </w:r>
    </w:p>
    <w:p>
      <w:pPr>
        <w:pStyle w:val="null3"/>
        <w:jc w:val="left"/>
        <w:outlineLvl w:val="2"/>
      </w:pPr>
      <w:r>
        <w:rPr>
          <w:sz w:val="28"/>
          <w:b/>
        </w:rPr>
        <w:t>15. 违约责任</w:t>
      </w:r>
    </w:p>
    <w:p>
      <w:pPr>
        <w:pStyle w:val="null3"/>
        <w:jc w:val="left"/>
      </w:pPr>
      <w:r>
        <w:rPr/>
        <w:t>15.1质量瑕疵的违约责任</w:t>
      </w:r>
    </w:p>
    <w:p>
      <w:pPr>
        <w:pStyle w:val="null3"/>
        <w:jc w:val="left"/>
      </w:pPr>
      <w:r>
        <w:rPr/>
        <w:t>乙方提供的产品不符合合同约定的质量标准或存在产品质量缺陷，甲方有权要求乙方根据</w:t>
      </w:r>
      <w:r>
        <w:rPr>
          <w:b/>
        </w:rPr>
        <w:t>【政府采购合同专用条款】</w:t>
      </w:r>
      <w:r>
        <w:rPr/>
        <w:t>要求及时修理、重作、更换，并承担由此给甲方造成的损失。</w:t>
      </w:r>
    </w:p>
    <w:p>
      <w:pPr>
        <w:pStyle w:val="null3"/>
        <w:jc w:val="left"/>
      </w:pPr>
      <w:r>
        <w:rPr/>
        <w:t>15.2 迟延交货的违约责任</w:t>
      </w:r>
    </w:p>
    <w:p>
      <w:pPr>
        <w:pStyle w:val="null3"/>
        <w:jc w:val="left"/>
      </w:pPr>
      <w:r>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t>（2）如果乙方没有按照合同规定的时间交货和提供相关服务，甲方有权从货款中扣除误期赔偿费而不影响合同项下的其他补救方法，赔偿费按</w:t>
      </w:r>
      <w:r>
        <w:rPr>
          <w:b/>
        </w:rPr>
        <w:t>【政府采购合同专用条款】</w:t>
      </w:r>
      <w:r>
        <w:rPr/>
        <w:t>规定执行。如果涉及公共利益，且赔偿金额无法弥补公共利益损失，甲方可要求继续履行或者采取其他补救措施。</w:t>
      </w:r>
    </w:p>
    <w:p>
      <w:pPr>
        <w:pStyle w:val="null3"/>
        <w:jc w:val="left"/>
      </w:pPr>
      <w:r>
        <w:rPr/>
        <w:t>15.3 迟延支付的违约责任</w:t>
      </w:r>
    </w:p>
    <w:p>
      <w:pPr>
        <w:pStyle w:val="null3"/>
        <w:jc w:val="left"/>
      </w:pPr>
      <w:r>
        <w:rPr/>
        <w:t>甲方存在迟延支付乙方合同款项的，应当承担</w:t>
      </w:r>
      <w:r>
        <w:rPr>
          <w:b/>
        </w:rPr>
        <w:t>【政府采购合同专用条款】</w:t>
      </w:r>
      <w:r>
        <w:rPr/>
        <w:t>规定的逾期付款利息。</w:t>
      </w:r>
    </w:p>
    <w:p>
      <w:pPr>
        <w:pStyle w:val="null3"/>
        <w:jc w:val="left"/>
      </w:pPr>
      <w:r>
        <w:rPr/>
        <w:t>15.4其他违约责任根据项目实际需要按</w:t>
      </w:r>
      <w:r>
        <w:rPr>
          <w:b/>
        </w:rPr>
        <w:t>【政府采购合同专用条款】</w:t>
      </w:r>
      <w:r>
        <w:rPr/>
        <w:t>规定执行。</w:t>
      </w:r>
    </w:p>
    <w:p>
      <w:pPr>
        <w:pStyle w:val="null3"/>
        <w:jc w:val="left"/>
        <w:outlineLvl w:val="2"/>
      </w:pPr>
      <w:r>
        <w:rPr>
          <w:sz w:val="28"/>
          <w:b/>
        </w:rPr>
        <w:t>16.合同变更、中止与终止</w:t>
      </w:r>
    </w:p>
    <w:p>
      <w:pPr>
        <w:pStyle w:val="null3"/>
        <w:jc w:val="left"/>
      </w:pPr>
      <w:r>
        <w:rPr/>
        <w:t xml:space="preserve"> 16.1合同的变更</w:t>
      </w:r>
    </w:p>
    <w:p>
      <w:pPr>
        <w:pStyle w:val="null3"/>
        <w:jc w:val="left"/>
      </w:pPr>
      <w:r>
        <w:rPr/>
        <w:t>政府采购合同履行中，在不改变合同其他条款的前提下，甲方可以在合同价款10%的范围内追加与合同标的相同的货物，并就此与乙方协商一致后签订补充协议。</w:t>
      </w:r>
    </w:p>
    <w:p>
      <w:pPr>
        <w:pStyle w:val="null3"/>
        <w:jc w:val="left"/>
      </w:pPr>
      <w:r>
        <w:rPr/>
        <w:t>16.2合同的中止</w:t>
      </w:r>
    </w:p>
    <w:p>
      <w:pPr>
        <w:pStyle w:val="null3"/>
        <w:jc w:val="left"/>
      </w:pPr>
      <w:r>
        <w:rPr/>
        <w:t>（1）合同履行过程中因供应商就采购文件、采购过程或结果提起投诉的，甲方认为有必要的，可以中止合同的履行。</w:t>
      </w:r>
    </w:p>
    <w:p>
      <w:pPr>
        <w:pStyle w:val="null3"/>
        <w:jc w:val="left"/>
      </w:pPr>
      <w:r>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t>（4）甲方不得以行政区划调整、政府换届、机构或者职能调整以及相关责任人更替为由中止合同。</w:t>
      </w:r>
    </w:p>
    <w:p>
      <w:pPr>
        <w:pStyle w:val="null3"/>
        <w:jc w:val="left"/>
      </w:pPr>
      <w:r>
        <w:rPr/>
        <w:t>16.3合同的终止</w:t>
      </w:r>
    </w:p>
    <w:p>
      <w:pPr>
        <w:pStyle w:val="null3"/>
        <w:jc w:val="left"/>
      </w:pPr>
      <w:r>
        <w:rPr/>
        <w:t>（1）合同因有效期限届满而终止；</w:t>
      </w:r>
    </w:p>
    <w:p>
      <w:pPr>
        <w:pStyle w:val="null3"/>
        <w:jc w:val="left"/>
      </w:pPr>
      <w:r>
        <w:rPr/>
        <w:t>（2）乙方未按合同约定履行，构成根本性违约的，甲方有权终止合同，并追究乙方的违约责任。</w:t>
      </w:r>
    </w:p>
    <w:p>
      <w:pPr>
        <w:pStyle w:val="null3"/>
        <w:jc w:val="left"/>
      </w:pPr>
      <w:r>
        <w:rPr/>
        <w:t>16.4 涉及国家利益、社会公共利益的情形</w:t>
      </w:r>
    </w:p>
    <w:p>
      <w:pPr>
        <w:pStyle w:val="null3"/>
        <w:jc w:val="left"/>
      </w:pPr>
      <w:r>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sz w:val="28"/>
          <w:b/>
        </w:rPr>
        <w:t>17. 合同分包</w:t>
      </w:r>
    </w:p>
    <w:p>
      <w:pPr>
        <w:pStyle w:val="null3"/>
        <w:jc w:val="left"/>
      </w:pPr>
      <w:r>
        <w:rPr/>
        <w:t>17.1 乙方不得将合同转包给其他供应商。涉及合同分包的，乙方应根据采购文件和投标（响应）文件规定进行合同分包。</w:t>
      </w:r>
    </w:p>
    <w:p>
      <w:pPr>
        <w:pStyle w:val="null3"/>
        <w:jc w:val="left"/>
      </w:pPr>
      <w:r>
        <w:rPr/>
        <w:t>17.2 乙方执行政府采购政策向中小企业依法分包的，乙方应当按采购文件和投标（响应）文件签订分包意向协议，分包意向协议属于本合同组成部分。</w:t>
      </w:r>
    </w:p>
    <w:p>
      <w:pPr>
        <w:pStyle w:val="null3"/>
        <w:jc w:val="left"/>
        <w:outlineLvl w:val="2"/>
      </w:pPr>
      <w:r>
        <w:rPr>
          <w:sz w:val="28"/>
          <w:b/>
        </w:rPr>
        <w:t>18. 不可抗力</w:t>
      </w:r>
    </w:p>
    <w:p>
      <w:pPr>
        <w:pStyle w:val="null3"/>
        <w:jc w:val="left"/>
      </w:pPr>
      <w:r>
        <w:rPr/>
        <w:t>18.1 不可抗力是指合同双方不能预见、不能避免且不能克服的客观情况。</w:t>
      </w:r>
    </w:p>
    <w:p>
      <w:pPr>
        <w:pStyle w:val="null3"/>
        <w:jc w:val="left"/>
      </w:pPr>
      <w:r>
        <w:rPr/>
        <w:t>18.2 任何一方对由于不可抗力造成的部分或全部不能履行合同不承担违约责任。但迟延履行后发生不可抗力的，不能免除责任。</w:t>
      </w:r>
    </w:p>
    <w:p>
      <w:pPr>
        <w:pStyle w:val="null3"/>
        <w:jc w:val="left"/>
      </w:pPr>
      <w:r>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sz w:val="28"/>
          <w:b/>
        </w:rPr>
        <w:t>19. 解决争议的方法</w:t>
      </w:r>
    </w:p>
    <w:p>
      <w:pPr>
        <w:pStyle w:val="null3"/>
        <w:jc w:val="left"/>
      </w:pPr>
      <w:r>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t>19.2 选择仲裁的，应在</w:t>
      </w:r>
      <w:r>
        <w:rPr>
          <w:b/>
        </w:rPr>
        <w:t>【政府采购合同专用条款】</w:t>
      </w:r>
      <w:r>
        <w:rPr/>
        <w:t>中明确仲裁机构及仲裁地；通过诉讼方式解决的，可以在</w:t>
      </w:r>
      <w:r>
        <w:rPr>
          <w:b/>
        </w:rPr>
        <w:t>【政府采购合同专用条款】</w:t>
      </w:r>
      <w:r>
        <w:rPr/>
        <w:t>中进一步约定选择与争议有实际联系的地点的人民法院管辖，但管辖法院的约定不得违反级别管辖和专属管辖的规定。</w:t>
      </w:r>
    </w:p>
    <w:p>
      <w:pPr>
        <w:pStyle w:val="null3"/>
        <w:jc w:val="left"/>
      </w:pPr>
      <w:r>
        <w:rPr/>
        <w:t>19.3 如甲乙双方有争议的事项不影响合同其他部分的履行，在争议解决期间，合同其他部分应当继续履行。</w:t>
      </w:r>
    </w:p>
    <w:p>
      <w:pPr>
        <w:pStyle w:val="null3"/>
        <w:jc w:val="left"/>
        <w:outlineLvl w:val="2"/>
      </w:pPr>
      <w:r>
        <w:rPr>
          <w:sz w:val="28"/>
          <w:b/>
        </w:rPr>
        <w:t>20. 政府采购政策</w:t>
      </w:r>
    </w:p>
    <w:p>
      <w:pPr>
        <w:pStyle w:val="null3"/>
        <w:jc w:val="left"/>
      </w:pPr>
      <w:r>
        <w:rPr/>
        <w:t>20.1 本合同应当按照规定执行政府采购政策。</w:t>
      </w:r>
    </w:p>
    <w:p>
      <w:pPr>
        <w:pStyle w:val="null3"/>
        <w:jc w:val="left"/>
      </w:pPr>
      <w:r>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sz w:val="28"/>
          <w:b/>
        </w:rPr>
        <w:t>21. 法律适用</w:t>
      </w:r>
    </w:p>
    <w:p>
      <w:pPr>
        <w:pStyle w:val="null3"/>
        <w:jc w:val="left"/>
      </w:pPr>
      <w:r>
        <w:rPr/>
        <w:t>21.1 本合同的订立、生效、解释、履行及与本合同有关的争议解决，均适用法律、行政法规。</w:t>
      </w:r>
    </w:p>
    <w:p>
      <w:pPr>
        <w:pStyle w:val="null3"/>
        <w:jc w:val="left"/>
      </w:pPr>
      <w:r>
        <w:rPr/>
        <w:t>21.2 本合同条款与法律、行政法规的强制性规定不一致的，双方当事人应按照法律、行政法规的强制性规定修改本合同的相关条款。</w:t>
      </w:r>
    </w:p>
    <w:p>
      <w:pPr>
        <w:pStyle w:val="null3"/>
        <w:jc w:val="left"/>
        <w:outlineLvl w:val="2"/>
      </w:pPr>
      <w:r>
        <w:rPr>
          <w:sz w:val="28"/>
          <w:b/>
        </w:rPr>
        <w:t>22. 通知</w:t>
      </w:r>
    </w:p>
    <w:p>
      <w:pPr>
        <w:pStyle w:val="null3"/>
        <w:jc w:val="left"/>
      </w:pPr>
      <w:r>
        <w:rPr/>
        <w:t>22.1 本合同任何一方向对方发出的通知、信件、数据电文等，应当发送至本合同第一部分《政府采购合同协议书》所约定的通讯地址、联系人、联系电话或电子邮箱。</w:t>
      </w:r>
    </w:p>
    <w:p>
      <w:pPr>
        <w:pStyle w:val="null3"/>
        <w:jc w:val="left"/>
      </w:pPr>
      <w:r>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t>22.3本合同一方给另一方的通知均应采用书面形式，传真或快递送到本合同中规定的对方的地址和办理签收手续。</w:t>
      </w:r>
    </w:p>
    <w:p>
      <w:pPr>
        <w:pStyle w:val="null3"/>
        <w:jc w:val="left"/>
      </w:pPr>
      <w:r>
        <w:rPr/>
        <w:t>22.4通知以送达之日或通知书中规定的生效之日起生效，两者中以较迟之日为准。</w:t>
      </w:r>
    </w:p>
    <w:p>
      <w:pPr>
        <w:pStyle w:val="null3"/>
        <w:jc w:val="left"/>
        <w:outlineLvl w:val="2"/>
      </w:pPr>
      <w:r>
        <w:rPr>
          <w:sz w:val="28"/>
          <w:b/>
        </w:rPr>
        <w:t>23.合同未尽事项</w:t>
      </w:r>
    </w:p>
    <w:p>
      <w:pPr>
        <w:pStyle w:val="null3"/>
        <w:jc w:val="left"/>
      </w:pPr>
      <w:r>
        <w:rPr/>
        <w:t>23.1合同未尽事项见</w:t>
      </w:r>
      <w:r>
        <w:rPr>
          <w:b/>
        </w:rPr>
        <w:t>【政府采购合同专用条款】</w:t>
      </w:r>
      <w:r>
        <w:rPr/>
        <w:t>。</w:t>
      </w:r>
    </w:p>
    <w:p>
      <w:pPr>
        <w:pStyle w:val="null3"/>
        <w:jc w:val="left"/>
      </w:pPr>
      <w:r>
        <w:rPr/>
        <w:t xml:space="preserve"> 23.2 合同附件与合同正文具有同等的法律效力。</w:t>
      </w:r>
    </w:p>
    <w:p>
      <w:pPr>
        <w:pStyle w:val="null3"/>
        <w:jc w:val="center"/>
        <w:outlineLvl w:val="2"/>
      </w:pPr>
      <w:r>
        <w:rPr>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第二节 第1.2（6）项</w:t>
            </w:r>
          </w:p>
        </w:tc>
        <w:tc>
          <w:tcPr>
            <w:tcW w:type="dxa" w:w="2769"/>
          </w:tcPr>
          <w:p>
            <w:pPr>
              <w:pStyle w:val="null3"/>
              <w:jc w:val="left"/>
            </w:pPr>
            <w:r>
              <w:rPr/>
              <w:t>联合体具体要求</w:t>
            </w:r>
          </w:p>
        </w:tc>
        <w:tc>
          <w:tcPr>
            <w:tcW w:type="dxa" w:w="2769"/>
          </w:tcPr>
          <w:p>
            <w:pPr>
              <w:pStyle w:val="null3"/>
              <w:jc w:val="left"/>
            </w:pPr>
          </w:p>
        </w:tc>
      </w:tr>
      <w:tr>
        <w:tc>
          <w:tcPr>
            <w:tcW w:type="dxa" w:w="2769"/>
          </w:tcPr>
          <w:p>
            <w:pPr>
              <w:pStyle w:val="null3"/>
              <w:jc w:val="left"/>
            </w:pPr>
            <w:r>
              <w:rPr/>
              <w:t>第二节 第1.2（7）项</w:t>
            </w:r>
          </w:p>
        </w:tc>
        <w:tc>
          <w:tcPr>
            <w:tcW w:type="dxa" w:w="2769"/>
          </w:tcPr>
          <w:p>
            <w:pPr>
              <w:pStyle w:val="null3"/>
              <w:jc w:val="left"/>
            </w:pPr>
            <w:r>
              <w:rPr/>
              <w:t>其他术语解释</w:t>
            </w:r>
          </w:p>
        </w:tc>
        <w:tc>
          <w:tcPr>
            <w:tcW w:type="dxa" w:w="2769"/>
          </w:tcPr>
          <w:p>
            <w:pPr>
              <w:pStyle w:val="null3"/>
              <w:jc w:val="left"/>
            </w:pPr>
          </w:p>
        </w:tc>
      </w:tr>
      <w:tr>
        <w:tc>
          <w:tcPr>
            <w:tcW w:type="dxa" w:w="2769"/>
          </w:tcPr>
          <w:p>
            <w:pPr>
              <w:pStyle w:val="null3"/>
              <w:jc w:val="left"/>
            </w:pPr>
            <w:r>
              <w:rPr/>
              <w:t>第二节 第4.4款</w:t>
            </w:r>
          </w:p>
        </w:tc>
        <w:tc>
          <w:tcPr>
            <w:tcW w:type="dxa" w:w="2769"/>
          </w:tcPr>
          <w:p>
            <w:pPr>
              <w:pStyle w:val="null3"/>
              <w:jc w:val="left"/>
            </w:pPr>
            <w:r>
              <w:rPr/>
              <w:t>履约验收中甲方提出异议或作出说明的期限</w:t>
            </w:r>
          </w:p>
        </w:tc>
        <w:tc>
          <w:tcPr>
            <w:tcW w:type="dxa" w:w="2769"/>
          </w:tcPr>
          <w:p>
            <w:pPr>
              <w:pStyle w:val="null3"/>
              <w:jc w:val="left"/>
            </w:pPr>
          </w:p>
        </w:tc>
      </w:tr>
      <w:tr>
        <w:tc>
          <w:tcPr>
            <w:tcW w:type="dxa" w:w="2769"/>
          </w:tcPr>
          <w:p>
            <w:pPr>
              <w:pStyle w:val="null3"/>
              <w:jc w:val="left"/>
            </w:pPr>
            <w:r>
              <w:rPr/>
              <w:t>第二节 第4.6款</w:t>
            </w:r>
          </w:p>
        </w:tc>
        <w:tc>
          <w:tcPr>
            <w:tcW w:type="dxa" w:w="2769"/>
          </w:tcPr>
          <w:p>
            <w:pPr>
              <w:pStyle w:val="null3"/>
              <w:jc w:val="left"/>
            </w:pPr>
            <w:r>
              <w:rPr/>
              <w:t>约定甲方承担的其他义务和责任</w:t>
            </w:r>
          </w:p>
        </w:tc>
        <w:tc>
          <w:tcPr>
            <w:tcW w:type="dxa" w:w="2769"/>
          </w:tcPr>
          <w:p>
            <w:pPr>
              <w:pStyle w:val="null3"/>
              <w:jc w:val="left"/>
            </w:pPr>
          </w:p>
        </w:tc>
      </w:tr>
      <w:tr>
        <w:tc>
          <w:tcPr>
            <w:tcW w:type="dxa" w:w="2769"/>
          </w:tcPr>
          <w:p>
            <w:pPr>
              <w:pStyle w:val="null3"/>
              <w:jc w:val="left"/>
            </w:pPr>
            <w:r>
              <w:rPr/>
              <w:t>第二节 第5.4款</w:t>
            </w:r>
          </w:p>
        </w:tc>
        <w:tc>
          <w:tcPr>
            <w:tcW w:type="dxa" w:w="2769"/>
          </w:tcPr>
          <w:p>
            <w:pPr>
              <w:pStyle w:val="null3"/>
              <w:jc w:val="left"/>
            </w:pPr>
            <w:r>
              <w:rPr/>
              <w:t>约定乙方承担的其他义务和责任</w:t>
            </w:r>
          </w:p>
        </w:tc>
        <w:tc>
          <w:tcPr>
            <w:tcW w:type="dxa" w:w="2769"/>
          </w:tcPr>
          <w:p>
            <w:pPr>
              <w:pStyle w:val="null3"/>
              <w:jc w:val="left"/>
            </w:pPr>
          </w:p>
        </w:tc>
      </w:tr>
      <w:tr>
        <w:tc>
          <w:tcPr>
            <w:tcW w:type="dxa" w:w="2769"/>
          </w:tcPr>
          <w:p>
            <w:pPr>
              <w:pStyle w:val="null3"/>
              <w:jc w:val="left"/>
            </w:pPr>
            <w:r>
              <w:rPr/>
              <w:t>第二节 第6.1款</w:t>
            </w:r>
          </w:p>
        </w:tc>
        <w:tc>
          <w:tcPr>
            <w:tcW w:type="dxa" w:w="2769"/>
          </w:tcPr>
          <w:p>
            <w:pPr>
              <w:pStyle w:val="null3"/>
              <w:jc w:val="left"/>
            </w:pPr>
            <w:r>
              <w:rPr/>
              <w:t>履行合同义务的顺序</w:t>
            </w:r>
          </w:p>
        </w:tc>
        <w:tc>
          <w:tcPr>
            <w:tcW w:type="dxa" w:w="2769"/>
          </w:tcPr>
          <w:p>
            <w:pPr>
              <w:pStyle w:val="null3"/>
              <w:jc w:val="left"/>
            </w:pPr>
          </w:p>
        </w:tc>
      </w:tr>
      <w:tr>
        <w:tc>
          <w:tcPr>
            <w:tcW w:type="dxa" w:w="2769"/>
            <w:vMerge w:val="restart"/>
          </w:tcPr>
          <w:p>
            <w:pPr>
              <w:pStyle w:val="null3"/>
              <w:jc w:val="left"/>
            </w:pPr>
            <w:r>
              <w:rPr/>
              <w:t>第二节 第7.1款</w:t>
            </w:r>
          </w:p>
        </w:tc>
        <w:tc>
          <w:tcPr>
            <w:tcW w:type="dxa" w:w="2769"/>
          </w:tcPr>
          <w:p>
            <w:pPr>
              <w:pStyle w:val="null3"/>
              <w:jc w:val="left"/>
            </w:pPr>
            <w:r>
              <w:rPr/>
              <w:t>包装特殊要求</w:t>
            </w:r>
          </w:p>
        </w:tc>
        <w:tc>
          <w:tcPr>
            <w:tcW w:type="dxa" w:w="2769"/>
          </w:tcPr>
          <w:p>
            <w:pPr>
              <w:pStyle w:val="null3"/>
              <w:jc w:val="left"/>
            </w:pPr>
          </w:p>
        </w:tc>
      </w:tr>
      <w:tr>
        <w:tc>
          <w:tcPr>
            <w:tcW w:type="dxa" w:w="2769"/>
            <w:vMerge/>
          </w:tcPr>
          <w:p/>
        </w:tc>
        <w:tc>
          <w:tcPr>
            <w:tcW w:type="dxa" w:w="2769"/>
          </w:tcPr>
          <w:p>
            <w:pPr>
              <w:pStyle w:val="null3"/>
              <w:jc w:val="left"/>
            </w:pPr>
            <w:r>
              <w:rPr/>
              <w:t>指定现场</w:t>
            </w:r>
          </w:p>
        </w:tc>
        <w:tc>
          <w:tcPr>
            <w:tcW w:type="dxa" w:w="2769"/>
          </w:tcPr>
          <w:p>
            <w:pPr>
              <w:pStyle w:val="null3"/>
              <w:jc w:val="left"/>
            </w:pPr>
          </w:p>
        </w:tc>
      </w:tr>
      <w:tr>
        <w:tc>
          <w:tcPr>
            <w:tcW w:type="dxa" w:w="2769"/>
          </w:tcPr>
          <w:p>
            <w:pPr>
              <w:pStyle w:val="null3"/>
              <w:jc w:val="left"/>
            </w:pPr>
            <w:r>
              <w:rPr/>
              <w:t>第二节 第7.2款</w:t>
            </w:r>
          </w:p>
        </w:tc>
        <w:tc>
          <w:tcPr>
            <w:tcW w:type="dxa" w:w="2769"/>
          </w:tcPr>
          <w:p>
            <w:pPr>
              <w:pStyle w:val="null3"/>
              <w:jc w:val="left"/>
            </w:pPr>
            <w:r>
              <w:rPr/>
              <w:t>运输特殊要求</w:t>
            </w:r>
          </w:p>
        </w:tc>
        <w:tc>
          <w:tcPr>
            <w:tcW w:type="dxa" w:w="2769"/>
          </w:tcPr>
          <w:p>
            <w:pPr>
              <w:pStyle w:val="null3"/>
              <w:jc w:val="left"/>
            </w:pPr>
          </w:p>
        </w:tc>
      </w:tr>
      <w:tr>
        <w:tc>
          <w:tcPr>
            <w:tcW w:type="dxa" w:w="2769"/>
          </w:tcPr>
          <w:p>
            <w:pPr>
              <w:pStyle w:val="null3"/>
              <w:jc w:val="left"/>
            </w:pPr>
            <w:r>
              <w:rPr/>
              <w:t>第二节 第7.3款</w:t>
            </w:r>
          </w:p>
        </w:tc>
        <w:tc>
          <w:tcPr>
            <w:tcW w:type="dxa" w:w="2769"/>
          </w:tcPr>
          <w:p>
            <w:pPr>
              <w:pStyle w:val="null3"/>
              <w:jc w:val="left"/>
            </w:pPr>
            <w:r>
              <w:rPr/>
              <w:t>保险要求</w:t>
            </w:r>
          </w:p>
        </w:tc>
        <w:tc>
          <w:tcPr>
            <w:tcW w:type="dxa" w:w="2769"/>
          </w:tcPr>
          <w:p>
            <w:pPr>
              <w:pStyle w:val="null3"/>
              <w:jc w:val="left"/>
            </w:pPr>
          </w:p>
        </w:tc>
      </w:tr>
      <w:tr>
        <w:tc>
          <w:tcPr>
            <w:tcW w:type="dxa" w:w="2769"/>
          </w:tcPr>
          <w:p>
            <w:pPr>
              <w:pStyle w:val="null3"/>
              <w:jc w:val="left"/>
            </w:pPr>
            <w:r>
              <w:rPr/>
              <w:t>第二节 第8.2（1）项</w:t>
            </w:r>
          </w:p>
        </w:tc>
        <w:tc>
          <w:tcPr>
            <w:tcW w:type="dxa" w:w="2769"/>
          </w:tcPr>
          <w:p>
            <w:pPr>
              <w:pStyle w:val="null3"/>
              <w:jc w:val="left"/>
            </w:pPr>
            <w:r>
              <w:rPr/>
              <w:t>质量保证期</w:t>
            </w:r>
          </w:p>
        </w:tc>
        <w:tc>
          <w:tcPr>
            <w:tcW w:type="dxa" w:w="2769"/>
          </w:tcPr>
          <w:p/>
        </w:tc>
      </w:tr>
      <w:tr>
        <w:tc>
          <w:tcPr>
            <w:tcW w:type="dxa" w:w="2769"/>
          </w:tcPr>
          <w:p>
            <w:pPr>
              <w:pStyle w:val="null3"/>
              <w:jc w:val="left"/>
            </w:pPr>
            <w:r>
              <w:rPr/>
              <w:t>第二节 第8.2（3）项</w:t>
            </w:r>
          </w:p>
        </w:tc>
        <w:tc>
          <w:tcPr>
            <w:tcW w:type="dxa" w:w="2769"/>
          </w:tcPr>
          <w:p>
            <w:pPr>
              <w:pStyle w:val="null3"/>
              <w:jc w:val="left"/>
            </w:pPr>
            <w:r>
              <w:rPr/>
              <w:t>货物质量缺陷响应时间</w:t>
            </w:r>
          </w:p>
        </w:tc>
        <w:tc>
          <w:tcPr>
            <w:tcW w:type="dxa" w:w="2769"/>
          </w:tcPr>
          <w:p/>
        </w:tc>
      </w:tr>
      <w:tr>
        <w:tc>
          <w:tcPr>
            <w:tcW w:type="dxa" w:w="2769"/>
          </w:tcPr>
          <w:p>
            <w:pPr>
              <w:pStyle w:val="null3"/>
              <w:jc w:val="left"/>
            </w:pPr>
            <w:r>
              <w:rPr/>
              <w:t>第二节 第11.1款</w:t>
            </w:r>
          </w:p>
        </w:tc>
        <w:tc>
          <w:tcPr>
            <w:tcW w:type="dxa" w:w="2769"/>
          </w:tcPr>
          <w:p>
            <w:pPr>
              <w:pStyle w:val="null3"/>
              <w:jc w:val="left"/>
            </w:pPr>
            <w:r>
              <w:rPr/>
              <w:t>其他应当保密的信息</w:t>
            </w:r>
          </w:p>
        </w:tc>
        <w:tc>
          <w:tcPr>
            <w:tcW w:type="dxa" w:w="2769"/>
          </w:tcPr>
          <w:p/>
        </w:tc>
      </w:tr>
      <w:tr>
        <w:tc>
          <w:tcPr>
            <w:tcW w:type="dxa" w:w="2769"/>
          </w:tcPr>
          <w:p>
            <w:pPr>
              <w:pStyle w:val="null3"/>
              <w:jc w:val="left"/>
            </w:pPr>
            <w:r>
              <w:rPr/>
              <w:t>第二节 第12.2款</w:t>
            </w:r>
          </w:p>
        </w:tc>
        <w:tc>
          <w:tcPr>
            <w:tcW w:type="dxa" w:w="2769"/>
          </w:tcPr>
          <w:p>
            <w:pPr>
              <w:pStyle w:val="null3"/>
              <w:jc w:val="left"/>
            </w:pPr>
            <w:r>
              <w:rPr/>
              <w:t>合同价款支付时间</w:t>
            </w:r>
          </w:p>
        </w:tc>
        <w:tc>
          <w:tcPr>
            <w:tcW w:type="dxa" w:w="2769"/>
          </w:tcPr>
          <w:p/>
        </w:tc>
      </w:tr>
      <w:tr>
        <w:tc>
          <w:tcPr>
            <w:tcW w:type="dxa" w:w="2769"/>
          </w:tcPr>
          <w:p>
            <w:pPr>
              <w:pStyle w:val="null3"/>
              <w:jc w:val="left"/>
            </w:pPr>
            <w:r>
              <w:rPr/>
              <w:t>第二节 第13.2款</w:t>
            </w:r>
          </w:p>
        </w:tc>
        <w:tc>
          <w:tcPr>
            <w:tcW w:type="dxa" w:w="2769"/>
          </w:tcPr>
          <w:p>
            <w:pPr>
              <w:pStyle w:val="null3"/>
              <w:jc w:val="left"/>
            </w:pPr>
            <w:r>
              <w:rPr/>
              <w:t>履约保证金不予退还的情形</w:t>
            </w:r>
          </w:p>
        </w:tc>
        <w:tc>
          <w:tcPr>
            <w:tcW w:type="dxa" w:w="2769"/>
          </w:tcPr>
          <w:p/>
        </w:tc>
      </w:tr>
      <w:tr>
        <w:tc>
          <w:tcPr>
            <w:tcW w:type="dxa" w:w="2769"/>
          </w:tcPr>
          <w:p>
            <w:pPr>
              <w:pStyle w:val="null3"/>
              <w:jc w:val="left"/>
            </w:pPr>
            <w:r>
              <w:rPr/>
              <w:t>第二节 第13.3款</w:t>
            </w:r>
          </w:p>
        </w:tc>
        <w:tc>
          <w:tcPr>
            <w:tcW w:type="dxa" w:w="2769"/>
          </w:tcPr>
          <w:p>
            <w:pPr>
              <w:pStyle w:val="null3"/>
              <w:jc w:val="left"/>
            </w:pPr>
            <w:r>
              <w:rPr/>
              <w:t>履约保证金退还时间及逾期退还的违约金</w:t>
            </w:r>
          </w:p>
        </w:tc>
        <w:tc>
          <w:tcPr>
            <w:tcW w:type="dxa" w:w="2769"/>
          </w:tcPr>
          <w:p/>
        </w:tc>
      </w:tr>
      <w:tr>
        <w:tc>
          <w:tcPr>
            <w:tcW w:type="dxa" w:w="2769"/>
          </w:tcPr>
          <w:p>
            <w:pPr>
              <w:pStyle w:val="null3"/>
              <w:jc w:val="left"/>
            </w:pPr>
            <w:r>
              <w:rPr/>
              <w:t>第二节 第14.1（3）项</w:t>
            </w:r>
          </w:p>
        </w:tc>
        <w:tc>
          <w:tcPr>
            <w:tcW w:type="dxa" w:w="2769"/>
          </w:tcPr>
          <w:p>
            <w:pPr>
              <w:pStyle w:val="null3"/>
              <w:jc w:val="left"/>
            </w:pPr>
            <w:r>
              <w:rPr/>
              <w:t>运行监督、维修期限</w:t>
            </w:r>
          </w:p>
        </w:tc>
        <w:tc>
          <w:tcPr>
            <w:tcW w:type="dxa" w:w="2769"/>
          </w:tcPr>
          <w:p/>
        </w:tc>
      </w:tr>
      <w:tr>
        <w:tc>
          <w:tcPr>
            <w:tcW w:type="dxa" w:w="2769"/>
          </w:tcPr>
          <w:p>
            <w:pPr>
              <w:pStyle w:val="null3"/>
              <w:jc w:val="left"/>
            </w:pPr>
            <w:r>
              <w:rPr/>
              <w:t>第二节 第14.1（5）项</w:t>
            </w:r>
          </w:p>
        </w:tc>
        <w:tc>
          <w:tcPr>
            <w:tcW w:type="dxa" w:w="2769"/>
          </w:tcPr>
          <w:p>
            <w:pPr>
              <w:pStyle w:val="null3"/>
              <w:jc w:val="left"/>
            </w:pPr>
            <w:r>
              <w:rPr/>
              <w:t>货物回收的约定</w:t>
            </w:r>
          </w:p>
        </w:tc>
        <w:tc>
          <w:tcPr>
            <w:tcW w:type="dxa" w:w="2769"/>
          </w:tcPr>
          <w:p/>
        </w:tc>
      </w:tr>
      <w:tr>
        <w:tc>
          <w:tcPr>
            <w:tcW w:type="dxa" w:w="2769"/>
          </w:tcPr>
          <w:p>
            <w:pPr>
              <w:pStyle w:val="null3"/>
              <w:jc w:val="left"/>
            </w:pPr>
            <w:r>
              <w:rPr/>
              <w:t>第二节 第14.1（6）项</w:t>
            </w:r>
          </w:p>
        </w:tc>
        <w:tc>
          <w:tcPr>
            <w:tcW w:type="dxa" w:w="2769"/>
          </w:tcPr>
          <w:p>
            <w:pPr>
              <w:pStyle w:val="null3"/>
              <w:jc w:val="left"/>
            </w:pPr>
            <w:r>
              <w:rPr/>
              <w:t>乙方提供的其他服务</w:t>
            </w:r>
          </w:p>
        </w:tc>
        <w:tc>
          <w:tcPr>
            <w:tcW w:type="dxa" w:w="2769"/>
          </w:tcPr>
          <w:p/>
        </w:tc>
      </w:tr>
      <w:tr>
        <w:tc>
          <w:tcPr>
            <w:tcW w:type="dxa" w:w="2769"/>
          </w:tcPr>
          <w:p>
            <w:pPr>
              <w:pStyle w:val="null3"/>
              <w:jc w:val="left"/>
            </w:pPr>
            <w:r>
              <w:rPr/>
              <w:t>第二节 第15.1款</w:t>
            </w:r>
          </w:p>
        </w:tc>
        <w:tc>
          <w:tcPr>
            <w:tcW w:type="dxa" w:w="2769"/>
          </w:tcPr>
          <w:p>
            <w:pPr>
              <w:pStyle w:val="null3"/>
              <w:jc w:val="left"/>
            </w:pPr>
            <w:r>
              <w:rPr/>
              <w:t>修理、重作、更换相关具体规定</w:t>
            </w:r>
          </w:p>
        </w:tc>
        <w:tc>
          <w:tcPr>
            <w:tcW w:type="dxa" w:w="2769"/>
          </w:tcPr>
          <w:p/>
        </w:tc>
      </w:tr>
      <w:tr>
        <w:tc>
          <w:tcPr>
            <w:tcW w:type="dxa" w:w="2769"/>
          </w:tcPr>
          <w:p>
            <w:pPr>
              <w:pStyle w:val="null3"/>
              <w:jc w:val="left"/>
            </w:pPr>
            <w:r>
              <w:rPr/>
              <w:t>第二节 第15.2（2）项</w:t>
            </w:r>
          </w:p>
        </w:tc>
        <w:tc>
          <w:tcPr>
            <w:tcW w:type="dxa" w:w="2769"/>
          </w:tcPr>
          <w:p>
            <w:pPr>
              <w:pStyle w:val="null3"/>
              <w:jc w:val="left"/>
            </w:pPr>
            <w:r>
              <w:rPr/>
              <w:t>迟延交货赔偿费</w:t>
            </w:r>
          </w:p>
        </w:tc>
        <w:tc>
          <w:tcPr>
            <w:tcW w:type="dxa" w:w="2769"/>
          </w:tcPr>
          <w:p/>
        </w:tc>
      </w:tr>
      <w:tr>
        <w:tc>
          <w:tcPr>
            <w:tcW w:type="dxa" w:w="2769"/>
          </w:tcPr>
          <w:p>
            <w:pPr>
              <w:pStyle w:val="null3"/>
              <w:jc w:val="left"/>
            </w:pPr>
            <w:r>
              <w:rPr/>
              <w:t>第二节 第15.3款</w:t>
            </w:r>
          </w:p>
        </w:tc>
        <w:tc>
          <w:tcPr>
            <w:tcW w:type="dxa" w:w="2769"/>
          </w:tcPr>
          <w:p>
            <w:pPr>
              <w:pStyle w:val="null3"/>
              <w:jc w:val="left"/>
            </w:pPr>
            <w:r>
              <w:rPr/>
              <w:t>逾期付款利息</w:t>
            </w:r>
          </w:p>
        </w:tc>
        <w:tc>
          <w:tcPr>
            <w:tcW w:type="dxa" w:w="2769"/>
          </w:tcPr>
          <w:p/>
        </w:tc>
      </w:tr>
      <w:tr>
        <w:tc>
          <w:tcPr>
            <w:tcW w:type="dxa" w:w="2769"/>
          </w:tcPr>
          <w:p>
            <w:pPr>
              <w:pStyle w:val="null3"/>
              <w:jc w:val="left"/>
            </w:pPr>
            <w:r>
              <w:rPr/>
              <w:t>第二节 第15.4款</w:t>
            </w:r>
          </w:p>
        </w:tc>
        <w:tc>
          <w:tcPr>
            <w:tcW w:type="dxa" w:w="2769"/>
          </w:tcPr>
          <w:p>
            <w:pPr>
              <w:pStyle w:val="null3"/>
              <w:jc w:val="left"/>
            </w:pPr>
            <w:r>
              <w:rPr/>
              <w:t>其他违约责任</w:t>
            </w:r>
          </w:p>
        </w:tc>
        <w:tc>
          <w:tcPr>
            <w:tcW w:type="dxa" w:w="2769"/>
          </w:tcPr>
          <w:p/>
        </w:tc>
      </w:tr>
      <w:tr>
        <w:tc>
          <w:tcPr>
            <w:tcW w:type="dxa" w:w="2769"/>
          </w:tcPr>
          <w:p>
            <w:pPr>
              <w:pStyle w:val="null3"/>
              <w:jc w:val="left"/>
            </w:pPr>
            <w:r>
              <w:rPr/>
              <w:t>第二节 第19.2款</w:t>
            </w:r>
          </w:p>
        </w:tc>
        <w:tc>
          <w:tcPr>
            <w:tcW w:type="dxa" w:w="2769"/>
          </w:tcPr>
          <w:p>
            <w:pPr>
              <w:pStyle w:val="null3"/>
              <w:jc w:val="left"/>
            </w:pPr>
            <w:r>
              <w:rPr/>
              <w:t>解决争议的方法</w:t>
            </w:r>
          </w:p>
        </w:tc>
        <w:tc>
          <w:tcPr>
            <w:tcW w:type="dxa" w:w="2769"/>
          </w:tcPr>
          <w:p>
            <w:pPr>
              <w:pStyle w:val="null3"/>
              <w:jc w:val="left"/>
            </w:pPr>
            <w:r>
              <w:rPr/>
              <w:t xml:space="preserve"> 因本合同及合同有关事项发生的争议，按下列第</w:t>
            </w:r>
            <w:r>
              <w:rPr/>
              <w:t>____</w:t>
            </w:r>
            <w:r>
              <w:rPr/>
              <w:t xml:space="preserve"> 种方式解决：</w:t>
            </w:r>
          </w:p>
          <w:p>
            <w:pPr>
              <w:pStyle w:val="null3"/>
              <w:jc w:val="left"/>
            </w:pPr>
            <w:r>
              <w:rPr/>
              <w:t xml:space="preserve"> （1）向 </w:t>
            </w:r>
            <w:r>
              <w:rPr/>
              <w:t>__________________</w:t>
            </w:r>
            <w:r>
              <w:rPr/>
              <w:t xml:space="preserve">仲裁委员会申请仲裁，仲裁地点为 </w:t>
            </w:r>
            <w:r>
              <w:rPr/>
              <w:t>____________</w:t>
            </w:r>
            <w:r>
              <w:rPr/>
              <w:t xml:space="preserve"> ；</w:t>
            </w:r>
          </w:p>
          <w:p>
            <w:pPr>
              <w:pStyle w:val="null3"/>
              <w:jc w:val="left"/>
            </w:pPr>
            <w:r>
              <w:rPr/>
              <w:t xml:space="preserve"> （2）向</w:t>
            </w:r>
            <w:r>
              <w:rPr/>
              <w:t>__________________</w:t>
            </w:r>
            <w:r>
              <w:rPr/>
              <w:t>人民法院起诉。</w:t>
            </w:r>
          </w:p>
        </w:tc>
      </w:tr>
      <w:tr>
        <w:tc>
          <w:tcPr>
            <w:tcW w:type="dxa" w:w="2769"/>
          </w:tcPr>
          <w:p>
            <w:pPr>
              <w:pStyle w:val="null3"/>
              <w:jc w:val="left"/>
            </w:pPr>
            <w:r>
              <w:rPr/>
              <w:t>第二节 第23.1款</w:t>
            </w:r>
          </w:p>
        </w:tc>
        <w:tc>
          <w:tcPr>
            <w:tcW w:type="dxa" w:w="2769"/>
          </w:tcPr>
          <w:p>
            <w:pPr>
              <w:pStyle w:val="null3"/>
              <w:jc w:val="left"/>
            </w:pPr>
            <w:r>
              <w:rPr/>
              <w:t>其他专用条款</w:t>
            </w:r>
          </w:p>
        </w:tc>
        <w:tc>
          <w:tcPr>
            <w:tcW w:type="dxa" w:w="2769"/>
          </w:tcPr>
          <w:p/>
        </w:tc>
      </w:tr>
    </w:tbl>
    <w:p>
      <w:pPr>
        <w:pStyle w:val="null3"/>
        <w:jc w:val="left"/>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①开标（报价）一览表</w:t>
      </w:r>
    </w:p>
    <w:p>
      <w:pPr>
        <w:pStyle w:val="null3"/>
        <w:ind w:firstLine="480"/>
        <w:jc w:val="left"/>
      </w:pPr>
      <w:r>
        <w:rPr/>
        <w:t>②投标（响应）报价明细表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1.1所投采购包的投标报价详见“开标（报价）一览表”及“投标（响应）报价明细表”。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通信地址：</w:t>
      </w:r>
    </w:p>
    <w:p>
      <w:pPr>
        <w:pStyle w:val="null3"/>
        <w:ind w:firstLine="480"/>
        <w:jc w:val="left"/>
      </w:pPr>
      <w:r>
        <w:rPr/>
        <w:t>邮编：</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jc w:val="left"/>
      </w:pPr>
      <w:r>
        <w:rPr/>
        <w:t xml:space="preserve"> </w:t>
        <w:br/>
        <w:br w:type="page"/>
      </w:r>
    </w:p>
    <w:p>
      <w:pPr>
        <w:pStyle w:val="null3"/>
        <w:jc w:val="center"/>
        <w:outlineLvl w:val="3"/>
      </w:pPr>
      <w:r>
        <w:rPr>
          <w:sz w:val="24"/>
          <w:b/>
        </w:rPr>
        <w:t>二-2营业执照等证明文件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二-3财务状况报告（财务报告、或资信证明）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二-4依法缴纳税收证明材料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二-5依法缴纳社会保障资金证明材料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二-6具备履行合同所必需设备和专业技术能力的声明函（若有）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二-7参加采购活动前三年内在经营活动中没有重大违法记录书面声明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二-8信用记录查询提示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二-9中小企业声明函</w:t>
      </w:r>
    </w:p>
    <w:p>
      <w:pPr>
        <w:pStyle w:val="null3"/>
        <w:jc w:val="center"/>
        <w:outlineLvl w:val="3"/>
      </w:pPr>
      <w:r>
        <w:rPr>
          <w:sz w:val="24"/>
          <w:b/>
        </w:rPr>
        <w:t>（以资格条件落实中小企业扶持政策时适用，若有）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残疾人福利性单位声明函</w:t>
      </w:r>
    </w:p>
    <w:p>
      <w:pPr>
        <w:pStyle w:val="null3"/>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二-10联合体协议（若有）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二-11分包意向协议（若有）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二-12其他资格证明文件（若有）</w:t>
      </w:r>
    </w:p>
    <w:p>
      <w:pPr>
        <w:pStyle w:val="null3"/>
        <w:jc w:val="center"/>
        <w:outlineLvl w:val="3"/>
      </w:pPr>
      <w:r>
        <w:rPr>
          <w:sz w:val="24"/>
          <w:b/>
        </w:rPr>
        <w:t>二-12-①具备履行合同所必需设备和专业技术能力专项证明材料（若有）</w:t>
      </w:r>
    </w:p>
    <w:p>
      <w:pPr>
        <w:pStyle w:val="null3"/>
        <w:ind w:firstLine="480"/>
        <w:jc w:val="left"/>
      </w:pPr>
      <w:r>
        <w:rPr/>
        <w:t>致：</w:t>
      </w:r>
      <w:r>
        <w:rPr>
          <w:u w:val="single"/>
        </w:rPr>
        <w:t>（采购人或采购代理机构）</w:t>
      </w:r>
    </w:p>
    <w:p>
      <w:pPr>
        <w:pStyle w:val="null3"/>
        <w:ind w:firstLine="480"/>
        <w:jc w:val="left"/>
      </w:pPr>
      <w:r>
        <w:rPr/>
        <w:t>现附上我方具备履行合同所必需的设备和专业技术能力的专项证明材料复印件（具体附后），上述证明材料真实有效，否则我方负全部责任。</w:t>
      </w:r>
    </w:p>
    <w:p>
      <w:pPr>
        <w:pStyle w:val="null3"/>
        <w:ind w:firstLine="480"/>
        <w:jc w:val="left"/>
      </w:pPr>
      <w:r>
        <w:rPr/>
        <w:t>※注意：</w:t>
      </w:r>
    </w:p>
    <w:p>
      <w:pPr>
        <w:pStyle w:val="null3"/>
        <w:ind w:firstLine="480"/>
        <w:jc w:val="left"/>
      </w:pPr>
      <w:r>
        <w:rPr/>
        <w:t>1、招标文件要求投标人提供“具备履行合同所必需的设备和专业技术能力专项证明材料”的，投标人应按照招标文件规定在此项下提供相应证明材料复印件。</w:t>
      </w:r>
    </w:p>
    <w:p>
      <w:pPr>
        <w:pStyle w:val="null3"/>
        <w:ind w:firstLine="480"/>
        <w:jc w:val="left"/>
      </w:pPr>
      <w:r>
        <w:rPr/>
        <w:t>2、投标人提供的相应证明材料复印件均应符合：内容完整、清晰、整洁，并由投标人加盖其单位公章。</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二-12-②招标文件规定的其他资格证明文件（若有）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一、开标（报价）一览表</w:t>
      </w:r>
    </w:p>
    <w:p>
      <w:pPr>
        <w:pStyle w:val="null3"/>
        <w:ind w:firstLine="480"/>
        <w:jc w:val="left"/>
      </w:pPr>
      <w:r>
        <w:rPr/>
        <w:t>二、投标（响应）报价明细表</w:t>
      </w:r>
    </w:p>
    <w:p>
      <w:pPr>
        <w:pStyle w:val="null3"/>
        <w:ind w:firstLine="480"/>
        <w:jc w:val="left"/>
      </w:pPr>
      <w:r>
        <w:rPr/>
        <w:t>三、招标文件规定的价格扣除证明材料（若有）</w:t>
      </w:r>
    </w:p>
    <w:p>
      <w:pPr>
        <w:pStyle w:val="null3"/>
        <w:ind w:firstLine="480"/>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[350201]FJXFZB[GK]2024001</w:t>
      </w:r>
    </w:p>
    <w:p>
      <w:pPr>
        <w:pStyle w:val="null3"/>
        <w:jc w:val="left"/>
      </w:pPr>
      <w:r>
        <w:rPr/>
        <w:t>项目名称：</w:t>
      </w:r>
      <w:r>
        <w:rPr/>
        <w:t>厦门市海事大楼二类固定监测站升级改造项目</w:t>
      </w:r>
    </w:p>
    <w:p>
      <w:pPr>
        <w:pStyle w:val="null3"/>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报价内容</w:t>
            </w:r>
          </w:p>
        </w:tc>
        <w:tc>
          <w:tcPr>
            <w:tcW w:type="dxa" w:w="1384"/>
          </w:tcPr>
          <w:p>
            <w:pPr>
              <w:pStyle w:val="null3"/>
              <w:jc w:val="left"/>
            </w:pPr>
            <w:r>
              <w:rPr/>
              <w:t xml:space="preserve"> 计量单位</w:t>
            </w:r>
          </w:p>
        </w:tc>
        <w:tc>
          <w:tcPr>
            <w:tcW w:type="dxa" w:w="1384"/>
          </w:tcPr>
          <w:p>
            <w:pPr>
              <w:pStyle w:val="null3"/>
              <w:jc w:val="left"/>
            </w:pPr>
            <w:r>
              <w:rPr/>
              <w:t xml:space="preserve"> 最高限价</w:t>
            </w:r>
          </w:p>
        </w:tc>
        <w:tc>
          <w:tcPr>
            <w:tcW w:type="dxa" w:w="1384"/>
          </w:tcPr>
          <w:p>
            <w:pPr>
              <w:pStyle w:val="null3"/>
              <w:jc w:val="left"/>
            </w:pPr>
            <w:r>
              <w:rPr/>
              <w:t xml:space="preserve"> 响应报价</w:t>
            </w:r>
          </w:p>
        </w:tc>
        <w:tc>
          <w:tcPr>
            <w:tcW w:type="dxa" w:w="1384"/>
          </w:tcPr>
          <w:p>
            <w:pPr>
              <w:pStyle w:val="null3"/>
              <w:jc w:val="left"/>
            </w:pPr>
            <w:r>
              <w:rPr/>
              <w:t xml:space="preserve"> 价款形式</w:t>
            </w:r>
          </w:p>
        </w:tc>
      </w:tr>
      <w:tr>
        <w:tc>
          <w:tcPr>
            <w:tcW w:type="dxa" w:w="1384"/>
          </w:tcPr>
          <w:p>
            <w:pPr>
              <w:pStyle w:val="null3"/>
              <w:jc w:val="left"/>
            </w:pPr>
            <w:r>
              <w:rPr/>
              <w:t xml:space="preserve"> 1</w:t>
            </w:r>
          </w:p>
        </w:tc>
        <w:tc>
          <w:tcPr>
            <w:tcW w:type="dxa" w:w="1384"/>
          </w:tcPr>
          <w:p>
            <w:pPr>
              <w:pStyle w:val="null3"/>
              <w:jc w:val="left"/>
            </w:pPr>
            <w:r>
              <w:rPr/>
              <w:t xml:space="preserve"> 厦门市海事大楼二类固定监测站升级改造</w:t>
            </w:r>
          </w:p>
        </w:tc>
        <w:tc>
          <w:tcPr>
            <w:tcW w:type="dxa" w:w="1384"/>
          </w:tcPr>
          <w:p>
            <w:pPr>
              <w:pStyle w:val="null3"/>
              <w:jc w:val="left"/>
            </w:pPr>
            <w:r>
              <w:rPr/>
              <w:t xml:space="preserve"> 批</w:t>
            </w:r>
          </w:p>
        </w:tc>
        <w:tc>
          <w:tcPr>
            <w:tcW w:type="dxa" w:w="1384"/>
          </w:tcPr>
          <w:p>
            <w:pPr>
              <w:pStyle w:val="null3"/>
              <w:jc w:val="left"/>
            </w:pPr>
            <w:r>
              <w:rPr/>
              <w:t xml:space="preserve"> 1800000.00 </w:t>
            </w:r>
            <w:r>
              <w:rPr/>
              <w:t xml:space="preserve"> 元</w:t>
            </w:r>
          </w:p>
        </w:tc>
        <w:tc>
          <w:tcPr>
            <w:tcW w:type="dxa" w:w="1384"/>
          </w:tcPr>
          <w:p>
            <w:pPr>
              <w:pStyle w:val="null3"/>
              <w:jc w:val="left"/>
            </w:pPr>
            <w:r>
              <w:rPr/>
              <w:t xml:space="preserve"> 「汇总引用」 </w:t>
            </w:r>
            <w:r>
              <w:rPr/>
              <w:t xml:space="preserve"> 元</w:t>
            </w:r>
          </w:p>
        </w:tc>
        <w:tc>
          <w:tcPr>
            <w:tcW w:type="dxa" w:w="1384"/>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[350201]FJXFZB[GK]2024001</w:t>
      </w:r>
    </w:p>
    <w:p>
      <w:pPr>
        <w:pStyle w:val="null3"/>
        <w:jc w:val="left"/>
      </w:pPr>
      <w:r>
        <w:rPr/>
        <w:t>项目名称：</w:t>
      </w:r>
      <w:r>
        <w:rPr/>
        <w:t>厦门市海事大楼二类固定监测站升级改造项目</w:t>
      </w:r>
    </w:p>
    <w:p>
      <w:pPr>
        <w:pStyle w:val="null3"/>
        <w:jc w:val="left"/>
      </w:pPr>
      <w:r>
        <w:rPr/>
        <w:t xml:space="preserve"> 厦门市海事大楼二类固定监测站升级改造</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天馈系统</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w:t>
            </w:r>
          </w:p>
        </w:tc>
        <w:tc>
          <w:tcPr>
            <w:tcW w:type="dxa" w:w="639"/>
          </w:tcPr>
          <w:p>
            <w:pPr>
              <w:pStyle w:val="null3"/>
              <w:jc w:val="left"/>
            </w:pPr>
            <w:r>
              <w:rPr/>
              <w:t xml:space="preserve"> 监测接收机</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w:t>
            </w:r>
          </w:p>
        </w:tc>
        <w:tc>
          <w:tcPr>
            <w:tcW w:type="dxa" w:w="639"/>
          </w:tcPr>
          <w:p>
            <w:pPr>
              <w:pStyle w:val="null3"/>
              <w:jc w:val="left"/>
            </w:pPr>
            <w:r>
              <w:rPr/>
              <w:t xml:space="preserve"> 测向接收机</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4</w:t>
            </w:r>
          </w:p>
        </w:tc>
        <w:tc>
          <w:tcPr>
            <w:tcW w:type="dxa" w:w="639"/>
          </w:tcPr>
          <w:p>
            <w:pPr>
              <w:pStyle w:val="null3"/>
              <w:jc w:val="left"/>
            </w:pPr>
            <w:r>
              <w:rPr/>
              <w:t xml:space="preserve"> 无线电监测测向应用软件</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5</w:t>
            </w:r>
          </w:p>
        </w:tc>
        <w:tc>
          <w:tcPr>
            <w:tcW w:type="dxa" w:w="639"/>
          </w:tcPr>
          <w:p>
            <w:pPr>
              <w:pStyle w:val="null3"/>
              <w:jc w:val="left"/>
            </w:pPr>
            <w:r>
              <w:rPr/>
              <w:t xml:space="preserve"> UPS（含电池组）</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6</w:t>
            </w:r>
          </w:p>
        </w:tc>
        <w:tc>
          <w:tcPr>
            <w:tcW w:type="dxa" w:w="639"/>
          </w:tcPr>
          <w:p>
            <w:pPr>
              <w:pStyle w:val="null3"/>
              <w:jc w:val="left"/>
            </w:pPr>
            <w:r>
              <w:rPr/>
              <w:t xml:space="preserve"> 网络平台</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7</w:t>
            </w:r>
          </w:p>
        </w:tc>
        <w:tc>
          <w:tcPr>
            <w:tcW w:type="dxa" w:w="639"/>
          </w:tcPr>
          <w:p>
            <w:pPr>
              <w:pStyle w:val="null3"/>
              <w:jc w:val="left"/>
            </w:pPr>
            <w:r>
              <w:rPr/>
              <w:t xml:space="preserve"> 集成附件</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批</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8</w:t>
            </w:r>
          </w:p>
        </w:tc>
        <w:tc>
          <w:tcPr>
            <w:tcW w:type="dxa" w:w="639"/>
          </w:tcPr>
          <w:p>
            <w:pPr>
              <w:pStyle w:val="null3"/>
              <w:jc w:val="left"/>
            </w:pPr>
            <w:r>
              <w:rPr/>
              <w:t xml:space="preserve"> 数据处理平台</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9</w:t>
            </w:r>
          </w:p>
        </w:tc>
        <w:tc>
          <w:tcPr>
            <w:tcW w:type="dxa" w:w="639"/>
          </w:tcPr>
          <w:p>
            <w:pPr>
              <w:pStyle w:val="null3"/>
              <w:jc w:val="left"/>
            </w:pPr>
            <w:r>
              <w:rPr/>
              <w:t xml:space="preserve"> 机房/机柜及附属设施</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批</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1、投标人应按照招标文件要求提供相应证明材料，证明材料应与《中小企业声明函》的内容相一致，否则视为《中小企业声明函》内容不真实。</w:t>
      </w:r>
    </w:p>
    <w:p>
      <w:pPr>
        <w:pStyle w:val="null3"/>
        <w:ind w:firstLine="480"/>
        <w:jc w:val="left"/>
      </w:pPr>
      <w:r>
        <w:rPr/>
        <w:t>2、投标人为监狱企业的，根据其提供的由省级以上监狱管理局、戒毒管理局（含新疆生产建设兵团）出具的属于监狱企业的证明文件进行认定，监狱企业视同小型、微型企业。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3、投标人为残疾人福利性单位的，根据其提供的《残疾人福利性单位声明函》（格式附后）进行认定，残疾人福利性单位视同小型、微型企业。残疾人福利性单位属于小型、微型企业的，不重复享受政策。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