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版本号：N511622202600011220260710001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烈面中学女生宿舍及附属设施维修改造工程项目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N5116222026000112</w:t>
      </w:r>
    </w:p>
    <w:p>
      <w:pPr>
        <w:pStyle w:val="null3"/>
        <w:jc w:val="left"/>
        <w:outlineLvl w:val="2"/>
      </w:pPr>
      <w:r>
        <w:rPr>
          <w:rFonts w:ascii="仿宋_GB2312" w:hAnsi="仿宋_GB2312" w:cs="仿宋_GB2312" w:eastAsia="仿宋_GB2312"/>
          <w:sz w:val="28"/>
          <w:b/>
        </w:rPr>
        <w:t>四川省武胜烈面中学校</w:t>
      </w:r>
    </w:p>
    <w:p>
      <w:pPr>
        <w:pStyle w:val="null3"/>
        <w:jc w:val="center"/>
        <w:outlineLvl w:val="2"/>
      </w:pPr>
      <w:r>
        <w:rPr>
          <w:rFonts w:ascii="仿宋_GB2312" w:hAnsi="仿宋_GB2312" w:cs="仿宋_GB2312" w:eastAsia="仿宋_GB2312"/>
          <w:sz w:val="28"/>
          <w:b/>
        </w:rPr>
        <w:t>武胜县政府采购中心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武胜县政府采购中心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四川省武胜烈面中学校</w:t>
      </w:r>
      <w:r>
        <w:rPr>
          <w:rFonts w:ascii="仿宋_GB2312" w:hAnsi="仿宋_GB2312" w:cs="仿宋_GB2312" w:eastAsia="仿宋_GB2312"/>
        </w:rPr>
        <w:t xml:space="preserve"> 委托，拟对 </w:t>
      </w:r>
      <w:r>
        <w:rPr>
          <w:rFonts w:ascii="仿宋_GB2312" w:hAnsi="仿宋_GB2312" w:cs="仿宋_GB2312" w:eastAsia="仿宋_GB2312"/>
        </w:rPr>
        <w:t>烈面中学女生宿舍及附属设施维修改造工程项目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广安市武胜县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N5116222026000112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烈面中学女生宿舍及附属设施维修改造工程项目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本工程主要建设内容: 一是老区女生宿舍室。室内进行改造，包含更换门窗，新增玻璃推拉门，厕所及盥洗间改造，墙面刮白，管道及电路改造，灯具和风扇更换。 二是4栋旧教学楼。淳风楼、淳德楼、淳笃楼、淳和楼四栋老旧教学楼屋面进行防水改造。 三是3个位置的篮球场。老区双篮球场、新区运动场单篮球场、新区女生宿舍外双篮球场进行塑化改造。</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四川省武胜烈面中学校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四川省武胜烈面镇东关路176号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638409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熊祥有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13547503155</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武胜县政府采购中心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四川省广安市武胜县武胜县交通街60号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6300203（文件咨询）、6300083结果咨询（上午9：-12：00 下午13：-17：00）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采购包1：2,559,754.52元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四川省武胜烈面中学校</w:t>
      </w:r>
      <w:r>
        <w:rPr>
          <w:rFonts w:ascii="仿宋_GB2312" w:hAnsi="仿宋_GB2312" w:cs="仿宋_GB2312" w:eastAsia="仿宋_GB2312"/>
        </w:rPr>
        <w:t xml:space="preserve"> 和 </w:t>
      </w:r>
      <w:r>
        <w:rPr>
          <w:rFonts w:ascii="仿宋_GB2312" w:hAnsi="仿宋_GB2312" w:cs="仿宋_GB2312" w:eastAsia="仿宋_GB2312"/>
        </w:rPr>
        <w:t>武胜县政府采购中心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四川省武胜烈面中学校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武胜县政府采购中心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1、 验收条件说明： 完工后， 供应商提出验收申请之日起 ，达到验收条件起 30 日内，验收合同规定金额的 100%；</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政府采购需求和履约验收管理的指导意见》（财库〔2016〕205号）、广安市财政局关于印发《广安市政府采购项目履约验收工作规程》的通知（广市财采〔2021〕275号）等文件的要求进行验收谈判文件规定的要求和响应文件及合同承诺的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政府采购需求和履约验收管理的指导意见》（财库〔2016〕205号）、广安市财政局关于印发《广安市政府采购项目履约验收工作规程》的通知（广市财采〔2021〕275号）等文件的要求进行验收谈判文件规定的要求和响应文件及合同承诺的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政府采购需求和履约验收管理的指导意见》（财库〔2016〕205号）、广安市财政局关于印发《广安市政府采购项目履约验收工作规程》的通知（广市财采〔2021〕275号）等文件的要求进行验收谈判文件规定的要求和响应文件及合同承诺的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政府采购需求和履约验收管理的指导意见》（财库〔2016〕205号）、广安市财政局关于印发《广安市政府采购项目履约验收工作规程》的通知（广市财采〔2021〕275号）等文件的要求进行验收谈判文件规定的要求和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政府采购需求和履约验收管理的指导意见》（财库〔2016〕205号）、广安市财政局关于印发《广安市政府采购项目履约验收工作规程》的通知（广市财采〔2021〕275号）等文件的要求进行验收谈判文件规定的要求和响应文件及合同承诺的内容进行验收。</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四川省武胜烈面中学校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武胜县政府采购中心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武胜县政府采购中心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联系人：熊老师</w:t>
      </w:r>
    </w:p>
    <w:p>
      <w:pPr>
        <w:pStyle w:val="null3"/>
        <w:jc w:val="left"/>
      </w:pPr>
      <w:r>
        <w:rPr>
          <w:rFonts w:ascii="仿宋_GB2312" w:hAnsi="仿宋_GB2312" w:cs="仿宋_GB2312" w:eastAsia="仿宋_GB2312"/>
        </w:rPr>
        <w:t>联系电话：13547503155</w:t>
      </w:r>
    </w:p>
    <w:p>
      <w:pPr>
        <w:pStyle w:val="null3"/>
        <w:jc w:val="left"/>
      </w:pPr>
      <w:r>
        <w:rPr>
          <w:rFonts w:ascii="仿宋_GB2312" w:hAnsi="仿宋_GB2312" w:cs="仿宋_GB2312" w:eastAsia="仿宋_GB2312"/>
        </w:rPr>
        <w:t>地址：四川省武胜烈面镇东关路176号</w:t>
      </w:r>
    </w:p>
    <w:p>
      <w:pPr>
        <w:pStyle w:val="null3"/>
        <w:jc w:val="left"/>
      </w:pPr>
      <w:r>
        <w:rPr>
          <w:rFonts w:ascii="仿宋_GB2312" w:hAnsi="仿宋_GB2312" w:cs="仿宋_GB2312" w:eastAsia="仿宋_GB2312"/>
        </w:rPr>
        <w:t>邮编：638409</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2,559,754.52</w:t>
      </w:r>
    </w:p>
    <w:p>
      <w:pPr>
        <w:pStyle w:val="null3"/>
        <w:jc w:val="left"/>
      </w:pPr>
      <w:r>
        <w:rPr>
          <w:rFonts w:ascii="仿宋_GB2312" w:hAnsi="仿宋_GB2312" w:cs="仿宋_GB2312" w:eastAsia="仿宋_GB2312"/>
        </w:rPr>
        <w:t>采购包最高限价（元）: 2,559,754.52</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B08010000 房屋修缮</w:t>
            </w:r>
          </w:p>
        </w:tc>
        <w:tc>
          <w:tcPr>
            <w:tcW w:type="dxa" w:w="821"/>
          </w:tcPr>
          <w:p>
            <w:pPr>
              <w:pStyle w:val="null3"/>
              <w:jc w:val="left"/>
            </w:pPr>
            <w:r>
              <w:rPr>
                <w:rFonts w:ascii="仿宋_GB2312" w:hAnsi="仿宋_GB2312" w:cs="仿宋_GB2312" w:eastAsia="仿宋_GB2312"/>
              </w:rPr>
              <w:t>烈面中学女生宿舍及附属设施维修改造工程项目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2,559,754.52</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烈面中学女生宿舍及附属设施维修改造工程项目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2,559,754.52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首次报价为工程量清单报价，第二次报价为总价。</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烈面中学女生宿舍及附属设施维修改造工程项目</w:t>
            </w:r>
          </w:p>
        </w:tc>
        <w:tc>
          <w:tcPr>
            <w:tcW w:type="dxa" w:w="2492"/>
          </w:tcPr>
          <w:p>
            <w:pPr>
              <w:pStyle w:val="null3"/>
              <w:jc w:val="left"/>
            </w:pPr>
            <w:r>
              <w:rPr>
                <w:rFonts w:ascii="仿宋_GB2312" w:hAnsi="仿宋_GB2312" w:cs="仿宋_GB2312" w:eastAsia="仿宋_GB2312"/>
              </w:rPr>
              <w:t>水嘴、瓷蹲式大便器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烈面中学女生宿舍及附属设施维修改造工程项目</w:t>
            </w:r>
          </w:p>
        </w:tc>
        <w:tc>
          <w:tcPr>
            <w:tcW w:type="dxa" w:w="2492"/>
          </w:tcPr>
          <w:p>
            <w:pPr>
              <w:pStyle w:val="null3"/>
              <w:jc w:val="left"/>
            </w:pPr>
            <w:r>
              <w:rPr>
                <w:rFonts w:ascii="仿宋_GB2312" w:hAnsi="仿宋_GB2312" w:cs="仿宋_GB2312" w:eastAsia="仿宋_GB2312"/>
              </w:rPr>
              <w:t>圆形吸顶灯 36W、扣板灯 24W、应急照明灯、疏散指示标志</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烈面中学女生宿舍及附属设施维修改造工程项目</w:t>
            </w:r>
          </w:p>
        </w:tc>
        <w:tc>
          <w:tcPr>
            <w:tcW w:type="dxa" w:w="2492"/>
          </w:tcPr>
          <w:p>
            <w:pPr>
              <w:pStyle w:val="null3"/>
              <w:jc w:val="left"/>
            </w:pPr>
            <w:r>
              <w:rPr>
                <w:rFonts w:ascii="仿宋_GB2312" w:hAnsi="仿宋_GB2312" w:cs="仿宋_GB2312" w:eastAsia="仿宋_GB2312"/>
              </w:rPr>
              <w:t>水泥 32.5、白水泥、防滑地砖 400×400、聚合物改性水泥基防水灰浆、钢防盗门、水泥 42.5、陶瓷锦砖、彩釉地砖 600×600、涤纶针刺土工布 、石油沥青 、聚合物水泥(JS)防水涂料 Ⅱ型、改性沥青嵌缝油膏、SBS改性沥青涂料、透明底漆、耐候型聚氨酯划线漆、塑料给水管、水嘴、PPR给水管 De32、PPR给水管 De25、塑料排水管 DN75、塑料排水管 DN110、瓷蹲式大便器、圆形吸顶灯 36W、扣板灯 24W、应急照明灯、疏散指示标志、塑料线槽 、400*800白色抛釉瓷砖、4mm聚氨酯SBS防水卷材、商品混凝土 C25</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标的名称：烈面中学女生宿舍及附属设施维修改造工程项目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1、技术负责人：具有有效的建筑类专业中级或以上职称（提供职称证书并单位电子签公章）。</w:t>
            </w:r>
          </w:p>
          <w:p>
            <w:pPr>
              <w:pStyle w:val="null3"/>
              <w:jc w:val="left"/>
            </w:pPr>
            <w:r>
              <w:rPr>
                <w:rFonts w:ascii="仿宋_GB2312" w:hAnsi="仿宋_GB2312" w:cs="仿宋_GB2312" w:eastAsia="仿宋_GB2312"/>
              </w:rPr>
              <w:t>2、项目建设内容：主要实施学生宿舍室内改造工程包括宿舍屋面防水、宿舍厕所、寝室内墙、门窗、洗衣台、照明线路及灯具等维修改造（详见附件：工程量清单及施工图），工程量清单中不明确的以设计图纸及现场实际为准。成交供应商须完成工程量清单及施工图所示全部内容。</w:t>
            </w:r>
          </w:p>
          <w:p>
            <w:pPr>
              <w:pStyle w:val="null3"/>
              <w:jc w:val="left"/>
            </w:pPr>
            <w:r>
              <w:rPr>
                <w:rFonts w:ascii="仿宋_GB2312" w:hAnsi="仿宋_GB2312" w:cs="仿宋_GB2312" w:eastAsia="仿宋_GB2312"/>
              </w:rPr>
              <w:t>3、报价要求：本项目成交供应商必须按成交价完成本项目施工图纸和工程量清单所列全部内容，并自行承担下列因素带来的风险：一是因工程量清单载明的分部分项工程量与按施工图纸计算的工程量不一致，导致工程发包价不准确；二是因市场变化、政策性调整导致价格变化。建设过程中合同价款（包干价）原则上不作调整或变更，因重大设计发生变更或施工过程中遇暗河、溶洞、流沙、抢险等急需处理的不可抗力因素时，确需调整或变更的，应严格按照武胜府规〔2025〕1号《武胜县人民政府关于印发《武胜县政府投资项目管理办法》的通知》相关条款规定履行审批手续后才能调整或变更。若未发生工程变更，结算价不得高于合同价；若发生工程变更，结算价不得高于合同价与变更审批控制价之和。（本项目工程量清单中安全文明施工费和规费是固定不变的，即为不可竞争费用）</w:t>
            </w:r>
          </w:p>
          <w:p>
            <w:pPr>
              <w:pStyle w:val="null3"/>
              <w:jc w:val="left"/>
            </w:pPr>
            <w:r>
              <w:rPr>
                <w:rFonts w:ascii="仿宋_GB2312" w:hAnsi="仿宋_GB2312" w:cs="仿宋_GB2312" w:eastAsia="仿宋_GB2312"/>
              </w:rPr>
              <w:t>4、施工标准及规范：</w:t>
            </w:r>
          </w:p>
          <w:p>
            <w:pPr>
              <w:pStyle w:val="null3"/>
              <w:jc w:val="left"/>
            </w:pPr>
            <w:r>
              <w:rPr>
                <w:rFonts w:ascii="仿宋_GB2312" w:hAnsi="仿宋_GB2312" w:cs="仿宋_GB2312" w:eastAsia="仿宋_GB2312"/>
              </w:rPr>
              <w:t>中华人民共和国建筑法》（2019年修订）</w:t>
            </w:r>
          </w:p>
          <w:p>
            <w:pPr>
              <w:pStyle w:val="null3"/>
              <w:jc w:val="left"/>
            </w:pPr>
            <w:r>
              <w:rPr>
                <w:rFonts w:ascii="仿宋_GB2312" w:hAnsi="仿宋_GB2312" w:cs="仿宋_GB2312" w:eastAsia="仿宋_GB2312"/>
              </w:rPr>
              <w:t>《建设工程质量管理条例》（国务院令第279号）</w:t>
            </w:r>
          </w:p>
          <w:p>
            <w:pPr>
              <w:pStyle w:val="null3"/>
              <w:jc w:val="left"/>
            </w:pPr>
            <w:r>
              <w:rPr>
                <w:rFonts w:ascii="仿宋_GB2312" w:hAnsi="仿宋_GB2312" w:cs="仿宋_GB2312" w:eastAsia="仿宋_GB2312"/>
              </w:rPr>
              <w:t>《房屋建筑工程质量保修办法》(中华人民共和国建设部令第80号)</w:t>
            </w:r>
          </w:p>
          <w:p>
            <w:pPr>
              <w:pStyle w:val="null3"/>
              <w:jc w:val="left"/>
            </w:pPr>
            <w:r>
              <w:rPr>
                <w:rFonts w:ascii="仿宋_GB2312" w:hAnsi="仿宋_GB2312" w:cs="仿宋_GB2312" w:eastAsia="仿宋_GB2312"/>
              </w:rPr>
              <w:t>《中华人民共和国安全生产法》（2021年修订）</w:t>
            </w:r>
          </w:p>
          <w:p>
            <w:pPr>
              <w:pStyle w:val="null3"/>
              <w:jc w:val="left"/>
            </w:pPr>
            <w:r>
              <w:rPr>
                <w:rFonts w:ascii="仿宋_GB2312" w:hAnsi="仿宋_GB2312" w:cs="仿宋_GB2312" w:eastAsia="仿宋_GB2312"/>
              </w:rPr>
              <w:t>《建设工程安全生产管理条例》(国务院令第393号)</w:t>
            </w:r>
          </w:p>
          <w:p>
            <w:pPr>
              <w:pStyle w:val="null3"/>
              <w:jc w:val="left"/>
            </w:pPr>
            <w:r>
              <w:rPr>
                <w:rFonts w:ascii="仿宋_GB2312" w:hAnsi="仿宋_GB2312" w:cs="仿宋_GB2312" w:eastAsia="仿宋_GB2312"/>
              </w:rPr>
              <w:t>《建筑工程施工许可管理办法》（2021年修正）</w:t>
            </w:r>
          </w:p>
          <w:p>
            <w:pPr>
              <w:pStyle w:val="null3"/>
              <w:jc w:val="left"/>
            </w:pPr>
            <w:r>
              <w:rPr>
                <w:rFonts w:ascii="仿宋_GB2312" w:hAnsi="仿宋_GB2312" w:cs="仿宋_GB2312" w:eastAsia="仿宋_GB2312"/>
              </w:rPr>
              <w:t>《建设工程质量检测管理办法》（中华人民共和国建设部令第57号）</w:t>
            </w:r>
          </w:p>
          <w:p>
            <w:pPr>
              <w:pStyle w:val="null3"/>
              <w:jc w:val="left"/>
            </w:pPr>
            <w:r>
              <w:rPr>
                <w:rFonts w:ascii="仿宋_GB2312" w:hAnsi="仿宋_GB2312" w:cs="仿宋_GB2312" w:eastAsia="仿宋_GB2312"/>
              </w:rPr>
              <w:t>《四川省建筑装饰装修管理办法》(省政府令第168号）</w:t>
            </w:r>
          </w:p>
          <w:p>
            <w:pPr>
              <w:pStyle w:val="null3"/>
              <w:jc w:val="left"/>
            </w:pPr>
            <w:r>
              <w:rPr>
                <w:rFonts w:ascii="仿宋_GB2312" w:hAnsi="仿宋_GB2312" w:cs="仿宋_GB2312" w:eastAsia="仿宋_GB2312"/>
              </w:rPr>
              <w:t>《消防应急照明和疏散指示系统》GB17945-2024</w:t>
            </w:r>
          </w:p>
          <w:p>
            <w:pPr>
              <w:pStyle w:val="null3"/>
              <w:jc w:val="left"/>
            </w:pPr>
            <w:r>
              <w:rPr>
                <w:rFonts w:ascii="仿宋_GB2312" w:hAnsi="仿宋_GB2312" w:cs="仿宋_GB2312" w:eastAsia="仿宋_GB2312"/>
              </w:rPr>
              <w:t>《中小学、幼儿园安全防范要求》GB/T29315-2022</w:t>
            </w:r>
          </w:p>
          <w:p>
            <w:pPr>
              <w:pStyle w:val="null3"/>
              <w:jc w:val="left"/>
            </w:pPr>
            <w:r>
              <w:rPr>
                <w:rFonts w:ascii="仿宋_GB2312" w:hAnsi="仿宋_GB2312" w:cs="仿宋_GB2312" w:eastAsia="仿宋_GB2312"/>
              </w:rPr>
              <w:t>《民用建筑电气设计标准》GB51348-2019</w:t>
            </w:r>
          </w:p>
          <w:p>
            <w:pPr>
              <w:pStyle w:val="null3"/>
              <w:jc w:val="left"/>
            </w:pPr>
            <w:r>
              <w:rPr>
                <w:rFonts w:ascii="仿宋_GB2312" w:hAnsi="仿宋_GB2312" w:cs="仿宋_GB2312" w:eastAsia="仿宋_GB2312"/>
              </w:rPr>
              <w:t>《建筑照明设计标准》GB50034-2013</w:t>
            </w:r>
          </w:p>
          <w:p>
            <w:pPr>
              <w:pStyle w:val="null3"/>
              <w:jc w:val="left"/>
            </w:pPr>
            <w:r>
              <w:rPr>
                <w:rFonts w:ascii="仿宋_GB2312" w:hAnsi="仿宋_GB2312" w:cs="仿宋_GB2312" w:eastAsia="仿宋_GB2312"/>
              </w:rPr>
              <w:t>《中小学校设计规范》GB50099-2011</w:t>
            </w:r>
          </w:p>
          <w:p>
            <w:pPr>
              <w:pStyle w:val="null3"/>
              <w:jc w:val="left"/>
            </w:pPr>
            <w:r>
              <w:rPr>
                <w:rFonts w:ascii="仿宋_GB2312" w:hAnsi="仿宋_GB2312" w:cs="仿宋_GB2312" w:eastAsia="仿宋_GB2312"/>
              </w:rPr>
              <w:t>《消防设施通用规范》GB55036-2022</w:t>
            </w:r>
          </w:p>
          <w:p>
            <w:pPr>
              <w:pStyle w:val="null3"/>
              <w:jc w:val="left"/>
            </w:pPr>
            <w:r>
              <w:rPr>
                <w:rFonts w:ascii="仿宋_GB2312" w:hAnsi="仿宋_GB2312" w:cs="仿宋_GB2312" w:eastAsia="仿宋_GB2312"/>
              </w:rPr>
              <w:t>《建筑内部装修设计防火规范》GB50222-2017</w:t>
            </w:r>
          </w:p>
          <w:p>
            <w:pPr>
              <w:pStyle w:val="null3"/>
              <w:jc w:val="left"/>
            </w:pPr>
            <w:r>
              <w:rPr>
                <w:rFonts w:ascii="仿宋_GB2312" w:hAnsi="仿宋_GB2312" w:cs="仿宋_GB2312" w:eastAsia="仿宋_GB2312"/>
              </w:rPr>
              <w:t>5、农民工工资保证金缴纳：农民工工资保证金的缴纳按国家相关法律法规执行。</w:t>
            </w:r>
          </w:p>
          <w:p>
            <w:pPr>
              <w:pStyle w:val="null3"/>
              <w:jc w:val="left"/>
            </w:pPr>
            <w:r>
              <w:rPr>
                <w:rFonts w:ascii="仿宋_GB2312" w:hAnsi="仿宋_GB2312" w:cs="仿宋_GB2312" w:eastAsia="仿宋_GB2312"/>
              </w:rPr>
              <w:t>6、成交供应商在施工期间应严格遵守国家及地方有关安全生产的法律法规，做到文明施工、安全施工，在施工过程中发生的一切安全和其他事故均由成交供应商承担一切责任。</w:t>
            </w:r>
          </w:p>
          <w:p>
            <w:pPr>
              <w:pStyle w:val="null3"/>
              <w:jc w:val="left"/>
            </w:pPr>
            <w:r>
              <w:rPr>
                <w:rFonts w:ascii="仿宋_GB2312" w:hAnsi="仿宋_GB2312" w:cs="仿宋_GB2312" w:eastAsia="仿宋_GB2312"/>
              </w:rPr>
              <w:t>其余详见附件：工程量清单</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施工工期</w:t>
            </w:r>
          </w:p>
        </w:tc>
        <w:tc>
          <w:tcPr>
            <w:tcW w:type="dxa" w:w="2076"/>
          </w:tcPr>
          <w:p>
            <w:pPr>
              <w:pStyle w:val="null3"/>
              <w:jc w:val="left"/>
            </w:pPr>
            <w:r>
              <w:rPr>
                <w:rFonts w:ascii="仿宋_GB2312" w:hAnsi="仿宋_GB2312" w:cs="仿宋_GB2312" w:eastAsia="仿宋_GB2312"/>
              </w:rPr>
              <w:t>自合同签订之日起150日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施工地点</w:t>
            </w:r>
          </w:p>
        </w:tc>
        <w:tc>
          <w:tcPr>
            <w:tcW w:type="dxa" w:w="2076"/>
          </w:tcPr>
          <w:p>
            <w:pPr>
              <w:pStyle w:val="null3"/>
              <w:jc w:val="left"/>
            </w:pPr>
            <w:r>
              <w:rPr>
                <w:rFonts w:ascii="仿宋_GB2312" w:hAnsi="仿宋_GB2312" w:cs="仿宋_GB2312" w:eastAsia="仿宋_GB2312"/>
              </w:rPr>
              <w:t>烈面中学校内</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1、工程完成总工程量的30%后，拨付不超过已完成工程量的80% ，竣工验收后经财政评审结算，拨付至结算金额的97%，余3%作为项目质保金。质保期到期后，承包方已履行维修义务，且无工程质量问题，由承包人提出申请，发包人将质保金无息退还给承包人，达到付款条件起30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应严格按照《财政部关于进一步加强政府采购需求和履约验收管理的指导意见》（财库〔2016〕205号）、广安市财政局关于印发《广安市政府采购项目履约验收工作规程》的通知（广市财采〔2021〕275号）等文件的要求进行验收谈判文件规定的要求和响应文件及合同承诺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违约责任：1、采购人和成交供应商双方必须遵守合同并执行合同中的各项规定，保证合同的正常履行。2、如因成交供应商在项目建设过程中的的疏忽、失职、过错等故意或者过失原因给采购人造成损失或侵害，包括但不限于采购人本身的财产损失、由此而导致的采购人对任何第三方的法律责任等，成交供应商对此均应承担全部的赔偿责任。 二、解决争议的方法：因合同引起的或与合同有关的任何争议，双方应通过友好协商解决，经协商在30天内不能达成协议时，选择向施工地 的人民法院提起诉讼。</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漏项工程处理</w:t>
            </w:r>
          </w:p>
        </w:tc>
        <w:tc>
          <w:tcPr>
            <w:tcW w:type="dxa" w:w="2076"/>
          </w:tcPr>
          <w:p>
            <w:pPr>
              <w:pStyle w:val="null3"/>
              <w:jc w:val="left"/>
            </w:pPr>
            <w:r>
              <w:rPr>
                <w:rFonts w:ascii="仿宋_GB2312" w:hAnsi="仿宋_GB2312" w:cs="仿宋_GB2312" w:eastAsia="仿宋_GB2312"/>
              </w:rPr>
              <w:t>按照《武胜县人民政府关于印发&lt;武胜县政府投资项目管理办法&gt;的通知》处理。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★一、合同其他条款：拟任本项目经理参加本项目投标时，没有在其他未完项目担任项目经理， 成交后完成前也不得在其他项目担任项目经理。★二、质量保修范围和保修期：保修期：装饰装修工程质保期2年，屋面防水工程保修期5年. “建设程质量管理条例”中有相关规定的从其规定 质量保修范围：1、质量保修范围：本程施 范围内的所有程内容（1）属于保修范围、内容的项，供应商应当在接到保修通知之 起24 时内派保修。供应商不在约定期限内派保修的，采购可以委托他修 理，发的费从保 修中扣除。（2）发紧急抢险修复事故的，供应商在接到事 故通知后应当即到达事故现场抢 修。（3）对于涉及结构安全的质量问题，应当按 照相关规定，即向当地政主管部报告，采 取防范措施；由原设计单位或者具有 相应资质等级的设计单位提出保修案，供应商实施保修。（ 4）保修费：保修费 由造成质量缺陷的责任承担。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sz w:val="21"/>
        </w:rPr>
        <w:t>谈判项目技术、服务及其他要求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供应商应提交的其他相关材料.docx,企业资质信息表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1、没有完全响应谈判文件技术、商务要求和其它要求的。 2、报价不符合谈判文件规定的最高限价（或采购预算 ）和其他报价要求的3、其它实质性要求</w:t>
            </w:r>
          </w:p>
        </w:tc>
        <w:tc>
          <w:tcPr>
            <w:tcW w:type="dxa" w:w="3322"/>
          </w:tcPr>
          <w:p>
            <w:pPr>
              <w:pStyle w:val="null3"/>
              <w:jc w:val="left"/>
            </w:pPr>
            <w:r>
              <w:rPr>
                <w:rFonts w:ascii="仿宋_GB2312" w:hAnsi="仿宋_GB2312" w:cs="仿宋_GB2312" w:eastAsia="仿宋_GB2312"/>
              </w:rPr>
              <w:t>供应商需在项目电子化交易系统中按要求提供 相关资料并进行电子签章。</w:t>
            </w:r>
          </w:p>
        </w:tc>
        <w:tc>
          <w:tcPr>
            <w:tcW w:type="dxa" w:w="1661"/>
          </w:tcPr>
          <w:p>
            <w:pPr>
              <w:pStyle w:val="null3"/>
              <w:jc w:val="left"/>
            </w:pPr>
            <w:r>
              <w:rPr>
                <w:rFonts w:ascii="仿宋_GB2312" w:hAnsi="仿宋_GB2312" w:cs="仿宋_GB2312" w:eastAsia="仿宋_GB2312"/>
              </w:rPr>
              <w:t>已标价工程量清单,技术、商务应答表（工程类）.docx,报价表,供应商应提交的其他相关材料.docx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已标价工程量清单,报价表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评审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详见附件：技术、商务应答表（工程类）.docx</w:t>
      </w:r>
    </w:p>
    <w:p>
      <w:pPr>
        <w:pStyle w:val="null3"/>
        <w:ind w:firstLine="960"/>
        <w:jc w:val="left"/>
      </w:pPr>
      <w:r>
        <w:rPr>
          <w:rFonts w:ascii="仿宋_GB2312" w:hAnsi="仿宋_GB2312" w:cs="仿宋_GB2312" w:eastAsia="仿宋_GB2312"/>
        </w:rPr>
        <w:t>详见附件：供应商应提交的其他相关材料.docx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