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441624-2026-00385</w:t>
      </w:r>
    </w:p>
    <w:p>
      <w:pPr>
        <w:pStyle w:val="null3"/>
        <w:jc w:val="center"/>
        <w:outlineLvl w:val="3"/>
      </w:pPr>
      <w:r>
        <w:rPr>
          <w:sz w:val="24"/>
          <w:b/>
        </w:rPr>
        <w:t>采购项目编号：</w:t>
      </w:r>
      <w:r>
        <w:rPr>
          <w:sz w:val="24"/>
          <w:b/>
        </w:rPr>
        <w:t>HYMQ2026047</w:t>
      </w:r>
    </w:p>
    <w:p>
      <w:pPr>
        <w:pStyle w:val="null3"/>
        <w:jc w:val="center"/>
        <w:outlineLvl w:val="3"/>
      </w:pPr>
      <w:r>
        <w:rPr>
          <w:sz w:val="24"/>
          <w:b/>
        </w:rPr>
        <w:t>项目名称：</w:t>
      </w:r>
      <w:r>
        <w:rPr>
          <w:sz w:val="24"/>
          <w:b/>
        </w:rPr>
        <w:t>和平县城重点城市更新单元片区策划及实施方案</w:t>
      </w:r>
    </w:p>
    <w:p>
      <w:pPr>
        <w:pStyle w:val="null3"/>
        <w:jc w:val="center"/>
        <w:outlineLvl w:val="3"/>
      </w:pPr>
      <w:r>
        <w:rPr>
          <w:sz w:val="24"/>
          <w:b/>
        </w:rPr>
        <w:t>采购人：</w:t>
      </w:r>
      <w:r>
        <w:rPr>
          <w:sz w:val="24"/>
          <w:b/>
        </w:rPr>
        <w:t>和平县住房和城乡建设局</w:t>
      </w:r>
    </w:p>
    <w:p>
      <w:pPr>
        <w:pStyle w:val="null3"/>
        <w:jc w:val="center"/>
        <w:outlineLvl w:val="3"/>
      </w:pPr>
      <w:r>
        <w:rPr>
          <w:sz w:val="24"/>
          <w:b/>
        </w:rPr>
        <w:t>采购代理机构：</w:t>
      </w:r>
      <w:r>
        <w:rPr>
          <w:sz w:val="24"/>
          <w:b/>
        </w:rPr>
        <w:t>河源市名企项目管理有限责任公司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河源市名企项目管理有限责任公司</w:t>
      </w:r>
      <w:r>
        <w:rPr/>
        <w:t>受</w:t>
      </w:r>
      <w:r>
        <w:rPr/>
        <w:t>和平县住房和城乡建设局</w:t>
      </w:r>
      <w:r>
        <w:rPr/>
        <w:t>的委托，采用</w:t>
      </w:r>
      <w:r>
        <w:rPr/>
        <w:t>竞争性磋商</w:t>
      </w:r>
      <w:r>
        <w:rPr/>
        <w:t>方式组织采购</w:t>
      </w:r>
      <w:r>
        <w:rPr/>
        <w:t>和平县城重点城市更新单元片区策划及实施方案</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和平县城重点城市更新单元片区策划及实施方案</w:t>
      </w:r>
    </w:p>
    <w:p>
      <w:pPr>
        <w:pStyle w:val="null3"/>
        <w:ind w:firstLine="480"/>
      </w:pPr>
      <w:r>
        <w:rPr/>
        <w:t>采购计划编号：</w:t>
      </w:r>
      <w:r>
        <w:rPr/>
        <w:t>441624-2026-00385</w:t>
      </w:r>
    </w:p>
    <w:p>
      <w:pPr>
        <w:pStyle w:val="null3"/>
        <w:ind w:firstLine="480"/>
      </w:pPr>
      <w:r>
        <w:rPr/>
        <w:t>采购项目编号：</w:t>
      </w:r>
      <w:r>
        <w:rPr/>
        <w:t>HYMQ2026047</w:t>
      </w:r>
    </w:p>
    <w:p>
      <w:pPr>
        <w:pStyle w:val="null3"/>
        <w:ind w:firstLine="480"/>
      </w:pPr>
      <w:r>
        <w:rPr/>
        <w:t>采购方式：</w:t>
      </w:r>
      <w:r>
        <w:rPr/>
        <w:t>竞争性磋商</w:t>
      </w:r>
    </w:p>
    <w:p>
      <w:pPr>
        <w:pStyle w:val="null3"/>
        <w:ind w:firstLine="480"/>
      </w:pPr>
      <w:r>
        <w:rPr/>
        <w:t>预算金额：</w:t>
      </w:r>
      <w:r>
        <w:rPr/>
        <w:t>1,190,000.00</w:t>
      </w:r>
      <w:r>
        <w:rPr/>
        <w:t>元</w:t>
      </w:r>
    </w:p>
    <w:p>
      <w:pPr>
        <w:pStyle w:val="null3"/>
        <w:outlineLvl w:val="3"/>
      </w:pPr>
      <w:r>
        <w:rPr>
          <w:sz w:val="24"/>
          <w:b/>
        </w:rPr>
        <w:t>2.项目内容及需求情况（采购项目技术规格、参数及要求）</w:t>
      </w:r>
    </w:p>
    <w:p>
      <w:pPr>
        <w:pStyle w:val="null3"/>
      </w:pPr>
      <w:r>
        <w:rPr/>
        <w:t>采购包1(和平县城重点城市更新单元片区策划及实施方案):</w:t>
      </w:r>
    </w:p>
    <w:p>
      <w:pPr>
        <w:pStyle w:val="null3"/>
      </w:pPr>
      <w:r>
        <w:rPr/>
        <w:t>采购包预算金额：1,190,000.00元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和平县城重点城市更新单元片区策划及实施方案</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合同履行期限：自合同签订日起365个日历天内完成。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投标（响应）时提交有效的营业执照（或事业法人登记证或相关证明）副本复印件。分支机构投标的，须提供总公司和分公司营业执照副本复印件，总公司出具给分支机构的授权书。</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w:t>
      </w:r>
    </w:p>
    <w:p>
      <w:pPr>
        <w:pStyle w:val="null3"/>
      </w:pPr>
      <w:r>
        <w:rPr/>
        <w:t>4）履行合同所必需的设备和专业技术能力：提供书面承诺声明函，格式自拟。</w:t>
      </w:r>
    </w:p>
    <w:p>
      <w:pPr>
        <w:pStyle w:val="null3"/>
      </w:pPr>
      <w:r>
        <w:rPr/>
        <w:t>5）参加采购活动前3年内，在经营活动中没有重大违法记录：参照投标（报价）函相关承诺格式内容提供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采购包1（和平县城重点城市更新单元片区策划及实施方案）：</w:t>
      </w:r>
      <w:r>
        <w:rPr/>
        <w:t>1）本项目落实《政府采购促进中小企业发展管理办法》（财库〔2020〕46 号）； 2）《关于政府采购支持监狱企业发展有关问题的通知》(财库〔2014〕68号)； 3）《关于促进残疾人就业政府采购政策的通知》（财库〔2017〕141号)； 4）《关于环境标志产品政府采购实施的意见》（财库〔2006〕90号）； 5）《节能产品政府采购实施意见》的通知（财库〔2004〕185号）等。</w:t>
      </w:r>
    </w:p>
    <w:p>
      <w:pPr>
        <w:pStyle w:val="null3"/>
        <w:outlineLvl w:val="3"/>
      </w:pPr>
      <w:r>
        <w:rPr>
          <w:sz w:val="24"/>
          <w:b/>
        </w:rPr>
        <w:t>3.本项目特定的资格要求：</w:t>
      </w:r>
    </w:p>
    <w:p>
      <w:pPr>
        <w:pStyle w:val="null3"/>
      </w:pPr>
      <w:r>
        <w:rPr/>
        <w:t>采购包1（和平县城重点城市更新单元片区策划及实施方案）：</w:t>
      </w:r>
    </w:p>
    <w:p>
      <w:pPr>
        <w:pStyle w:val="null3"/>
      </w:pPr>
      <w:r>
        <w:rPr/>
        <w:t>1)投标人未被列入“信用中国”网站(www.creditchina.gov.cn)“失信被执行人、税收违法黑名单”记录名单；同时，不处于中国政府采购网(www.ccgp.gov.cn)“政府采购严重违法失信行为信息记录”中的禁止参加政府采购活动期间,（说明：以采购代理机构于投标截止时间在“信用中国”网站（www.creditchina.gov.cn）及中国政府采购网(www.ccgp.gov.cn)查询结果为准,同时对信用信息查询记录截图盖章存档。）</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3)投标人应当具备特定行业法定准入要求，具备乙级（或以上）城乡规划（国土空间规划）编制单位资质，提供资质证书复印件。(如国家另有规定，则适用其规定)</w:t>
      </w:r>
    </w:p>
    <w:p>
      <w:pPr>
        <w:pStyle w:val="null3"/>
      </w:pPr>
      <w:r>
        <w:rPr/>
        <w:t>4)本项目不接受联合体方式参与投标。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和平县住房和城乡建设局</w:t>
      </w:r>
    </w:p>
    <w:p>
      <w:pPr>
        <w:pStyle w:val="null3"/>
        <w:ind w:firstLine="480"/>
      </w:pPr>
      <w:r>
        <w:rPr/>
        <w:t>地址：</w:t>
      </w:r>
      <w:r>
        <w:rPr/>
        <w:t>河源市和平县住房和城乡建设局</w:t>
      </w:r>
    </w:p>
    <w:p>
      <w:pPr>
        <w:pStyle w:val="null3"/>
        <w:ind w:firstLine="480"/>
      </w:pPr>
      <w:r>
        <w:rPr/>
        <w:t>联系方式：</w:t>
      </w:r>
      <w:r>
        <w:rPr/>
        <w:t>0762-5610920</w:t>
      </w:r>
    </w:p>
    <w:p>
      <w:pPr>
        <w:pStyle w:val="null3"/>
        <w:outlineLvl w:val="3"/>
      </w:pPr>
      <w:r>
        <w:rPr>
          <w:sz w:val="24"/>
          <w:b/>
        </w:rPr>
        <w:t>2.采购代理机构信息</w:t>
      </w:r>
    </w:p>
    <w:p>
      <w:pPr>
        <w:pStyle w:val="null3"/>
        <w:ind w:firstLine="480"/>
      </w:pPr>
      <w:r>
        <w:rPr/>
        <w:t>名称：</w:t>
      </w:r>
      <w:r>
        <w:rPr/>
        <w:t>河源市名企项目管理有限责任公司</w:t>
      </w:r>
    </w:p>
    <w:p>
      <w:pPr>
        <w:pStyle w:val="null3"/>
        <w:ind w:firstLine="480"/>
      </w:pPr>
      <w:r>
        <w:rPr/>
        <w:t xml:space="preserve"> 地址：</w:t>
      </w:r>
      <w:r>
        <w:rPr/>
        <w:t>河源市东源县扶贫工业区木京村生产生活用地A16、A17两卡联诚楼第二层</w:t>
      </w:r>
    </w:p>
    <w:p>
      <w:pPr>
        <w:pStyle w:val="null3"/>
        <w:ind w:firstLine="480"/>
      </w:pPr>
      <w:r>
        <w:rPr/>
        <w:t xml:space="preserve"> 联系方式：</w:t>
      </w:r>
      <w:r>
        <w:rPr/>
        <w:t>0762-3666919</w:t>
      </w:r>
    </w:p>
    <w:p>
      <w:pPr>
        <w:pStyle w:val="null3"/>
        <w:outlineLvl w:val="3"/>
      </w:pPr>
      <w:r>
        <w:rPr>
          <w:sz w:val="24"/>
          <w:b/>
        </w:rPr>
        <w:t xml:space="preserve"> 3.项目联系方式</w:t>
      </w:r>
    </w:p>
    <w:p>
      <w:pPr>
        <w:pStyle w:val="null3"/>
        <w:ind w:firstLine="480"/>
      </w:pPr>
      <w:r>
        <w:rPr/>
        <w:t xml:space="preserve"> 项目联系人：</w:t>
      </w:r>
      <w:r>
        <w:rPr/>
        <w:t>袁先生</w:t>
      </w:r>
    </w:p>
    <w:p>
      <w:pPr>
        <w:pStyle w:val="null3"/>
        <w:ind w:firstLine="480"/>
      </w:pPr>
      <w:r>
        <w:rPr/>
        <w:t xml:space="preserve"> 电话：</w:t>
      </w:r>
      <w:r>
        <w:rPr/>
        <w:t>0762-3666919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河源市名企项目管理有限责任公司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在城市发展迈入新阶段的关键时期，国家对城市更新工作给予了前所未有的重视。</w:t>
      </w:r>
      <w:r>
        <w:rPr>
          <w:sz w:val="24"/>
        </w:rPr>
        <w:t>2025年5月，中共中央办公厅、国务院办公厅印发《关于持续推进城市更新行动的意见》，为城市建设与发展指明了新方向。意见强调坚持稳中求进工作总基调，转变城市开发建设方式，建立可持续的城市更新模式和政策法规，大力实施城市更新，促进城市结构优化、功能完善、文脉赓续、品质提升，加快建设创新、宜居、美丽、韧性、文明、智慧的现代化城市。</w:t>
      </w:r>
    </w:p>
    <w:p>
      <w:pPr>
        <w:pStyle w:val="null3"/>
      </w:pPr>
      <w:r>
        <w:rPr>
          <w:sz w:val="24"/>
        </w:rPr>
        <w:t>2025年6月，广东省发布《广东省城市体检与城市更新一体化推进工作指引》及《广东省城市更新规划和年度实施计划编制工作指引》(征求意见稿),建立了从“城市体检—更新专项规划—更新片区策划—项目实施方案”的全流程实施体系。为积极响应国家和省战略部署，结合和平县城市发展实际需求，特开展本次规划工作。</w:t>
      </w:r>
    </w:p>
    <w:p>
      <w:pPr>
        <w:pStyle w:val="null3"/>
      </w:pPr>
      <w:r>
        <w:rPr/>
        <w:t>采购包1（和平县城重点城市更新单元片区策划及实施方案）</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自合同签订日起365个日历天内完成。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1期：支付比例30%,合同签订后10日内，支付合同总价款的30%，作为项目启动资金；</w:t>
            </w:r>
          </w:p>
          <w:p>
            <w:pPr>
              <w:pStyle w:val="null3"/>
            </w:pPr>
            <w:r>
              <w:rPr/>
              <w:t>2期：支付比例30%,中标人提交片区策划方案及实施方案初步成果并征求县相关部门意见后10日内，支付合同总价款的30%；</w:t>
            </w:r>
          </w:p>
          <w:p>
            <w:pPr>
              <w:pStyle w:val="null3"/>
            </w:pPr>
            <w:r>
              <w:rPr/>
              <w:t>3期：支付比例20%,中标人提交的片区策划及实施方案通过专家评审会后10日内，支付合同总价款的20%；</w:t>
            </w:r>
          </w:p>
          <w:p>
            <w:pPr>
              <w:pStyle w:val="null3"/>
            </w:pPr>
            <w:r>
              <w:rPr/>
              <w:t>4期：支付比例20%,中标人提交的片区策划及实施方案通过和平县人民政府审定后10天内，支付合同总价款的20%。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1期：（1）对中标人提交的全部成果报告及其他相关资料，按国家、省、市有关规定及规范进行验收，必要时采购人有权邀请相关专业人员或机构共同参与验收。 （2）项目成果须通过上级部门的审批。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1.本项目最高限价为人民币壹佰壹拾玖万元整（¥1190000.00元）超出最高限价的供应商报价为无效报价。 2.供应商的报价须以人民币元为单位（小数点后可保留两位小数），所报的价格不得高于采购最高限价。 3.总报价为含税全包价，为投标人完成本项目全部工作内容所需的费用（包括但不限于资料收集和整理费、调研费、规划研究费、规划评估费、成果编制费、交通差旅费、文档和图档的打印输出费、装订及邮寄费、验收费、审查费、人工费、管理费、各类税费及采购合同包含的所有风险、责任等在合同实施过程中应预见或不可预见费用）。 4.投标人必须自行考虑本项目在实施期间的一切可能产生的费用，在合同执行过程中，采购人将不再另行支付与本项目相关的任何费用（合同另有规定的除外）。</w:t>
            </w:r>
          </w:p>
        </w:tc>
      </w:tr>
      <w:tr>
        <w:tc>
          <w:tcPr>
            <w:tcW w:type="dxa" w:w="2076"/>
          </w:tcPr>
          <w:p/>
        </w:tc>
        <w:tc>
          <w:tcPr>
            <w:tcW w:type="dxa" w:w="2076"/>
          </w:tcPr>
          <w:p>
            <w:pPr>
              <w:pStyle w:val="null3"/>
              <w:jc w:val="center"/>
            </w:pPr>
            <w:r>
              <w:rPr/>
              <w:t>2</w:t>
            </w:r>
          </w:p>
        </w:tc>
        <w:tc>
          <w:tcPr>
            <w:tcW w:type="dxa" w:w="2076"/>
          </w:tcPr>
          <w:p>
            <w:pPr>
              <w:pStyle w:val="null3"/>
              <w:jc w:val="left"/>
            </w:pPr>
            <w:r>
              <w:rPr/>
              <w:t>服务期限</w:t>
            </w:r>
          </w:p>
        </w:tc>
        <w:tc>
          <w:tcPr>
            <w:tcW w:type="dxa" w:w="2076"/>
          </w:tcPr>
          <w:p>
            <w:pPr>
              <w:pStyle w:val="null3"/>
              <w:jc w:val="left"/>
            </w:pPr>
            <w:r>
              <w:rPr/>
              <w:t>规划工作规定期限为自合同签订日起一年内完成。 规划工作分为4个阶段，具体如下： 第一阶段：基础资料收集、现状调研和走访阶段：设计单位收集现状资料及相关规划资料，并对规划范围及其周边进行现状调研，走访相关部门进行座谈，收集和了解规划编制相关信息。 第二阶段：初步方案阶段：在分析现状与问题的基础上，进行多方案比选，对相关部门的专项规划基础资料予以统筹平衡，编制完成规划初步方案。 第三阶段：中期成果阶段：针对规划初步方案征询县职能部门意见，组织召开初步方案汇报会，并根据初步方案审查意见的要求修改完善规划方案，形成中期成果。 第四阶段：最终成果阶段：向县主要领导汇报成果，并根据县主要领导意见的要求修改完善规划方案，形成最终成果提交县人民政府审定。</w:t>
            </w:r>
          </w:p>
        </w:tc>
      </w:tr>
      <w:tr>
        <w:tc>
          <w:tcPr>
            <w:tcW w:type="dxa" w:w="2076"/>
          </w:tcPr>
          <w:p/>
        </w:tc>
        <w:tc>
          <w:tcPr>
            <w:tcW w:type="dxa" w:w="2076"/>
          </w:tcPr>
          <w:p>
            <w:pPr>
              <w:pStyle w:val="null3"/>
              <w:jc w:val="center"/>
            </w:pPr>
            <w:r>
              <w:rPr/>
              <w:t>3</w:t>
            </w:r>
          </w:p>
        </w:tc>
        <w:tc>
          <w:tcPr>
            <w:tcW w:type="dxa" w:w="2076"/>
          </w:tcPr>
          <w:p>
            <w:pPr>
              <w:pStyle w:val="null3"/>
              <w:jc w:val="left"/>
            </w:pPr>
            <w:r>
              <w:rPr/>
              <w:t>服务地点</w:t>
            </w:r>
          </w:p>
        </w:tc>
        <w:tc>
          <w:tcPr>
            <w:tcW w:type="dxa" w:w="2076"/>
          </w:tcPr>
          <w:p>
            <w:pPr>
              <w:pStyle w:val="null3"/>
              <w:jc w:val="left"/>
            </w:pPr>
            <w:r>
              <w:rPr/>
              <w:t>采购人指定地点。</w:t>
            </w:r>
          </w:p>
        </w:tc>
      </w:tr>
      <w:tr>
        <w:tc>
          <w:tcPr>
            <w:tcW w:type="dxa" w:w="2076"/>
          </w:tcPr>
          <w:p/>
        </w:tc>
        <w:tc>
          <w:tcPr>
            <w:tcW w:type="dxa" w:w="2076"/>
          </w:tcPr>
          <w:p>
            <w:pPr>
              <w:pStyle w:val="null3"/>
              <w:jc w:val="center"/>
            </w:pPr>
            <w:r>
              <w:rPr/>
              <w:t>4</w:t>
            </w:r>
          </w:p>
        </w:tc>
        <w:tc>
          <w:tcPr>
            <w:tcW w:type="dxa" w:w="2076"/>
          </w:tcPr>
          <w:p>
            <w:pPr>
              <w:pStyle w:val="null3"/>
              <w:jc w:val="left"/>
            </w:pPr>
            <w:r>
              <w:rPr/>
              <w:t>付款方式</w:t>
            </w:r>
          </w:p>
        </w:tc>
        <w:tc>
          <w:tcPr>
            <w:tcW w:type="dxa" w:w="2076"/>
          </w:tcPr>
          <w:p>
            <w:pPr>
              <w:pStyle w:val="null3"/>
              <w:jc w:val="left"/>
            </w:pPr>
            <w:r>
              <w:rPr/>
              <w:t>1.本项目款项以人民币形式支付，分四期支付： a.第一期支付：合同签订后10日内，支付合同总价款的30%，作为项目启动资金； b.第二期支付：中标人提交片区策划方案及实施方案初步成果并征求县相关部门意见后10日内，支付合同总价款的30%； c.第三期支付：中标人提交的片区策划及实施方案通过专家评审会后10日内，支付合同总价款的20%； d.第四期支付：中标人提交的片区策划及实施方案通过和平县人民政府审定后10天内，支付合同总价款的20%。 2.中标人凭以下有效文件与采购人结算： a.合同； b.中标人开具的正式发票； c.中标通知书。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2076"/>
          </w:tcPr>
          <w:p/>
        </w:tc>
        <w:tc>
          <w:tcPr>
            <w:tcW w:type="dxa" w:w="2076"/>
          </w:tcPr>
          <w:p>
            <w:pPr>
              <w:pStyle w:val="null3"/>
              <w:jc w:val="center"/>
            </w:pPr>
            <w:r>
              <w:rPr/>
              <w:t>5</w:t>
            </w:r>
          </w:p>
        </w:tc>
        <w:tc>
          <w:tcPr>
            <w:tcW w:type="dxa" w:w="2076"/>
          </w:tcPr>
          <w:p>
            <w:pPr>
              <w:pStyle w:val="null3"/>
              <w:jc w:val="left"/>
            </w:pPr>
            <w:r>
              <w:rPr/>
              <w:t>验收要求</w:t>
            </w:r>
          </w:p>
        </w:tc>
        <w:tc>
          <w:tcPr>
            <w:tcW w:type="dxa" w:w="2076"/>
          </w:tcPr>
          <w:p>
            <w:pPr>
              <w:pStyle w:val="null3"/>
              <w:jc w:val="left"/>
            </w:pPr>
            <w:r>
              <w:rPr/>
              <w:t>（1）对中标人提交的全部成果报告及其他相关资料，按国家、省、市有关规定及规范进行验收，必要时采购人有权邀请相关专业人员或机构共同参与验收。 （2）项目成果须通过上级部门的审批。</w:t>
            </w:r>
          </w:p>
        </w:tc>
      </w:tr>
      <w:tr>
        <w:tc>
          <w:tcPr>
            <w:tcW w:type="dxa" w:w="2076"/>
          </w:tcPr>
          <w:p/>
        </w:tc>
        <w:tc>
          <w:tcPr>
            <w:tcW w:type="dxa" w:w="2076"/>
          </w:tcPr>
          <w:p>
            <w:pPr>
              <w:pStyle w:val="null3"/>
              <w:jc w:val="center"/>
            </w:pPr>
            <w:r>
              <w:rPr/>
              <w:t>6</w:t>
            </w:r>
          </w:p>
        </w:tc>
        <w:tc>
          <w:tcPr>
            <w:tcW w:type="dxa" w:w="2076"/>
          </w:tcPr>
          <w:p>
            <w:pPr>
              <w:pStyle w:val="null3"/>
              <w:jc w:val="left"/>
            </w:pPr>
            <w:r>
              <w:rPr/>
              <w:t>知识产权归属</w:t>
            </w:r>
          </w:p>
        </w:tc>
        <w:tc>
          <w:tcPr>
            <w:tcW w:type="dxa" w:w="2076"/>
          </w:tcPr>
          <w:p>
            <w:pPr>
              <w:pStyle w:val="null3"/>
              <w:jc w:val="left"/>
            </w:pPr>
            <w:r>
              <w:rPr/>
              <w:t>1.甲方拥有本项目采购的所有产品的使用权。为本项目定制部分版权归甲方所有，甲方具有对其完全的处置权。 2.乙方为执行本合同而提供的技术资料使用权归甲方所有。 3.乙方应保证甲方在使用所提供的软件产品的任何一部分时，免受第三方提出的侵犯其专利权、商标权或其他知识产权的起诉。如发生此类纠纷，由乙方承担一切责任。乙方嵌套于本系统内的专用工具类软件，甲方不得未经乙方同意，擅自拿作他用。</w:t>
            </w:r>
          </w:p>
        </w:tc>
      </w:tr>
      <w:tr>
        <w:tc>
          <w:tcPr>
            <w:tcW w:type="dxa" w:w="2076"/>
          </w:tcPr>
          <w:p/>
        </w:tc>
        <w:tc>
          <w:tcPr>
            <w:tcW w:type="dxa" w:w="2076"/>
          </w:tcPr>
          <w:p>
            <w:pPr>
              <w:pStyle w:val="null3"/>
              <w:jc w:val="center"/>
            </w:pPr>
            <w:r>
              <w:rPr/>
              <w:t>7</w:t>
            </w:r>
          </w:p>
        </w:tc>
        <w:tc>
          <w:tcPr>
            <w:tcW w:type="dxa" w:w="2076"/>
          </w:tcPr>
          <w:p>
            <w:pPr>
              <w:pStyle w:val="null3"/>
              <w:jc w:val="left"/>
            </w:pPr>
            <w:r>
              <w:rPr/>
              <w:t>保密</w:t>
            </w:r>
          </w:p>
        </w:tc>
        <w:tc>
          <w:tcPr>
            <w:tcW w:type="dxa" w:w="2076"/>
          </w:tcPr>
          <w:p>
            <w:pPr>
              <w:pStyle w:val="null3"/>
              <w:jc w:val="left"/>
            </w:pPr>
            <w:r>
              <w:rPr/>
              <w:t>由甲方向乙方提供的采购项目内容、图纸、样品、模型、模件和所有资料，乙方获得后，应对其保密。除非甲方同意，乙方不得向第三方透露或将其用于本项目以外的任何用途。乙方在甲方要求的时间内须按甲方的要求归还甲方认为需保密的文件和资料，并销毁所有需何密的备份文件和资料。</w:t>
            </w:r>
          </w:p>
        </w:tc>
      </w:tr>
      <w:tr>
        <w:tc>
          <w:tcPr>
            <w:tcW w:type="dxa" w:w="2076"/>
          </w:tcPr>
          <w:p/>
        </w:tc>
        <w:tc>
          <w:tcPr>
            <w:tcW w:type="dxa" w:w="2076"/>
          </w:tcPr>
          <w:p>
            <w:pPr>
              <w:pStyle w:val="null3"/>
              <w:jc w:val="center"/>
            </w:pPr>
            <w:r>
              <w:rPr/>
              <w:t>8</w:t>
            </w:r>
          </w:p>
        </w:tc>
        <w:tc>
          <w:tcPr>
            <w:tcW w:type="dxa" w:w="2076"/>
          </w:tcPr>
          <w:p>
            <w:pPr>
              <w:pStyle w:val="null3"/>
              <w:jc w:val="left"/>
            </w:pPr>
            <w:r>
              <w:rPr/>
              <w:t>违约责任与赔偿损失</w:t>
            </w:r>
          </w:p>
        </w:tc>
        <w:tc>
          <w:tcPr>
            <w:tcW w:type="dxa" w:w="2076"/>
          </w:tcPr>
          <w:p>
            <w:pPr>
              <w:pStyle w:val="null3"/>
              <w:jc w:val="left"/>
            </w:pPr>
            <w:r>
              <w:rPr/>
              <w:t>1.乙方最终提供的服务成果不符合招标文件、投标文件或本合同规定的，甲方有权拒收，乙方应全额退回甲方已付的全部费用，并且乙方须向甲方支付本合同总价15%的违约金。 2.乙方未能按项目要求的时间提供服务，从逾期之日起每日按项目合同总金额的万分之五向甲方支付违约金；逾期30个工作日以上的，甲方有权终止合同，由此造成的甲方经济损失由乙方承担。 3.乙方服务质量不符合约定：乙方提供服务过程中，甲方发现乙方提供的服务质量不符合合同约定要求的，甲方有权发出整改通知书要求乙方无条件整改达到合同约定要求；若在发出整改通知书15天内仍未达到合同要求的，甲方有权每次扣除合同总价5%服务费；同样问题整改两次后仍达不到要求的，甲方有权无条件终止合同，乙方应全额退回甲方已付的全部费用。 4.甲方无正当理由拒收接受服务，到期拒付服务款项的，甲方向乙方偿付本合同总价5%的违约金。甲方逾期付款，则每日按本合同总价的万分之五向乙方偿付违约金。 5.其它违约责任按《中华人民共和国民法典》处理。</w:t>
            </w:r>
          </w:p>
        </w:tc>
      </w:tr>
      <w:tr>
        <w:tc>
          <w:tcPr>
            <w:tcW w:type="dxa" w:w="2076"/>
          </w:tcPr>
          <w:p/>
        </w:tc>
        <w:tc>
          <w:tcPr>
            <w:tcW w:type="dxa" w:w="2076"/>
          </w:tcPr>
          <w:p>
            <w:pPr>
              <w:pStyle w:val="null3"/>
              <w:jc w:val="center"/>
            </w:pPr>
            <w:r>
              <w:rPr/>
              <w:t>9</w:t>
            </w:r>
          </w:p>
        </w:tc>
        <w:tc>
          <w:tcPr>
            <w:tcW w:type="dxa" w:w="2076"/>
          </w:tcPr>
          <w:p>
            <w:pPr>
              <w:pStyle w:val="null3"/>
              <w:jc w:val="left"/>
            </w:pPr>
            <w:r>
              <w:rPr/>
              <w:t>争端的解决</w:t>
            </w:r>
          </w:p>
        </w:tc>
        <w:tc>
          <w:tcPr>
            <w:tcW w:type="dxa" w:w="2076"/>
          </w:tcPr>
          <w:p>
            <w:pPr>
              <w:pStyle w:val="null3"/>
              <w:jc w:val="left"/>
            </w:pPr>
            <w:r>
              <w:rPr/>
              <w:t>合同执行过程中发生的任何争议，如双方不能通过友好协商解释，任何一方有权向本项目所在地有管辖权的人民法院提起诉讼。</w:t>
            </w:r>
          </w:p>
        </w:tc>
      </w:tr>
      <w:tr>
        <w:tc>
          <w:tcPr>
            <w:tcW w:type="dxa" w:w="2076"/>
          </w:tcPr>
          <w:p/>
        </w:tc>
        <w:tc>
          <w:tcPr>
            <w:tcW w:type="dxa" w:w="2076"/>
          </w:tcPr>
          <w:p>
            <w:pPr>
              <w:pStyle w:val="null3"/>
              <w:jc w:val="center"/>
            </w:pPr>
            <w:r>
              <w:rPr/>
              <w:t>10</w:t>
            </w:r>
          </w:p>
        </w:tc>
        <w:tc>
          <w:tcPr>
            <w:tcW w:type="dxa" w:w="2076"/>
          </w:tcPr>
          <w:p>
            <w:pPr>
              <w:pStyle w:val="null3"/>
              <w:jc w:val="left"/>
            </w:pPr>
            <w:r>
              <w:rPr/>
              <w:t>不可抗力</w:t>
            </w:r>
          </w:p>
        </w:tc>
        <w:tc>
          <w:tcPr>
            <w:tcW w:type="dxa" w:w="2076"/>
          </w:tcPr>
          <w:p>
            <w:pPr>
              <w:pStyle w:val="null3"/>
              <w:jc w:val="left"/>
            </w:pPr>
            <w:r>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tc>
      </w:tr>
      <w:tr>
        <w:tc>
          <w:tcPr>
            <w:tcW w:type="dxa" w:w="2076"/>
          </w:tcPr>
          <w:p/>
        </w:tc>
        <w:tc>
          <w:tcPr>
            <w:tcW w:type="dxa" w:w="2076"/>
          </w:tcPr>
          <w:p>
            <w:pPr>
              <w:pStyle w:val="null3"/>
              <w:jc w:val="center"/>
            </w:pPr>
            <w:r>
              <w:rPr/>
              <w:t>11</w:t>
            </w:r>
          </w:p>
        </w:tc>
        <w:tc>
          <w:tcPr>
            <w:tcW w:type="dxa" w:w="2076"/>
          </w:tcPr>
          <w:p>
            <w:pPr>
              <w:pStyle w:val="null3"/>
              <w:jc w:val="left"/>
            </w:pPr>
            <w:r>
              <w:rPr/>
              <w:t>其他要求</w:t>
            </w:r>
          </w:p>
        </w:tc>
        <w:tc>
          <w:tcPr>
            <w:tcW w:type="dxa" w:w="2076"/>
          </w:tcPr>
          <w:p>
            <w:pPr>
              <w:pStyle w:val="null3"/>
              <w:jc w:val="left"/>
            </w:pPr>
            <w:r>
              <w:rPr/>
              <w:t>1.投标人在投标文件中要列明在项目实施过程中要求采购人提供的配合条件（如有）。 2.本用户需求书未尽事宜以合同为准。 3.在合同期内，成交人必须根据合同中的各项条款，切实履行各项职责，因成交人履行合同不到位或不服从指令等原因造成生命财产损失，由成交人独自承担其法律和经济责任，与采购人无关。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和平县城重点城市更新单元片区策划及实施方案</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1,190,000.00</w:t>
            </w:r>
          </w:p>
        </w:tc>
        <w:tc>
          <w:tcPr>
            <w:tcW w:type="dxa" w:w="933"/>
          </w:tcPr>
          <w:p>
            <w:pPr>
              <w:pStyle w:val="null3"/>
              <w:jc w:val="right"/>
            </w:pPr>
            <w:r>
              <w:rPr/>
              <w:t>1,190,000.00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和平县城重点城市更新单元片区策划及实施方案</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w:t>
            </w:r>
            <w:r>
              <w:rPr>
                <w:sz w:val="24"/>
                <w:b/>
              </w:rPr>
              <w:t>项目背景</w:t>
            </w:r>
          </w:p>
          <w:p>
            <w:pPr>
              <w:pStyle w:val="null3"/>
              <w:ind w:firstLine="480"/>
              <w:jc w:val="both"/>
            </w:pPr>
            <w:r>
              <w:rPr>
                <w:sz w:val="24"/>
              </w:rPr>
              <w:t>在城市发展迈入新阶段的关键时期，国家对城市更新工作给予了前所未有的重视。</w:t>
            </w:r>
            <w:r>
              <w:rPr>
                <w:sz w:val="24"/>
              </w:rPr>
              <w:t>2025年5月，中共中央办公厅、国务院办公厅印发《关于持续推进城市更新行动的意见》，为城市建设与发展指明了新方向。意见强调坚持稳中求进工作总基调，转变城市开发建设方式，建立可持续的城市更新模式和政策法规，大力实施城市更新，促进城市结构优化、功能完善、文脉赓续、品质提升，加快建设创新、宜居、美丽、韧性、文明、智慧的现代化城市。</w:t>
            </w:r>
          </w:p>
          <w:p>
            <w:pPr>
              <w:pStyle w:val="null3"/>
              <w:ind w:firstLine="480"/>
              <w:jc w:val="both"/>
            </w:pPr>
            <w:r>
              <w:rPr>
                <w:sz w:val="24"/>
              </w:rPr>
              <w:t>2025年6月，广东省发布《广东省城市体检与城市更新一体化推进工作指引》及《广东省城市更新规划和年度实施计划编制工作指引》(征求意见稿),建立了从“城市体检—更新专项规划—更新片区策划—项目实施方案”的全流程实施体系。为积极响应国家和省战略部署，结合和平县城市发展实际需求，特开展本次规划工作。</w:t>
            </w:r>
          </w:p>
          <w:p>
            <w:pPr>
              <w:pStyle w:val="null3"/>
              <w:ind w:firstLine="482"/>
              <w:jc w:val="both"/>
            </w:pPr>
            <w:r>
              <w:rPr>
                <w:sz w:val="24"/>
                <w:b/>
              </w:rPr>
              <w:t>（</w:t>
            </w:r>
            <w:r>
              <w:rPr>
                <w:sz w:val="24"/>
                <w:b/>
              </w:rPr>
              <w:t>二</w:t>
            </w:r>
            <w:r>
              <w:rPr>
                <w:sz w:val="24"/>
                <w:b/>
              </w:rPr>
              <w:t>）</w:t>
            </w:r>
            <w:r>
              <w:rPr>
                <w:sz w:val="24"/>
                <w:b/>
              </w:rPr>
              <w:t>规划目的</w:t>
            </w:r>
          </w:p>
          <w:p>
            <w:pPr>
              <w:pStyle w:val="null3"/>
              <w:ind w:firstLine="480"/>
              <w:jc w:val="both"/>
            </w:pPr>
            <w:r>
              <w:rPr>
                <w:sz w:val="24"/>
              </w:rPr>
              <w:t>结合本次和平县城重点城市更新单元片区策划及实施方案，可针对性地优化城市空间格局、完善交通体系、提升公共服务质量、促进产业发展升级，改善人居环境品质，为老城区注入新活力。</w:t>
            </w:r>
          </w:p>
          <w:p>
            <w:pPr>
              <w:pStyle w:val="null3"/>
              <w:ind w:firstLine="482"/>
              <w:jc w:val="both"/>
            </w:pPr>
            <w:r>
              <w:rPr>
                <w:sz w:val="24"/>
                <w:b/>
              </w:rPr>
              <w:t>（三）规划范围</w:t>
            </w:r>
          </w:p>
          <w:p>
            <w:pPr>
              <w:pStyle w:val="null3"/>
              <w:ind w:firstLine="480"/>
              <w:jc w:val="both"/>
            </w:pPr>
            <w:r>
              <w:rPr>
                <w:sz w:val="24"/>
              </w:rPr>
              <w:t>本次规划范围包括两个层面的范围。</w:t>
            </w:r>
          </w:p>
          <w:p>
            <w:pPr>
              <w:pStyle w:val="null3"/>
              <w:ind w:firstLine="480"/>
              <w:jc w:val="both"/>
            </w:pPr>
            <w:r>
              <w:rPr>
                <w:sz w:val="24"/>
              </w:rPr>
              <w:t>1.</w:t>
            </w:r>
            <w:r>
              <w:rPr>
                <w:sz w:val="24"/>
              </w:rPr>
              <w:t>片区策划</w:t>
            </w:r>
            <w:r>
              <w:rPr>
                <w:sz w:val="24"/>
              </w:rPr>
              <w:t>范围</w:t>
            </w:r>
          </w:p>
          <w:p>
            <w:pPr>
              <w:pStyle w:val="null3"/>
              <w:ind w:firstLine="480"/>
              <w:jc w:val="both"/>
            </w:pPr>
            <w:r>
              <w:rPr>
                <w:sz w:val="24"/>
              </w:rPr>
              <w:t>总面积约</w:t>
            </w:r>
            <w:r>
              <w:rPr>
                <w:sz w:val="24"/>
              </w:rPr>
              <w:t>180公顷，从区域层面开展</w:t>
            </w:r>
            <w:r>
              <w:rPr>
                <w:sz w:val="24"/>
              </w:rPr>
              <w:t>产业策划、用地布局、</w:t>
            </w:r>
            <w:r>
              <w:rPr>
                <w:sz w:val="24"/>
              </w:rPr>
              <w:t>道路交通、公服配套等方面研究。</w:t>
            </w:r>
          </w:p>
          <w:p>
            <w:pPr>
              <w:pStyle w:val="null3"/>
              <w:ind w:firstLine="480"/>
              <w:jc w:val="both"/>
            </w:pPr>
            <w:r>
              <w:rPr>
                <w:sz w:val="24"/>
              </w:rPr>
              <w:t>2.</w:t>
            </w:r>
            <w:r>
              <w:rPr>
                <w:sz w:val="24"/>
              </w:rPr>
              <w:t>实施方案</w:t>
            </w:r>
            <w:r>
              <w:rPr>
                <w:sz w:val="24"/>
              </w:rPr>
              <w:t>范围</w:t>
            </w:r>
          </w:p>
          <w:p>
            <w:pPr>
              <w:pStyle w:val="null3"/>
              <w:ind w:firstLine="480"/>
              <w:jc w:val="both"/>
            </w:pPr>
            <w:r>
              <w:rPr>
                <w:sz w:val="24"/>
              </w:rPr>
              <w:t>总面积</w:t>
            </w:r>
            <w:r>
              <w:rPr>
                <w:sz w:val="24"/>
              </w:rPr>
              <w:t>20.06公顷，主要开展实施方案编制，具体包括</w:t>
            </w:r>
            <w:r>
              <w:rPr>
                <w:sz w:val="24"/>
              </w:rPr>
              <w:t>现状分析、</w:t>
            </w:r>
            <w:r>
              <w:rPr>
                <w:sz w:val="24"/>
              </w:rPr>
              <w:t>改造模式、改造方案、经济测算等。</w:t>
            </w:r>
          </w:p>
          <w:p>
            <w:pPr>
              <w:pStyle w:val="null3"/>
              <w:ind w:firstLine="480"/>
              <w:jc w:val="both"/>
            </w:pPr>
            <w:r>
              <w:rPr>
                <w:sz w:val="24"/>
              </w:rPr>
              <w:t>规划范围图：</w:t>
            </w:r>
          </w:p>
          <w:p>
            <w:pPr>
              <w:pStyle w:val="null3"/>
              <w:ind w:firstLine="480"/>
              <w:jc w:val="both"/>
            </w:pPr>
            <w:r>
              <w:drawing>
                <wp:inline distT="0" distR="0" distB="0" distL="0">
                  <wp:extent cx="3554730" cy="362917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3629174"/>
                          </a:xfrm>
                          <a:prstGeom prst="rect">
                            <a:avLst/>
                          </a:prstGeom>
                        </pic:spPr>
                      </pic:pic>
                    </a:graphicData>
                  </a:graphic>
                </wp:inline>
              </w:drawing>
            </w:r>
          </w:p>
          <w:p>
            <w:pPr>
              <w:pStyle w:val="null3"/>
              <w:ind w:firstLine="482"/>
              <w:jc w:val="both"/>
            </w:pPr>
            <w:r>
              <w:rPr>
                <w:sz w:val="24"/>
                <w:b/>
              </w:rPr>
              <w:t>（四）总体要求</w:t>
            </w:r>
          </w:p>
          <w:p>
            <w:pPr>
              <w:pStyle w:val="null3"/>
              <w:ind w:firstLine="480"/>
              <w:jc w:val="both"/>
            </w:pPr>
            <w:r>
              <w:rPr>
                <w:sz w:val="24"/>
              </w:rPr>
              <w:t>编制内容符合《广东省城市体检与城市更新一体化推进工作指引》及《广东省城市更新规划和年度实施计划编制工作指引》</w:t>
            </w:r>
            <w:r>
              <w:rPr>
                <w:sz w:val="24"/>
              </w:rPr>
              <w:t>(征求意见稿)及其他相关政策标准要求，同时结合和平县城重点城市更新单元的实际情况，开展本次规划工作。</w:t>
            </w:r>
          </w:p>
          <w:p>
            <w:pPr>
              <w:pStyle w:val="null3"/>
              <w:ind w:firstLine="482"/>
              <w:jc w:val="both"/>
            </w:pPr>
            <w:r>
              <w:rPr>
                <w:sz w:val="24"/>
                <w:b/>
              </w:rPr>
              <w:t>（五）工作内容</w:t>
            </w:r>
          </w:p>
          <w:p>
            <w:pPr>
              <w:pStyle w:val="null3"/>
              <w:ind w:firstLine="480"/>
              <w:jc w:val="both"/>
            </w:pPr>
            <w:r>
              <w:rPr>
                <w:sz w:val="24"/>
              </w:rPr>
              <w:t>本次工作分为片区策划和实施方案，做到整体统筹规划，成熟一块做细做扎实一块，有效指导近期实施。具体工作内容包括但不限于以下工作内容。</w:t>
            </w:r>
          </w:p>
          <w:p>
            <w:pPr>
              <w:pStyle w:val="null3"/>
              <w:ind w:firstLine="482"/>
              <w:jc w:val="both"/>
            </w:pPr>
            <w:r>
              <w:rPr>
                <w:sz w:val="24"/>
                <w:b/>
              </w:rPr>
              <w:t>第一部分</w:t>
            </w:r>
            <w:r>
              <w:rPr>
                <w:sz w:val="24"/>
                <w:b/>
              </w:rPr>
              <w:t>片区策划</w:t>
            </w:r>
          </w:p>
          <w:p>
            <w:pPr>
              <w:pStyle w:val="null3"/>
              <w:ind w:firstLine="482"/>
              <w:jc w:val="both"/>
            </w:pPr>
            <w:r>
              <w:rPr>
                <w:sz w:val="24"/>
                <w:b/>
              </w:rPr>
              <w:t>（</w:t>
            </w:r>
            <w:r>
              <w:rPr>
                <w:sz w:val="24"/>
                <w:b/>
              </w:rPr>
              <w:t>1）更新片区资源与特色评估</w:t>
            </w:r>
          </w:p>
          <w:p>
            <w:pPr>
              <w:pStyle w:val="null3"/>
              <w:ind w:firstLine="482"/>
              <w:jc w:val="both"/>
            </w:pPr>
            <w:r>
              <w:rPr>
                <w:sz w:val="24"/>
                <w:b/>
              </w:rPr>
              <w:t>①梳理规划条件。</w:t>
            </w:r>
            <w:r>
              <w:rPr>
                <w:sz w:val="24"/>
              </w:rPr>
              <w:t>梳理城市层面对片区的定位、目标、规模和方式等基本要求，分析片区的位置、范围和交通条件等，识别片区在城市及所在区域的价值，挖掘区域特色资源禀赋。</w:t>
            </w:r>
          </w:p>
          <w:p>
            <w:pPr>
              <w:pStyle w:val="null3"/>
              <w:ind w:firstLine="482"/>
              <w:jc w:val="both"/>
            </w:pPr>
            <w:r>
              <w:rPr>
                <w:sz w:val="24"/>
                <w:b/>
              </w:rPr>
              <w:t>②现状分析。</w:t>
            </w:r>
            <w:r>
              <w:rPr>
                <w:sz w:val="24"/>
              </w:rPr>
              <w:t>包括土地用途、建筑使用、人口构成、公服设施、公共空间、产业经济、历史文化资源、生态资源、道路交通、市政设施等。</w:t>
            </w:r>
          </w:p>
          <w:p>
            <w:pPr>
              <w:pStyle w:val="null3"/>
              <w:ind w:firstLine="482"/>
              <w:jc w:val="both"/>
            </w:pPr>
            <w:r>
              <w:rPr>
                <w:sz w:val="24"/>
                <w:b/>
              </w:rPr>
              <w:t>③梳理更新诉求。</w:t>
            </w:r>
            <w:r>
              <w:rPr>
                <w:sz w:val="24"/>
              </w:rPr>
              <w:t>结合城市体检开展片区内更新意愿调查，分析不同人群对片区的满意度和更新需求，精准梳理政府、居民、原权利人、市场主体等各类利益相关方的更新意愿和诉求。</w:t>
            </w:r>
          </w:p>
          <w:p>
            <w:pPr>
              <w:pStyle w:val="null3"/>
              <w:ind w:firstLine="482"/>
              <w:jc w:val="both"/>
            </w:pPr>
            <w:r>
              <w:rPr>
                <w:sz w:val="24"/>
                <w:b/>
              </w:rPr>
              <w:t>④评估存量资源价值。</w:t>
            </w:r>
            <w:r>
              <w:rPr>
                <w:sz w:val="24"/>
              </w:rPr>
              <w:t>识别低效利用土地、闲置空间、可改造利用的既有建筑等存量资源，评估其更新再利用的潜力与价值。</w:t>
            </w:r>
          </w:p>
          <w:p>
            <w:pPr>
              <w:pStyle w:val="null3"/>
              <w:ind w:firstLine="482"/>
              <w:jc w:val="both"/>
            </w:pPr>
            <w:r>
              <w:rPr>
                <w:sz w:val="24"/>
                <w:b/>
              </w:rPr>
              <w:t>（</w:t>
            </w:r>
            <w:r>
              <w:rPr>
                <w:sz w:val="24"/>
                <w:b/>
              </w:rPr>
              <w:t>2）更新片区方案策划</w:t>
            </w:r>
          </w:p>
          <w:p>
            <w:pPr>
              <w:pStyle w:val="null3"/>
              <w:ind w:firstLine="482"/>
              <w:jc w:val="both"/>
            </w:pPr>
            <w:r>
              <w:rPr>
                <w:sz w:val="24"/>
                <w:b/>
              </w:rPr>
              <w:t>①目标定位与功能业态。</w:t>
            </w:r>
            <w:r>
              <w:rPr>
                <w:sz w:val="24"/>
              </w:rPr>
              <w:t>结合上位规划，提出更新片区发展的总体目标、核心定位及主导功能业态。</w:t>
            </w:r>
          </w:p>
          <w:p>
            <w:pPr>
              <w:pStyle w:val="null3"/>
              <w:ind w:firstLine="482"/>
              <w:jc w:val="both"/>
            </w:pPr>
            <w:r>
              <w:rPr>
                <w:sz w:val="24"/>
                <w:b/>
              </w:rPr>
              <w:t>②更新任务和更新方式。</w:t>
            </w:r>
            <w:r>
              <w:rPr>
                <w:sz w:val="24"/>
              </w:rPr>
              <w:t>兼顾问题导向和目标导向，回应体检发现的问题，支撑目标研判的发展策略，明确片区更新的重点任务。依据现状更新资源，明确更新片区主要更新方式。</w:t>
            </w:r>
          </w:p>
          <w:p>
            <w:pPr>
              <w:pStyle w:val="null3"/>
              <w:ind w:firstLine="482"/>
              <w:jc w:val="both"/>
            </w:pPr>
            <w:r>
              <w:rPr>
                <w:sz w:val="24"/>
                <w:b/>
              </w:rPr>
              <w:t>③片区更新策略。</w:t>
            </w:r>
            <w:r>
              <w:rPr>
                <w:sz w:val="24"/>
              </w:rPr>
              <w:t>聚焦可持续实施需要，开展经济测算，初步确定片区内的留、改、拆范围。结合片区的问题和上位规划的相关要求，从优化结构、完善功能、提升品质等方面提出针对性的更新策略。</w:t>
            </w:r>
          </w:p>
          <w:p>
            <w:pPr>
              <w:pStyle w:val="null3"/>
              <w:ind w:firstLine="482"/>
              <w:jc w:val="both"/>
            </w:pPr>
            <w:r>
              <w:rPr>
                <w:sz w:val="24"/>
                <w:b/>
              </w:rPr>
              <w:t>④更新内容与规模。</w:t>
            </w:r>
            <w:r>
              <w:rPr>
                <w:sz w:val="24"/>
              </w:rPr>
              <w:t>根据片区更新目标和策略，细化更新任务与内容，明确片区内各类更新方式对应的区域和规模。</w:t>
            </w:r>
          </w:p>
          <w:p>
            <w:pPr>
              <w:pStyle w:val="null3"/>
              <w:ind w:firstLine="482"/>
              <w:jc w:val="both"/>
            </w:pPr>
            <w:r>
              <w:rPr>
                <w:sz w:val="24"/>
                <w:b/>
              </w:rPr>
              <w:t>⑤划定重点更新项目。</w:t>
            </w:r>
            <w:r>
              <w:rPr>
                <w:sz w:val="24"/>
              </w:rPr>
              <w:t>结合具体的更新内容，分类确定更新项目，明确重点更新项目的空间范围和地块等。</w:t>
            </w:r>
          </w:p>
          <w:p>
            <w:pPr>
              <w:pStyle w:val="null3"/>
              <w:ind w:firstLine="482"/>
              <w:jc w:val="both"/>
            </w:pPr>
            <w:r>
              <w:rPr>
                <w:sz w:val="24"/>
                <w:b/>
              </w:rPr>
              <w:t>（</w:t>
            </w:r>
            <w:r>
              <w:rPr>
                <w:sz w:val="24"/>
                <w:b/>
              </w:rPr>
              <w:t>3）更新片区城市设计</w:t>
            </w:r>
          </w:p>
          <w:p>
            <w:pPr>
              <w:pStyle w:val="null3"/>
              <w:ind w:firstLine="480"/>
              <w:jc w:val="both"/>
            </w:pPr>
            <w:r>
              <w:rPr>
                <w:sz w:val="24"/>
                <w:b/>
                <w:color w:val="000000"/>
              </w:rPr>
              <w:t>①</w:t>
            </w:r>
            <w:r>
              <w:rPr>
                <w:sz w:val="24"/>
                <w:b/>
                <w:color w:val="000000"/>
              </w:rPr>
              <w:t>空间结构组织。</w:t>
            </w:r>
            <w:r>
              <w:rPr>
                <w:sz w:val="24"/>
                <w:color w:val="000000"/>
              </w:rPr>
              <w:t>梳理现状空间布局，结合城市更新潜力挖掘和评估，确定重要节点、轴线等城市更新空间框架。</w:t>
            </w:r>
          </w:p>
          <w:p>
            <w:pPr>
              <w:pStyle w:val="null3"/>
              <w:ind w:firstLine="480"/>
              <w:jc w:val="both"/>
            </w:pPr>
            <w:r>
              <w:rPr>
                <w:sz w:val="24"/>
                <w:b/>
                <w:color w:val="000000"/>
              </w:rPr>
              <w:t>②</w:t>
            </w:r>
            <w:r>
              <w:rPr>
                <w:sz w:val="24"/>
                <w:b/>
                <w:color w:val="000000"/>
              </w:rPr>
              <w:t>土地功能用途。</w:t>
            </w:r>
            <w:r>
              <w:rPr>
                <w:sz w:val="24"/>
                <w:color w:val="000000"/>
              </w:rPr>
              <w:t>说明地块划分、用地性质等具体内容，积极探索规划弹性指标设置与混合用地模式。</w:t>
            </w:r>
          </w:p>
          <w:p>
            <w:pPr>
              <w:pStyle w:val="null3"/>
              <w:ind w:firstLine="480"/>
              <w:jc w:val="both"/>
            </w:pPr>
            <w:r>
              <w:rPr>
                <w:sz w:val="24"/>
                <w:b/>
                <w:color w:val="000000"/>
              </w:rPr>
              <w:t>③</w:t>
            </w:r>
            <w:r>
              <w:rPr>
                <w:sz w:val="24"/>
                <w:b/>
                <w:color w:val="000000"/>
              </w:rPr>
              <w:t>开发建设强度。</w:t>
            </w:r>
            <w:r>
              <w:rPr>
                <w:sz w:val="24"/>
                <w:color w:val="000000"/>
              </w:rPr>
              <w:t>结合城市设计方案，明确地块的建筑高度、密度、容积率等建设指标。</w:t>
            </w:r>
          </w:p>
          <w:p>
            <w:pPr>
              <w:pStyle w:val="null3"/>
              <w:ind w:firstLine="480"/>
              <w:jc w:val="both"/>
            </w:pPr>
            <w:r>
              <w:rPr>
                <w:sz w:val="24"/>
                <w:b/>
                <w:color w:val="000000"/>
              </w:rPr>
              <w:t>④</w:t>
            </w:r>
            <w:r>
              <w:rPr>
                <w:sz w:val="24"/>
                <w:b/>
                <w:color w:val="000000"/>
              </w:rPr>
              <w:t>道路交通组织。</w:t>
            </w:r>
            <w:r>
              <w:rPr>
                <w:sz w:val="24"/>
                <w:color w:val="000000"/>
              </w:rPr>
              <w:t>提出道路等级、功能、道路断面的优化要求，完善路网结构，根据实际需求加密次支道路打通</w:t>
            </w:r>
            <w:r>
              <w:rPr>
                <w:sz w:val="24"/>
                <w:color w:val="000000"/>
              </w:rPr>
              <w:t>“</w:t>
            </w:r>
            <w:r>
              <w:rPr>
                <w:sz w:val="24"/>
                <w:color w:val="000000"/>
              </w:rPr>
              <w:t>断头路</w:t>
            </w:r>
            <w:r>
              <w:rPr>
                <w:sz w:val="24"/>
                <w:color w:val="000000"/>
              </w:rPr>
              <w:t>”</w:t>
            </w:r>
            <w:r>
              <w:rPr>
                <w:sz w:val="24"/>
                <w:color w:val="000000"/>
              </w:rPr>
              <w:t>，畅通微循环。</w:t>
            </w:r>
          </w:p>
          <w:p>
            <w:pPr>
              <w:pStyle w:val="null3"/>
              <w:ind w:firstLine="480"/>
              <w:jc w:val="both"/>
            </w:pPr>
            <w:r>
              <w:rPr>
                <w:sz w:val="24"/>
                <w:b/>
                <w:color w:val="000000"/>
              </w:rPr>
              <w:t>⑤</w:t>
            </w:r>
            <w:r>
              <w:rPr>
                <w:sz w:val="24"/>
                <w:b/>
                <w:color w:val="000000"/>
              </w:rPr>
              <w:t>公共空间设计。</w:t>
            </w:r>
            <w:r>
              <w:rPr>
                <w:sz w:val="24"/>
                <w:color w:val="000000"/>
              </w:rPr>
              <w:t>梳理片区内可承载游憩观光、运动休闲、交通通行等功能的开放空间，对重要节点和地段开展精细化城市设计。</w:t>
            </w:r>
          </w:p>
          <w:p>
            <w:pPr>
              <w:pStyle w:val="null3"/>
              <w:ind w:firstLine="480"/>
              <w:jc w:val="both"/>
            </w:pPr>
            <w:r>
              <w:rPr>
                <w:sz w:val="24"/>
                <w:b/>
                <w:color w:val="000000"/>
              </w:rPr>
              <w:t>⑥</w:t>
            </w:r>
            <w:r>
              <w:rPr>
                <w:sz w:val="24"/>
                <w:b/>
                <w:color w:val="000000"/>
              </w:rPr>
              <w:t>建筑风貌特色。</w:t>
            </w:r>
            <w:r>
              <w:rPr>
                <w:sz w:val="24"/>
                <w:color w:val="000000"/>
              </w:rPr>
              <w:t>运用城市设计手段，优化片区风貌架构，提出片区内重点建筑风貌提升策略，促进建筑外立面的色彩、材质、风格与城市及周边区域相协调，重点对沿街及人群主要活动区域的建筑外立面进行风貌提升。</w:t>
            </w:r>
          </w:p>
          <w:p>
            <w:pPr>
              <w:pStyle w:val="null3"/>
              <w:ind w:firstLine="482"/>
              <w:jc w:val="both"/>
            </w:pPr>
            <w:r>
              <w:rPr>
                <w:sz w:val="24"/>
                <w:b/>
              </w:rPr>
              <w:t>第二部分</w:t>
            </w:r>
            <w:r>
              <w:rPr>
                <w:sz w:val="24"/>
                <w:b/>
              </w:rPr>
              <w:t>实施方案</w:t>
            </w:r>
          </w:p>
          <w:p>
            <w:pPr>
              <w:pStyle w:val="null3"/>
              <w:ind w:firstLine="482"/>
              <w:jc w:val="both"/>
            </w:pPr>
            <w:r>
              <w:rPr>
                <w:sz w:val="24"/>
                <w:b/>
              </w:rPr>
              <w:t>（</w:t>
            </w:r>
            <w:r>
              <w:rPr>
                <w:sz w:val="24"/>
                <w:b/>
              </w:rPr>
              <w:t>1）项目基础与现状条件</w:t>
            </w:r>
          </w:p>
          <w:p>
            <w:pPr>
              <w:pStyle w:val="null3"/>
              <w:ind w:firstLine="480"/>
              <w:jc w:val="both"/>
            </w:pPr>
            <w:r>
              <w:rPr>
                <w:sz w:val="24"/>
                <w:color w:val="000000"/>
              </w:rPr>
              <w:t>①</w:t>
            </w:r>
            <w:r>
              <w:rPr>
                <w:sz w:val="24"/>
                <w:color w:val="000000"/>
              </w:rPr>
              <w:t>项目基础。包括项目区位、项目范围、城市更新行动计划指引分析。</w:t>
            </w:r>
          </w:p>
          <w:p>
            <w:pPr>
              <w:pStyle w:val="null3"/>
              <w:ind w:firstLine="480"/>
              <w:jc w:val="both"/>
            </w:pPr>
            <w:r>
              <w:rPr>
                <w:sz w:val="24"/>
                <w:color w:val="000000"/>
              </w:rPr>
              <w:t>②</w:t>
            </w:r>
            <w:r>
              <w:rPr>
                <w:sz w:val="24"/>
                <w:color w:val="000000"/>
              </w:rPr>
              <w:t>现状分析。包括人口分析、土地利用情况、现状建筑情况、基础设施建设情况、周边功能业态情况、文化分析、生态分析等。</w:t>
            </w:r>
          </w:p>
          <w:p>
            <w:pPr>
              <w:pStyle w:val="null3"/>
              <w:ind w:firstLine="482"/>
              <w:jc w:val="both"/>
            </w:pPr>
            <w:r>
              <w:rPr>
                <w:sz w:val="24"/>
                <w:b/>
              </w:rPr>
              <w:t>（</w:t>
            </w:r>
            <w:r>
              <w:rPr>
                <w:sz w:val="24"/>
                <w:b/>
              </w:rPr>
              <w:t>2）项目业态与实施模式</w:t>
            </w:r>
          </w:p>
          <w:p>
            <w:pPr>
              <w:pStyle w:val="null3"/>
              <w:ind w:firstLine="480"/>
              <w:jc w:val="both"/>
            </w:pPr>
            <w:r>
              <w:rPr>
                <w:sz w:val="24"/>
                <w:color w:val="000000"/>
              </w:rPr>
              <w:t>①</w:t>
            </w:r>
            <w:r>
              <w:rPr>
                <w:sz w:val="24"/>
                <w:color w:val="000000"/>
              </w:rPr>
              <w:t>项目业态策划。结合项目区位与资源条件明确本项目的主导功能、业态方向。</w:t>
            </w:r>
          </w:p>
          <w:p>
            <w:pPr>
              <w:pStyle w:val="null3"/>
              <w:ind w:firstLine="480"/>
              <w:jc w:val="both"/>
            </w:pPr>
            <w:r>
              <w:rPr>
                <w:sz w:val="24"/>
                <w:color w:val="000000"/>
              </w:rPr>
              <w:t>②</w:t>
            </w:r>
            <w:r>
              <w:rPr>
                <w:sz w:val="24"/>
                <w:color w:val="000000"/>
              </w:rPr>
              <w:t>地块更新规模。测算项目总建筑面积和保留、改造、拆除、新建的建筑面积，确定</w:t>
            </w:r>
            <w:r>
              <w:rPr>
                <w:sz w:val="24"/>
                <w:color w:val="000000"/>
              </w:rPr>
              <w:t>“</w:t>
            </w:r>
            <w:r>
              <w:rPr>
                <w:sz w:val="24"/>
                <w:color w:val="000000"/>
              </w:rPr>
              <w:t>留改拆</w:t>
            </w:r>
            <w:r>
              <w:rPr>
                <w:sz w:val="24"/>
                <w:color w:val="000000"/>
              </w:rPr>
              <w:t>”</w:t>
            </w:r>
            <w:r>
              <w:rPr>
                <w:sz w:val="24"/>
                <w:color w:val="000000"/>
              </w:rPr>
              <w:t>界线范围及指标等。</w:t>
            </w:r>
          </w:p>
          <w:p>
            <w:pPr>
              <w:pStyle w:val="null3"/>
              <w:ind w:firstLine="480"/>
              <w:jc w:val="both"/>
            </w:pPr>
            <w:r>
              <w:rPr>
                <w:sz w:val="24"/>
                <w:color w:val="000000"/>
              </w:rPr>
              <w:t>③</w:t>
            </w:r>
            <w:r>
              <w:rPr>
                <w:sz w:val="24"/>
                <w:color w:val="000000"/>
              </w:rPr>
              <w:t>项目实施模式。提出可持续的城市更新实施模式，积极推进市场化运作，通过运营策划前置的方式，一体化推进项目规划、设计、投资、建设、运营，强化项目精细化建设与全生命周期管理</w:t>
            </w:r>
          </w:p>
          <w:p>
            <w:pPr>
              <w:pStyle w:val="null3"/>
              <w:ind w:firstLine="480"/>
              <w:jc w:val="both"/>
            </w:pPr>
            <w:r>
              <w:rPr>
                <w:sz w:val="24"/>
                <w:color w:val="000000"/>
              </w:rPr>
              <w:t>④</w:t>
            </w:r>
            <w:r>
              <w:rPr>
                <w:sz w:val="24"/>
                <w:color w:val="000000"/>
              </w:rPr>
              <w:t>功能定位。根据国土空间规划、城市更新专项规划及其他相关规划结合区域功能定位和物业权利人更新需求，确定项目的功能定位。</w:t>
            </w:r>
          </w:p>
          <w:p>
            <w:pPr>
              <w:pStyle w:val="null3"/>
              <w:ind w:firstLine="482"/>
              <w:jc w:val="both"/>
            </w:pPr>
            <w:r>
              <w:rPr>
                <w:sz w:val="24"/>
                <w:b/>
              </w:rPr>
              <w:t>（八）项目设计方案</w:t>
            </w:r>
          </w:p>
          <w:p>
            <w:pPr>
              <w:pStyle w:val="null3"/>
              <w:ind w:firstLine="480"/>
              <w:jc w:val="both"/>
            </w:pPr>
            <w:r>
              <w:rPr>
                <w:sz w:val="24"/>
                <w:color w:val="000000"/>
              </w:rPr>
              <w:t>①</w:t>
            </w:r>
            <w:r>
              <w:rPr>
                <w:sz w:val="24"/>
                <w:color w:val="000000"/>
              </w:rPr>
              <w:t>用地规划指标。</w:t>
            </w:r>
          </w:p>
          <w:p>
            <w:pPr>
              <w:pStyle w:val="null3"/>
              <w:ind w:firstLine="480"/>
              <w:jc w:val="both"/>
            </w:pPr>
            <w:r>
              <w:rPr>
                <w:sz w:val="24"/>
                <w:color w:val="000000"/>
              </w:rPr>
              <w:t>②</w:t>
            </w:r>
            <w:r>
              <w:rPr>
                <w:sz w:val="24"/>
                <w:color w:val="000000"/>
              </w:rPr>
              <w:t>公共服务设施规划。</w:t>
            </w:r>
          </w:p>
          <w:p>
            <w:pPr>
              <w:pStyle w:val="null3"/>
              <w:ind w:firstLine="480"/>
              <w:jc w:val="both"/>
            </w:pPr>
            <w:r>
              <w:rPr>
                <w:sz w:val="24"/>
                <w:color w:val="000000"/>
              </w:rPr>
              <w:t>③</w:t>
            </w:r>
            <w:r>
              <w:rPr>
                <w:sz w:val="24"/>
                <w:color w:val="000000"/>
              </w:rPr>
              <w:t>交通组织方案。</w:t>
            </w:r>
          </w:p>
          <w:p>
            <w:pPr>
              <w:pStyle w:val="null3"/>
              <w:ind w:firstLine="480"/>
              <w:jc w:val="both"/>
            </w:pPr>
            <w:r>
              <w:rPr>
                <w:sz w:val="24"/>
                <w:color w:val="000000"/>
              </w:rPr>
              <w:t>④</w:t>
            </w:r>
            <w:r>
              <w:rPr>
                <w:sz w:val="24"/>
                <w:color w:val="000000"/>
              </w:rPr>
              <w:t>历史文化遗产保护。</w:t>
            </w:r>
          </w:p>
          <w:p>
            <w:pPr>
              <w:pStyle w:val="null3"/>
              <w:ind w:firstLine="480"/>
              <w:jc w:val="both"/>
            </w:pPr>
            <w:r>
              <w:rPr>
                <w:sz w:val="24"/>
                <w:color w:val="000000"/>
              </w:rPr>
              <w:t>⑤</w:t>
            </w:r>
            <w:r>
              <w:rPr>
                <w:sz w:val="24"/>
                <w:color w:val="000000"/>
              </w:rPr>
              <w:t>市政基础设施规划。</w:t>
            </w:r>
          </w:p>
          <w:p>
            <w:pPr>
              <w:pStyle w:val="null3"/>
              <w:ind w:firstLine="482"/>
              <w:jc w:val="both"/>
            </w:pPr>
            <w:r>
              <w:rPr>
                <w:sz w:val="24"/>
                <w:b/>
              </w:rPr>
              <w:t>（九）项目投融资测算</w:t>
            </w:r>
          </w:p>
          <w:p>
            <w:pPr>
              <w:pStyle w:val="null3"/>
              <w:ind w:firstLine="480"/>
              <w:jc w:val="both"/>
            </w:pPr>
            <w:r>
              <w:rPr>
                <w:sz w:val="24"/>
                <w:color w:val="000000"/>
              </w:rPr>
              <w:t>①项目投资测算。对项目的具体成本收益提出详细的经济测算。</w:t>
            </w:r>
          </w:p>
          <w:p>
            <w:pPr>
              <w:pStyle w:val="null3"/>
              <w:ind w:firstLine="480"/>
              <w:jc w:val="both"/>
            </w:pPr>
            <w:r>
              <w:rPr>
                <w:sz w:val="24"/>
                <w:color w:val="000000"/>
              </w:rPr>
              <w:t>②项目效益预估。提出项目建设运营模式，预估项目经济、社会、环境等综合效益。</w:t>
            </w:r>
          </w:p>
          <w:p>
            <w:pPr>
              <w:pStyle w:val="null3"/>
              <w:ind w:firstLine="480"/>
              <w:jc w:val="both"/>
            </w:pPr>
            <w:r>
              <w:rPr>
                <w:sz w:val="24"/>
                <w:color w:val="000000"/>
              </w:rPr>
              <w:t>③经济利益平衡。对政府、集体、企业、居民等不同权益主体的经济利益进行测算，提出经济利益平衡方案。</w:t>
            </w:r>
          </w:p>
          <w:p>
            <w:pPr>
              <w:pStyle w:val="null3"/>
              <w:ind w:firstLine="482"/>
              <w:jc w:val="both"/>
            </w:pPr>
            <w:r>
              <w:rPr>
                <w:sz w:val="24"/>
                <w:b/>
              </w:rPr>
              <w:t>（十）实施计划与保障</w:t>
            </w:r>
          </w:p>
          <w:p>
            <w:pPr>
              <w:pStyle w:val="null3"/>
              <w:ind w:firstLine="480"/>
              <w:jc w:val="both"/>
            </w:pPr>
            <w:r>
              <w:rPr>
                <w:sz w:val="24"/>
                <w:color w:val="000000"/>
              </w:rPr>
              <w:t>①资金来源。统筹考虑项目分期实施时序等，明确资金使用安排以及支持政策，包括政府财政资金投入、各类财税优惠或补贴等。</w:t>
            </w:r>
          </w:p>
          <w:p>
            <w:pPr>
              <w:pStyle w:val="null3"/>
              <w:ind w:firstLine="480"/>
              <w:jc w:val="both"/>
            </w:pPr>
            <w:r>
              <w:rPr>
                <w:sz w:val="24"/>
                <w:color w:val="000000"/>
              </w:rPr>
              <w:t>②实施计划。项目建设时序与近期实施项目清单。</w:t>
            </w:r>
          </w:p>
          <w:p>
            <w:pPr>
              <w:pStyle w:val="null3"/>
              <w:ind w:firstLine="480"/>
              <w:jc w:val="both"/>
            </w:pPr>
            <w:r>
              <w:rPr>
                <w:sz w:val="24"/>
                <w:color w:val="000000"/>
              </w:rPr>
              <w:t>③实施保障。项目实施保障机制。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1.采购代理机构：本项目是指河源市名企项目管理有限责任公司，负责整个采购活动的组织，依法负责编制和发布磋商文件，对磋商文件拥有最终的解释权，不以任何身份出任磋商小组成员。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和平县住房和城乡建设局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采购机构代理服务收费标准：代理服务费参照国家发改委（发改价格[2011]534号）文规定进行收取。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河源市名企项目管理有限责任公司</w:t>
      </w:r>
      <w:r>
        <w:rPr/>
        <w:t>代收。具体操作要求详见</w:t>
      </w:r>
      <w:r>
        <w:rPr/>
        <w:t>河源市名企项目管理有限责任公司</w:t>
      </w:r>
      <w:r>
        <w:rPr/>
        <w:t>有关指引，递交事宜请自行咨询</w:t>
      </w:r>
      <w:r>
        <w:rPr/>
        <w:t>河源市名企项目管理有限责任公司</w:t>
      </w:r>
      <w:r>
        <w:rPr/>
        <w:t>；请各供应商在响应文件递交截止时间前按须知前附表规定的金额递交至</w:t>
      </w:r>
      <w:r>
        <w:rPr/>
        <w:t>河源市名企项目管理有限责任公司</w:t>
      </w:r>
      <w:r>
        <w:rPr/>
        <w:t>，到账情况以开启时</w:t>
      </w:r>
      <w:r>
        <w:rPr/>
        <w:t>河源市名企项目管理有限责任公司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王先生</w:t>
      </w:r>
    </w:p>
    <w:p>
      <w:pPr>
        <w:pStyle w:val="null3"/>
        <w:ind w:firstLine="480"/>
      </w:pPr>
      <w:r>
        <w:rPr/>
        <w:t>电话：</w:t>
      </w:r>
      <w:r>
        <w:rPr/>
        <w:t>0762-3666919</w:t>
      </w:r>
    </w:p>
    <w:p>
      <w:pPr>
        <w:pStyle w:val="null3"/>
        <w:ind w:firstLine="480"/>
      </w:pPr>
      <w:r>
        <w:rPr/>
        <w:t>传真：</w:t>
      </w:r>
      <w:r>
        <w:rPr/>
        <w:t>0762-3666919</w:t>
      </w:r>
    </w:p>
    <w:p>
      <w:pPr>
        <w:pStyle w:val="null3"/>
        <w:ind w:firstLine="480"/>
      </w:pPr>
      <w:r>
        <w:rPr/>
        <w:t>邮箱：</w:t>
      </w:r>
      <w:r>
        <w:rPr/>
        <w:t>hymq1818@126.com</w:t>
      </w:r>
    </w:p>
    <w:p>
      <w:pPr>
        <w:pStyle w:val="null3"/>
        <w:ind w:firstLine="480"/>
      </w:pPr>
      <w:r>
        <w:rPr/>
        <w:t>地址：</w:t>
      </w:r>
      <w:r>
        <w:rPr/>
        <w:t>河源市东源县扶贫工业区木京村生产生活用地A16、A17两卡联诚楼第二层</w:t>
      </w:r>
    </w:p>
    <w:p>
      <w:pPr>
        <w:pStyle w:val="null3"/>
        <w:ind w:firstLine="480"/>
      </w:pPr>
      <w:r>
        <w:rPr/>
        <w:t>邮编：</w:t>
      </w:r>
      <w:r>
        <w:rPr/>
        <w:t>517000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政府采购监督管理机构名称：和平县政府采购监管股</w:t>
      </w:r>
    </w:p>
    <w:p>
      <w:pPr>
        <w:pStyle w:val="null3"/>
      </w:pPr>
      <w:r>
        <w:rPr/>
        <w:t>地 址：河源市和平县阳明镇新社角前</w:t>
      </w:r>
    </w:p>
    <w:p>
      <w:pPr>
        <w:pStyle w:val="null3"/>
      </w:pPr>
      <w:r>
        <w:rPr/>
        <w:t>电 话：0762-5687856</w:t>
      </w:r>
    </w:p>
    <w:p>
      <w:pPr>
        <w:pStyle w:val="null3"/>
      </w:pPr>
      <w:r>
        <w:rPr/>
        <w:t>邮 编：517200</w:t>
      </w:r>
    </w:p>
    <w:p>
      <w:pPr>
        <w:pStyle w:val="null3"/>
      </w:pPr>
      <w:r>
        <w:rPr/>
        <w:t>传 真：0762-5634142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和平县城重点城市更新单元片区策划及实施方案)：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河源市名企项目管理有限责任公司</w:t>
      </w:r>
      <w:r>
        <w:rPr/>
        <w:t>统一对外发布。</w:t>
      </w:r>
    </w:p>
    <w:p>
      <w:pPr>
        <w:pStyle w:val="null3"/>
        <w:ind w:firstLine="480"/>
      </w:pPr>
      <w:r>
        <w:rPr/>
        <w:t>（2）对</w:t>
      </w:r>
      <w:r>
        <w:rPr/>
        <w:t>河源市名企项目管理有限责任公司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采购包1（和平县城重点城市更新单元片区策划及实施方案）：</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采购包1（和平县城重点城市更新单元片区策划及实施方案）：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投标（响应）时提交有效的营业执照（或事业法人登记证或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提供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税收违法黑名单”记录名单；同时，不处于中国政府采购网(www.ccgp.gov.cn)“政府采购严重违法失信行为信息记录”中的禁止参加政府采购活动期间,（说明：以采购代理机构于投标截止时间在“信用中国”网站（www.creditchina.gov.cn）及中国政府采购网(www.ccgp.gov.cn)查询结果为准,同时对信用信息查询记录截图盖章存档。）</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投标人应当具备特定行业法定准入要求，具备乙级（或以上）城乡规划（国土空间规划）编制单位资质，提供资质证书复印件。(如国家另有规定，则适用其规定)</w:t>
            </w:r>
          </w:p>
        </w:tc>
      </w:tr>
      <w:tr>
        <w:tc>
          <w:tcPr>
            <w:tcW w:type="dxa" w:w="890"/>
          </w:tcPr>
          <w:p>
            <w:pPr>
              <w:pStyle w:val="null3"/>
            </w:pPr>
            <w:r>
              <w:rPr/>
              <w:t>9</w:t>
            </w:r>
          </w:p>
        </w:tc>
        <w:tc>
          <w:tcPr>
            <w:tcW w:type="dxa" w:w="3178"/>
          </w:tcPr>
          <w:p>
            <w:pPr>
              <w:pStyle w:val="null3"/>
            </w:pPr>
            <w:r>
              <w:rPr/>
              <w:t>联合体要求</w:t>
            </w:r>
          </w:p>
        </w:tc>
        <w:tc>
          <w:tcPr>
            <w:tcW w:type="dxa" w:w="4238"/>
          </w:tcPr>
          <w:p>
            <w:pPr>
              <w:pStyle w:val="null3"/>
            </w:pPr>
            <w:r>
              <w:rPr/>
              <w:t>本项目不接受联合体方式参与投标。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1）本项目落实《政府采购促进中小企业发展管理办法》（财库〔2020〕46 号）； 2）《关于政府采购支持监狱企业发展有关问题的通知》(财库〔2014〕68号)； 3）《关于促进残疾人就业政府采购政策的通知》（财库〔2017〕141号)； 4）《关于环境标志产品政府采购实施的意见》（财库〔2006〕90号）； 5）《节能产品政府采购实施意见》的通知（财库〔2004〕185号）等。</w:t>
            </w:r>
          </w:p>
        </w:tc>
      </w:tr>
    </w:tbl>
    <w:p>
      <w:pPr>
        <w:pStyle w:val="null3"/>
        <w:ind w:firstLine="480"/>
      </w:pPr>
      <w:r>
        <w:rPr/>
        <w:t>表二符合性审查表：</w:t>
      </w:r>
    </w:p>
    <w:p>
      <w:pPr>
        <w:pStyle w:val="null3"/>
      </w:pPr>
      <w:r>
        <w:rPr/>
        <w:t>采购包1（和平县城重点城市更新单元片区策划及实施方案）：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资格性审查</w:t>
            </w:r>
          </w:p>
        </w:tc>
        <w:tc>
          <w:tcPr>
            <w:tcW w:type="dxa" w:w="4238"/>
          </w:tcPr>
          <w:p>
            <w:pPr>
              <w:pStyle w:val="null3"/>
            </w:pPr>
            <w:r>
              <w:rPr/>
              <w:t>与公告的供应商资格要求一致。</w:t>
            </w:r>
          </w:p>
        </w:tc>
      </w:tr>
      <w:tr>
        <w:tc>
          <w:tcPr>
            <w:tcW w:type="dxa" w:w="890"/>
          </w:tcPr>
          <w:p>
            <w:pPr>
              <w:pStyle w:val="null3"/>
            </w:pPr>
            <w:r>
              <w:rPr/>
              <w:t>2</w:t>
            </w:r>
          </w:p>
        </w:tc>
        <w:tc>
          <w:tcPr>
            <w:tcW w:type="dxa" w:w="3178"/>
          </w:tcPr>
          <w:p>
            <w:pPr>
              <w:pStyle w:val="null3"/>
            </w:pPr>
            <w:r>
              <w:rPr/>
              <w:t>投标文件的要求</w:t>
            </w:r>
          </w:p>
        </w:tc>
        <w:tc>
          <w:tcPr>
            <w:tcW w:type="dxa" w:w="4238"/>
          </w:tcPr>
          <w:p>
            <w:pPr>
              <w:pStyle w:val="null3"/>
            </w:pPr>
            <w:r>
              <w:rPr/>
              <w:t>投标文件内容、编制、份数、签署、盖章符合招标文件要求。</w:t>
            </w:r>
          </w:p>
        </w:tc>
      </w:tr>
      <w:tr>
        <w:tc>
          <w:tcPr>
            <w:tcW w:type="dxa" w:w="890"/>
          </w:tcPr>
          <w:p>
            <w:pPr>
              <w:pStyle w:val="null3"/>
            </w:pPr>
            <w:r>
              <w:rPr/>
              <w:t>3</w:t>
            </w:r>
          </w:p>
        </w:tc>
        <w:tc>
          <w:tcPr>
            <w:tcW w:type="dxa" w:w="3178"/>
          </w:tcPr>
          <w:p>
            <w:pPr>
              <w:pStyle w:val="null3"/>
            </w:pPr>
            <w:r>
              <w:rPr/>
              <w:t>带“★”的内容要求</w:t>
            </w:r>
          </w:p>
        </w:tc>
        <w:tc>
          <w:tcPr>
            <w:tcW w:type="dxa" w:w="4238"/>
          </w:tcPr>
          <w:p>
            <w:pPr>
              <w:pStyle w:val="null3"/>
            </w:pPr>
            <w:r>
              <w:rPr/>
              <w:t>“★”号条款满足招标文件要求。</w:t>
            </w:r>
          </w:p>
        </w:tc>
      </w:tr>
      <w:tr>
        <w:tc>
          <w:tcPr>
            <w:tcW w:type="dxa" w:w="890"/>
          </w:tcPr>
          <w:p>
            <w:pPr>
              <w:pStyle w:val="null3"/>
            </w:pPr>
            <w:r>
              <w:rPr/>
              <w:t>4</w:t>
            </w:r>
          </w:p>
        </w:tc>
        <w:tc>
          <w:tcPr>
            <w:tcW w:type="dxa" w:w="3178"/>
          </w:tcPr>
          <w:p>
            <w:pPr>
              <w:pStyle w:val="null3"/>
            </w:pPr>
            <w:r>
              <w:rPr/>
              <w:t>投标报价的要求</w:t>
            </w:r>
          </w:p>
        </w:tc>
        <w:tc>
          <w:tcPr>
            <w:tcW w:type="dxa" w:w="4238"/>
          </w:tcPr>
          <w:p>
            <w:pPr>
              <w:pStyle w:val="null3"/>
            </w:pPr>
            <w:r>
              <w:rPr/>
              <w:t>投标报价是否符合招标文件要求。</w:t>
            </w:r>
          </w:p>
        </w:tc>
      </w:tr>
      <w:tr>
        <w:tc>
          <w:tcPr>
            <w:tcW w:type="dxa" w:w="890"/>
          </w:tcPr>
          <w:p>
            <w:pPr>
              <w:pStyle w:val="null3"/>
            </w:pPr>
            <w:r>
              <w:rPr/>
              <w:t>5</w:t>
            </w:r>
          </w:p>
        </w:tc>
        <w:tc>
          <w:tcPr>
            <w:tcW w:type="dxa" w:w="3178"/>
          </w:tcPr>
          <w:p>
            <w:pPr>
              <w:pStyle w:val="null3"/>
            </w:pPr>
            <w:r>
              <w:rPr/>
              <w:t>投标有效期要求</w:t>
            </w:r>
          </w:p>
        </w:tc>
        <w:tc>
          <w:tcPr>
            <w:tcW w:type="dxa" w:w="4238"/>
          </w:tcPr>
          <w:p>
            <w:pPr>
              <w:pStyle w:val="null3"/>
            </w:pPr>
            <w:r>
              <w:rPr/>
              <w:t>投标文件的有效期是否符合招标文件要求。</w:t>
            </w:r>
          </w:p>
        </w:tc>
      </w:tr>
      <w:tr>
        <w:tc>
          <w:tcPr>
            <w:tcW w:type="dxa" w:w="890"/>
          </w:tcPr>
          <w:p>
            <w:pPr>
              <w:pStyle w:val="null3"/>
            </w:pPr>
            <w:r>
              <w:rPr/>
              <w:t>6</w:t>
            </w:r>
          </w:p>
        </w:tc>
        <w:tc>
          <w:tcPr>
            <w:tcW w:type="dxa" w:w="3178"/>
          </w:tcPr>
          <w:p>
            <w:pPr>
              <w:pStyle w:val="null3"/>
            </w:pPr>
            <w:r>
              <w:rPr/>
              <w:t>关于围标串标的要求</w:t>
            </w:r>
          </w:p>
        </w:tc>
        <w:tc>
          <w:tcPr>
            <w:tcW w:type="dxa" w:w="4238"/>
          </w:tcPr>
          <w:p>
            <w:pPr>
              <w:pStyle w:val="null3"/>
            </w:pPr>
            <w:r>
              <w:rPr/>
              <w:t>未出现采购文件所列的视为串通投标情形。</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没有其他未实质性响应招标文件要求的。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采购包1(和平县城重点城市更新单元片区策划及实施方案):</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城市更新政策背景 (5.0分)</w:t>
            </w:r>
          </w:p>
        </w:tc>
        <w:tc>
          <w:tcPr>
            <w:tcW w:type="dxa" w:w="5076"/>
          </w:tcPr>
          <w:p>
            <w:pPr>
              <w:pStyle w:val="null3"/>
              <w:jc w:val="left"/>
            </w:pPr>
            <w:r>
              <w:rPr/>
              <w:t>考核投标人对项目相关国家、省、市相关城市更新政策背景的了解和分析是否全面、透彻： （1）对项目相关国家、省、市相关城市更新政策背景的了解和分析全面、透彻，完全满足或优于采购需求，得5分； （2）对项目相关国家、省、市相关城市更新政策背景的了解和分析不够全面、透彻，但基本满足采购需求，得3分； （3）对项目相关国家、省、市相关城市更新政策背景的了解和分析不全面、透彻，不完全满足采购需求，得1分； （4）其它或无效响应，得0分。</w:t>
            </w:r>
          </w:p>
        </w:tc>
      </w:tr>
      <w:tr>
        <w:tc>
          <w:tcPr>
            <w:tcW w:type="dxa" w:w="922"/>
            <w:gridSpan w:val="2"/>
            <w:vMerge/>
          </w:tcPr>
          <w:p/>
        </w:tc>
        <w:tc>
          <w:tcPr>
            <w:tcW w:type="dxa" w:w="2307"/>
          </w:tcPr>
          <w:p>
            <w:pPr>
              <w:pStyle w:val="null3"/>
              <w:jc w:val="left"/>
            </w:pPr>
            <w:r>
              <w:rPr/>
              <w:t>项目现状信息的了解和分析 (15.0分)</w:t>
            </w:r>
          </w:p>
        </w:tc>
        <w:tc>
          <w:tcPr>
            <w:tcW w:type="dxa" w:w="5076"/>
          </w:tcPr>
          <w:p>
            <w:pPr>
              <w:pStyle w:val="null3"/>
              <w:jc w:val="left"/>
            </w:pPr>
            <w:r>
              <w:rPr/>
              <w:t>考核投标人对项目现状信息的了解和分析是否全面、透彻，包括但不限于以下内容：建筑、设施、开发空间、文化、安全韧性、产业发展等现状信息。 （1）对现状情况及存在问题分析全面、透彻，完全满足成果要求，得15分； （2）对现状情况及存在问题分析基本全面、基本透彻，得10分； （3）对现状情况及存在问题分析差，不透彻，得5分； （4）其它或无效响应，得0分。</w:t>
            </w:r>
          </w:p>
        </w:tc>
      </w:tr>
      <w:tr>
        <w:tc>
          <w:tcPr>
            <w:tcW w:type="dxa" w:w="922"/>
            <w:gridSpan w:val="2"/>
            <w:vMerge/>
          </w:tcPr>
          <w:p/>
        </w:tc>
        <w:tc>
          <w:tcPr>
            <w:tcW w:type="dxa" w:w="2307"/>
          </w:tcPr>
          <w:p>
            <w:pPr>
              <w:pStyle w:val="null3"/>
              <w:jc w:val="left"/>
            </w:pPr>
            <w:r>
              <w:rPr/>
              <w:t>相关规划要求 (5.0分)</w:t>
            </w:r>
          </w:p>
        </w:tc>
        <w:tc>
          <w:tcPr>
            <w:tcW w:type="dxa" w:w="5076"/>
          </w:tcPr>
          <w:p>
            <w:pPr>
              <w:pStyle w:val="null3"/>
              <w:jc w:val="left"/>
            </w:pPr>
            <w:r>
              <w:rPr/>
              <w:t>考核投标人对相关规划的理解程度：包括但不限于以下内容：国土空间总体规划、现行控制性详细规划其他相关规划等 （1）对相关规划掌握清晰、分析透彻，完全满足或优于采购需求，得5分； （2）对相关规划掌握不够清晰，但基本满足采购需求，得3分； （3）对相关规划掌握不清晰，不完全满足采购需求，得1分； （4）其它或无效响应，得0分。</w:t>
            </w:r>
          </w:p>
        </w:tc>
      </w:tr>
      <w:tr>
        <w:tc>
          <w:tcPr>
            <w:tcW w:type="dxa" w:w="922"/>
            <w:gridSpan w:val="2"/>
            <w:vMerge/>
          </w:tcPr>
          <w:p/>
        </w:tc>
        <w:tc>
          <w:tcPr>
            <w:tcW w:type="dxa" w:w="2307"/>
          </w:tcPr>
          <w:p>
            <w:pPr>
              <w:pStyle w:val="null3"/>
              <w:jc w:val="left"/>
            </w:pPr>
            <w:r>
              <w:rPr/>
              <w:t>片区策划方案 (15.0分)</w:t>
            </w:r>
          </w:p>
        </w:tc>
        <w:tc>
          <w:tcPr>
            <w:tcW w:type="dxa" w:w="5076"/>
          </w:tcPr>
          <w:p>
            <w:pPr>
              <w:pStyle w:val="null3"/>
              <w:jc w:val="left"/>
            </w:pPr>
            <w:r>
              <w:rPr/>
              <w:t>考核投标人对本项目片区策划范围的目标定位、规划策略及用地布局方案进行分析评分: （1）对片区策划范围的目标定位、规划策略及用地布局方案分析全面透彻，得15分； （2）对片区策划范围的目标定位、规划策略及用地布局方案分析基本透彻，得10分； （3）对片区策划范围的目标定位、规划策略及用地布局方案分析内容不齐全、分析粗浅，得5分； （4）其它或无效响应，得0分。</w:t>
            </w:r>
          </w:p>
        </w:tc>
      </w:tr>
      <w:tr>
        <w:tc>
          <w:tcPr>
            <w:tcW w:type="dxa" w:w="922"/>
            <w:gridSpan w:val="2"/>
            <w:vMerge/>
          </w:tcPr>
          <w:p/>
        </w:tc>
        <w:tc>
          <w:tcPr>
            <w:tcW w:type="dxa" w:w="2307"/>
          </w:tcPr>
          <w:p>
            <w:pPr>
              <w:pStyle w:val="null3"/>
              <w:jc w:val="left"/>
            </w:pPr>
            <w:r>
              <w:rPr/>
              <w:t>改造实施方案 (15.0分)</w:t>
            </w:r>
          </w:p>
        </w:tc>
        <w:tc>
          <w:tcPr>
            <w:tcW w:type="dxa" w:w="5076"/>
          </w:tcPr>
          <w:p>
            <w:pPr>
              <w:pStyle w:val="null3"/>
              <w:jc w:val="left"/>
            </w:pPr>
            <w:r>
              <w:rPr/>
              <w:t>考核投标人对本项目改造实施方案核心内容进行评分: （1）全面精准梳理项目现状短板与核心问题，用地布局科学合规、贴合片区规划；建筑拆改留、土地利用方案合理可行、优化到位；经济测算依据充分、数据完整，得15分； （2）完整梳理项目现状主要问题，用地布局、建筑拆改留、土地利用等方案内容齐全，基本契合项目及片区规划要求；经济测算逻辑合理、数据匹配，得10分； （3）项目现状主要问题，用地布局、建筑拆改留、土地利用、经济测算等方案内容不齐全，分析粗浅，得5分； （4）其它或无效响应，得0分。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投标人自2021年1月1日以来（以合同签订时间为准），承接过项目情况： 承接过更新类项目片区策划或实施方案项目的，每个项目得1.5分，本项最高得15分； 注：须提供合同关键页（包含签订合同双方的单位名称、项目名称、项目内容、双方签字盖章页及合同签订日期等内容）复印件。（同一项目不可累计得分）</w:t>
            </w:r>
          </w:p>
        </w:tc>
      </w:tr>
      <w:tr>
        <w:tc>
          <w:tcPr>
            <w:tcW w:type="dxa" w:w="922"/>
            <w:gridSpan w:val="2"/>
            <w:vMerge/>
          </w:tcPr>
          <w:p/>
        </w:tc>
        <w:tc>
          <w:tcPr>
            <w:tcW w:type="dxa" w:w="2307"/>
          </w:tcPr>
          <w:p>
            <w:pPr>
              <w:pStyle w:val="null3"/>
              <w:jc w:val="left"/>
            </w:pPr>
            <w:r>
              <w:rPr/>
              <w:t>项目负责人 (10.0分)</w:t>
            </w:r>
          </w:p>
        </w:tc>
        <w:tc>
          <w:tcPr>
            <w:tcW w:type="dxa" w:w="5076"/>
          </w:tcPr>
          <w:p>
            <w:pPr>
              <w:pStyle w:val="null3"/>
              <w:jc w:val="left"/>
            </w:pPr>
            <w:r>
              <w:rPr/>
              <w:t>投标人拟派项目负责人情况： 项目负责人具有城市（城乡）规划类教授级（正高或研究员级）高级职称的，得10分；具有城市（城乡）规划类副教授级（副高或副研究员级）高级职称的，得5分。本项最高得10分。 注：须提供职称复印件或网页查询截图（显示查询链接）及在投标人单位任职证明文件（用工证明文件或劳动合同或投标截止日之前六个月内任意一个月的社保证明材料）复印件并加盖公章，否则不得分。</w:t>
            </w:r>
          </w:p>
        </w:tc>
      </w:tr>
      <w:tr>
        <w:tc>
          <w:tcPr>
            <w:tcW w:type="dxa" w:w="922"/>
            <w:gridSpan w:val="2"/>
            <w:vMerge/>
          </w:tcPr>
          <w:p/>
        </w:tc>
        <w:tc>
          <w:tcPr>
            <w:tcW w:type="dxa" w:w="2307"/>
          </w:tcPr>
          <w:p>
            <w:pPr>
              <w:pStyle w:val="null3"/>
              <w:jc w:val="left"/>
            </w:pPr>
            <w:r>
              <w:rPr/>
              <w:t>项目团队配备情况 (10.0分)</w:t>
            </w:r>
          </w:p>
        </w:tc>
        <w:tc>
          <w:tcPr>
            <w:tcW w:type="dxa" w:w="5076"/>
          </w:tcPr>
          <w:p>
            <w:pPr>
              <w:pStyle w:val="null3"/>
              <w:jc w:val="left"/>
            </w:pPr>
            <w:r>
              <w:rPr/>
              <w:t>投标人拟派项目技术服务团队（不含项目负责人）情况： （1）服务团队成员中有1人，具备规划类教授级（正高级工程师）高级职称的，得5分；具有规划类副教授级（高级工程师）高级职称的，得3分； （2）服务团队成员中有1人，具备规划类高级工程师或以上职称的，得3分； （3）服务团队成员中有1人，专业包括城市规划类相关专业（以职称证为准）的，得2分。 注：本项满足多项要求的不重复得分，满分10分。须提供职称复印件或网页查询截图（显示查询链接）及在投标人单位任职证明文件（用工证明文件或劳动合同或投标截止日之前六个月内任意一个月的社保证明材料）复印件并加盖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441624-2026-00385</w:t>
      </w:r>
    </w:p>
    <w:p>
      <w:pPr>
        <w:pStyle w:val="null3"/>
        <w:jc w:val="center"/>
        <w:outlineLvl w:val="3"/>
      </w:pPr>
      <w:r>
        <w:rPr>
          <w:sz w:val="24"/>
          <w:b/>
        </w:rPr>
        <w:t>采购项目编号：</w:t>
      </w:r>
      <w:r>
        <w:rPr>
          <w:sz w:val="24"/>
          <w:b/>
        </w:rPr>
        <w:t>HYMQ2026047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河源市名企项目管理有限责任公司</w:t>
      </w:r>
    </w:p>
    <w:p>
      <w:pPr>
        <w:pStyle w:val="null3"/>
        <w:ind w:firstLine="480"/>
      </w:pPr>
      <w:r>
        <w:rPr/>
        <w:t xml:space="preserve"> 你方组织的</w:t>
      </w:r>
      <w:r>
        <w:rPr>
          <w:u w:val="single"/>
        </w:rPr>
        <w:t>“</w:t>
      </w:r>
      <w:r>
        <w:rPr>
          <w:u w:val="single"/>
        </w:rPr>
        <w:t>和平县城重点城市更新单元片区策划及实施方案</w:t>
      </w:r>
      <w:r>
        <w:rPr>
          <w:u w:val="single"/>
        </w:rPr>
        <w:t>”</w:t>
      </w:r>
      <w:r>
        <w:rPr/>
        <w:t>项目的竞争性磋商[采购项目编号为：</w:t>
      </w:r>
      <w:r>
        <w:rPr>
          <w:u w:val="single"/>
        </w:rPr>
        <w:t>HYMQ2026047</w:t>
      </w:r>
      <w:r>
        <w:rPr/>
        <w:t>]，我方愿参与响应。</w:t>
      </w:r>
    </w:p>
    <w:p>
      <w:pPr>
        <w:pStyle w:val="null3"/>
        <w:ind w:firstLine="480"/>
      </w:pPr>
      <w:r>
        <w:rPr/>
        <w:t>我方确认收到贵方提供的</w:t>
      </w:r>
      <w:r>
        <w:rPr>
          <w:u w:val="single"/>
        </w:rPr>
        <w:t>“</w:t>
      </w:r>
      <w:r>
        <w:rPr>
          <w:u w:val="single"/>
        </w:rPr>
        <w:t>和平县城重点城市更新单元片区策划及实施方案</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河源市名企项目管理有限责任公司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和平县城重点城市更新单元片区策划及实施方案</w:t>
      </w:r>
      <w:r>
        <w:rPr/>
        <w:t>”项目采购[采购项目编号为</w:t>
      </w:r>
      <w:r>
        <w:rPr/>
        <w:t>HYMQ2026047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和平县住房和城乡建设局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河源市名企项目管理有限责任公司</w:t>
      </w:r>
    </w:p>
    <w:p>
      <w:pPr>
        <w:pStyle w:val="null3"/>
        <w:ind w:firstLine="480"/>
      </w:pPr>
      <w:r>
        <w:rPr/>
        <w:t>我单位参加贵公司组织的</w:t>
      </w:r>
      <w:r>
        <w:rPr/>
        <w:t>和平县城重点城市更新单元片区策划及实施方案</w:t>
      </w:r>
      <w:r>
        <w:rPr/>
        <w:t>（采购项目编号：</w:t>
      </w:r>
      <w:r>
        <w:rPr/>
        <w:t>HYMQ2026047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河源市名企项目管理有限责任公司</w:t>
      </w:r>
    </w:p>
    <w:p>
      <w:pPr>
        <w:pStyle w:val="null3"/>
        <w:ind w:firstLine="480"/>
      </w:pPr>
      <w:r>
        <w:rPr/>
        <w:t>我单位已登记并准备参与“</w:t>
      </w:r>
      <w:r>
        <w:rPr/>
        <w:t>和平县城重点城市更新单元片区策划及实施方案</w:t>
      </w:r>
      <w:r>
        <w:rPr/>
        <w:t>”项目（采购项目编号：</w:t>
      </w:r>
      <w:r>
        <w:rPr/>
        <w:t>HYMQ2026047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