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2024年度泉州市产地水产品质量安全监测</w:t>
      </w:r>
    </w:p>
    <w:p>
      <w:pPr>
        <w:pStyle w:val="null3"/>
        <w:jc w:val="center"/>
        <w:outlineLvl w:val="2"/>
      </w:pPr>
      <w:r>
        <w:rPr>
          <w:sz w:val="28"/>
          <w:b/>
        </w:rPr>
        <w:t>备案编号：</w:t>
      </w:r>
      <w:r>
        <w:rPr>
          <w:sz w:val="28"/>
          <w:b/>
        </w:rPr>
        <w:t>CGXM-2024-350501-01034[2024]00149</w:t>
      </w:r>
    </w:p>
    <w:p>
      <w:pPr>
        <w:pStyle w:val="null3"/>
        <w:jc w:val="center"/>
        <w:outlineLvl w:val="2"/>
      </w:pPr>
      <w:r>
        <w:rPr>
          <w:sz w:val="28"/>
          <w:b/>
        </w:rPr>
        <w:t>项目编号：</w:t>
      </w:r>
      <w:r>
        <w:rPr>
          <w:sz w:val="28"/>
          <w:b/>
        </w:rPr>
        <w:t>[350501]FJXFZB[CS]2024003</w:t>
      </w:r>
    </w:p>
    <w:p>
      <w:pPr>
        <w:pStyle w:val="null3"/>
        <w:jc w:val="center"/>
        <w:outlineLvl w:val="2"/>
      </w:pPr>
      <w:r>
        <w:rPr>
          <w:sz w:val="28"/>
          <w:b/>
        </w:rPr>
        <w:t>采购人：</w:t>
      </w:r>
      <w:r>
        <w:rPr>
          <w:sz w:val="28"/>
          <w:b/>
        </w:rPr>
        <w:t>泉州市海洋与渔业局</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泉州市海洋与渔业局</w:t>
      </w:r>
      <w:r>
        <w:rPr/>
        <w:t xml:space="preserve"> 已根据政府采购相关法律法规，经相应程序确定采用 竞争性磋商 方式组织 </w:t>
      </w:r>
      <w:r>
        <w:rPr/>
        <w:t>2024年度泉州市产地水产品质量安全监测</w:t>
      </w:r>
      <w:r>
        <w:rPr/>
        <w:t xml:space="preserve"> 项目（以下简称：“本项目”）的政府采购活动， </w:t>
      </w:r>
      <w:r>
        <w:rPr/>
        <w:t>现欢迎国内合格的供应商前来参加。</w:t>
      </w:r>
      <w:r>
        <w:rPr/>
        <w:t xml:space="preserve"> 本项目由采购人委托 </w:t>
      </w:r>
      <w:r>
        <w:rPr/>
        <w:t>福建信发招标代理有限公司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2024年度泉州市产地水产品质量安全监测</w:t>
      </w:r>
    </w:p>
    <w:p>
      <w:pPr>
        <w:pStyle w:val="null3"/>
        <w:ind w:firstLine="480"/>
        <w:jc w:val="left"/>
        <w:outlineLvl w:val="2"/>
      </w:pPr>
      <w:r>
        <w:rPr>
          <w:sz w:val="28"/>
          <w:b/>
        </w:rPr>
        <w:t>2.备案编号</w:t>
      </w:r>
      <w:r>
        <w:rPr>
          <w:sz w:val="28"/>
          <w:b/>
        </w:rPr>
        <w:t xml:space="preserve">： </w:t>
      </w:r>
      <w:r>
        <w:rPr>
          <w:sz w:val="28"/>
          <w:b/>
        </w:rPr>
        <w:t>CGXM-2024-350501-01034[2024]00149</w:t>
      </w:r>
    </w:p>
    <w:p>
      <w:pPr>
        <w:pStyle w:val="null3"/>
        <w:ind w:firstLine="480"/>
        <w:jc w:val="left"/>
        <w:outlineLvl w:val="2"/>
      </w:pPr>
      <w:r>
        <w:rPr>
          <w:sz w:val="28"/>
          <w:b/>
        </w:rPr>
        <w:t>3.项目编号</w:t>
      </w:r>
      <w:r>
        <w:rPr>
          <w:sz w:val="28"/>
          <w:b/>
        </w:rPr>
        <w:t xml:space="preserve">： </w:t>
      </w:r>
      <w:r>
        <w:rPr>
          <w:sz w:val="28"/>
          <w:b/>
        </w:rPr>
        <w:t>[350501]FJXFZB[CS]2024003</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1,260,000.00</w:t>
      </w:r>
    </w:p>
    <w:p>
      <w:pPr>
        <w:pStyle w:val="null3"/>
        <w:jc w:val="left"/>
      </w:pPr>
      <w:r>
        <w:rPr/>
        <w:t>采购包最高限价（元）: 1,260,000.00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2024年度产地水产品质量安全监测服务</w:t>
            </w:r>
          </w:p>
        </w:tc>
        <w:tc>
          <w:tcPr>
            <w:tcW w:type="dxa" w:w="1187"/>
          </w:tcPr>
          <w:p>
            <w:pPr>
              <w:pStyle w:val="null3"/>
              <w:jc w:val="right"/>
            </w:pPr>
            <w:r>
              <w:rPr/>
              <w:t>1,050.00</w:t>
            </w:r>
          </w:p>
        </w:tc>
        <w:tc>
          <w:tcPr>
            <w:tcW w:type="dxa" w:w="1187"/>
          </w:tcPr>
          <w:p>
            <w:pPr>
              <w:pStyle w:val="null3"/>
              <w:jc w:val="right"/>
            </w:pPr>
            <w:r>
              <w:rPr/>
              <w:t>1,260,000.00</w:t>
            </w:r>
          </w:p>
        </w:tc>
        <w:tc>
          <w:tcPr>
            <w:tcW w:type="dxa" w:w="1187"/>
          </w:tcPr>
          <w:p>
            <w:pPr>
              <w:pStyle w:val="null3"/>
              <w:jc w:val="left"/>
            </w:pPr>
            <w:r>
              <w:rPr/>
              <w:t>批次</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本项目不适用</w:t>
      </w:r>
    </w:p>
    <w:p>
      <w:pPr>
        <w:pStyle w:val="null3"/>
        <w:ind w:firstLine="960"/>
        <w:jc w:val="left"/>
      </w:pPr>
      <w:r>
        <w:rPr/>
        <w:t>节能产品：</w:t>
      </w:r>
      <w:r>
        <w:rPr/>
        <w:t>本项目不适用</w:t>
      </w:r>
    </w:p>
    <w:p>
      <w:pPr>
        <w:pStyle w:val="null3"/>
        <w:ind w:firstLine="960"/>
        <w:jc w:val="left"/>
      </w:pPr>
      <w:r>
        <w:rPr/>
        <w:t>环境标志产品：</w:t>
      </w:r>
      <w:r>
        <w:rPr/>
        <w:t>本项目不适用</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①本采购包属于专门面向中小企业采购，供应商应按磋商文件第五章格式在响应文件中提供“中小企业声明函 (工程、服务) ”，其中“磋商文件中明确的所属行业”应填写“其他未列明行业”。 ②监狱企业、残疾人福利性单位视同小型、微型企业。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泉州市海洋与渔业局</w:t>
      </w:r>
    </w:p>
    <w:p>
      <w:pPr>
        <w:pStyle w:val="null3"/>
        <w:ind w:firstLine="960"/>
        <w:jc w:val="left"/>
      </w:pPr>
      <w:r>
        <w:rPr/>
        <w:t xml:space="preserve"> 地址： </w:t>
      </w:r>
      <w:r>
        <w:rPr/>
        <w:t>泉州市行政中心交通科研楼C栋</w:t>
      </w:r>
    </w:p>
    <w:p>
      <w:pPr>
        <w:pStyle w:val="null3"/>
        <w:jc w:val="left"/>
      </w:pPr>
      <w:r>
        <w:rPr/>
        <w:t xml:space="preserve"> 邮编： </w:t>
      </w:r>
      <w:r>
        <w:rPr/>
        <w:t>362018</w:t>
      </w:r>
    </w:p>
    <w:p>
      <w:pPr>
        <w:pStyle w:val="null3"/>
        <w:jc w:val="left"/>
      </w:pPr>
      <w:r>
        <w:rPr/>
        <w:t xml:space="preserve"> 联系人： </w:t>
      </w:r>
      <w:r>
        <w:rPr/>
        <w:t>陈先生</w:t>
      </w:r>
    </w:p>
    <w:p>
      <w:pPr>
        <w:pStyle w:val="null3"/>
        <w:jc w:val="left"/>
      </w:pPr>
      <w:r>
        <w:rPr/>
        <w:t xml:space="preserve"> 联系电话： </w:t>
      </w:r>
      <w:r>
        <w:rPr/>
        <w:t>0595-22281302</w:t>
      </w:r>
    </w:p>
    <w:p>
      <w:pPr>
        <w:pStyle w:val="null3"/>
        <w:ind w:firstLine="480"/>
        <w:jc w:val="left"/>
        <w:outlineLvl w:val="2"/>
      </w:pPr>
      <w:r>
        <w:rPr>
          <w:sz w:val="28"/>
          <w:b/>
        </w:rPr>
        <w:t>14、代理机构</w:t>
      </w:r>
      <w:r>
        <w:rPr>
          <w:sz w:val="28"/>
          <w:b/>
        </w:rPr>
        <w:t>：</w:t>
      </w:r>
      <w:r>
        <w:rPr>
          <w:sz w:val="28"/>
          <w:b/>
        </w:rPr>
        <w:t>福建信发招标代理有限公司</w:t>
      </w:r>
    </w:p>
    <w:p>
      <w:pPr>
        <w:pStyle w:val="null3"/>
        <w:ind w:firstLine="960"/>
        <w:jc w:val="left"/>
      </w:pPr>
      <w:r>
        <w:rPr/>
        <w:t xml:space="preserve"> 地址： </w:t>
      </w:r>
      <w:r>
        <w:rPr/>
        <w:t>铜盘路466-3号大自然文化创意园5号楼4层</w:t>
      </w:r>
    </w:p>
    <w:p>
      <w:pPr>
        <w:pStyle w:val="null3"/>
        <w:jc w:val="left"/>
      </w:pPr>
      <w:r>
        <w:rPr/>
        <w:t xml:space="preserve"> 邮编： </w:t>
      </w:r>
      <w:r>
        <w:rPr/>
        <w:t>350000</w:t>
      </w:r>
    </w:p>
    <w:p>
      <w:pPr>
        <w:pStyle w:val="null3"/>
        <w:jc w:val="left"/>
      </w:pPr>
      <w:r>
        <w:rPr/>
        <w:t xml:space="preserve"> 联系人： </w:t>
      </w:r>
      <w:r>
        <w:rPr/>
        <w:t>庄玮明、骆妙艺</w:t>
      </w:r>
    </w:p>
    <w:p>
      <w:pPr>
        <w:pStyle w:val="null3"/>
        <w:jc w:val="left"/>
      </w:pPr>
      <w:r>
        <w:rPr/>
        <w:t xml:space="preserve"> 联系电话： </w:t>
      </w:r>
      <w:r>
        <w:rPr/>
        <w:t>18065229015</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①本采购包属于专门面向中小企业采购，供应商应按磋商文件第五章格式在响应文件中提供“中小企业声明函 (工程、服务) ”，其中“磋商文件中明确的所属行业”应填写“其他未列明行业”。 ②监狱企业、残疾人福利性单位视同小型、微型企业。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泉州市财政局政府采购监督管理办公室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代理服务费收费标准：①以成交通知书规定的成交总金额作为收费的计算基数。 ②收费费率标准： 成交 金额（万元）100以下的按 1.5％；100-500万元部分按照0.8%计取。③招标代理服务费的交纳方式： a. 成交人应在领取成交通知书的同时按规定的标准一次性向采购代理机构缴清中标服务费。 b. 招标代理服务费以银行 转账、电汇、汇票或现金等付款方式交纳。④招标代理服务费缴交账号： 开户名：福建信发招标代理有限公司泉州分公司开户行：石狮农村商业银行股份有限公司华山支行 账 号：9070611080010000018159 。</w:t>
            </w:r>
          </w:p>
          <w:p>
            <w:pPr>
              <w:pStyle w:val="null3"/>
              <w:jc w:val="left"/>
            </w:pPr>
            <w:r>
              <w:rPr/>
              <w:t xml:space="preserve"> (2)其他：</w:t>
            </w:r>
          </w:p>
          <w:p>
            <w:pPr>
              <w:pStyle w:val="null3"/>
              <w:jc w:val="left"/>
            </w:pPr>
            <w:r>
              <w:rPr/>
              <w:t>①供应商必须对其响应文件中提供各种资料、说明的真实性负责。在评审过程中，如有发现供应商有为谋取成交 而提供虚假资料欺骗采购人和磋商小组的行为，将取消其成交资格。若在成交后和执行合同过程中发现其提供虚 假资料的将取消其成交资格，给采购人造成损失的，还必须进行赔偿并负相关责任。评审过程中无论是否有对原 件进行核实，供应商都必须对其提供各种资料、说明的真实性负责。②供应商须保障采购人在使用该货物或其任 何一部分时不受到第三方关于侵犯专利权、商标权或工业设计权等知识产权的指控。如果任何第三方提出侵权指 控与采购人无关，供应商须与第三方交涉并承担可能发生的责任与一切费用。如采购人因此而遭致损失的，供应 商应赔偿该损失。③信用记录查询及使用：1.信用记录查询渠道及截止时点：磋商小组将在提交响应文件截止时 间截止后，通过“信用中国”网站(www.creditchina.gov.cn)、中国政府采购网(www.ccgp.gov.cn)查询供应商 的信用记录。2.信用信息查询记录和证据留存的具体方式：磋商小组将记录、打印各供应商的信用信息查询结果 ，与其他采购文件一并保存。3.信用信息的使用规则：依据《财政部关于在政府采购活动中查询及使用信用记录 有关问题的通知》财库〔2016〕125号规定，对被列入失信被执行人、重大税收违法案件当事人名单、政府采购 严重违法失信行为记录名单的供应商，其在资格性检查中将不合格。④接收质疑函的方式、联系部门、联系电话 和通讯地址：1.接收质疑函原件的方式：现场方式；2.接收质疑函的联系部门：办公室；3.接收质疑函的联系电 话：0595-28937528；4.接收质疑函的通讯地址：泉州市丰泽区东海大街和园第8幢临街商铺3楼278号。⑤供应商出现 《福建省财政厅关于电子化政府采购项目中视为串标情形认定与处理的指导意见》（闽财购〔2018〕3 0号）文中规定的视为串标情形的，其响应无效。⑥供应商最后报价不能高于首次报价，若高于首次报价应以其首 次报价为准。⑦经磋商小组评审，在提交的响应文件全部满足竞争性磋商文件实质性要求的供应商不少于三家的前提下，按各合格供应商的综合得分由高到低顺序推荐三名成交候选人。⑧关于“成立年限满1年及以上的供应商，提供经审计的上一年度的年度财务报告”补充说明：经审计的上一年度的年度财务报告是指经审计的2022或2023年度的财务报告复印件。</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自中标通知书发出之日起20个日历日内。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满分为15.0000分</w:t>
      </w:r>
    </w:p>
    <w:p>
      <w:pPr>
        <w:pStyle w:val="null3"/>
        <w:jc w:val="left"/>
      </w:pPr>
      <w:r>
        <w:rPr/>
        <w:t>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技术服务要求响应情况</w:t>
            </w:r>
          </w:p>
        </w:tc>
        <w:tc>
          <w:tcPr>
            <w:tcW w:type="dxa" w:w="831"/>
          </w:tcPr>
          <w:p>
            <w:pPr>
              <w:pStyle w:val="null3"/>
              <w:jc w:val="right"/>
            </w:pPr>
            <w:r>
              <w:rPr/>
              <w:t>27.0000</w:t>
            </w:r>
          </w:p>
        </w:tc>
        <w:tc>
          <w:tcPr>
            <w:tcW w:type="dxa" w:w="4153"/>
          </w:tcPr>
          <w:p>
            <w:pPr>
              <w:pStyle w:val="null3"/>
              <w:jc w:val="left"/>
            </w:pPr>
            <w:r>
              <w:rPr/>
              <w:t>全部满足采购文件第三章采购内容及要求中“技术要求”的得27分，任何一项负偏离视为不满足，按无效标处理。</w:t>
            </w:r>
          </w:p>
        </w:tc>
      </w:tr>
      <w:tr>
        <w:tc>
          <w:tcPr>
            <w:tcW w:type="dxa" w:w="3322"/>
          </w:tcPr>
          <w:p>
            <w:pPr>
              <w:pStyle w:val="null3"/>
              <w:jc w:val="left"/>
            </w:pPr>
            <w:r>
              <w:rPr/>
              <w:t>项目实施方案</w:t>
            </w:r>
          </w:p>
        </w:tc>
        <w:tc>
          <w:tcPr>
            <w:tcW w:type="dxa" w:w="831"/>
          </w:tcPr>
          <w:p>
            <w:pPr>
              <w:pStyle w:val="null3"/>
              <w:jc w:val="right"/>
            </w:pPr>
            <w:r>
              <w:rPr/>
              <w:t>3.0000</w:t>
            </w:r>
          </w:p>
        </w:tc>
        <w:tc>
          <w:tcPr>
            <w:tcW w:type="dxa" w:w="4153"/>
          </w:tcPr>
          <w:p>
            <w:pPr>
              <w:pStyle w:val="null3"/>
              <w:jc w:val="left"/>
            </w:pPr>
            <w:r>
              <w:rPr/>
              <w:t>根据各供应商针对本项目的特点，按科学、全面、合理的原则，制定针对性、符合实际的项目总体实施方案由磋商小组进行评定：①方案全面完整，深度详细、针对性强、非常适用、符合项目实际的得3分；②方案基本完整，深度一般、针对性一般、基本适用、符合项目实际的得2分；③方案内容不够全面、深度不够、部分适用、符合项目实际的得1分；④不符合采购文件要求或未提供任何方案的不得分。</w:t>
            </w:r>
          </w:p>
        </w:tc>
      </w:tr>
      <w:tr>
        <w:tc>
          <w:tcPr>
            <w:tcW w:type="dxa" w:w="3322"/>
          </w:tcPr>
          <w:p>
            <w:pPr>
              <w:pStyle w:val="null3"/>
              <w:jc w:val="left"/>
            </w:pPr>
            <w:r>
              <w:rPr/>
              <w:t>质量控制实施方案</w:t>
            </w:r>
          </w:p>
        </w:tc>
        <w:tc>
          <w:tcPr>
            <w:tcW w:type="dxa" w:w="831"/>
          </w:tcPr>
          <w:p>
            <w:pPr>
              <w:pStyle w:val="null3"/>
              <w:jc w:val="right"/>
            </w:pPr>
            <w:r>
              <w:rPr/>
              <w:t>3.0000</w:t>
            </w:r>
          </w:p>
        </w:tc>
        <w:tc>
          <w:tcPr>
            <w:tcW w:type="dxa" w:w="4153"/>
          </w:tcPr>
          <w:p>
            <w:pPr>
              <w:pStyle w:val="null3"/>
              <w:jc w:val="left"/>
            </w:pPr>
            <w:r>
              <w:rPr/>
              <w:t>根据各供应商针对本项目制定的质量控制实施方案由磋商小组进行评定：①方案全面完整，深度详细、针对性强、非常适用、符合项目实际的得3分；②方案基本完整，深度一般、针对性一般、基本适用、符合项目实际的得2分；③方案内容不够全面、深度不够、部分适用、符合项目实际的得1分；④不符合采购文件要求或未提供任何方案的不得分。</w:t>
            </w:r>
          </w:p>
        </w:tc>
      </w:tr>
      <w:tr>
        <w:tc>
          <w:tcPr>
            <w:tcW w:type="dxa" w:w="3322"/>
          </w:tcPr>
          <w:p>
            <w:pPr>
              <w:pStyle w:val="null3"/>
              <w:jc w:val="left"/>
            </w:pPr>
            <w:r>
              <w:rPr/>
              <w:t>风险监测项目检测能力</w:t>
            </w:r>
          </w:p>
        </w:tc>
        <w:tc>
          <w:tcPr>
            <w:tcW w:type="dxa" w:w="831"/>
          </w:tcPr>
          <w:p>
            <w:pPr>
              <w:pStyle w:val="null3"/>
              <w:jc w:val="right"/>
            </w:pPr>
            <w:r>
              <w:rPr/>
              <w:t>3.0000</w:t>
            </w:r>
          </w:p>
        </w:tc>
        <w:tc>
          <w:tcPr>
            <w:tcW w:type="dxa" w:w="4153"/>
          </w:tcPr>
          <w:p>
            <w:pPr>
              <w:pStyle w:val="null3"/>
              <w:jc w:val="left"/>
            </w:pPr>
            <w:r>
              <w:rPr/>
              <w:t>供应商CMA资质检测能力涵盖风险监测任务所有检测项目的得3分，每分包1个项目，扣0.5分，扣完为止。【须提供采购人需求的检测项目自查表、检验检测机构资质认定证书及授权检测能力附表复印件（需标明采购人需求的检测项目）、需分包的检测项目列表、承诺书。以上材料缺一不可，否则不得分。】</w:t>
            </w:r>
          </w:p>
        </w:tc>
      </w:tr>
      <w:tr>
        <w:tc>
          <w:tcPr>
            <w:tcW w:type="dxa" w:w="3322"/>
          </w:tcPr>
          <w:p>
            <w:pPr>
              <w:pStyle w:val="null3"/>
              <w:jc w:val="left"/>
            </w:pPr>
            <w:r>
              <w:rPr/>
              <w:t>仪器设备</w:t>
            </w:r>
          </w:p>
        </w:tc>
        <w:tc>
          <w:tcPr>
            <w:tcW w:type="dxa" w:w="831"/>
          </w:tcPr>
          <w:p>
            <w:pPr>
              <w:pStyle w:val="null3"/>
              <w:jc w:val="right"/>
            </w:pPr>
            <w:r>
              <w:rPr/>
              <w:t>3.0000</w:t>
            </w:r>
          </w:p>
        </w:tc>
        <w:tc>
          <w:tcPr>
            <w:tcW w:type="dxa" w:w="4153"/>
          </w:tcPr>
          <w:p>
            <w:pPr>
              <w:pStyle w:val="null3"/>
              <w:jc w:val="left"/>
            </w:pPr>
            <w:r>
              <w:rPr/>
              <w:t>供应商具有液相色谱-质谱联用仪的数量在1台的基础上每增加1台得0.5分，满分3分。（设备须为供应商自有，须提供发票及有效的校准证书复印件，未按上述要求提供证明资料的不得分。）</w:t>
            </w:r>
          </w:p>
        </w:tc>
      </w:tr>
      <w:tr>
        <w:tc>
          <w:tcPr>
            <w:tcW w:type="dxa" w:w="3322"/>
          </w:tcPr>
          <w:p>
            <w:pPr>
              <w:pStyle w:val="null3"/>
              <w:jc w:val="left"/>
            </w:pPr>
            <w:r>
              <w:rPr/>
              <w:t>仪器设备</w:t>
            </w:r>
          </w:p>
        </w:tc>
        <w:tc>
          <w:tcPr>
            <w:tcW w:type="dxa" w:w="831"/>
          </w:tcPr>
          <w:p>
            <w:pPr>
              <w:pStyle w:val="null3"/>
              <w:jc w:val="right"/>
            </w:pPr>
            <w:r>
              <w:rPr/>
              <w:t>3.0000</w:t>
            </w:r>
          </w:p>
        </w:tc>
        <w:tc>
          <w:tcPr>
            <w:tcW w:type="dxa" w:w="4153"/>
          </w:tcPr>
          <w:p>
            <w:pPr>
              <w:pStyle w:val="null3"/>
              <w:jc w:val="left"/>
            </w:pPr>
            <w:r>
              <w:rPr/>
              <w:t>供应商具有原子吸收光度计或原子吸收光谱仪或电感耦合等离子体质谱仪这三种仪器设备的，在具有1台的基础上每增加1台的得0.5分，满分3分。（设备须为供应商自有，须提供发票及有效的校准证书复印件，未按上述要求提供证明资料的不得分。）</w:t>
            </w:r>
          </w:p>
        </w:tc>
      </w:tr>
      <w:tr>
        <w:tc>
          <w:tcPr>
            <w:tcW w:type="dxa" w:w="3322"/>
          </w:tcPr>
          <w:p>
            <w:pPr>
              <w:pStyle w:val="null3"/>
              <w:jc w:val="left"/>
            </w:pPr>
            <w:r>
              <w:rPr/>
              <w:t>仪器设备</w:t>
            </w:r>
          </w:p>
        </w:tc>
        <w:tc>
          <w:tcPr>
            <w:tcW w:type="dxa" w:w="831"/>
          </w:tcPr>
          <w:p>
            <w:pPr>
              <w:pStyle w:val="null3"/>
              <w:jc w:val="right"/>
            </w:pPr>
            <w:r>
              <w:rPr/>
              <w:t>2.0000</w:t>
            </w:r>
          </w:p>
        </w:tc>
        <w:tc>
          <w:tcPr>
            <w:tcW w:type="dxa" w:w="4153"/>
          </w:tcPr>
          <w:p>
            <w:pPr>
              <w:pStyle w:val="null3"/>
              <w:jc w:val="left"/>
            </w:pPr>
            <w:r>
              <w:rPr/>
              <w:t>供应商具有液相色谱仪的数量在1台的基础上每增加1台得0.5分，满分2分。（设备须为供应商自有，须提供发票及有效的校准证书复印件，未按上述要求提供证明资料的不得分。）</w:t>
            </w:r>
          </w:p>
        </w:tc>
      </w:tr>
      <w:tr>
        <w:tc>
          <w:tcPr>
            <w:tcW w:type="dxa" w:w="3322"/>
          </w:tcPr>
          <w:p>
            <w:pPr>
              <w:pStyle w:val="null3"/>
              <w:jc w:val="left"/>
            </w:pPr>
            <w:r>
              <w:rPr/>
              <w:t>仪器设备</w:t>
            </w:r>
          </w:p>
        </w:tc>
        <w:tc>
          <w:tcPr>
            <w:tcW w:type="dxa" w:w="831"/>
          </w:tcPr>
          <w:p>
            <w:pPr>
              <w:pStyle w:val="null3"/>
              <w:jc w:val="right"/>
            </w:pPr>
            <w:r>
              <w:rPr/>
              <w:t>2.0000</w:t>
            </w:r>
          </w:p>
        </w:tc>
        <w:tc>
          <w:tcPr>
            <w:tcW w:type="dxa" w:w="4153"/>
          </w:tcPr>
          <w:p>
            <w:pPr>
              <w:pStyle w:val="null3"/>
              <w:jc w:val="left"/>
            </w:pPr>
            <w:r>
              <w:rPr/>
              <w:t>供应商具有气相色谱仪的数量在1台的基础上每增加1台得0.5分，满分2分。（设备须为供应商自有，须提供发票及有效的校准证书复印件，未按上述要求提供证明资料的不得分。）</w:t>
            </w:r>
          </w:p>
        </w:tc>
      </w:tr>
      <w:tr>
        <w:tc>
          <w:tcPr>
            <w:tcW w:type="dxa" w:w="3322"/>
          </w:tcPr>
          <w:p>
            <w:pPr>
              <w:pStyle w:val="null3"/>
              <w:jc w:val="left"/>
            </w:pPr>
            <w:r>
              <w:rPr/>
              <w:t>仪器设备</w:t>
            </w:r>
          </w:p>
        </w:tc>
        <w:tc>
          <w:tcPr>
            <w:tcW w:type="dxa" w:w="831"/>
          </w:tcPr>
          <w:p>
            <w:pPr>
              <w:pStyle w:val="null3"/>
              <w:jc w:val="right"/>
            </w:pPr>
            <w:r>
              <w:rPr/>
              <w:t>2.0000</w:t>
            </w:r>
          </w:p>
        </w:tc>
        <w:tc>
          <w:tcPr>
            <w:tcW w:type="dxa" w:w="4153"/>
          </w:tcPr>
          <w:p>
            <w:pPr>
              <w:pStyle w:val="null3"/>
              <w:jc w:val="left"/>
            </w:pPr>
            <w:r>
              <w:rPr/>
              <w:t>供应商具有气相色谱-质谱联用仪的数量在1台的基础上每增加1台得0.5分，满分2分。（设备须为供应商自有，须提供发票及有效的校准证书复印件，未按上述要求提供证明资料的不得分。）</w:t>
            </w:r>
          </w:p>
        </w:tc>
      </w:tr>
      <w:tr>
        <w:tc>
          <w:tcPr>
            <w:tcW w:type="dxa" w:w="3322"/>
          </w:tcPr>
          <w:p>
            <w:pPr>
              <w:pStyle w:val="null3"/>
              <w:jc w:val="left"/>
            </w:pPr>
            <w:r>
              <w:rPr/>
              <w:t>仪器设备</w:t>
            </w:r>
          </w:p>
        </w:tc>
        <w:tc>
          <w:tcPr>
            <w:tcW w:type="dxa" w:w="831"/>
          </w:tcPr>
          <w:p>
            <w:pPr>
              <w:pStyle w:val="null3"/>
              <w:jc w:val="right"/>
            </w:pPr>
            <w:r>
              <w:rPr/>
              <w:t>2.0000</w:t>
            </w:r>
          </w:p>
        </w:tc>
        <w:tc>
          <w:tcPr>
            <w:tcW w:type="dxa" w:w="4153"/>
          </w:tcPr>
          <w:p>
            <w:pPr>
              <w:pStyle w:val="null3"/>
              <w:jc w:val="left"/>
            </w:pPr>
            <w:r>
              <w:rPr/>
              <w:t>供应商具有液相-原子荧光联用仪数量在1台基础上每增加1台得0.5分，满分2分。（设备须为供应商自有，须提供发票及有效的校准证书复印件，未按上述要求提供证明资料的不得分。）</w:t>
            </w:r>
          </w:p>
        </w:tc>
      </w:tr>
      <w:tr>
        <w:tc>
          <w:tcPr>
            <w:tcW w:type="dxa" w:w="3322"/>
          </w:tcPr>
          <w:p>
            <w:pPr>
              <w:pStyle w:val="null3"/>
              <w:jc w:val="left"/>
            </w:pPr>
            <w:r>
              <w:rPr/>
              <w:t>仪器设备</w:t>
            </w:r>
          </w:p>
        </w:tc>
        <w:tc>
          <w:tcPr>
            <w:tcW w:type="dxa" w:w="831"/>
          </w:tcPr>
          <w:p>
            <w:pPr>
              <w:pStyle w:val="null3"/>
              <w:jc w:val="right"/>
            </w:pPr>
            <w:r>
              <w:rPr/>
              <w:t>2.0000</w:t>
            </w:r>
          </w:p>
        </w:tc>
        <w:tc>
          <w:tcPr>
            <w:tcW w:type="dxa" w:w="4153"/>
          </w:tcPr>
          <w:p>
            <w:pPr>
              <w:pStyle w:val="null3"/>
              <w:jc w:val="left"/>
            </w:pPr>
            <w:r>
              <w:rPr/>
              <w:t>供应商具有荧光分光光度计数量在1台基础上每增加1台得0.5分，满分2分。（设备须为供应商自有，须提供发票及有效的校准证书复印件，未按上述要求提供证明资料的不得分。）</w:t>
            </w:r>
          </w:p>
        </w:tc>
      </w:tr>
      <w:tr>
        <w:tc>
          <w:tcPr>
            <w:tcW w:type="dxa" w:w="3322"/>
          </w:tcPr>
          <w:p>
            <w:pPr>
              <w:pStyle w:val="null3"/>
              <w:jc w:val="left"/>
            </w:pPr>
            <w:r>
              <w:rPr/>
              <w:t>人员配备情况</w:t>
            </w:r>
          </w:p>
        </w:tc>
        <w:tc>
          <w:tcPr>
            <w:tcW w:type="dxa" w:w="831"/>
          </w:tcPr>
          <w:p>
            <w:pPr>
              <w:pStyle w:val="null3"/>
              <w:jc w:val="right"/>
            </w:pPr>
            <w:r>
              <w:rPr/>
              <w:t>3.0000</w:t>
            </w:r>
          </w:p>
        </w:tc>
        <w:tc>
          <w:tcPr>
            <w:tcW w:type="dxa" w:w="4153"/>
          </w:tcPr>
          <w:p>
            <w:pPr>
              <w:pStyle w:val="null3"/>
              <w:jc w:val="left"/>
            </w:pPr>
            <w:r>
              <w:rPr/>
              <w:t>供应商拟投入本项目从事水产品检验检测人员（不含管理人员、抽样人员）总数须不少于4人，在此基础上每增加1人得0.5分，满分3分。【须提供人员名单、上岗证书复印件及磋商截止时间前六个月中任一个月缴纳的社会保险凭据（离退休人员不计算），以上资料均需加盖供应商公章，未按上述要求提供证明资料的不得分。】</w:t>
            </w:r>
          </w:p>
        </w:tc>
      </w:tr>
      <w:tr>
        <w:tc>
          <w:tcPr>
            <w:tcW w:type="dxa" w:w="3322"/>
          </w:tcPr>
          <w:p>
            <w:pPr>
              <w:pStyle w:val="null3"/>
              <w:jc w:val="left"/>
            </w:pPr>
            <w:r>
              <w:rPr/>
              <w:t>人员配备情况</w:t>
            </w:r>
          </w:p>
        </w:tc>
        <w:tc>
          <w:tcPr>
            <w:tcW w:type="dxa" w:w="831"/>
          </w:tcPr>
          <w:p>
            <w:pPr>
              <w:pStyle w:val="null3"/>
              <w:jc w:val="right"/>
            </w:pPr>
            <w:r>
              <w:rPr/>
              <w:t>3.0000</w:t>
            </w:r>
          </w:p>
        </w:tc>
        <w:tc>
          <w:tcPr>
            <w:tcW w:type="dxa" w:w="4153"/>
          </w:tcPr>
          <w:p>
            <w:pPr>
              <w:pStyle w:val="null3"/>
              <w:jc w:val="left"/>
            </w:pPr>
            <w:r>
              <w:rPr/>
              <w:t>供应商拟投入本项目专职从事水产品抽样人员（不含管理人员、检测人员）总数须不少于4人，在此基础上每增加1人得0.5分，满分3分。【须提供人员名单和磋商截止时间前六个月（不含投标截止时间当月）中任一个月缴纳的社会保险凭据（离退休人员不计算），以上资料均需加盖供应商公章，未按上述要求提供证明资料的不得分。】</w:t>
            </w:r>
          </w:p>
        </w:tc>
      </w:tr>
      <w:tr>
        <w:tc>
          <w:tcPr>
            <w:tcW w:type="dxa" w:w="3322"/>
          </w:tcPr>
          <w:p>
            <w:pPr>
              <w:pStyle w:val="null3"/>
              <w:jc w:val="left"/>
            </w:pPr>
            <w:r>
              <w:rPr/>
              <w:t>人员配备情况</w:t>
            </w:r>
          </w:p>
        </w:tc>
        <w:tc>
          <w:tcPr>
            <w:tcW w:type="dxa" w:w="831"/>
          </w:tcPr>
          <w:p>
            <w:pPr>
              <w:pStyle w:val="null3"/>
              <w:jc w:val="right"/>
            </w:pPr>
            <w:r>
              <w:rPr/>
              <w:t>3.0000</w:t>
            </w:r>
          </w:p>
        </w:tc>
        <w:tc>
          <w:tcPr>
            <w:tcW w:type="dxa" w:w="4153"/>
          </w:tcPr>
          <w:p>
            <w:pPr>
              <w:pStyle w:val="null3"/>
              <w:jc w:val="left"/>
            </w:pPr>
            <w:r>
              <w:rPr/>
              <w:t>供应商负责本次项目的技术负责人具有中级及以上技术职称，得1分；质量负责人具有中级及以上技术职称，得1分；项目负责人具有中级及以上技术职称，得1分；同一人兼任不得重复计分。【需提供人员名单、职称证书复印件及磋商截止时间前六个月中任一个月缴纳的社会保险保险凭据，以上资料均需加盖供应商公章。未按上述要求提供证明资料的不得分。】</w:t>
            </w:r>
          </w:p>
        </w:tc>
      </w:tr>
      <w:tr>
        <w:tc>
          <w:tcPr>
            <w:tcW w:type="dxa" w:w="3322"/>
          </w:tcPr>
          <w:p>
            <w:pPr>
              <w:pStyle w:val="null3"/>
              <w:jc w:val="left"/>
            </w:pPr>
            <w:r>
              <w:rPr/>
              <w:t>抽样车辆配置</w:t>
            </w:r>
          </w:p>
        </w:tc>
        <w:tc>
          <w:tcPr>
            <w:tcW w:type="dxa" w:w="831"/>
          </w:tcPr>
          <w:p>
            <w:pPr>
              <w:pStyle w:val="null3"/>
              <w:jc w:val="right"/>
            </w:pPr>
            <w:r>
              <w:rPr/>
              <w:t>3.0000</w:t>
            </w:r>
          </w:p>
        </w:tc>
        <w:tc>
          <w:tcPr>
            <w:tcW w:type="dxa" w:w="4153"/>
          </w:tcPr>
          <w:p>
            <w:pPr>
              <w:pStyle w:val="null3"/>
              <w:jc w:val="left"/>
            </w:pPr>
            <w:r>
              <w:rPr/>
              <w:t>供应商在具备2辆采样车辆【每辆车载冷藏（冷冻）设备至少要达到150L容积量。】的基础上每增加1辆的得1分，满分3分。【须提供：①车辆为自有的须提供车辆所有人为供应商公司名称的车辆行驶证、购买证明（如购车人为个人的，则应为供应商法人代表）、车辆自身冷藏冷冻容积量证明及车辆照片（含车牌号）的复印件；②车辆为租赁的须提供车辆租赁合同、相应车辆行驶证及双方租赁资金往来证明材料，以上证明材料须在有效期内，未按上述要求提供证明资料的不得分。】</w:t>
            </w:r>
          </w:p>
        </w:tc>
      </w:tr>
      <w:tr>
        <w:tc>
          <w:tcPr>
            <w:tcW w:type="dxa" w:w="3322"/>
          </w:tcPr>
          <w:p>
            <w:pPr>
              <w:pStyle w:val="null3"/>
              <w:jc w:val="left"/>
            </w:pPr>
            <w:r>
              <w:rPr/>
              <w:t>备份样品存放能力</w:t>
            </w:r>
          </w:p>
        </w:tc>
        <w:tc>
          <w:tcPr>
            <w:tcW w:type="dxa" w:w="831"/>
          </w:tcPr>
          <w:p>
            <w:pPr>
              <w:pStyle w:val="null3"/>
              <w:jc w:val="right"/>
            </w:pPr>
            <w:r>
              <w:rPr/>
              <w:t>3.0000</w:t>
            </w:r>
          </w:p>
        </w:tc>
        <w:tc>
          <w:tcPr>
            <w:tcW w:type="dxa" w:w="4153"/>
          </w:tcPr>
          <w:p>
            <w:pPr>
              <w:pStyle w:val="null3"/>
              <w:jc w:val="left"/>
            </w:pPr>
            <w:r>
              <w:rPr/>
              <w:t>供应商实验室存放备份样品储存间必须具备冷冻能力，按下列情况得分（最高得3分）：冷冻库面积≥150㎡的得3分，150≥冷冻库面积≥80㎡的得2分，冷冻库面积＜80㎡的得1分。①自有冷冻库需提供冷冻库产权证、具有标注面积的平面图复印件及冷冻库照片，否则不得分。供应商按上述 要求提供证明资料。②冷冻库为租赁的须提供租赁合同、相应冷冻库产权证、具有标注面积的平面图复印件及冷冻库照片及双方租赁资金往来证明材料。供应商须提供承诺函，承诺所提供资料真实性，未按上述要求提供证明资料的不得分。）</w:t>
            </w:r>
          </w:p>
        </w:tc>
      </w:tr>
      <w:tr>
        <w:tc>
          <w:tcPr>
            <w:tcW w:type="dxa" w:w="3322"/>
          </w:tcPr>
          <w:p>
            <w:pPr>
              <w:pStyle w:val="null3"/>
              <w:jc w:val="left"/>
            </w:pPr>
            <w:r>
              <w:rPr/>
              <w:t>检测数据质量</w:t>
            </w:r>
          </w:p>
        </w:tc>
        <w:tc>
          <w:tcPr>
            <w:tcW w:type="dxa" w:w="831"/>
          </w:tcPr>
          <w:p>
            <w:pPr>
              <w:pStyle w:val="null3"/>
              <w:jc w:val="right"/>
            </w:pPr>
            <w:r>
              <w:rPr/>
              <w:t>3.0000</w:t>
            </w:r>
          </w:p>
        </w:tc>
        <w:tc>
          <w:tcPr>
            <w:tcW w:type="dxa" w:w="4153"/>
          </w:tcPr>
          <w:p>
            <w:pPr>
              <w:pStyle w:val="null3"/>
              <w:jc w:val="left"/>
            </w:pPr>
            <w:r>
              <w:rPr/>
              <w:t>供应商2022年1月1日至磋商截止时间前，国抽信息系统食品抽检数据抽查考核情况：两个年度数据抽查平均问题率＜3%的得3分；3%≤问题率＜6%的得2分；6%≤问题率＜10%的得1分；问题率在10%以上的不得分，未提供或不满足本项要求的不得分。（须提供省级及以上政府部门年度通报函和供应商承诺函，承诺所提供资料真实性，未按上述要求提供证明资料的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实验室认可认证情况</w:t>
            </w:r>
          </w:p>
        </w:tc>
        <w:tc>
          <w:tcPr>
            <w:tcW w:type="dxa" w:w="831"/>
          </w:tcPr>
          <w:p>
            <w:pPr>
              <w:pStyle w:val="null3"/>
              <w:jc w:val="right"/>
            </w:pPr>
            <w:r>
              <w:rPr/>
              <w:t>1.0000</w:t>
            </w:r>
          </w:p>
        </w:tc>
        <w:tc>
          <w:tcPr>
            <w:tcW w:type="dxa" w:w="4153"/>
          </w:tcPr>
          <w:p>
            <w:pPr>
              <w:pStyle w:val="null3"/>
              <w:jc w:val="left"/>
            </w:pPr>
            <w:r>
              <w:rPr/>
              <w:t>供应商取得中国合格评定国家认可委员会(CNAS)实验室认可资质，并在有效期内的得1分。（须提供相关证明材料复印件作为评分依据，否则不得分。）</w:t>
            </w:r>
          </w:p>
        </w:tc>
      </w:tr>
      <w:tr>
        <w:tc>
          <w:tcPr>
            <w:tcW w:type="dxa" w:w="3322"/>
          </w:tcPr>
          <w:p>
            <w:pPr>
              <w:pStyle w:val="null3"/>
              <w:jc w:val="left"/>
            </w:pPr>
            <w:r>
              <w:rPr/>
              <w:t>实验室认可认证情况</w:t>
            </w:r>
          </w:p>
        </w:tc>
        <w:tc>
          <w:tcPr>
            <w:tcW w:type="dxa" w:w="831"/>
          </w:tcPr>
          <w:p>
            <w:pPr>
              <w:pStyle w:val="null3"/>
              <w:jc w:val="right"/>
            </w:pPr>
            <w:r>
              <w:rPr/>
              <w:t>2.0000</w:t>
            </w:r>
          </w:p>
        </w:tc>
        <w:tc>
          <w:tcPr>
            <w:tcW w:type="dxa" w:w="4153"/>
          </w:tcPr>
          <w:p>
            <w:pPr>
              <w:pStyle w:val="null3"/>
              <w:jc w:val="left"/>
            </w:pPr>
            <w:r>
              <w:rPr/>
              <w:t>供应商取得农产品检验检测CATL资质，并且在有效期内的得1分，在此基础上有申请参加2024年福建省海洋与渔业局组织的农产品检验检测考核并被受理，再得1分，满分2分。（须提供相关证明材料复印件作为评分依据，否则不得分。）</w:t>
            </w:r>
          </w:p>
        </w:tc>
      </w:tr>
      <w:tr>
        <w:tc>
          <w:tcPr>
            <w:tcW w:type="dxa" w:w="3322"/>
          </w:tcPr>
          <w:p>
            <w:pPr>
              <w:pStyle w:val="null3"/>
              <w:jc w:val="left"/>
            </w:pPr>
            <w:r>
              <w:rPr/>
              <w:t>能力验证情况</w:t>
            </w:r>
          </w:p>
        </w:tc>
        <w:tc>
          <w:tcPr>
            <w:tcW w:type="dxa" w:w="831"/>
          </w:tcPr>
          <w:p>
            <w:pPr>
              <w:pStyle w:val="null3"/>
              <w:jc w:val="right"/>
            </w:pPr>
            <w:r>
              <w:rPr/>
              <w:t>3.0000</w:t>
            </w:r>
          </w:p>
        </w:tc>
        <w:tc>
          <w:tcPr>
            <w:tcW w:type="dxa" w:w="4153"/>
          </w:tcPr>
          <w:p>
            <w:pPr>
              <w:pStyle w:val="null3"/>
              <w:jc w:val="left"/>
            </w:pPr>
            <w:r>
              <w:rPr/>
              <w:t>供应商2021年以来参加食品安全监管部门组织的能力验证情况由磋商小组进行评定：①每提供1份中国水产科学研究院的合格结果证明的得1分；②提供其他食品安全监管部门的合格结果证明的得0.5分,满分3分。（须提供相关结果证明材料复印件作为评分依据，否则不得分。）</w:t>
            </w:r>
          </w:p>
        </w:tc>
      </w:tr>
      <w:tr>
        <w:tc>
          <w:tcPr>
            <w:tcW w:type="dxa" w:w="3322"/>
          </w:tcPr>
          <w:p>
            <w:pPr>
              <w:pStyle w:val="null3"/>
              <w:jc w:val="left"/>
            </w:pPr>
            <w:r>
              <w:rPr/>
              <w:t>样品不变质措施</w:t>
            </w:r>
          </w:p>
        </w:tc>
        <w:tc>
          <w:tcPr>
            <w:tcW w:type="dxa" w:w="831"/>
          </w:tcPr>
          <w:p>
            <w:pPr>
              <w:pStyle w:val="null3"/>
              <w:jc w:val="right"/>
            </w:pPr>
            <w:r>
              <w:rPr/>
              <w:t>3.0000</w:t>
            </w:r>
          </w:p>
        </w:tc>
        <w:tc>
          <w:tcPr>
            <w:tcW w:type="dxa" w:w="4153"/>
          </w:tcPr>
          <w:p>
            <w:pPr>
              <w:pStyle w:val="null3"/>
              <w:jc w:val="left"/>
            </w:pPr>
            <w:r>
              <w:rPr/>
              <w:t>根据供应商提供的对样品不变质措施及应急抽样响应时间：①响应时间≤1.5个小时的得3分；②1.5个小时＜响应时间≤2.5个小时的得2分；③2.5个小时＜响应时间≤3.5个小时的得1分；④响应时间超过3.5小时不得分。【①供应商应如实提供应急抽样响应时间说明（供应商承担本次任务CMA资质检测实验室（不含供应商分公司或子公司实验室）到采购单位时间），统一以汽车行驶时间计算，提供以百度地图或高德地图等电子地图测算截图；②供应商应对样品不变质措施及抽样响应时间做出明确承诺；未同时符合以上2点的不得分。供应商须提供承诺函，为其承诺真实性负责，未按上述要求提供证明资料的不得分。】</w:t>
            </w:r>
          </w:p>
        </w:tc>
      </w:tr>
      <w:tr>
        <w:tc>
          <w:tcPr>
            <w:tcW w:type="dxa" w:w="3322"/>
          </w:tcPr>
          <w:p>
            <w:pPr>
              <w:pStyle w:val="null3"/>
              <w:jc w:val="left"/>
            </w:pPr>
            <w:r>
              <w:rPr/>
              <w:t>食品质量安全抽检服务评价情况</w:t>
            </w:r>
          </w:p>
        </w:tc>
        <w:tc>
          <w:tcPr>
            <w:tcW w:type="dxa" w:w="831"/>
          </w:tcPr>
          <w:p>
            <w:pPr>
              <w:pStyle w:val="null3"/>
              <w:jc w:val="right"/>
            </w:pPr>
            <w:r>
              <w:rPr/>
              <w:t>3.0000</w:t>
            </w:r>
          </w:p>
        </w:tc>
        <w:tc>
          <w:tcPr>
            <w:tcW w:type="dxa" w:w="4153"/>
          </w:tcPr>
          <w:p>
            <w:pPr>
              <w:pStyle w:val="null3"/>
              <w:jc w:val="left"/>
            </w:pPr>
            <w:r>
              <w:rPr/>
              <w:t>供应商自2021年1月1日以来（日期以合同签订日期为准），每承担过1次渔业部门的水产品质量安全监测服务（不含快检项目）的并完成任务的得1分；每承担过1次食品（需含水产品）质量安全抽检服务的并完成任务的得0.5分；满分3分。 【须提供中标公告(提供相关网站中标公告的下载网页并注明网址)、中标通知书复印件（含扫描件）、采购合同文本复印件（含扫描件）以及任务来源方出具的用户评价报告文本复印件（含扫描件），未提供以上证明材料或提供不齐全的不得分。】</w:t>
            </w:r>
          </w:p>
        </w:tc>
      </w:tr>
      <w:tr>
        <w:tc>
          <w:tcPr>
            <w:tcW w:type="dxa" w:w="3322"/>
          </w:tcPr>
          <w:p>
            <w:pPr>
              <w:pStyle w:val="null3"/>
              <w:jc w:val="left"/>
            </w:pPr>
            <w:r>
              <w:rPr/>
              <w:t>应急处理方案</w:t>
            </w:r>
          </w:p>
        </w:tc>
        <w:tc>
          <w:tcPr>
            <w:tcW w:type="dxa" w:w="831"/>
          </w:tcPr>
          <w:p>
            <w:pPr>
              <w:pStyle w:val="null3"/>
              <w:jc w:val="right"/>
            </w:pPr>
            <w:r>
              <w:rPr/>
              <w:t>3.0000</w:t>
            </w:r>
          </w:p>
        </w:tc>
        <w:tc>
          <w:tcPr>
            <w:tcW w:type="dxa" w:w="4153"/>
          </w:tcPr>
          <w:p>
            <w:pPr>
              <w:pStyle w:val="null3"/>
              <w:jc w:val="left"/>
            </w:pPr>
            <w:r>
              <w:rPr/>
              <w:t>根据供应商针对本项目情况的应急处理方案内容（包含应急处理响应时间、应急处理方式、应急处理保障措施）的完整性、合理性、可操作性等，由磋商小组进行评定：①方案完整且内容详细具体、适用本项目实际情况的得3分；②方案内容有一个缺项但相应内容适用本项目实际情况或方案完整无缺项但内容有一项不适用本项目实际情况的得2分；③方案内容有两个缺项或方案完整无缺项但内容有两项不适用本项目实际情况的得1分；④不符合以上情形或未按要求提供方案的本项不得分。</w:t>
            </w:r>
          </w:p>
        </w:tc>
      </w:tr>
    </w:tbl>
    <w:p>
      <w:pPr>
        <w:pStyle w:val="null3"/>
        <w:jc w:val="left"/>
      </w:pPr>
      <w:r>
        <w:rPr/>
        <w:t>根据政府采购政策可享有的加分优惠评分PE</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节能、环境标志产品</w:t>
            </w:r>
          </w:p>
        </w:tc>
        <w:tc>
          <w:tcPr>
            <w:tcW w:type="dxa" w:w="831"/>
          </w:tcPr>
          <w:p>
            <w:pPr>
              <w:pStyle w:val="null3"/>
              <w:jc w:val="right"/>
            </w:pPr>
            <w:r>
              <w:rPr/>
              <w:t>0.0100</w:t>
            </w:r>
          </w:p>
        </w:tc>
        <w:tc>
          <w:tcPr>
            <w:tcW w:type="dxa" w:w="4153"/>
          </w:tcPr>
          <w:p>
            <w:pPr>
              <w:pStyle w:val="null3"/>
              <w:jc w:val="left"/>
            </w:pPr>
            <w:r>
              <w:rPr/>
              <w:t>本项目无节能、环境标志产品加分项，供应商应将响应文件中的报价部分上传至投标客户端中的“附加部分”。（本项仅为适应福建省政府采购网投标客户端而设定）</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技术部分“★”标示的内容存在负偏离的，按无效响应处理。</w:t>
            </w:r>
          </w:p>
        </w:tc>
      </w:tr>
      <w:tr>
        <w:tc>
          <w:tcPr>
            <w:tcW w:type="dxa" w:w="4153"/>
          </w:tcPr>
          <w:p>
            <w:pPr>
              <w:pStyle w:val="null3"/>
              <w:jc w:val="left"/>
            </w:pPr>
            <w:r>
              <w:rPr/>
              <w:t>其他情形</w:t>
            </w:r>
          </w:p>
        </w:tc>
        <w:tc>
          <w:tcPr>
            <w:tcW w:type="dxa" w:w="4153"/>
          </w:tcPr>
          <w:p>
            <w:pPr>
              <w:pStyle w:val="null3"/>
              <w:jc w:val="left"/>
            </w:pPr>
            <w:r>
              <w:rPr/>
              <w:t>违反竞争性磋商文件中载明“响应无效”条款的规定的，按无效响应处理。</w:t>
            </w:r>
          </w:p>
        </w:tc>
      </w:tr>
      <w:tr>
        <w:tc>
          <w:tcPr>
            <w:tcW w:type="dxa" w:w="4153"/>
          </w:tcPr>
          <w:p>
            <w:pPr>
              <w:pStyle w:val="null3"/>
              <w:jc w:val="left"/>
            </w:pPr>
            <w:r>
              <w:rPr/>
              <w:t>其他情形</w:t>
            </w:r>
          </w:p>
        </w:tc>
        <w:tc>
          <w:tcPr>
            <w:tcW w:type="dxa" w:w="4153"/>
          </w:tcPr>
          <w:p>
            <w:pPr>
              <w:pStyle w:val="null3"/>
              <w:jc w:val="left"/>
            </w:pPr>
            <w:r>
              <w:rPr/>
              <w:t>出现属于竞争性磋商文件规定磋商小组应否决其响应情形的，按无效响应处理。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供应商未在竞争性磋商文件中完全响应竞争性磋商文件第三章采购内容及要求中第“三、商务条件”全部条款的，按无效响应处理。</w:t>
            </w:r>
          </w:p>
        </w:tc>
      </w:tr>
      <w:tr>
        <w:tc>
          <w:tcPr>
            <w:tcW w:type="dxa" w:w="4153"/>
          </w:tcPr>
          <w:p>
            <w:pPr>
              <w:pStyle w:val="null3"/>
              <w:jc w:val="left"/>
            </w:pPr>
            <w:r>
              <w:rPr/>
              <w:t>其他情形</w:t>
            </w:r>
          </w:p>
        </w:tc>
        <w:tc>
          <w:tcPr>
            <w:tcW w:type="dxa" w:w="4153"/>
          </w:tcPr>
          <w:p>
            <w:pPr>
              <w:pStyle w:val="null3"/>
              <w:jc w:val="left"/>
            </w:pPr>
            <w:r>
              <w:rPr/>
              <w:t>违反竞争性磋商文件中载明“响应无效”条款的规定的，按无效响应处理。</w:t>
            </w:r>
          </w:p>
        </w:tc>
      </w:tr>
      <w:tr>
        <w:tc>
          <w:tcPr>
            <w:tcW w:type="dxa" w:w="4153"/>
          </w:tcPr>
          <w:p>
            <w:pPr>
              <w:pStyle w:val="null3"/>
              <w:jc w:val="left"/>
            </w:pPr>
            <w:r>
              <w:rPr/>
              <w:t>其他情形</w:t>
            </w:r>
          </w:p>
        </w:tc>
        <w:tc>
          <w:tcPr>
            <w:tcW w:type="dxa" w:w="4153"/>
          </w:tcPr>
          <w:p>
            <w:pPr>
              <w:pStyle w:val="null3"/>
              <w:jc w:val="left"/>
            </w:pPr>
            <w:r>
              <w:rPr/>
              <w:t>出现属于竞争性磋商文件规定磋商小组应否决其响应情形的，按无效响应处理。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为加强产地水产品中有毒有害因素监测，根据《</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年福建省产地水产品质量安全监测工作方案》以及泉州市治理餐桌污染工作要求，</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年泉州市海洋与渔业局计划开展产地水产品质量安全监测</w:t>
      </w:r>
      <w:r>
        <w:rPr>
          <w:rFonts w:ascii="宋体" w:hAnsi="宋体" w:cs="宋体" w:eastAsia="宋体"/>
          <w:sz w:val="24"/>
        </w:rPr>
        <w:t>10</w:t>
      </w:r>
      <w:r>
        <w:rPr>
          <w:rFonts w:ascii="宋体" w:hAnsi="宋体" w:cs="宋体" w:eastAsia="宋体"/>
          <w:sz w:val="24"/>
        </w:rPr>
        <w:t>5</w:t>
      </w:r>
      <w:r>
        <w:rPr>
          <w:rFonts w:ascii="宋体" w:hAnsi="宋体" w:cs="宋体" w:eastAsia="宋体"/>
          <w:sz w:val="24"/>
        </w:rPr>
        <w:t>0批次，具体任务数量如下：</w:t>
      </w:r>
    </w:p>
    <w:p>
      <w:pPr>
        <w:pStyle w:val="null3"/>
        <w:spacing w:after="150"/>
        <w:ind w:firstLine="420"/>
        <w:jc w:val="left"/>
      </w:pPr>
      <w:r>
        <w:rPr>
          <w:rFonts w:ascii="宋体" w:hAnsi="宋体" w:cs="宋体" w:eastAsia="宋体"/>
          <w:sz w:val="24"/>
        </w:rPr>
        <w:t>202</w:t>
      </w:r>
      <w:r>
        <w:rPr>
          <w:rFonts w:ascii="宋体" w:hAnsi="宋体" w:cs="宋体" w:eastAsia="宋体"/>
          <w:sz w:val="24"/>
        </w:rPr>
        <w:t>4</w:t>
      </w:r>
      <w:r>
        <w:rPr>
          <w:rFonts w:ascii="宋体" w:hAnsi="宋体" w:cs="宋体" w:eastAsia="宋体"/>
          <w:sz w:val="24"/>
        </w:rPr>
        <w:t>年度泉州市海洋与渔业局产地水产品监测计划</w:t>
      </w:r>
    </w:p>
    <w:tbl>
      <w:tblPr>
        <w:tblW w:w="0" w:type="auto"/>
        <w:tblBorders>
          <w:top w:val="none" w:color="000000" w:sz="4"/>
          <w:left w:val="none" w:color="000000" w:sz="4"/>
          <w:bottom w:val="none" w:color="000000" w:sz="4"/>
          <w:right w:val="none" w:color="000000" w:sz="4"/>
          <w:insideH w:val="none"/>
          <w:insideV w:val="none"/>
        </w:tblBorders>
      </w:tblPr>
      <w:tblGrid>
        <w:gridCol w:w="748"/>
        <w:gridCol w:w="1864"/>
        <w:gridCol w:w="3639"/>
        <w:gridCol w:w="2054"/>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1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监测类别</w:t>
            </w:r>
          </w:p>
        </w:tc>
        <w:tc>
          <w:tcPr>
            <w:tcW w:type="dxa" w:w="3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监测计划</w:t>
            </w:r>
          </w:p>
        </w:tc>
        <w:tc>
          <w:tcPr>
            <w:tcW w:type="dxa" w:w="2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任务数量（批次）</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8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监督抽查</w:t>
            </w: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水产苗种质量安全监督抽查</w:t>
            </w:r>
          </w:p>
        </w:tc>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864"/>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产地水产品质量安全监督抽查</w:t>
            </w:r>
          </w:p>
        </w:tc>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8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风险监测</w:t>
            </w: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养殖水产品质量安全风险监测</w:t>
            </w:r>
          </w:p>
        </w:tc>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1</w:t>
            </w:r>
            <w:r>
              <w:rPr>
                <w:rFonts w:ascii="宋体" w:hAnsi="宋体" w:cs="宋体" w:eastAsia="宋体"/>
                <w:sz w:val="24"/>
              </w:rPr>
              <w:t>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864"/>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捕捞水产品质量安全风险监测</w:t>
            </w:r>
          </w:p>
        </w:tc>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864"/>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海水贝类质量安全风险监测</w:t>
            </w:r>
          </w:p>
        </w:tc>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140</w:t>
            </w:r>
          </w:p>
        </w:tc>
      </w:tr>
      <w:tr>
        <w:tc>
          <w:tcPr>
            <w:tcW w:type="dxa" w:w="62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合计</w:t>
            </w:r>
          </w:p>
        </w:tc>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r>
              <w:rPr>
                <w:rFonts w:ascii="宋体" w:hAnsi="宋体" w:cs="宋体" w:eastAsia="宋体"/>
                <w:sz w:val="24"/>
              </w:rPr>
              <w:t>5</w:t>
            </w:r>
            <w:r>
              <w:rPr>
                <w:rFonts w:ascii="宋体" w:hAnsi="宋体" w:cs="宋体" w:eastAsia="宋体"/>
                <w:sz w:val="24"/>
              </w:rPr>
              <w:t>0</w:t>
            </w:r>
          </w:p>
        </w:tc>
      </w:tr>
    </w:tbl>
    <w:p>
      <w:pPr>
        <w:pStyle w:val="null3"/>
        <w:jc w:val="left"/>
        <w:outlineLvl w:val="2"/>
      </w:pPr>
      <w:r>
        <w:rPr>
          <w:sz w:val="28"/>
          <w:b/>
        </w:rPr>
        <w:t>二、技术要求</w:t>
      </w:r>
    </w:p>
    <w:p>
      <w:pPr>
        <w:pStyle w:val="null3"/>
        <w:jc w:val="left"/>
      </w:pPr>
      <w:r>
        <w:rPr>
          <w:rFonts w:ascii="宋体" w:hAnsi="宋体" w:cs="宋体" w:eastAsia="宋体"/>
          <w:sz w:val="24"/>
          <w:b/>
        </w:rPr>
        <w:t>（一）抽样种类及检测项目</w:t>
      </w:r>
    </w:p>
    <w:p>
      <w:pPr>
        <w:pStyle w:val="null3"/>
        <w:spacing w:after="150"/>
        <w:ind w:firstLine="420"/>
        <w:jc w:val="left"/>
      </w:pPr>
      <w:r>
        <w:rPr>
          <w:rFonts w:ascii="宋体" w:hAnsi="宋体" w:cs="宋体" w:eastAsia="宋体"/>
          <w:sz w:val="24"/>
        </w:rPr>
        <w:t>1、</w:t>
      </w:r>
      <w:r>
        <w:rPr>
          <w:rFonts w:ascii="宋体" w:hAnsi="宋体" w:cs="宋体" w:eastAsia="宋体"/>
          <w:sz w:val="24"/>
        </w:rPr>
        <w:t>在具体实施过程中，结合生产实际，监测种类及数量可根据组织抽检监测的渔业行政主管部门的实际需要予以调整。</w:t>
      </w:r>
    </w:p>
    <w:p>
      <w:pPr>
        <w:pStyle w:val="null3"/>
        <w:spacing w:after="150"/>
        <w:ind w:firstLine="420"/>
        <w:jc w:val="center"/>
      </w:pPr>
      <w:r>
        <w:rPr>
          <w:rFonts w:ascii="宋体" w:hAnsi="宋体" w:cs="宋体" w:eastAsia="宋体"/>
          <w:sz w:val="24"/>
          <w:b/>
        </w:rPr>
        <w:t>监测种类及检测项目</w:t>
      </w:r>
    </w:p>
    <w:tbl>
      <w:tblPr>
        <w:tblW w:w="0" w:type="auto"/>
        <w:tblBorders>
          <w:top w:val="none" w:color="000000" w:sz="4"/>
          <w:left w:val="none" w:color="000000" w:sz="4"/>
          <w:bottom w:val="none" w:color="000000" w:sz="4"/>
          <w:right w:val="none" w:color="000000" w:sz="4"/>
          <w:insideH w:val="none"/>
          <w:insideV w:val="none"/>
        </w:tblBorders>
      </w:tblPr>
      <w:tblGrid>
        <w:gridCol w:w="757"/>
        <w:gridCol w:w="1239"/>
        <w:gridCol w:w="1363"/>
        <w:gridCol w:w="3884"/>
        <w:gridCol w:w="1046"/>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序号</w:t>
            </w:r>
          </w:p>
          <w:p>
            <w:pPr>
              <w:pStyle w:val="null3"/>
              <w:jc w:val="both"/>
            </w:pPr>
            <w:r>
              <w:rPr>
                <w:rFonts w:ascii="&quot;times new roman&quot;" w:hAnsi="&quot;times new roman&quot;" w:cs="&quot;times new roman&quot;" w:eastAsia="&quot;times new roman&quot;"/>
                <w:sz w:val="19"/>
              </w:rPr>
              <w:t xml:space="preserve"> </w:t>
            </w:r>
          </w:p>
        </w:tc>
        <w:tc>
          <w:tcPr>
            <w:tcW w:type="dxa" w:w="1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监测计划</w:t>
            </w:r>
          </w:p>
        </w:tc>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监测种类</w:t>
            </w:r>
          </w:p>
        </w:tc>
        <w:tc>
          <w:tcPr>
            <w:tcW w:type="dxa" w:w="3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检测项目</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p>
            <w:pPr>
              <w:pStyle w:val="null3"/>
              <w:jc w:val="center"/>
            </w:pPr>
            <w:r>
              <w:rPr>
                <w:rFonts w:ascii="宋体" w:hAnsi="宋体" w:cs="宋体" w:eastAsia="宋体"/>
                <w:sz w:val="24"/>
                <w:b/>
              </w:rPr>
              <w:t>（批次）</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水产苗种质量安全监督抽查</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水产苗种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氯霉素、孔雀石绿（含隐色孔雀石绿）、硝基呋喃类代谢物（呋喃唑酮代谢物、呋喃它酮代谢物、呋喃妥因代谢物、呋喃西林代谢物）。虾、蟹中呋喃西林代谢物残留不作判定。</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产地水产品质量安全监督抽查</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对虾、鲍鱼、石斑鱼、美国红鱼、真鲷等海水品种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氯霉素、硝基呋喃类代谢物（呋喃唑酮代谢物、呋喃它酮代谢物、呋喃妥因代谢物、呋喃西林代谢物）、喹诺酮类（恩诺沙星、环丙沙星、洛美沙星、培氟沙星、氧氟沙星、诺氟沙星）。虾、蟹中呋喃西林代谢物残留不作判定。</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224</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草鱼、鳙鱼、罗非鱼、鲢鱼、鲤鱼、鳖、棘胸蛙等淡水品种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氯霉素、孔雀石绿（含隐色孔雀石绿）、硝基呋喃类代谢物（呋喃唑酮代谢物、呋喃它酮代谢物、呋喃妥因代谢物、呋喃西林代谢物）、喹诺酮类（恩诺沙星、环丙沙星、洛美沙星、培氟沙星、氧氟沙星、诺氟沙星）。虾、蟹中呋喃西林代谢物残留不作判定。</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156</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养殖水产品质量安全风险监测</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对虾、蟹</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四环素类（土霉素、金霉素、四环素）、铅、镉、甲基汞、无机砷。</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64</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铅、镉、甲基汞、无机砷。</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56</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海藻</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铅</w:t>
            </w:r>
            <w:r>
              <w:rPr>
                <w:rFonts w:ascii="宋体" w:hAnsi="宋体" w:cs="宋体" w:eastAsia="宋体"/>
                <w:sz w:val="24"/>
              </w:rPr>
              <w:t>、</w:t>
            </w:r>
            <w:r>
              <w:rPr>
                <w:rFonts w:ascii="宋体" w:hAnsi="宋体" w:cs="宋体" w:eastAsia="宋体"/>
                <w:sz w:val="24"/>
              </w:rPr>
              <w:t>无机砷。</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蛙类</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孔雀石绿（含隐色孔雀石绿）、磺胺类（以</w:t>
            </w:r>
            <w:r>
              <w:rPr>
                <w:rFonts w:ascii="宋体" w:hAnsi="宋体" w:cs="宋体" w:eastAsia="宋体"/>
                <w:sz w:val="24"/>
              </w:rPr>
              <w:t>12项总量计）、甲硝唑。</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罗非鱼</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五氯苯酚及其钠盐、镉、甲基汞。</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其它淡水品种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磺胺类（以</w:t>
            </w:r>
            <w:r>
              <w:rPr>
                <w:rFonts w:ascii="宋体" w:hAnsi="宋体" w:cs="宋体" w:eastAsia="宋体"/>
                <w:sz w:val="24"/>
              </w:rPr>
              <w:t>12项总量计）、甲硝唑、五氯苯酚及其钠盐、镉、甲基汞。</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110</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其它海水品种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磺磺胺类（以</w:t>
            </w:r>
            <w:r>
              <w:rPr>
                <w:rFonts w:ascii="宋体" w:hAnsi="宋体" w:cs="宋体" w:eastAsia="宋体"/>
                <w:sz w:val="24"/>
              </w:rPr>
              <w:t>12项总量计）、镉、甲基汞。</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58</w:t>
            </w:r>
          </w:p>
        </w:tc>
      </w:tr>
      <w:tr>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捕捞水产品质量安全风险监测</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捕捞鱼类</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镉、甲基汞、石油烃</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130</w:t>
            </w:r>
          </w:p>
        </w:tc>
      </w:tr>
      <w:tr>
        <w:tc>
          <w:tcPr>
            <w:tcW w:type="dxa" w:w="757"/>
            <w:vMerge/>
            <w:tcBorders>
              <w:top w:val="none" w:color="000000" w:sz="4"/>
              <w:left w:val="single" w:color="000000" w:sz="4"/>
              <w:bottom w:val="single" w:color="000000" w:sz="4"/>
              <w:right w:val="single" w:color="000000" w:sz="4"/>
            </w:tcBorders>
          </w:tcPr>
          <w:p/>
        </w:tc>
        <w:tc>
          <w:tcPr>
            <w:tcW w:type="dxa" w:w="1239"/>
            <w:vMerge/>
            <w:tcBorders>
              <w:top w:val="none" w:color="000000" w:sz="4"/>
              <w:left w:val="single" w:color="000000" w:sz="4"/>
              <w:bottom w:val="single" w:color="000000" w:sz="4"/>
              <w:right w:val="single" w:color="000000" w:sz="4"/>
            </w:tcBorders>
          </w:tcP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其他捕捞品种</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铅、镉、甲基汞、无机砷。</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海水贝类质量安全风险监测</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牡蛎、缢蛏、花蛤、波纹巴菲蛤等海水贝类</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氯霉素、大肠埃希氏菌、铅、镉。底播养殖贝类加测菊酯类（甲氰菊酯、溴氰菊酯、氯氰菊酯、氰戊菊酯）。</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140</w:t>
            </w:r>
          </w:p>
        </w:tc>
      </w:tr>
      <w:tr>
        <w:tc>
          <w:tcPr>
            <w:tcW w:type="dxa" w:w="72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合计</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r>
              <w:rPr>
                <w:rFonts w:ascii="宋体" w:hAnsi="宋体" w:cs="宋体" w:eastAsia="宋体"/>
                <w:sz w:val="24"/>
              </w:rPr>
              <w:t>5</w:t>
            </w:r>
            <w:r>
              <w:rPr>
                <w:rFonts w:ascii="宋体" w:hAnsi="宋体" w:cs="宋体" w:eastAsia="宋体"/>
                <w:sz w:val="24"/>
              </w:rPr>
              <w:t>0</w:t>
            </w:r>
          </w:p>
        </w:tc>
      </w:tr>
    </w:tbl>
    <w:p>
      <w:pPr>
        <w:pStyle w:val="null3"/>
        <w:spacing w:after="150"/>
        <w:ind w:firstLine="420"/>
        <w:jc w:val="center"/>
      </w:pPr>
      <w:r>
        <w:rPr>
          <w:rFonts w:ascii="宋体" w:hAnsi="宋体" w:cs="宋体" w:eastAsia="宋体"/>
          <w:sz w:val="24"/>
          <w:b/>
        </w:rPr>
        <w:t>检测方法及判定限量值</w:t>
      </w:r>
    </w:p>
    <w:tbl>
      <w:tblPr>
        <w:tblW w:w="0" w:type="auto"/>
        <w:tblBorders>
          <w:top w:val="none" w:color="000000" w:sz="4"/>
          <w:left w:val="none" w:color="000000" w:sz="4"/>
          <w:bottom w:val="none" w:color="000000" w:sz="4"/>
          <w:right w:val="none" w:color="000000" w:sz="4"/>
          <w:insideH w:val="none"/>
          <w:insideV w:val="none"/>
        </w:tblBorders>
      </w:tblPr>
      <w:tblGrid>
        <w:gridCol w:w="318"/>
        <w:gridCol w:w="595"/>
        <w:gridCol w:w="1135"/>
        <w:gridCol w:w="1993"/>
        <w:gridCol w:w="2450"/>
        <w:gridCol w:w="747"/>
        <w:gridCol w:w="1024"/>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173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检测项目</w:t>
            </w:r>
          </w:p>
        </w:tc>
        <w:tc>
          <w:tcPr>
            <w:tcW w:type="dxa" w:w="1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检测方法</w:t>
            </w:r>
          </w:p>
        </w:tc>
        <w:tc>
          <w:tcPr>
            <w:tcW w:type="dxa" w:w="2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判定限量值</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数据单位</w:t>
            </w:r>
          </w:p>
        </w:tc>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判定依据</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氯霉素</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GB/T 20756-2006《可食动物肌肉、肝脏和水产品中氯霉素、甲砜霉素和氟苯尼考残留量的测定 液相色谱-串联质谱法》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0.3 μg/kg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农渔发</w:t>
            </w:r>
          </w:p>
          <w:p>
            <w:pPr>
              <w:pStyle w:val="null3"/>
              <w:jc w:val="center"/>
            </w:pPr>
            <w:r>
              <w:rPr>
                <w:rFonts w:ascii="宋体" w:hAnsi="宋体" w:cs="宋体" w:eastAsia="宋体"/>
                <w:sz w:val="21"/>
              </w:rPr>
              <w:t>〔</w:t>
            </w:r>
            <w:r>
              <w:rPr>
                <w:rFonts w:ascii="&quot;times new roman&quot;" w:hAnsi="&quot;times new roman&quot;" w:cs="&quot;times new roman&quot;" w:eastAsia="&quot;times new roman&quot;"/>
                <w:sz w:val="21"/>
              </w:rPr>
              <w:t>2023</w:t>
            </w: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号</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孔雀石绿</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孔雀石绿</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GB/T 19857-2005《水产品中孔雀石绿和结晶紫残留量的测定》（2 液相色谱-串联质谱法）</w:t>
            </w:r>
          </w:p>
        </w:tc>
        <w:tc>
          <w:tcPr>
            <w:tcW w:type="dxa" w:w="2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 μg/kg</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农渔发</w:t>
            </w:r>
          </w:p>
          <w:p>
            <w:pPr>
              <w:pStyle w:val="null3"/>
              <w:jc w:val="center"/>
            </w:pPr>
            <w:r>
              <w:rPr>
                <w:rFonts w:ascii="宋体" w:hAnsi="宋体" w:cs="宋体" w:eastAsia="宋体"/>
                <w:sz w:val="21"/>
              </w:rPr>
              <w:t>〔</w:t>
            </w:r>
            <w:r>
              <w:rPr>
                <w:rFonts w:ascii="&quot;times new roman&quot;" w:hAnsi="&quot;times new roman&quot;" w:cs="&quot;times new roman&quot;" w:eastAsia="&quot;times new roman&quot;"/>
                <w:sz w:val="21"/>
              </w:rPr>
              <w:t>2023</w:t>
            </w: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号</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隐色孔雀石绿</w:t>
            </w:r>
          </w:p>
        </w:tc>
        <w:tc>
          <w:tcPr>
            <w:tcW w:type="dxa" w:w="1993"/>
            <w:vMerge/>
            <w:tcBorders>
              <w:top w:val="none" w:color="000000" w:sz="4"/>
              <w:left w:val="single" w:color="000000" w:sz="4"/>
              <w:bottom w:val="single" w:color="000000" w:sz="4"/>
              <w:right w:val="single" w:color="000000" w:sz="4"/>
            </w:tcBorders>
          </w:tcPr>
          <w:p/>
        </w:tc>
        <w:tc>
          <w:tcPr>
            <w:tcW w:type="dxa" w:w="2450"/>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single" w:color="000000" w:sz="4"/>
              <w:left w:val="single" w:color="000000" w:sz="4"/>
              <w:bottom w:val="single" w:color="000000" w:sz="4"/>
              <w:right w:val="single" w:color="000000" w:sz="4"/>
            </w:tcBorders>
          </w:tcP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硝基呋喃类代谢物</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呋喃唑酮代谢物（</w:t>
            </w:r>
            <w:r>
              <w:rPr>
                <w:rFonts w:ascii="宋体" w:hAnsi="宋体" w:cs="宋体" w:eastAsia="宋体"/>
                <w:sz w:val="24"/>
              </w:rPr>
              <w:t>AOZ）</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农业部</w:t>
            </w:r>
            <w:r>
              <w:rPr>
                <w:rFonts w:ascii="宋体" w:hAnsi="宋体" w:cs="宋体" w:eastAsia="宋体"/>
                <w:sz w:val="24"/>
              </w:rPr>
              <w:t>783号公告-1-2006《水产品中硝基呋喃类代谢物残留量的测定 液相色谱-串联质谱法》</w:t>
            </w:r>
          </w:p>
          <w:p>
            <w:pPr>
              <w:pStyle w:val="null3"/>
              <w:jc w:val="center"/>
            </w:pPr>
            <w:r>
              <w:rPr>
                <w:rFonts w:ascii="宋体" w:hAnsi="宋体" w:cs="宋体" w:eastAsia="宋体"/>
                <w:sz w:val="24"/>
              </w:rPr>
              <w:t>农业部</w:t>
            </w:r>
            <w:r>
              <w:rPr>
                <w:rFonts w:ascii="宋体" w:hAnsi="宋体" w:cs="宋体" w:eastAsia="宋体"/>
                <w:sz w:val="24"/>
              </w:rPr>
              <w:t>1077号公告-2-2008 《水产品中硝基呋喃类代谢物残留量的测定 高效液相色谱法》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 μg/kg</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农渔发</w:t>
            </w:r>
          </w:p>
          <w:p>
            <w:pPr>
              <w:pStyle w:val="null3"/>
              <w:jc w:val="center"/>
            </w:pPr>
            <w:r>
              <w:rPr>
                <w:rFonts w:ascii="宋体" w:hAnsi="宋体" w:cs="宋体" w:eastAsia="宋体"/>
                <w:sz w:val="21"/>
              </w:rPr>
              <w:t>〔</w:t>
            </w:r>
            <w:r>
              <w:rPr>
                <w:rFonts w:ascii="&quot;times new roman&quot;" w:hAnsi="&quot;times new roman&quot;" w:cs="&quot;times new roman&quot;" w:eastAsia="&quot;times new roman&quot;"/>
                <w:sz w:val="21"/>
              </w:rPr>
              <w:t>2023</w:t>
            </w: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号</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呋喃它酮代谢物（</w:t>
            </w:r>
            <w:r>
              <w:rPr>
                <w:rFonts w:ascii="宋体" w:hAnsi="宋体" w:cs="宋体" w:eastAsia="宋体"/>
                <w:sz w:val="24"/>
              </w:rPr>
              <w:t>AMOZ）</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呋喃妥因代谢物（</w:t>
            </w:r>
            <w:r>
              <w:rPr>
                <w:rFonts w:ascii="宋体" w:hAnsi="宋体" w:cs="宋体" w:eastAsia="宋体"/>
                <w:sz w:val="24"/>
              </w:rPr>
              <w:t>AHD）</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呋喃西林代谢物（</w:t>
            </w:r>
            <w:r>
              <w:rPr>
                <w:rFonts w:ascii="宋体" w:hAnsi="宋体" w:cs="宋体" w:eastAsia="宋体"/>
                <w:sz w:val="24"/>
              </w:rPr>
              <w:t>SEM）</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喹诺酮类</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恩诺沙星</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农业部</w:t>
            </w:r>
            <w:r>
              <w:rPr>
                <w:rFonts w:ascii="宋体" w:hAnsi="宋体" w:cs="宋体" w:eastAsia="宋体"/>
                <w:sz w:val="24"/>
              </w:rPr>
              <w:t>1077号公告-1-2008 《水产品中17种磺胺类及15种喹诺酮类药物残留量的测定 液相色谱-串联质谱法》</w:t>
            </w:r>
          </w:p>
        </w:tc>
        <w:tc>
          <w:tcPr>
            <w:tcW w:type="dxa" w:w="2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+肉）：100 μg/kg；</w:t>
            </w:r>
          </w:p>
          <w:p>
            <w:pPr>
              <w:pStyle w:val="null3"/>
              <w:jc w:val="center"/>
            </w:pPr>
            <w:r>
              <w:rPr>
                <w:rFonts w:ascii="宋体" w:hAnsi="宋体" w:cs="宋体" w:eastAsia="宋体"/>
                <w:sz w:val="24"/>
              </w:rPr>
              <w:t>其他品种（肌肉）：</w:t>
            </w:r>
            <w:r>
              <w:rPr>
                <w:rFonts w:ascii="宋体" w:hAnsi="宋体" w:cs="宋体" w:eastAsia="宋体"/>
                <w:sz w:val="24"/>
              </w:rPr>
              <w:t>100 μg/kg</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31650-2019</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环丙沙星</w:t>
            </w:r>
          </w:p>
        </w:tc>
        <w:tc>
          <w:tcPr>
            <w:tcW w:type="dxa" w:w="1993"/>
            <w:vMerge/>
            <w:tcBorders>
              <w:top w:val="none" w:color="000000" w:sz="4"/>
              <w:left w:val="single" w:color="000000" w:sz="4"/>
              <w:bottom w:val="single" w:color="000000" w:sz="4"/>
              <w:right w:val="single" w:color="000000" w:sz="4"/>
            </w:tcBorders>
          </w:tcPr>
          <w:p/>
        </w:tc>
        <w:tc>
          <w:tcPr>
            <w:tcW w:type="dxa" w:w="2450"/>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洛美</w:t>
            </w:r>
            <w:r>
              <w:rPr>
                <w:rFonts w:ascii="宋体" w:hAnsi="宋体" w:cs="宋体" w:eastAsia="宋体"/>
                <w:sz w:val="21"/>
              </w:rPr>
              <w:t>沙星</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 μg/kg</w:t>
            </w:r>
          </w:p>
        </w:tc>
        <w:tc>
          <w:tcPr>
            <w:tcW w:type="dxa" w:w="747"/>
            <w:vMerge/>
            <w:tcBorders>
              <w:top w:val="none" w:color="000000" w:sz="4"/>
              <w:left w:val="single" w:color="000000" w:sz="4"/>
              <w:bottom w:val="single" w:color="000000" w:sz="4"/>
              <w:right w:val="single" w:color="000000" w:sz="4"/>
            </w:tcBorders>
          </w:tcPr>
          <w:p/>
        </w:tc>
        <w:tc>
          <w:tcPr>
            <w:tcW w:type="dxa" w:w="10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31650.1-2022</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培氟沙星</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氧氟沙星</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诺氟沙星</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磺胺类（以磺胺噻唑、磺胺嘧啶、磺胺甲基嘧啶、磺胺二甲基嘧啶、磺胺甲基异噁唑、磺胺多辛、磺胺异噁唑、磺胺喹噁啉、磺胺间甲氧嘧啶、磺胺间二甲氧嘧啶、磺胺氯哒嗪和磺胺甲噻二唑等</w:t>
            </w:r>
            <w:r>
              <w:rPr>
                <w:rFonts w:ascii="宋体" w:hAnsi="宋体" w:cs="宋体" w:eastAsia="宋体"/>
                <w:sz w:val="24"/>
              </w:rPr>
              <w:t>12项总量计）</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农业部</w:t>
            </w:r>
            <w:r>
              <w:rPr>
                <w:rFonts w:ascii="宋体" w:hAnsi="宋体" w:cs="宋体" w:eastAsia="宋体"/>
                <w:sz w:val="24"/>
              </w:rPr>
              <w:t>1077号公告-1-2008 《水产品中17种磺胺类及15种喹诺酮类药物残留量的测定 液相色谱-串联质谱法》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+肉）：100 μg/kg；</w:t>
            </w:r>
          </w:p>
          <w:p>
            <w:pPr>
              <w:pStyle w:val="null3"/>
              <w:jc w:val="center"/>
            </w:pPr>
            <w:r>
              <w:rPr>
                <w:rFonts w:ascii="宋体" w:hAnsi="宋体" w:cs="宋体" w:eastAsia="宋体"/>
                <w:sz w:val="24"/>
              </w:rPr>
              <w:t>其他品种（肌肉）：</w:t>
            </w:r>
            <w:r>
              <w:rPr>
                <w:rFonts w:ascii="宋体" w:hAnsi="宋体" w:cs="宋体" w:eastAsia="宋体"/>
                <w:sz w:val="24"/>
              </w:rPr>
              <w:t>100 μg/kg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31650-2019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五氯苯酚及其钠盐</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SC/T 3030-2006《水产品中五氯苯酚及其钠盐残留量的测定 气相色谱法》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不得检出</w:t>
            </w:r>
          </w:p>
          <w:p>
            <w:pPr>
              <w:pStyle w:val="null3"/>
              <w:jc w:val="center"/>
            </w:pPr>
            <w:r>
              <w:rPr>
                <w:rFonts w:ascii="宋体" w:hAnsi="宋体" w:cs="宋体" w:eastAsia="宋体"/>
                <w:sz w:val="24"/>
              </w:rPr>
              <w:t>（方法检出限：</w:t>
            </w:r>
            <w:r>
              <w:rPr>
                <w:rFonts w:ascii="宋体" w:hAnsi="宋体" w:cs="宋体" w:eastAsia="宋体"/>
                <w:sz w:val="24"/>
              </w:rPr>
              <w:t>1.0 μg/kg）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水产养殖</w:t>
            </w:r>
          </w:p>
          <w:p>
            <w:pPr>
              <w:pStyle w:val="null3"/>
              <w:jc w:val="center"/>
            </w:pPr>
            <w:r>
              <w:rPr>
                <w:rFonts w:ascii="宋体" w:hAnsi="宋体" w:cs="宋体" w:eastAsia="宋体"/>
                <w:sz w:val="24"/>
              </w:rPr>
              <w:t>用药明白纸</w:t>
            </w:r>
            <w:r>
              <w:rPr>
                <w:rFonts w:ascii="宋体" w:hAnsi="宋体" w:cs="宋体" w:eastAsia="宋体"/>
                <w:sz w:val="24"/>
              </w:rPr>
              <w:t>2022年1号</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四环素类</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土霉素</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SC/T 3015-2002《水产品中土霉素、四环素、金霉素残留量的测定》</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+肉）：200 μg/kg；</w:t>
            </w:r>
          </w:p>
          <w:p>
            <w:pPr>
              <w:pStyle w:val="null3"/>
              <w:jc w:val="center"/>
            </w:pPr>
            <w:r>
              <w:rPr>
                <w:rFonts w:ascii="宋体" w:hAnsi="宋体" w:cs="宋体" w:eastAsia="宋体"/>
                <w:sz w:val="24"/>
              </w:rPr>
              <w:t>海参：不得检出</w:t>
            </w:r>
          </w:p>
          <w:p>
            <w:pPr>
              <w:pStyle w:val="null3"/>
              <w:jc w:val="center"/>
            </w:pPr>
            <w:r>
              <w:rPr>
                <w:rFonts w:ascii="宋体" w:hAnsi="宋体" w:cs="宋体" w:eastAsia="宋体"/>
                <w:sz w:val="24"/>
              </w:rPr>
              <w:t>（方法检出限：</w:t>
            </w:r>
            <w:r>
              <w:rPr>
                <w:rFonts w:ascii="宋体" w:hAnsi="宋体" w:cs="宋体" w:eastAsia="宋体"/>
                <w:sz w:val="24"/>
              </w:rPr>
              <w:t>50 μg/kg）</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31650-2019</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金霉素</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+肉）：200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singl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四环素</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+肉）：200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single" w:color="000000" w:sz="4"/>
              <w:left w:val="single" w:color="000000" w:sz="4"/>
              <w:bottom w:val="single" w:color="000000" w:sz="4"/>
              <w:right w:val="single" w:color="000000" w:sz="4"/>
            </w:tcBorders>
          </w:tcP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硝基咪唑类</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甲硝唑</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SN/T 3235-2012 出口动物源食品中多类禁用药物残留量检测方法 液相色谱-质谱/质谱法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不得检出</w:t>
            </w:r>
          </w:p>
          <w:p>
            <w:pPr>
              <w:pStyle w:val="null3"/>
              <w:jc w:val="center"/>
            </w:pPr>
            <w:r>
              <w:rPr>
                <w:rFonts w:ascii="宋体" w:hAnsi="宋体" w:cs="宋体" w:eastAsia="宋体"/>
                <w:sz w:val="24"/>
              </w:rPr>
              <w:t>（方法定量限：</w:t>
            </w:r>
            <w:r>
              <w:rPr>
                <w:rFonts w:ascii="宋体" w:hAnsi="宋体" w:cs="宋体" w:eastAsia="宋体"/>
                <w:sz w:val="24"/>
              </w:rPr>
              <w:t>0.5 μg/kg）</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31650-2019</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地美硝唑</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不得检出</w:t>
            </w:r>
          </w:p>
          <w:p>
            <w:pPr>
              <w:pStyle w:val="null3"/>
              <w:jc w:val="center"/>
            </w:pPr>
            <w:r>
              <w:rPr>
                <w:rFonts w:ascii="宋体" w:hAnsi="宋体" w:cs="宋体" w:eastAsia="宋体"/>
                <w:sz w:val="24"/>
              </w:rPr>
              <w:t>（方法定量限：</w:t>
            </w:r>
            <w:r>
              <w:rPr>
                <w:rFonts w:ascii="宋体" w:hAnsi="宋体" w:cs="宋体" w:eastAsia="宋体"/>
                <w:sz w:val="24"/>
              </w:rPr>
              <w:t>0.5 μg/kg）</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菊酯类</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甲氰菊酯</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GB/T 5009.162-2008《动物性食品中有机氯农药和拟除虫菊酯农药多组分残留量的测定》（第一法：气相色谱-质谱法）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不作判定</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μg/kg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农渔发</w:t>
            </w:r>
          </w:p>
          <w:p>
            <w:pPr>
              <w:pStyle w:val="null3"/>
              <w:jc w:val="center"/>
            </w:pPr>
            <w:r>
              <w:rPr>
                <w:rFonts w:ascii="宋体" w:hAnsi="宋体" w:cs="宋体" w:eastAsia="宋体"/>
                <w:sz w:val="24"/>
              </w:rPr>
              <w:t>〔</w:t>
            </w:r>
            <w:r>
              <w:rPr>
                <w:rFonts w:ascii="宋体" w:hAnsi="宋体" w:cs="宋体" w:eastAsia="宋体"/>
                <w:sz w:val="24"/>
              </w:rPr>
              <w:t>2023〕6号</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氯氰菊酯</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+肉）：50 μg/kg</w:t>
            </w:r>
          </w:p>
          <w:p>
            <w:pPr>
              <w:pStyle w:val="null3"/>
              <w:jc w:val="center"/>
            </w:pPr>
            <w:r>
              <w:rPr>
                <w:rFonts w:ascii="宋体" w:hAnsi="宋体" w:cs="宋体" w:eastAsia="宋体"/>
                <w:sz w:val="24"/>
              </w:rPr>
              <w:t>其他品种：不作判定</w:t>
            </w:r>
          </w:p>
        </w:tc>
        <w:tc>
          <w:tcPr>
            <w:tcW w:type="dxa" w:w="747"/>
            <w:vMerge/>
            <w:tcBorders>
              <w:top w:val="none" w:color="000000" w:sz="4"/>
              <w:left w:val="single" w:color="000000" w:sz="4"/>
              <w:bottom w:val="single" w:color="000000" w:sz="4"/>
              <w:right w:val="single" w:color="000000" w:sz="4"/>
            </w:tcBorders>
          </w:tc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31650-2019</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氰戊菊酯</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不作判定</w:t>
            </w:r>
          </w:p>
        </w:tc>
        <w:tc>
          <w:tcPr>
            <w:tcW w:type="dxa" w:w="747"/>
            <w:vMerge/>
            <w:tcBorders>
              <w:top w:val="none" w:color="000000" w:sz="4"/>
              <w:left w:val="single" w:color="000000" w:sz="4"/>
              <w:bottom w:val="single" w:color="000000" w:sz="4"/>
              <w:right w:val="single" w:color="000000" w:sz="4"/>
            </w:tcBorders>
          </w:tc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p>
        </w:tc>
      </w:tr>
      <w:tr>
        <w:tc>
          <w:tcPr>
            <w:tcW w:type="dxa" w:w="318"/>
            <w:vMerge/>
            <w:tcBorders>
              <w:top w:val="none" w:color="000000" w:sz="4"/>
              <w:left w:val="single" w:color="000000" w:sz="4"/>
              <w:bottom w:val="single" w:color="000000" w:sz="4"/>
              <w:right w:val="single" w:color="000000" w:sz="4"/>
            </w:tcBorders>
          </w:tcPr>
          <w:p/>
        </w:tc>
        <w:tc>
          <w:tcPr>
            <w:tcW w:type="dxa" w:w="595"/>
            <w:vMerge/>
            <w:tcBorders>
              <w:top w:val="none" w:color="000000" w:sz="4"/>
              <w:left w:val="single" w:color="000000" w:sz="4"/>
              <w:bottom w:val="single" w:color="000000" w:sz="4"/>
              <w:right w:val="single" w:color="000000" w:sz="4"/>
            </w:tcBorders>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溴氰菊酯</w:t>
            </w: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鱼（皮</w:t>
            </w:r>
            <w:r>
              <w:rPr>
                <w:rFonts w:ascii="宋体" w:hAnsi="宋体" w:cs="宋体" w:eastAsia="宋体"/>
                <w:sz w:val="24"/>
              </w:rPr>
              <w:t>+肉）：30 μg/kg</w:t>
            </w:r>
          </w:p>
          <w:p>
            <w:pPr>
              <w:pStyle w:val="null3"/>
              <w:jc w:val="center"/>
            </w:pPr>
            <w:r>
              <w:rPr>
                <w:rFonts w:ascii="宋体" w:hAnsi="宋体" w:cs="宋体" w:eastAsia="宋体"/>
                <w:sz w:val="24"/>
              </w:rPr>
              <w:t>其他品种：不作判定</w:t>
            </w:r>
          </w:p>
        </w:tc>
        <w:tc>
          <w:tcPr>
            <w:tcW w:type="dxa" w:w="747"/>
            <w:vMerge/>
            <w:tcBorders>
              <w:top w:val="none" w:color="000000" w:sz="4"/>
              <w:left w:val="single" w:color="000000" w:sz="4"/>
              <w:bottom w:val="single" w:color="000000" w:sz="4"/>
              <w:right w:val="single" w:color="000000" w:sz="4"/>
            </w:tcBorders>
          </w:tc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31650-2019</w:t>
            </w:r>
          </w:p>
        </w:tc>
      </w:tr>
      <w:tr>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173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大肠埃希氏菌</w:t>
            </w:r>
          </w:p>
        </w:tc>
        <w:tc>
          <w:tcPr>
            <w:tcW w:type="dxa" w:w="19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 4789.38-2012《食品安全国家标准 食品微生物学检验 大肠埃希氏菌计数》 【5 大肠埃希氏菌MPN计数（第一法）】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N≤230 MPN/100 g</w:t>
            </w:r>
          </w:p>
          <w:p>
            <w:pPr>
              <w:pStyle w:val="null3"/>
              <w:jc w:val="center"/>
            </w:pPr>
            <w:r>
              <w:rPr>
                <w:rFonts w:ascii="宋体" w:hAnsi="宋体" w:cs="宋体" w:eastAsia="宋体"/>
                <w:sz w:val="24"/>
              </w:rPr>
              <w:t>（第一类生产区）</w:t>
            </w:r>
          </w:p>
        </w:tc>
        <w:tc>
          <w:tcPr>
            <w:tcW w:type="dxa" w:w="7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MPN/100 g</w:t>
            </w:r>
          </w:p>
        </w:tc>
        <w:tc>
          <w:tcPr>
            <w:tcW w:type="dxa" w:w="10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农渔发</w:t>
            </w:r>
          </w:p>
          <w:p>
            <w:pPr>
              <w:pStyle w:val="null3"/>
              <w:jc w:val="center"/>
            </w:pPr>
            <w:r>
              <w:rPr>
                <w:rFonts w:ascii="宋体" w:hAnsi="宋体" w:cs="宋体" w:eastAsia="宋体"/>
                <w:sz w:val="21"/>
              </w:rPr>
              <w:t>〔</w:t>
            </w:r>
            <w:r>
              <w:rPr>
                <w:rFonts w:ascii="&quot;times new roman&quot;" w:hAnsi="&quot;times new roman&quot;" w:cs="&quot;times new roman&quot;" w:eastAsia="&quot;times new roman&quot;"/>
                <w:sz w:val="21"/>
              </w:rPr>
              <w:t>2023</w:t>
            </w: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号</w:t>
            </w:r>
          </w:p>
        </w:tc>
      </w:tr>
      <w:tr>
        <w:tc>
          <w:tcPr>
            <w:tcW w:type="dxa" w:w="318"/>
            <w:vMerge/>
            <w:tcBorders>
              <w:top w:val="none" w:color="000000" w:sz="4"/>
              <w:left w:val="single" w:color="000000" w:sz="4"/>
              <w:bottom w:val="single" w:color="000000" w:sz="4"/>
              <w:right w:val="single" w:color="000000" w:sz="4"/>
            </w:tcBorders>
          </w:tcPr>
          <w:p/>
        </w:tc>
        <w:tc>
          <w:tcPr>
            <w:tcW w:type="dxa" w:w="1730"/>
            <w:gridSpan w:val="2"/>
            <w:vMerge/>
            <w:tcBorders>
              <w:top w:val="none" w:color="000000" w:sz="4"/>
              <w:left w:val="single" w:color="000000" w:sz="4"/>
              <w:bottom w:val="single" w:color="000000" w:sz="4"/>
              <w:right w:val="single" w:color="000000" w:sz="4"/>
            </w:tcBorders>
          </w:tcP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230 MPN/100 g</w:t>
            </w:r>
          </w:p>
          <w:p>
            <w:pPr>
              <w:pStyle w:val="null3"/>
              <w:jc w:val="center"/>
            </w:pPr>
            <w:r>
              <w:rPr>
                <w:rFonts w:ascii="宋体" w:hAnsi="宋体" w:cs="宋体" w:eastAsia="宋体"/>
                <w:sz w:val="24"/>
              </w:rPr>
              <w:t>&lt;N≤4600 MPN/100 g</w:t>
            </w:r>
          </w:p>
          <w:p>
            <w:pPr>
              <w:pStyle w:val="null3"/>
              <w:jc w:val="center"/>
            </w:pPr>
            <w:r>
              <w:rPr>
                <w:rFonts w:ascii="宋体" w:hAnsi="宋体" w:cs="宋体" w:eastAsia="宋体"/>
                <w:sz w:val="24"/>
              </w:rPr>
              <w:t>（第二类生产区）</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1730"/>
            <w:gridSpan w:val="2"/>
            <w:vMerge/>
            <w:tcBorders>
              <w:top w:val="none" w:color="000000" w:sz="4"/>
              <w:left w:val="single" w:color="000000" w:sz="4"/>
              <w:bottom w:val="single" w:color="000000" w:sz="4"/>
              <w:right w:val="single" w:color="000000" w:sz="4"/>
            </w:tcBorders>
          </w:tcP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4600 MPN/100 g</w:t>
            </w:r>
          </w:p>
          <w:p>
            <w:pPr>
              <w:pStyle w:val="null3"/>
              <w:jc w:val="center"/>
            </w:pPr>
            <w:r>
              <w:rPr>
                <w:rFonts w:ascii="宋体" w:hAnsi="宋体" w:cs="宋体" w:eastAsia="宋体"/>
                <w:sz w:val="24"/>
              </w:rPr>
              <w:t>&lt;N≤46000 MPN/100 g</w:t>
            </w:r>
          </w:p>
          <w:p>
            <w:pPr>
              <w:pStyle w:val="null3"/>
              <w:jc w:val="center"/>
            </w:pPr>
            <w:r>
              <w:rPr>
                <w:rFonts w:ascii="宋体" w:hAnsi="宋体" w:cs="宋体" w:eastAsia="宋体"/>
                <w:sz w:val="24"/>
              </w:rPr>
              <w:t>（第三类生产区）</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vMerge/>
            <w:tcBorders>
              <w:top w:val="none" w:color="000000" w:sz="4"/>
              <w:left w:val="single" w:color="000000" w:sz="4"/>
              <w:bottom w:val="single" w:color="000000" w:sz="4"/>
              <w:right w:val="single" w:color="000000" w:sz="4"/>
            </w:tcBorders>
          </w:tcPr>
          <w:p/>
        </w:tc>
        <w:tc>
          <w:tcPr>
            <w:tcW w:type="dxa" w:w="1730"/>
            <w:gridSpan w:val="2"/>
            <w:vMerge/>
            <w:tcBorders>
              <w:top w:val="none" w:color="000000" w:sz="4"/>
              <w:left w:val="single" w:color="000000" w:sz="4"/>
              <w:bottom w:val="single" w:color="000000" w:sz="4"/>
              <w:right w:val="single" w:color="000000" w:sz="4"/>
            </w:tcBorders>
          </w:tcPr>
          <w:p/>
        </w:tc>
        <w:tc>
          <w:tcPr>
            <w:tcW w:type="dxa" w:w="1993"/>
            <w:vMerge/>
            <w:tcBorders>
              <w:top w:val="none" w:color="000000" w:sz="4"/>
              <w:left w:val="single" w:color="000000" w:sz="4"/>
              <w:bottom w:val="single" w:color="000000" w:sz="4"/>
              <w:right w:val="single" w:color="000000" w:sz="4"/>
            </w:tcBorders>
          </w:tcP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N&gt;46000 MPN/100 g</w:t>
            </w:r>
            <w:r>
              <w:rPr>
                <w:rFonts w:ascii="宋体" w:hAnsi="宋体" w:cs="宋体" w:eastAsia="宋体"/>
                <w:sz w:val="24"/>
              </w:rPr>
              <w:t>且长期无改善</w:t>
            </w:r>
          </w:p>
          <w:p>
            <w:pPr>
              <w:pStyle w:val="null3"/>
              <w:jc w:val="center"/>
            </w:pPr>
            <w:r>
              <w:rPr>
                <w:rFonts w:ascii="宋体" w:hAnsi="宋体" w:cs="宋体" w:eastAsia="宋体"/>
                <w:sz w:val="24"/>
              </w:rPr>
              <w:t>（禁止生产区）</w:t>
            </w:r>
          </w:p>
        </w:tc>
        <w:tc>
          <w:tcPr>
            <w:tcW w:type="dxa" w:w="747"/>
            <w:vMerge/>
            <w:tcBorders>
              <w:top w:val="none" w:color="000000" w:sz="4"/>
              <w:left w:val="single" w:color="000000" w:sz="4"/>
              <w:bottom w:val="single" w:color="000000" w:sz="4"/>
              <w:right w:val="single" w:color="000000" w:sz="4"/>
            </w:tcBorders>
          </w:tcPr>
          <w:p/>
        </w:tc>
        <w:tc>
          <w:tcPr>
            <w:tcW w:type="dxa" w:w="1024"/>
            <w:vMerge/>
            <w:tcBorders>
              <w:top w:val="none" w:color="000000" w:sz="4"/>
              <w:left w:val="single" w:color="000000" w:sz="4"/>
              <w:bottom w:val="single" w:color="000000" w:sz="4"/>
              <w:right w:val="single" w:color="000000" w:sz="4"/>
            </w:tcBorders>
          </w:tcP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铅（以</w:t>
            </w:r>
            <w:r>
              <w:rPr>
                <w:rFonts w:ascii="宋体" w:hAnsi="宋体" w:cs="宋体" w:eastAsia="宋体"/>
                <w:sz w:val="24"/>
              </w:rPr>
              <w:t>Pb计）</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 5009.12-2023《食品安全国家标准 食品中铅的测定》</w:t>
            </w:r>
          </w:p>
          <w:p>
            <w:pPr>
              <w:pStyle w:val="null3"/>
              <w:jc w:val="center"/>
            </w:pPr>
            <w:r>
              <w:rPr>
                <w:rFonts w:ascii="宋体" w:hAnsi="宋体" w:cs="宋体" w:eastAsia="宋体"/>
                <w:sz w:val="24"/>
              </w:rPr>
              <w:t>HY/T 147.3-2013《海洋监测技术规程 第3部分：生物体》(6 铜、铅、锌、镉、铬、锰、镍、砷、铝、铁的同步测定——电感耦合等离子体质谱法）</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新鲜藻类（螺旋藻除外）：</w:t>
            </w:r>
            <w:r>
              <w:rPr>
                <w:rFonts w:ascii="宋体" w:hAnsi="宋体" w:cs="宋体" w:eastAsia="宋体"/>
                <w:sz w:val="24"/>
              </w:rPr>
              <w:t>0.5 mg/kg；</w:t>
            </w:r>
          </w:p>
          <w:p>
            <w:pPr>
              <w:pStyle w:val="null3"/>
              <w:jc w:val="center"/>
            </w:pPr>
            <w:r>
              <w:rPr>
                <w:rFonts w:ascii="宋体" w:hAnsi="宋体" w:cs="宋体" w:eastAsia="宋体"/>
                <w:sz w:val="24"/>
              </w:rPr>
              <w:t>螺旋藻：</w:t>
            </w:r>
            <w:r>
              <w:rPr>
                <w:rFonts w:ascii="宋体" w:hAnsi="宋体" w:cs="宋体" w:eastAsia="宋体"/>
                <w:sz w:val="24"/>
              </w:rPr>
              <w:t>2.0 mg/kg（干重计）；藻类制品（螺旋藻制品除外）：</w:t>
            </w:r>
          </w:p>
          <w:p>
            <w:pPr>
              <w:pStyle w:val="null3"/>
              <w:jc w:val="center"/>
            </w:pPr>
            <w:r>
              <w:rPr>
                <w:rFonts w:ascii="宋体" w:hAnsi="宋体" w:cs="宋体" w:eastAsia="宋体"/>
                <w:sz w:val="24"/>
              </w:rPr>
              <w:t>1.0 mg/kg；螺旋藻制品：2.0 mg/kg（干重计）；鲜、冻水产动物（鱼类、甲壳类、双壳贝类除外）：1.0 mg/kg（去除内脏）；鱼类、甲壳类：0.5 mg/kg；</w:t>
            </w:r>
          </w:p>
          <w:p>
            <w:pPr>
              <w:pStyle w:val="null3"/>
              <w:jc w:val="center"/>
            </w:pPr>
            <w:r>
              <w:rPr>
                <w:rFonts w:ascii="宋体" w:hAnsi="宋体" w:cs="宋体" w:eastAsia="宋体"/>
                <w:sz w:val="24"/>
              </w:rPr>
              <w:t>双壳贝类：</w:t>
            </w:r>
            <w:r>
              <w:rPr>
                <w:rFonts w:ascii="宋体" w:hAnsi="宋体" w:cs="宋体" w:eastAsia="宋体"/>
                <w:sz w:val="24"/>
              </w:rPr>
              <w:t>1.5 mg/kg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2762-2022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镉（以</w:t>
            </w:r>
            <w:r>
              <w:rPr>
                <w:rFonts w:ascii="宋体" w:hAnsi="宋体" w:cs="宋体" w:eastAsia="宋体"/>
                <w:sz w:val="24"/>
              </w:rPr>
              <w:t>Cd计）</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 5009.15-2023《食品安全国家标准食品中镉的测定》</w:t>
            </w:r>
          </w:p>
          <w:p>
            <w:pPr>
              <w:pStyle w:val="null3"/>
              <w:jc w:val="center"/>
            </w:pPr>
            <w:r>
              <w:rPr>
                <w:rFonts w:ascii="宋体" w:hAnsi="宋体" w:cs="宋体" w:eastAsia="宋体"/>
                <w:sz w:val="24"/>
              </w:rPr>
              <w:t>GB 5009.268-2016《食品安全国家标准食品中多元素的测定》</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鱼类：</w:t>
            </w:r>
            <w:r>
              <w:rPr>
                <w:rFonts w:ascii="宋体" w:hAnsi="宋体" w:cs="宋体" w:eastAsia="宋体"/>
                <w:sz w:val="24"/>
              </w:rPr>
              <w:t>0.1 mg/kg；</w:t>
            </w:r>
          </w:p>
          <w:p>
            <w:pPr>
              <w:pStyle w:val="null3"/>
              <w:jc w:val="center"/>
            </w:pPr>
            <w:r>
              <w:rPr>
                <w:rFonts w:ascii="宋体" w:hAnsi="宋体" w:cs="宋体" w:eastAsia="宋体"/>
                <w:sz w:val="24"/>
              </w:rPr>
              <w:t>甲壳类（海蟹、虾蛄除外）：</w:t>
            </w:r>
            <w:r>
              <w:rPr>
                <w:rFonts w:ascii="宋体" w:hAnsi="宋体" w:cs="宋体" w:eastAsia="宋体"/>
                <w:sz w:val="24"/>
              </w:rPr>
              <w:t>0.5 mg/kg；</w:t>
            </w:r>
          </w:p>
          <w:p>
            <w:pPr>
              <w:pStyle w:val="null3"/>
              <w:jc w:val="center"/>
            </w:pPr>
            <w:r>
              <w:rPr>
                <w:rFonts w:ascii="宋体" w:hAnsi="宋体" w:cs="宋体" w:eastAsia="宋体"/>
                <w:sz w:val="24"/>
              </w:rPr>
              <w:t>海蟹、虾蛄：</w:t>
            </w:r>
            <w:r>
              <w:rPr>
                <w:rFonts w:ascii="宋体" w:hAnsi="宋体" w:cs="宋体" w:eastAsia="宋体"/>
                <w:sz w:val="24"/>
              </w:rPr>
              <w:t>3.0 mg/kg；</w:t>
            </w:r>
          </w:p>
          <w:p>
            <w:pPr>
              <w:pStyle w:val="null3"/>
              <w:jc w:val="center"/>
            </w:pPr>
            <w:r>
              <w:rPr>
                <w:rFonts w:ascii="宋体" w:hAnsi="宋体" w:cs="宋体" w:eastAsia="宋体"/>
                <w:sz w:val="24"/>
              </w:rPr>
              <w:t>双壳贝类、腹足类、头足类、棘皮类：</w:t>
            </w:r>
            <w:r>
              <w:rPr>
                <w:rFonts w:ascii="宋体" w:hAnsi="宋体" w:cs="宋体" w:eastAsia="宋体"/>
                <w:sz w:val="24"/>
              </w:rPr>
              <w:t>2.0 mg/kg（去除内脏）</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2762-2022</w:t>
            </w:r>
          </w:p>
          <w:p>
            <w:pPr>
              <w:pStyle w:val="null3"/>
              <w:jc w:val="center"/>
            </w:pP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甲基汞（以</w:t>
            </w:r>
            <w:r>
              <w:rPr>
                <w:rFonts w:ascii="宋体" w:hAnsi="宋体" w:cs="宋体" w:eastAsia="宋体"/>
                <w:sz w:val="24"/>
              </w:rPr>
              <w:t>Hg计）</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 5009.17-2021《食品安全国家标准 食品中总汞及有机汞的测定》</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水产动物及其制品（肉食性鱼类及其制品除外）：</w:t>
            </w:r>
            <w:r>
              <w:rPr>
                <w:rFonts w:ascii="宋体" w:hAnsi="宋体" w:cs="宋体" w:eastAsia="宋体"/>
                <w:sz w:val="24"/>
              </w:rPr>
              <w:t>0.5 mg/kg；</w:t>
            </w:r>
          </w:p>
          <w:p>
            <w:pPr>
              <w:pStyle w:val="null3"/>
              <w:jc w:val="center"/>
            </w:pPr>
            <w:r>
              <w:rPr>
                <w:rFonts w:ascii="宋体" w:hAnsi="宋体" w:cs="宋体" w:eastAsia="宋体"/>
                <w:sz w:val="24"/>
              </w:rPr>
              <w:t>肉食性鱼类及其制品（金枪鱼、金目鲷、枪鱼、鲨鱼及以上鱼类的制品除外）：</w:t>
            </w:r>
            <w:r>
              <w:rPr>
                <w:rFonts w:ascii="宋体" w:hAnsi="宋体" w:cs="宋体" w:eastAsia="宋体"/>
                <w:sz w:val="24"/>
              </w:rPr>
              <w:t>1.0 mg/kg；</w:t>
            </w:r>
          </w:p>
          <w:p>
            <w:pPr>
              <w:pStyle w:val="null3"/>
              <w:jc w:val="center"/>
            </w:pPr>
            <w:r>
              <w:rPr>
                <w:rFonts w:ascii="宋体" w:hAnsi="宋体" w:cs="宋体" w:eastAsia="宋体"/>
                <w:sz w:val="24"/>
              </w:rPr>
              <w:t>金枪鱼及其制品：</w:t>
            </w:r>
            <w:r>
              <w:rPr>
                <w:rFonts w:ascii="宋体" w:hAnsi="宋体" w:cs="宋体" w:eastAsia="宋体"/>
                <w:sz w:val="24"/>
              </w:rPr>
              <w:t>1.2 mg/kg；金目鲷及其制品：1.5 mg/kg；</w:t>
            </w:r>
          </w:p>
          <w:p>
            <w:pPr>
              <w:pStyle w:val="null3"/>
              <w:jc w:val="center"/>
            </w:pPr>
            <w:r>
              <w:rPr>
                <w:rFonts w:ascii="宋体" w:hAnsi="宋体" w:cs="宋体" w:eastAsia="宋体"/>
                <w:sz w:val="24"/>
              </w:rPr>
              <w:t>枪鱼及其制品：</w:t>
            </w:r>
            <w:r>
              <w:rPr>
                <w:rFonts w:ascii="宋体" w:hAnsi="宋体" w:cs="宋体" w:eastAsia="宋体"/>
                <w:sz w:val="24"/>
              </w:rPr>
              <w:t>1.7 mg/kg；鲨鱼及其制品：1.6 mg/kg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2762-2022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无机砷（以</w:t>
            </w:r>
            <w:r>
              <w:rPr>
                <w:rFonts w:ascii="宋体" w:hAnsi="宋体" w:cs="宋体" w:eastAsia="宋体"/>
                <w:sz w:val="24"/>
              </w:rPr>
              <w:t>As计）</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 5009.11-2014《食品安全国家标准 食品中总砷及无机砷的测定》</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水产动物及其制品（鱼类及其制品除外）：</w:t>
            </w:r>
            <w:r>
              <w:rPr>
                <w:rFonts w:ascii="宋体" w:hAnsi="宋体" w:cs="宋体" w:eastAsia="宋体"/>
                <w:sz w:val="24"/>
              </w:rPr>
              <w:t>0.5 mg/kg；鱼类及其制品：0.1 mg/kg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w:t>
            </w:r>
          </w:p>
          <w:p>
            <w:pPr>
              <w:pStyle w:val="null3"/>
              <w:jc w:val="center"/>
            </w:pPr>
            <w:r>
              <w:rPr>
                <w:rFonts w:ascii="宋体" w:hAnsi="宋体" w:cs="宋体" w:eastAsia="宋体"/>
                <w:sz w:val="24"/>
              </w:rPr>
              <w:t>2762-2022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17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石油烃</w:t>
            </w:r>
          </w:p>
        </w:tc>
        <w:tc>
          <w:tcPr>
            <w:tcW w:type="dxa" w:w="1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GB 17378.6-2007《海洋监测规范 第6部分：生物体分析》</w:t>
            </w:r>
          </w:p>
        </w:tc>
        <w:tc>
          <w:tcPr>
            <w:tcW w:type="dxa" w:w="2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 mg/kg</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mg/kg</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NY</w:t>
            </w:r>
          </w:p>
          <w:p>
            <w:pPr>
              <w:pStyle w:val="null3"/>
              <w:jc w:val="center"/>
            </w:pPr>
            <w:r>
              <w:rPr>
                <w:rFonts w:ascii="宋体" w:hAnsi="宋体" w:cs="宋体" w:eastAsia="宋体"/>
                <w:sz w:val="24"/>
              </w:rPr>
              <w:t>5073-2006</w:t>
            </w:r>
          </w:p>
        </w:tc>
      </w:tr>
      <w:tr>
        <w:tc>
          <w:tcPr>
            <w:tcW w:type="dxa" w:w="20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c>
          <w:tcPr>
            <w:tcW w:type="dxa" w:w="6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quot;times new roman&quot;" w:hAnsi="&quot;times new roman&quot;" w:cs="&quot;times new roman&quot;" w:eastAsia="&quot;times new roman&quot;"/>
                <w:sz w:val="21"/>
              </w:rPr>
              <w:t>1.</w:t>
            </w:r>
            <w:r>
              <w:rPr>
                <w:rFonts w:ascii="宋体" w:hAnsi="宋体" w:cs="宋体" w:eastAsia="宋体"/>
                <w:sz w:val="21"/>
              </w:rPr>
              <w:t>各检测项目除采用上述所列检测方法外，如有其他国家标准、行业标准以及部文公告的检测方法，且其最低检出限能满足限量值要求时，在检测中可以采用。</w:t>
            </w:r>
          </w:p>
          <w:p>
            <w:pPr>
              <w:pStyle w:val="null3"/>
              <w:jc w:val="both"/>
            </w:pPr>
            <w:r>
              <w:rPr>
                <w:rFonts w:ascii="&quot;times new roman&quot;" w:hAnsi="&quot;times new roman&quot;" w:cs="&quot;times new roman&quot;" w:eastAsia="&quot;times new roman&quot;"/>
                <w:sz w:val="21"/>
              </w:rPr>
              <w:t>2.</w:t>
            </w:r>
            <w:r>
              <w:rPr>
                <w:rFonts w:ascii="宋体" w:hAnsi="宋体" w:cs="宋体" w:eastAsia="宋体"/>
                <w:sz w:val="21"/>
              </w:rPr>
              <w:t>监督抽查所有检测项目均须通过资质认定</w:t>
            </w:r>
            <w:r>
              <w:rPr>
                <w:rFonts w:ascii="宋体" w:hAnsi="宋体" w:cs="宋体" w:eastAsia="宋体"/>
                <w:sz w:val="21"/>
              </w:rPr>
              <w:t>。风险监测中</w:t>
            </w:r>
            <w:r>
              <w:rPr>
                <w:rFonts w:ascii="宋体" w:hAnsi="宋体" w:cs="宋体" w:eastAsia="宋体"/>
                <w:sz w:val="21"/>
              </w:rPr>
              <w:t>硝基咪唑类、菊酯类</w:t>
            </w:r>
            <w:r>
              <w:rPr>
                <w:rFonts w:ascii="宋体" w:hAnsi="宋体" w:cs="宋体" w:eastAsia="宋体"/>
                <w:sz w:val="21"/>
              </w:rPr>
              <w:t>等项目可不通过</w:t>
            </w:r>
            <w:r>
              <w:rPr>
                <w:rFonts w:ascii="宋体" w:hAnsi="宋体" w:cs="宋体" w:eastAsia="宋体"/>
                <w:sz w:val="21"/>
              </w:rPr>
              <w:t>资质认定</w:t>
            </w:r>
            <w:r>
              <w:rPr>
                <w:rFonts w:ascii="宋体" w:hAnsi="宋体" w:cs="宋体" w:eastAsia="宋体"/>
                <w:sz w:val="21"/>
              </w:rPr>
              <w:t>，检测结果</w:t>
            </w:r>
            <w:r>
              <w:rPr>
                <w:rFonts w:ascii="宋体" w:hAnsi="宋体" w:cs="宋体" w:eastAsia="宋体"/>
                <w:sz w:val="21"/>
              </w:rPr>
              <w:t>仅供</w:t>
            </w:r>
            <w:r>
              <w:rPr>
                <w:rFonts w:ascii="宋体" w:hAnsi="宋体" w:cs="宋体" w:eastAsia="宋体"/>
                <w:sz w:val="21"/>
              </w:rPr>
              <w:t>参考。</w:t>
            </w:r>
          </w:p>
          <w:p>
            <w:pPr>
              <w:pStyle w:val="null3"/>
              <w:jc w:val="both"/>
            </w:pPr>
            <w:r>
              <w:rPr>
                <w:rFonts w:ascii="&quot;times new roman&quot;" w:hAnsi="&quot;times new roman&quot;" w:cs="&quot;times new roman&quot;" w:eastAsia="&quot;times new roman&quot;"/>
                <w:sz w:val="21"/>
              </w:rPr>
              <w:t>3.</w:t>
            </w:r>
            <w:r>
              <w:rPr>
                <w:rFonts w:ascii="宋体" w:hAnsi="宋体" w:cs="宋体" w:eastAsia="宋体"/>
                <w:sz w:val="21"/>
              </w:rPr>
              <w:t>进行甲基汞</w:t>
            </w:r>
            <w:r>
              <w:rPr>
                <w:rFonts w:ascii="宋体" w:hAnsi="宋体" w:cs="宋体" w:eastAsia="宋体"/>
                <w:sz w:val="21"/>
              </w:rPr>
              <w:t>项目</w:t>
            </w:r>
            <w:r>
              <w:rPr>
                <w:rFonts w:ascii="宋体" w:hAnsi="宋体" w:cs="宋体" w:eastAsia="宋体"/>
                <w:sz w:val="21"/>
              </w:rPr>
              <w:t>检测时，</w:t>
            </w:r>
            <w:r>
              <w:rPr>
                <w:rFonts w:ascii="宋体" w:hAnsi="宋体" w:cs="宋体" w:eastAsia="宋体"/>
                <w:sz w:val="21"/>
              </w:rPr>
              <w:t>可</w:t>
            </w:r>
            <w:r>
              <w:rPr>
                <w:rFonts w:ascii="宋体" w:hAnsi="宋体" w:cs="宋体" w:eastAsia="宋体"/>
                <w:sz w:val="21"/>
              </w:rPr>
              <w:t>先测定总汞，当总汞</w:t>
            </w:r>
            <w:r>
              <w:rPr>
                <w:rFonts w:ascii="宋体" w:hAnsi="宋体" w:cs="宋体" w:eastAsia="宋体"/>
                <w:sz w:val="21"/>
              </w:rPr>
              <w:t>含量</w:t>
            </w:r>
            <w:r>
              <w:rPr>
                <w:rFonts w:ascii="宋体" w:hAnsi="宋体" w:cs="宋体" w:eastAsia="宋体"/>
                <w:sz w:val="21"/>
              </w:rPr>
              <w:t>不超过甲基汞限量值时，</w:t>
            </w:r>
            <w:r>
              <w:rPr>
                <w:rFonts w:ascii="宋体" w:hAnsi="宋体" w:cs="宋体" w:eastAsia="宋体"/>
                <w:sz w:val="21"/>
              </w:rPr>
              <w:t>可判定符合限量要求而</w:t>
            </w:r>
            <w:r>
              <w:rPr>
                <w:rFonts w:ascii="宋体" w:hAnsi="宋体" w:cs="宋体" w:eastAsia="宋体"/>
                <w:sz w:val="21"/>
              </w:rPr>
              <w:t>不必测定甲基汞；否则，需测定甲基汞</w:t>
            </w:r>
            <w:r>
              <w:rPr>
                <w:rFonts w:ascii="宋体" w:hAnsi="宋体" w:cs="宋体" w:eastAsia="宋体"/>
                <w:sz w:val="21"/>
              </w:rPr>
              <w:t>含量再作判定</w:t>
            </w:r>
            <w:r>
              <w:rPr>
                <w:rFonts w:ascii="宋体" w:hAnsi="宋体" w:cs="宋体" w:eastAsia="宋体"/>
                <w:sz w:val="21"/>
              </w:rPr>
              <w:t>。</w:t>
            </w:r>
          </w:p>
          <w:p>
            <w:pPr>
              <w:pStyle w:val="null3"/>
              <w:jc w:val="both"/>
            </w:pPr>
            <w:r>
              <w:rPr>
                <w:rFonts w:ascii="&quot;times new roman&quot;" w:hAnsi="&quot;times new roman&quot;" w:cs="&quot;times new roman&quot;" w:eastAsia="&quot;times new roman&quot;"/>
                <w:sz w:val="21"/>
              </w:rPr>
              <w:t>4.</w:t>
            </w:r>
            <w:r>
              <w:rPr>
                <w:rFonts w:ascii="宋体" w:hAnsi="宋体" w:cs="宋体" w:eastAsia="宋体"/>
                <w:sz w:val="21"/>
              </w:rPr>
              <w:t>判定依据：</w:t>
            </w:r>
          </w:p>
          <w:p>
            <w:pPr>
              <w:pStyle w:val="null3"/>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quot;times new roman&quot;" w:hAnsi="&quot;times new roman&quot;" w:cs="&quot;times new roman&quot;" w:eastAsia="&quot;times new roman&quot;"/>
                <w:sz w:val="21"/>
              </w:rPr>
              <w:t>GB 31650-2019</w:t>
            </w:r>
            <w:r>
              <w:rPr>
                <w:rFonts w:ascii="宋体" w:hAnsi="宋体" w:cs="宋体" w:eastAsia="宋体"/>
                <w:sz w:val="21"/>
              </w:rPr>
              <w:t>《食品安全国家标准 食品中兽药最大残留限量》</w:t>
            </w:r>
          </w:p>
          <w:p>
            <w:pPr>
              <w:pStyle w:val="null3"/>
              <w:jc w:val="left"/>
            </w:pPr>
            <w:r>
              <w:rPr>
                <w:rFonts w:ascii="宋体" w:hAnsi="宋体" w:cs="宋体" w:eastAsia="宋体"/>
                <w:sz w:val="21"/>
              </w:rPr>
              <w:t>（</w:t>
            </w:r>
            <w:r>
              <w:rPr>
                <w:rFonts w:ascii="&quot;times new roman&quot;" w:hAnsi="&quot;times new roman&quot;" w:cs="&quot;times new roman&quot;" w:eastAsia="&quot;times new roman&quot;"/>
                <w:sz w:val="21"/>
              </w:rPr>
              <w:t>2</w:t>
            </w:r>
            <w:r>
              <w:rPr>
                <w:rFonts w:ascii="宋体" w:hAnsi="宋体" w:cs="宋体" w:eastAsia="宋体"/>
                <w:sz w:val="21"/>
              </w:rPr>
              <w:t>）</w:t>
            </w:r>
            <w:r>
              <w:rPr>
                <w:rFonts w:ascii="&quot;times new roman&quot;" w:hAnsi="&quot;times new roman&quot;" w:cs="&quot;times new roman&quot;" w:eastAsia="&quot;times new roman&quot;"/>
                <w:sz w:val="21"/>
              </w:rPr>
              <w:t>GB 31650</w:t>
            </w:r>
            <w:r>
              <w:rPr>
                <w:rFonts w:ascii="times new roman, times, serif" w:hAnsi="times new roman, times, serif" w:cs="times new roman, times, serif" w:eastAsia="times new roman, times, serif"/>
                <w:sz w:val="21"/>
              </w:rPr>
              <w:t>.1</w:t>
            </w:r>
            <w:r>
              <w:rPr>
                <w:rFonts w:ascii="&quot;times new roman&quot;" w:hAnsi="&quot;times new roman&quot;" w:cs="&quot;times new roman&quot;" w:eastAsia="&quot;times new roman&quot;"/>
                <w:sz w:val="21"/>
              </w:rPr>
              <w:t>-20</w:t>
            </w:r>
            <w:r>
              <w:rPr>
                <w:rFonts w:ascii="times new roman, times, serif" w:hAnsi="times new roman, times, serif" w:cs="times new roman, times, serif" w:eastAsia="times new roman, times, serif"/>
                <w:sz w:val="21"/>
              </w:rPr>
              <w:t>22</w:t>
            </w:r>
            <w:r>
              <w:rPr>
                <w:rFonts w:ascii="宋体" w:hAnsi="宋体" w:cs="宋体" w:eastAsia="宋体"/>
                <w:sz w:val="21"/>
              </w:rPr>
              <w:t>《</w:t>
            </w:r>
            <w:r>
              <w:rPr>
                <w:rFonts w:ascii="宋体" w:hAnsi="宋体" w:cs="宋体" w:eastAsia="宋体"/>
                <w:sz w:val="21"/>
              </w:rPr>
              <w:t>食品安全国家标准</w:t>
            </w:r>
            <w:r>
              <w:rPr>
                <w:rFonts w:ascii="宋体" w:hAnsi="宋体" w:cs="宋体" w:eastAsia="宋体"/>
                <w:sz w:val="21"/>
              </w:rPr>
              <w:t>食品中</w:t>
            </w:r>
            <w:r>
              <w:rPr>
                <w:rFonts w:ascii="times new roman, times, serif" w:hAnsi="times new roman, times, serif" w:cs="times new roman, times, serif" w:eastAsia="times new roman, times, serif"/>
                <w:sz w:val="21"/>
              </w:rPr>
              <w:t>41</w:t>
            </w:r>
            <w:r>
              <w:rPr>
                <w:rFonts w:ascii="宋体" w:hAnsi="宋体" w:cs="宋体" w:eastAsia="宋体"/>
                <w:sz w:val="21"/>
              </w:rPr>
              <w:t>种</w:t>
            </w:r>
            <w:r>
              <w:rPr>
                <w:rFonts w:ascii="宋体" w:hAnsi="宋体" w:cs="宋体" w:eastAsia="宋体"/>
                <w:sz w:val="21"/>
              </w:rPr>
              <w:t>兽药最大残留限量</w:t>
            </w:r>
            <w:r>
              <w:rPr>
                <w:rFonts w:ascii="宋体" w:hAnsi="宋体" w:cs="宋体" w:eastAsia="宋体"/>
                <w:sz w:val="21"/>
              </w:rPr>
              <w:t>》</w:t>
            </w:r>
          </w:p>
          <w:p>
            <w:pPr>
              <w:pStyle w:val="null3"/>
              <w:jc w:val="left"/>
            </w:pPr>
            <w:r>
              <w:rPr>
                <w:rFonts w:ascii="宋体" w:hAnsi="宋体" w:cs="宋体" w:eastAsia="宋体"/>
                <w:sz w:val="21"/>
              </w:rPr>
              <w:t>（</w:t>
            </w:r>
            <w:r>
              <w:rPr>
                <w:rFonts w:ascii="&quot;times new roman&quot;" w:hAnsi="&quot;times new roman&quot;" w:cs="&quot;times new roman&quot;" w:eastAsia="&quot;times new roman&quot;"/>
                <w:sz w:val="21"/>
              </w:rPr>
              <w:t>3</w:t>
            </w:r>
            <w:r>
              <w:rPr>
                <w:rFonts w:ascii="宋体" w:hAnsi="宋体" w:cs="宋体" w:eastAsia="宋体"/>
                <w:sz w:val="21"/>
              </w:rPr>
              <w:t>）</w:t>
            </w:r>
            <w:r>
              <w:rPr>
                <w:rFonts w:ascii="&quot;times new roman&quot;" w:hAnsi="&quot;times new roman&quot;" w:cs="&quot;times new roman&quot;" w:eastAsia="&quot;times new roman&quot;"/>
                <w:sz w:val="21"/>
              </w:rPr>
              <w:t>GB 2762-20</w:t>
            </w:r>
            <w:r>
              <w:rPr>
                <w:rFonts w:ascii="times new roman, times, serif" w:hAnsi="times new roman, times, serif" w:cs="times new roman, times, serif" w:eastAsia="times new roman, times, serif"/>
                <w:sz w:val="21"/>
              </w:rPr>
              <w:t>22</w:t>
            </w:r>
            <w:r>
              <w:rPr>
                <w:rFonts w:ascii="宋体" w:hAnsi="宋体" w:cs="宋体" w:eastAsia="宋体"/>
                <w:sz w:val="21"/>
              </w:rPr>
              <w:t>《食品安全国家标准</w:t>
            </w:r>
            <w:r>
              <w:rPr>
                <w:rFonts w:ascii="宋体" w:hAnsi="宋体" w:cs="宋体" w:eastAsia="宋体"/>
                <w:sz w:val="21"/>
              </w:rPr>
              <w:t>食品中污染物限量》</w:t>
            </w:r>
          </w:p>
          <w:p>
            <w:pPr>
              <w:pStyle w:val="null3"/>
              <w:jc w:val="left"/>
            </w:pPr>
            <w:r>
              <w:rPr>
                <w:rFonts w:ascii="宋体" w:hAnsi="宋体" w:cs="宋体" w:eastAsia="宋体"/>
                <w:sz w:val="21"/>
              </w:rPr>
              <w:t>（</w:t>
            </w:r>
            <w:r>
              <w:rPr>
                <w:rFonts w:ascii="&quot;times new roman&quot;" w:hAnsi="&quot;times new roman&quot;" w:cs="&quot;times new roman&quot;" w:eastAsia="&quot;times new roman&quot;"/>
                <w:sz w:val="21"/>
              </w:rPr>
              <w:t>4</w:t>
            </w:r>
            <w:r>
              <w:rPr>
                <w:rFonts w:ascii="宋体" w:hAnsi="宋体" w:cs="宋体" w:eastAsia="宋体"/>
                <w:sz w:val="21"/>
              </w:rPr>
              <w:t>）</w:t>
            </w:r>
            <w:r>
              <w:rPr>
                <w:rFonts w:ascii="&quot;times new roman&quot;" w:hAnsi="&quot;times new roman&quot;" w:cs="&quot;times new roman&quot;" w:eastAsia="&quot;times new roman&quot;"/>
                <w:sz w:val="21"/>
              </w:rPr>
              <w:t>GB</w:t>
            </w:r>
            <w:r>
              <w:rPr>
                <w:rFonts w:ascii="&quot;times new roman&quot;" w:hAnsi="&quot;times new roman&quot;" w:cs="&quot;times new roman&quot;" w:eastAsia="&quot;times new roman&quot;"/>
                <w:sz w:val="21"/>
              </w:rPr>
              <w:t xml:space="preserve"> </w:t>
            </w:r>
            <w:r>
              <w:rPr>
                <w:rFonts w:ascii="&quot;times new roman&quot;" w:hAnsi="&quot;times new roman&quot;" w:cs="&quot;times new roman&quot;" w:eastAsia="&quot;times new roman&quot;"/>
                <w:sz w:val="21"/>
              </w:rPr>
              <w:t>2733-2015</w:t>
            </w:r>
            <w:r>
              <w:rPr>
                <w:rFonts w:ascii="宋体" w:hAnsi="宋体" w:cs="宋体" w:eastAsia="宋体"/>
                <w:sz w:val="21"/>
              </w:rPr>
              <w:t>《食品安全国家标准 鲜、冻动物性水产品》</w:t>
            </w:r>
          </w:p>
          <w:p>
            <w:pPr>
              <w:pStyle w:val="null3"/>
              <w:jc w:val="left"/>
            </w:pPr>
            <w:r>
              <w:rPr>
                <w:rFonts w:ascii="宋体" w:hAnsi="宋体" w:cs="宋体" w:eastAsia="宋体"/>
                <w:sz w:val="21"/>
              </w:rPr>
              <w:t>（</w:t>
            </w:r>
            <w:r>
              <w:rPr>
                <w:rFonts w:ascii="&quot;times new roman&quot;" w:hAnsi="&quot;times new roman&quot;" w:cs="&quot;times new roman&quot;" w:eastAsia="&quot;times new roman&quot;"/>
                <w:sz w:val="21"/>
              </w:rPr>
              <w:t>5</w:t>
            </w:r>
            <w:r>
              <w:rPr>
                <w:rFonts w:ascii="宋体" w:hAnsi="宋体" w:cs="宋体" w:eastAsia="宋体"/>
                <w:sz w:val="21"/>
              </w:rPr>
              <w:t>）</w:t>
            </w:r>
            <w:r>
              <w:rPr>
                <w:rFonts w:ascii="&quot;times new roman&quot;" w:hAnsi="&quot;times new roman&quot;" w:cs="&quot;times new roman&quot;" w:eastAsia="&quot;times new roman&quot;"/>
                <w:sz w:val="21"/>
              </w:rPr>
              <w:t>SC/T 3124-2019</w:t>
            </w:r>
            <w:r>
              <w:rPr>
                <w:rFonts w:ascii="宋体" w:hAnsi="宋体" w:cs="宋体" w:eastAsia="宋体"/>
                <w:sz w:val="21"/>
              </w:rPr>
              <w:t>《鲜、冻养殖河豚鱼》</w:t>
            </w:r>
          </w:p>
          <w:p>
            <w:pPr>
              <w:pStyle w:val="null3"/>
              <w:jc w:val="left"/>
            </w:pPr>
            <w:r>
              <w:rPr>
                <w:rFonts w:ascii="宋体" w:hAnsi="宋体" w:cs="宋体" w:eastAsia="宋体"/>
                <w:sz w:val="21"/>
              </w:rPr>
              <w:t>（</w:t>
            </w:r>
            <w:r>
              <w:rPr>
                <w:rFonts w:ascii="&quot;times new roman&quot;" w:hAnsi="&quot;times new roman&quot;" w:cs="&quot;times new roman&quot;" w:eastAsia="&quot;times new roman&quot;"/>
                <w:sz w:val="21"/>
              </w:rPr>
              <w:t>6</w:t>
            </w:r>
            <w:r>
              <w:rPr>
                <w:rFonts w:ascii="宋体" w:hAnsi="宋体" w:cs="宋体" w:eastAsia="宋体"/>
                <w:sz w:val="21"/>
              </w:rPr>
              <w:t>）</w:t>
            </w:r>
            <w:r>
              <w:rPr>
                <w:rFonts w:ascii="&quot;times new roman&quot;" w:hAnsi="&quot;times new roman&quot;" w:cs="&quot;times new roman&quot;" w:eastAsia="&quot;times new roman&quot;"/>
                <w:sz w:val="21"/>
              </w:rPr>
              <w:t>NY 5073-2006</w:t>
            </w:r>
            <w:r>
              <w:rPr>
                <w:rFonts w:ascii="宋体" w:hAnsi="宋体" w:cs="宋体" w:eastAsia="宋体"/>
                <w:sz w:val="21"/>
              </w:rPr>
              <w:t>《无公害食品 水产品中有毒有害物质限量》</w:t>
            </w:r>
          </w:p>
          <w:p>
            <w:pPr>
              <w:pStyle w:val="null3"/>
              <w:ind w:left="240"/>
              <w:jc w:val="left"/>
            </w:pPr>
            <w:r>
              <w:rPr>
                <w:rFonts w:ascii="宋体" w:hAnsi="宋体" w:cs="宋体" w:eastAsia="宋体"/>
                <w:sz w:val="21"/>
              </w:rPr>
              <w:t>（</w:t>
            </w:r>
            <w:r>
              <w:rPr>
                <w:rFonts w:ascii="&quot;times new roman&quot;" w:hAnsi="&quot;times new roman&quot;" w:cs="&quot;times new roman&quot;" w:eastAsia="&quot;times new roman&quot;"/>
                <w:sz w:val="21"/>
              </w:rPr>
              <w:t>7</w:t>
            </w:r>
            <w:r>
              <w:rPr>
                <w:rFonts w:ascii="宋体" w:hAnsi="宋体" w:cs="宋体" w:eastAsia="宋体"/>
                <w:sz w:val="21"/>
              </w:rPr>
              <w:t>）</w:t>
            </w:r>
            <w:r>
              <w:rPr>
                <w:rFonts w:ascii="宋体" w:hAnsi="宋体" w:cs="宋体" w:eastAsia="宋体"/>
                <w:sz w:val="21"/>
              </w:rPr>
              <w:t>农渔发〔</w:t>
            </w:r>
            <w:r>
              <w:rPr>
                <w:rFonts w:ascii="&quot;times new roman&quot;" w:hAnsi="&quot;times new roman&quot;" w:cs="&quot;times new roman&quot;" w:eastAsia="&quot;times new roman&quot;"/>
                <w:sz w:val="21"/>
              </w:rPr>
              <w:t>2023</w:t>
            </w: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号</w:t>
            </w:r>
            <w:r>
              <w:rPr>
                <w:rFonts w:ascii="宋体" w:hAnsi="宋体" w:cs="宋体" w:eastAsia="宋体"/>
                <w:sz w:val="21"/>
              </w:rPr>
              <w:t>农业农村部关于印发《</w:t>
            </w:r>
            <w:r>
              <w:rPr>
                <w:rFonts w:ascii="times new roman, times, serif" w:hAnsi="times new roman, times, serif" w:cs="times new roman, times, serif" w:eastAsia="times new roman, times, serif"/>
                <w:sz w:val="21"/>
              </w:rPr>
              <w:t>2023</w:t>
            </w:r>
            <w:r>
              <w:rPr>
                <w:rFonts w:ascii="宋体" w:hAnsi="宋体" w:cs="宋体" w:eastAsia="宋体"/>
                <w:sz w:val="21"/>
              </w:rPr>
              <w:t>年国家产地水产品兽药残留监控计划》和《</w:t>
            </w:r>
            <w:r>
              <w:rPr>
                <w:rFonts w:ascii="times new roman, times, serif" w:hAnsi="times new roman, times, serif" w:cs="times new roman, times, serif" w:eastAsia="times new roman, times, serif"/>
                <w:sz w:val="21"/>
              </w:rPr>
              <w:t>2023</w:t>
            </w:r>
            <w:r>
              <w:rPr>
                <w:rFonts w:ascii="宋体" w:hAnsi="宋体" w:cs="宋体" w:eastAsia="宋体"/>
                <w:sz w:val="21"/>
              </w:rPr>
              <w:t>年国家水生动物疫病监测计划》的通知</w:t>
            </w:r>
          </w:p>
          <w:p>
            <w:pPr>
              <w:pStyle w:val="null3"/>
              <w:jc w:val="left"/>
            </w:pPr>
            <w:r>
              <w:rPr>
                <w:rFonts w:ascii="宋体" w:hAnsi="宋体" w:cs="宋体" w:eastAsia="宋体"/>
                <w:sz w:val="21"/>
              </w:rPr>
              <w:t>（</w:t>
            </w:r>
            <w:r>
              <w:rPr>
                <w:rFonts w:ascii="&quot;times new roman&quot;" w:hAnsi="&quot;times new roman&quot;" w:cs="&quot;times new roman&quot;" w:eastAsia="&quot;times new roman&quot;"/>
                <w:sz w:val="21"/>
              </w:rPr>
              <w:t>8</w:t>
            </w:r>
            <w:r>
              <w:rPr>
                <w:rFonts w:ascii="宋体" w:hAnsi="宋体" w:cs="宋体" w:eastAsia="宋体"/>
                <w:sz w:val="21"/>
              </w:rPr>
              <w:t>）</w:t>
            </w:r>
            <w:r>
              <w:rPr>
                <w:rFonts w:ascii="宋体" w:hAnsi="宋体" w:cs="宋体" w:eastAsia="宋体"/>
                <w:sz w:val="21"/>
              </w:rPr>
              <w:t>水产养殖用药明白纸</w:t>
            </w:r>
            <w:r>
              <w:rPr>
                <w:rFonts w:ascii="&quot;times new roman&quot;" w:hAnsi="&quot;times new roman&quot;" w:cs="&quot;times new roman&quot;" w:eastAsia="&quot;times new roman&quot;"/>
                <w:sz w:val="21"/>
              </w:rPr>
              <w:t>202</w:t>
            </w:r>
            <w:r>
              <w:rPr>
                <w:rFonts w:ascii="times new roman, times, serif" w:hAnsi="times new roman, times, serif" w:cs="times new roman, times, serif" w:eastAsia="times new roman, times, serif"/>
                <w:sz w:val="21"/>
              </w:rPr>
              <w:t>2</w:t>
            </w:r>
            <w:r>
              <w:rPr>
                <w:rFonts w:ascii="宋体" w:hAnsi="宋体" w:cs="宋体" w:eastAsia="宋体"/>
                <w:sz w:val="21"/>
              </w:rPr>
              <w:t>年</w:t>
            </w:r>
            <w:r>
              <w:rPr>
                <w:rFonts w:ascii="&quot;times new roman&quot;" w:hAnsi="&quot;times new roman&quot;" w:cs="&quot;times new roman&quot;" w:eastAsia="&quot;times new roman&quot;"/>
                <w:sz w:val="21"/>
              </w:rPr>
              <w:t>1</w:t>
            </w:r>
            <w:r>
              <w:rPr>
                <w:rFonts w:ascii="宋体" w:hAnsi="宋体" w:cs="宋体" w:eastAsia="宋体"/>
                <w:sz w:val="21"/>
              </w:rPr>
              <w:t>号</w:t>
            </w:r>
          </w:p>
        </w:tc>
      </w:tr>
    </w:tbl>
    <w:p>
      <w:pPr>
        <w:pStyle w:val="null3"/>
        <w:spacing w:after="150"/>
        <w:jc w:val="left"/>
      </w:pPr>
      <w:r>
        <w:rPr>
          <w:rFonts w:ascii="宋体" w:hAnsi="宋体" w:cs="宋体" w:eastAsia="宋体"/>
          <w:sz w:val="24"/>
          <w:b/>
        </w:rPr>
        <w:t>（二）相关技术要求</w:t>
      </w:r>
    </w:p>
    <w:p>
      <w:pPr>
        <w:pStyle w:val="null3"/>
        <w:spacing w:after="150"/>
        <w:ind w:firstLine="420"/>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检测资质</w:t>
      </w:r>
    </w:p>
    <w:p>
      <w:pPr>
        <w:pStyle w:val="null3"/>
        <w:spacing w:after="150"/>
        <w:ind w:firstLine="420"/>
        <w:jc w:val="left"/>
      </w:pPr>
      <w:r>
        <w:rPr>
          <w:rFonts w:ascii="宋体" w:hAnsi="宋体" w:cs="宋体" w:eastAsia="宋体"/>
          <w:sz w:val="24"/>
        </w:rPr>
        <w:t>成交供应商应</w:t>
      </w:r>
      <w:r>
        <w:rPr>
          <w:rFonts w:ascii="宋体" w:hAnsi="宋体" w:cs="宋体" w:eastAsia="宋体"/>
          <w:sz w:val="24"/>
        </w:rPr>
        <w:t>通过实验室资质认定，</w:t>
      </w:r>
      <w:r>
        <w:rPr>
          <w:rFonts w:ascii="宋体" w:hAnsi="宋体" w:cs="宋体" w:eastAsia="宋体"/>
          <w:sz w:val="24"/>
        </w:rPr>
        <w:t>具有有效的</w:t>
      </w:r>
      <w:r>
        <w:rPr>
          <w:rFonts w:ascii="宋体" w:hAnsi="宋体" w:cs="宋体" w:eastAsia="宋体"/>
          <w:sz w:val="24"/>
        </w:rPr>
        <w:t>CMA证书</w:t>
      </w:r>
      <w:r>
        <w:rPr>
          <w:rFonts w:ascii="宋体" w:hAnsi="宋体" w:cs="宋体" w:eastAsia="宋体"/>
          <w:sz w:val="24"/>
        </w:rPr>
        <w:t>（</w:t>
      </w:r>
      <w:r>
        <w:rPr>
          <w:rFonts w:ascii="宋体" w:hAnsi="宋体" w:cs="宋体" w:eastAsia="宋体"/>
          <w:sz w:val="24"/>
        </w:rPr>
        <w:t>需要提供监督抽查和风险监测检测项目自查表，</w:t>
      </w:r>
      <w:r>
        <w:rPr>
          <w:rFonts w:ascii="times new roman, times, serif" w:hAnsi="times new roman, times, serif" w:cs="times new roman, times, serif" w:eastAsia="times new roman, times, serif"/>
          <w:sz w:val="24"/>
        </w:rPr>
        <w:t>CMA</w:t>
      </w:r>
      <w:r>
        <w:rPr>
          <w:rFonts w:ascii="宋体" w:hAnsi="宋体" w:cs="宋体" w:eastAsia="宋体"/>
          <w:sz w:val="24"/>
        </w:rPr>
        <w:t>证书及相关的检测能力证明材料</w:t>
      </w:r>
      <w:r>
        <w:rPr>
          <w:rFonts w:ascii="宋体" w:hAnsi="宋体" w:cs="宋体" w:eastAsia="宋体"/>
          <w:sz w:val="24"/>
        </w:rPr>
        <w:t>）</w:t>
      </w:r>
      <w:r>
        <w:rPr>
          <w:rFonts w:ascii="宋体" w:hAnsi="宋体" w:cs="宋体" w:eastAsia="宋体"/>
          <w:sz w:val="24"/>
        </w:rPr>
        <w:t>，</w:t>
      </w:r>
      <w:r>
        <w:rPr>
          <w:rFonts w:ascii="宋体" w:hAnsi="宋体" w:cs="宋体" w:eastAsia="宋体"/>
          <w:sz w:val="24"/>
        </w:rPr>
        <w:t>且检测能力覆盖所承担监督抽查任务的所有检测项目，不得再进行任务委托分包；风险监测任务</w:t>
      </w:r>
      <w:r>
        <w:rPr>
          <w:rFonts w:ascii="宋体" w:hAnsi="宋体" w:cs="宋体" w:eastAsia="宋体"/>
          <w:sz w:val="24"/>
        </w:rPr>
        <w:t>的检测项目</w:t>
      </w:r>
      <w:r>
        <w:rPr>
          <w:rFonts w:ascii="宋体" w:hAnsi="宋体" w:cs="宋体" w:eastAsia="宋体"/>
          <w:sz w:val="24"/>
        </w:rPr>
        <w:t>根据具体情况可适当分包</w:t>
      </w:r>
      <w:r>
        <w:rPr>
          <w:rFonts w:ascii="宋体" w:hAnsi="宋体" w:cs="宋体" w:eastAsia="宋体"/>
          <w:sz w:val="24"/>
        </w:rPr>
        <w:t>，但在分包前应向采购人报备</w:t>
      </w:r>
      <w:r>
        <w:rPr>
          <w:rFonts w:ascii="宋体" w:hAnsi="宋体" w:cs="宋体" w:eastAsia="宋体"/>
          <w:sz w:val="24"/>
        </w:rPr>
        <w:t>。</w:t>
      </w:r>
    </w:p>
    <w:p>
      <w:pPr>
        <w:pStyle w:val="null3"/>
        <w:spacing w:after="150"/>
        <w:ind w:firstLine="420"/>
        <w:jc w:val="left"/>
      </w:pPr>
      <w:r>
        <w:rPr>
          <w:rFonts w:ascii="宋体" w:hAnsi="宋体" w:cs="宋体" w:eastAsia="宋体"/>
          <w:sz w:val="24"/>
        </w:rPr>
        <w:t>2</w:t>
      </w:r>
      <w:r>
        <w:rPr>
          <w:rFonts w:ascii="宋体" w:hAnsi="宋体" w:cs="宋体" w:eastAsia="宋体"/>
          <w:sz w:val="24"/>
        </w:rPr>
        <w:t>、</w:t>
      </w:r>
      <w:r>
        <w:rPr>
          <w:rFonts w:ascii="宋体" w:hAnsi="宋体" w:cs="宋体" w:eastAsia="宋体"/>
          <w:sz w:val="24"/>
        </w:rPr>
        <w:t>抽样和制样</w:t>
      </w:r>
    </w:p>
    <w:p>
      <w:pPr>
        <w:pStyle w:val="null3"/>
        <w:spacing w:after="150"/>
        <w:ind w:firstLine="420"/>
        <w:jc w:val="left"/>
      </w:pPr>
      <w:r>
        <w:rPr>
          <w:rFonts w:ascii="宋体" w:hAnsi="宋体" w:cs="宋体" w:eastAsia="宋体"/>
          <w:sz w:val="24"/>
        </w:rPr>
        <w:t>成交供应商要严格按照《水产品抽样规范》</w:t>
      </w:r>
      <w:r>
        <w:rPr>
          <w:rFonts w:ascii="宋体" w:hAnsi="宋体" w:cs="宋体" w:eastAsia="宋体"/>
          <w:sz w:val="24"/>
        </w:rPr>
        <w:t>(GB/T30891-2014)、《农产品质量安全监测管理办法》以及农业农村部《产地水产品质量安全监督抽查工作暂行规定》等相关技术规范和质量控制程序处理、保存样品。</w:t>
      </w:r>
    </w:p>
    <w:p>
      <w:pPr>
        <w:pStyle w:val="null3"/>
        <w:spacing w:after="150"/>
        <w:ind w:firstLine="420"/>
        <w:jc w:val="left"/>
      </w:pPr>
      <w:r>
        <w:rPr>
          <w:rFonts w:ascii="宋体" w:hAnsi="宋体" w:cs="宋体" w:eastAsia="宋体"/>
          <w:sz w:val="24"/>
        </w:rPr>
        <w:t>3</w:t>
      </w:r>
      <w:r>
        <w:rPr>
          <w:rFonts w:ascii="宋体" w:hAnsi="宋体" w:cs="宋体" w:eastAsia="宋体"/>
          <w:sz w:val="24"/>
        </w:rPr>
        <w:t>、</w:t>
      </w:r>
      <w:r>
        <w:rPr>
          <w:rFonts w:ascii="宋体" w:hAnsi="宋体" w:cs="宋体" w:eastAsia="宋体"/>
          <w:sz w:val="24"/>
        </w:rPr>
        <w:t>超标结果反馈</w:t>
      </w:r>
    </w:p>
    <w:p>
      <w:pPr>
        <w:pStyle w:val="null3"/>
        <w:spacing w:after="150"/>
        <w:ind w:firstLine="420"/>
        <w:jc w:val="left"/>
      </w:pPr>
      <w:r>
        <w:rPr>
          <w:rFonts w:ascii="宋体" w:hAnsi="宋体" w:cs="宋体" w:eastAsia="宋体"/>
          <w:sz w:val="24"/>
        </w:rPr>
        <w:t>监督抽查发现禁（停）、限用药残留超标的，成交供应商应在再检确认后</w:t>
      </w:r>
      <w:r>
        <w:rPr>
          <w:rFonts w:ascii="宋体" w:hAnsi="宋体" w:cs="宋体" w:eastAsia="宋体"/>
          <w:sz w:val="24"/>
        </w:rPr>
        <w:t>48小时内将《不合格结果通知单》和检验报告快递（以寄出时间为准）至采购人，并电话确认。</w:t>
      </w:r>
    </w:p>
    <w:p>
      <w:pPr>
        <w:pStyle w:val="null3"/>
        <w:spacing w:after="150"/>
        <w:ind w:firstLine="420"/>
        <w:jc w:val="left"/>
      </w:pPr>
      <w:r>
        <w:rPr>
          <w:rFonts w:ascii="宋体" w:hAnsi="宋体" w:cs="宋体" w:eastAsia="宋体"/>
          <w:sz w:val="24"/>
        </w:rPr>
        <w:t>4</w:t>
      </w:r>
      <w:r>
        <w:rPr>
          <w:rFonts w:ascii="宋体" w:hAnsi="宋体" w:cs="宋体" w:eastAsia="宋体"/>
          <w:sz w:val="24"/>
        </w:rPr>
        <w:t>、</w:t>
      </w:r>
      <w:r>
        <w:rPr>
          <w:rFonts w:ascii="宋体" w:hAnsi="宋体" w:cs="宋体" w:eastAsia="宋体"/>
          <w:sz w:val="24"/>
        </w:rPr>
        <w:t>能力验证</w:t>
      </w:r>
    </w:p>
    <w:p>
      <w:pPr>
        <w:pStyle w:val="null3"/>
        <w:spacing w:after="150"/>
        <w:ind w:firstLine="420"/>
        <w:jc w:val="left"/>
      </w:pPr>
      <w:r>
        <w:rPr>
          <w:rFonts w:ascii="宋体" w:hAnsi="宋体" w:cs="宋体" w:eastAsia="宋体"/>
          <w:sz w:val="24"/>
        </w:rPr>
        <w:t>成交供应商</w:t>
      </w:r>
      <w:r>
        <w:rPr>
          <w:rFonts w:ascii="宋体" w:hAnsi="宋体" w:cs="宋体" w:eastAsia="宋体"/>
          <w:sz w:val="24"/>
        </w:rPr>
        <w:t>必须参加</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年度</w:t>
      </w:r>
      <w:r>
        <w:rPr>
          <w:rFonts w:ascii="宋体" w:hAnsi="宋体" w:cs="宋体" w:eastAsia="宋体"/>
          <w:sz w:val="24"/>
        </w:rPr>
        <w:t>中国水产科学研究院组织的药物残留、重金属等项目的能力验证</w:t>
      </w:r>
      <w:r>
        <w:rPr>
          <w:rFonts w:ascii="宋体" w:hAnsi="宋体" w:cs="宋体" w:eastAsia="宋体"/>
          <w:sz w:val="24"/>
        </w:rPr>
        <w:t>（</w:t>
      </w:r>
      <w:r>
        <w:rPr>
          <w:rFonts w:ascii="宋体" w:hAnsi="宋体" w:cs="宋体" w:eastAsia="宋体"/>
          <w:sz w:val="24"/>
        </w:rPr>
        <w:t>需要提供报名参加能力验证的证明或能力验证结果证明以及承诺函</w:t>
      </w:r>
      <w:r>
        <w:rPr>
          <w:rFonts w:ascii="宋体" w:hAnsi="宋体" w:cs="宋体" w:eastAsia="宋体"/>
          <w:sz w:val="24"/>
        </w:rPr>
        <w:t>）</w:t>
      </w:r>
      <w:r>
        <w:rPr>
          <w:rFonts w:ascii="宋体" w:hAnsi="宋体" w:cs="宋体" w:eastAsia="宋体"/>
          <w:sz w:val="24"/>
        </w:rPr>
        <w:t>，参加能力验证的检测</w:t>
      </w:r>
      <w:r>
        <w:rPr>
          <w:rFonts w:ascii="宋体" w:hAnsi="宋体" w:cs="宋体" w:eastAsia="宋体"/>
          <w:sz w:val="24"/>
        </w:rPr>
        <w:t>项目</w:t>
      </w:r>
      <w:r>
        <w:rPr>
          <w:rFonts w:ascii="宋体" w:hAnsi="宋体" w:cs="宋体" w:eastAsia="宋体"/>
          <w:sz w:val="24"/>
        </w:rPr>
        <w:t>需含有采购人计划的</w:t>
      </w:r>
      <w:r>
        <w:rPr>
          <w:rFonts w:ascii="宋体" w:hAnsi="宋体" w:cs="宋体" w:eastAsia="宋体"/>
          <w:sz w:val="24"/>
        </w:rPr>
        <w:t>检测项目。</w:t>
      </w:r>
    </w:p>
    <w:p>
      <w:pPr>
        <w:pStyle w:val="null3"/>
        <w:spacing w:after="150"/>
        <w:ind w:firstLine="420"/>
        <w:jc w:val="left"/>
      </w:pPr>
      <w:r>
        <w:rPr>
          <w:rFonts w:ascii="宋体" w:hAnsi="宋体" w:cs="宋体" w:eastAsia="宋体"/>
          <w:sz w:val="24"/>
        </w:rPr>
        <w:t>5、</w:t>
      </w:r>
      <w:r>
        <w:rPr>
          <w:rFonts w:ascii="宋体" w:hAnsi="宋体" w:cs="宋体" w:eastAsia="宋体"/>
          <w:sz w:val="24"/>
        </w:rPr>
        <w:t>质量保证</w:t>
      </w:r>
    </w:p>
    <w:p>
      <w:pPr>
        <w:pStyle w:val="null3"/>
        <w:spacing w:after="150"/>
        <w:ind w:firstLine="420"/>
        <w:jc w:val="left"/>
      </w:pPr>
      <w:r>
        <w:rPr>
          <w:rFonts w:ascii="宋体" w:hAnsi="宋体" w:cs="宋体" w:eastAsia="宋体"/>
          <w:sz w:val="24"/>
        </w:rPr>
        <w:t>成交供应商应</w:t>
      </w:r>
      <w:r>
        <w:rPr>
          <w:rFonts w:ascii="宋体" w:hAnsi="宋体" w:cs="宋体" w:eastAsia="宋体"/>
          <w:sz w:val="24"/>
        </w:rPr>
        <w:t>严格按照监测规范、技术规程和相关标准开展监测，所用检测标准（方法）为最新有效版本，实施全过程质量控制以确保监测质量，对检测数据的真实性和准确性负责。</w:t>
      </w:r>
    </w:p>
    <w:p>
      <w:pPr>
        <w:pStyle w:val="null3"/>
        <w:spacing w:after="150"/>
        <w:ind w:firstLine="420"/>
        <w:jc w:val="left"/>
      </w:pPr>
      <w:r>
        <w:rPr>
          <w:rFonts w:ascii="宋体" w:hAnsi="宋体" w:cs="宋体" w:eastAsia="宋体"/>
          <w:sz w:val="24"/>
        </w:rPr>
        <w:t>（</w:t>
      </w:r>
      <w:r>
        <w:rPr>
          <w:rFonts w:ascii="宋体" w:hAnsi="宋体" w:cs="宋体" w:eastAsia="宋体"/>
          <w:sz w:val="24"/>
        </w:rPr>
        <w:t>1）实施方案编制要求</w:t>
      </w:r>
    </w:p>
    <w:p>
      <w:pPr>
        <w:pStyle w:val="null3"/>
        <w:spacing w:after="150"/>
        <w:ind w:firstLine="420"/>
        <w:jc w:val="left"/>
      </w:pPr>
      <w:r>
        <w:rPr>
          <w:rFonts w:ascii="宋体" w:hAnsi="宋体" w:cs="宋体" w:eastAsia="宋体"/>
          <w:sz w:val="24"/>
        </w:rPr>
        <w:t>任务开展前，</w:t>
      </w:r>
      <w:r>
        <w:rPr>
          <w:rFonts w:ascii="宋体" w:hAnsi="宋体" w:cs="宋体" w:eastAsia="宋体"/>
          <w:sz w:val="24"/>
        </w:rPr>
        <w:t>成交供应商</w:t>
      </w:r>
      <w:r>
        <w:rPr>
          <w:rFonts w:ascii="宋体" w:hAnsi="宋体" w:cs="宋体" w:eastAsia="宋体"/>
          <w:sz w:val="24"/>
        </w:rPr>
        <w:t>应提供监测工作实施方案和质量保证实施方案，并通过</w:t>
      </w:r>
      <w:r>
        <w:rPr>
          <w:rFonts w:ascii="宋体" w:hAnsi="宋体" w:cs="宋体" w:eastAsia="宋体"/>
          <w:sz w:val="24"/>
        </w:rPr>
        <w:t>采购</w:t>
      </w:r>
      <w:r>
        <w:rPr>
          <w:rFonts w:ascii="宋体" w:hAnsi="宋体" w:cs="宋体" w:eastAsia="宋体"/>
          <w:sz w:val="24"/>
        </w:rPr>
        <w:t>方</w:t>
      </w:r>
      <w:r>
        <w:rPr>
          <w:rFonts w:ascii="宋体" w:hAnsi="宋体" w:cs="宋体" w:eastAsia="宋体"/>
          <w:sz w:val="24"/>
        </w:rPr>
        <w:t>审核同意</w:t>
      </w:r>
      <w:r>
        <w:rPr>
          <w:rFonts w:ascii="宋体" w:hAnsi="宋体" w:cs="宋体" w:eastAsia="宋体"/>
          <w:sz w:val="24"/>
        </w:rPr>
        <w:t>(质量保证实施方案要求不能低于省级方案要求);应严格按照监测规范、技术规程和相关标准开展监测，所用检测标准(方法)为最新有效版本，实施全过程质量控制以确保监测质量，对检测数据的真实</w:t>
      </w:r>
      <w:r>
        <w:rPr>
          <w:rFonts w:ascii="宋体" w:hAnsi="宋体" w:cs="宋体" w:eastAsia="宋体"/>
          <w:sz w:val="24"/>
        </w:rPr>
        <w:t>性、有效性和准确性负责。</w:t>
      </w:r>
      <w:r>
        <w:rPr>
          <w:rFonts w:ascii="宋体" w:hAnsi="宋体" w:cs="宋体" w:eastAsia="宋体"/>
          <w:sz w:val="24"/>
        </w:rPr>
        <w:t>成交供应商</w:t>
      </w:r>
      <w:r>
        <w:rPr>
          <w:rFonts w:ascii="宋体" w:hAnsi="宋体" w:cs="宋体" w:eastAsia="宋体"/>
          <w:sz w:val="24"/>
        </w:rPr>
        <w:t>制定的全程质量控制实施方案应包括仪器设备、人员、标准物质、抽（采）样、制样、预处理、储存、运输、检测方法、实验室分析、数据审核等质量保证措施，制定可实施的实验室分析质量控制计划。</w:t>
      </w:r>
    </w:p>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人员培训要求</w:t>
      </w:r>
    </w:p>
    <w:p>
      <w:pPr>
        <w:pStyle w:val="null3"/>
        <w:spacing w:after="150"/>
        <w:ind w:firstLine="420"/>
        <w:jc w:val="left"/>
      </w:pPr>
      <w:r>
        <w:rPr>
          <w:rFonts w:ascii="宋体" w:hAnsi="宋体" w:cs="宋体" w:eastAsia="宋体"/>
          <w:sz w:val="24"/>
        </w:rPr>
        <w:t>任务开展前，</w:t>
      </w:r>
      <w:r>
        <w:rPr>
          <w:rFonts w:ascii="宋体" w:hAnsi="宋体" w:cs="宋体" w:eastAsia="宋体"/>
          <w:sz w:val="24"/>
        </w:rPr>
        <w:t>成交供应商</w:t>
      </w:r>
      <w:r>
        <w:rPr>
          <w:rFonts w:ascii="宋体" w:hAnsi="宋体" w:cs="宋体" w:eastAsia="宋体"/>
          <w:sz w:val="24"/>
        </w:rPr>
        <w:t>应开展《农产品质量安全监测管理办法》《产地水产品质量安全监督抽查工作暂行规定》《水产品抽样规范》（</w:t>
      </w:r>
      <w:r>
        <w:rPr>
          <w:rFonts w:ascii="宋体" w:hAnsi="宋体" w:cs="宋体" w:eastAsia="宋体"/>
          <w:sz w:val="24"/>
        </w:rPr>
        <w:t>GB/T 30891-2014）等有关法律法规及标准、技术规范的培训。</w:t>
      </w:r>
    </w:p>
    <w:p>
      <w:pPr>
        <w:pStyle w:val="null3"/>
        <w:spacing w:after="150"/>
        <w:ind w:firstLine="420"/>
        <w:jc w:val="left"/>
      </w:pPr>
      <w:r>
        <w:rPr>
          <w:rFonts w:ascii="宋体" w:hAnsi="宋体" w:cs="宋体" w:eastAsia="宋体"/>
          <w:sz w:val="24"/>
        </w:rPr>
        <w:t>（</w:t>
      </w:r>
      <w:r>
        <w:rPr>
          <w:rFonts w:ascii="宋体" w:hAnsi="宋体" w:cs="宋体" w:eastAsia="宋体"/>
          <w:sz w:val="24"/>
        </w:rPr>
        <w:t>3</w:t>
      </w:r>
      <w:r>
        <w:rPr>
          <w:rFonts w:ascii="宋体" w:hAnsi="宋体" w:cs="宋体" w:eastAsia="宋体"/>
          <w:sz w:val="24"/>
        </w:rPr>
        <w:t>）抽样、制样、储存、运输的质控要求</w:t>
      </w:r>
    </w:p>
    <w:p>
      <w:pPr>
        <w:pStyle w:val="null3"/>
        <w:spacing w:after="150"/>
        <w:ind w:firstLine="420"/>
        <w:jc w:val="left"/>
      </w:pPr>
      <w:r>
        <w:rPr>
          <w:rFonts w:ascii="宋体" w:hAnsi="宋体" w:cs="宋体" w:eastAsia="宋体"/>
          <w:sz w:val="24"/>
        </w:rPr>
        <w:t>抽样、制样人员严格按照《水产品抽样规范》（</w:t>
      </w:r>
      <w:r>
        <w:rPr>
          <w:rFonts w:ascii="宋体" w:hAnsi="宋体" w:cs="宋体" w:eastAsia="宋体"/>
          <w:sz w:val="24"/>
        </w:rPr>
        <w:t>GB/T 30891-2014）要求进行，做好抽样记录和制样登记。</w:t>
      </w:r>
    </w:p>
    <w:p>
      <w:pPr>
        <w:pStyle w:val="null3"/>
        <w:spacing w:after="150"/>
        <w:ind w:firstLine="420"/>
        <w:jc w:val="left"/>
      </w:pPr>
      <w:r>
        <w:rPr>
          <w:rFonts w:ascii="宋体" w:hAnsi="宋体" w:cs="宋体" w:eastAsia="宋体"/>
          <w:sz w:val="24"/>
        </w:rPr>
        <w:t>抽样的方式与数量应按照本</w:t>
      </w:r>
      <w:r>
        <w:rPr>
          <w:rFonts w:ascii="宋体" w:hAnsi="宋体" w:cs="宋体" w:eastAsia="宋体"/>
          <w:sz w:val="24"/>
        </w:rPr>
        <w:t>文件</w:t>
      </w:r>
      <w:r>
        <w:rPr>
          <w:rFonts w:ascii="宋体" w:hAnsi="宋体" w:cs="宋体" w:eastAsia="宋体"/>
          <w:sz w:val="24"/>
        </w:rPr>
        <w:t>方案的要求严格执行。</w:t>
      </w:r>
    </w:p>
    <w:p>
      <w:pPr>
        <w:pStyle w:val="null3"/>
        <w:spacing w:after="150"/>
        <w:ind w:firstLine="420"/>
        <w:jc w:val="left"/>
      </w:pPr>
      <w:r>
        <w:rPr>
          <w:rFonts w:ascii="宋体" w:hAnsi="宋体" w:cs="宋体" w:eastAsia="宋体"/>
          <w:sz w:val="24"/>
        </w:rPr>
        <w:t>监督抽查抽取的样品应现场制样（分割、混合），并按检测用样和备份用样分别包装，封样必须现场进行。</w:t>
      </w:r>
    </w:p>
    <w:p>
      <w:pPr>
        <w:pStyle w:val="null3"/>
        <w:spacing w:after="150"/>
        <w:ind w:firstLine="420"/>
        <w:jc w:val="left"/>
      </w:pPr>
      <w:r>
        <w:rPr>
          <w:rFonts w:ascii="宋体" w:hAnsi="宋体" w:cs="宋体" w:eastAsia="宋体"/>
          <w:sz w:val="24"/>
        </w:rPr>
        <w:t>漏抽样或临时变更抽样品种、数量等应说明理由并按规定程序向</w:t>
      </w:r>
      <w:r>
        <w:rPr>
          <w:rFonts w:ascii="宋体" w:hAnsi="宋体" w:cs="宋体" w:eastAsia="宋体"/>
          <w:sz w:val="24"/>
        </w:rPr>
        <w:t>采购方</w:t>
      </w:r>
      <w:r>
        <w:rPr>
          <w:rFonts w:ascii="宋体" w:hAnsi="宋体" w:cs="宋体" w:eastAsia="宋体"/>
          <w:sz w:val="24"/>
        </w:rPr>
        <w:t>报批。</w:t>
      </w:r>
    </w:p>
    <w:p>
      <w:pPr>
        <w:pStyle w:val="null3"/>
        <w:spacing w:after="150"/>
        <w:ind w:firstLine="420"/>
        <w:jc w:val="left"/>
      </w:pPr>
      <w:r>
        <w:rPr>
          <w:rFonts w:ascii="宋体" w:hAnsi="宋体" w:cs="宋体" w:eastAsia="宋体"/>
          <w:sz w:val="24"/>
        </w:rPr>
        <w:t>（</w:t>
      </w:r>
      <w:r>
        <w:rPr>
          <w:rFonts w:ascii="宋体" w:hAnsi="宋体" w:cs="宋体" w:eastAsia="宋体"/>
          <w:sz w:val="24"/>
        </w:rPr>
        <w:t>4</w:t>
      </w:r>
      <w:r>
        <w:rPr>
          <w:rFonts w:ascii="宋体" w:hAnsi="宋体" w:cs="宋体" w:eastAsia="宋体"/>
          <w:sz w:val="24"/>
        </w:rPr>
        <w:t>）实验室检测质量要求</w:t>
      </w:r>
    </w:p>
    <w:p>
      <w:pPr>
        <w:pStyle w:val="null3"/>
        <w:spacing w:after="150"/>
        <w:ind w:firstLine="420"/>
        <w:jc w:val="left"/>
      </w:pPr>
      <w:r>
        <w:rPr>
          <w:rFonts w:ascii="宋体" w:hAnsi="宋体" w:cs="宋体" w:eastAsia="宋体"/>
          <w:sz w:val="24"/>
        </w:rPr>
        <w:t>人员具备上岗证。</w:t>
      </w:r>
    </w:p>
    <w:p>
      <w:pPr>
        <w:pStyle w:val="null3"/>
        <w:spacing w:after="150"/>
        <w:ind w:firstLine="420"/>
        <w:jc w:val="left"/>
      </w:pPr>
      <w:r>
        <w:rPr>
          <w:rFonts w:ascii="宋体" w:hAnsi="宋体" w:cs="宋体" w:eastAsia="宋体"/>
          <w:sz w:val="24"/>
        </w:rPr>
        <w:t>具有能满足</w:t>
      </w:r>
      <w:r>
        <w:rPr>
          <w:rFonts w:ascii="宋体" w:hAnsi="宋体" w:cs="宋体" w:eastAsia="宋体"/>
          <w:sz w:val="24"/>
        </w:rPr>
        <w:t>检测</w:t>
      </w:r>
      <w:r>
        <w:rPr>
          <w:rFonts w:ascii="宋体" w:hAnsi="宋体" w:cs="宋体" w:eastAsia="宋体"/>
          <w:sz w:val="24"/>
        </w:rPr>
        <w:t>分析要求的实验室环境、仪器设备，使用可溯源至国际单位制（</w:t>
      </w:r>
      <w:r>
        <w:rPr>
          <w:rFonts w:ascii="宋体" w:hAnsi="宋体" w:cs="宋体" w:eastAsia="宋体"/>
          <w:sz w:val="24"/>
        </w:rPr>
        <w:t>SI）单位或有证标准物质。</w:t>
      </w:r>
    </w:p>
    <w:p>
      <w:pPr>
        <w:pStyle w:val="null3"/>
        <w:spacing w:after="150"/>
        <w:ind w:firstLine="420"/>
        <w:jc w:val="left"/>
      </w:pPr>
      <w:r>
        <w:rPr>
          <w:rFonts w:ascii="宋体" w:hAnsi="宋体" w:cs="宋体" w:eastAsia="宋体"/>
          <w:sz w:val="24"/>
        </w:rPr>
        <w:t>样品流转严格按照单位资质认定管理程序及有关规定执行。</w:t>
      </w:r>
    </w:p>
    <w:p>
      <w:pPr>
        <w:pStyle w:val="null3"/>
        <w:spacing w:after="150"/>
        <w:ind w:firstLine="420"/>
        <w:jc w:val="left"/>
      </w:pPr>
      <w:r>
        <w:rPr>
          <w:rFonts w:ascii="宋体" w:hAnsi="宋体" w:cs="宋体" w:eastAsia="宋体"/>
          <w:sz w:val="24"/>
        </w:rPr>
        <w:t>检测方法可按照本</w:t>
      </w:r>
      <w:r>
        <w:rPr>
          <w:rFonts w:ascii="宋体" w:hAnsi="宋体" w:cs="宋体" w:eastAsia="宋体"/>
          <w:sz w:val="24"/>
        </w:rPr>
        <w:t>文件</w:t>
      </w:r>
      <w:r>
        <w:rPr>
          <w:rFonts w:ascii="宋体" w:hAnsi="宋体" w:cs="宋体" w:eastAsia="宋体"/>
          <w:sz w:val="24"/>
        </w:rPr>
        <w:t>中</w:t>
      </w:r>
      <w:r>
        <w:rPr>
          <w:rFonts w:ascii="宋体" w:hAnsi="宋体" w:cs="宋体" w:eastAsia="宋体"/>
          <w:sz w:val="24"/>
        </w:rPr>
        <w:t>第三章采购内容及要求中</w:t>
      </w:r>
      <w:r>
        <w:rPr>
          <w:rFonts w:ascii="宋体" w:hAnsi="宋体" w:cs="宋体" w:eastAsia="宋体"/>
          <w:sz w:val="24"/>
        </w:rPr>
        <w:t>“技术要</w:t>
      </w:r>
      <w:r>
        <w:rPr>
          <w:rFonts w:ascii="宋体" w:hAnsi="宋体" w:cs="宋体" w:eastAsia="宋体"/>
          <w:sz w:val="24"/>
        </w:rPr>
        <w:t>求</w:t>
      </w:r>
      <w:r>
        <w:rPr>
          <w:rFonts w:ascii="宋体" w:hAnsi="宋体" w:cs="宋体" w:eastAsia="宋体"/>
          <w:sz w:val="24"/>
        </w:rPr>
        <w:t>的</w:t>
      </w:r>
      <w:r>
        <w:rPr>
          <w:rFonts w:ascii="宋体" w:hAnsi="宋体" w:cs="宋体" w:eastAsia="宋体"/>
          <w:sz w:val="24"/>
        </w:rPr>
        <w:t>检测方法及判定限量值</w:t>
      </w:r>
      <w:r>
        <w:rPr>
          <w:rFonts w:ascii="宋体" w:hAnsi="宋体" w:cs="宋体" w:eastAsia="宋体"/>
          <w:sz w:val="24"/>
        </w:rPr>
        <w:t>”</w:t>
      </w:r>
      <w:r>
        <w:rPr>
          <w:rFonts w:ascii="宋体" w:hAnsi="宋体" w:cs="宋体" w:eastAsia="宋体"/>
          <w:sz w:val="24"/>
        </w:rPr>
        <w:t>的要求执行，若检测方法采用</w:t>
      </w:r>
      <w:r>
        <w:rPr>
          <w:rFonts w:ascii="宋体" w:hAnsi="宋体" w:cs="宋体" w:eastAsia="宋体"/>
          <w:sz w:val="24"/>
        </w:rPr>
        <w:t>本</w:t>
      </w:r>
      <w:r>
        <w:rPr>
          <w:rFonts w:ascii="宋体" w:hAnsi="宋体" w:cs="宋体" w:eastAsia="宋体"/>
          <w:sz w:val="24"/>
        </w:rPr>
        <w:t>文件</w:t>
      </w:r>
      <w:r>
        <w:rPr>
          <w:rFonts w:ascii="宋体" w:hAnsi="宋体" w:cs="宋体" w:eastAsia="宋体"/>
          <w:sz w:val="24"/>
        </w:rPr>
        <w:t>中</w:t>
      </w:r>
      <w:r>
        <w:rPr>
          <w:rFonts w:ascii="宋体" w:hAnsi="宋体" w:cs="宋体" w:eastAsia="宋体"/>
          <w:sz w:val="24"/>
        </w:rPr>
        <w:t>第三章采购内容及要求中</w:t>
      </w:r>
      <w:r>
        <w:rPr>
          <w:rFonts w:ascii="宋体" w:hAnsi="宋体" w:cs="宋体" w:eastAsia="宋体"/>
          <w:sz w:val="24"/>
        </w:rPr>
        <w:t>“技术要</w:t>
      </w:r>
      <w:r>
        <w:rPr>
          <w:rFonts w:ascii="宋体" w:hAnsi="宋体" w:cs="宋体" w:eastAsia="宋体"/>
          <w:sz w:val="24"/>
        </w:rPr>
        <w:t>求</w:t>
      </w:r>
      <w:r>
        <w:rPr>
          <w:rFonts w:ascii="宋体" w:hAnsi="宋体" w:cs="宋体" w:eastAsia="宋体"/>
          <w:sz w:val="24"/>
        </w:rPr>
        <w:t>的</w:t>
      </w:r>
      <w:r>
        <w:rPr>
          <w:rFonts w:ascii="宋体" w:hAnsi="宋体" w:cs="宋体" w:eastAsia="宋体"/>
          <w:sz w:val="24"/>
        </w:rPr>
        <w:t>检测方法及判定限量值</w:t>
      </w:r>
      <w:r>
        <w:rPr>
          <w:rFonts w:ascii="宋体" w:hAnsi="宋体" w:cs="宋体" w:eastAsia="宋体"/>
          <w:sz w:val="24"/>
        </w:rPr>
        <w:t>”</w:t>
      </w:r>
      <w:r>
        <w:rPr>
          <w:rFonts w:ascii="宋体" w:hAnsi="宋体" w:cs="宋体" w:eastAsia="宋体"/>
          <w:sz w:val="24"/>
        </w:rPr>
        <w:t>以外的国家标准、行业标准以及部文公告的检测方法时，其检出限应能满足限量值要求，方可采用。</w:t>
      </w:r>
    </w:p>
    <w:p>
      <w:pPr>
        <w:pStyle w:val="null3"/>
        <w:spacing w:after="150"/>
        <w:ind w:firstLine="420"/>
        <w:jc w:val="left"/>
      </w:pPr>
      <w:r>
        <w:rPr>
          <w:rFonts w:ascii="宋体" w:hAnsi="宋体" w:cs="宋体" w:eastAsia="宋体"/>
          <w:sz w:val="24"/>
        </w:rPr>
        <w:t>实验室内部质量控制方式尽可能多样化，质控方式可包括方法空白试验、校准曲线核查、仪器设备定期校验、平行样分析、加标样分析、密码样分析、利用质控图校核等。</w:t>
      </w:r>
    </w:p>
    <w:p>
      <w:pPr>
        <w:pStyle w:val="null3"/>
        <w:spacing w:after="150"/>
        <w:ind w:firstLine="420"/>
        <w:jc w:val="left"/>
      </w:pPr>
      <w:r>
        <w:rPr>
          <w:rFonts w:ascii="宋体" w:hAnsi="宋体" w:cs="宋体" w:eastAsia="宋体"/>
          <w:sz w:val="24"/>
        </w:rPr>
        <w:t>实验室检测时质控率不低于</w:t>
      </w:r>
      <w:r>
        <w:rPr>
          <w:rFonts w:ascii="宋体" w:hAnsi="宋体" w:cs="宋体" w:eastAsia="宋体"/>
          <w:sz w:val="24"/>
        </w:rPr>
        <w:t>10%。可根据每次检测样品数，插入质控样，质控样可为加标样、跟标样和平行样，加标和跟标质控率不低于5%，平行测试不低于5%。检测项目质控样加标浓度根据各任务分别确定，列入</w:t>
      </w:r>
      <w:r>
        <w:rPr>
          <w:rFonts w:ascii="宋体" w:hAnsi="宋体" w:cs="宋体" w:eastAsia="宋体"/>
          <w:sz w:val="24"/>
        </w:rPr>
        <w:t>成交供应商</w:t>
      </w:r>
      <w:r>
        <w:rPr>
          <w:rFonts w:ascii="宋体" w:hAnsi="宋体" w:cs="宋体" w:eastAsia="宋体"/>
          <w:sz w:val="24"/>
        </w:rPr>
        <w:t>的工作方案中。</w:t>
      </w:r>
    </w:p>
    <w:p>
      <w:pPr>
        <w:pStyle w:val="null3"/>
        <w:spacing w:after="150"/>
        <w:ind w:firstLine="420"/>
        <w:jc w:val="left"/>
      </w:pPr>
      <w:r>
        <w:rPr>
          <w:rFonts w:ascii="宋体" w:hAnsi="宋体" w:cs="宋体" w:eastAsia="宋体"/>
          <w:sz w:val="24"/>
        </w:rPr>
        <w:t>实验室内检测质量控制评价标准按照有关项目检测方法有关规定执行（如检测方法没有规定，按一般判定标准执行，一般判定标准为：加标回收率在</w:t>
      </w:r>
      <w:r>
        <w:rPr>
          <w:rFonts w:ascii="宋体" w:hAnsi="宋体" w:cs="宋体" w:eastAsia="宋体"/>
          <w:sz w:val="24"/>
        </w:rPr>
        <w:t>70%～120%之间，跟标样不应超过标准物质不确定度的2倍）。</w:t>
      </w:r>
    </w:p>
    <w:p>
      <w:pPr>
        <w:pStyle w:val="null3"/>
        <w:spacing w:after="150"/>
        <w:ind w:firstLine="420"/>
        <w:jc w:val="left"/>
      </w:pPr>
      <w:r>
        <w:rPr>
          <w:rFonts w:ascii="宋体" w:hAnsi="宋体" w:cs="宋体" w:eastAsia="宋体"/>
          <w:sz w:val="24"/>
        </w:rPr>
        <w:t>（</w:t>
      </w:r>
      <w:r>
        <w:rPr>
          <w:rFonts w:ascii="宋体" w:hAnsi="宋体" w:cs="宋体" w:eastAsia="宋体"/>
          <w:sz w:val="24"/>
        </w:rPr>
        <w:t>5）</w:t>
      </w:r>
      <w:r>
        <w:rPr>
          <w:rFonts w:ascii="宋体" w:hAnsi="宋体" w:cs="宋体" w:eastAsia="宋体"/>
          <w:sz w:val="24"/>
        </w:rPr>
        <w:t>成果提交</w:t>
      </w:r>
    </w:p>
    <w:p>
      <w:pPr>
        <w:pStyle w:val="null3"/>
        <w:spacing w:after="150"/>
        <w:ind w:firstLine="420"/>
        <w:jc w:val="left"/>
      </w:pPr>
      <w:r>
        <w:rPr>
          <w:rFonts w:ascii="&quot;times new roman&quot;" w:hAnsi="&quot;times new roman&quot;" w:cs="&quot;times new roman&quot;" w:eastAsia="&quot;times new roman&quot;"/>
          <w:sz w:val="21"/>
        </w:rPr>
        <w:t xml:space="preserve">    </w:t>
      </w:r>
      <w:r>
        <w:rPr>
          <w:rFonts w:ascii="宋体" w:hAnsi="宋体" w:cs="宋体" w:eastAsia="宋体"/>
          <w:sz w:val="24"/>
        </w:rPr>
        <w:t>成交供应商</w:t>
      </w:r>
      <w:r>
        <w:rPr>
          <w:rFonts w:ascii="宋体" w:hAnsi="宋体" w:cs="宋体" w:eastAsia="宋体"/>
          <w:sz w:val="24"/>
        </w:rPr>
        <w:t>应及时</w:t>
      </w:r>
      <w:r>
        <w:rPr>
          <w:rFonts w:ascii="宋体" w:hAnsi="宋体" w:cs="宋体" w:eastAsia="宋体"/>
          <w:sz w:val="24"/>
        </w:rPr>
        <w:t>把</w:t>
      </w:r>
      <w:r>
        <w:rPr>
          <w:rFonts w:ascii="宋体" w:hAnsi="宋体" w:cs="宋体" w:eastAsia="宋体"/>
          <w:sz w:val="24"/>
        </w:rPr>
        <w:t>检</w:t>
      </w:r>
      <w:r>
        <w:rPr>
          <w:rFonts w:ascii="宋体" w:hAnsi="宋体" w:cs="宋体" w:eastAsia="宋体"/>
          <w:sz w:val="24"/>
        </w:rPr>
        <w:t>测</w:t>
      </w:r>
      <w:r>
        <w:rPr>
          <w:rFonts w:ascii="宋体" w:hAnsi="宋体" w:cs="宋体" w:eastAsia="宋体"/>
          <w:sz w:val="24"/>
        </w:rPr>
        <w:t>结果</w:t>
      </w:r>
      <w:r>
        <w:rPr>
          <w:rFonts w:ascii="宋体" w:hAnsi="宋体" w:cs="宋体" w:eastAsia="宋体"/>
          <w:sz w:val="24"/>
        </w:rPr>
        <w:t>录入</w:t>
      </w:r>
      <w:r>
        <w:rPr>
          <w:rFonts w:ascii="宋体" w:hAnsi="宋体" w:cs="宋体" w:eastAsia="宋体"/>
          <w:sz w:val="24"/>
        </w:rPr>
        <w:t>到</w:t>
      </w:r>
      <w:r>
        <w:rPr>
          <w:rFonts w:ascii="宋体" w:hAnsi="宋体" w:cs="宋体" w:eastAsia="宋体"/>
          <w:sz w:val="24"/>
        </w:rPr>
        <w:t>泉州</w:t>
      </w:r>
      <w:r>
        <w:rPr>
          <w:rFonts w:ascii="宋体" w:hAnsi="宋体" w:cs="宋体" w:eastAsia="宋体"/>
          <w:sz w:val="24"/>
        </w:rPr>
        <w:t>市</w:t>
      </w:r>
      <w:r>
        <w:rPr>
          <w:rFonts w:ascii="宋体" w:hAnsi="宋体" w:cs="宋体" w:eastAsia="宋体"/>
          <w:sz w:val="24"/>
        </w:rPr>
        <w:t>近海</w:t>
      </w:r>
      <w:r>
        <w:rPr>
          <w:rFonts w:ascii="宋体" w:hAnsi="宋体" w:cs="宋体" w:eastAsia="宋体"/>
          <w:sz w:val="24"/>
        </w:rPr>
        <w:t>养殖</w:t>
      </w:r>
      <w:r>
        <w:rPr>
          <w:rFonts w:ascii="宋体" w:hAnsi="宋体" w:cs="宋体" w:eastAsia="宋体"/>
          <w:sz w:val="24"/>
        </w:rPr>
        <w:t>全流程</w:t>
      </w:r>
      <w:r>
        <w:rPr>
          <w:rFonts w:ascii="宋体" w:hAnsi="宋体" w:cs="宋体" w:eastAsia="宋体"/>
          <w:sz w:val="24"/>
        </w:rPr>
        <w:t>监管</w:t>
      </w:r>
      <w:r>
        <w:rPr>
          <w:rFonts w:ascii="宋体" w:hAnsi="宋体" w:cs="宋体" w:eastAsia="宋体"/>
          <w:sz w:val="24"/>
        </w:rPr>
        <w:t>溯源</w:t>
      </w:r>
      <w:r>
        <w:rPr>
          <w:rFonts w:ascii="宋体" w:hAnsi="宋体" w:cs="宋体" w:eastAsia="宋体"/>
          <w:sz w:val="24"/>
        </w:rPr>
        <w:t>平台</w:t>
      </w:r>
      <w:r>
        <w:rPr>
          <w:rFonts w:ascii="宋体" w:hAnsi="宋体" w:cs="宋体" w:eastAsia="宋体"/>
          <w:sz w:val="24"/>
        </w:rPr>
        <w:t>。</w:t>
      </w:r>
    </w:p>
    <w:p>
      <w:pPr>
        <w:pStyle w:val="null3"/>
        <w:ind w:firstLine="480"/>
        <w:jc w:val="both"/>
      </w:pPr>
      <w:r>
        <w:rPr>
          <w:rFonts w:ascii="宋体" w:hAnsi="宋体" w:cs="宋体" w:eastAsia="宋体"/>
          <w:sz w:val="24"/>
        </w:rPr>
        <w:t>成交供应商应</w:t>
      </w:r>
      <w:r>
        <w:rPr>
          <w:rFonts w:ascii="宋体" w:hAnsi="宋体" w:cs="宋体" w:eastAsia="宋体"/>
          <w:sz w:val="24"/>
        </w:rPr>
        <w:t>编制质量保证工作报告（可包含在年度总结报告中）</w:t>
      </w:r>
      <w:r>
        <w:rPr>
          <w:rFonts w:ascii="宋体" w:hAnsi="宋体" w:cs="宋体" w:eastAsia="宋体"/>
          <w:sz w:val="24"/>
        </w:rPr>
        <w:t>，于</w:t>
      </w:r>
      <w:r>
        <w:rPr>
          <w:rFonts w:ascii="宋体" w:hAnsi="宋体" w:cs="宋体" w:eastAsia="宋体"/>
          <w:sz w:val="24"/>
        </w:rPr>
        <w:t>2024年</w:t>
      </w:r>
      <w:r>
        <w:rPr>
          <w:rFonts w:ascii="宋体" w:hAnsi="宋体" w:cs="宋体" w:eastAsia="宋体"/>
          <w:sz w:val="24"/>
        </w:rPr>
        <w:t>11</w:t>
      </w:r>
      <w:r>
        <w:rPr>
          <w:rFonts w:ascii="宋体" w:hAnsi="宋体" w:cs="宋体" w:eastAsia="宋体"/>
          <w:sz w:val="24"/>
        </w:rPr>
        <w:t>月</w:t>
      </w:r>
      <w:r>
        <w:rPr>
          <w:rFonts w:ascii="宋体" w:hAnsi="宋体" w:cs="宋体" w:eastAsia="宋体"/>
          <w:sz w:val="24"/>
        </w:rPr>
        <w:t>20</w:t>
      </w:r>
      <w:r>
        <w:rPr>
          <w:rFonts w:ascii="宋体" w:hAnsi="宋体" w:cs="宋体" w:eastAsia="宋体"/>
          <w:sz w:val="24"/>
        </w:rPr>
        <w:t>日前</w:t>
      </w:r>
      <w:r>
        <w:rPr>
          <w:rFonts w:ascii="宋体" w:hAnsi="宋体" w:cs="宋体" w:eastAsia="宋体"/>
          <w:sz w:val="24"/>
        </w:rPr>
        <w:t>报送</w:t>
      </w:r>
      <w:r>
        <w:rPr>
          <w:rFonts w:ascii="宋体" w:hAnsi="宋体" w:cs="宋体" w:eastAsia="宋体"/>
          <w:sz w:val="24"/>
        </w:rPr>
        <w:t>采购人备案</w:t>
      </w:r>
      <w:r>
        <w:rPr>
          <w:rFonts w:ascii="宋体" w:hAnsi="宋体" w:cs="宋体" w:eastAsia="宋体"/>
          <w:sz w:val="24"/>
        </w:rPr>
        <w:t>。</w:t>
      </w:r>
      <w:r>
        <w:rPr>
          <w:rFonts w:ascii="宋体" w:hAnsi="宋体" w:cs="宋体" w:eastAsia="宋体"/>
          <w:sz w:val="24"/>
        </w:rPr>
        <w:t>报告内容包括：单位基本情况、实验室资质认定情况、项目执行情况（包括监测人员持证上岗情况，仪器设备检定</w:t>
      </w:r>
      <w:r>
        <w:rPr>
          <w:rFonts w:ascii="宋体" w:hAnsi="宋体" w:cs="宋体" w:eastAsia="宋体"/>
          <w:sz w:val="24"/>
        </w:rPr>
        <w:t>/校准情况、标准物质使用情况、监测方法偏离情况、抽样偏离情况等）</w:t>
      </w:r>
      <w:r>
        <w:rPr>
          <w:rFonts w:ascii="宋体" w:hAnsi="宋体" w:cs="宋体" w:eastAsia="宋体"/>
          <w:sz w:val="24"/>
        </w:rPr>
        <w:t>、</w:t>
      </w:r>
      <w:r>
        <w:rPr>
          <w:rFonts w:ascii="宋体" w:hAnsi="宋体" w:cs="宋体" w:eastAsia="宋体"/>
          <w:sz w:val="24"/>
        </w:rPr>
        <w:t>存在问题及改进措施等。</w:t>
      </w:r>
    </w:p>
    <w:p>
      <w:pPr>
        <w:pStyle w:val="null3"/>
        <w:spacing w:after="150"/>
        <w:ind w:firstLine="420"/>
        <w:jc w:val="left"/>
      </w:pPr>
      <w:r>
        <w:rPr>
          <w:rFonts w:ascii="宋体" w:hAnsi="宋体" w:cs="宋体" w:eastAsia="宋体"/>
          <w:sz w:val="24"/>
        </w:rPr>
        <w:t>6</w:t>
      </w:r>
      <w:r>
        <w:rPr>
          <w:rFonts w:ascii="宋体" w:hAnsi="宋体" w:cs="宋体" w:eastAsia="宋体"/>
          <w:sz w:val="24"/>
        </w:rPr>
        <w:t>、</w:t>
      </w:r>
      <w:r>
        <w:rPr>
          <w:rFonts w:ascii="宋体" w:hAnsi="宋体" w:cs="宋体" w:eastAsia="宋体"/>
          <w:sz w:val="24"/>
        </w:rPr>
        <w:t>质量监督检查</w:t>
      </w:r>
    </w:p>
    <w:p>
      <w:pPr>
        <w:pStyle w:val="null3"/>
        <w:spacing w:after="150"/>
        <w:ind w:firstLine="420"/>
        <w:jc w:val="left"/>
      </w:pPr>
      <w:r>
        <w:rPr>
          <w:rFonts w:ascii="宋体" w:hAnsi="宋体" w:cs="宋体" w:eastAsia="宋体"/>
          <w:sz w:val="24"/>
        </w:rPr>
        <w:t>监测任务开展过程中或发现上报的监测数据异常时，</w:t>
      </w:r>
      <w:r>
        <w:rPr>
          <w:rFonts w:ascii="宋体" w:hAnsi="宋体" w:cs="宋体" w:eastAsia="宋体"/>
          <w:sz w:val="24"/>
        </w:rPr>
        <w:t>采购人</w:t>
      </w:r>
      <w:r>
        <w:rPr>
          <w:rFonts w:ascii="宋体" w:hAnsi="宋体" w:cs="宋体" w:eastAsia="宋体"/>
          <w:sz w:val="24"/>
        </w:rPr>
        <w:t>可根据实际情况组织相关技术人员组成检查组，对</w:t>
      </w:r>
      <w:r>
        <w:rPr>
          <w:rFonts w:ascii="宋体" w:hAnsi="宋体" w:cs="宋体" w:eastAsia="宋体"/>
          <w:sz w:val="24"/>
        </w:rPr>
        <w:t>成交供应商</w:t>
      </w:r>
      <w:r>
        <w:rPr>
          <w:rFonts w:ascii="宋体" w:hAnsi="宋体" w:cs="宋体" w:eastAsia="宋体"/>
          <w:sz w:val="24"/>
        </w:rPr>
        <w:t>开展质量监督检查。</w:t>
      </w:r>
    </w:p>
    <w:p>
      <w:pPr>
        <w:pStyle w:val="null3"/>
        <w:spacing w:after="150"/>
        <w:ind w:firstLine="420"/>
        <w:jc w:val="left"/>
      </w:pPr>
      <w:r>
        <w:rPr>
          <w:rFonts w:ascii="宋体" w:hAnsi="宋体" w:cs="宋体" w:eastAsia="宋体"/>
          <w:sz w:val="24"/>
        </w:rPr>
        <w:t>检查内容</w:t>
      </w:r>
      <w:r>
        <w:rPr>
          <w:rFonts w:ascii="宋体" w:hAnsi="宋体" w:cs="宋体" w:eastAsia="宋体"/>
          <w:sz w:val="24"/>
        </w:rPr>
        <w:t>：</w:t>
      </w:r>
      <w:r>
        <w:rPr>
          <w:rFonts w:ascii="宋体" w:hAnsi="宋体" w:cs="宋体" w:eastAsia="宋体"/>
          <w:sz w:val="24"/>
        </w:rPr>
        <w:t>采用现场汇报、实验室现场检查、档案记录调阅等方式进行实验室质量监督检查。内容如下：</w:t>
      </w:r>
    </w:p>
    <w:p>
      <w:pPr>
        <w:pStyle w:val="null3"/>
        <w:spacing w:after="150"/>
        <w:ind w:firstLine="420"/>
        <w:jc w:val="left"/>
      </w:pPr>
      <w:r>
        <w:rPr>
          <w:rFonts w:ascii="宋体" w:hAnsi="宋体" w:cs="宋体" w:eastAsia="宋体"/>
          <w:sz w:val="24"/>
        </w:rPr>
        <w:t>实施方案（含质量保证内容）；人员持证上岗及业务培训情况；仪器设备检定、校准、使用维护情况</w:t>
      </w:r>
      <w:r>
        <w:rPr>
          <w:rFonts w:ascii="宋体" w:hAnsi="宋体" w:cs="宋体" w:eastAsia="宋体"/>
          <w:sz w:val="24"/>
        </w:rPr>
        <w:t>；</w:t>
      </w:r>
      <w:r>
        <w:rPr>
          <w:rFonts w:ascii="宋体" w:hAnsi="宋体" w:cs="宋体" w:eastAsia="宋体"/>
          <w:sz w:val="24"/>
        </w:rPr>
        <w:t>标准物质管理情况；检测方法采用情况；抽样偏离情况；样品运输、保存、预处理及流转；</w:t>
      </w:r>
      <w:r>
        <w:rPr>
          <w:rFonts w:ascii="宋体" w:hAnsi="宋体" w:cs="宋体" w:eastAsia="宋体"/>
          <w:sz w:val="24"/>
        </w:rPr>
        <w:t>检测</w:t>
      </w:r>
      <w:r>
        <w:rPr>
          <w:rFonts w:ascii="宋体" w:hAnsi="宋体" w:cs="宋体" w:eastAsia="宋体"/>
          <w:sz w:val="24"/>
        </w:rPr>
        <w:t>质量控制情况；数据结果情况等。</w:t>
      </w:r>
    </w:p>
    <w:p>
      <w:pPr>
        <w:pStyle w:val="null3"/>
        <w:spacing w:after="150"/>
        <w:ind w:firstLine="420"/>
        <w:jc w:val="left"/>
      </w:pPr>
      <w:r>
        <w:rPr>
          <w:rFonts w:ascii="宋体" w:hAnsi="宋体" w:cs="宋体" w:eastAsia="宋体"/>
          <w:sz w:val="24"/>
        </w:rPr>
        <w:t>7</w:t>
      </w:r>
      <w:r>
        <w:rPr>
          <w:rFonts w:ascii="宋体" w:hAnsi="宋体" w:cs="宋体" w:eastAsia="宋体"/>
          <w:sz w:val="24"/>
        </w:rPr>
        <w:t>、</w:t>
      </w:r>
      <w:r>
        <w:rPr>
          <w:rFonts w:ascii="宋体" w:hAnsi="宋体" w:cs="宋体" w:eastAsia="宋体"/>
          <w:sz w:val="24"/>
        </w:rPr>
        <w:t>结果报送</w:t>
      </w:r>
    </w:p>
    <w:p>
      <w:pPr>
        <w:pStyle w:val="null3"/>
        <w:spacing w:after="150"/>
        <w:ind w:firstLine="420"/>
        <w:jc w:val="left"/>
      </w:pPr>
      <w:r>
        <w:rPr>
          <w:rFonts w:ascii="宋体" w:hAnsi="宋体" w:cs="宋体" w:eastAsia="宋体"/>
          <w:sz w:val="24"/>
        </w:rPr>
        <w:t>成交供应商应根据采购人监测计划制定实施方案，并结合生产实际有序安排抽样检测工作。</w:t>
      </w:r>
      <w:r>
        <w:rPr>
          <w:rFonts w:ascii="宋体" w:hAnsi="宋体" w:cs="宋体" w:eastAsia="宋体"/>
          <w:sz w:val="24"/>
        </w:rPr>
        <w:t>2024年11月20日前</w:t>
      </w:r>
      <w:r>
        <w:rPr>
          <w:rFonts w:ascii="宋体" w:hAnsi="宋体" w:cs="宋体" w:eastAsia="宋体"/>
          <w:sz w:val="24"/>
        </w:rPr>
        <w:t>完成所有监测任务。结果报送采用</w:t>
      </w:r>
      <w:r>
        <w:rPr>
          <w:rFonts w:ascii="宋体" w:hAnsi="宋体" w:cs="宋体" w:eastAsia="宋体"/>
          <w:sz w:val="24"/>
        </w:rPr>
        <w:t>“随检随报”形式，在规定时间内将有关检测结果、工作总结、质量控制报告等按照要求的格式上传至“监测数据报送管理软件平台”（http://112.54.44.117:91/login）。</w:t>
      </w:r>
    </w:p>
    <w:p>
      <w:pPr>
        <w:pStyle w:val="null3"/>
        <w:spacing w:after="150"/>
        <w:ind w:firstLine="420"/>
        <w:jc w:val="left"/>
      </w:pPr>
      <w:r>
        <w:rPr>
          <w:rFonts w:ascii="宋体" w:hAnsi="宋体" w:cs="宋体" w:eastAsia="宋体"/>
          <w:sz w:val="24"/>
        </w:rPr>
        <w:t>8</w:t>
      </w:r>
      <w:r>
        <w:rPr>
          <w:rFonts w:ascii="宋体" w:hAnsi="宋体" w:cs="宋体" w:eastAsia="宋体"/>
          <w:sz w:val="24"/>
        </w:rPr>
        <w:t>、</w:t>
      </w:r>
      <w:r>
        <w:rPr>
          <w:rFonts w:ascii="宋体" w:hAnsi="宋体" w:cs="宋体" w:eastAsia="宋体"/>
          <w:sz w:val="24"/>
        </w:rPr>
        <w:t>其他要求</w:t>
      </w:r>
    </w:p>
    <w:p>
      <w:pPr>
        <w:pStyle w:val="null3"/>
        <w:spacing w:after="150"/>
        <w:ind w:firstLine="420"/>
        <w:jc w:val="left"/>
      </w:pPr>
      <w:r>
        <w:rPr>
          <w:rFonts w:ascii="宋体" w:hAnsi="宋体" w:cs="宋体" w:eastAsia="宋体"/>
          <w:sz w:val="24"/>
        </w:rPr>
        <w:t>（</w:t>
      </w:r>
      <w:r>
        <w:rPr>
          <w:rFonts w:ascii="宋体" w:hAnsi="宋体" w:cs="宋体" w:eastAsia="宋体"/>
          <w:sz w:val="24"/>
        </w:rPr>
        <w:t>1）成交供应商工作人员必须严格遵守国家法律法规的相关规定，对被抽查的产品和企业名单保守秘密。不得利用监测结果参与有偿活动。未经授权，不得擅自对外公布或披露监测结果。</w:t>
      </w:r>
    </w:p>
    <w:p>
      <w:pPr>
        <w:pStyle w:val="null3"/>
        <w:spacing w:after="150"/>
        <w:ind w:firstLine="420"/>
        <w:jc w:val="left"/>
      </w:pPr>
      <w:r>
        <w:rPr>
          <w:rFonts w:ascii="宋体" w:hAnsi="宋体" w:cs="宋体" w:eastAsia="宋体"/>
          <w:sz w:val="24"/>
        </w:rPr>
        <w:t>（</w:t>
      </w:r>
      <w:r>
        <w:rPr>
          <w:rFonts w:ascii="宋体" w:hAnsi="宋体" w:cs="宋体" w:eastAsia="宋体"/>
          <w:sz w:val="24"/>
        </w:rPr>
        <w:t>2）结合监测工作，成交供应商应积极配合采购人向生产主体宣传水产品质量安全法律法规及用药知识。</w:t>
      </w:r>
    </w:p>
    <w:p>
      <w:pPr>
        <w:pStyle w:val="null3"/>
        <w:spacing w:after="150"/>
        <w:ind w:firstLine="420"/>
        <w:jc w:val="left"/>
      </w:pPr>
      <w:r>
        <w:rPr>
          <w:rFonts w:ascii="宋体" w:hAnsi="宋体" w:cs="宋体" w:eastAsia="宋体"/>
          <w:sz w:val="24"/>
        </w:rPr>
        <w:t>（</w:t>
      </w:r>
      <w:r>
        <w:rPr>
          <w:rFonts w:ascii="宋体" w:hAnsi="宋体" w:cs="宋体" w:eastAsia="宋体"/>
          <w:sz w:val="24"/>
        </w:rPr>
        <w:t>3）抽样需按市场价格支付样品费用，部分水产品品种市场价格较高（特别是捕捞水产品），请在报价时充分考虑在内。</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2024年11月20日前</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采购人指定的地点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按合同约定及磋商文件要求，考评、验收合格。</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1、期次1，说明：采购文件、成交人响应文件、合同、国家或地方相关标准的规定。 成交人负责完成样品的抽样检测任务，抽样检测任务完成后按要求提供检验报告（合格报告电子版（盖章扫描件）和纸质版报告各一份，不合格样品和问题样品电子版（盖章扫描件）和纸质版报告一式四份）、检验汇总表及总结报告。成果文件符合验收标准，则验收合格。成交人须对检测结果的真实性、准确性负责。</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1、在合同生效以及具备实施条件，由成交人提供正规税务发票（含税）后，达到付款条件起30日内，支付合同总金额的50.00%</w:t>
            </w:r>
          </w:p>
          <w:p>
            <w:pPr>
              <w:pStyle w:val="null3"/>
            </w:pPr>
            <w:r>
              <w:rPr/>
              <w:t>2、完成总任务数量的80%以上，由成交人提供正规税务发票（含税）后，达到付款条件起30日内，支付合同总金额的30.00%</w:t>
            </w:r>
          </w:p>
          <w:p>
            <w:pPr>
              <w:pStyle w:val="null3"/>
            </w:pPr>
            <w:r>
              <w:rPr/>
              <w:t>3、项目实施结束且验收合格，由成交人提供正规税务发票（含税）后，达到付款条件起30日内，支付合同总金额的20.00%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rPr>
        <w:t>8</w:t>
      </w:r>
      <w:r>
        <w:rPr>
          <w:rFonts w:ascii="宋体" w:hAnsi="宋体" w:cs="宋体" w:eastAsia="宋体"/>
          <w:sz w:val="24"/>
        </w:rPr>
        <w:t>、免费后期服务要求</w:t>
      </w:r>
    </w:p>
    <w:p>
      <w:pPr>
        <w:pStyle w:val="null3"/>
        <w:spacing w:after="150"/>
        <w:ind w:firstLine="480"/>
        <w:jc w:val="left"/>
      </w:pPr>
      <w:r>
        <w:rPr>
          <w:rFonts w:ascii="宋体" w:hAnsi="宋体" w:cs="宋体" w:eastAsia="宋体"/>
          <w:sz w:val="24"/>
        </w:rPr>
        <w:t>（</w:t>
      </w:r>
      <w:r>
        <w:rPr>
          <w:rFonts w:ascii="宋体" w:hAnsi="宋体" w:cs="宋体" w:eastAsia="宋体"/>
          <w:sz w:val="24"/>
        </w:rPr>
        <w:t>1）本项目免费后期服务期限为自</w:t>
      </w:r>
      <w:r>
        <w:rPr>
          <w:rFonts w:ascii="宋体" w:hAnsi="宋体" w:cs="宋体" w:eastAsia="宋体"/>
          <w:sz w:val="24"/>
        </w:rPr>
        <w:t>最终</w:t>
      </w:r>
      <w:r>
        <w:rPr>
          <w:rFonts w:ascii="宋体" w:hAnsi="宋体" w:cs="宋体" w:eastAsia="宋体"/>
          <w:sz w:val="24"/>
        </w:rPr>
        <w:t>验收合格后</w:t>
      </w:r>
      <w:r>
        <w:rPr>
          <w:rFonts w:ascii="宋体" w:hAnsi="宋体" w:cs="宋体" w:eastAsia="宋体"/>
          <w:sz w:val="24"/>
        </w:rPr>
        <w:t>6个月。</w:t>
      </w:r>
    </w:p>
    <w:p>
      <w:pPr>
        <w:pStyle w:val="null3"/>
        <w:spacing w:after="150"/>
        <w:ind w:firstLine="480"/>
        <w:jc w:val="left"/>
      </w:pPr>
      <w:r>
        <w:rPr>
          <w:rFonts w:ascii="宋体" w:hAnsi="宋体" w:cs="宋体" w:eastAsia="宋体"/>
          <w:sz w:val="24"/>
        </w:rPr>
        <w:t>（</w:t>
      </w:r>
      <w:r>
        <w:rPr>
          <w:rFonts w:ascii="宋体" w:hAnsi="宋体" w:cs="宋体" w:eastAsia="宋体"/>
          <w:sz w:val="24"/>
        </w:rPr>
        <w:t>2）免费后期服务期限内，成交</w:t>
      </w:r>
      <w:r>
        <w:rPr>
          <w:rFonts w:ascii="宋体" w:hAnsi="宋体" w:cs="宋体" w:eastAsia="宋体"/>
          <w:sz w:val="24"/>
        </w:rPr>
        <w:t>供应商</w:t>
      </w:r>
      <w:r>
        <w:rPr>
          <w:rFonts w:ascii="宋体" w:hAnsi="宋体" w:cs="宋体" w:eastAsia="宋体"/>
          <w:sz w:val="24"/>
        </w:rPr>
        <w:t>应及时配合采购人对本项目成果提出的疑问、上级抽查、复查、等其他合理要求。</w:t>
      </w:r>
    </w:p>
    <w:p>
      <w:pPr>
        <w:pStyle w:val="null3"/>
        <w:spacing w:after="150"/>
        <w:ind w:firstLine="480"/>
        <w:jc w:val="left"/>
      </w:pPr>
      <w:r>
        <w:rPr>
          <w:rFonts w:ascii="宋体" w:hAnsi="宋体" w:cs="宋体" w:eastAsia="宋体"/>
          <w:sz w:val="24"/>
        </w:rPr>
        <w:t>9</w:t>
      </w:r>
      <w:r>
        <w:rPr>
          <w:rFonts w:ascii="宋体" w:hAnsi="宋体" w:cs="宋体" w:eastAsia="宋体"/>
          <w:sz w:val="24"/>
        </w:rPr>
        <w:t>、</w:t>
      </w:r>
      <w:r>
        <w:rPr>
          <w:rFonts w:ascii="宋体" w:hAnsi="宋体" w:cs="宋体" w:eastAsia="宋体"/>
          <w:sz w:val="24"/>
        </w:rPr>
        <w:t>应急行动</w:t>
      </w:r>
    </w:p>
    <w:p>
      <w:pPr>
        <w:pStyle w:val="null3"/>
        <w:spacing w:after="150"/>
        <w:ind w:firstLine="480"/>
        <w:jc w:val="left"/>
      </w:pPr>
      <w:r>
        <w:rPr>
          <w:rFonts w:ascii="宋体" w:hAnsi="宋体" w:cs="宋体" w:eastAsia="宋体"/>
          <w:sz w:val="24"/>
        </w:rPr>
        <w:t>采购人需要实施应急、执法等抽检时，</w:t>
      </w:r>
      <w:r>
        <w:rPr>
          <w:rFonts w:ascii="宋体" w:hAnsi="宋体" w:cs="宋体" w:eastAsia="宋体"/>
          <w:sz w:val="24"/>
        </w:rPr>
        <w:t>成交</w:t>
      </w:r>
      <w:r>
        <w:rPr>
          <w:rFonts w:ascii="宋体" w:hAnsi="宋体" w:cs="宋体" w:eastAsia="宋体"/>
          <w:sz w:val="24"/>
        </w:rPr>
        <w:t>供应商</w:t>
      </w:r>
      <w:r>
        <w:rPr>
          <w:rFonts w:ascii="宋体" w:hAnsi="宋体" w:cs="宋体" w:eastAsia="宋体"/>
          <w:sz w:val="24"/>
        </w:rPr>
        <w:t>及时协助采购人制定抽检方案。并且，</w:t>
      </w:r>
      <w:r>
        <w:rPr>
          <w:rFonts w:ascii="宋体" w:hAnsi="宋体" w:cs="宋体" w:eastAsia="宋体"/>
          <w:sz w:val="24"/>
        </w:rPr>
        <w:t>成交</w:t>
      </w:r>
      <w:r>
        <w:rPr>
          <w:rFonts w:ascii="宋体" w:hAnsi="宋体" w:cs="宋体" w:eastAsia="宋体"/>
          <w:sz w:val="24"/>
        </w:rPr>
        <w:t>供应商</w:t>
      </w:r>
      <w:r>
        <w:rPr>
          <w:rFonts w:ascii="宋体" w:hAnsi="宋体" w:cs="宋体" w:eastAsia="宋体"/>
          <w:sz w:val="24"/>
        </w:rPr>
        <w:t>能够同时派出不少于</w:t>
      </w:r>
      <w:r>
        <w:rPr>
          <w:rFonts w:ascii="宋体" w:hAnsi="宋体" w:cs="宋体" w:eastAsia="宋体"/>
          <w:sz w:val="24"/>
        </w:rPr>
        <w:t>2个抽样组（每组2人或以上），快速出动配合采购人进行抽检，从接到采购人指令起，按采购人要求时间到达现场。对采购人提出的样品复测、交叉检测等需求时，</w:t>
      </w:r>
      <w:r>
        <w:rPr>
          <w:rFonts w:ascii="宋体" w:hAnsi="宋体" w:cs="宋体" w:eastAsia="宋体"/>
          <w:sz w:val="24"/>
        </w:rPr>
        <w:t>成交</w:t>
      </w:r>
      <w:r>
        <w:rPr>
          <w:rFonts w:ascii="宋体" w:hAnsi="宋体" w:cs="宋体" w:eastAsia="宋体"/>
          <w:sz w:val="24"/>
        </w:rPr>
        <w:t>供应商</w:t>
      </w:r>
      <w:r>
        <w:rPr>
          <w:rFonts w:ascii="宋体" w:hAnsi="宋体" w:cs="宋体" w:eastAsia="宋体"/>
          <w:sz w:val="24"/>
        </w:rPr>
        <w:t>应无条件配合。</w:t>
      </w:r>
    </w:p>
    <w:p>
      <w:pPr>
        <w:pStyle w:val="null3"/>
        <w:spacing w:after="150"/>
        <w:ind w:firstLine="480"/>
        <w:jc w:val="left"/>
      </w:pPr>
      <w:r>
        <w:rPr>
          <w:rFonts w:ascii="宋体" w:hAnsi="宋体" w:cs="宋体" w:eastAsia="宋体"/>
          <w:sz w:val="24"/>
        </w:rPr>
        <w:t>10</w:t>
      </w:r>
      <w:r>
        <w:rPr>
          <w:rFonts w:ascii="宋体" w:hAnsi="宋体" w:cs="宋体" w:eastAsia="宋体"/>
          <w:sz w:val="24"/>
        </w:rPr>
        <w:t>、技术服务</w:t>
      </w:r>
    </w:p>
    <w:p>
      <w:pPr>
        <w:pStyle w:val="null3"/>
        <w:spacing w:after="150"/>
        <w:ind w:firstLine="480"/>
        <w:jc w:val="left"/>
      </w:pPr>
      <w:r>
        <w:rPr>
          <w:rFonts w:ascii="宋体" w:hAnsi="宋体" w:cs="宋体" w:eastAsia="宋体"/>
          <w:sz w:val="24"/>
        </w:rPr>
        <w:t>成交</w:t>
      </w:r>
      <w:r>
        <w:rPr>
          <w:rFonts w:ascii="宋体" w:hAnsi="宋体" w:cs="宋体" w:eastAsia="宋体"/>
          <w:sz w:val="24"/>
        </w:rPr>
        <w:t>供应商</w:t>
      </w:r>
      <w:r>
        <w:rPr>
          <w:rFonts w:ascii="宋体" w:hAnsi="宋体" w:cs="宋体" w:eastAsia="宋体"/>
          <w:sz w:val="24"/>
        </w:rPr>
        <w:t>根据采购人的工作需求，提供以下技术服务：</w:t>
      </w:r>
    </w:p>
    <w:p>
      <w:pPr>
        <w:pStyle w:val="null3"/>
        <w:spacing w:after="150"/>
        <w:ind w:firstLine="480"/>
        <w:jc w:val="left"/>
      </w:pPr>
      <w:r>
        <w:rPr>
          <w:rFonts w:ascii="宋体" w:hAnsi="宋体" w:cs="宋体" w:eastAsia="宋体"/>
          <w:sz w:val="24"/>
        </w:rPr>
        <w:t>（</w:t>
      </w:r>
      <w:r>
        <w:rPr>
          <w:rFonts w:ascii="宋体" w:hAnsi="宋体" w:cs="宋体" w:eastAsia="宋体"/>
          <w:sz w:val="24"/>
        </w:rPr>
        <w:t>1）水产品质量安全宣传活动中的咨询、检测、宣讲等服务。</w:t>
      </w:r>
    </w:p>
    <w:p>
      <w:pPr>
        <w:pStyle w:val="null3"/>
        <w:spacing w:after="150"/>
        <w:ind w:firstLine="480"/>
        <w:jc w:val="left"/>
      </w:pPr>
      <w:r>
        <w:rPr>
          <w:rFonts w:ascii="宋体" w:hAnsi="宋体" w:cs="宋体" w:eastAsia="宋体"/>
          <w:sz w:val="24"/>
        </w:rPr>
        <w:t>（</w:t>
      </w:r>
      <w:r>
        <w:rPr>
          <w:rFonts w:ascii="宋体" w:hAnsi="宋体" w:cs="宋体" w:eastAsia="宋体"/>
          <w:sz w:val="24"/>
        </w:rPr>
        <w:t>2）水产品应急处置等相关工作中的技术支持。</w:t>
      </w:r>
    </w:p>
    <w:p>
      <w:pPr>
        <w:pStyle w:val="null3"/>
        <w:spacing w:after="150"/>
        <w:ind w:firstLine="480"/>
        <w:jc w:val="left"/>
      </w:pPr>
      <w:r>
        <w:rPr>
          <w:rFonts w:ascii="宋体" w:hAnsi="宋体" w:cs="宋体" w:eastAsia="宋体"/>
          <w:sz w:val="24"/>
        </w:rPr>
        <w:t>（</w:t>
      </w:r>
      <w:r>
        <w:rPr>
          <w:rFonts w:ascii="宋体" w:hAnsi="宋体" w:cs="宋体" w:eastAsia="宋体"/>
          <w:sz w:val="24"/>
        </w:rPr>
        <w:t>3）安排技术人员接受咨询、参加研讨、提出建议等。</w:t>
      </w:r>
    </w:p>
    <w:p>
      <w:pPr>
        <w:pStyle w:val="null3"/>
        <w:spacing w:after="150"/>
        <w:ind w:firstLine="480"/>
        <w:jc w:val="left"/>
      </w:pPr>
      <w:r>
        <w:rPr>
          <w:rFonts w:ascii="宋体" w:hAnsi="宋体" w:cs="宋体" w:eastAsia="宋体"/>
          <w:sz w:val="24"/>
        </w:rPr>
        <w:t>（</w:t>
      </w:r>
      <w:r>
        <w:rPr>
          <w:rFonts w:ascii="宋体" w:hAnsi="宋体" w:cs="宋体" w:eastAsia="宋体"/>
          <w:sz w:val="24"/>
        </w:rPr>
        <w:t>4）其他根据工作提出的技术服务。</w:t>
      </w:r>
    </w:p>
    <w:p>
      <w:pPr>
        <w:pStyle w:val="null3"/>
        <w:spacing w:after="150"/>
        <w:ind w:firstLine="480"/>
        <w:jc w:val="left"/>
      </w:pPr>
      <w:r>
        <w:rPr>
          <w:rFonts w:ascii="宋体" w:hAnsi="宋体" w:cs="宋体" w:eastAsia="宋体"/>
          <w:sz w:val="24"/>
        </w:rPr>
        <w:t>11</w:t>
      </w:r>
      <w:r>
        <w:rPr>
          <w:rFonts w:ascii="宋体" w:hAnsi="宋体" w:cs="宋体" w:eastAsia="宋体"/>
          <w:sz w:val="24"/>
        </w:rPr>
        <w:t>、</w:t>
      </w:r>
      <w:r>
        <w:rPr>
          <w:rFonts w:ascii="宋体" w:hAnsi="宋体" w:cs="宋体" w:eastAsia="宋体"/>
          <w:sz w:val="24"/>
        </w:rPr>
        <w:t>报价要求</w:t>
      </w:r>
    </w:p>
    <w:p>
      <w:pPr>
        <w:pStyle w:val="null3"/>
        <w:spacing w:after="150"/>
        <w:ind w:firstLine="480"/>
        <w:jc w:val="left"/>
      </w:pPr>
      <w:r>
        <w:rPr>
          <w:rFonts w:ascii="宋体" w:hAnsi="宋体" w:cs="宋体" w:eastAsia="宋体"/>
          <w:sz w:val="24"/>
        </w:rPr>
        <w:t>（</w:t>
      </w:r>
      <w:r>
        <w:rPr>
          <w:rFonts w:ascii="宋体" w:hAnsi="宋体" w:cs="宋体" w:eastAsia="宋体"/>
          <w:sz w:val="24"/>
        </w:rPr>
        <w:t>1）按采购文件要求，将项目全部服务内容完成直至服务期满所需的一切费用，包括但不限于以下费用：为完成本项目服务工作所需的设备工具费、样品费、检验检测费、人员工资及福利费（如食宿费、五险等）、办公用房及所需耗材费、交通费（不含车辆购置费用）、差旅费、项目自检费用、验收费、提供给采购人的成果资料费、税费、企业管理费、代理服务费等。</w:t>
      </w:r>
    </w:p>
    <w:p>
      <w:pPr>
        <w:pStyle w:val="null3"/>
        <w:spacing w:after="150"/>
        <w:ind w:firstLine="480"/>
        <w:jc w:val="left"/>
      </w:pPr>
      <w:r>
        <w:rPr>
          <w:rFonts w:ascii="宋体" w:hAnsi="宋体" w:cs="宋体" w:eastAsia="宋体"/>
          <w:sz w:val="24"/>
        </w:rPr>
        <w:t>（</w:t>
      </w:r>
      <w:r>
        <w:rPr>
          <w:rFonts w:ascii="宋体" w:hAnsi="宋体" w:cs="宋体" w:eastAsia="宋体"/>
          <w:sz w:val="24"/>
        </w:rPr>
        <w:t>2）上述费用均应包含在每一单项细目（样品）的单价中，所有单价均为综合单价，该单价包括以上明确或未明确的所有费用，供应商应在详细报价书列出报价。上述单价在相关合同期内为不变价。供应商须充分考虑上述费用因素，并在此基础上提供合理报价，不得恶意低价，否则，若无法按要求履行合同将承担违约责任的，</w:t>
      </w:r>
      <w:r>
        <w:rPr>
          <w:rFonts w:ascii="宋体" w:hAnsi="宋体" w:cs="宋体" w:eastAsia="宋体"/>
          <w:sz w:val="24"/>
        </w:rPr>
        <w:t>追究由此给采购人造成的全部损失。</w:t>
      </w:r>
    </w:p>
    <w:p>
      <w:pPr>
        <w:pStyle w:val="null3"/>
        <w:spacing w:after="150"/>
        <w:ind w:firstLine="480"/>
        <w:jc w:val="left"/>
      </w:pPr>
      <w:r>
        <w:rPr>
          <w:rFonts w:ascii="宋体" w:hAnsi="宋体" w:cs="宋体" w:eastAsia="宋体"/>
          <w:sz w:val="24"/>
        </w:rPr>
        <w:t>12、其他要求</w:t>
      </w:r>
    </w:p>
    <w:p>
      <w:pPr>
        <w:pStyle w:val="null3"/>
        <w:spacing w:after="150"/>
        <w:ind w:firstLine="480"/>
        <w:jc w:val="left"/>
      </w:pPr>
      <w:r>
        <w:rPr>
          <w:rFonts w:ascii="宋体" w:hAnsi="宋体" w:cs="宋体" w:eastAsia="宋体"/>
          <w:sz w:val="24"/>
        </w:rPr>
        <w:t>成交</w:t>
      </w:r>
      <w:r>
        <w:rPr>
          <w:rFonts w:ascii="宋体" w:hAnsi="宋体" w:cs="宋体" w:eastAsia="宋体"/>
          <w:sz w:val="24"/>
        </w:rPr>
        <w:t>供应商有下列情形之一的，采购人有权终止合同：</w:t>
      </w:r>
    </w:p>
    <w:p>
      <w:pPr>
        <w:pStyle w:val="null3"/>
        <w:spacing w:after="150"/>
        <w:ind w:firstLine="480"/>
        <w:jc w:val="left"/>
      </w:pPr>
      <w:r>
        <w:rPr>
          <w:rFonts w:ascii="宋体" w:hAnsi="宋体" w:cs="宋体" w:eastAsia="宋体"/>
          <w:sz w:val="24"/>
        </w:rPr>
        <w:t>（</w:t>
      </w:r>
      <w:r>
        <w:rPr>
          <w:rFonts w:ascii="宋体" w:hAnsi="宋体" w:cs="宋体" w:eastAsia="宋体"/>
          <w:sz w:val="24"/>
        </w:rPr>
        <w:t>1）出具虚假检验检测报告的；</w:t>
      </w:r>
    </w:p>
    <w:p>
      <w:pPr>
        <w:pStyle w:val="null3"/>
        <w:spacing w:after="150"/>
        <w:ind w:firstLine="480"/>
        <w:jc w:val="left"/>
      </w:pPr>
      <w:r>
        <w:rPr>
          <w:rFonts w:ascii="宋体" w:hAnsi="宋体" w:cs="宋体" w:eastAsia="宋体"/>
          <w:sz w:val="24"/>
        </w:rPr>
        <w:t>（</w:t>
      </w:r>
      <w:r>
        <w:rPr>
          <w:rFonts w:ascii="宋体" w:hAnsi="宋体" w:cs="宋体" w:eastAsia="宋体"/>
          <w:sz w:val="24"/>
        </w:rPr>
        <w:t>2）出具虚假检验检测费用结算报告的；</w:t>
      </w:r>
    </w:p>
    <w:p>
      <w:pPr>
        <w:pStyle w:val="null3"/>
        <w:spacing w:after="150"/>
        <w:ind w:firstLine="480"/>
        <w:jc w:val="left"/>
      </w:pPr>
      <w:r>
        <w:rPr>
          <w:rFonts w:ascii="宋体" w:hAnsi="宋体" w:cs="宋体" w:eastAsia="宋体"/>
          <w:sz w:val="24"/>
        </w:rPr>
        <w:t>（</w:t>
      </w:r>
      <w:r>
        <w:rPr>
          <w:rFonts w:ascii="宋体" w:hAnsi="宋体" w:cs="宋体" w:eastAsia="宋体"/>
          <w:sz w:val="24"/>
        </w:rPr>
        <w:t>3）未经批准或授权，将检验检测数据用于学术研究或擅自对外公布的。</w:t>
      </w:r>
    </w:p>
    <w:p>
      <w:pPr>
        <w:pStyle w:val="null3"/>
        <w:spacing w:after="150"/>
        <w:ind w:firstLine="480"/>
        <w:jc w:val="left"/>
      </w:pPr>
      <w:r>
        <w:rPr>
          <w:rFonts w:ascii="宋体" w:hAnsi="宋体" w:cs="宋体" w:eastAsia="宋体"/>
          <w:sz w:val="24"/>
        </w:rPr>
        <w:t>（</w:t>
      </w:r>
      <w:r>
        <w:rPr>
          <w:rFonts w:ascii="宋体" w:hAnsi="宋体" w:cs="宋体" w:eastAsia="宋体"/>
          <w:sz w:val="24"/>
        </w:rPr>
        <w:t>4）3次以上（含3次）未按要求完成抽检任务或不能按时提交相关材料的。</w:t>
      </w:r>
    </w:p>
    <w:p>
      <w:pPr>
        <w:pStyle w:val="null3"/>
        <w:jc w:val="left"/>
        <w:outlineLvl w:val="2"/>
      </w:pPr>
      <w:r>
        <w:rPr>
          <w:sz w:val="28"/>
          <w:b/>
        </w:rPr>
        <w:t>四、其他事项</w:t>
      </w:r>
    </w:p>
    <w:p>
      <w:pPr>
        <w:pStyle w:val="null3"/>
        <w:jc w:val="left"/>
      </w:pPr>
      <w:r>
        <w:rPr/>
        <w:t>根据《泉州市财政局关于进一步落实中小企业政府采购合同融资有相关事项的通知》及《关于印发（福建省支持中小企业政府采购合同融资暂行办法）的通知》（闽财购[2018]7号）的通知，现我市政府采购活动中依法中 标后的中小企业供应商可申请政府采购合同融资（1）凡参与政府采购并依法取得政府采购合同的供应商，均可使用政府采购合同向福建省政府采购网发布的政府采购合同融资业务信息的银行业金融机构申请融资，可在“政采贷”模块进行具体操作。 （2）企业申请所需提交的材料可登录“福建省政府采购网”查询。（3）融资主要条件：①担保条件：除法定代表人或实际控制人担保外，如融资金额未超过政府采购合同金额的，银行不要求企业供 应商提供财产抵质押或第三方担保，或附加其他担保条件。②专用账户：当银行同意授信后，企业供应商在该行开立封闭式专用账户，与采购人在合同中或通过签订补充协议约定唯一收款账号。 ③支付约定：银行发放贷款的同时，办理政府采购合同应收账款质押查询和登记，合同履行并验收后，采购人需将采购资金按合同约定支付到约定收款账户。</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left"/>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优先类节能产品、环境标志产品加分证明材料（若有）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pPr>
              <w:pStyle w:val="null3"/>
              <w:jc w:val="center"/>
            </w:pPr>
            <w:r>
              <w:rPr/>
              <w:t xml:space="preserve">   </w:t>
            </w:r>
          </w:p>
        </w:tc>
        <w:tc>
          <w:tcPr>
            <w:tcW w:type="dxa" w:w="7476"/>
            <w:gridSpan w:val="6"/>
          </w:tcPr>
          <w:p>
            <w:pPr>
              <w:pStyle w:val="null3"/>
              <w:jc w:val="center"/>
            </w:pPr>
            <w:r>
              <w:rPr/>
              <w:t>本采购包内属于节能、环境标志产品的情况</w:t>
            </w:r>
          </w:p>
        </w:tc>
      </w:tr>
      <w:tr>
        <w:tc>
          <w:tcPr>
            <w:tcW w:type="dxa" w:w="831"/>
          </w:tcPr>
          <w:p>
            <w:pPr>
              <w:pStyle w:val="null3"/>
              <w:jc w:val="center"/>
            </w:pPr>
            <w:r>
              <w:rPr/>
              <w:t>采购包</w:t>
            </w: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最后报价单价（现场）</w:t>
            </w:r>
          </w:p>
        </w:tc>
        <w:tc>
          <w:tcPr>
            <w:tcW w:type="dxa" w:w="1661"/>
          </w:tcPr>
          <w:p>
            <w:pPr>
              <w:pStyle w:val="null3"/>
              <w:jc w:val="center"/>
            </w:pPr>
            <w:r>
              <w:rPr/>
              <w:t>数量</w:t>
            </w:r>
          </w:p>
        </w:tc>
        <w:tc>
          <w:tcPr>
            <w:tcW w:type="dxa" w:w="831"/>
          </w:tcPr>
          <w:p>
            <w:pPr>
              <w:pStyle w:val="null3"/>
              <w:jc w:val="center"/>
            </w:pPr>
            <w:r>
              <w:rPr/>
              <w:t>最后报价总价（现场）</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831"/>
          </w:tcPr>
          <w:p>
            <w:pPr>
              <w:pStyle w:val="null3"/>
              <w:jc w:val="left"/>
            </w:pPr>
            <w:r>
              <w:rPr/>
              <w:t xml:space="preserve">   </w:t>
            </w:r>
          </w:p>
        </w:tc>
        <w:tc>
          <w:tcPr>
            <w:tcW w:type="dxa" w:w="831"/>
          </w:tcPr>
          <w:p>
            <w:pPr>
              <w:pStyle w:val="null3"/>
              <w:jc w:val="left"/>
            </w:pPr>
            <w:r>
              <w:rPr/>
              <w:t xml:space="preserve">   </w:t>
            </w:r>
          </w:p>
        </w:tc>
      </w:tr>
      <w:tr>
        <w:tc>
          <w:tcPr>
            <w:tcW w:type="dxa" w:w="831"/>
            <w:vMerge/>
          </w:tcPr>
          <w:p/>
        </w:tc>
        <w:tc>
          <w:tcPr>
            <w:tcW w:type="dxa" w:w="831"/>
          </w:tcPr>
          <w:p>
            <w:pPr>
              <w:pStyle w:val="null3"/>
              <w:jc w:val="center"/>
            </w:pPr>
            <w:r>
              <w:rPr/>
              <w:t>...</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831"/>
          </w:tcPr>
          <w:p>
            <w:pPr>
              <w:pStyle w:val="null3"/>
              <w:jc w:val="left"/>
            </w:pPr>
            <w:r>
              <w:rPr/>
              <w:t xml:space="preserve">   </w:t>
            </w:r>
          </w:p>
        </w:tc>
        <w:tc>
          <w:tcPr>
            <w:tcW w:type="dxa" w:w="831"/>
          </w:tcPr>
          <w:p>
            <w:pPr>
              <w:pStyle w:val="null3"/>
              <w:jc w:val="left"/>
            </w:pPr>
            <w:r>
              <w:rPr/>
              <w:t xml:space="preserve">   </w:t>
            </w:r>
          </w:p>
        </w:tc>
      </w:tr>
      <w:tr>
        <w:tc>
          <w:tcPr>
            <w:tcW w:type="dxa" w:w="831"/>
          </w:tcPr>
          <w:p>
            <w:pPr>
              <w:pStyle w:val="null3"/>
              <w:jc w:val="center"/>
            </w:pPr>
            <w:r>
              <w:rPr/>
              <w:t>备注</w:t>
            </w:r>
          </w:p>
        </w:tc>
        <w:tc>
          <w:tcPr>
            <w:tcW w:type="dxa" w:w="7476"/>
            <w:gridSpan w:val="6"/>
          </w:tcPr>
          <w:p>
            <w:pPr>
              <w:pStyle w:val="null3"/>
              <w:jc w:val="left"/>
            </w:pPr>
            <w:r>
              <w:rPr/>
              <w:t>a.采购包内属于节能、环境标志产品的报价总金额：</w:t>
            </w:r>
            <w:r>
              <w:rPr>
                <w:u w:val="single"/>
              </w:rPr>
              <w:t xml:space="preserve">           </w:t>
            </w:r>
            <w:r>
              <w:rPr/>
              <w:t>；</w:t>
            </w:r>
          </w:p>
          <w:p>
            <w:pPr>
              <w:pStyle w:val="null3"/>
              <w:jc w:val="left"/>
            </w:pPr>
            <w:r>
              <w:rPr/>
              <w:t>b.采购包投标总价（报价总金额）：</w:t>
            </w:r>
            <w:r>
              <w:rPr>
                <w:u w:val="single"/>
              </w:rPr>
              <w:t xml:space="preserve">           </w:t>
            </w:r>
            <w:r>
              <w:rPr/>
              <w:t>；</w:t>
            </w:r>
          </w:p>
          <w:p>
            <w:pPr>
              <w:pStyle w:val="null3"/>
              <w:jc w:val="left"/>
            </w:pPr>
            <w:r>
              <w:rPr/>
              <w:t>c.“采购包内属于节能、环境标志产品的报价总金额”占“采购包投标总价（报价总金额）”的比例（以%列示）：</w:t>
            </w:r>
            <w:r>
              <w:rPr>
                <w:u w:val="single"/>
              </w:rPr>
              <w:t xml:space="preserve">           </w:t>
            </w:r>
            <w:r>
              <w:rPr/>
              <w:t>；</w:t>
            </w:r>
          </w:p>
        </w:tc>
      </w:tr>
    </w:tbl>
    <w:p>
      <w:pPr>
        <w:pStyle w:val="null3"/>
        <w:ind w:firstLine="480"/>
        <w:jc w:val="left"/>
      </w:pPr>
      <w:r>
        <w:rPr/>
        <w:t>※注意</w:t>
      </w:r>
    </w:p>
    <w:p>
      <w:pPr>
        <w:pStyle w:val="null3"/>
        <w:ind w:firstLine="480"/>
        <w:jc w:val="left"/>
      </w:pPr>
      <w:r>
        <w:rPr/>
        <w:t>1、若供应商可享受磋商文件规定的“优先类节能产品、环境标志产品加分”的，则供应商应填写“优先类节能产品、环境标志产品统计表”并按照磋商文件要求提供相应证明材料。对“节能、环境标志产品”计算加分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3.3供应商应按照磋商文件上表要求认真统计、计算，否则磋商小组可不予认定。</w:t>
      </w:r>
    </w:p>
    <w:p>
      <w:pPr>
        <w:pStyle w:val="null3"/>
        <w:ind w:firstLine="480"/>
        <w:jc w:val="left"/>
      </w:pPr>
      <w:r>
        <w:rPr/>
        <w:t>3.4若无节能、环境标志产品，不填写本表，否则，视为提供虚假材料。</w:t>
      </w:r>
    </w:p>
    <w:p>
      <w:pPr>
        <w:pStyle w:val="null3"/>
        <w:ind w:firstLine="480"/>
        <w:jc w:val="left"/>
      </w:pPr>
      <w:r>
        <w:rPr/>
        <w:t>3.5强制类节能产品不享受价格扣除。</w:t>
      </w:r>
    </w:p>
    <w:p>
      <w:pPr>
        <w:pStyle w:val="null3"/>
        <w:ind w:firstLine="480"/>
        <w:jc w:val="left"/>
      </w:pPr>
      <w:r>
        <w:rPr/>
        <w:t>4、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加分的优惠政策。</w:t>
      </w:r>
    </w:p>
    <w:p>
      <w:pPr>
        <w:pStyle w:val="null3"/>
        <w:ind w:firstLine="480"/>
        <w:jc w:val="left"/>
      </w:pPr>
      <w:r>
        <w:rPr/>
        <w:t>5、纸质响应文件正本中的本表（若有）应为原件。</w:t>
      </w:r>
    </w:p>
    <w:p>
      <w:pPr>
        <w:pStyle w:val="null3"/>
        <w:ind w:firstLine="480"/>
        <w:jc w:val="left"/>
      </w:pPr>
      <w:r>
        <w:rPr/>
        <w:t>供应商代表：</w:t>
      </w:r>
      <w:r>
        <w:rPr>
          <w:u w:val="single"/>
        </w:rPr>
        <w:t>　　　</w:t>
      </w:r>
      <w:r>
        <w:rPr>
          <w:u w:val="single"/>
        </w:rPr>
        <w:t>（签字）</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