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07499">
      <w:pPr>
        <w:pageBreakBefore w:val="0"/>
        <w:wordWrap/>
        <w:overflowPunct/>
        <w:topLinePunct w:val="0"/>
        <w:bidi w:val="0"/>
        <w:spacing w:line="360" w:lineRule="auto"/>
        <w:rPr>
          <w:rFonts w:hint="eastAsia" w:ascii="仿宋" w:hAnsi="仿宋" w:eastAsia="仿宋" w:cs="仿宋"/>
          <w:b/>
          <w:bCs/>
          <w:color w:val="auto"/>
          <w:sz w:val="24"/>
          <w:szCs w:val="36"/>
          <w:highlight w:val="none"/>
        </w:rPr>
      </w:pPr>
    </w:p>
    <w:p w14:paraId="2A52B9BF">
      <w:pPr>
        <w:pStyle w:val="12"/>
        <w:pageBreakBefore w:val="0"/>
        <w:wordWrap/>
        <w:overflowPunct/>
        <w:topLinePunct w:val="0"/>
        <w:bidi w:val="0"/>
        <w:spacing w:line="360" w:lineRule="auto"/>
        <w:rPr>
          <w:rFonts w:hint="eastAsia" w:ascii="仿宋" w:hAnsi="仿宋" w:eastAsia="仿宋" w:cs="仿宋"/>
          <w:color w:val="auto"/>
          <w:highlight w:val="none"/>
        </w:rPr>
      </w:pPr>
    </w:p>
    <w:p w14:paraId="408CF331">
      <w:pPr>
        <w:pStyle w:val="16"/>
        <w:pageBreakBefore w:val="0"/>
        <w:wordWrap/>
        <w:overflowPunct/>
        <w:topLinePunct w:val="0"/>
        <w:bidi w:val="0"/>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cs="仿宋"/>
          <w:b/>
          <w:bCs/>
          <w:color w:val="auto"/>
          <w:sz w:val="52"/>
          <w:szCs w:val="52"/>
          <w:highlight w:val="none"/>
          <w:lang w:eastAsia="zh-CN"/>
        </w:rPr>
        <w:t>《你好，再见！》丽江纪综艺纪板块（玉龙县）宣推项目</w:t>
      </w:r>
    </w:p>
    <w:p w14:paraId="0F726828">
      <w:pPr>
        <w:pageBreakBefore w:val="0"/>
        <w:wordWrap/>
        <w:overflowPunct/>
        <w:topLinePunct w:val="0"/>
        <w:bidi w:val="0"/>
        <w:spacing w:line="360" w:lineRule="auto"/>
        <w:rPr>
          <w:rFonts w:hint="eastAsia" w:ascii="仿宋" w:hAnsi="仿宋" w:eastAsia="仿宋" w:cs="仿宋"/>
          <w:color w:val="auto"/>
          <w:highlight w:val="none"/>
        </w:rPr>
      </w:pPr>
    </w:p>
    <w:p w14:paraId="033081C5">
      <w:pPr>
        <w:pStyle w:val="12"/>
        <w:pageBreakBefore w:val="0"/>
        <w:wordWrap/>
        <w:overflowPunct/>
        <w:topLinePunct w:val="0"/>
        <w:bidi w:val="0"/>
        <w:spacing w:line="360" w:lineRule="auto"/>
        <w:rPr>
          <w:rFonts w:hint="eastAsia" w:ascii="仿宋" w:hAnsi="仿宋" w:eastAsia="仿宋" w:cs="仿宋"/>
          <w:color w:val="auto"/>
          <w:highlight w:val="none"/>
        </w:rPr>
      </w:pPr>
    </w:p>
    <w:p w14:paraId="084DD727">
      <w:pPr>
        <w:pStyle w:val="12"/>
        <w:pageBreakBefore w:val="0"/>
        <w:wordWrap/>
        <w:overflowPunct/>
        <w:topLinePunct w:val="0"/>
        <w:bidi w:val="0"/>
        <w:spacing w:line="360" w:lineRule="auto"/>
        <w:rPr>
          <w:rFonts w:hint="eastAsia" w:ascii="仿宋" w:hAnsi="仿宋" w:eastAsia="仿宋" w:cs="仿宋"/>
          <w:color w:val="auto"/>
          <w:highlight w:val="none"/>
        </w:rPr>
      </w:pPr>
    </w:p>
    <w:p w14:paraId="41F570AB">
      <w:pPr>
        <w:pageBreakBefore w:val="0"/>
        <w:wordWrap/>
        <w:overflowPunct/>
        <w:topLinePunct w:val="0"/>
        <w:bidi w:val="0"/>
        <w:spacing w:line="360" w:lineRule="auto"/>
        <w:rPr>
          <w:rFonts w:hint="eastAsia" w:ascii="仿宋" w:hAnsi="仿宋" w:eastAsia="仿宋" w:cs="仿宋"/>
          <w:color w:val="auto"/>
          <w:highlight w:val="none"/>
        </w:rPr>
      </w:pPr>
    </w:p>
    <w:p w14:paraId="7FB70F41">
      <w:pPr>
        <w:pStyle w:val="16"/>
        <w:pageBreakBefore w:val="0"/>
        <w:wordWrap/>
        <w:overflowPunct/>
        <w:topLinePunct w:val="0"/>
        <w:bidi w:val="0"/>
        <w:spacing w:line="360" w:lineRule="auto"/>
        <w:rPr>
          <w:rFonts w:hint="eastAsia" w:ascii="仿宋" w:hAnsi="仿宋" w:eastAsia="仿宋" w:cs="仿宋"/>
          <w:color w:val="auto"/>
          <w:highlight w:val="none"/>
        </w:rPr>
      </w:pPr>
    </w:p>
    <w:p w14:paraId="3D3ADAB6">
      <w:pPr>
        <w:pStyle w:val="16"/>
        <w:pageBreakBefore w:val="0"/>
        <w:wordWrap/>
        <w:overflowPunct/>
        <w:topLinePunct w:val="0"/>
        <w:bidi w:val="0"/>
        <w:spacing w:line="360" w:lineRule="auto"/>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竞争性磋商文件</w:t>
      </w:r>
    </w:p>
    <w:p w14:paraId="72DA4F54">
      <w:pPr>
        <w:pStyle w:val="16"/>
        <w:pageBreakBefore w:val="0"/>
        <w:wordWrap/>
        <w:overflowPunct/>
        <w:topLinePunct w:val="0"/>
        <w:bidi w:val="0"/>
        <w:spacing w:line="360" w:lineRule="auto"/>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项目编号：</w:t>
      </w:r>
      <w:r>
        <w:rPr>
          <w:rFonts w:hint="eastAsia" w:ascii="仿宋" w:hAnsi="仿宋" w:cs="仿宋"/>
          <w:b/>
          <w:bCs/>
          <w:color w:val="auto"/>
          <w:sz w:val="32"/>
          <w:szCs w:val="32"/>
          <w:highlight w:val="none"/>
          <w:lang w:eastAsia="zh-CN"/>
        </w:rPr>
        <w:t>LJZC2026-C3-00705-YNLB-0329</w:t>
      </w:r>
    </w:p>
    <w:p w14:paraId="0295B9B8">
      <w:pPr>
        <w:pStyle w:val="16"/>
        <w:pageBreakBefore w:val="0"/>
        <w:wordWrap/>
        <w:overflowPunct/>
        <w:topLinePunct w:val="0"/>
        <w:bidi w:val="0"/>
        <w:spacing w:line="360" w:lineRule="auto"/>
        <w:rPr>
          <w:rFonts w:hint="eastAsia" w:ascii="仿宋" w:hAnsi="仿宋" w:eastAsia="仿宋" w:cs="仿宋"/>
          <w:color w:val="auto"/>
          <w:highlight w:val="none"/>
        </w:rPr>
      </w:pPr>
    </w:p>
    <w:p w14:paraId="653E7B98">
      <w:pPr>
        <w:pStyle w:val="16"/>
        <w:pageBreakBefore w:val="0"/>
        <w:wordWrap/>
        <w:overflowPunct/>
        <w:topLinePunct w:val="0"/>
        <w:bidi w:val="0"/>
        <w:spacing w:line="360" w:lineRule="auto"/>
        <w:rPr>
          <w:rFonts w:hint="eastAsia" w:ascii="仿宋" w:hAnsi="仿宋" w:eastAsia="仿宋" w:cs="仿宋"/>
          <w:color w:val="auto"/>
          <w:highlight w:val="none"/>
        </w:rPr>
      </w:pPr>
    </w:p>
    <w:p w14:paraId="78D27EA1">
      <w:pPr>
        <w:pStyle w:val="16"/>
        <w:pageBreakBefore w:val="0"/>
        <w:wordWrap/>
        <w:overflowPunct/>
        <w:topLinePunct w:val="0"/>
        <w:bidi w:val="0"/>
        <w:spacing w:line="360" w:lineRule="auto"/>
        <w:rPr>
          <w:rFonts w:hint="eastAsia" w:ascii="仿宋" w:hAnsi="仿宋" w:eastAsia="仿宋" w:cs="仿宋"/>
          <w:color w:val="auto"/>
          <w:highlight w:val="none"/>
        </w:rPr>
      </w:pPr>
    </w:p>
    <w:p w14:paraId="27FA9159">
      <w:pPr>
        <w:pageBreakBefore w:val="0"/>
        <w:wordWrap/>
        <w:overflowPunct/>
        <w:topLinePunct w:val="0"/>
        <w:bidi w:val="0"/>
        <w:spacing w:line="360" w:lineRule="auto"/>
        <w:rPr>
          <w:rFonts w:hint="eastAsia" w:ascii="仿宋" w:hAnsi="仿宋" w:eastAsia="仿宋" w:cs="仿宋"/>
          <w:color w:val="auto"/>
          <w:highlight w:val="none"/>
        </w:rPr>
      </w:pPr>
    </w:p>
    <w:p w14:paraId="1861F450">
      <w:pPr>
        <w:pageBreakBefore w:val="0"/>
        <w:wordWrap/>
        <w:overflowPunct/>
        <w:topLinePunct w:val="0"/>
        <w:bidi w:val="0"/>
        <w:spacing w:line="360" w:lineRule="auto"/>
        <w:rPr>
          <w:rFonts w:hint="eastAsia" w:ascii="仿宋" w:hAnsi="仿宋" w:eastAsia="仿宋" w:cs="仿宋"/>
          <w:color w:val="auto"/>
          <w:highlight w:val="none"/>
        </w:rPr>
      </w:pPr>
    </w:p>
    <w:p w14:paraId="33BEAF2D">
      <w:pPr>
        <w:pStyle w:val="36"/>
        <w:pageBreakBefore w:val="0"/>
        <w:wordWrap/>
        <w:overflowPunct/>
        <w:topLinePunct w:val="0"/>
        <w:bidi w:val="0"/>
        <w:spacing w:beforeLines="0" w:line="360" w:lineRule="auto"/>
        <w:ind w:left="0" w:leftChars="0" w:firstLine="0" w:firstLineChars="0"/>
        <w:rPr>
          <w:rFonts w:hint="eastAsia" w:ascii="仿宋" w:hAnsi="仿宋" w:eastAsia="仿宋" w:cs="仿宋"/>
          <w:color w:val="auto"/>
          <w:highlight w:val="none"/>
        </w:rPr>
      </w:pPr>
    </w:p>
    <w:p w14:paraId="14AC650B">
      <w:pPr>
        <w:pageBreakBefore w:val="0"/>
        <w:wordWrap/>
        <w:overflowPunct/>
        <w:topLinePunct w:val="0"/>
        <w:bidi w:val="0"/>
        <w:spacing w:line="360" w:lineRule="auto"/>
        <w:rPr>
          <w:rFonts w:hint="eastAsia" w:ascii="仿宋" w:hAnsi="仿宋" w:eastAsia="仿宋" w:cs="仿宋"/>
          <w:color w:val="auto"/>
          <w:highlight w:val="none"/>
        </w:rPr>
      </w:pPr>
    </w:p>
    <w:p w14:paraId="0450AEC6">
      <w:pPr>
        <w:pStyle w:val="16"/>
        <w:pageBreakBefore w:val="0"/>
        <w:wordWrap/>
        <w:overflowPunct/>
        <w:topLinePunct w:val="0"/>
        <w:bidi w:val="0"/>
        <w:spacing w:line="360" w:lineRule="auto"/>
        <w:jc w:val="center"/>
        <w:rPr>
          <w:rFonts w:hint="eastAsia" w:ascii="仿宋" w:hAnsi="仿宋" w:cs="仿宋"/>
          <w:b/>
          <w:bCs/>
          <w:color w:val="auto"/>
          <w:sz w:val="32"/>
          <w:szCs w:val="32"/>
          <w:highlight w:val="none"/>
          <w:lang w:eastAsia="zh-CN"/>
        </w:rPr>
      </w:pPr>
      <w:r>
        <w:rPr>
          <w:rFonts w:hint="eastAsia" w:ascii="仿宋" w:hAnsi="仿宋" w:eastAsia="仿宋" w:cs="仿宋"/>
          <w:b/>
          <w:bCs/>
          <w:color w:val="auto"/>
          <w:sz w:val="32"/>
          <w:szCs w:val="32"/>
          <w:highlight w:val="none"/>
        </w:rPr>
        <w:t>采购人：</w:t>
      </w:r>
      <w:r>
        <w:rPr>
          <w:rFonts w:hint="eastAsia" w:ascii="仿宋" w:hAnsi="仿宋" w:cs="仿宋"/>
          <w:b/>
          <w:bCs/>
          <w:color w:val="auto"/>
          <w:sz w:val="32"/>
          <w:szCs w:val="32"/>
          <w:highlight w:val="none"/>
          <w:lang w:eastAsia="zh-CN"/>
        </w:rPr>
        <w:t>玉龙纳西族自治县文化和旅游局</w:t>
      </w:r>
    </w:p>
    <w:p w14:paraId="1B4510B5">
      <w:pPr>
        <w:pStyle w:val="16"/>
        <w:pageBreakBefore w:val="0"/>
        <w:wordWrap/>
        <w:overflowPunct/>
        <w:topLinePunct w:val="0"/>
        <w:bidi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采购代理机构：云南蓝本招标咨询有限公司</w:t>
      </w:r>
    </w:p>
    <w:p w14:paraId="6DDBBE15">
      <w:pPr>
        <w:pStyle w:val="16"/>
        <w:pageBreakBefore w:val="0"/>
        <w:wordWrap/>
        <w:overflowPunct/>
        <w:topLinePunct w:val="0"/>
        <w:bidi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二〇二</w:t>
      </w: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rPr>
        <w:t>年</w:t>
      </w:r>
      <w:r>
        <w:rPr>
          <w:rFonts w:hint="eastAsia" w:ascii="仿宋" w:hAnsi="仿宋" w:eastAsia="仿宋" w:cs="仿宋"/>
          <w:b/>
          <w:bCs/>
          <w:color w:val="auto"/>
          <w:sz w:val="32"/>
          <w:szCs w:val="32"/>
          <w:highlight w:val="none"/>
          <w:lang w:val="en-US" w:eastAsia="zh-CN"/>
        </w:rPr>
        <w:t>八</w:t>
      </w:r>
      <w:r>
        <w:rPr>
          <w:rFonts w:hint="eastAsia" w:ascii="仿宋" w:hAnsi="仿宋" w:eastAsia="仿宋" w:cs="仿宋"/>
          <w:b/>
          <w:bCs/>
          <w:color w:val="auto"/>
          <w:sz w:val="32"/>
          <w:szCs w:val="32"/>
          <w:highlight w:val="none"/>
        </w:rPr>
        <w:t>月</w:t>
      </w:r>
    </w:p>
    <w:p w14:paraId="1551455F">
      <w:pPr>
        <w:pStyle w:val="16"/>
        <w:pageBreakBefore w:val="0"/>
        <w:wordWrap/>
        <w:overflowPunct/>
        <w:topLinePunct w:val="0"/>
        <w:bidi w:val="0"/>
        <w:spacing w:line="360" w:lineRule="auto"/>
        <w:jc w:val="center"/>
        <w:rPr>
          <w:rFonts w:hint="eastAsia" w:ascii="仿宋" w:hAnsi="仿宋" w:eastAsia="仿宋" w:cs="仿宋"/>
          <w:b/>
          <w:color w:val="auto"/>
          <w:sz w:val="44"/>
          <w:highlight w:val="none"/>
        </w:rPr>
      </w:pPr>
      <w:r>
        <w:rPr>
          <w:rFonts w:hint="eastAsia" w:ascii="仿宋" w:hAnsi="仿宋" w:eastAsia="仿宋" w:cs="仿宋"/>
          <w:color w:val="auto"/>
          <w:sz w:val="32"/>
          <w:highlight w:val="none"/>
        </w:rPr>
        <w:br w:type="page"/>
      </w:r>
    </w:p>
    <w:p w14:paraId="63FAAF6A">
      <w:pPr>
        <w:pageBreakBefore w:val="0"/>
        <w:wordWrap/>
        <w:overflowPunct/>
        <w:topLinePunct w:val="0"/>
        <w:bidi w:val="0"/>
        <w:spacing w:line="360" w:lineRule="auto"/>
        <w:rPr>
          <w:rFonts w:hint="eastAsia" w:ascii="仿宋" w:hAnsi="仿宋" w:eastAsia="仿宋" w:cs="仿宋"/>
          <w:b/>
          <w:color w:val="auto"/>
          <w:sz w:val="24"/>
          <w:highlight w:val="none"/>
        </w:rPr>
      </w:pPr>
    </w:p>
    <w:p w14:paraId="77AD62DF">
      <w:pPr>
        <w:pStyle w:val="16"/>
        <w:pageBreakBefore w:val="0"/>
        <w:wordWrap/>
        <w:overflowPunct/>
        <w:topLinePunct w:val="0"/>
        <w:bidi w:val="0"/>
        <w:spacing w:line="360" w:lineRule="auto"/>
        <w:rPr>
          <w:rFonts w:hint="eastAsia" w:ascii="仿宋" w:hAnsi="仿宋" w:eastAsia="仿宋" w:cs="仿宋"/>
          <w:b/>
          <w:color w:val="auto"/>
          <w:sz w:val="24"/>
          <w:highlight w:val="none"/>
        </w:rPr>
      </w:pPr>
    </w:p>
    <w:tbl>
      <w:tblPr>
        <w:tblStyle w:val="38"/>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359"/>
        <w:gridCol w:w="2684"/>
      </w:tblGrid>
      <w:tr w14:paraId="3D1D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5" w:hRule="atLeast"/>
          <w:jc w:val="center"/>
        </w:trPr>
        <w:tc>
          <w:tcPr>
            <w:tcW w:w="9420" w:type="dxa"/>
            <w:gridSpan w:val="3"/>
          </w:tcPr>
          <w:p w14:paraId="32A75C36">
            <w:pPr>
              <w:pageBreakBefore w:val="0"/>
              <w:wordWrap/>
              <w:overflowPunct/>
              <w:topLinePunct w:val="0"/>
              <w:bidi w:val="0"/>
              <w:spacing w:line="360" w:lineRule="auto"/>
              <w:ind w:firstLine="640" w:firstLineChars="200"/>
              <w:rPr>
                <w:rFonts w:hint="eastAsia" w:ascii="仿宋" w:hAnsi="仿宋" w:eastAsia="仿宋" w:cs="仿宋"/>
                <w:b/>
                <w:color w:val="auto"/>
                <w:sz w:val="28"/>
                <w:highlight w:val="none"/>
              </w:rPr>
            </w:pPr>
            <w:bookmarkStart w:id="0" w:name="_Hlk60911844"/>
            <w:r>
              <w:rPr>
                <w:rFonts w:hint="eastAsia" w:ascii="仿宋" w:hAnsi="仿宋" w:eastAsia="仿宋" w:cs="仿宋"/>
                <w:color w:val="auto"/>
                <w:sz w:val="32"/>
                <w:highlight w:val="none"/>
              </w:rPr>
              <w:br w:type="page"/>
            </w:r>
            <w:r>
              <w:rPr>
                <w:rFonts w:hint="eastAsia" w:ascii="仿宋" w:hAnsi="仿宋" w:eastAsia="仿宋" w:cs="仿宋"/>
                <w:color w:val="auto"/>
                <w:sz w:val="32"/>
                <w:highlight w:val="none"/>
              </w:rPr>
              <w:br w:type="page"/>
            </w:r>
          </w:p>
          <w:p w14:paraId="0F616010">
            <w:pPr>
              <w:pageBreakBefore w:val="0"/>
              <w:wordWrap/>
              <w:overflowPunct/>
              <w:topLinePunct w:val="0"/>
              <w:bidi w:val="0"/>
              <w:spacing w:line="360" w:lineRule="auto"/>
              <w:ind w:firstLine="562" w:firstLineChars="200"/>
              <w:rPr>
                <w:rFonts w:hint="eastAsia" w:ascii="仿宋" w:hAnsi="仿宋" w:eastAsia="仿宋" w:cs="仿宋"/>
                <w:b/>
                <w:color w:val="auto"/>
                <w:sz w:val="28"/>
                <w:highlight w:val="none"/>
              </w:rPr>
            </w:pPr>
          </w:p>
          <w:p w14:paraId="41A79382">
            <w:pPr>
              <w:pageBreakBefore w:val="0"/>
              <w:wordWrap/>
              <w:overflowPunct/>
              <w:topLinePunct w:val="0"/>
              <w:bidi w:val="0"/>
              <w:spacing w:line="360" w:lineRule="auto"/>
              <w:jc w:val="center"/>
              <w:rPr>
                <w:rFonts w:hint="eastAsia" w:ascii="仿宋" w:hAnsi="仿宋" w:eastAsia="仿宋" w:cs="仿宋"/>
                <w:b/>
                <w:color w:val="auto"/>
                <w:sz w:val="48"/>
                <w:szCs w:val="48"/>
                <w:highlight w:val="none"/>
              </w:rPr>
            </w:pPr>
            <w:r>
              <w:rPr>
                <w:rFonts w:hint="eastAsia" w:ascii="仿宋" w:hAnsi="仿宋" w:cs="仿宋"/>
                <w:b/>
                <w:bCs/>
                <w:color w:val="auto"/>
                <w:sz w:val="48"/>
                <w:szCs w:val="48"/>
                <w:highlight w:val="none"/>
                <w:lang w:eastAsia="zh-CN"/>
              </w:rPr>
              <w:t>《你好，再见！》丽江纪综艺纪板块（玉龙县）宣推项目</w:t>
            </w:r>
          </w:p>
          <w:p w14:paraId="5134C4BE">
            <w:pPr>
              <w:pageBreakBefore w:val="0"/>
              <w:wordWrap/>
              <w:overflowPunct/>
              <w:topLinePunct w:val="0"/>
              <w:bidi w:val="0"/>
              <w:spacing w:line="360" w:lineRule="auto"/>
              <w:rPr>
                <w:rFonts w:hint="eastAsia" w:ascii="仿宋" w:hAnsi="仿宋" w:eastAsia="仿宋" w:cs="仿宋"/>
                <w:color w:val="auto"/>
                <w:highlight w:val="none"/>
              </w:rPr>
            </w:pPr>
          </w:p>
          <w:p w14:paraId="0338172C">
            <w:pPr>
              <w:pageBreakBefore w:val="0"/>
              <w:wordWrap/>
              <w:overflowPunct/>
              <w:topLinePunct w:val="0"/>
              <w:bidi w:val="0"/>
              <w:spacing w:line="360" w:lineRule="auto"/>
              <w:rPr>
                <w:rFonts w:hint="eastAsia" w:ascii="仿宋" w:hAnsi="仿宋" w:eastAsia="仿宋" w:cs="仿宋"/>
                <w:color w:val="auto"/>
                <w:highlight w:val="none"/>
              </w:rPr>
            </w:pPr>
          </w:p>
          <w:p w14:paraId="5DED4D00">
            <w:pPr>
              <w:pageBreakBefore w:val="0"/>
              <w:wordWrap/>
              <w:overflowPunct/>
              <w:topLinePunct w:val="0"/>
              <w:bidi w:val="0"/>
              <w:spacing w:line="360" w:lineRule="auto"/>
              <w:jc w:val="center"/>
              <w:rPr>
                <w:rFonts w:hint="eastAsia" w:ascii="仿宋" w:hAnsi="仿宋" w:eastAsia="仿宋" w:cs="仿宋"/>
                <w:b/>
                <w:color w:val="auto"/>
                <w:sz w:val="96"/>
                <w:szCs w:val="96"/>
                <w:highlight w:val="none"/>
              </w:rPr>
            </w:pPr>
            <w:r>
              <w:rPr>
                <w:rFonts w:hint="eastAsia" w:ascii="仿宋" w:hAnsi="仿宋" w:eastAsia="仿宋" w:cs="仿宋"/>
                <w:b/>
                <w:color w:val="auto"/>
                <w:sz w:val="96"/>
                <w:szCs w:val="96"/>
                <w:highlight w:val="none"/>
              </w:rPr>
              <w:t>竞争性磋商文件</w:t>
            </w:r>
          </w:p>
          <w:p w14:paraId="436F1207">
            <w:pPr>
              <w:pageBreakBefore w:val="0"/>
              <w:wordWrap/>
              <w:overflowPunct/>
              <w:topLinePunct w:val="0"/>
              <w:bidi w:val="0"/>
              <w:spacing w:line="360" w:lineRule="auto"/>
              <w:rPr>
                <w:rFonts w:hint="eastAsia" w:ascii="仿宋" w:hAnsi="仿宋" w:eastAsia="仿宋" w:cs="仿宋"/>
                <w:b/>
                <w:color w:val="auto"/>
                <w:sz w:val="28"/>
                <w:highlight w:val="none"/>
              </w:rPr>
            </w:pPr>
          </w:p>
          <w:p w14:paraId="4565D2E7">
            <w:pPr>
              <w:pStyle w:val="12"/>
              <w:pageBreakBefore w:val="0"/>
              <w:wordWrap/>
              <w:overflowPunct/>
              <w:topLinePunct w:val="0"/>
              <w:bidi w:val="0"/>
              <w:spacing w:line="360" w:lineRule="auto"/>
              <w:rPr>
                <w:rFonts w:hint="eastAsia" w:ascii="仿宋" w:hAnsi="仿宋" w:eastAsia="仿宋" w:cs="仿宋"/>
                <w:color w:val="auto"/>
                <w:highlight w:val="none"/>
              </w:rPr>
            </w:pPr>
          </w:p>
          <w:p w14:paraId="0FBB599E">
            <w:pPr>
              <w:pageBreakBefore w:val="0"/>
              <w:wordWrap/>
              <w:overflowPunct/>
              <w:topLinePunct w:val="0"/>
              <w:bidi w:val="0"/>
              <w:spacing w:line="360" w:lineRule="auto"/>
              <w:rPr>
                <w:rFonts w:hint="eastAsia" w:ascii="仿宋" w:hAnsi="仿宋" w:eastAsia="仿宋" w:cs="仿宋"/>
                <w:b/>
                <w:color w:val="auto"/>
                <w:sz w:val="28"/>
                <w:highlight w:val="none"/>
              </w:rPr>
            </w:pPr>
          </w:p>
        </w:tc>
      </w:tr>
      <w:tr w14:paraId="3A0B1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1" w:hRule="atLeast"/>
          <w:jc w:val="center"/>
        </w:trPr>
        <w:tc>
          <w:tcPr>
            <w:tcW w:w="9420" w:type="dxa"/>
            <w:gridSpan w:val="3"/>
            <w:vAlign w:val="center"/>
          </w:tcPr>
          <w:p w14:paraId="5A350470">
            <w:pPr>
              <w:pageBreakBefore w:val="0"/>
              <w:wordWrap/>
              <w:overflowPunct/>
              <w:topLinePunct w:val="0"/>
              <w:bidi w:val="0"/>
              <w:spacing w:line="360" w:lineRule="auto"/>
              <w:rPr>
                <w:rFonts w:hint="eastAsia" w:ascii="仿宋" w:hAnsi="仿宋" w:eastAsia="仿宋" w:cs="仿宋"/>
                <w:color w:val="auto"/>
                <w:sz w:val="48"/>
                <w:szCs w:val="48"/>
                <w:highlight w:val="none"/>
                <w:lang w:eastAsia="zh-CN"/>
              </w:rPr>
            </w:pPr>
            <w:r>
              <w:rPr>
                <w:rFonts w:hint="eastAsia" w:ascii="仿宋" w:hAnsi="仿宋" w:eastAsia="仿宋" w:cs="仿宋"/>
                <w:color w:val="auto"/>
                <w:sz w:val="28"/>
                <w:highlight w:val="none"/>
              </w:rPr>
              <w:t>项目名称：</w:t>
            </w:r>
            <w:r>
              <w:rPr>
                <w:rFonts w:hint="eastAsia" w:ascii="仿宋" w:hAnsi="仿宋" w:cs="仿宋"/>
                <w:color w:val="auto"/>
                <w:sz w:val="28"/>
                <w:highlight w:val="none"/>
                <w:lang w:eastAsia="zh-CN"/>
              </w:rPr>
              <w:t>《你好，再见！》丽江纪综艺纪板块（玉龙县）宣推项目</w:t>
            </w:r>
          </w:p>
          <w:p w14:paraId="4FD866FF">
            <w:pPr>
              <w:pageBreakBefore w:val="0"/>
              <w:wordWrap/>
              <w:overflowPunct/>
              <w:topLinePunct w:val="0"/>
              <w:bidi w:val="0"/>
              <w:spacing w:line="360" w:lineRule="auto"/>
              <w:jc w:val="left"/>
              <w:rPr>
                <w:rFonts w:hint="eastAsia" w:ascii="仿宋" w:hAnsi="仿宋" w:eastAsia="仿宋" w:cs="仿宋"/>
                <w:b/>
                <w:bCs/>
                <w:color w:val="auto"/>
                <w:sz w:val="28"/>
                <w:highlight w:val="none"/>
                <w:u w:val="single"/>
                <w:lang w:eastAsia="zh-CN"/>
              </w:rPr>
            </w:pPr>
            <w:r>
              <w:rPr>
                <w:rFonts w:hint="eastAsia" w:ascii="仿宋" w:hAnsi="仿宋" w:eastAsia="仿宋" w:cs="仿宋"/>
                <w:color w:val="auto"/>
                <w:sz w:val="28"/>
                <w:highlight w:val="none"/>
              </w:rPr>
              <w:t>项目编号：</w:t>
            </w:r>
            <w:r>
              <w:rPr>
                <w:rFonts w:hint="eastAsia" w:ascii="仿宋" w:hAnsi="仿宋" w:cs="仿宋"/>
                <w:color w:val="auto"/>
                <w:sz w:val="28"/>
                <w:highlight w:val="none"/>
                <w:lang w:eastAsia="zh-CN"/>
              </w:rPr>
              <w:t>LJZC2026-C3-00705-YNLB-0329</w:t>
            </w:r>
          </w:p>
        </w:tc>
      </w:tr>
      <w:tr w14:paraId="3F916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3377" w:type="dxa"/>
            <w:vAlign w:val="center"/>
          </w:tcPr>
          <w:p w14:paraId="6D3225FA">
            <w:pPr>
              <w:pageBreakBefore w:val="0"/>
              <w:wordWrap/>
              <w:overflowPunct/>
              <w:topLinePunct w:val="0"/>
              <w:bidi w:val="0"/>
              <w:spacing w:line="360" w:lineRule="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编制：</w:t>
            </w:r>
            <w:r>
              <w:rPr>
                <w:rFonts w:hint="eastAsia" w:ascii="仿宋" w:hAnsi="仿宋" w:cs="仿宋"/>
                <w:color w:val="auto"/>
                <w:sz w:val="28"/>
                <w:highlight w:val="none"/>
                <w:lang w:val="en-US" w:eastAsia="zh-CN"/>
              </w:rPr>
              <w:t>杨帆</w:t>
            </w:r>
          </w:p>
        </w:tc>
        <w:tc>
          <w:tcPr>
            <w:tcW w:w="3359" w:type="dxa"/>
            <w:vAlign w:val="center"/>
          </w:tcPr>
          <w:p w14:paraId="2B0CB834">
            <w:pPr>
              <w:pageBreakBefore w:val="0"/>
              <w:wordWrap/>
              <w:overflowPunct/>
              <w:topLinePunct w:val="0"/>
              <w:bidi w:val="0"/>
              <w:spacing w:line="360" w:lineRule="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校核：王易文</w:t>
            </w:r>
          </w:p>
        </w:tc>
        <w:tc>
          <w:tcPr>
            <w:tcW w:w="2684" w:type="dxa"/>
            <w:vAlign w:val="center"/>
          </w:tcPr>
          <w:p w14:paraId="02A8D9E1">
            <w:pPr>
              <w:pageBreakBefore w:val="0"/>
              <w:wordWrap/>
              <w:overflowPunct/>
              <w:topLinePunct w:val="0"/>
              <w:bidi w:val="0"/>
              <w:spacing w:line="360" w:lineRule="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rPr>
              <w:t>复核：</w:t>
            </w:r>
            <w:r>
              <w:rPr>
                <w:rFonts w:hint="eastAsia" w:ascii="仿宋" w:hAnsi="仿宋" w:cs="仿宋"/>
                <w:color w:val="auto"/>
                <w:sz w:val="28"/>
                <w:highlight w:val="none"/>
                <w:lang w:val="en-US" w:eastAsia="zh-CN"/>
              </w:rPr>
              <w:t>李宏英</w:t>
            </w:r>
          </w:p>
        </w:tc>
      </w:tr>
      <w:tr w14:paraId="4D31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jc w:val="center"/>
        </w:trPr>
        <w:tc>
          <w:tcPr>
            <w:tcW w:w="9420" w:type="dxa"/>
            <w:gridSpan w:val="3"/>
            <w:vAlign w:val="center"/>
          </w:tcPr>
          <w:p w14:paraId="21CD3D13">
            <w:pPr>
              <w:pageBreakBefore w:val="0"/>
              <w:wordWrap/>
              <w:overflowPunct/>
              <w:topLinePunct w:val="0"/>
              <w:bidi w:val="0"/>
              <w:spacing w:line="360" w:lineRule="auto"/>
              <w:jc w:val="left"/>
              <w:rPr>
                <w:rFonts w:hint="eastAsia" w:ascii="仿宋" w:hAnsi="仿宋" w:eastAsia="仿宋" w:cs="仿宋"/>
                <w:b/>
                <w:bCs/>
                <w:color w:val="auto"/>
                <w:sz w:val="28"/>
                <w:highlight w:val="none"/>
                <w:u w:val="single"/>
                <w:lang w:eastAsia="zh-CN"/>
              </w:rPr>
            </w:pPr>
            <w:r>
              <w:rPr>
                <w:rFonts w:hint="eastAsia" w:ascii="仿宋" w:hAnsi="仿宋" w:eastAsia="仿宋" w:cs="仿宋"/>
                <w:color w:val="auto"/>
                <w:sz w:val="28"/>
                <w:highlight w:val="none"/>
              </w:rPr>
              <w:t>采购人：</w:t>
            </w:r>
            <w:r>
              <w:rPr>
                <w:rFonts w:hint="eastAsia" w:ascii="仿宋" w:hAnsi="仿宋" w:cs="仿宋"/>
                <w:color w:val="auto"/>
                <w:sz w:val="28"/>
                <w:highlight w:val="none"/>
                <w:lang w:eastAsia="zh-CN"/>
              </w:rPr>
              <w:t>玉龙纳西族自治县文化和旅游局</w:t>
            </w:r>
          </w:p>
        </w:tc>
      </w:tr>
      <w:tr w14:paraId="0E729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420" w:type="dxa"/>
            <w:gridSpan w:val="3"/>
            <w:vAlign w:val="center"/>
          </w:tcPr>
          <w:p w14:paraId="2B4110DE">
            <w:pPr>
              <w:pageBreakBefore w:val="0"/>
              <w:wordWrap/>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sz w:val="28"/>
                <w:highlight w:val="none"/>
              </w:rPr>
              <w:t>编制</w:t>
            </w:r>
            <w:r>
              <w:rPr>
                <w:rFonts w:hint="eastAsia" w:ascii="仿宋" w:hAnsi="仿宋" w:eastAsia="仿宋" w:cs="仿宋"/>
                <w:color w:val="auto"/>
                <w:sz w:val="28"/>
                <w:highlight w:val="none"/>
                <w:lang w:val="en-US" w:eastAsia="zh-CN"/>
              </w:rPr>
              <w:t>时间</w:t>
            </w:r>
            <w:r>
              <w:rPr>
                <w:rFonts w:hint="eastAsia" w:ascii="仿宋" w:hAnsi="仿宋" w:eastAsia="仿宋" w:cs="仿宋"/>
                <w:color w:val="auto"/>
                <w:sz w:val="28"/>
                <w:highlight w:val="none"/>
              </w:rPr>
              <w:t>：</w:t>
            </w:r>
            <w:r>
              <w:rPr>
                <w:rFonts w:hint="eastAsia" w:ascii="仿宋" w:hAnsi="仿宋" w:cs="仿宋"/>
                <w:color w:val="auto"/>
                <w:sz w:val="28"/>
                <w:highlight w:val="none"/>
                <w:lang w:eastAsia="zh-CN"/>
              </w:rPr>
              <w:t>2026年</w:t>
            </w:r>
            <w:r>
              <w:rPr>
                <w:rFonts w:hint="eastAsia" w:ascii="仿宋" w:hAnsi="仿宋" w:cs="仿宋"/>
                <w:color w:val="auto"/>
                <w:sz w:val="28"/>
                <w:highlight w:val="none"/>
                <w:lang w:val="en-US" w:eastAsia="zh-CN"/>
              </w:rPr>
              <w:t>8</w:t>
            </w:r>
            <w:r>
              <w:rPr>
                <w:rFonts w:hint="eastAsia" w:ascii="仿宋" w:hAnsi="仿宋" w:cs="仿宋"/>
                <w:color w:val="auto"/>
                <w:sz w:val="28"/>
                <w:highlight w:val="none"/>
                <w:lang w:eastAsia="zh-CN"/>
              </w:rPr>
              <w:t>月</w:t>
            </w:r>
          </w:p>
        </w:tc>
      </w:tr>
      <w:bookmarkEnd w:id="0"/>
    </w:tbl>
    <w:p w14:paraId="2C43C29F">
      <w:pPr>
        <w:pStyle w:val="16"/>
        <w:pageBreakBefore w:val="0"/>
        <w:wordWrap/>
        <w:overflowPunct/>
        <w:topLinePunct w:val="0"/>
        <w:bidi w:val="0"/>
        <w:spacing w:line="360" w:lineRule="auto"/>
        <w:rPr>
          <w:rFonts w:hint="eastAsia" w:ascii="仿宋" w:hAnsi="仿宋" w:eastAsia="仿宋" w:cs="仿宋"/>
          <w:b/>
          <w:color w:val="auto"/>
          <w:sz w:val="24"/>
          <w:highlight w:val="none"/>
        </w:rPr>
      </w:pPr>
    </w:p>
    <w:p w14:paraId="4669967A">
      <w:pPr>
        <w:pageBreakBefore w:val="0"/>
        <w:wordWrap/>
        <w:overflowPunct/>
        <w:topLinePunct w:val="0"/>
        <w:bidi w:val="0"/>
        <w:spacing w:line="360" w:lineRule="auto"/>
        <w:rPr>
          <w:rFonts w:hint="eastAsia" w:ascii="仿宋" w:hAnsi="仿宋" w:eastAsia="仿宋" w:cs="仿宋"/>
          <w:b/>
          <w:color w:val="auto"/>
          <w:sz w:val="24"/>
          <w:highlight w:val="none"/>
        </w:rPr>
      </w:pPr>
    </w:p>
    <w:p w14:paraId="7322BC12">
      <w:pPr>
        <w:pStyle w:val="16"/>
        <w:pageBreakBefore w:val="0"/>
        <w:wordWrap/>
        <w:overflowPunct/>
        <w:topLinePunct w:val="0"/>
        <w:bidi w:val="0"/>
        <w:spacing w:line="360" w:lineRule="auto"/>
        <w:rPr>
          <w:rFonts w:hint="eastAsia" w:ascii="仿宋" w:hAnsi="仿宋" w:eastAsia="仿宋" w:cs="仿宋"/>
          <w:b/>
          <w:color w:val="auto"/>
          <w:sz w:val="24"/>
          <w:highlight w:val="none"/>
        </w:rPr>
      </w:pPr>
    </w:p>
    <w:p w14:paraId="3B542958">
      <w:pPr>
        <w:pStyle w:val="13"/>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目 录</w:t>
      </w:r>
    </w:p>
    <w:p w14:paraId="5B0C49F8">
      <w:pPr>
        <w:pStyle w:val="24"/>
        <w:tabs>
          <w:tab w:val="right" w:leader="dot" w:pos="9412"/>
        </w:tabs>
        <w:rPr>
          <w:color w:val="auto"/>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TOC \o "1-3" \h \z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_Toc14153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第一章  竞争性磋商公告</w:t>
      </w:r>
      <w:r>
        <w:rPr>
          <w:color w:val="auto"/>
        </w:rPr>
        <w:tab/>
      </w:r>
      <w:r>
        <w:rPr>
          <w:color w:val="auto"/>
        </w:rPr>
        <w:fldChar w:fldCharType="begin"/>
      </w:r>
      <w:r>
        <w:rPr>
          <w:color w:val="auto"/>
        </w:rPr>
        <w:instrText xml:space="preserve"> PAGEREF _Toc14153 \h </w:instrText>
      </w:r>
      <w:r>
        <w:rPr>
          <w:color w:val="auto"/>
        </w:rPr>
        <w:fldChar w:fldCharType="separate"/>
      </w:r>
      <w:r>
        <w:rPr>
          <w:color w:val="auto"/>
        </w:rPr>
        <w:t>5</w:t>
      </w:r>
      <w:r>
        <w:rPr>
          <w:color w:val="auto"/>
        </w:rPr>
        <w:fldChar w:fldCharType="end"/>
      </w:r>
      <w:r>
        <w:rPr>
          <w:rFonts w:hint="eastAsia" w:ascii="仿宋" w:hAnsi="仿宋" w:eastAsia="仿宋" w:cs="仿宋"/>
          <w:color w:val="auto"/>
          <w:highlight w:val="none"/>
        </w:rPr>
        <w:fldChar w:fldCharType="end"/>
      </w:r>
    </w:p>
    <w:p w14:paraId="4D395EFD">
      <w:pPr>
        <w:pStyle w:val="24"/>
        <w:tabs>
          <w:tab w:val="right" w:leader="dot" w:pos="941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_Toc14183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第二章  供应商须知</w:t>
      </w:r>
      <w:r>
        <w:rPr>
          <w:color w:val="auto"/>
        </w:rPr>
        <w:tab/>
      </w:r>
      <w:r>
        <w:rPr>
          <w:color w:val="auto"/>
        </w:rPr>
        <w:fldChar w:fldCharType="begin"/>
      </w:r>
      <w:r>
        <w:rPr>
          <w:color w:val="auto"/>
        </w:rPr>
        <w:instrText xml:space="preserve"> PAGEREF _Toc14183 \h </w:instrText>
      </w:r>
      <w:r>
        <w:rPr>
          <w:color w:val="auto"/>
        </w:rPr>
        <w:fldChar w:fldCharType="separate"/>
      </w:r>
      <w:r>
        <w:rPr>
          <w:color w:val="auto"/>
        </w:rPr>
        <w:t>9</w:t>
      </w:r>
      <w:r>
        <w:rPr>
          <w:color w:val="auto"/>
        </w:rPr>
        <w:fldChar w:fldCharType="end"/>
      </w:r>
      <w:r>
        <w:rPr>
          <w:rFonts w:hint="eastAsia" w:ascii="仿宋" w:hAnsi="仿宋" w:eastAsia="仿宋" w:cs="仿宋"/>
          <w:color w:val="auto"/>
          <w:highlight w:val="none"/>
        </w:rPr>
        <w:fldChar w:fldCharType="end"/>
      </w:r>
    </w:p>
    <w:p w14:paraId="3F5B8C68">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_Toc18106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供应商须知前附表</w:t>
      </w:r>
      <w:r>
        <w:rPr>
          <w:color w:val="auto"/>
        </w:rPr>
        <w:tab/>
      </w:r>
      <w:r>
        <w:rPr>
          <w:color w:val="auto"/>
        </w:rPr>
        <w:fldChar w:fldCharType="begin"/>
      </w:r>
      <w:r>
        <w:rPr>
          <w:color w:val="auto"/>
        </w:rPr>
        <w:instrText xml:space="preserve"> PAGEREF _Toc18106 \h </w:instrText>
      </w:r>
      <w:r>
        <w:rPr>
          <w:color w:val="auto"/>
        </w:rPr>
        <w:fldChar w:fldCharType="separate"/>
      </w:r>
      <w:r>
        <w:rPr>
          <w:color w:val="auto"/>
        </w:rPr>
        <w:t>9</w:t>
      </w:r>
      <w:r>
        <w:rPr>
          <w:color w:val="auto"/>
        </w:rPr>
        <w:fldChar w:fldCharType="end"/>
      </w:r>
      <w:r>
        <w:rPr>
          <w:rFonts w:hint="eastAsia" w:ascii="仿宋" w:hAnsi="仿宋" w:eastAsia="仿宋" w:cs="仿宋"/>
          <w:color w:val="auto"/>
          <w:highlight w:val="none"/>
        </w:rPr>
        <w:fldChar w:fldCharType="end"/>
      </w:r>
    </w:p>
    <w:p w14:paraId="49DA240A">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_Toc32040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一、总则</w:t>
      </w:r>
      <w:r>
        <w:rPr>
          <w:color w:val="auto"/>
        </w:rPr>
        <w:tab/>
      </w:r>
      <w:r>
        <w:rPr>
          <w:color w:val="auto"/>
        </w:rPr>
        <w:fldChar w:fldCharType="begin"/>
      </w:r>
      <w:r>
        <w:rPr>
          <w:color w:val="auto"/>
        </w:rPr>
        <w:instrText xml:space="preserve"> PAGEREF _Toc32040 \h </w:instrText>
      </w:r>
      <w:r>
        <w:rPr>
          <w:color w:val="auto"/>
        </w:rPr>
        <w:fldChar w:fldCharType="separate"/>
      </w:r>
      <w:r>
        <w:rPr>
          <w:color w:val="auto"/>
        </w:rPr>
        <w:t>13</w:t>
      </w:r>
      <w:r>
        <w:rPr>
          <w:color w:val="auto"/>
        </w:rPr>
        <w:fldChar w:fldCharType="end"/>
      </w:r>
      <w:r>
        <w:rPr>
          <w:rFonts w:hint="eastAsia" w:ascii="仿宋" w:hAnsi="仿宋" w:eastAsia="仿宋" w:cs="仿宋"/>
          <w:color w:val="auto"/>
          <w:highlight w:val="none"/>
        </w:rPr>
        <w:fldChar w:fldCharType="end"/>
      </w:r>
    </w:p>
    <w:p w14:paraId="0A7DAD90">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_Toc12894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w:t>
      </w:r>
      <w:r>
        <w:rPr>
          <w:rFonts w:hint="eastAsia" w:ascii="仿宋" w:hAnsi="仿宋" w:eastAsia="仿宋" w:cs="仿宋"/>
          <w:color w:val="auto"/>
          <w:highlight w:val="none"/>
        </w:rPr>
        <w:t>项目概况</w:t>
      </w:r>
      <w:r>
        <w:rPr>
          <w:color w:val="auto"/>
        </w:rPr>
        <w:tab/>
      </w:r>
      <w:r>
        <w:rPr>
          <w:color w:val="auto"/>
        </w:rPr>
        <w:fldChar w:fldCharType="begin"/>
      </w:r>
      <w:r>
        <w:rPr>
          <w:color w:val="auto"/>
        </w:rPr>
        <w:instrText xml:space="preserve"> PAGEREF _Toc12894 \h </w:instrText>
      </w:r>
      <w:r>
        <w:rPr>
          <w:color w:val="auto"/>
        </w:rPr>
        <w:fldChar w:fldCharType="separate"/>
      </w:r>
      <w:r>
        <w:rPr>
          <w:color w:val="auto"/>
        </w:rPr>
        <w:t>13</w:t>
      </w:r>
      <w:r>
        <w:rPr>
          <w:color w:val="auto"/>
        </w:rPr>
        <w:fldChar w:fldCharType="end"/>
      </w:r>
      <w:r>
        <w:rPr>
          <w:rFonts w:hint="eastAsia" w:ascii="仿宋" w:hAnsi="仿宋" w:eastAsia="仿宋" w:cs="仿宋"/>
          <w:color w:val="auto"/>
          <w:highlight w:val="none"/>
        </w:rPr>
        <w:fldChar w:fldCharType="end"/>
      </w:r>
    </w:p>
    <w:p w14:paraId="6DC0EF7A">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_Toc14383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w:t>
      </w:r>
      <w:r>
        <w:rPr>
          <w:rFonts w:hint="eastAsia" w:ascii="仿宋" w:hAnsi="仿宋" w:eastAsia="仿宋" w:cs="仿宋"/>
          <w:color w:val="auto"/>
          <w:highlight w:val="none"/>
        </w:rPr>
        <w:t>资金来源</w:t>
      </w:r>
      <w:r>
        <w:rPr>
          <w:color w:val="auto"/>
        </w:rPr>
        <w:tab/>
      </w:r>
      <w:r>
        <w:rPr>
          <w:color w:val="auto"/>
        </w:rPr>
        <w:fldChar w:fldCharType="begin"/>
      </w:r>
      <w:r>
        <w:rPr>
          <w:color w:val="auto"/>
        </w:rPr>
        <w:instrText xml:space="preserve"> PAGEREF _Toc14383 \h </w:instrText>
      </w:r>
      <w:r>
        <w:rPr>
          <w:color w:val="auto"/>
        </w:rPr>
        <w:fldChar w:fldCharType="separate"/>
      </w:r>
      <w:r>
        <w:rPr>
          <w:color w:val="auto"/>
        </w:rPr>
        <w:t>13</w:t>
      </w:r>
      <w:r>
        <w:rPr>
          <w:color w:val="auto"/>
        </w:rPr>
        <w:fldChar w:fldCharType="end"/>
      </w:r>
      <w:r>
        <w:rPr>
          <w:rFonts w:hint="eastAsia" w:ascii="仿宋" w:hAnsi="仿宋" w:eastAsia="仿宋" w:cs="仿宋"/>
          <w:color w:val="auto"/>
          <w:highlight w:val="none"/>
        </w:rPr>
        <w:fldChar w:fldCharType="end"/>
      </w:r>
    </w:p>
    <w:p w14:paraId="1C6B829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_Toc27025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3.</w:t>
      </w:r>
      <w:r>
        <w:rPr>
          <w:rFonts w:hint="eastAsia" w:ascii="仿宋" w:hAnsi="仿宋" w:eastAsia="仿宋" w:cs="仿宋"/>
          <w:color w:val="auto"/>
          <w:highlight w:val="none"/>
        </w:rPr>
        <w:t>采购范围</w:t>
      </w:r>
      <w:r>
        <w:rPr>
          <w:color w:val="auto"/>
        </w:rPr>
        <w:tab/>
      </w:r>
      <w:r>
        <w:rPr>
          <w:color w:val="auto"/>
        </w:rPr>
        <w:fldChar w:fldCharType="begin"/>
      </w:r>
      <w:r>
        <w:rPr>
          <w:color w:val="auto"/>
        </w:rPr>
        <w:instrText xml:space="preserve"> PAGEREF _Toc27025 \h </w:instrText>
      </w:r>
      <w:r>
        <w:rPr>
          <w:color w:val="auto"/>
        </w:rPr>
        <w:fldChar w:fldCharType="separate"/>
      </w:r>
      <w:r>
        <w:rPr>
          <w:color w:val="auto"/>
        </w:rPr>
        <w:t>13</w:t>
      </w:r>
      <w:r>
        <w:rPr>
          <w:color w:val="auto"/>
        </w:rPr>
        <w:fldChar w:fldCharType="end"/>
      </w:r>
      <w:r>
        <w:rPr>
          <w:rFonts w:hint="eastAsia" w:ascii="仿宋" w:hAnsi="仿宋" w:eastAsia="仿宋" w:cs="仿宋"/>
          <w:color w:val="auto"/>
          <w:highlight w:val="none"/>
        </w:rPr>
        <w:fldChar w:fldCharType="end"/>
      </w:r>
    </w:p>
    <w:p w14:paraId="4127C981">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_Toc13143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4.</w:t>
      </w:r>
      <w:r>
        <w:rPr>
          <w:rFonts w:hint="eastAsia" w:ascii="仿宋" w:hAnsi="仿宋" w:eastAsia="仿宋" w:cs="仿宋"/>
          <w:color w:val="auto"/>
          <w:highlight w:val="none"/>
        </w:rPr>
        <w:t>合格的供应商（以下简称供应商）</w:t>
      </w:r>
      <w:r>
        <w:rPr>
          <w:color w:val="auto"/>
        </w:rPr>
        <w:tab/>
      </w:r>
      <w:r>
        <w:rPr>
          <w:color w:val="auto"/>
        </w:rPr>
        <w:fldChar w:fldCharType="begin"/>
      </w:r>
      <w:r>
        <w:rPr>
          <w:color w:val="auto"/>
        </w:rPr>
        <w:instrText xml:space="preserve"> PAGEREF _Toc13143 \h </w:instrText>
      </w:r>
      <w:r>
        <w:rPr>
          <w:color w:val="auto"/>
        </w:rPr>
        <w:fldChar w:fldCharType="separate"/>
      </w:r>
      <w:r>
        <w:rPr>
          <w:color w:val="auto"/>
        </w:rPr>
        <w:t>13</w:t>
      </w:r>
      <w:r>
        <w:rPr>
          <w:color w:val="auto"/>
        </w:rPr>
        <w:fldChar w:fldCharType="end"/>
      </w:r>
      <w:r>
        <w:rPr>
          <w:rFonts w:hint="eastAsia" w:ascii="仿宋" w:hAnsi="仿宋" w:eastAsia="仿宋" w:cs="仿宋"/>
          <w:color w:val="auto"/>
          <w:highlight w:val="none"/>
        </w:rPr>
        <w:fldChar w:fldCharType="end"/>
      </w:r>
    </w:p>
    <w:p w14:paraId="4A12281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_Toc2291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5.</w:t>
      </w:r>
      <w:r>
        <w:rPr>
          <w:rFonts w:hint="eastAsia" w:ascii="仿宋" w:hAnsi="仿宋" w:eastAsia="仿宋" w:cs="仿宋"/>
          <w:color w:val="auto"/>
          <w:highlight w:val="none"/>
        </w:rPr>
        <w:t>磋商费用</w:t>
      </w:r>
      <w:r>
        <w:rPr>
          <w:color w:val="auto"/>
        </w:rPr>
        <w:tab/>
      </w:r>
      <w:r>
        <w:rPr>
          <w:color w:val="auto"/>
        </w:rPr>
        <w:fldChar w:fldCharType="begin"/>
      </w:r>
      <w:r>
        <w:rPr>
          <w:color w:val="auto"/>
        </w:rPr>
        <w:instrText xml:space="preserve"> PAGEREF _Toc2291 \h </w:instrText>
      </w:r>
      <w:r>
        <w:rPr>
          <w:color w:val="auto"/>
        </w:rPr>
        <w:fldChar w:fldCharType="separate"/>
      </w:r>
      <w:r>
        <w:rPr>
          <w:color w:val="auto"/>
        </w:rPr>
        <w:t>14</w:t>
      </w:r>
      <w:r>
        <w:rPr>
          <w:color w:val="auto"/>
        </w:rPr>
        <w:fldChar w:fldCharType="end"/>
      </w:r>
      <w:r>
        <w:rPr>
          <w:rFonts w:hint="eastAsia" w:ascii="仿宋" w:hAnsi="仿宋" w:eastAsia="仿宋" w:cs="仿宋"/>
          <w:color w:val="auto"/>
          <w:highlight w:val="none"/>
        </w:rPr>
        <w:fldChar w:fldCharType="end"/>
      </w:r>
    </w:p>
    <w:p w14:paraId="41268931">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_Toc18759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二、磋商文件</w:t>
      </w:r>
      <w:r>
        <w:rPr>
          <w:color w:val="auto"/>
        </w:rPr>
        <w:tab/>
      </w:r>
      <w:r>
        <w:rPr>
          <w:color w:val="auto"/>
        </w:rPr>
        <w:fldChar w:fldCharType="begin"/>
      </w:r>
      <w:r>
        <w:rPr>
          <w:color w:val="auto"/>
        </w:rPr>
        <w:instrText xml:space="preserve"> PAGEREF _Toc18759 \h </w:instrText>
      </w:r>
      <w:r>
        <w:rPr>
          <w:color w:val="auto"/>
        </w:rPr>
        <w:fldChar w:fldCharType="separate"/>
      </w:r>
      <w:r>
        <w:rPr>
          <w:color w:val="auto"/>
        </w:rPr>
        <w:t>14</w:t>
      </w:r>
      <w:r>
        <w:rPr>
          <w:color w:val="auto"/>
        </w:rPr>
        <w:fldChar w:fldCharType="end"/>
      </w:r>
      <w:r>
        <w:rPr>
          <w:rFonts w:hint="eastAsia" w:ascii="仿宋" w:hAnsi="仿宋" w:eastAsia="仿宋" w:cs="仿宋"/>
          <w:color w:val="auto"/>
          <w:highlight w:val="none"/>
        </w:rPr>
        <w:fldChar w:fldCharType="end"/>
      </w:r>
    </w:p>
    <w:p w14:paraId="7A601A7A">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_Toc30471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6.</w:t>
      </w:r>
      <w:r>
        <w:rPr>
          <w:rFonts w:hint="eastAsia" w:ascii="仿宋" w:hAnsi="仿宋" w:eastAsia="仿宋" w:cs="仿宋"/>
          <w:color w:val="auto"/>
          <w:highlight w:val="none"/>
        </w:rPr>
        <w:t>磋商文件的组成</w:t>
      </w:r>
      <w:r>
        <w:rPr>
          <w:color w:val="auto"/>
        </w:rPr>
        <w:tab/>
      </w:r>
      <w:r>
        <w:rPr>
          <w:color w:val="auto"/>
        </w:rPr>
        <w:fldChar w:fldCharType="begin"/>
      </w:r>
      <w:r>
        <w:rPr>
          <w:color w:val="auto"/>
        </w:rPr>
        <w:instrText xml:space="preserve"> PAGEREF _Toc30471 \h </w:instrText>
      </w:r>
      <w:r>
        <w:rPr>
          <w:color w:val="auto"/>
        </w:rPr>
        <w:fldChar w:fldCharType="separate"/>
      </w:r>
      <w:r>
        <w:rPr>
          <w:color w:val="auto"/>
        </w:rPr>
        <w:t>14</w:t>
      </w:r>
      <w:r>
        <w:rPr>
          <w:color w:val="auto"/>
        </w:rPr>
        <w:fldChar w:fldCharType="end"/>
      </w:r>
      <w:r>
        <w:rPr>
          <w:rFonts w:hint="eastAsia" w:ascii="仿宋" w:hAnsi="仿宋" w:eastAsia="仿宋" w:cs="仿宋"/>
          <w:color w:val="auto"/>
          <w:highlight w:val="none"/>
        </w:rPr>
        <w:fldChar w:fldCharType="end"/>
      </w:r>
    </w:p>
    <w:p w14:paraId="7540B04C">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_Toc19204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7.</w:t>
      </w:r>
      <w:r>
        <w:rPr>
          <w:rFonts w:hint="eastAsia" w:ascii="仿宋" w:hAnsi="仿宋" w:eastAsia="仿宋" w:cs="仿宋"/>
          <w:color w:val="auto"/>
          <w:highlight w:val="none"/>
        </w:rPr>
        <w:t>磋商文件的澄清、修改</w:t>
      </w:r>
      <w:r>
        <w:rPr>
          <w:color w:val="auto"/>
        </w:rPr>
        <w:tab/>
      </w:r>
      <w:r>
        <w:rPr>
          <w:color w:val="auto"/>
        </w:rPr>
        <w:fldChar w:fldCharType="begin"/>
      </w:r>
      <w:r>
        <w:rPr>
          <w:color w:val="auto"/>
        </w:rPr>
        <w:instrText xml:space="preserve"> PAGEREF _Toc19204 \h </w:instrText>
      </w:r>
      <w:r>
        <w:rPr>
          <w:color w:val="auto"/>
        </w:rPr>
        <w:fldChar w:fldCharType="separate"/>
      </w:r>
      <w:r>
        <w:rPr>
          <w:color w:val="auto"/>
        </w:rPr>
        <w:t>14</w:t>
      </w:r>
      <w:r>
        <w:rPr>
          <w:color w:val="auto"/>
        </w:rPr>
        <w:fldChar w:fldCharType="end"/>
      </w:r>
      <w:r>
        <w:rPr>
          <w:rFonts w:hint="eastAsia" w:ascii="仿宋" w:hAnsi="仿宋" w:eastAsia="仿宋" w:cs="仿宋"/>
          <w:color w:val="auto"/>
          <w:highlight w:val="none"/>
        </w:rPr>
        <w:fldChar w:fldCharType="end"/>
      </w:r>
    </w:p>
    <w:p w14:paraId="1738DEB6">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_Toc31492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三、响应文件</w:t>
      </w:r>
      <w:r>
        <w:rPr>
          <w:color w:val="auto"/>
        </w:rPr>
        <w:tab/>
      </w:r>
      <w:r>
        <w:rPr>
          <w:color w:val="auto"/>
        </w:rPr>
        <w:fldChar w:fldCharType="begin"/>
      </w:r>
      <w:r>
        <w:rPr>
          <w:color w:val="auto"/>
        </w:rPr>
        <w:instrText xml:space="preserve"> PAGEREF _Toc31492 \h </w:instrText>
      </w:r>
      <w:r>
        <w:rPr>
          <w:color w:val="auto"/>
        </w:rPr>
        <w:fldChar w:fldCharType="separate"/>
      </w:r>
      <w:r>
        <w:rPr>
          <w:color w:val="auto"/>
        </w:rPr>
        <w:t>15</w:t>
      </w:r>
      <w:r>
        <w:rPr>
          <w:color w:val="auto"/>
        </w:rPr>
        <w:fldChar w:fldCharType="end"/>
      </w:r>
      <w:r>
        <w:rPr>
          <w:rFonts w:hint="eastAsia" w:ascii="仿宋" w:hAnsi="仿宋" w:eastAsia="仿宋" w:cs="仿宋"/>
          <w:color w:val="auto"/>
          <w:highlight w:val="none"/>
        </w:rPr>
        <w:fldChar w:fldCharType="end"/>
      </w:r>
    </w:p>
    <w:p w14:paraId="43A7A08C">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_Toc23561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8.</w:t>
      </w:r>
      <w:r>
        <w:rPr>
          <w:rFonts w:hint="eastAsia" w:ascii="仿宋" w:hAnsi="仿宋" w:eastAsia="仿宋" w:cs="仿宋"/>
          <w:color w:val="auto"/>
          <w:highlight w:val="none"/>
        </w:rPr>
        <w:t>响应文件编写注意事项</w:t>
      </w:r>
      <w:r>
        <w:rPr>
          <w:color w:val="auto"/>
        </w:rPr>
        <w:tab/>
      </w:r>
      <w:r>
        <w:rPr>
          <w:color w:val="auto"/>
        </w:rPr>
        <w:fldChar w:fldCharType="begin"/>
      </w:r>
      <w:r>
        <w:rPr>
          <w:color w:val="auto"/>
        </w:rPr>
        <w:instrText xml:space="preserve"> PAGEREF _Toc23561 \h </w:instrText>
      </w:r>
      <w:r>
        <w:rPr>
          <w:color w:val="auto"/>
        </w:rPr>
        <w:fldChar w:fldCharType="separate"/>
      </w:r>
      <w:r>
        <w:rPr>
          <w:color w:val="auto"/>
        </w:rPr>
        <w:t>15</w:t>
      </w:r>
      <w:r>
        <w:rPr>
          <w:color w:val="auto"/>
        </w:rPr>
        <w:fldChar w:fldCharType="end"/>
      </w:r>
      <w:r>
        <w:rPr>
          <w:rFonts w:hint="eastAsia" w:ascii="仿宋" w:hAnsi="仿宋" w:eastAsia="仿宋" w:cs="仿宋"/>
          <w:color w:val="auto"/>
          <w:highlight w:val="none"/>
        </w:rPr>
        <w:fldChar w:fldCharType="end"/>
      </w:r>
    </w:p>
    <w:p w14:paraId="39AC5F50">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_Toc18199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9.</w:t>
      </w:r>
      <w:r>
        <w:rPr>
          <w:rFonts w:hint="eastAsia" w:ascii="仿宋" w:hAnsi="仿宋" w:eastAsia="仿宋" w:cs="仿宋"/>
          <w:color w:val="auto"/>
          <w:highlight w:val="none"/>
        </w:rPr>
        <w:t>响应文件构成</w:t>
      </w:r>
      <w:r>
        <w:rPr>
          <w:color w:val="auto"/>
        </w:rPr>
        <w:tab/>
      </w:r>
      <w:r>
        <w:rPr>
          <w:color w:val="auto"/>
        </w:rPr>
        <w:fldChar w:fldCharType="begin"/>
      </w:r>
      <w:r>
        <w:rPr>
          <w:color w:val="auto"/>
        </w:rPr>
        <w:instrText xml:space="preserve"> PAGEREF _Toc18199 \h </w:instrText>
      </w:r>
      <w:r>
        <w:rPr>
          <w:color w:val="auto"/>
        </w:rPr>
        <w:fldChar w:fldCharType="separate"/>
      </w:r>
      <w:r>
        <w:rPr>
          <w:color w:val="auto"/>
        </w:rPr>
        <w:t>15</w:t>
      </w:r>
      <w:r>
        <w:rPr>
          <w:color w:val="auto"/>
        </w:rPr>
        <w:fldChar w:fldCharType="end"/>
      </w:r>
      <w:r>
        <w:rPr>
          <w:rFonts w:hint="eastAsia" w:ascii="仿宋" w:hAnsi="仿宋" w:eastAsia="仿宋" w:cs="仿宋"/>
          <w:color w:val="auto"/>
          <w:highlight w:val="none"/>
        </w:rPr>
        <w:fldChar w:fldCharType="end"/>
      </w:r>
    </w:p>
    <w:p w14:paraId="36188382">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_Toc30728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10.</w:t>
      </w:r>
      <w:r>
        <w:rPr>
          <w:rFonts w:hint="eastAsia" w:ascii="仿宋" w:hAnsi="仿宋" w:eastAsia="仿宋" w:cs="仿宋"/>
          <w:color w:val="auto"/>
          <w:highlight w:val="none"/>
        </w:rPr>
        <w:t>报价和报价货币</w:t>
      </w:r>
      <w:r>
        <w:rPr>
          <w:color w:val="auto"/>
        </w:rPr>
        <w:tab/>
      </w:r>
      <w:r>
        <w:rPr>
          <w:color w:val="auto"/>
        </w:rPr>
        <w:fldChar w:fldCharType="begin"/>
      </w:r>
      <w:r>
        <w:rPr>
          <w:color w:val="auto"/>
        </w:rPr>
        <w:instrText xml:space="preserve"> PAGEREF _Toc30728 \h </w:instrText>
      </w:r>
      <w:r>
        <w:rPr>
          <w:color w:val="auto"/>
        </w:rPr>
        <w:fldChar w:fldCharType="separate"/>
      </w:r>
      <w:r>
        <w:rPr>
          <w:color w:val="auto"/>
        </w:rPr>
        <w:t>15</w:t>
      </w:r>
      <w:r>
        <w:rPr>
          <w:color w:val="auto"/>
        </w:rPr>
        <w:fldChar w:fldCharType="end"/>
      </w:r>
      <w:r>
        <w:rPr>
          <w:rFonts w:hint="eastAsia" w:ascii="仿宋" w:hAnsi="仿宋" w:eastAsia="仿宋" w:cs="仿宋"/>
          <w:color w:val="auto"/>
          <w:highlight w:val="none"/>
        </w:rPr>
        <w:fldChar w:fldCharType="end"/>
      </w:r>
    </w:p>
    <w:p w14:paraId="700FD62B">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_Toc31125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11.</w:t>
      </w:r>
      <w:r>
        <w:rPr>
          <w:rFonts w:hint="eastAsia" w:ascii="仿宋" w:hAnsi="仿宋" w:eastAsia="仿宋" w:cs="仿宋"/>
          <w:color w:val="auto"/>
          <w:highlight w:val="none"/>
        </w:rPr>
        <w:t>有效期</w:t>
      </w:r>
      <w:r>
        <w:rPr>
          <w:color w:val="auto"/>
        </w:rPr>
        <w:tab/>
      </w:r>
      <w:r>
        <w:rPr>
          <w:color w:val="auto"/>
        </w:rPr>
        <w:fldChar w:fldCharType="begin"/>
      </w:r>
      <w:r>
        <w:rPr>
          <w:color w:val="auto"/>
        </w:rPr>
        <w:instrText xml:space="preserve"> PAGEREF _Toc31125 \h </w:instrText>
      </w:r>
      <w:r>
        <w:rPr>
          <w:color w:val="auto"/>
        </w:rPr>
        <w:fldChar w:fldCharType="separate"/>
      </w:r>
      <w:r>
        <w:rPr>
          <w:color w:val="auto"/>
        </w:rPr>
        <w:t>17</w:t>
      </w:r>
      <w:r>
        <w:rPr>
          <w:color w:val="auto"/>
        </w:rPr>
        <w:fldChar w:fldCharType="end"/>
      </w:r>
      <w:r>
        <w:rPr>
          <w:rFonts w:hint="eastAsia" w:ascii="仿宋" w:hAnsi="仿宋" w:eastAsia="仿宋" w:cs="仿宋"/>
          <w:color w:val="auto"/>
          <w:highlight w:val="none"/>
        </w:rPr>
        <w:fldChar w:fldCharType="end"/>
      </w:r>
    </w:p>
    <w:p w14:paraId="3FFDB679">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_Toc14272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12.</w:t>
      </w:r>
      <w:r>
        <w:rPr>
          <w:rFonts w:hint="eastAsia" w:ascii="仿宋" w:hAnsi="仿宋" w:eastAsia="仿宋" w:cs="仿宋"/>
          <w:color w:val="auto"/>
          <w:highlight w:val="none"/>
        </w:rPr>
        <w:t>响应文件的编制</w:t>
      </w:r>
      <w:r>
        <w:rPr>
          <w:color w:val="auto"/>
        </w:rPr>
        <w:tab/>
      </w:r>
      <w:r>
        <w:rPr>
          <w:color w:val="auto"/>
        </w:rPr>
        <w:fldChar w:fldCharType="begin"/>
      </w:r>
      <w:r>
        <w:rPr>
          <w:color w:val="auto"/>
        </w:rPr>
        <w:instrText xml:space="preserve"> PAGEREF _Toc14272 \h </w:instrText>
      </w:r>
      <w:r>
        <w:rPr>
          <w:color w:val="auto"/>
        </w:rPr>
        <w:fldChar w:fldCharType="separate"/>
      </w:r>
      <w:r>
        <w:rPr>
          <w:color w:val="auto"/>
        </w:rPr>
        <w:t>17</w:t>
      </w:r>
      <w:r>
        <w:rPr>
          <w:color w:val="auto"/>
        </w:rPr>
        <w:fldChar w:fldCharType="end"/>
      </w:r>
      <w:r>
        <w:rPr>
          <w:rFonts w:hint="eastAsia" w:ascii="仿宋" w:hAnsi="仿宋" w:eastAsia="仿宋" w:cs="仿宋"/>
          <w:color w:val="auto"/>
          <w:highlight w:val="none"/>
        </w:rPr>
        <w:fldChar w:fldCharType="end"/>
      </w:r>
    </w:p>
    <w:p w14:paraId="425ED81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_Toc29944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13.</w:t>
      </w:r>
      <w:r>
        <w:rPr>
          <w:rFonts w:hint="eastAsia" w:ascii="仿宋" w:hAnsi="仿宋" w:eastAsia="仿宋" w:cs="仿宋"/>
          <w:color w:val="auto"/>
          <w:highlight w:val="none"/>
        </w:rPr>
        <w:t>磋商保证金</w:t>
      </w:r>
      <w:r>
        <w:rPr>
          <w:color w:val="auto"/>
        </w:rPr>
        <w:tab/>
      </w:r>
      <w:r>
        <w:rPr>
          <w:color w:val="auto"/>
        </w:rPr>
        <w:fldChar w:fldCharType="begin"/>
      </w:r>
      <w:r>
        <w:rPr>
          <w:color w:val="auto"/>
        </w:rPr>
        <w:instrText xml:space="preserve"> PAGEREF _Toc29944 \h </w:instrText>
      </w:r>
      <w:r>
        <w:rPr>
          <w:color w:val="auto"/>
        </w:rPr>
        <w:fldChar w:fldCharType="separate"/>
      </w:r>
      <w:r>
        <w:rPr>
          <w:color w:val="auto"/>
        </w:rPr>
        <w:t>17</w:t>
      </w:r>
      <w:r>
        <w:rPr>
          <w:color w:val="auto"/>
        </w:rPr>
        <w:fldChar w:fldCharType="end"/>
      </w:r>
      <w:r>
        <w:rPr>
          <w:rFonts w:hint="eastAsia" w:ascii="仿宋" w:hAnsi="仿宋" w:eastAsia="仿宋" w:cs="仿宋"/>
          <w:color w:val="auto"/>
          <w:highlight w:val="none"/>
        </w:rPr>
        <w:fldChar w:fldCharType="end"/>
      </w:r>
    </w:p>
    <w:p w14:paraId="464197DA">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_Toc21909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四、响应文件的提交</w:t>
      </w:r>
      <w:r>
        <w:rPr>
          <w:color w:val="auto"/>
        </w:rPr>
        <w:tab/>
      </w:r>
      <w:r>
        <w:rPr>
          <w:color w:val="auto"/>
        </w:rPr>
        <w:fldChar w:fldCharType="begin"/>
      </w:r>
      <w:r>
        <w:rPr>
          <w:color w:val="auto"/>
        </w:rPr>
        <w:instrText xml:space="preserve"> PAGEREF _Toc21909 \h </w:instrText>
      </w:r>
      <w:r>
        <w:rPr>
          <w:color w:val="auto"/>
        </w:rPr>
        <w:fldChar w:fldCharType="separate"/>
      </w:r>
      <w:r>
        <w:rPr>
          <w:color w:val="auto"/>
        </w:rPr>
        <w:t>18</w:t>
      </w:r>
      <w:r>
        <w:rPr>
          <w:color w:val="auto"/>
        </w:rPr>
        <w:fldChar w:fldCharType="end"/>
      </w:r>
      <w:r>
        <w:rPr>
          <w:rFonts w:hint="eastAsia" w:ascii="仿宋" w:hAnsi="仿宋" w:eastAsia="仿宋" w:cs="仿宋"/>
          <w:color w:val="auto"/>
          <w:highlight w:val="none"/>
        </w:rPr>
        <w:fldChar w:fldCharType="end"/>
      </w:r>
    </w:p>
    <w:p w14:paraId="4D0570B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_Toc11425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14.</w:t>
      </w:r>
      <w:r>
        <w:rPr>
          <w:rFonts w:hint="eastAsia" w:ascii="仿宋" w:hAnsi="仿宋" w:eastAsia="仿宋" w:cs="仿宋"/>
          <w:color w:val="auto"/>
          <w:highlight w:val="none"/>
        </w:rPr>
        <w:t>响应文件的密封</w:t>
      </w:r>
      <w:r>
        <w:rPr>
          <w:rFonts w:hint="eastAsia" w:ascii="仿宋" w:hAnsi="仿宋" w:eastAsia="仿宋" w:cs="仿宋"/>
          <w:color w:val="auto"/>
          <w:highlight w:val="none"/>
          <w:lang w:val="en-US" w:eastAsia="zh-CN"/>
        </w:rPr>
        <w:t>与标记</w:t>
      </w:r>
      <w:r>
        <w:rPr>
          <w:color w:val="auto"/>
        </w:rPr>
        <w:tab/>
      </w:r>
      <w:r>
        <w:rPr>
          <w:color w:val="auto"/>
        </w:rPr>
        <w:fldChar w:fldCharType="begin"/>
      </w:r>
      <w:r>
        <w:rPr>
          <w:color w:val="auto"/>
        </w:rPr>
        <w:instrText xml:space="preserve"> PAGEREF _Toc11425 \h </w:instrText>
      </w:r>
      <w:r>
        <w:rPr>
          <w:color w:val="auto"/>
        </w:rPr>
        <w:fldChar w:fldCharType="separate"/>
      </w:r>
      <w:r>
        <w:rPr>
          <w:color w:val="auto"/>
        </w:rPr>
        <w:t>18</w:t>
      </w:r>
      <w:r>
        <w:rPr>
          <w:color w:val="auto"/>
        </w:rPr>
        <w:fldChar w:fldCharType="end"/>
      </w:r>
      <w:r>
        <w:rPr>
          <w:rFonts w:hint="eastAsia" w:ascii="仿宋" w:hAnsi="仿宋" w:eastAsia="仿宋" w:cs="仿宋"/>
          <w:color w:val="auto"/>
          <w:highlight w:val="none"/>
        </w:rPr>
        <w:fldChar w:fldCharType="end"/>
      </w:r>
    </w:p>
    <w:p w14:paraId="42EFAD01">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_Toc14278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15.</w:t>
      </w:r>
      <w:r>
        <w:rPr>
          <w:rFonts w:hint="eastAsia" w:ascii="仿宋" w:hAnsi="仿宋" w:eastAsia="仿宋" w:cs="仿宋"/>
          <w:color w:val="auto"/>
          <w:highlight w:val="none"/>
          <w:lang w:eastAsia="zh-CN"/>
        </w:rPr>
        <w:t>响应文件</w:t>
      </w:r>
      <w:r>
        <w:rPr>
          <w:rFonts w:hint="eastAsia" w:ascii="仿宋" w:hAnsi="仿宋" w:eastAsia="仿宋" w:cs="仿宋"/>
          <w:color w:val="auto"/>
          <w:highlight w:val="none"/>
        </w:rPr>
        <w:t>的提交</w:t>
      </w:r>
      <w:r>
        <w:rPr>
          <w:rFonts w:hint="eastAsia" w:ascii="仿宋" w:hAnsi="仿宋" w:eastAsia="仿宋" w:cs="仿宋"/>
          <w:color w:val="auto"/>
          <w:highlight w:val="none"/>
          <w:lang w:val="en-US" w:eastAsia="zh-CN"/>
        </w:rPr>
        <w:t>与开启</w:t>
      </w:r>
      <w:r>
        <w:rPr>
          <w:color w:val="auto"/>
        </w:rPr>
        <w:tab/>
      </w:r>
      <w:r>
        <w:rPr>
          <w:color w:val="auto"/>
        </w:rPr>
        <w:fldChar w:fldCharType="begin"/>
      </w:r>
      <w:r>
        <w:rPr>
          <w:color w:val="auto"/>
        </w:rPr>
        <w:instrText xml:space="preserve"> PAGEREF _Toc14278 \h </w:instrText>
      </w:r>
      <w:r>
        <w:rPr>
          <w:color w:val="auto"/>
        </w:rPr>
        <w:fldChar w:fldCharType="separate"/>
      </w:r>
      <w:r>
        <w:rPr>
          <w:color w:val="auto"/>
        </w:rPr>
        <w:t>18</w:t>
      </w:r>
      <w:r>
        <w:rPr>
          <w:color w:val="auto"/>
        </w:rPr>
        <w:fldChar w:fldCharType="end"/>
      </w:r>
      <w:r>
        <w:rPr>
          <w:rFonts w:hint="eastAsia" w:ascii="仿宋" w:hAnsi="仿宋" w:eastAsia="仿宋" w:cs="仿宋"/>
          <w:color w:val="auto"/>
          <w:highlight w:val="none"/>
        </w:rPr>
        <w:fldChar w:fldCharType="end"/>
      </w:r>
    </w:p>
    <w:p w14:paraId="72F76CB1">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_Toc13482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五、磋商</w:t>
      </w:r>
      <w:r>
        <w:rPr>
          <w:color w:val="auto"/>
        </w:rPr>
        <w:tab/>
      </w:r>
      <w:r>
        <w:rPr>
          <w:color w:val="auto"/>
        </w:rPr>
        <w:fldChar w:fldCharType="begin"/>
      </w:r>
      <w:r>
        <w:rPr>
          <w:color w:val="auto"/>
        </w:rPr>
        <w:instrText xml:space="preserve"> PAGEREF _Toc13482 \h </w:instrText>
      </w:r>
      <w:r>
        <w:rPr>
          <w:color w:val="auto"/>
        </w:rPr>
        <w:fldChar w:fldCharType="separate"/>
      </w:r>
      <w:r>
        <w:rPr>
          <w:color w:val="auto"/>
        </w:rPr>
        <w:t>18</w:t>
      </w:r>
      <w:r>
        <w:rPr>
          <w:color w:val="auto"/>
        </w:rPr>
        <w:fldChar w:fldCharType="end"/>
      </w:r>
      <w:r>
        <w:rPr>
          <w:rFonts w:hint="eastAsia" w:ascii="仿宋" w:hAnsi="仿宋" w:eastAsia="仿宋" w:cs="仿宋"/>
          <w:color w:val="auto"/>
          <w:highlight w:val="none"/>
        </w:rPr>
        <w:fldChar w:fldCharType="end"/>
      </w:r>
    </w:p>
    <w:p w14:paraId="22E31EDC">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_Toc13686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16.</w:t>
      </w:r>
      <w:r>
        <w:rPr>
          <w:rFonts w:hint="eastAsia" w:ascii="仿宋" w:hAnsi="仿宋" w:eastAsia="仿宋" w:cs="仿宋"/>
          <w:color w:val="auto"/>
          <w:highlight w:val="none"/>
          <w:lang w:val="en-US" w:eastAsia="zh-CN"/>
        </w:rPr>
        <w:t>磋商</w:t>
      </w:r>
      <w:r>
        <w:rPr>
          <w:color w:val="auto"/>
        </w:rPr>
        <w:tab/>
      </w:r>
      <w:r>
        <w:rPr>
          <w:color w:val="auto"/>
        </w:rPr>
        <w:fldChar w:fldCharType="begin"/>
      </w:r>
      <w:r>
        <w:rPr>
          <w:color w:val="auto"/>
        </w:rPr>
        <w:instrText xml:space="preserve"> PAGEREF _Toc13686 \h </w:instrText>
      </w:r>
      <w:r>
        <w:rPr>
          <w:color w:val="auto"/>
        </w:rPr>
        <w:fldChar w:fldCharType="separate"/>
      </w:r>
      <w:r>
        <w:rPr>
          <w:color w:val="auto"/>
        </w:rPr>
        <w:t>18</w:t>
      </w:r>
      <w:r>
        <w:rPr>
          <w:color w:val="auto"/>
        </w:rPr>
        <w:fldChar w:fldCharType="end"/>
      </w:r>
      <w:r>
        <w:rPr>
          <w:rFonts w:hint="eastAsia" w:ascii="仿宋" w:hAnsi="仿宋" w:eastAsia="仿宋" w:cs="仿宋"/>
          <w:color w:val="auto"/>
          <w:highlight w:val="none"/>
        </w:rPr>
        <w:fldChar w:fldCharType="end"/>
      </w:r>
    </w:p>
    <w:p w14:paraId="5CAB775A">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_Toc5460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六、成交结果</w:t>
      </w:r>
      <w:r>
        <w:rPr>
          <w:color w:val="auto"/>
        </w:rPr>
        <w:tab/>
      </w:r>
      <w:r>
        <w:rPr>
          <w:color w:val="auto"/>
        </w:rPr>
        <w:fldChar w:fldCharType="begin"/>
      </w:r>
      <w:r>
        <w:rPr>
          <w:color w:val="auto"/>
        </w:rPr>
        <w:instrText xml:space="preserve"> PAGEREF _Toc5460 \h </w:instrText>
      </w:r>
      <w:r>
        <w:rPr>
          <w:color w:val="auto"/>
        </w:rPr>
        <w:fldChar w:fldCharType="separate"/>
      </w:r>
      <w:r>
        <w:rPr>
          <w:color w:val="auto"/>
        </w:rPr>
        <w:t>20</w:t>
      </w:r>
      <w:r>
        <w:rPr>
          <w:color w:val="auto"/>
        </w:rPr>
        <w:fldChar w:fldCharType="end"/>
      </w:r>
      <w:r>
        <w:rPr>
          <w:rFonts w:hint="eastAsia" w:ascii="仿宋" w:hAnsi="仿宋" w:eastAsia="仿宋" w:cs="仿宋"/>
          <w:color w:val="auto"/>
          <w:highlight w:val="none"/>
        </w:rPr>
        <w:fldChar w:fldCharType="end"/>
      </w:r>
    </w:p>
    <w:p w14:paraId="7A66D9FE">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_Toc13545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17.</w:t>
      </w:r>
      <w:r>
        <w:rPr>
          <w:rFonts w:hint="eastAsia" w:ascii="仿宋" w:hAnsi="仿宋" w:eastAsia="仿宋" w:cs="仿宋"/>
          <w:color w:val="auto"/>
          <w:highlight w:val="none"/>
          <w:lang w:val="en-US" w:eastAsia="zh-CN"/>
        </w:rPr>
        <w:t>成交人的确定</w:t>
      </w:r>
      <w:r>
        <w:rPr>
          <w:color w:val="auto"/>
        </w:rPr>
        <w:tab/>
      </w:r>
      <w:r>
        <w:rPr>
          <w:color w:val="auto"/>
        </w:rPr>
        <w:fldChar w:fldCharType="begin"/>
      </w:r>
      <w:r>
        <w:rPr>
          <w:color w:val="auto"/>
        </w:rPr>
        <w:instrText xml:space="preserve"> PAGEREF _Toc13545 \h </w:instrText>
      </w:r>
      <w:r>
        <w:rPr>
          <w:color w:val="auto"/>
        </w:rPr>
        <w:fldChar w:fldCharType="separate"/>
      </w:r>
      <w:r>
        <w:rPr>
          <w:color w:val="auto"/>
        </w:rPr>
        <w:t>20</w:t>
      </w:r>
      <w:r>
        <w:rPr>
          <w:color w:val="auto"/>
        </w:rPr>
        <w:fldChar w:fldCharType="end"/>
      </w:r>
      <w:r>
        <w:rPr>
          <w:rFonts w:hint="eastAsia" w:ascii="仿宋" w:hAnsi="仿宋" w:eastAsia="仿宋" w:cs="仿宋"/>
          <w:color w:val="auto"/>
          <w:highlight w:val="none"/>
        </w:rPr>
        <w:fldChar w:fldCharType="end"/>
      </w:r>
    </w:p>
    <w:p w14:paraId="5F042811">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_Toc9936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18.</w:t>
      </w:r>
      <w:r>
        <w:rPr>
          <w:rFonts w:hint="eastAsia" w:ascii="仿宋" w:hAnsi="仿宋" w:eastAsia="仿宋" w:cs="仿宋"/>
          <w:color w:val="auto"/>
          <w:highlight w:val="none"/>
          <w:lang w:val="en-US" w:eastAsia="zh-CN"/>
        </w:rPr>
        <w:t>成交通知书</w:t>
      </w:r>
      <w:r>
        <w:rPr>
          <w:color w:val="auto"/>
        </w:rPr>
        <w:tab/>
      </w:r>
      <w:r>
        <w:rPr>
          <w:color w:val="auto"/>
        </w:rPr>
        <w:fldChar w:fldCharType="begin"/>
      </w:r>
      <w:r>
        <w:rPr>
          <w:color w:val="auto"/>
        </w:rPr>
        <w:instrText xml:space="preserve"> PAGEREF _Toc9936 \h </w:instrText>
      </w:r>
      <w:r>
        <w:rPr>
          <w:color w:val="auto"/>
        </w:rPr>
        <w:fldChar w:fldCharType="separate"/>
      </w:r>
      <w:r>
        <w:rPr>
          <w:color w:val="auto"/>
        </w:rPr>
        <w:t>20</w:t>
      </w:r>
      <w:r>
        <w:rPr>
          <w:color w:val="auto"/>
        </w:rPr>
        <w:fldChar w:fldCharType="end"/>
      </w:r>
      <w:r>
        <w:rPr>
          <w:rFonts w:hint="eastAsia" w:ascii="仿宋" w:hAnsi="仿宋" w:eastAsia="仿宋" w:cs="仿宋"/>
          <w:color w:val="auto"/>
          <w:highlight w:val="none"/>
        </w:rPr>
        <w:fldChar w:fldCharType="end"/>
      </w:r>
    </w:p>
    <w:p w14:paraId="657C79C5">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_Toc29848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19.</w:t>
      </w:r>
      <w:r>
        <w:rPr>
          <w:rFonts w:hint="eastAsia" w:ascii="仿宋" w:hAnsi="仿宋" w:eastAsia="仿宋" w:cs="仿宋"/>
          <w:color w:val="auto"/>
          <w:highlight w:val="none"/>
          <w:lang w:val="en-US" w:eastAsia="zh-CN"/>
        </w:rPr>
        <w:t>签订合同</w:t>
      </w:r>
      <w:r>
        <w:rPr>
          <w:color w:val="auto"/>
        </w:rPr>
        <w:tab/>
      </w:r>
      <w:r>
        <w:rPr>
          <w:color w:val="auto"/>
        </w:rPr>
        <w:fldChar w:fldCharType="begin"/>
      </w:r>
      <w:r>
        <w:rPr>
          <w:color w:val="auto"/>
        </w:rPr>
        <w:instrText xml:space="preserve"> PAGEREF _Toc29848 \h </w:instrText>
      </w:r>
      <w:r>
        <w:rPr>
          <w:color w:val="auto"/>
        </w:rPr>
        <w:fldChar w:fldCharType="separate"/>
      </w:r>
      <w:r>
        <w:rPr>
          <w:color w:val="auto"/>
        </w:rPr>
        <w:t>20</w:t>
      </w:r>
      <w:r>
        <w:rPr>
          <w:color w:val="auto"/>
        </w:rPr>
        <w:fldChar w:fldCharType="end"/>
      </w:r>
      <w:r>
        <w:rPr>
          <w:rFonts w:hint="eastAsia" w:ascii="仿宋" w:hAnsi="仿宋" w:eastAsia="仿宋" w:cs="仿宋"/>
          <w:color w:val="auto"/>
          <w:highlight w:val="none"/>
        </w:rPr>
        <w:fldChar w:fldCharType="end"/>
      </w:r>
    </w:p>
    <w:p w14:paraId="18A77112">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_Toc8314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20.</w:t>
      </w:r>
      <w:r>
        <w:rPr>
          <w:rFonts w:hint="eastAsia" w:ascii="仿宋" w:hAnsi="仿宋" w:eastAsia="仿宋" w:cs="仿宋"/>
          <w:color w:val="auto"/>
          <w:highlight w:val="none"/>
          <w:lang w:val="en-US" w:eastAsia="zh-CN"/>
        </w:rPr>
        <w:t>履约保证金</w:t>
      </w:r>
      <w:r>
        <w:rPr>
          <w:color w:val="auto"/>
        </w:rPr>
        <w:tab/>
      </w:r>
      <w:r>
        <w:rPr>
          <w:color w:val="auto"/>
        </w:rPr>
        <w:fldChar w:fldCharType="begin"/>
      </w:r>
      <w:r>
        <w:rPr>
          <w:color w:val="auto"/>
        </w:rPr>
        <w:instrText xml:space="preserve"> PAGEREF _Toc8314 \h </w:instrText>
      </w:r>
      <w:r>
        <w:rPr>
          <w:color w:val="auto"/>
        </w:rPr>
        <w:fldChar w:fldCharType="separate"/>
      </w:r>
      <w:r>
        <w:rPr>
          <w:color w:val="auto"/>
        </w:rPr>
        <w:t>21</w:t>
      </w:r>
      <w:r>
        <w:rPr>
          <w:color w:val="auto"/>
        </w:rPr>
        <w:fldChar w:fldCharType="end"/>
      </w:r>
      <w:r>
        <w:rPr>
          <w:rFonts w:hint="eastAsia" w:ascii="仿宋" w:hAnsi="仿宋" w:eastAsia="仿宋" w:cs="仿宋"/>
          <w:color w:val="auto"/>
          <w:highlight w:val="none"/>
        </w:rPr>
        <w:fldChar w:fldCharType="end"/>
      </w:r>
    </w:p>
    <w:p w14:paraId="333B9D4B">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_Toc7699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七、其他事项</w:t>
      </w:r>
      <w:r>
        <w:rPr>
          <w:color w:val="auto"/>
        </w:rPr>
        <w:tab/>
      </w:r>
      <w:r>
        <w:rPr>
          <w:color w:val="auto"/>
        </w:rPr>
        <w:fldChar w:fldCharType="begin"/>
      </w:r>
      <w:r>
        <w:rPr>
          <w:color w:val="auto"/>
        </w:rPr>
        <w:instrText xml:space="preserve"> PAGEREF _Toc7699 \h </w:instrText>
      </w:r>
      <w:r>
        <w:rPr>
          <w:color w:val="auto"/>
        </w:rPr>
        <w:fldChar w:fldCharType="separate"/>
      </w:r>
      <w:r>
        <w:rPr>
          <w:color w:val="auto"/>
        </w:rPr>
        <w:t>21</w:t>
      </w:r>
      <w:r>
        <w:rPr>
          <w:color w:val="auto"/>
        </w:rPr>
        <w:fldChar w:fldCharType="end"/>
      </w:r>
      <w:r>
        <w:rPr>
          <w:rFonts w:hint="eastAsia" w:ascii="仿宋" w:hAnsi="仿宋" w:eastAsia="仿宋" w:cs="仿宋"/>
          <w:color w:val="auto"/>
          <w:highlight w:val="none"/>
        </w:rPr>
        <w:fldChar w:fldCharType="end"/>
      </w:r>
    </w:p>
    <w:p w14:paraId="0BF930FB">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_Toc7869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21.</w:t>
      </w:r>
      <w:r>
        <w:rPr>
          <w:rFonts w:hint="eastAsia" w:ascii="仿宋" w:hAnsi="仿宋" w:eastAsia="仿宋" w:cs="仿宋"/>
          <w:color w:val="auto"/>
          <w:highlight w:val="none"/>
          <w:lang w:val="en-US" w:eastAsia="zh-CN"/>
        </w:rPr>
        <w:t>质疑</w:t>
      </w:r>
      <w:r>
        <w:rPr>
          <w:color w:val="auto"/>
        </w:rPr>
        <w:tab/>
      </w:r>
      <w:r>
        <w:rPr>
          <w:color w:val="auto"/>
        </w:rPr>
        <w:fldChar w:fldCharType="begin"/>
      </w:r>
      <w:r>
        <w:rPr>
          <w:color w:val="auto"/>
        </w:rPr>
        <w:instrText xml:space="preserve"> PAGEREF _Toc7869 \h </w:instrText>
      </w:r>
      <w:r>
        <w:rPr>
          <w:color w:val="auto"/>
        </w:rPr>
        <w:fldChar w:fldCharType="separate"/>
      </w:r>
      <w:r>
        <w:rPr>
          <w:color w:val="auto"/>
        </w:rPr>
        <w:t>21</w:t>
      </w:r>
      <w:r>
        <w:rPr>
          <w:color w:val="auto"/>
        </w:rPr>
        <w:fldChar w:fldCharType="end"/>
      </w:r>
      <w:r>
        <w:rPr>
          <w:rFonts w:hint="eastAsia" w:ascii="仿宋" w:hAnsi="仿宋" w:eastAsia="仿宋" w:cs="仿宋"/>
          <w:color w:val="auto"/>
          <w:highlight w:val="none"/>
        </w:rPr>
        <w:fldChar w:fldCharType="end"/>
      </w:r>
    </w:p>
    <w:p w14:paraId="62680C66">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_Toc30922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22.</w:t>
      </w:r>
      <w:r>
        <w:rPr>
          <w:rFonts w:hint="eastAsia" w:ascii="仿宋" w:hAnsi="仿宋" w:eastAsia="仿宋" w:cs="仿宋"/>
          <w:color w:val="auto"/>
          <w:highlight w:val="none"/>
          <w:lang w:val="en-US" w:eastAsia="zh-CN"/>
        </w:rPr>
        <w:t>投诉</w:t>
      </w:r>
      <w:r>
        <w:rPr>
          <w:color w:val="auto"/>
        </w:rPr>
        <w:tab/>
      </w:r>
      <w:r>
        <w:rPr>
          <w:color w:val="auto"/>
        </w:rPr>
        <w:fldChar w:fldCharType="begin"/>
      </w:r>
      <w:r>
        <w:rPr>
          <w:color w:val="auto"/>
        </w:rPr>
        <w:instrText xml:space="preserve"> PAGEREF _Toc30922 \h </w:instrText>
      </w:r>
      <w:r>
        <w:rPr>
          <w:color w:val="auto"/>
        </w:rPr>
        <w:fldChar w:fldCharType="separate"/>
      </w:r>
      <w:r>
        <w:rPr>
          <w:color w:val="auto"/>
        </w:rPr>
        <w:t>22</w:t>
      </w:r>
      <w:r>
        <w:rPr>
          <w:color w:val="auto"/>
        </w:rPr>
        <w:fldChar w:fldCharType="end"/>
      </w:r>
      <w:r>
        <w:rPr>
          <w:rFonts w:hint="eastAsia" w:ascii="仿宋" w:hAnsi="仿宋" w:eastAsia="仿宋" w:cs="仿宋"/>
          <w:color w:val="auto"/>
          <w:highlight w:val="none"/>
        </w:rPr>
        <w:fldChar w:fldCharType="end"/>
      </w:r>
    </w:p>
    <w:p w14:paraId="62283C77">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_Toc15670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23.</w:t>
      </w:r>
      <w:r>
        <w:rPr>
          <w:rFonts w:hint="eastAsia" w:ascii="仿宋" w:hAnsi="仿宋" w:eastAsia="仿宋" w:cs="仿宋"/>
          <w:color w:val="auto"/>
          <w:highlight w:val="none"/>
          <w:lang w:val="en-US" w:eastAsia="zh-CN"/>
        </w:rPr>
        <w:t>成交服务费</w:t>
      </w:r>
      <w:r>
        <w:rPr>
          <w:color w:val="auto"/>
        </w:rPr>
        <w:tab/>
      </w:r>
      <w:r>
        <w:rPr>
          <w:color w:val="auto"/>
        </w:rPr>
        <w:fldChar w:fldCharType="begin"/>
      </w:r>
      <w:r>
        <w:rPr>
          <w:color w:val="auto"/>
        </w:rPr>
        <w:instrText xml:space="preserve"> PAGEREF _Toc15670 \h </w:instrText>
      </w:r>
      <w:r>
        <w:rPr>
          <w:color w:val="auto"/>
        </w:rPr>
        <w:fldChar w:fldCharType="separate"/>
      </w:r>
      <w:r>
        <w:rPr>
          <w:color w:val="auto"/>
        </w:rPr>
        <w:t>22</w:t>
      </w:r>
      <w:r>
        <w:rPr>
          <w:color w:val="auto"/>
        </w:rPr>
        <w:fldChar w:fldCharType="end"/>
      </w:r>
      <w:r>
        <w:rPr>
          <w:rFonts w:hint="eastAsia" w:ascii="仿宋" w:hAnsi="仿宋" w:eastAsia="仿宋" w:cs="仿宋"/>
          <w:color w:val="auto"/>
          <w:highlight w:val="none"/>
        </w:rPr>
        <w:fldChar w:fldCharType="end"/>
      </w:r>
    </w:p>
    <w:p w14:paraId="541BA2C3">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_Toc1067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24.</w:t>
      </w:r>
      <w:r>
        <w:rPr>
          <w:rFonts w:hint="eastAsia" w:ascii="仿宋" w:hAnsi="仿宋" w:eastAsia="仿宋" w:cs="仿宋"/>
          <w:color w:val="auto"/>
          <w:highlight w:val="none"/>
          <w:lang w:val="en-US" w:eastAsia="zh-CN"/>
        </w:rPr>
        <w:t>磋商文件编制依据</w:t>
      </w:r>
      <w:r>
        <w:rPr>
          <w:color w:val="auto"/>
        </w:rPr>
        <w:tab/>
      </w:r>
      <w:r>
        <w:rPr>
          <w:color w:val="auto"/>
        </w:rPr>
        <w:fldChar w:fldCharType="begin"/>
      </w:r>
      <w:r>
        <w:rPr>
          <w:color w:val="auto"/>
        </w:rPr>
        <w:instrText xml:space="preserve"> PAGEREF _Toc1067 \h </w:instrText>
      </w:r>
      <w:r>
        <w:rPr>
          <w:color w:val="auto"/>
        </w:rPr>
        <w:fldChar w:fldCharType="separate"/>
      </w:r>
      <w:r>
        <w:rPr>
          <w:color w:val="auto"/>
        </w:rPr>
        <w:t>22</w:t>
      </w:r>
      <w:r>
        <w:rPr>
          <w:color w:val="auto"/>
        </w:rPr>
        <w:fldChar w:fldCharType="end"/>
      </w:r>
      <w:r>
        <w:rPr>
          <w:rFonts w:hint="eastAsia" w:ascii="仿宋" w:hAnsi="仿宋" w:eastAsia="仿宋" w:cs="仿宋"/>
          <w:color w:val="auto"/>
          <w:highlight w:val="none"/>
        </w:rPr>
        <w:fldChar w:fldCharType="end"/>
      </w:r>
    </w:p>
    <w:p w14:paraId="5806A9A3">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_Toc3793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25.</w:t>
      </w:r>
      <w:r>
        <w:rPr>
          <w:rFonts w:hint="eastAsia" w:ascii="仿宋" w:hAnsi="仿宋" w:eastAsia="仿宋" w:cs="仿宋"/>
          <w:color w:val="auto"/>
          <w:highlight w:val="none"/>
          <w:lang w:val="en-US" w:eastAsia="zh-CN"/>
        </w:rPr>
        <w:t>需要补充的其他内容</w:t>
      </w:r>
      <w:r>
        <w:rPr>
          <w:color w:val="auto"/>
        </w:rPr>
        <w:tab/>
      </w:r>
      <w:r>
        <w:rPr>
          <w:color w:val="auto"/>
        </w:rPr>
        <w:fldChar w:fldCharType="begin"/>
      </w:r>
      <w:r>
        <w:rPr>
          <w:color w:val="auto"/>
        </w:rPr>
        <w:instrText xml:space="preserve"> PAGEREF _Toc3793 \h </w:instrText>
      </w:r>
      <w:r>
        <w:rPr>
          <w:color w:val="auto"/>
        </w:rPr>
        <w:fldChar w:fldCharType="separate"/>
      </w:r>
      <w:r>
        <w:rPr>
          <w:color w:val="auto"/>
        </w:rPr>
        <w:t>22</w:t>
      </w:r>
      <w:r>
        <w:rPr>
          <w:color w:val="auto"/>
        </w:rPr>
        <w:fldChar w:fldCharType="end"/>
      </w:r>
      <w:r>
        <w:rPr>
          <w:rFonts w:hint="eastAsia" w:ascii="仿宋" w:hAnsi="仿宋" w:eastAsia="仿宋" w:cs="仿宋"/>
          <w:color w:val="auto"/>
          <w:highlight w:val="none"/>
        </w:rPr>
        <w:fldChar w:fldCharType="end"/>
      </w:r>
    </w:p>
    <w:p w14:paraId="0561B7DA">
      <w:pPr>
        <w:pStyle w:val="24"/>
        <w:tabs>
          <w:tab w:val="right" w:leader="dot" w:pos="941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_Toc15297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32"/>
          <w:highlight w:val="none"/>
        </w:rPr>
        <w:t>第三章  合同书样式及主要条款</w:t>
      </w:r>
      <w:r>
        <w:rPr>
          <w:color w:val="auto"/>
        </w:rPr>
        <w:tab/>
      </w:r>
      <w:r>
        <w:rPr>
          <w:color w:val="auto"/>
        </w:rPr>
        <w:fldChar w:fldCharType="begin"/>
      </w:r>
      <w:r>
        <w:rPr>
          <w:color w:val="auto"/>
        </w:rPr>
        <w:instrText xml:space="preserve"> PAGEREF _Toc15297 \h </w:instrText>
      </w:r>
      <w:r>
        <w:rPr>
          <w:color w:val="auto"/>
        </w:rPr>
        <w:fldChar w:fldCharType="separate"/>
      </w:r>
      <w:r>
        <w:rPr>
          <w:color w:val="auto"/>
        </w:rPr>
        <w:t>23</w:t>
      </w:r>
      <w:r>
        <w:rPr>
          <w:color w:val="auto"/>
        </w:rPr>
        <w:fldChar w:fldCharType="end"/>
      </w:r>
      <w:r>
        <w:rPr>
          <w:rFonts w:hint="eastAsia" w:ascii="仿宋" w:hAnsi="仿宋" w:eastAsia="仿宋" w:cs="仿宋"/>
          <w:color w:val="auto"/>
          <w:highlight w:val="none"/>
        </w:rPr>
        <w:fldChar w:fldCharType="end"/>
      </w:r>
    </w:p>
    <w:p w14:paraId="0F490AE7">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_Toc19447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rPr>
        <w:t>合同条款前附表</w:t>
      </w:r>
      <w:r>
        <w:rPr>
          <w:color w:val="auto"/>
        </w:rPr>
        <w:tab/>
      </w:r>
      <w:r>
        <w:rPr>
          <w:color w:val="auto"/>
        </w:rPr>
        <w:fldChar w:fldCharType="begin"/>
      </w:r>
      <w:r>
        <w:rPr>
          <w:color w:val="auto"/>
        </w:rPr>
        <w:instrText xml:space="preserve"> PAGEREF _Toc19447 \h </w:instrText>
      </w:r>
      <w:r>
        <w:rPr>
          <w:color w:val="auto"/>
        </w:rPr>
        <w:fldChar w:fldCharType="separate"/>
      </w:r>
      <w:r>
        <w:rPr>
          <w:color w:val="auto"/>
        </w:rPr>
        <w:t>23</w:t>
      </w:r>
      <w:r>
        <w:rPr>
          <w:color w:val="auto"/>
        </w:rPr>
        <w:fldChar w:fldCharType="end"/>
      </w:r>
      <w:r>
        <w:rPr>
          <w:rFonts w:hint="eastAsia" w:ascii="仿宋" w:hAnsi="仿宋" w:eastAsia="仿宋" w:cs="仿宋"/>
          <w:color w:val="auto"/>
          <w:highlight w:val="none"/>
        </w:rPr>
        <w:fldChar w:fldCharType="end"/>
      </w:r>
    </w:p>
    <w:p w14:paraId="3E2B1276">
      <w:pPr>
        <w:pStyle w:val="24"/>
        <w:tabs>
          <w:tab w:val="right" w:leader="dot" w:pos="941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_Toc7478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32"/>
          <w:highlight w:val="none"/>
        </w:rPr>
        <w:t>第四章  响应文件格式</w:t>
      </w:r>
      <w:r>
        <w:rPr>
          <w:color w:val="auto"/>
        </w:rPr>
        <w:tab/>
      </w:r>
      <w:r>
        <w:rPr>
          <w:color w:val="auto"/>
        </w:rPr>
        <w:fldChar w:fldCharType="begin"/>
      </w:r>
      <w:r>
        <w:rPr>
          <w:color w:val="auto"/>
        </w:rPr>
        <w:instrText xml:space="preserve"> PAGEREF _Toc7478 \h </w:instrText>
      </w:r>
      <w:r>
        <w:rPr>
          <w:color w:val="auto"/>
        </w:rPr>
        <w:fldChar w:fldCharType="separate"/>
      </w:r>
      <w:r>
        <w:rPr>
          <w:color w:val="auto"/>
        </w:rPr>
        <w:t>29</w:t>
      </w:r>
      <w:r>
        <w:rPr>
          <w:color w:val="auto"/>
        </w:rPr>
        <w:fldChar w:fldCharType="end"/>
      </w:r>
      <w:r>
        <w:rPr>
          <w:rFonts w:hint="eastAsia" w:ascii="仿宋" w:hAnsi="仿宋" w:eastAsia="仿宋" w:cs="仿宋"/>
          <w:color w:val="auto"/>
          <w:highlight w:val="none"/>
        </w:rPr>
        <w:fldChar w:fldCharType="end"/>
      </w:r>
    </w:p>
    <w:p w14:paraId="7229C6CC">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_Toc3846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一、响应文件封面</w:t>
      </w:r>
      <w:r>
        <w:rPr>
          <w:color w:val="auto"/>
        </w:rPr>
        <w:tab/>
      </w:r>
      <w:r>
        <w:rPr>
          <w:color w:val="auto"/>
        </w:rPr>
        <w:fldChar w:fldCharType="begin"/>
      </w:r>
      <w:r>
        <w:rPr>
          <w:color w:val="auto"/>
        </w:rPr>
        <w:instrText xml:space="preserve"> PAGEREF _Toc3846 \h </w:instrText>
      </w:r>
      <w:r>
        <w:rPr>
          <w:color w:val="auto"/>
        </w:rPr>
        <w:fldChar w:fldCharType="separate"/>
      </w:r>
      <w:r>
        <w:rPr>
          <w:color w:val="auto"/>
        </w:rPr>
        <w:t>29</w:t>
      </w:r>
      <w:r>
        <w:rPr>
          <w:color w:val="auto"/>
        </w:rPr>
        <w:fldChar w:fldCharType="end"/>
      </w:r>
      <w:r>
        <w:rPr>
          <w:rFonts w:hint="eastAsia" w:ascii="仿宋" w:hAnsi="仿宋" w:eastAsia="仿宋" w:cs="仿宋"/>
          <w:color w:val="auto"/>
          <w:highlight w:val="none"/>
        </w:rPr>
        <w:fldChar w:fldCharType="end"/>
      </w:r>
    </w:p>
    <w:p w14:paraId="441C6011">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_Toc1887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二、报价一览表</w:t>
      </w:r>
      <w:r>
        <w:rPr>
          <w:color w:val="auto"/>
        </w:rPr>
        <w:tab/>
      </w:r>
      <w:r>
        <w:rPr>
          <w:color w:val="auto"/>
        </w:rPr>
        <w:fldChar w:fldCharType="begin"/>
      </w:r>
      <w:r>
        <w:rPr>
          <w:color w:val="auto"/>
        </w:rPr>
        <w:instrText xml:space="preserve"> PAGEREF _Toc1887 \h </w:instrText>
      </w:r>
      <w:r>
        <w:rPr>
          <w:color w:val="auto"/>
        </w:rPr>
        <w:fldChar w:fldCharType="separate"/>
      </w:r>
      <w:r>
        <w:rPr>
          <w:color w:val="auto"/>
        </w:rPr>
        <w:t>30</w:t>
      </w:r>
      <w:r>
        <w:rPr>
          <w:color w:val="auto"/>
        </w:rPr>
        <w:fldChar w:fldCharType="end"/>
      </w:r>
      <w:r>
        <w:rPr>
          <w:rFonts w:hint="eastAsia" w:ascii="仿宋" w:hAnsi="仿宋" w:eastAsia="仿宋" w:cs="仿宋"/>
          <w:color w:val="auto"/>
          <w:highlight w:val="none"/>
        </w:rPr>
        <w:fldChar w:fldCharType="end"/>
      </w:r>
    </w:p>
    <w:p w14:paraId="3F0E126F">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_Toc31144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、资格审查文件部分</w:t>
      </w:r>
      <w:r>
        <w:rPr>
          <w:color w:val="auto"/>
        </w:rPr>
        <w:tab/>
      </w:r>
      <w:r>
        <w:rPr>
          <w:color w:val="auto"/>
        </w:rPr>
        <w:fldChar w:fldCharType="begin"/>
      </w:r>
      <w:r>
        <w:rPr>
          <w:color w:val="auto"/>
        </w:rPr>
        <w:instrText xml:space="preserve"> PAGEREF _Toc31144 \h </w:instrText>
      </w:r>
      <w:r>
        <w:rPr>
          <w:color w:val="auto"/>
        </w:rPr>
        <w:fldChar w:fldCharType="separate"/>
      </w:r>
      <w:r>
        <w:rPr>
          <w:color w:val="auto"/>
        </w:rPr>
        <w:t>31</w:t>
      </w:r>
      <w:r>
        <w:rPr>
          <w:color w:val="auto"/>
        </w:rPr>
        <w:fldChar w:fldCharType="end"/>
      </w:r>
      <w:r>
        <w:rPr>
          <w:rFonts w:hint="eastAsia" w:ascii="仿宋" w:hAnsi="仿宋" w:eastAsia="仿宋" w:cs="仿宋"/>
          <w:color w:val="auto"/>
          <w:highlight w:val="none"/>
        </w:rPr>
        <w:fldChar w:fldCharType="end"/>
      </w:r>
    </w:p>
    <w:p w14:paraId="540A9893">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_Toc706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、技术标部分格式</w:t>
      </w:r>
      <w:r>
        <w:rPr>
          <w:color w:val="auto"/>
        </w:rPr>
        <w:tab/>
      </w:r>
      <w:r>
        <w:rPr>
          <w:color w:val="auto"/>
        </w:rPr>
        <w:fldChar w:fldCharType="begin"/>
      </w:r>
      <w:r>
        <w:rPr>
          <w:color w:val="auto"/>
        </w:rPr>
        <w:instrText xml:space="preserve"> PAGEREF _Toc706 \h </w:instrText>
      </w:r>
      <w:r>
        <w:rPr>
          <w:color w:val="auto"/>
        </w:rPr>
        <w:fldChar w:fldCharType="separate"/>
      </w:r>
      <w:r>
        <w:rPr>
          <w:color w:val="auto"/>
        </w:rPr>
        <w:t>33</w:t>
      </w:r>
      <w:r>
        <w:rPr>
          <w:color w:val="auto"/>
        </w:rPr>
        <w:fldChar w:fldCharType="end"/>
      </w:r>
      <w:r>
        <w:rPr>
          <w:rFonts w:hint="eastAsia" w:ascii="仿宋" w:hAnsi="仿宋" w:eastAsia="仿宋" w:cs="仿宋"/>
          <w:color w:val="auto"/>
          <w:highlight w:val="none"/>
        </w:rPr>
        <w:fldChar w:fldCharType="end"/>
      </w:r>
    </w:p>
    <w:p w14:paraId="0D6EB206">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_Toc12742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1</w:t>
      </w:r>
      <w:r>
        <w:rPr>
          <w:rFonts w:hint="eastAsia" w:ascii="仿宋" w:hAnsi="仿宋" w:cs="仿宋"/>
          <w:color w:val="auto"/>
          <w:highlight w:val="none"/>
          <w:lang w:val="en-US" w:eastAsia="zh-CN"/>
        </w:rPr>
        <w:t>.</w:t>
      </w:r>
      <w:r>
        <w:rPr>
          <w:rFonts w:hint="eastAsia" w:ascii="仿宋" w:hAnsi="仿宋" w:eastAsia="仿宋" w:cs="仿宋"/>
          <w:color w:val="auto"/>
          <w:highlight w:val="none"/>
        </w:rPr>
        <w:t>项目理解需求分析</w:t>
      </w:r>
      <w:r>
        <w:rPr>
          <w:color w:val="auto"/>
        </w:rPr>
        <w:tab/>
      </w:r>
      <w:r>
        <w:rPr>
          <w:color w:val="auto"/>
        </w:rPr>
        <w:fldChar w:fldCharType="begin"/>
      </w:r>
      <w:r>
        <w:rPr>
          <w:color w:val="auto"/>
        </w:rPr>
        <w:instrText xml:space="preserve"> PAGEREF _Toc12742 \h </w:instrText>
      </w:r>
      <w:r>
        <w:rPr>
          <w:color w:val="auto"/>
        </w:rPr>
        <w:fldChar w:fldCharType="separate"/>
      </w:r>
      <w:r>
        <w:rPr>
          <w:color w:val="auto"/>
        </w:rPr>
        <w:t>33</w:t>
      </w:r>
      <w:r>
        <w:rPr>
          <w:color w:val="auto"/>
        </w:rPr>
        <w:fldChar w:fldCharType="end"/>
      </w:r>
      <w:r>
        <w:rPr>
          <w:rFonts w:hint="eastAsia" w:ascii="仿宋" w:hAnsi="仿宋" w:eastAsia="仿宋" w:cs="仿宋"/>
          <w:color w:val="auto"/>
          <w:highlight w:val="none"/>
        </w:rPr>
        <w:fldChar w:fldCharType="end"/>
      </w:r>
    </w:p>
    <w:p w14:paraId="1BFA7C3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_Toc18229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2</w:t>
      </w:r>
      <w:r>
        <w:rPr>
          <w:rFonts w:hint="eastAsia" w:ascii="仿宋" w:hAnsi="仿宋" w:cs="仿宋"/>
          <w:color w:val="auto"/>
          <w:highlight w:val="none"/>
          <w:lang w:val="en-US" w:eastAsia="zh-CN"/>
        </w:rPr>
        <w:t>.</w:t>
      </w:r>
      <w:r>
        <w:rPr>
          <w:rFonts w:hint="eastAsia" w:ascii="Calibri"/>
          <w:color w:val="auto"/>
          <w:highlight w:val="none"/>
          <w:lang w:val="en-US" w:eastAsia="zh-CN"/>
        </w:rPr>
        <w:t>项目实施</w:t>
      </w:r>
      <w:r>
        <w:rPr>
          <w:rFonts w:hint="eastAsia" w:ascii="Calibri" w:eastAsia="仿宋"/>
          <w:color w:val="auto"/>
          <w:highlight w:val="none"/>
          <w:lang w:val="en-US" w:eastAsia="zh-CN"/>
        </w:rPr>
        <w:t>方案</w:t>
      </w:r>
      <w:r>
        <w:rPr>
          <w:color w:val="auto"/>
        </w:rPr>
        <w:tab/>
      </w:r>
      <w:r>
        <w:rPr>
          <w:color w:val="auto"/>
        </w:rPr>
        <w:fldChar w:fldCharType="begin"/>
      </w:r>
      <w:r>
        <w:rPr>
          <w:color w:val="auto"/>
        </w:rPr>
        <w:instrText xml:space="preserve"> PAGEREF _Toc18229 \h </w:instrText>
      </w:r>
      <w:r>
        <w:rPr>
          <w:color w:val="auto"/>
        </w:rPr>
        <w:fldChar w:fldCharType="separate"/>
      </w:r>
      <w:r>
        <w:rPr>
          <w:color w:val="auto"/>
        </w:rPr>
        <w:t>33</w:t>
      </w:r>
      <w:r>
        <w:rPr>
          <w:color w:val="auto"/>
        </w:rPr>
        <w:fldChar w:fldCharType="end"/>
      </w:r>
      <w:r>
        <w:rPr>
          <w:rFonts w:hint="eastAsia" w:ascii="仿宋" w:hAnsi="仿宋" w:eastAsia="仿宋" w:cs="仿宋"/>
          <w:color w:val="auto"/>
          <w:highlight w:val="none"/>
        </w:rPr>
        <w:fldChar w:fldCharType="end"/>
      </w:r>
    </w:p>
    <w:p w14:paraId="644764BC">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_Toc23335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3</w:t>
      </w:r>
      <w:r>
        <w:rPr>
          <w:rFonts w:hint="eastAsia" w:ascii="仿宋" w:hAnsi="仿宋" w:cs="仿宋"/>
          <w:color w:val="auto"/>
          <w:highlight w:val="none"/>
          <w:lang w:val="en-US" w:eastAsia="zh-CN"/>
        </w:rPr>
        <w:t>.项目服务与配合能力</w:t>
      </w:r>
      <w:r>
        <w:rPr>
          <w:color w:val="auto"/>
        </w:rPr>
        <w:tab/>
      </w:r>
      <w:r>
        <w:rPr>
          <w:color w:val="auto"/>
        </w:rPr>
        <w:fldChar w:fldCharType="begin"/>
      </w:r>
      <w:r>
        <w:rPr>
          <w:color w:val="auto"/>
        </w:rPr>
        <w:instrText xml:space="preserve"> PAGEREF _Toc23335 \h </w:instrText>
      </w:r>
      <w:r>
        <w:rPr>
          <w:color w:val="auto"/>
        </w:rPr>
        <w:fldChar w:fldCharType="separate"/>
      </w:r>
      <w:r>
        <w:rPr>
          <w:color w:val="auto"/>
        </w:rPr>
        <w:t>33</w:t>
      </w:r>
      <w:r>
        <w:rPr>
          <w:color w:val="auto"/>
        </w:rPr>
        <w:fldChar w:fldCharType="end"/>
      </w:r>
      <w:r>
        <w:rPr>
          <w:rFonts w:hint="eastAsia" w:ascii="仿宋" w:hAnsi="仿宋" w:eastAsia="仿宋" w:cs="仿宋"/>
          <w:color w:val="auto"/>
          <w:highlight w:val="none"/>
        </w:rPr>
        <w:fldChar w:fldCharType="end"/>
      </w:r>
    </w:p>
    <w:p w14:paraId="486E34EB">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_Toc12164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格式4、</w:t>
      </w:r>
      <w:r>
        <w:rPr>
          <w:rFonts w:hint="eastAsia" w:ascii="仿宋" w:hAnsi="仿宋" w:eastAsia="仿宋" w:cs="仿宋"/>
          <w:color w:val="auto"/>
          <w:highlight w:val="none"/>
        </w:rPr>
        <w:t>磋商文件要求的其他资料或供应商认为需要提供的其他资料</w:t>
      </w:r>
      <w:r>
        <w:rPr>
          <w:color w:val="auto"/>
        </w:rPr>
        <w:tab/>
      </w:r>
      <w:r>
        <w:rPr>
          <w:color w:val="auto"/>
        </w:rPr>
        <w:fldChar w:fldCharType="begin"/>
      </w:r>
      <w:r>
        <w:rPr>
          <w:color w:val="auto"/>
        </w:rPr>
        <w:instrText xml:space="preserve"> PAGEREF _Toc12164 \h </w:instrText>
      </w:r>
      <w:r>
        <w:rPr>
          <w:color w:val="auto"/>
        </w:rPr>
        <w:fldChar w:fldCharType="separate"/>
      </w:r>
      <w:r>
        <w:rPr>
          <w:color w:val="auto"/>
        </w:rPr>
        <w:t>33</w:t>
      </w:r>
      <w:r>
        <w:rPr>
          <w:color w:val="auto"/>
        </w:rPr>
        <w:fldChar w:fldCharType="end"/>
      </w:r>
      <w:r>
        <w:rPr>
          <w:rFonts w:hint="eastAsia" w:ascii="仿宋" w:hAnsi="仿宋" w:eastAsia="仿宋" w:cs="仿宋"/>
          <w:color w:val="auto"/>
          <w:highlight w:val="none"/>
        </w:rPr>
        <w:fldChar w:fldCharType="end"/>
      </w:r>
    </w:p>
    <w:p w14:paraId="53856AD9">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_Toc6912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rPr>
        <w:t>、商务标部分</w:t>
      </w:r>
      <w:r>
        <w:rPr>
          <w:color w:val="auto"/>
        </w:rPr>
        <w:tab/>
      </w:r>
      <w:r>
        <w:rPr>
          <w:color w:val="auto"/>
        </w:rPr>
        <w:fldChar w:fldCharType="begin"/>
      </w:r>
      <w:r>
        <w:rPr>
          <w:color w:val="auto"/>
        </w:rPr>
        <w:instrText xml:space="preserve"> PAGEREF _Toc6912 \h </w:instrText>
      </w:r>
      <w:r>
        <w:rPr>
          <w:color w:val="auto"/>
        </w:rPr>
        <w:fldChar w:fldCharType="separate"/>
      </w:r>
      <w:r>
        <w:rPr>
          <w:color w:val="auto"/>
        </w:rPr>
        <w:t>34</w:t>
      </w:r>
      <w:r>
        <w:rPr>
          <w:color w:val="auto"/>
        </w:rPr>
        <w:fldChar w:fldCharType="end"/>
      </w:r>
      <w:r>
        <w:rPr>
          <w:rFonts w:hint="eastAsia" w:ascii="仿宋" w:hAnsi="仿宋" w:eastAsia="仿宋" w:cs="仿宋"/>
          <w:color w:val="auto"/>
          <w:highlight w:val="none"/>
        </w:rPr>
        <w:fldChar w:fldCharType="end"/>
      </w:r>
    </w:p>
    <w:p w14:paraId="0E381CAD">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_Toc4934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格式1</w:t>
      </w:r>
      <w:r>
        <w:rPr>
          <w:rFonts w:hint="eastAsia" w:ascii="仿宋" w:hAnsi="仿宋" w:cs="仿宋"/>
          <w:color w:val="auto"/>
          <w:highlight w:val="none"/>
          <w:lang w:val="en-US" w:eastAsia="zh-CN"/>
        </w:rPr>
        <w:t>.</w:t>
      </w:r>
      <w:r>
        <w:rPr>
          <w:rFonts w:hint="eastAsia" w:ascii="仿宋" w:hAnsi="仿宋" w:eastAsia="仿宋" w:cs="仿宋"/>
          <w:color w:val="auto"/>
          <w:highlight w:val="none"/>
        </w:rPr>
        <w:t>磋商申请书</w:t>
      </w:r>
      <w:r>
        <w:rPr>
          <w:color w:val="auto"/>
        </w:rPr>
        <w:tab/>
      </w:r>
      <w:r>
        <w:rPr>
          <w:color w:val="auto"/>
        </w:rPr>
        <w:fldChar w:fldCharType="begin"/>
      </w:r>
      <w:r>
        <w:rPr>
          <w:color w:val="auto"/>
        </w:rPr>
        <w:instrText xml:space="preserve"> PAGEREF _Toc4934 \h </w:instrText>
      </w:r>
      <w:r>
        <w:rPr>
          <w:color w:val="auto"/>
        </w:rPr>
        <w:fldChar w:fldCharType="separate"/>
      </w:r>
      <w:r>
        <w:rPr>
          <w:color w:val="auto"/>
        </w:rPr>
        <w:t>34</w:t>
      </w:r>
      <w:r>
        <w:rPr>
          <w:color w:val="auto"/>
        </w:rPr>
        <w:fldChar w:fldCharType="end"/>
      </w:r>
      <w:r>
        <w:rPr>
          <w:rFonts w:hint="eastAsia" w:ascii="仿宋" w:hAnsi="仿宋" w:eastAsia="仿宋" w:cs="仿宋"/>
          <w:color w:val="auto"/>
          <w:highlight w:val="none"/>
        </w:rPr>
        <w:fldChar w:fldCharType="end"/>
      </w:r>
    </w:p>
    <w:p w14:paraId="68554AEB">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_Toc23801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格式2</w:t>
      </w:r>
      <w:r>
        <w:rPr>
          <w:rFonts w:hint="eastAsia" w:ascii="仿宋" w:hAnsi="仿宋" w:cs="仿宋"/>
          <w:color w:val="auto"/>
          <w:highlight w:val="none"/>
          <w:lang w:val="en-US" w:eastAsia="zh-CN"/>
        </w:rPr>
        <w:t>.</w:t>
      </w:r>
      <w:r>
        <w:rPr>
          <w:rFonts w:hint="eastAsia" w:ascii="仿宋" w:hAnsi="仿宋" w:eastAsia="仿宋" w:cs="仿宋"/>
          <w:color w:val="auto"/>
          <w:highlight w:val="none"/>
        </w:rPr>
        <w:t>承诺书（供应商）</w:t>
      </w:r>
      <w:r>
        <w:rPr>
          <w:color w:val="auto"/>
        </w:rPr>
        <w:tab/>
      </w:r>
      <w:r>
        <w:rPr>
          <w:color w:val="auto"/>
        </w:rPr>
        <w:fldChar w:fldCharType="begin"/>
      </w:r>
      <w:r>
        <w:rPr>
          <w:color w:val="auto"/>
        </w:rPr>
        <w:instrText xml:space="preserve"> PAGEREF _Toc23801 \h </w:instrText>
      </w:r>
      <w:r>
        <w:rPr>
          <w:color w:val="auto"/>
        </w:rPr>
        <w:fldChar w:fldCharType="separate"/>
      </w:r>
      <w:r>
        <w:rPr>
          <w:color w:val="auto"/>
        </w:rPr>
        <w:t>35</w:t>
      </w:r>
      <w:r>
        <w:rPr>
          <w:color w:val="auto"/>
        </w:rPr>
        <w:fldChar w:fldCharType="end"/>
      </w:r>
      <w:r>
        <w:rPr>
          <w:rFonts w:hint="eastAsia" w:ascii="仿宋" w:hAnsi="仿宋" w:eastAsia="仿宋" w:cs="仿宋"/>
          <w:color w:val="auto"/>
          <w:highlight w:val="none"/>
        </w:rPr>
        <w:fldChar w:fldCharType="end"/>
      </w:r>
    </w:p>
    <w:p w14:paraId="16391585">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_Toc64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3</w:t>
      </w:r>
      <w:r>
        <w:rPr>
          <w:rFonts w:hint="eastAsia" w:ascii="仿宋" w:hAnsi="仿宋" w:cs="仿宋"/>
          <w:color w:val="auto"/>
          <w:highlight w:val="none"/>
          <w:lang w:val="en-US" w:eastAsia="zh-CN"/>
        </w:rPr>
        <w:t>.</w:t>
      </w:r>
      <w:r>
        <w:rPr>
          <w:rFonts w:hint="eastAsia" w:ascii="仿宋" w:hAnsi="仿宋" w:eastAsia="仿宋" w:cs="仿宋"/>
          <w:color w:val="auto"/>
          <w:highlight w:val="none"/>
        </w:rPr>
        <w:t>供应商基本情况表</w:t>
      </w:r>
      <w:r>
        <w:rPr>
          <w:color w:val="auto"/>
        </w:rPr>
        <w:tab/>
      </w:r>
      <w:r>
        <w:rPr>
          <w:color w:val="auto"/>
        </w:rPr>
        <w:fldChar w:fldCharType="begin"/>
      </w:r>
      <w:r>
        <w:rPr>
          <w:color w:val="auto"/>
        </w:rPr>
        <w:instrText xml:space="preserve"> PAGEREF _Toc64 \h </w:instrText>
      </w:r>
      <w:r>
        <w:rPr>
          <w:color w:val="auto"/>
        </w:rPr>
        <w:fldChar w:fldCharType="separate"/>
      </w:r>
      <w:r>
        <w:rPr>
          <w:color w:val="auto"/>
        </w:rPr>
        <w:t>36</w:t>
      </w:r>
      <w:r>
        <w:rPr>
          <w:color w:val="auto"/>
        </w:rPr>
        <w:fldChar w:fldCharType="end"/>
      </w:r>
      <w:r>
        <w:rPr>
          <w:rFonts w:hint="eastAsia" w:ascii="仿宋" w:hAnsi="仿宋" w:eastAsia="仿宋" w:cs="仿宋"/>
          <w:color w:val="auto"/>
          <w:highlight w:val="none"/>
        </w:rPr>
        <w:fldChar w:fldCharType="end"/>
      </w:r>
    </w:p>
    <w:p w14:paraId="67F8035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_Toc3450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4</w:t>
      </w:r>
      <w:r>
        <w:rPr>
          <w:rFonts w:hint="eastAsia" w:ascii="仿宋" w:hAnsi="仿宋" w:cs="仿宋"/>
          <w:color w:val="auto"/>
          <w:highlight w:val="none"/>
          <w:lang w:val="en-US" w:eastAsia="zh-CN"/>
        </w:rPr>
        <w:t>.</w:t>
      </w:r>
      <w:r>
        <w:rPr>
          <w:rFonts w:hint="eastAsia" w:ascii="仿宋" w:hAnsi="仿宋" w:eastAsia="仿宋" w:cs="仿宋"/>
          <w:color w:val="auto"/>
          <w:highlight w:val="none"/>
        </w:rPr>
        <w:t>法定代表人身份证明书</w:t>
      </w:r>
      <w:r>
        <w:rPr>
          <w:color w:val="auto"/>
        </w:rPr>
        <w:tab/>
      </w:r>
      <w:r>
        <w:rPr>
          <w:color w:val="auto"/>
        </w:rPr>
        <w:fldChar w:fldCharType="begin"/>
      </w:r>
      <w:r>
        <w:rPr>
          <w:color w:val="auto"/>
        </w:rPr>
        <w:instrText xml:space="preserve"> PAGEREF _Toc3450 \h </w:instrText>
      </w:r>
      <w:r>
        <w:rPr>
          <w:color w:val="auto"/>
        </w:rPr>
        <w:fldChar w:fldCharType="separate"/>
      </w:r>
      <w:r>
        <w:rPr>
          <w:color w:val="auto"/>
        </w:rPr>
        <w:t>37</w:t>
      </w:r>
      <w:r>
        <w:rPr>
          <w:color w:val="auto"/>
        </w:rPr>
        <w:fldChar w:fldCharType="end"/>
      </w:r>
      <w:r>
        <w:rPr>
          <w:rFonts w:hint="eastAsia" w:ascii="仿宋" w:hAnsi="仿宋" w:eastAsia="仿宋" w:cs="仿宋"/>
          <w:color w:val="auto"/>
          <w:highlight w:val="none"/>
        </w:rPr>
        <w:fldChar w:fldCharType="end"/>
      </w:r>
    </w:p>
    <w:p w14:paraId="266AB589">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_Toc22541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5</w:t>
      </w:r>
      <w:r>
        <w:rPr>
          <w:rFonts w:hint="eastAsia" w:ascii="仿宋" w:hAnsi="仿宋" w:cs="仿宋"/>
          <w:color w:val="auto"/>
          <w:highlight w:val="none"/>
          <w:lang w:val="en-US" w:eastAsia="zh-CN"/>
        </w:rPr>
        <w:t>.</w:t>
      </w:r>
      <w:r>
        <w:rPr>
          <w:rFonts w:hint="eastAsia" w:ascii="仿宋" w:hAnsi="仿宋" w:eastAsia="仿宋" w:cs="仿宋"/>
          <w:color w:val="auto"/>
          <w:highlight w:val="none"/>
        </w:rPr>
        <w:t>法定代表人授权委托书（授权代表是法定代表人时，不必提供）</w:t>
      </w:r>
      <w:r>
        <w:rPr>
          <w:color w:val="auto"/>
        </w:rPr>
        <w:tab/>
      </w:r>
      <w:r>
        <w:rPr>
          <w:color w:val="auto"/>
        </w:rPr>
        <w:fldChar w:fldCharType="begin"/>
      </w:r>
      <w:r>
        <w:rPr>
          <w:color w:val="auto"/>
        </w:rPr>
        <w:instrText xml:space="preserve"> PAGEREF _Toc22541 \h </w:instrText>
      </w:r>
      <w:r>
        <w:rPr>
          <w:color w:val="auto"/>
        </w:rPr>
        <w:fldChar w:fldCharType="separate"/>
      </w:r>
      <w:r>
        <w:rPr>
          <w:color w:val="auto"/>
        </w:rPr>
        <w:t>38</w:t>
      </w:r>
      <w:r>
        <w:rPr>
          <w:color w:val="auto"/>
        </w:rPr>
        <w:fldChar w:fldCharType="end"/>
      </w:r>
      <w:r>
        <w:rPr>
          <w:rFonts w:hint="eastAsia" w:ascii="仿宋" w:hAnsi="仿宋" w:eastAsia="仿宋" w:cs="仿宋"/>
          <w:color w:val="auto"/>
          <w:highlight w:val="none"/>
        </w:rPr>
        <w:fldChar w:fldCharType="end"/>
      </w:r>
    </w:p>
    <w:p w14:paraId="2FAE0383">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_Toc23356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6</w:t>
      </w:r>
      <w:r>
        <w:rPr>
          <w:rFonts w:hint="eastAsia" w:ascii="仿宋" w:hAnsi="仿宋" w:cs="仿宋"/>
          <w:color w:val="auto"/>
          <w:highlight w:val="none"/>
          <w:lang w:val="en-US" w:eastAsia="zh-CN"/>
        </w:rPr>
        <w:t>.</w:t>
      </w:r>
      <w:r>
        <w:rPr>
          <w:rFonts w:hint="eastAsia" w:ascii="仿宋" w:hAnsi="仿宋" w:eastAsia="仿宋" w:cs="仿宋"/>
          <w:color w:val="auto"/>
          <w:highlight w:val="none"/>
        </w:rPr>
        <w:t>售后及</w:t>
      </w:r>
      <w:r>
        <w:rPr>
          <w:rFonts w:ascii="仿宋" w:hAnsi="仿宋" w:eastAsia="仿宋" w:cs="仿宋"/>
          <w:color w:val="auto"/>
          <w:highlight w:val="none"/>
        </w:rPr>
        <w:t>应急方案</w:t>
      </w:r>
      <w:r>
        <w:rPr>
          <w:color w:val="auto"/>
        </w:rPr>
        <w:tab/>
      </w:r>
      <w:r>
        <w:rPr>
          <w:color w:val="auto"/>
        </w:rPr>
        <w:fldChar w:fldCharType="begin"/>
      </w:r>
      <w:r>
        <w:rPr>
          <w:color w:val="auto"/>
        </w:rPr>
        <w:instrText xml:space="preserve"> PAGEREF _Toc23356 \h </w:instrText>
      </w:r>
      <w:r>
        <w:rPr>
          <w:color w:val="auto"/>
        </w:rPr>
        <w:fldChar w:fldCharType="separate"/>
      </w:r>
      <w:r>
        <w:rPr>
          <w:color w:val="auto"/>
        </w:rPr>
        <w:t>39</w:t>
      </w:r>
      <w:r>
        <w:rPr>
          <w:color w:val="auto"/>
        </w:rPr>
        <w:fldChar w:fldCharType="end"/>
      </w:r>
      <w:r>
        <w:rPr>
          <w:rFonts w:hint="eastAsia" w:ascii="仿宋" w:hAnsi="仿宋" w:eastAsia="仿宋" w:cs="仿宋"/>
          <w:color w:val="auto"/>
          <w:highlight w:val="none"/>
        </w:rPr>
        <w:fldChar w:fldCharType="end"/>
      </w:r>
    </w:p>
    <w:p w14:paraId="7DA81ECE">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_Toc15337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7</w:t>
      </w:r>
      <w:r>
        <w:rPr>
          <w:rFonts w:hint="eastAsia" w:ascii="仿宋" w:hAnsi="仿宋" w:cs="仿宋"/>
          <w:color w:val="auto"/>
          <w:highlight w:val="none"/>
          <w:lang w:val="en-US" w:eastAsia="zh-CN"/>
        </w:rPr>
        <w:t>.</w:t>
      </w:r>
      <w:r>
        <w:rPr>
          <w:rFonts w:hint="eastAsia" w:ascii="Calibri" w:eastAsia="仿宋"/>
          <w:color w:val="auto"/>
          <w:highlight w:val="none"/>
          <w:lang w:val="en-US" w:eastAsia="zh-CN"/>
        </w:rPr>
        <w:t>保密管理及承诺</w:t>
      </w:r>
      <w:r>
        <w:rPr>
          <w:color w:val="auto"/>
        </w:rPr>
        <w:tab/>
      </w:r>
      <w:r>
        <w:rPr>
          <w:color w:val="auto"/>
        </w:rPr>
        <w:fldChar w:fldCharType="begin"/>
      </w:r>
      <w:r>
        <w:rPr>
          <w:color w:val="auto"/>
        </w:rPr>
        <w:instrText xml:space="preserve"> PAGEREF _Toc15337 \h </w:instrText>
      </w:r>
      <w:r>
        <w:rPr>
          <w:color w:val="auto"/>
        </w:rPr>
        <w:fldChar w:fldCharType="separate"/>
      </w:r>
      <w:r>
        <w:rPr>
          <w:color w:val="auto"/>
        </w:rPr>
        <w:t>39</w:t>
      </w:r>
      <w:r>
        <w:rPr>
          <w:color w:val="auto"/>
        </w:rPr>
        <w:fldChar w:fldCharType="end"/>
      </w:r>
      <w:r>
        <w:rPr>
          <w:rFonts w:hint="eastAsia" w:ascii="仿宋" w:hAnsi="仿宋" w:eastAsia="仿宋" w:cs="仿宋"/>
          <w:color w:val="auto"/>
          <w:highlight w:val="none"/>
        </w:rPr>
        <w:fldChar w:fldCharType="end"/>
      </w:r>
    </w:p>
    <w:p w14:paraId="6D10E439">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_Toc25193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格式</w:t>
      </w:r>
      <w:r>
        <w:rPr>
          <w:rFonts w:hint="eastAsia" w:ascii="仿宋" w:hAnsi="仿宋" w:cs="仿宋"/>
          <w:color w:val="auto"/>
          <w:highlight w:val="none"/>
          <w:lang w:val="en-US" w:eastAsia="zh-CN"/>
        </w:rPr>
        <w:t>8.</w:t>
      </w:r>
      <w:r>
        <w:rPr>
          <w:rFonts w:hint="eastAsia" w:ascii="仿宋" w:hAnsi="仿宋" w:eastAsia="仿宋" w:cs="仿宋"/>
          <w:color w:val="auto"/>
          <w:highlight w:val="none"/>
        </w:rPr>
        <w:t>项目类似业绩</w:t>
      </w:r>
      <w:r>
        <w:rPr>
          <w:color w:val="auto"/>
        </w:rPr>
        <w:tab/>
      </w:r>
      <w:r>
        <w:rPr>
          <w:color w:val="auto"/>
        </w:rPr>
        <w:fldChar w:fldCharType="begin"/>
      </w:r>
      <w:r>
        <w:rPr>
          <w:color w:val="auto"/>
        </w:rPr>
        <w:instrText xml:space="preserve"> PAGEREF _Toc25193 \h </w:instrText>
      </w:r>
      <w:r>
        <w:rPr>
          <w:color w:val="auto"/>
        </w:rPr>
        <w:fldChar w:fldCharType="separate"/>
      </w:r>
      <w:r>
        <w:rPr>
          <w:color w:val="auto"/>
        </w:rPr>
        <w:t>39</w:t>
      </w:r>
      <w:r>
        <w:rPr>
          <w:color w:val="auto"/>
        </w:rPr>
        <w:fldChar w:fldCharType="end"/>
      </w:r>
      <w:r>
        <w:rPr>
          <w:rFonts w:hint="eastAsia" w:ascii="仿宋" w:hAnsi="仿宋" w:eastAsia="仿宋" w:cs="仿宋"/>
          <w:color w:val="auto"/>
          <w:highlight w:val="none"/>
        </w:rPr>
        <w:fldChar w:fldCharType="end"/>
      </w:r>
    </w:p>
    <w:p w14:paraId="7E9FDBEA">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_Toc16322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格式9.</w:t>
      </w:r>
      <w:r>
        <w:rPr>
          <w:rFonts w:hint="eastAsia" w:ascii="仿宋" w:hAnsi="仿宋" w:eastAsia="仿宋" w:cs="仿宋"/>
          <w:color w:val="auto"/>
          <w:highlight w:val="none"/>
        </w:rPr>
        <w:t>磋商文件要求的其他资料或供应商认为需要提供的其他资料</w:t>
      </w:r>
      <w:r>
        <w:rPr>
          <w:color w:val="auto"/>
        </w:rPr>
        <w:tab/>
      </w:r>
      <w:r>
        <w:rPr>
          <w:color w:val="auto"/>
        </w:rPr>
        <w:fldChar w:fldCharType="begin"/>
      </w:r>
      <w:r>
        <w:rPr>
          <w:color w:val="auto"/>
        </w:rPr>
        <w:instrText xml:space="preserve"> PAGEREF _Toc16322 \h </w:instrText>
      </w:r>
      <w:r>
        <w:rPr>
          <w:color w:val="auto"/>
        </w:rPr>
        <w:fldChar w:fldCharType="separate"/>
      </w:r>
      <w:r>
        <w:rPr>
          <w:color w:val="auto"/>
        </w:rPr>
        <w:t>40</w:t>
      </w:r>
      <w:r>
        <w:rPr>
          <w:color w:val="auto"/>
        </w:rPr>
        <w:fldChar w:fldCharType="end"/>
      </w:r>
      <w:r>
        <w:rPr>
          <w:rFonts w:hint="eastAsia" w:ascii="仿宋" w:hAnsi="仿宋" w:eastAsia="仿宋" w:cs="仿宋"/>
          <w:color w:val="auto"/>
          <w:highlight w:val="none"/>
        </w:rPr>
        <w:fldChar w:fldCharType="end"/>
      </w:r>
    </w:p>
    <w:p w14:paraId="7478D869">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_Toc30172 </w:instrText>
      </w:r>
      <w:r>
        <w:rPr>
          <w:rFonts w:hint="eastAsia" w:ascii="仿宋" w:hAnsi="仿宋" w:eastAsia="仿宋" w:cs="仿宋"/>
          <w:color w:val="auto"/>
          <w:highlight w:val="none"/>
        </w:rPr>
        <w:fldChar w:fldCharType="separate"/>
      </w:r>
      <w:r>
        <w:rPr>
          <w:rFonts w:hint="eastAsia" w:ascii="仿宋" w:hAnsi="仿宋" w:cs="仿宋"/>
          <w:color w:val="auto"/>
          <w:szCs w:val="24"/>
          <w:highlight w:val="none"/>
        </w:rPr>
        <w:t>格式</w:t>
      </w:r>
      <w:r>
        <w:rPr>
          <w:rFonts w:hint="eastAsia" w:ascii="仿宋" w:hAnsi="仿宋" w:cs="仿宋"/>
          <w:color w:val="auto"/>
          <w:szCs w:val="24"/>
          <w:highlight w:val="none"/>
          <w:lang w:val="en-US" w:eastAsia="zh-CN"/>
        </w:rPr>
        <w:t>12</w:t>
      </w:r>
      <w:r>
        <w:rPr>
          <w:rFonts w:hint="eastAsia" w:ascii="仿宋" w:hAnsi="仿宋" w:cs="仿宋"/>
          <w:color w:val="auto"/>
          <w:szCs w:val="24"/>
          <w:highlight w:val="none"/>
        </w:rPr>
        <w:t>、监狱企业证明文件</w:t>
      </w:r>
      <w:r>
        <w:rPr>
          <w:color w:val="auto"/>
        </w:rPr>
        <w:tab/>
      </w:r>
      <w:r>
        <w:rPr>
          <w:color w:val="auto"/>
        </w:rPr>
        <w:fldChar w:fldCharType="begin"/>
      </w:r>
      <w:r>
        <w:rPr>
          <w:color w:val="auto"/>
        </w:rPr>
        <w:instrText xml:space="preserve"> PAGEREF _Toc30172 \h </w:instrText>
      </w:r>
      <w:r>
        <w:rPr>
          <w:color w:val="auto"/>
        </w:rPr>
        <w:fldChar w:fldCharType="separate"/>
      </w:r>
      <w:r>
        <w:rPr>
          <w:color w:val="auto"/>
        </w:rPr>
        <w:t>43</w:t>
      </w:r>
      <w:r>
        <w:rPr>
          <w:color w:val="auto"/>
        </w:rPr>
        <w:fldChar w:fldCharType="end"/>
      </w:r>
      <w:r>
        <w:rPr>
          <w:rFonts w:hint="eastAsia" w:ascii="仿宋" w:hAnsi="仿宋" w:eastAsia="仿宋" w:cs="仿宋"/>
          <w:color w:val="auto"/>
          <w:highlight w:val="none"/>
        </w:rPr>
        <w:fldChar w:fldCharType="end"/>
      </w:r>
    </w:p>
    <w:p w14:paraId="44809E1E">
      <w:pPr>
        <w:pStyle w:val="24"/>
        <w:tabs>
          <w:tab w:val="right" w:leader="dot" w:pos="941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_Toc26378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32"/>
        </w:rPr>
        <w:t xml:space="preserve">第五章 </w:t>
      </w:r>
      <w:r>
        <w:rPr>
          <w:rFonts w:hint="eastAsia" w:ascii="仿宋" w:hAnsi="仿宋" w:eastAsia="仿宋" w:cs="仿宋"/>
          <w:color w:val="auto"/>
          <w:szCs w:val="32"/>
          <w:highlight w:val="none"/>
        </w:rPr>
        <w:t>采购需求</w:t>
      </w:r>
      <w:r>
        <w:rPr>
          <w:color w:val="auto"/>
        </w:rPr>
        <w:tab/>
      </w:r>
      <w:r>
        <w:rPr>
          <w:color w:val="auto"/>
        </w:rPr>
        <w:fldChar w:fldCharType="begin"/>
      </w:r>
      <w:r>
        <w:rPr>
          <w:color w:val="auto"/>
        </w:rPr>
        <w:instrText xml:space="preserve"> PAGEREF _Toc26378 \h </w:instrText>
      </w:r>
      <w:r>
        <w:rPr>
          <w:color w:val="auto"/>
        </w:rPr>
        <w:fldChar w:fldCharType="separate"/>
      </w:r>
      <w:r>
        <w:rPr>
          <w:color w:val="auto"/>
        </w:rPr>
        <w:t>44</w:t>
      </w:r>
      <w:r>
        <w:rPr>
          <w:color w:val="auto"/>
        </w:rPr>
        <w:fldChar w:fldCharType="end"/>
      </w:r>
      <w:r>
        <w:rPr>
          <w:rFonts w:hint="eastAsia" w:ascii="仿宋" w:hAnsi="仿宋" w:eastAsia="仿宋" w:cs="仿宋"/>
          <w:color w:val="auto"/>
          <w:highlight w:val="none"/>
        </w:rPr>
        <w:fldChar w:fldCharType="end"/>
      </w:r>
    </w:p>
    <w:p w14:paraId="56781101">
      <w:pPr>
        <w:pStyle w:val="24"/>
        <w:tabs>
          <w:tab w:val="right" w:leader="dot" w:pos="941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_Toc7999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32"/>
          <w:highlight w:val="none"/>
        </w:rPr>
        <w:t>第六章  磋商程序和方法</w:t>
      </w:r>
      <w:r>
        <w:rPr>
          <w:color w:val="auto"/>
        </w:rPr>
        <w:tab/>
      </w:r>
      <w:r>
        <w:rPr>
          <w:color w:val="auto"/>
        </w:rPr>
        <w:fldChar w:fldCharType="begin"/>
      </w:r>
      <w:r>
        <w:rPr>
          <w:color w:val="auto"/>
        </w:rPr>
        <w:instrText xml:space="preserve"> PAGEREF _Toc7999 \h </w:instrText>
      </w:r>
      <w:r>
        <w:rPr>
          <w:color w:val="auto"/>
        </w:rPr>
        <w:fldChar w:fldCharType="separate"/>
      </w:r>
      <w:r>
        <w:rPr>
          <w:color w:val="auto"/>
        </w:rPr>
        <w:t>49</w:t>
      </w:r>
      <w:r>
        <w:rPr>
          <w:color w:val="auto"/>
        </w:rPr>
        <w:fldChar w:fldCharType="end"/>
      </w:r>
      <w:r>
        <w:rPr>
          <w:rFonts w:hint="eastAsia" w:ascii="仿宋" w:hAnsi="仿宋" w:eastAsia="仿宋" w:cs="仿宋"/>
          <w:color w:val="auto"/>
          <w:highlight w:val="none"/>
        </w:rPr>
        <w:fldChar w:fldCharType="end"/>
      </w:r>
    </w:p>
    <w:p w14:paraId="27AF1EBF">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_Toc16602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lang w:eastAsia="zh-CN"/>
        </w:rPr>
        <w:t>评审方法前附表</w:t>
      </w:r>
      <w:r>
        <w:rPr>
          <w:color w:val="auto"/>
        </w:rPr>
        <w:tab/>
      </w:r>
      <w:r>
        <w:rPr>
          <w:color w:val="auto"/>
        </w:rPr>
        <w:fldChar w:fldCharType="begin"/>
      </w:r>
      <w:r>
        <w:rPr>
          <w:color w:val="auto"/>
        </w:rPr>
        <w:instrText xml:space="preserve"> PAGEREF _Toc16602 \h </w:instrText>
      </w:r>
      <w:r>
        <w:rPr>
          <w:color w:val="auto"/>
        </w:rPr>
        <w:fldChar w:fldCharType="separate"/>
      </w:r>
      <w:r>
        <w:rPr>
          <w:color w:val="auto"/>
        </w:rPr>
        <w:t>49</w:t>
      </w:r>
      <w:r>
        <w:rPr>
          <w:color w:val="auto"/>
        </w:rPr>
        <w:fldChar w:fldCharType="end"/>
      </w:r>
      <w:r>
        <w:rPr>
          <w:rFonts w:hint="eastAsia" w:ascii="仿宋" w:hAnsi="仿宋" w:eastAsia="仿宋" w:cs="仿宋"/>
          <w:color w:val="auto"/>
          <w:highlight w:val="none"/>
        </w:rPr>
        <w:fldChar w:fldCharType="end"/>
      </w:r>
    </w:p>
    <w:p w14:paraId="478A68B0">
      <w:pPr>
        <w:pStyle w:val="24"/>
        <w:tabs>
          <w:tab w:val="right" w:leader="dot" w:pos="9412"/>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_Toc29962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24"/>
          <w:highlight w:val="none"/>
          <w:lang w:val="en-US" w:eastAsia="zh-CN"/>
        </w:rPr>
        <w:t>评审说明：</w:t>
      </w:r>
      <w:r>
        <w:rPr>
          <w:rFonts w:hint="eastAsia" w:ascii="仿宋" w:hAnsi="仿宋" w:eastAsia="仿宋" w:cs="仿宋"/>
          <w:color w:val="auto"/>
          <w:szCs w:val="24"/>
          <w:highlight w:val="none"/>
          <w:lang w:val="en-US" w:eastAsia="zh-CN"/>
        </w:rPr>
        <w:t>本项满分6分，下设2项评审子项，每项3分；每缺少1项子项内容扣3分，每项子项存在内容不完整、缺陷、与项目不匹配情形的，每处扣1分，单项最多扣3分，扣完本项分值为止。</w:t>
      </w:r>
      <w:r>
        <w:rPr>
          <w:color w:val="auto"/>
        </w:rPr>
        <w:tab/>
      </w:r>
      <w:r>
        <w:rPr>
          <w:color w:val="auto"/>
        </w:rPr>
        <w:fldChar w:fldCharType="begin"/>
      </w:r>
      <w:r>
        <w:rPr>
          <w:color w:val="auto"/>
        </w:rPr>
        <w:instrText xml:space="preserve"> PAGEREF _Toc29962 \h </w:instrText>
      </w:r>
      <w:r>
        <w:rPr>
          <w:color w:val="auto"/>
        </w:rPr>
        <w:fldChar w:fldCharType="separate"/>
      </w:r>
      <w:r>
        <w:rPr>
          <w:color w:val="auto"/>
        </w:rPr>
        <w:t>55</w:t>
      </w:r>
      <w:r>
        <w:rPr>
          <w:color w:val="auto"/>
        </w:rPr>
        <w:fldChar w:fldCharType="end"/>
      </w:r>
      <w:r>
        <w:rPr>
          <w:rFonts w:hint="eastAsia" w:ascii="仿宋" w:hAnsi="仿宋" w:eastAsia="仿宋" w:cs="仿宋"/>
          <w:color w:val="auto"/>
          <w:highlight w:val="none"/>
        </w:rPr>
        <w:fldChar w:fldCharType="end"/>
      </w:r>
    </w:p>
    <w:p w14:paraId="20C46164">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_Toc26212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lang w:eastAsia="zh-CN"/>
        </w:rPr>
        <w:t>一、磋商方法</w:t>
      </w:r>
      <w:r>
        <w:rPr>
          <w:color w:val="auto"/>
        </w:rPr>
        <w:tab/>
      </w:r>
      <w:r>
        <w:rPr>
          <w:color w:val="auto"/>
        </w:rPr>
        <w:fldChar w:fldCharType="begin"/>
      </w:r>
      <w:r>
        <w:rPr>
          <w:color w:val="auto"/>
        </w:rPr>
        <w:instrText xml:space="preserve"> PAGEREF _Toc26212 \h </w:instrText>
      </w:r>
      <w:r>
        <w:rPr>
          <w:color w:val="auto"/>
        </w:rPr>
        <w:fldChar w:fldCharType="separate"/>
      </w:r>
      <w:r>
        <w:rPr>
          <w:color w:val="auto"/>
        </w:rPr>
        <w:t>57</w:t>
      </w:r>
      <w:r>
        <w:rPr>
          <w:color w:val="auto"/>
        </w:rPr>
        <w:fldChar w:fldCharType="end"/>
      </w:r>
      <w:r>
        <w:rPr>
          <w:rFonts w:hint="eastAsia" w:ascii="仿宋" w:hAnsi="仿宋" w:eastAsia="仿宋" w:cs="仿宋"/>
          <w:color w:val="auto"/>
          <w:highlight w:val="none"/>
        </w:rPr>
        <w:fldChar w:fldCharType="end"/>
      </w:r>
    </w:p>
    <w:p w14:paraId="44A5E73D">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_Toc7620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（一）</w:t>
      </w:r>
      <w:r>
        <w:rPr>
          <w:rFonts w:hint="eastAsia" w:ascii="仿宋" w:hAnsi="仿宋" w:eastAsia="仿宋" w:cs="仿宋"/>
          <w:color w:val="auto"/>
          <w:highlight w:val="none"/>
          <w:lang w:val="en-US" w:eastAsia="zh-CN"/>
        </w:rPr>
        <w:t>评审原则</w:t>
      </w:r>
      <w:r>
        <w:rPr>
          <w:color w:val="auto"/>
        </w:rPr>
        <w:tab/>
      </w:r>
      <w:r>
        <w:rPr>
          <w:color w:val="auto"/>
        </w:rPr>
        <w:fldChar w:fldCharType="begin"/>
      </w:r>
      <w:r>
        <w:rPr>
          <w:color w:val="auto"/>
        </w:rPr>
        <w:instrText xml:space="preserve"> PAGEREF _Toc7620 \h </w:instrText>
      </w:r>
      <w:r>
        <w:rPr>
          <w:color w:val="auto"/>
        </w:rPr>
        <w:fldChar w:fldCharType="separate"/>
      </w:r>
      <w:r>
        <w:rPr>
          <w:color w:val="auto"/>
        </w:rPr>
        <w:t>57</w:t>
      </w:r>
      <w:r>
        <w:rPr>
          <w:color w:val="auto"/>
        </w:rPr>
        <w:fldChar w:fldCharType="end"/>
      </w:r>
      <w:r>
        <w:rPr>
          <w:rFonts w:hint="eastAsia" w:ascii="仿宋" w:hAnsi="仿宋" w:eastAsia="仿宋" w:cs="仿宋"/>
          <w:color w:val="auto"/>
          <w:highlight w:val="none"/>
        </w:rPr>
        <w:fldChar w:fldCharType="end"/>
      </w:r>
    </w:p>
    <w:p w14:paraId="50D050BD">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_Toc30157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（二）</w:t>
      </w:r>
      <w:r>
        <w:rPr>
          <w:rFonts w:hint="eastAsia" w:ascii="仿宋" w:hAnsi="仿宋" w:eastAsia="仿宋" w:cs="仿宋"/>
          <w:color w:val="auto"/>
          <w:highlight w:val="none"/>
          <w:lang w:val="en-US" w:eastAsia="zh-CN"/>
        </w:rPr>
        <w:t>评审方法</w:t>
      </w:r>
      <w:r>
        <w:rPr>
          <w:color w:val="auto"/>
        </w:rPr>
        <w:tab/>
      </w:r>
      <w:r>
        <w:rPr>
          <w:color w:val="auto"/>
        </w:rPr>
        <w:fldChar w:fldCharType="begin"/>
      </w:r>
      <w:r>
        <w:rPr>
          <w:color w:val="auto"/>
        </w:rPr>
        <w:instrText xml:space="preserve"> PAGEREF _Toc30157 \h </w:instrText>
      </w:r>
      <w:r>
        <w:rPr>
          <w:color w:val="auto"/>
        </w:rPr>
        <w:fldChar w:fldCharType="separate"/>
      </w:r>
      <w:r>
        <w:rPr>
          <w:color w:val="auto"/>
        </w:rPr>
        <w:t>57</w:t>
      </w:r>
      <w:r>
        <w:rPr>
          <w:color w:val="auto"/>
        </w:rPr>
        <w:fldChar w:fldCharType="end"/>
      </w:r>
      <w:r>
        <w:rPr>
          <w:rFonts w:hint="eastAsia" w:ascii="仿宋" w:hAnsi="仿宋" w:eastAsia="仿宋" w:cs="仿宋"/>
          <w:color w:val="auto"/>
          <w:highlight w:val="none"/>
        </w:rPr>
        <w:fldChar w:fldCharType="end"/>
      </w:r>
    </w:p>
    <w:p w14:paraId="7EC483F5">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_Toc20970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（三）</w:t>
      </w:r>
      <w:r>
        <w:rPr>
          <w:rFonts w:hint="eastAsia" w:ascii="仿宋" w:hAnsi="仿宋" w:eastAsia="仿宋" w:cs="仿宋"/>
          <w:color w:val="auto"/>
          <w:highlight w:val="none"/>
          <w:lang w:val="en-US" w:eastAsia="zh-CN"/>
        </w:rPr>
        <w:t>关于中小企业</w:t>
      </w:r>
      <w:r>
        <w:rPr>
          <w:color w:val="auto"/>
        </w:rPr>
        <w:tab/>
      </w:r>
      <w:r>
        <w:rPr>
          <w:color w:val="auto"/>
        </w:rPr>
        <w:fldChar w:fldCharType="begin"/>
      </w:r>
      <w:r>
        <w:rPr>
          <w:color w:val="auto"/>
        </w:rPr>
        <w:instrText xml:space="preserve"> PAGEREF _Toc20970 \h </w:instrText>
      </w:r>
      <w:r>
        <w:rPr>
          <w:color w:val="auto"/>
        </w:rPr>
        <w:fldChar w:fldCharType="separate"/>
      </w:r>
      <w:r>
        <w:rPr>
          <w:color w:val="auto"/>
        </w:rPr>
        <w:t>57</w:t>
      </w:r>
      <w:r>
        <w:rPr>
          <w:color w:val="auto"/>
        </w:rPr>
        <w:fldChar w:fldCharType="end"/>
      </w:r>
      <w:r>
        <w:rPr>
          <w:rFonts w:hint="eastAsia" w:ascii="仿宋" w:hAnsi="仿宋" w:eastAsia="仿宋" w:cs="仿宋"/>
          <w:color w:val="auto"/>
          <w:highlight w:val="none"/>
        </w:rPr>
        <w:fldChar w:fldCharType="end"/>
      </w:r>
    </w:p>
    <w:p w14:paraId="722B80C1">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_Toc13528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（四）</w:t>
      </w:r>
      <w:r>
        <w:rPr>
          <w:rFonts w:hint="eastAsia" w:ascii="仿宋" w:hAnsi="仿宋" w:eastAsia="仿宋" w:cs="仿宋"/>
          <w:color w:val="auto"/>
          <w:highlight w:val="none"/>
          <w:lang w:val="en-US" w:eastAsia="zh-CN"/>
        </w:rPr>
        <w:t>关于监狱企业</w:t>
      </w:r>
      <w:r>
        <w:rPr>
          <w:color w:val="auto"/>
        </w:rPr>
        <w:tab/>
      </w:r>
      <w:r>
        <w:rPr>
          <w:color w:val="auto"/>
        </w:rPr>
        <w:fldChar w:fldCharType="begin"/>
      </w:r>
      <w:r>
        <w:rPr>
          <w:color w:val="auto"/>
        </w:rPr>
        <w:instrText xml:space="preserve"> PAGEREF _Toc13528 \h </w:instrText>
      </w:r>
      <w:r>
        <w:rPr>
          <w:color w:val="auto"/>
        </w:rPr>
        <w:fldChar w:fldCharType="separate"/>
      </w:r>
      <w:r>
        <w:rPr>
          <w:color w:val="auto"/>
        </w:rPr>
        <w:t>58</w:t>
      </w:r>
      <w:r>
        <w:rPr>
          <w:color w:val="auto"/>
        </w:rPr>
        <w:fldChar w:fldCharType="end"/>
      </w:r>
      <w:r>
        <w:rPr>
          <w:rFonts w:hint="eastAsia" w:ascii="仿宋" w:hAnsi="仿宋" w:eastAsia="仿宋" w:cs="仿宋"/>
          <w:color w:val="auto"/>
          <w:highlight w:val="none"/>
        </w:rPr>
        <w:fldChar w:fldCharType="end"/>
      </w:r>
    </w:p>
    <w:p w14:paraId="44A554B1">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_Toc31336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（五）</w:t>
      </w:r>
      <w:r>
        <w:rPr>
          <w:rFonts w:hint="eastAsia" w:ascii="仿宋" w:hAnsi="仿宋" w:eastAsia="仿宋" w:cs="仿宋"/>
          <w:color w:val="auto"/>
          <w:highlight w:val="none"/>
          <w:lang w:val="en-US" w:eastAsia="zh-CN"/>
        </w:rPr>
        <w:t>关于残疾人福利性单位：</w:t>
      </w:r>
      <w:r>
        <w:rPr>
          <w:color w:val="auto"/>
        </w:rPr>
        <w:tab/>
      </w:r>
      <w:r>
        <w:rPr>
          <w:color w:val="auto"/>
        </w:rPr>
        <w:fldChar w:fldCharType="begin"/>
      </w:r>
      <w:r>
        <w:rPr>
          <w:color w:val="auto"/>
        </w:rPr>
        <w:instrText xml:space="preserve"> PAGEREF _Toc31336 \h </w:instrText>
      </w:r>
      <w:r>
        <w:rPr>
          <w:color w:val="auto"/>
        </w:rPr>
        <w:fldChar w:fldCharType="separate"/>
      </w:r>
      <w:r>
        <w:rPr>
          <w:color w:val="auto"/>
        </w:rPr>
        <w:t>58</w:t>
      </w:r>
      <w:r>
        <w:rPr>
          <w:color w:val="auto"/>
        </w:rPr>
        <w:fldChar w:fldCharType="end"/>
      </w:r>
      <w:r>
        <w:rPr>
          <w:rFonts w:hint="eastAsia" w:ascii="仿宋" w:hAnsi="仿宋" w:eastAsia="仿宋" w:cs="仿宋"/>
          <w:color w:val="auto"/>
          <w:highlight w:val="none"/>
        </w:rPr>
        <w:fldChar w:fldCharType="end"/>
      </w:r>
    </w:p>
    <w:p w14:paraId="4EAA75A8">
      <w:pPr>
        <w:pStyle w:val="30"/>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_Toc8731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8"/>
          <w:highlight w:val="none"/>
          <w:lang w:eastAsia="zh-CN"/>
        </w:rPr>
        <w:t>二、磋商</w:t>
      </w:r>
      <w:r>
        <w:rPr>
          <w:rFonts w:hint="eastAsia" w:ascii="仿宋" w:hAnsi="仿宋" w:eastAsia="仿宋" w:cs="仿宋"/>
          <w:color w:val="auto"/>
          <w:szCs w:val="28"/>
          <w:highlight w:val="none"/>
          <w:lang w:val="en-US" w:eastAsia="zh-CN"/>
        </w:rPr>
        <w:t>程序及</w:t>
      </w:r>
      <w:r>
        <w:rPr>
          <w:rFonts w:hint="eastAsia" w:ascii="仿宋" w:hAnsi="仿宋" w:eastAsia="仿宋" w:cs="仿宋"/>
          <w:color w:val="auto"/>
          <w:szCs w:val="28"/>
          <w:highlight w:val="none"/>
          <w:lang w:eastAsia="zh-CN"/>
        </w:rPr>
        <w:t>标准</w:t>
      </w:r>
      <w:r>
        <w:rPr>
          <w:color w:val="auto"/>
        </w:rPr>
        <w:tab/>
      </w:r>
      <w:r>
        <w:rPr>
          <w:color w:val="auto"/>
        </w:rPr>
        <w:fldChar w:fldCharType="begin"/>
      </w:r>
      <w:r>
        <w:rPr>
          <w:color w:val="auto"/>
        </w:rPr>
        <w:instrText xml:space="preserve"> PAGEREF _Toc8731 \h </w:instrText>
      </w:r>
      <w:r>
        <w:rPr>
          <w:color w:val="auto"/>
        </w:rPr>
        <w:fldChar w:fldCharType="separate"/>
      </w:r>
      <w:r>
        <w:rPr>
          <w:color w:val="auto"/>
        </w:rPr>
        <w:t>59</w:t>
      </w:r>
      <w:r>
        <w:rPr>
          <w:color w:val="auto"/>
        </w:rPr>
        <w:fldChar w:fldCharType="end"/>
      </w:r>
      <w:r>
        <w:rPr>
          <w:rFonts w:hint="eastAsia" w:ascii="仿宋" w:hAnsi="仿宋" w:eastAsia="仿宋" w:cs="仿宋"/>
          <w:color w:val="auto"/>
          <w:highlight w:val="none"/>
        </w:rPr>
        <w:fldChar w:fldCharType="end"/>
      </w:r>
    </w:p>
    <w:p w14:paraId="3868CE48">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_Toc14220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（一）</w:t>
      </w:r>
      <w:r>
        <w:rPr>
          <w:rFonts w:hint="eastAsia" w:ascii="仿宋" w:hAnsi="仿宋" w:eastAsia="仿宋" w:cs="仿宋"/>
          <w:color w:val="auto"/>
          <w:highlight w:val="none"/>
          <w:lang w:val="en-US" w:eastAsia="zh-CN"/>
        </w:rPr>
        <w:t>资格审查及符合性要求审查标准</w:t>
      </w:r>
      <w:r>
        <w:rPr>
          <w:color w:val="auto"/>
        </w:rPr>
        <w:tab/>
      </w:r>
      <w:r>
        <w:rPr>
          <w:color w:val="auto"/>
        </w:rPr>
        <w:fldChar w:fldCharType="begin"/>
      </w:r>
      <w:r>
        <w:rPr>
          <w:color w:val="auto"/>
        </w:rPr>
        <w:instrText xml:space="preserve"> PAGEREF _Toc14220 \h </w:instrText>
      </w:r>
      <w:r>
        <w:rPr>
          <w:color w:val="auto"/>
        </w:rPr>
        <w:fldChar w:fldCharType="separate"/>
      </w:r>
      <w:r>
        <w:rPr>
          <w:color w:val="auto"/>
        </w:rPr>
        <w:t>59</w:t>
      </w:r>
      <w:r>
        <w:rPr>
          <w:color w:val="auto"/>
        </w:rPr>
        <w:fldChar w:fldCharType="end"/>
      </w:r>
      <w:r>
        <w:rPr>
          <w:rFonts w:hint="eastAsia" w:ascii="仿宋" w:hAnsi="仿宋" w:eastAsia="仿宋" w:cs="仿宋"/>
          <w:color w:val="auto"/>
          <w:highlight w:val="none"/>
        </w:rPr>
        <w:fldChar w:fldCharType="end"/>
      </w:r>
    </w:p>
    <w:p w14:paraId="6FFB84EC">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_Toc12424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（三）</w:t>
      </w:r>
      <w:r>
        <w:rPr>
          <w:rFonts w:hint="eastAsia" w:ascii="仿宋" w:hAnsi="仿宋" w:eastAsia="仿宋" w:cs="仿宋"/>
          <w:color w:val="auto"/>
          <w:highlight w:val="none"/>
          <w:lang w:val="en-US" w:eastAsia="zh-CN"/>
        </w:rPr>
        <w:t>分值构成与评审标准</w:t>
      </w:r>
      <w:r>
        <w:rPr>
          <w:color w:val="auto"/>
        </w:rPr>
        <w:tab/>
      </w:r>
      <w:r>
        <w:rPr>
          <w:color w:val="auto"/>
        </w:rPr>
        <w:fldChar w:fldCharType="begin"/>
      </w:r>
      <w:r>
        <w:rPr>
          <w:color w:val="auto"/>
        </w:rPr>
        <w:instrText xml:space="preserve"> PAGEREF _Toc12424 \h </w:instrText>
      </w:r>
      <w:r>
        <w:rPr>
          <w:color w:val="auto"/>
        </w:rPr>
        <w:fldChar w:fldCharType="separate"/>
      </w:r>
      <w:r>
        <w:rPr>
          <w:color w:val="auto"/>
        </w:rPr>
        <w:t>60</w:t>
      </w:r>
      <w:r>
        <w:rPr>
          <w:color w:val="auto"/>
        </w:rPr>
        <w:fldChar w:fldCharType="end"/>
      </w:r>
      <w:r>
        <w:rPr>
          <w:rFonts w:hint="eastAsia" w:ascii="仿宋" w:hAnsi="仿宋" w:eastAsia="仿宋" w:cs="仿宋"/>
          <w:color w:val="auto"/>
          <w:highlight w:val="none"/>
        </w:rPr>
        <w:fldChar w:fldCharType="end"/>
      </w:r>
    </w:p>
    <w:p w14:paraId="0A45A677">
      <w:pPr>
        <w:pStyle w:val="15"/>
        <w:tabs>
          <w:tab w:val="right" w:leader="dot" w:pos="9412"/>
          <w:tab w:val="clear" w:pos="9515"/>
        </w:tabs>
        <w:rPr>
          <w:color w:val="auto"/>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_Toc15575 </w:instrText>
      </w:r>
      <w:r>
        <w:rPr>
          <w:rFonts w:hint="eastAsia" w:ascii="仿宋" w:hAnsi="仿宋" w:eastAsia="仿宋" w:cs="仿宋"/>
          <w:color w:val="auto"/>
          <w:highlight w:val="none"/>
        </w:rPr>
        <w:fldChar w:fldCharType="separate"/>
      </w:r>
      <w:r>
        <w:rPr>
          <w:rFonts w:hint="eastAsia" w:ascii="仿宋" w:hAnsi="仿宋" w:cs="仿宋"/>
          <w:color w:val="auto"/>
          <w:highlight w:val="none"/>
          <w:lang w:val="en-US" w:eastAsia="zh-CN"/>
        </w:rPr>
        <w:t>（四）</w:t>
      </w:r>
      <w:r>
        <w:rPr>
          <w:rFonts w:hint="eastAsia" w:ascii="仿宋" w:hAnsi="仿宋" w:eastAsia="仿宋" w:cs="仿宋"/>
          <w:color w:val="auto"/>
          <w:highlight w:val="none"/>
          <w:lang w:val="en-US" w:eastAsia="zh-CN"/>
        </w:rPr>
        <w:t>磋商结果</w:t>
      </w:r>
      <w:r>
        <w:rPr>
          <w:color w:val="auto"/>
        </w:rPr>
        <w:tab/>
      </w:r>
      <w:r>
        <w:rPr>
          <w:color w:val="auto"/>
        </w:rPr>
        <w:fldChar w:fldCharType="begin"/>
      </w:r>
      <w:r>
        <w:rPr>
          <w:color w:val="auto"/>
        </w:rPr>
        <w:instrText xml:space="preserve"> PAGEREF _Toc15575 \h </w:instrText>
      </w:r>
      <w:r>
        <w:rPr>
          <w:color w:val="auto"/>
        </w:rPr>
        <w:fldChar w:fldCharType="separate"/>
      </w:r>
      <w:r>
        <w:rPr>
          <w:color w:val="auto"/>
        </w:rPr>
        <w:t>61</w:t>
      </w:r>
      <w:r>
        <w:rPr>
          <w:color w:val="auto"/>
        </w:rPr>
        <w:fldChar w:fldCharType="end"/>
      </w:r>
      <w:r>
        <w:rPr>
          <w:rFonts w:hint="eastAsia" w:ascii="仿宋" w:hAnsi="仿宋" w:eastAsia="仿宋" w:cs="仿宋"/>
          <w:color w:val="auto"/>
          <w:highlight w:val="none"/>
        </w:rPr>
        <w:fldChar w:fldCharType="end"/>
      </w:r>
    </w:p>
    <w:p w14:paraId="31AA9FF1">
      <w:pPr>
        <w:pStyle w:val="15"/>
        <w:pageBreakBefore w:val="0"/>
        <w:tabs>
          <w:tab w:val="right" w:leader="dot" w:pos="9525"/>
          <w:tab w:val="clear" w:pos="9515"/>
        </w:tabs>
        <w:wordWrap/>
        <w:overflowPunct/>
        <w:topLinePunct w:val="0"/>
        <w:bidi w:val="0"/>
        <w:spacing w:line="360" w:lineRule="auto"/>
        <w:ind w:left="0" w:leftChars="0"/>
        <w:rPr>
          <w:rFonts w:hint="eastAsia" w:ascii="仿宋" w:hAnsi="仿宋" w:eastAsia="仿宋" w:cs="仿宋"/>
          <w:color w:val="auto"/>
          <w:highlight w:val="none"/>
        </w:rPr>
        <w:sectPr>
          <w:headerReference r:id="rId3" w:type="default"/>
          <w:footerReference r:id="rId4" w:type="default"/>
          <w:pgSz w:w="11906" w:h="16838"/>
          <w:pgMar w:top="1134" w:right="1247" w:bottom="1417" w:left="1247" w:header="454" w:footer="454" w:gutter="0"/>
          <w:pgNumType w:start="1"/>
          <w:cols w:space="0" w:num="1"/>
          <w:rtlGutter w:val="0"/>
          <w:docGrid w:linePitch="312" w:charSpace="0"/>
        </w:sectPr>
      </w:pPr>
      <w:r>
        <w:rPr>
          <w:rFonts w:hint="eastAsia" w:ascii="仿宋" w:hAnsi="仿宋" w:eastAsia="仿宋" w:cs="仿宋"/>
          <w:color w:val="auto"/>
          <w:highlight w:val="none"/>
        </w:rPr>
        <w:fldChar w:fldCharType="end"/>
      </w:r>
    </w:p>
    <w:p w14:paraId="3EF7216E">
      <w:pPr>
        <w:pStyle w:val="2"/>
        <w:pageBreakBefore w:val="0"/>
        <w:wordWrap/>
        <w:overflowPunct/>
        <w:topLinePunct w:val="0"/>
        <w:bidi w:val="0"/>
        <w:spacing w:line="360" w:lineRule="auto"/>
        <w:jc w:val="center"/>
        <w:rPr>
          <w:rFonts w:hint="eastAsia" w:ascii="仿宋" w:hAnsi="仿宋" w:eastAsia="仿宋" w:cs="仿宋"/>
          <w:color w:val="auto"/>
          <w:sz w:val="32"/>
          <w:highlight w:val="none"/>
        </w:rPr>
      </w:pPr>
      <w:bookmarkStart w:id="1" w:name="_Toc14153"/>
      <w:r>
        <w:rPr>
          <w:rFonts w:hint="eastAsia" w:ascii="仿宋" w:hAnsi="仿宋" w:eastAsia="仿宋" w:cs="仿宋"/>
          <w:color w:val="auto"/>
          <w:sz w:val="32"/>
          <w:highlight w:val="none"/>
        </w:rPr>
        <w:t xml:space="preserve">第一章  </w:t>
      </w:r>
      <w:bookmarkStart w:id="2" w:name="OLE_LINK1"/>
      <w:r>
        <w:rPr>
          <w:rFonts w:hint="eastAsia" w:ascii="仿宋" w:hAnsi="仿宋" w:eastAsia="仿宋" w:cs="仿宋"/>
          <w:color w:val="auto"/>
          <w:sz w:val="32"/>
          <w:highlight w:val="none"/>
        </w:rPr>
        <w:t>竞争性磋商</w:t>
      </w:r>
      <w:bookmarkEnd w:id="2"/>
      <w:r>
        <w:rPr>
          <w:rFonts w:hint="eastAsia" w:ascii="仿宋" w:hAnsi="仿宋" w:eastAsia="仿宋" w:cs="仿宋"/>
          <w:color w:val="auto"/>
          <w:sz w:val="32"/>
          <w:highlight w:val="none"/>
        </w:rPr>
        <w:t>公告</w:t>
      </w:r>
      <w:bookmarkEnd w:id="1"/>
    </w:p>
    <w:p w14:paraId="36C50FA5">
      <w:pPr>
        <w:pageBreakBefore w:val="0"/>
        <w:pBdr>
          <w:top w:val="single" w:color="auto" w:sz="4" w:space="6"/>
          <w:left w:val="single" w:color="auto" w:sz="4" w:space="4"/>
          <w:bottom w:val="single" w:color="auto" w:sz="4" w:space="1"/>
          <w:right w:val="single" w:color="auto" w:sz="4" w:space="4"/>
        </w:pBdr>
        <w:wordWrap/>
        <w:overflowPunct/>
        <w:topLinePunct w:val="0"/>
        <w:bidi w:val="0"/>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项目概况</w:t>
      </w:r>
    </w:p>
    <w:p w14:paraId="2505C31E">
      <w:pPr>
        <w:pageBreakBefore w:val="0"/>
        <w:pBdr>
          <w:top w:val="single" w:color="auto" w:sz="4" w:space="6"/>
          <w:left w:val="single" w:color="auto" w:sz="4" w:space="4"/>
          <w:bottom w:val="single" w:color="auto" w:sz="4" w:space="1"/>
          <w:right w:val="single" w:color="auto" w:sz="4" w:space="4"/>
        </w:pBdr>
        <w:wordWrap/>
        <w:overflowPunct/>
        <w:topLinePunct w:val="0"/>
        <w:bidi w:val="0"/>
        <w:spacing w:line="360" w:lineRule="auto"/>
        <w:ind w:firstLine="482" w:firstLineChars="200"/>
        <w:rPr>
          <w:rFonts w:hint="eastAsia" w:ascii="仿宋" w:hAnsi="仿宋" w:eastAsia="仿宋" w:cs="仿宋"/>
          <w:bCs/>
          <w:color w:val="auto"/>
          <w:sz w:val="24"/>
          <w:highlight w:val="none"/>
        </w:rPr>
      </w:pPr>
      <w:r>
        <w:rPr>
          <w:rFonts w:hint="eastAsia" w:ascii="仿宋" w:hAnsi="仿宋" w:cs="仿宋"/>
          <w:b/>
          <w:color w:val="auto"/>
          <w:sz w:val="24"/>
          <w:highlight w:val="none"/>
          <w:u w:val="single"/>
          <w:lang w:eastAsia="zh-CN"/>
        </w:rPr>
        <w:t>《你好，再见！》丽江纪综艺纪板块（玉龙县）宣推项目</w:t>
      </w:r>
      <w:r>
        <w:rPr>
          <w:rFonts w:hint="eastAsia" w:ascii="仿宋" w:hAnsi="仿宋" w:eastAsia="仿宋" w:cs="仿宋"/>
          <w:bCs/>
          <w:color w:val="auto"/>
          <w:sz w:val="24"/>
          <w:highlight w:val="none"/>
        </w:rPr>
        <w:t>的潜在供应商</w:t>
      </w:r>
      <w:r>
        <w:rPr>
          <w:rFonts w:hint="eastAsia" w:ascii="仿宋" w:hAnsi="仿宋" w:eastAsia="仿宋" w:cs="仿宋"/>
          <w:b w:val="0"/>
          <w:bCs w:val="0"/>
          <w:color w:val="auto"/>
          <w:sz w:val="24"/>
          <w:highlight w:val="none"/>
        </w:rPr>
        <w:t>应在</w:t>
      </w:r>
      <w:r>
        <w:rPr>
          <w:rFonts w:hint="eastAsia" w:ascii="仿宋" w:hAnsi="仿宋" w:eastAsia="仿宋" w:cs="仿宋"/>
          <w:b/>
          <w:bCs w:val="0"/>
          <w:color w:val="auto"/>
          <w:sz w:val="24"/>
          <w:highlight w:val="none"/>
          <w:u w:val="single"/>
          <w:lang w:eastAsia="zh-CN"/>
        </w:rPr>
        <w:t>政采云平台（https://www.zcygov.cn）</w:t>
      </w:r>
      <w:r>
        <w:rPr>
          <w:rFonts w:hint="eastAsia" w:ascii="仿宋" w:hAnsi="仿宋" w:eastAsia="仿宋" w:cs="仿宋"/>
          <w:bCs/>
          <w:color w:val="auto"/>
          <w:sz w:val="24"/>
          <w:highlight w:val="none"/>
        </w:rPr>
        <w:t>获取采购文件</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并于</w:t>
      </w:r>
      <w:r>
        <w:rPr>
          <w:rFonts w:hint="eastAsia" w:ascii="仿宋" w:hAnsi="仿宋" w:cs="仿宋"/>
          <w:b/>
          <w:color w:val="auto"/>
          <w:sz w:val="24"/>
          <w:highlight w:val="none"/>
          <w:u w:val="single"/>
          <w:lang w:eastAsia="zh-CN"/>
        </w:rPr>
        <w:t>2026年</w:t>
      </w:r>
      <w:r>
        <w:rPr>
          <w:rFonts w:hint="eastAsia" w:ascii="仿宋" w:hAnsi="仿宋" w:cs="仿宋"/>
          <w:b/>
          <w:color w:val="auto"/>
          <w:sz w:val="24"/>
          <w:highlight w:val="none"/>
          <w:u w:val="single"/>
          <w:lang w:val="en-US" w:eastAsia="zh-CN"/>
        </w:rPr>
        <w:t>9</w:t>
      </w:r>
      <w:r>
        <w:rPr>
          <w:rFonts w:hint="eastAsia" w:ascii="仿宋" w:hAnsi="仿宋" w:eastAsia="仿宋" w:cs="仿宋"/>
          <w:b/>
          <w:color w:val="auto"/>
          <w:sz w:val="24"/>
          <w:highlight w:val="none"/>
          <w:u w:val="single"/>
        </w:rPr>
        <w:t>月</w:t>
      </w:r>
      <w:r>
        <w:rPr>
          <w:rFonts w:hint="eastAsia" w:ascii="仿宋" w:hAnsi="仿宋" w:cs="仿宋"/>
          <w:b/>
          <w:color w:val="auto"/>
          <w:sz w:val="24"/>
          <w:highlight w:val="none"/>
          <w:u w:val="single"/>
          <w:lang w:val="en-US" w:eastAsia="zh-CN"/>
        </w:rPr>
        <w:t>11</w:t>
      </w:r>
      <w:r>
        <w:rPr>
          <w:rFonts w:hint="eastAsia" w:ascii="仿宋" w:hAnsi="仿宋" w:eastAsia="仿宋" w:cs="仿宋"/>
          <w:b/>
          <w:color w:val="auto"/>
          <w:sz w:val="24"/>
          <w:highlight w:val="none"/>
          <w:u w:val="single"/>
        </w:rPr>
        <w:t>日</w:t>
      </w:r>
      <w:r>
        <w:rPr>
          <w:rFonts w:hint="eastAsia" w:ascii="仿宋" w:hAnsi="仿宋" w:cs="仿宋"/>
          <w:b/>
          <w:color w:val="auto"/>
          <w:sz w:val="24"/>
          <w:highlight w:val="none"/>
          <w:u w:val="single"/>
          <w:lang w:val="en-US" w:eastAsia="zh-CN"/>
        </w:rPr>
        <w:t>9</w:t>
      </w:r>
      <w:r>
        <w:rPr>
          <w:rFonts w:hint="eastAsia" w:ascii="仿宋" w:hAnsi="仿宋" w:eastAsia="仿宋" w:cs="仿宋"/>
          <w:b/>
          <w:color w:val="auto"/>
          <w:sz w:val="24"/>
          <w:highlight w:val="none"/>
          <w:u w:val="single"/>
        </w:rPr>
        <w:t>时</w:t>
      </w:r>
      <w:r>
        <w:rPr>
          <w:rFonts w:hint="eastAsia" w:ascii="仿宋" w:hAnsi="仿宋" w:eastAsia="仿宋" w:cs="仿宋"/>
          <w:b/>
          <w:color w:val="auto"/>
          <w:sz w:val="24"/>
          <w:highlight w:val="none"/>
          <w:u w:val="single"/>
          <w:lang w:val="en-US" w:eastAsia="zh-CN"/>
        </w:rPr>
        <w:t>30</w:t>
      </w:r>
      <w:r>
        <w:rPr>
          <w:rFonts w:hint="eastAsia" w:ascii="仿宋" w:hAnsi="仿宋" w:eastAsia="仿宋" w:cs="仿宋"/>
          <w:b/>
          <w:color w:val="auto"/>
          <w:sz w:val="24"/>
          <w:highlight w:val="none"/>
          <w:u w:val="single"/>
        </w:rPr>
        <w:t>分（北京时间）</w:t>
      </w:r>
      <w:r>
        <w:rPr>
          <w:rFonts w:hint="eastAsia" w:ascii="仿宋" w:hAnsi="仿宋" w:eastAsia="仿宋" w:cs="仿宋"/>
          <w:bCs/>
          <w:color w:val="auto"/>
          <w:sz w:val="24"/>
          <w:highlight w:val="none"/>
        </w:rPr>
        <w:t>前提交响应文件。</w:t>
      </w:r>
    </w:p>
    <w:p w14:paraId="6CF53FAA">
      <w:pPr>
        <w:pageBreakBefore w:val="0"/>
        <w:wordWrap/>
        <w:overflowPunct/>
        <w:topLinePunct w:val="0"/>
        <w:bidi w:val="0"/>
        <w:spacing w:line="360" w:lineRule="auto"/>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一、项目基本情况：</w:t>
      </w:r>
    </w:p>
    <w:p w14:paraId="3E8F68B7">
      <w:pPr>
        <w:pageBreakBefore w:val="0"/>
        <w:wordWrap/>
        <w:overflowPunct/>
        <w:topLinePunct w:val="0"/>
        <w:bidi w:val="0"/>
        <w:spacing w:line="360" w:lineRule="auto"/>
        <w:ind w:firstLine="480" w:firstLineChars="200"/>
        <w:contextualSpacing/>
        <w:rPr>
          <w:rFonts w:hint="eastAsia" w:ascii="仿宋" w:hAnsi="仿宋" w:eastAsia="仿宋" w:cs="仿宋"/>
          <w:bCs/>
          <w:color w:val="auto"/>
          <w:sz w:val="24"/>
          <w:highlight w:val="none"/>
        </w:rPr>
      </w:pPr>
      <w:r>
        <w:rPr>
          <w:rFonts w:hint="eastAsia" w:ascii="仿宋" w:hAnsi="仿宋" w:cs="仿宋"/>
          <w:bCs/>
          <w:color w:val="auto"/>
          <w:sz w:val="24"/>
          <w:highlight w:val="none"/>
          <w:lang w:eastAsia="zh-CN"/>
        </w:rPr>
        <w:t>（</w:t>
      </w:r>
      <w:r>
        <w:rPr>
          <w:rFonts w:hint="eastAsia" w:ascii="仿宋" w:hAnsi="仿宋" w:cs="仿宋"/>
          <w:bCs/>
          <w:color w:val="auto"/>
          <w:sz w:val="24"/>
          <w:highlight w:val="none"/>
          <w:lang w:val="en-US" w:eastAsia="zh-CN"/>
        </w:rPr>
        <w:t>一</w:t>
      </w:r>
      <w:r>
        <w:rPr>
          <w:rFonts w:hint="eastAsia" w:ascii="仿宋" w:hAnsi="仿宋" w:cs="仿宋"/>
          <w:bCs/>
          <w:color w:val="auto"/>
          <w:sz w:val="24"/>
          <w:highlight w:val="none"/>
          <w:lang w:eastAsia="zh-CN"/>
        </w:rPr>
        <w:t>）</w:t>
      </w:r>
      <w:r>
        <w:rPr>
          <w:rFonts w:hint="eastAsia" w:ascii="仿宋" w:hAnsi="仿宋" w:eastAsia="仿宋" w:cs="仿宋"/>
          <w:bCs/>
          <w:color w:val="auto"/>
          <w:sz w:val="24"/>
          <w:highlight w:val="none"/>
        </w:rPr>
        <w:t>项目编号：</w:t>
      </w:r>
      <w:r>
        <w:rPr>
          <w:rFonts w:hint="eastAsia" w:ascii="仿宋" w:hAnsi="仿宋" w:cs="仿宋"/>
          <w:bCs/>
          <w:color w:val="auto"/>
          <w:sz w:val="24"/>
          <w:highlight w:val="none"/>
          <w:lang w:eastAsia="zh-CN"/>
        </w:rPr>
        <w:t>LJZC2026-C3-00705-YNLB-0329</w:t>
      </w:r>
      <w:r>
        <w:rPr>
          <w:rFonts w:hint="eastAsia" w:ascii="仿宋" w:hAnsi="仿宋" w:eastAsia="仿宋" w:cs="仿宋"/>
          <w:bCs/>
          <w:color w:val="auto"/>
          <w:sz w:val="24"/>
          <w:highlight w:val="none"/>
        </w:rPr>
        <w:t>。</w:t>
      </w:r>
    </w:p>
    <w:p w14:paraId="5D343C03">
      <w:pPr>
        <w:pageBreakBefore w:val="0"/>
        <w:wordWrap/>
        <w:overflowPunct/>
        <w:topLinePunct w:val="0"/>
        <w:bidi w:val="0"/>
        <w:spacing w:line="360" w:lineRule="auto"/>
        <w:ind w:firstLine="480" w:firstLineChars="200"/>
        <w:contextualSpacing/>
        <w:rPr>
          <w:rFonts w:hint="eastAsia" w:ascii="仿宋" w:hAnsi="仿宋" w:eastAsia="仿宋" w:cs="仿宋"/>
          <w:bCs/>
          <w:color w:val="auto"/>
          <w:sz w:val="24"/>
          <w:highlight w:val="none"/>
        </w:rPr>
      </w:pPr>
      <w:r>
        <w:rPr>
          <w:rFonts w:hint="eastAsia" w:ascii="仿宋" w:hAnsi="仿宋" w:cs="仿宋"/>
          <w:bCs/>
          <w:color w:val="auto"/>
          <w:sz w:val="24"/>
          <w:highlight w:val="none"/>
          <w:lang w:eastAsia="zh-CN"/>
        </w:rPr>
        <w:t>（</w:t>
      </w:r>
      <w:r>
        <w:rPr>
          <w:rFonts w:hint="eastAsia" w:ascii="仿宋" w:hAnsi="仿宋" w:cs="仿宋"/>
          <w:bCs/>
          <w:color w:val="auto"/>
          <w:sz w:val="24"/>
          <w:highlight w:val="none"/>
          <w:lang w:val="en-US" w:eastAsia="zh-CN"/>
        </w:rPr>
        <w:t>二</w:t>
      </w:r>
      <w:r>
        <w:rPr>
          <w:rFonts w:hint="eastAsia" w:ascii="仿宋" w:hAnsi="仿宋" w:cs="仿宋"/>
          <w:bCs/>
          <w:color w:val="auto"/>
          <w:sz w:val="24"/>
          <w:highlight w:val="none"/>
          <w:lang w:eastAsia="zh-CN"/>
        </w:rPr>
        <w:t>）</w:t>
      </w:r>
      <w:r>
        <w:rPr>
          <w:rFonts w:hint="eastAsia" w:ascii="仿宋" w:hAnsi="仿宋" w:eastAsia="仿宋" w:cs="仿宋"/>
          <w:bCs/>
          <w:color w:val="auto"/>
          <w:sz w:val="24"/>
          <w:highlight w:val="none"/>
        </w:rPr>
        <w:t>项目名称：</w:t>
      </w:r>
      <w:r>
        <w:rPr>
          <w:rFonts w:hint="eastAsia" w:ascii="仿宋" w:hAnsi="仿宋" w:cs="仿宋"/>
          <w:bCs/>
          <w:color w:val="auto"/>
          <w:sz w:val="24"/>
          <w:highlight w:val="none"/>
          <w:lang w:eastAsia="zh-CN"/>
        </w:rPr>
        <w:t>《你好，再见！》丽江纪综艺纪板块（玉龙县）宣推项目</w:t>
      </w:r>
      <w:r>
        <w:rPr>
          <w:rFonts w:hint="eastAsia" w:ascii="仿宋" w:hAnsi="仿宋" w:eastAsia="仿宋" w:cs="仿宋"/>
          <w:bCs/>
          <w:color w:val="auto"/>
          <w:sz w:val="24"/>
          <w:highlight w:val="none"/>
        </w:rPr>
        <w:t>。</w:t>
      </w:r>
    </w:p>
    <w:p w14:paraId="5BFE851C">
      <w:pPr>
        <w:pageBreakBefore w:val="0"/>
        <w:wordWrap/>
        <w:overflowPunct/>
        <w:topLinePunct w:val="0"/>
        <w:bidi w:val="0"/>
        <w:spacing w:line="360" w:lineRule="auto"/>
        <w:ind w:firstLine="480" w:firstLineChars="200"/>
        <w:contextualSpacing/>
        <w:rPr>
          <w:rFonts w:hint="eastAsia" w:ascii="仿宋" w:hAnsi="仿宋" w:eastAsia="仿宋" w:cs="仿宋"/>
          <w:bCs/>
          <w:color w:val="auto"/>
          <w:sz w:val="24"/>
          <w:highlight w:val="none"/>
        </w:rPr>
      </w:pPr>
      <w:r>
        <w:rPr>
          <w:rFonts w:hint="eastAsia" w:ascii="仿宋" w:hAnsi="仿宋" w:cs="仿宋"/>
          <w:bCs/>
          <w:color w:val="auto"/>
          <w:sz w:val="24"/>
          <w:highlight w:val="none"/>
          <w:lang w:eastAsia="zh-CN"/>
        </w:rPr>
        <w:t>（</w:t>
      </w:r>
      <w:r>
        <w:rPr>
          <w:rFonts w:hint="eastAsia" w:ascii="仿宋" w:hAnsi="仿宋" w:cs="仿宋"/>
          <w:bCs/>
          <w:color w:val="auto"/>
          <w:sz w:val="24"/>
          <w:highlight w:val="none"/>
          <w:lang w:val="en-US" w:eastAsia="zh-CN"/>
        </w:rPr>
        <w:t>三</w:t>
      </w:r>
      <w:r>
        <w:rPr>
          <w:rFonts w:hint="eastAsia" w:ascii="仿宋" w:hAnsi="仿宋" w:cs="仿宋"/>
          <w:bCs/>
          <w:color w:val="auto"/>
          <w:sz w:val="24"/>
          <w:highlight w:val="none"/>
          <w:lang w:eastAsia="zh-CN"/>
        </w:rPr>
        <w:t>）</w:t>
      </w:r>
      <w:r>
        <w:rPr>
          <w:rFonts w:hint="eastAsia" w:ascii="仿宋" w:hAnsi="仿宋" w:eastAsia="仿宋" w:cs="仿宋"/>
          <w:bCs/>
          <w:color w:val="auto"/>
          <w:sz w:val="24"/>
          <w:highlight w:val="none"/>
        </w:rPr>
        <w:t>采购方式：竞争性磋商。</w:t>
      </w:r>
    </w:p>
    <w:p w14:paraId="0CD80EFE">
      <w:pPr>
        <w:pageBreakBefore w:val="0"/>
        <w:wordWrap/>
        <w:overflowPunct/>
        <w:topLinePunct w:val="0"/>
        <w:bidi w:val="0"/>
        <w:spacing w:line="360" w:lineRule="auto"/>
        <w:ind w:firstLine="480" w:firstLineChars="200"/>
        <w:contextualSpacing/>
        <w:rPr>
          <w:rFonts w:hint="eastAsia" w:ascii="仿宋" w:hAnsi="仿宋" w:cs="仿宋"/>
          <w:bCs/>
          <w:color w:val="auto"/>
          <w:sz w:val="24"/>
          <w:highlight w:val="none"/>
          <w:lang w:val="en-US" w:eastAsia="zh-CN"/>
        </w:rPr>
      </w:pPr>
      <w:r>
        <w:rPr>
          <w:rFonts w:hint="eastAsia" w:ascii="仿宋" w:hAnsi="仿宋" w:cs="仿宋"/>
          <w:bCs/>
          <w:color w:val="auto"/>
          <w:sz w:val="24"/>
          <w:highlight w:val="none"/>
          <w:lang w:eastAsia="zh-CN"/>
        </w:rPr>
        <w:t>（</w:t>
      </w:r>
      <w:r>
        <w:rPr>
          <w:rFonts w:hint="eastAsia" w:ascii="仿宋" w:hAnsi="仿宋" w:cs="仿宋"/>
          <w:bCs/>
          <w:color w:val="auto"/>
          <w:sz w:val="24"/>
          <w:highlight w:val="none"/>
          <w:lang w:val="en-US" w:eastAsia="zh-CN"/>
        </w:rPr>
        <w:t>四</w:t>
      </w:r>
      <w:r>
        <w:rPr>
          <w:rFonts w:hint="eastAsia" w:ascii="仿宋" w:hAnsi="仿宋" w:cs="仿宋"/>
          <w:bCs/>
          <w:color w:val="auto"/>
          <w:sz w:val="24"/>
          <w:highlight w:val="none"/>
          <w:lang w:eastAsia="zh-CN"/>
        </w:rPr>
        <w:t>）</w:t>
      </w:r>
      <w:r>
        <w:rPr>
          <w:rFonts w:hint="eastAsia" w:ascii="仿宋" w:hAnsi="仿宋" w:eastAsia="仿宋" w:cs="仿宋"/>
          <w:bCs/>
          <w:color w:val="auto"/>
          <w:sz w:val="24"/>
          <w:highlight w:val="none"/>
        </w:rPr>
        <w:t>采购预算：</w:t>
      </w:r>
      <w:r>
        <w:rPr>
          <w:rFonts w:hint="eastAsia" w:ascii="仿宋" w:hAnsi="仿宋" w:cs="仿宋"/>
          <w:bCs/>
          <w:color w:val="auto"/>
          <w:sz w:val="24"/>
          <w:highlight w:val="none"/>
          <w:lang w:val="en-US" w:eastAsia="zh-CN"/>
        </w:rPr>
        <w:t>190万元（完成20人及以内人物拍摄、制作、宣推全流程服务：90000元/人（含税）；超出20人的新增人物全流程服务：80000元/人（含税），以上单价为全包价，包含项目策划、人员、设备、拍摄、后期制作、包装、宣推配合、差旅、税费、素材、成品交付等完成本项目全部工作的所有费用，无隐形收费。）</w:t>
      </w:r>
    </w:p>
    <w:p w14:paraId="57C5460F">
      <w:pPr>
        <w:pageBreakBefore w:val="0"/>
        <w:wordWrap/>
        <w:overflowPunct/>
        <w:topLinePunct w:val="0"/>
        <w:bidi w:val="0"/>
        <w:spacing w:line="360" w:lineRule="auto"/>
        <w:ind w:firstLine="480" w:firstLineChars="200"/>
        <w:contextualSpacing/>
        <w:rPr>
          <w:rFonts w:hint="eastAsia" w:ascii="仿宋" w:hAnsi="仿宋" w:cs="仿宋"/>
          <w:bCs/>
          <w:color w:val="auto"/>
          <w:sz w:val="24"/>
          <w:highlight w:val="none"/>
          <w:lang w:val="en-US" w:eastAsia="zh-CN"/>
        </w:rPr>
      </w:pPr>
      <w:r>
        <w:rPr>
          <w:rFonts w:hint="eastAsia" w:ascii="仿宋" w:hAnsi="仿宋" w:cs="仿宋"/>
          <w:bCs/>
          <w:color w:val="auto"/>
          <w:sz w:val="24"/>
          <w:highlight w:val="none"/>
          <w:lang w:val="en-US" w:eastAsia="zh-CN"/>
        </w:rPr>
        <w:t>（五）最高限价：190万元（完成20人及以内人物拍摄、制作、宣推全流程服务：90000元/人（含税）；超出20人的新增人物全流程服务：80000元/人（含税），以上单价为全包价，包含项目策划、人员、设备、拍摄、后期制作、包装、宣推配合、差旅、税费、素材、成品交付等完成本项目全部工作的所有费用，无隐形收费。）</w:t>
      </w:r>
    </w:p>
    <w:p w14:paraId="7F45D591">
      <w:pPr>
        <w:pageBreakBefore w:val="0"/>
        <w:wordWrap/>
        <w:overflowPunct/>
        <w:topLinePunct w:val="0"/>
        <w:bidi w:val="0"/>
        <w:spacing w:line="360" w:lineRule="auto"/>
        <w:ind w:firstLine="480" w:firstLineChars="200"/>
        <w:contextualSpacing/>
        <w:rPr>
          <w:rFonts w:hint="default" w:ascii="仿宋" w:hAnsi="仿宋" w:eastAsia="仿宋" w:cs="仿宋"/>
          <w:bCs/>
          <w:color w:val="auto"/>
          <w:sz w:val="24"/>
          <w:highlight w:val="none"/>
          <w:lang w:val="en-US" w:eastAsia="zh-CN"/>
        </w:rPr>
      </w:pPr>
      <w:r>
        <w:rPr>
          <w:rFonts w:hint="eastAsia" w:ascii="仿宋" w:hAnsi="仿宋" w:cs="仿宋"/>
          <w:bCs/>
          <w:color w:val="auto"/>
          <w:sz w:val="24"/>
          <w:highlight w:val="none"/>
          <w:lang w:val="en-US" w:eastAsia="zh-CN"/>
        </w:rPr>
        <w:t>（六）</w:t>
      </w:r>
      <w:r>
        <w:rPr>
          <w:rFonts w:hint="eastAsia" w:ascii="仿宋" w:hAnsi="仿宋" w:eastAsia="仿宋" w:cs="仿宋"/>
          <w:bCs/>
          <w:color w:val="auto"/>
          <w:sz w:val="24"/>
          <w:highlight w:val="none"/>
          <w:lang w:val="en-US" w:eastAsia="zh-CN"/>
        </w:rPr>
        <w:t>采购内容：</w:t>
      </w:r>
      <w:r>
        <w:rPr>
          <w:rFonts w:hint="eastAsia" w:ascii="仿宋" w:hAnsi="仿宋" w:cs="仿宋"/>
          <w:bCs/>
          <w:color w:val="auto"/>
          <w:sz w:val="24"/>
          <w:highlight w:val="none"/>
          <w:lang w:val="en-US" w:eastAsia="zh-CN"/>
        </w:rPr>
        <w:t>包括但不限于</w:t>
      </w:r>
      <w:r>
        <w:rPr>
          <w:rFonts w:hint="eastAsia" w:ascii="仿宋" w:hAnsi="仿宋" w:eastAsia="仿宋" w:cs="仿宋"/>
          <w:color w:val="auto"/>
          <w:kern w:val="0"/>
          <w:sz w:val="24"/>
          <w:szCs w:val="24"/>
          <w:highlight w:val="none"/>
          <w:lang w:val="en-US" w:eastAsia="zh-CN" w:bidi="ar"/>
        </w:rPr>
        <w:t>为深入推进丽江市、玉龙县文旅品牌推广、城市形象塑造及招商引资宣传工作，挖掘展示丽江地域文化、人文特色、优质文旅资源与特色产业场景，通过人物纪实综艺形式讲好丽江故事、传播丽江城市魅力，提升区域文旅知名度、美誉度与招商影响力。本次采购综艺纪板块人物内容策划、拍摄制作、成片交付及配套宣传推广专业服务</w:t>
      </w:r>
      <w:r>
        <w:rPr>
          <w:rFonts w:hint="eastAsia" w:ascii="仿宋" w:hAnsi="仿宋" w:cs="仿宋"/>
          <w:bCs/>
          <w:color w:val="auto"/>
          <w:sz w:val="24"/>
          <w:highlight w:val="none"/>
          <w:lang w:val="en-US" w:eastAsia="zh-CN"/>
        </w:rPr>
        <w:t>。</w:t>
      </w:r>
    </w:p>
    <w:p w14:paraId="546C8489">
      <w:pPr>
        <w:pageBreakBefore w:val="0"/>
        <w:wordWrap/>
        <w:overflowPunct/>
        <w:topLinePunct w:val="0"/>
        <w:bidi w:val="0"/>
        <w:spacing w:line="360" w:lineRule="auto"/>
        <w:ind w:firstLine="480" w:firstLineChars="200"/>
        <w:contextualSpacing/>
        <w:rPr>
          <w:rFonts w:hint="eastAsia" w:ascii="仿宋" w:hAnsi="仿宋" w:eastAsia="仿宋" w:cs="仿宋"/>
          <w:b w:val="0"/>
          <w:bCs/>
          <w:color w:val="auto"/>
          <w:sz w:val="24"/>
          <w:highlight w:val="none"/>
        </w:rPr>
      </w:pPr>
      <w:r>
        <w:rPr>
          <w:rFonts w:hint="eastAsia" w:ascii="仿宋" w:hAnsi="仿宋" w:cs="仿宋"/>
          <w:b w:val="0"/>
          <w:bCs/>
          <w:color w:val="auto"/>
          <w:sz w:val="24"/>
          <w:highlight w:val="none"/>
          <w:lang w:eastAsia="zh-CN"/>
        </w:rPr>
        <w:t>（</w:t>
      </w:r>
      <w:r>
        <w:rPr>
          <w:rFonts w:hint="eastAsia" w:ascii="仿宋" w:hAnsi="仿宋" w:cs="仿宋"/>
          <w:b w:val="0"/>
          <w:bCs/>
          <w:color w:val="auto"/>
          <w:sz w:val="24"/>
          <w:highlight w:val="none"/>
          <w:lang w:val="en-US" w:eastAsia="zh-CN"/>
        </w:rPr>
        <w:t>七</w:t>
      </w:r>
      <w:r>
        <w:rPr>
          <w:rFonts w:hint="eastAsia" w:ascii="仿宋" w:hAnsi="仿宋" w:cs="仿宋"/>
          <w:b w:val="0"/>
          <w:bCs/>
          <w:color w:val="auto"/>
          <w:sz w:val="24"/>
          <w:highlight w:val="none"/>
          <w:lang w:eastAsia="zh-CN"/>
        </w:rPr>
        <w:t>）</w:t>
      </w:r>
      <w:r>
        <w:rPr>
          <w:rFonts w:hint="eastAsia" w:ascii="仿宋" w:hAnsi="仿宋" w:eastAsia="仿宋" w:cs="仿宋"/>
          <w:b w:val="0"/>
          <w:bCs/>
          <w:color w:val="auto"/>
          <w:sz w:val="24"/>
          <w:highlight w:val="none"/>
        </w:rPr>
        <w:t>合同履行期限：</w:t>
      </w:r>
      <w:r>
        <w:rPr>
          <w:rFonts w:hint="eastAsia" w:ascii="仿宋" w:hAnsi="仿宋" w:eastAsia="仿宋" w:cs="仿宋"/>
          <w:color w:val="auto"/>
          <w:kern w:val="0"/>
          <w:sz w:val="24"/>
          <w:szCs w:val="24"/>
          <w:highlight w:val="none"/>
          <w:lang w:val="en-US" w:eastAsia="zh-CN" w:bidi="ar"/>
        </w:rPr>
        <w:t>6个月，具体拍摄、交付计划以双方书面确认文件为准</w:t>
      </w:r>
      <w:r>
        <w:rPr>
          <w:rFonts w:hint="eastAsia" w:ascii="仿宋" w:hAnsi="仿宋" w:cs="仿宋"/>
          <w:color w:val="auto"/>
          <w:kern w:val="0"/>
          <w:sz w:val="24"/>
          <w:szCs w:val="24"/>
          <w:highlight w:val="none"/>
          <w:lang w:val="en-US" w:eastAsia="zh-CN" w:bidi="ar"/>
        </w:rPr>
        <w:t>。</w:t>
      </w:r>
    </w:p>
    <w:p w14:paraId="4D88A7EB">
      <w:pPr>
        <w:pageBreakBefore w:val="0"/>
        <w:wordWrap/>
        <w:overflowPunct/>
        <w:topLinePunct w:val="0"/>
        <w:bidi w:val="0"/>
        <w:spacing w:line="360" w:lineRule="auto"/>
        <w:ind w:firstLine="480" w:firstLineChars="200"/>
        <w:rPr>
          <w:rFonts w:hint="eastAsia" w:ascii="仿宋" w:hAnsi="仿宋" w:eastAsia="仿宋" w:cs="仿宋"/>
          <w:bCs/>
          <w:color w:val="auto"/>
          <w:sz w:val="24"/>
          <w:highlight w:val="none"/>
          <w:lang w:eastAsia="zh-CN"/>
        </w:rPr>
      </w:pPr>
      <w:r>
        <w:rPr>
          <w:rFonts w:hint="eastAsia" w:ascii="仿宋" w:hAnsi="仿宋" w:cs="仿宋"/>
          <w:bCs/>
          <w:color w:val="auto"/>
          <w:sz w:val="24"/>
          <w:highlight w:val="none"/>
          <w:lang w:eastAsia="zh-CN"/>
        </w:rPr>
        <w:t>（</w:t>
      </w:r>
      <w:r>
        <w:rPr>
          <w:rFonts w:hint="eastAsia" w:ascii="仿宋" w:hAnsi="仿宋" w:cs="仿宋"/>
          <w:bCs/>
          <w:color w:val="auto"/>
          <w:sz w:val="24"/>
          <w:highlight w:val="none"/>
          <w:lang w:val="en-US" w:eastAsia="zh-CN"/>
        </w:rPr>
        <w:t>八</w:t>
      </w:r>
      <w:r>
        <w:rPr>
          <w:rFonts w:hint="eastAsia" w:ascii="仿宋" w:hAnsi="仿宋" w:cs="仿宋"/>
          <w:bCs/>
          <w:color w:val="auto"/>
          <w:sz w:val="24"/>
          <w:highlight w:val="none"/>
          <w:lang w:eastAsia="zh-CN"/>
        </w:rPr>
        <w:t>）</w:t>
      </w:r>
      <w:r>
        <w:rPr>
          <w:rFonts w:hint="eastAsia" w:ascii="仿宋" w:hAnsi="仿宋" w:eastAsia="仿宋" w:cs="仿宋"/>
          <w:bCs/>
          <w:color w:val="auto"/>
          <w:sz w:val="24"/>
          <w:highlight w:val="none"/>
        </w:rPr>
        <w:t>本项目（是/否）接受联合体：</w:t>
      </w:r>
      <w:r>
        <w:rPr>
          <w:rFonts w:hint="eastAsia" w:ascii="仿宋" w:hAnsi="仿宋" w:eastAsia="仿宋" w:cs="仿宋"/>
          <w:bCs/>
          <w:color w:val="auto"/>
          <w:sz w:val="24"/>
          <w:highlight w:val="none"/>
          <w:lang w:val="en-US" w:eastAsia="zh-CN"/>
        </w:rPr>
        <w:t>否</w:t>
      </w:r>
      <w:r>
        <w:rPr>
          <w:rFonts w:hint="eastAsia" w:ascii="仿宋" w:hAnsi="仿宋" w:eastAsia="仿宋" w:cs="仿宋"/>
          <w:bCs/>
          <w:color w:val="auto"/>
          <w:sz w:val="24"/>
          <w:highlight w:val="none"/>
        </w:rPr>
        <w:t>。</w:t>
      </w:r>
    </w:p>
    <w:p w14:paraId="160A11F6">
      <w:pPr>
        <w:pageBreakBefore w:val="0"/>
        <w:wordWrap/>
        <w:overflowPunct/>
        <w:topLinePunct w:val="0"/>
        <w:bidi w:val="0"/>
        <w:spacing w:line="360" w:lineRule="auto"/>
        <w:ind w:firstLine="241" w:firstLineChars="100"/>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二、申请人的资格要求</w:t>
      </w:r>
    </w:p>
    <w:p w14:paraId="19F84D98">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一</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满足《中华人民共和国政府采购法》第二十二条规定</w:t>
      </w:r>
      <w:r>
        <w:rPr>
          <w:rFonts w:hint="eastAsia" w:ascii="仿宋" w:hAnsi="仿宋" w:eastAsia="仿宋" w:cs="仿宋"/>
          <w:color w:val="auto"/>
          <w:sz w:val="24"/>
          <w:szCs w:val="22"/>
          <w:highlight w:val="none"/>
          <w:lang w:eastAsia="zh-CN"/>
        </w:rPr>
        <w:t>。</w:t>
      </w:r>
    </w:p>
    <w:p w14:paraId="1C31D345">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具有独立承担民事责任的能力</w:t>
      </w:r>
      <w:r>
        <w:rPr>
          <w:rFonts w:hint="eastAsia" w:ascii="仿宋" w:hAnsi="仿宋" w:eastAsia="仿宋" w:cs="仿宋"/>
          <w:color w:val="auto"/>
          <w:sz w:val="24"/>
          <w:szCs w:val="22"/>
          <w:highlight w:val="none"/>
          <w:lang w:eastAsia="zh-CN"/>
        </w:rPr>
        <w:t>：</w:t>
      </w:r>
    </w:p>
    <w:p w14:paraId="2739AD61">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bookmarkStart w:id="3" w:name="OLE_LINK2"/>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1</w:t>
      </w:r>
      <w:r>
        <w:rPr>
          <w:rFonts w:hint="eastAsia" w:ascii="仿宋" w:hAnsi="仿宋" w:cs="仿宋"/>
          <w:color w:val="auto"/>
          <w:sz w:val="24"/>
          <w:highlight w:val="none"/>
          <w:lang w:eastAsia="zh-CN"/>
        </w:rPr>
        <w:t>）</w:t>
      </w:r>
      <w:bookmarkEnd w:id="3"/>
      <w:r>
        <w:rPr>
          <w:rFonts w:hint="eastAsia" w:ascii="仿宋" w:hAnsi="仿宋" w:eastAsia="仿宋" w:cs="仿宋"/>
          <w:color w:val="auto"/>
          <w:sz w:val="24"/>
          <w:highlight w:val="none"/>
        </w:rPr>
        <w:t>若为企业法人：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提供“营业执照”；</w:t>
      </w: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2</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若为事业法人：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提供“事业单位法人证书或统一社会信用代码证书”；</w:t>
      </w: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3</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若为其他组织：</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提供“对应主管部门颁发的准许执业证明文件或营业执照”；</w:t>
      </w: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4</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若为自然人：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提供“身份证明材料”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注：上述材料需提供扫描件</w:t>
      </w:r>
      <w:r>
        <w:rPr>
          <w:rFonts w:hint="eastAsia" w:ascii="仿宋" w:hAnsi="仿宋" w:eastAsia="仿宋" w:cs="仿宋"/>
          <w:color w:val="auto"/>
          <w:sz w:val="24"/>
          <w:highlight w:val="none"/>
          <w:lang w:eastAsia="zh-CN"/>
        </w:rPr>
        <w:t>）</w:t>
      </w:r>
      <w:r>
        <w:rPr>
          <w:rFonts w:hint="eastAsia" w:ascii="仿宋" w:hAnsi="仿宋" w:cs="仿宋"/>
          <w:color w:val="auto"/>
          <w:sz w:val="24"/>
          <w:highlight w:val="none"/>
          <w:lang w:eastAsia="zh-CN"/>
        </w:rPr>
        <w:t>。</w:t>
      </w:r>
    </w:p>
    <w:p w14:paraId="7C93F25A">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cs="仿宋"/>
          <w:color w:val="auto"/>
          <w:sz w:val="24"/>
          <w:szCs w:val="22"/>
          <w:highlight w:val="none"/>
          <w:lang w:val="en-US" w:eastAsia="zh-CN"/>
        </w:rPr>
        <w:t>2.具</w:t>
      </w:r>
      <w:r>
        <w:rPr>
          <w:rFonts w:hint="eastAsia" w:ascii="仿宋" w:hAnsi="仿宋" w:eastAsia="仿宋" w:cs="仿宋"/>
          <w:color w:val="auto"/>
          <w:sz w:val="24"/>
          <w:szCs w:val="22"/>
          <w:highlight w:val="none"/>
        </w:rPr>
        <w:t>有良好的商业信誉和健全的财务会计制度</w:t>
      </w:r>
      <w:r>
        <w:rPr>
          <w:rFonts w:hint="eastAsia" w:ascii="仿宋" w:hAnsi="仿宋" w:eastAsia="仿宋" w:cs="仿宋"/>
          <w:color w:val="auto"/>
          <w:sz w:val="24"/>
          <w:szCs w:val="22"/>
          <w:highlight w:val="none"/>
          <w:lang w:eastAsia="zh-CN"/>
        </w:rPr>
        <w:t>：</w:t>
      </w:r>
    </w:p>
    <w:p w14:paraId="38BB6E20">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b w:val="0"/>
          <w:bCs w:val="0"/>
          <w:color w:val="auto"/>
          <w:sz w:val="24"/>
          <w:highlight w:val="none"/>
          <w:lang w:eastAsia="zh-CN"/>
        </w:rPr>
      </w:pP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1</w:t>
      </w:r>
      <w:r>
        <w:rPr>
          <w:rFonts w:hint="eastAsia" w:ascii="仿宋" w:hAnsi="仿宋" w:cs="仿宋"/>
          <w:color w:val="auto"/>
          <w:sz w:val="24"/>
          <w:highlight w:val="none"/>
          <w:lang w:eastAsia="zh-CN"/>
        </w:rPr>
        <w:t>）</w:t>
      </w:r>
      <w:r>
        <w:rPr>
          <w:rFonts w:hint="eastAsia" w:ascii="仿宋" w:hAnsi="仿宋" w:eastAsia="仿宋" w:cs="仿宋"/>
          <w:color w:val="auto"/>
          <w:sz w:val="24"/>
          <w:szCs w:val="22"/>
          <w:highlight w:val="none"/>
          <w:lang w:eastAsia="zh-CN"/>
        </w:rPr>
        <w:t>①提供2023年（含）至</w:t>
      </w:r>
      <w:r>
        <w:rPr>
          <w:rFonts w:hint="eastAsia" w:ascii="仿宋" w:hAnsi="仿宋" w:cs="仿宋"/>
          <w:color w:val="auto"/>
          <w:sz w:val="24"/>
          <w:szCs w:val="22"/>
          <w:highlight w:val="none"/>
          <w:lang w:eastAsia="zh-CN"/>
        </w:rPr>
        <w:t>响应文件</w:t>
      </w:r>
      <w:r>
        <w:rPr>
          <w:rFonts w:hint="eastAsia" w:ascii="仿宋" w:hAnsi="仿宋" w:eastAsia="仿宋" w:cs="仿宋"/>
          <w:color w:val="auto"/>
          <w:sz w:val="24"/>
          <w:szCs w:val="22"/>
          <w:highlight w:val="none"/>
          <w:lang w:eastAsia="zh-CN"/>
        </w:rPr>
        <w:t>提交截止时间任一年度完整经审计财务报告，包含审计报告正文、资产负债表、利润表、现金流量表、财务报表附注；前述审计财务报告须在财政部注册会计师行业统一监管平台赋码并附有有效验证码，无有效赋码或核验信息不一致的审计报告不予采信（成立不满1年的</w:t>
      </w:r>
      <w:r>
        <w:rPr>
          <w:rFonts w:hint="eastAsia" w:ascii="仿宋" w:hAnsi="仿宋" w:cs="仿宋"/>
          <w:color w:val="auto"/>
          <w:sz w:val="24"/>
          <w:szCs w:val="22"/>
          <w:highlight w:val="none"/>
          <w:lang w:eastAsia="zh-CN"/>
        </w:rPr>
        <w:t>供应商</w:t>
      </w:r>
      <w:r>
        <w:rPr>
          <w:rFonts w:hint="eastAsia" w:ascii="仿宋" w:hAnsi="仿宋" w:eastAsia="仿宋" w:cs="仿宋"/>
          <w:color w:val="auto"/>
          <w:sz w:val="24"/>
          <w:szCs w:val="22"/>
          <w:highlight w:val="none"/>
          <w:lang w:eastAsia="zh-CN"/>
        </w:rPr>
        <w:t>，提供自成立之日起的财务报表（含资产负债表、利润表、现金流量表）；</w:t>
      </w:r>
      <w:r>
        <w:rPr>
          <w:rFonts w:hint="eastAsia" w:ascii="仿宋" w:hAnsi="仿宋" w:cs="仿宋"/>
          <w:color w:val="auto"/>
          <w:sz w:val="24"/>
          <w:szCs w:val="22"/>
          <w:highlight w:val="none"/>
          <w:lang w:eastAsia="zh-CN"/>
        </w:rPr>
        <w:t>供应商</w:t>
      </w:r>
      <w:r>
        <w:rPr>
          <w:rFonts w:hint="eastAsia" w:ascii="仿宋" w:hAnsi="仿宋" w:eastAsia="仿宋" w:cs="仿宋"/>
          <w:color w:val="auto"/>
          <w:sz w:val="24"/>
          <w:szCs w:val="22"/>
          <w:highlight w:val="none"/>
          <w:lang w:eastAsia="zh-CN"/>
        </w:rPr>
        <w:t>为自然人的可提交财务状况承诺函；非营利性单位、社会团体、机关事业单位可按自身财务制度提供合规财务证明材料或承诺函）；②提供在提交</w:t>
      </w:r>
      <w:r>
        <w:rPr>
          <w:rFonts w:hint="eastAsia" w:ascii="仿宋" w:hAnsi="仿宋" w:cs="仿宋"/>
          <w:color w:val="auto"/>
          <w:sz w:val="24"/>
          <w:szCs w:val="22"/>
          <w:highlight w:val="none"/>
          <w:lang w:eastAsia="zh-CN"/>
        </w:rPr>
        <w:t>响应文件</w:t>
      </w:r>
      <w:r>
        <w:rPr>
          <w:rFonts w:hint="eastAsia" w:ascii="仿宋" w:hAnsi="仿宋" w:eastAsia="仿宋" w:cs="仿宋"/>
          <w:color w:val="auto"/>
          <w:sz w:val="24"/>
          <w:szCs w:val="22"/>
          <w:highlight w:val="none"/>
          <w:lang w:eastAsia="zh-CN"/>
        </w:rPr>
        <w:t>截止时间前六个月内银行开具的资信证明或银行存款证明或其他财务说明；③提供财政部门认可的政府采购专业担保机构对</w:t>
      </w:r>
      <w:r>
        <w:rPr>
          <w:rFonts w:hint="eastAsia" w:ascii="仿宋" w:hAnsi="仿宋" w:cs="仿宋"/>
          <w:color w:val="auto"/>
          <w:sz w:val="24"/>
          <w:szCs w:val="22"/>
          <w:highlight w:val="none"/>
          <w:lang w:eastAsia="zh-CN"/>
        </w:rPr>
        <w:t>供应商</w:t>
      </w:r>
      <w:r>
        <w:rPr>
          <w:rFonts w:hint="eastAsia" w:ascii="仿宋" w:hAnsi="仿宋" w:eastAsia="仿宋" w:cs="仿宋"/>
          <w:color w:val="auto"/>
          <w:sz w:val="24"/>
          <w:szCs w:val="22"/>
          <w:highlight w:val="none"/>
          <w:lang w:eastAsia="zh-CN"/>
        </w:rPr>
        <w:t>进行资信审查后出具的投标担保函。（注：上述①—③项证明材料，提供任意一项即可）</w:t>
      </w:r>
    </w:p>
    <w:p w14:paraId="4D015F74">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3</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具有履行合同所必需的设备和专业技术能力（提供书面声明或证明材料）；</w:t>
      </w:r>
    </w:p>
    <w:p w14:paraId="43302567">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4</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有依法缴纳税收和社会保障资金的良好记录</w:t>
      </w:r>
      <w:r>
        <w:rPr>
          <w:rFonts w:hint="eastAsia" w:ascii="仿宋" w:hAnsi="仿宋" w:eastAsia="仿宋" w:cs="仿宋"/>
          <w:color w:val="auto"/>
          <w:sz w:val="24"/>
          <w:szCs w:val="22"/>
          <w:highlight w:val="none"/>
          <w:lang w:eastAsia="zh-CN"/>
        </w:rPr>
        <w:t>：</w:t>
      </w:r>
    </w:p>
    <w:p w14:paraId="6BABD37A">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1</w:t>
      </w:r>
      <w:r>
        <w:rPr>
          <w:rFonts w:hint="eastAsia" w:ascii="仿宋" w:hAnsi="仿宋" w:cs="仿宋"/>
          <w:color w:val="auto"/>
          <w:sz w:val="24"/>
          <w:highlight w:val="none"/>
          <w:lang w:eastAsia="zh-CN"/>
        </w:rPr>
        <w:t>）</w:t>
      </w:r>
      <w:r>
        <w:rPr>
          <w:rFonts w:hint="eastAsia" w:ascii="仿宋" w:hAnsi="仿宋" w:eastAsia="仿宋" w:cs="仿宋"/>
          <w:color w:val="auto"/>
          <w:sz w:val="24"/>
          <w:szCs w:val="22"/>
          <w:highlight w:val="none"/>
          <w:lang w:eastAsia="zh-CN"/>
        </w:rPr>
        <w:t>提供税款所属时期</w:t>
      </w:r>
      <w:r>
        <w:rPr>
          <w:rFonts w:hint="eastAsia" w:ascii="仿宋" w:hAnsi="仿宋" w:eastAsia="仿宋" w:cs="仿宋"/>
          <w:color w:val="auto"/>
          <w:sz w:val="24"/>
          <w:szCs w:val="22"/>
          <w:highlight w:val="none"/>
          <w:lang w:val="en-US" w:eastAsia="zh-CN"/>
        </w:rPr>
        <w:t>在</w:t>
      </w:r>
      <w:r>
        <w:rPr>
          <w:rFonts w:hint="eastAsia" w:ascii="仿宋" w:hAnsi="仿宋" w:cs="仿宋"/>
          <w:color w:val="auto"/>
          <w:sz w:val="24"/>
          <w:szCs w:val="22"/>
          <w:highlight w:val="none"/>
          <w:lang w:eastAsia="zh-CN"/>
        </w:rPr>
        <w:t>2025年5月</w:t>
      </w:r>
      <w:r>
        <w:rPr>
          <w:rFonts w:hint="eastAsia" w:ascii="仿宋" w:hAnsi="仿宋" w:eastAsia="仿宋" w:cs="仿宋"/>
          <w:color w:val="auto"/>
          <w:sz w:val="24"/>
          <w:szCs w:val="22"/>
          <w:highlight w:val="none"/>
          <w:lang w:eastAsia="zh-CN"/>
        </w:rPr>
        <w:t>至响应文件提交截止时间任意连续3个月的税务局税收通用缴款书复印件或银行电子缴税（费）凭证或税务局出</w:t>
      </w:r>
      <w:r>
        <w:rPr>
          <w:rFonts w:hint="eastAsia" w:ascii="仿宋" w:hAnsi="仿宋" w:cs="仿宋"/>
          <w:color w:val="auto"/>
          <w:sz w:val="24"/>
          <w:szCs w:val="22"/>
          <w:highlight w:val="none"/>
          <w:lang w:eastAsia="zh-CN"/>
        </w:rPr>
        <w:t>具的</w:t>
      </w:r>
      <w:r>
        <w:rPr>
          <w:rFonts w:hint="eastAsia" w:ascii="仿宋" w:hAnsi="仿宋" w:eastAsia="仿宋" w:cs="仿宋"/>
          <w:color w:val="auto"/>
          <w:sz w:val="24"/>
          <w:szCs w:val="22"/>
          <w:highlight w:val="none"/>
          <w:lang w:eastAsia="zh-CN"/>
        </w:rPr>
        <w:t>纳税情况的相关证明（注：成立未满3个月</w:t>
      </w:r>
      <w:r>
        <w:rPr>
          <w:rFonts w:hint="eastAsia" w:ascii="仿宋" w:hAnsi="仿宋" w:cs="仿宋"/>
          <w:color w:val="auto"/>
          <w:sz w:val="24"/>
          <w:szCs w:val="22"/>
          <w:highlight w:val="none"/>
          <w:lang w:val="en-US" w:eastAsia="zh-CN"/>
        </w:rPr>
        <w:t>或刚满3个月</w:t>
      </w:r>
      <w:r>
        <w:rPr>
          <w:rFonts w:hint="eastAsia" w:ascii="仿宋" w:hAnsi="仿宋" w:eastAsia="仿宋" w:cs="仿宋"/>
          <w:color w:val="auto"/>
          <w:sz w:val="24"/>
          <w:szCs w:val="22"/>
          <w:highlight w:val="none"/>
          <w:lang w:eastAsia="zh-CN"/>
        </w:rPr>
        <w:t>的供应商提供自成立以来的相关纳税证明或情况说明；依法免税的，应提供依法免税的相关证明文件）；</w:t>
      </w: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2</w:t>
      </w:r>
      <w:r>
        <w:rPr>
          <w:rFonts w:hint="eastAsia" w:ascii="仿宋" w:hAnsi="仿宋" w:cs="仿宋"/>
          <w:color w:val="auto"/>
          <w:sz w:val="24"/>
          <w:highlight w:val="none"/>
          <w:lang w:eastAsia="zh-CN"/>
        </w:rPr>
        <w:t>）</w:t>
      </w:r>
      <w:r>
        <w:rPr>
          <w:rFonts w:hint="eastAsia" w:ascii="仿宋" w:hAnsi="仿宋" w:eastAsia="仿宋" w:cs="仿宋"/>
          <w:color w:val="auto"/>
          <w:sz w:val="24"/>
          <w:szCs w:val="22"/>
          <w:highlight w:val="none"/>
          <w:lang w:eastAsia="zh-CN"/>
        </w:rPr>
        <w:t>提供费款所属时期</w:t>
      </w:r>
      <w:r>
        <w:rPr>
          <w:rFonts w:hint="eastAsia" w:ascii="仿宋" w:hAnsi="仿宋" w:eastAsia="仿宋" w:cs="仿宋"/>
          <w:color w:val="auto"/>
          <w:sz w:val="24"/>
          <w:szCs w:val="22"/>
          <w:highlight w:val="none"/>
          <w:lang w:val="en-US" w:eastAsia="zh-CN"/>
        </w:rPr>
        <w:t>在</w:t>
      </w:r>
      <w:r>
        <w:rPr>
          <w:rFonts w:hint="eastAsia" w:ascii="仿宋" w:hAnsi="仿宋" w:cs="仿宋"/>
          <w:color w:val="auto"/>
          <w:sz w:val="24"/>
          <w:szCs w:val="22"/>
          <w:highlight w:val="none"/>
          <w:lang w:eastAsia="zh-CN"/>
        </w:rPr>
        <w:t>2025年5月</w:t>
      </w:r>
      <w:r>
        <w:rPr>
          <w:rFonts w:hint="eastAsia" w:ascii="仿宋" w:hAnsi="仿宋" w:eastAsia="仿宋" w:cs="仿宋"/>
          <w:color w:val="auto"/>
          <w:sz w:val="24"/>
          <w:szCs w:val="22"/>
          <w:highlight w:val="none"/>
          <w:lang w:eastAsia="zh-CN"/>
        </w:rPr>
        <w:t>至响应文件提交截止时间任意连续3个月的社会保险费缴款书复印件或银行电子缴税（费）凭证或社保管理部门出具的有效的缴款证明（成立未满3个月</w:t>
      </w:r>
      <w:r>
        <w:rPr>
          <w:rFonts w:hint="eastAsia" w:ascii="仿宋" w:hAnsi="仿宋" w:cs="仿宋"/>
          <w:color w:val="auto"/>
          <w:sz w:val="24"/>
          <w:szCs w:val="22"/>
          <w:highlight w:val="none"/>
          <w:lang w:val="en-US" w:eastAsia="zh-CN"/>
        </w:rPr>
        <w:t>或刚满3个月</w:t>
      </w:r>
      <w:r>
        <w:rPr>
          <w:rFonts w:hint="eastAsia" w:ascii="仿宋" w:hAnsi="仿宋" w:eastAsia="仿宋" w:cs="仿宋"/>
          <w:color w:val="auto"/>
          <w:sz w:val="24"/>
          <w:szCs w:val="22"/>
          <w:highlight w:val="none"/>
          <w:lang w:eastAsia="zh-CN"/>
        </w:rPr>
        <w:t>的提供成立以来社会保障资金缴纳凭证或相关情况说明；依法不需要缴纳社会保障资金的供应商，应提供相应文件证明其不需要缴纳社会保障资金）</w:t>
      </w:r>
      <w:r>
        <w:rPr>
          <w:rFonts w:hint="eastAsia" w:ascii="仿宋" w:hAnsi="仿宋" w:eastAsia="仿宋" w:cs="仿宋"/>
          <w:color w:val="auto"/>
          <w:sz w:val="24"/>
          <w:szCs w:val="22"/>
          <w:highlight w:val="none"/>
        </w:rPr>
        <w:t>；</w:t>
      </w:r>
    </w:p>
    <w:p w14:paraId="09C3D567">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5.</w:t>
      </w:r>
      <w:r>
        <w:rPr>
          <w:rFonts w:hint="eastAsia" w:ascii="仿宋" w:hAnsi="仿宋" w:eastAsia="仿宋" w:cs="仿宋"/>
          <w:color w:val="auto"/>
          <w:sz w:val="24"/>
          <w:szCs w:val="22"/>
          <w:highlight w:val="none"/>
          <w:lang w:eastAsia="zh-CN"/>
        </w:rPr>
        <w:t>参加政府采购活动前三年内，在经营活动中没有重大违法记录</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提供书面声明</w:t>
      </w:r>
      <w:r>
        <w:rPr>
          <w:rFonts w:hint="eastAsia" w:ascii="仿宋" w:hAnsi="仿宋" w:eastAsia="仿宋" w:cs="仿宋"/>
          <w:color w:val="auto"/>
          <w:sz w:val="24"/>
          <w:szCs w:val="22"/>
          <w:highlight w:val="none"/>
        </w:rPr>
        <w:t>）</w:t>
      </w:r>
    </w:p>
    <w:p w14:paraId="1F0CAAE8">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cs="仿宋"/>
          <w:color w:val="auto"/>
          <w:sz w:val="24"/>
          <w:szCs w:val="22"/>
          <w:highlight w:val="none"/>
          <w:lang w:val="en-US" w:eastAsia="zh-CN"/>
        </w:rPr>
        <w:t>6.</w:t>
      </w:r>
      <w:r>
        <w:rPr>
          <w:rFonts w:hint="eastAsia" w:ascii="仿宋" w:hAnsi="仿宋" w:eastAsia="仿宋" w:cs="仿宋"/>
          <w:color w:val="auto"/>
          <w:sz w:val="24"/>
          <w:szCs w:val="22"/>
          <w:highlight w:val="none"/>
          <w:lang w:val="en-US" w:eastAsia="zh-CN"/>
        </w:rPr>
        <w:t>法律、行政法规规定的其他条件；</w:t>
      </w:r>
    </w:p>
    <w:p w14:paraId="773C028D">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lang w:eastAsia="zh-CN"/>
        </w:rPr>
        <w:t>）供应商未被列入“信用中国”网站（www.creditchina.gov.cn）失信被执行人、重大税收违法失信主体、政府采购严重违法失信行为记录名单，</w:t>
      </w:r>
      <w:r>
        <w:rPr>
          <w:rFonts w:hint="eastAsia" w:ascii="仿宋" w:hAnsi="仿宋" w:eastAsia="仿宋" w:cs="仿宋"/>
          <w:color w:val="auto"/>
          <w:sz w:val="24"/>
          <w:szCs w:val="22"/>
          <w:highlight w:val="none"/>
          <w:lang w:val="en-US" w:eastAsia="zh-CN"/>
        </w:rPr>
        <w:t>及未被列入</w:t>
      </w:r>
      <w:r>
        <w:rPr>
          <w:rFonts w:hint="eastAsia" w:ascii="仿宋" w:hAnsi="仿宋" w:eastAsia="仿宋" w:cs="仿宋"/>
          <w:color w:val="auto"/>
          <w:sz w:val="24"/>
          <w:szCs w:val="22"/>
          <w:highlight w:val="none"/>
          <w:lang w:eastAsia="zh-CN"/>
        </w:rPr>
        <w:t>“中国政府采购网”网站（www.ccgp.gov.cn）政府采购严重违法失信行为记录名单（被禁止在一定期限内参加政府采购活动，但</w:t>
      </w:r>
      <w:bookmarkStart w:id="525" w:name="_GoBack"/>
      <w:bookmarkEnd w:id="525"/>
      <w:r>
        <w:rPr>
          <w:rFonts w:hint="eastAsia" w:ascii="仿宋" w:hAnsi="仿宋" w:eastAsia="仿宋" w:cs="仿宋"/>
          <w:color w:val="auto"/>
          <w:sz w:val="24"/>
          <w:szCs w:val="22"/>
          <w:highlight w:val="none"/>
          <w:lang w:eastAsia="zh-CN"/>
        </w:rPr>
        <w:t>期限届满的视作未列入失信名单）（由采购人或</w:t>
      </w:r>
      <w:r>
        <w:rPr>
          <w:rFonts w:hint="eastAsia" w:ascii="仿宋" w:hAnsi="仿宋" w:eastAsia="仿宋" w:cs="仿宋"/>
          <w:color w:val="auto"/>
          <w:sz w:val="24"/>
          <w:szCs w:val="22"/>
          <w:highlight w:val="none"/>
          <w:lang w:val="en-US" w:eastAsia="zh-CN"/>
        </w:rPr>
        <w:t>采购代理机构在响应文件开启时间前（当天）</w:t>
      </w:r>
      <w:r>
        <w:rPr>
          <w:rFonts w:hint="eastAsia" w:ascii="仿宋" w:hAnsi="仿宋" w:eastAsia="仿宋" w:cs="仿宋"/>
          <w:color w:val="auto"/>
          <w:sz w:val="24"/>
          <w:szCs w:val="22"/>
          <w:highlight w:val="none"/>
          <w:lang w:eastAsia="zh-CN"/>
        </w:rPr>
        <w:t>进行查询，</w:t>
      </w:r>
      <w:r>
        <w:rPr>
          <w:rFonts w:hint="eastAsia" w:ascii="仿宋" w:hAnsi="仿宋" w:eastAsia="仿宋" w:cs="仿宋"/>
          <w:color w:val="auto"/>
          <w:sz w:val="24"/>
          <w:szCs w:val="22"/>
          <w:highlight w:val="none"/>
          <w:lang w:val="en-US" w:eastAsia="zh-CN"/>
        </w:rPr>
        <w:t>供应商无需查询</w:t>
      </w:r>
      <w:r>
        <w:rPr>
          <w:rFonts w:hint="eastAsia" w:ascii="仿宋" w:hAnsi="仿宋" w:eastAsia="仿宋" w:cs="仿宋"/>
          <w:color w:val="auto"/>
          <w:sz w:val="24"/>
          <w:szCs w:val="22"/>
          <w:highlight w:val="none"/>
          <w:lang w:eastAsia="zh-CN"/>
        </w:rPr>
        <w:t>）；</w:t>
      </w:r>
    </w:p>
    <w:p w14:paraId="76524F90">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供应商</w:t>
      </w:r>
      <w:r>
        <w:rPr>
          <w:rFonts w:hint="eastAsia" w:ascii="仿宋" w:hAnsi="仿宋" w:eastAsia="仿宋" w:cs="仿宋"/>
          <w:color w:val="auto"/>
          <w:sz w:val="24"/>
          <w:szCs w:val="22"/>
          <w:highlight w:val="none"/>
        </w:rPr>
        <w:t>单位负责人为同一人或者存在直接控股、管理关系的不同供应商，不得参加同一合同项下的政府采购活动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6E7528BA">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供应商</w:t>
      </w:r>
      <w:r>
        <w:rPr>
          <w:rFonts w:hint="eastAsia" w:ascii="仿宋" w:hAnsi="仿宋" w:eastAsia="仿宋" w:cs="仿宋"/>
          <w:color w:val="auto"/>
          <w:sz w:val="24"/>
          <w:szCs w:val="22"/>
          <w:highlight w:val="none"/>
        </w:rPr>
        <w:t>为采购项目提供整体设计、规范编制或者项目管理、监理、检测等服务的供应商，不得再参加该采购项目的其他采购活动。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0EC4EE83">
      <w:pPr>
        <w:pageBreakBefore w:val="0"/>
        <w:shd w:val="clear" w:fill="FFFFFF" w:themeFill="background1"/>
        <w:wordWrap/>
        <w:overflowPunct/>
        <w:topLinePunct w:val="0"/>
        <w:bidi w:val="0"/>
        <w:spacing w:line="360" w:lineRule="auto"/>
        <w:ind w:firstLine="480" w:firstLineChars="200"/>
        <w:contextualSpacing/>
        <w:rPr>
          <w:rFonts w:hint="default" w:ascii="仿宋" w:hAnsi="仿宋" w:eastAsia="仿宋" w:cs="仿宋"/>
          <w:color w:val="auto"/>
          <w:sz w:val="24"/>
          <w:szCs w:val="22"/>
          <w:highlight w:val="none"/>
          <w:lang w:val="en-US" w:eastAsia="zh-CN"/>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二</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落实政府采购政策需满足的资格要求</w:t>
      </w:r>
      <w:r>
        <w:rPr>
          <w:rFonts w:hint="eastAsia" w:ascii="仿宋" w:hAnsi="仿宋" w:eastAsia="仿宋" w:cs="仿宋"/>
          <w:color w:val="auto"/>
          <w:sz w:val="24"/>
          <w:szCs w:val="22"/>
          <w:highlight w:val="none"/>
          <w:lang w:eastAsia="zh-CN"/>
        </w:rPr>
        <w:t>：</w:t>
      </w:r>
      <w:r>
        <w:rPr>
          <w:rFonts w:hint="eastAsia" w:ascii="仿宋" w:hAnsi="仿宋" w:cs="仿宋"/>
          <w:color w:val="auto"/>
          <w:kern w:val="2"/>
          <w:sz w:val="24"/>
          <w:szCs w:val="24"/>
          <w:highlight w:val="none"/>
          <w:lang w:val="en-US" w:eastAsia="zh-CN" w:bidi="ar-SA"/>
        </w:rPr>
        <w:t>未预留，本项目不属于专门面向中小企业、监狱企业、残疾人福利企业采购项目。</w:t>
      </w:r>
    </w:p>
    <w:p w14:paraId="0FF3BC15">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三</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本项目的特定资格要求：</w:t>
      </w:r>
      <w:r>
        <w:rPr>
          <w:rFonts w:hint="eastAsia" w:ascii="仿宋" w:hAnsi="仿宋" w:eastAsia="仿宋" w:cs="仿宋"/>
          <w:color w:val="auto"/>
          <w:sz w:val="24"/>
          <w:szCs w:val="22"/>
          <w:highlight w:val="none"/>
          <w:lang w:val="en-US" w:eastAsia="zh-CN"/>
        </w:rPr>
        <w:t>无</w:t>
      </w:r>
      <w:r>
        <w:rPr>
          <w:rFonts w:hint="eastAsia" w:ascii="仿宋" w:hAnsi="仿宋" w:eastAsia="仿宋" w:cs="仿宋"/>
          <w:color w:val="auto"/>
          <w:sz w:val="24"/>
          <w:highlight w:val="none"/>
          <w:lang w:val="en-US" w:eastAsia="zh-CN"/>
        </w:rPr>
        <w:t>。</w:t>
      </w:r>
    </w:p>
    <w:p w14:paraId="3C2E6FA2">
      <w:pPr>
        <w:pageBreakBefore w:val="0"/>
        <w:wordWrap/>
        <w:overflowPunct/>
        <w:topLinePunct w:val="0"/>
        <w:bidi w:val="0"/>
        <w:spacing w:line="360" w:lineRule="auto"/>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三、获取采购文件</w:t>
      </w:r>
    </w:p>
    <w:p w14:paraId="1550A303">
      <w:pPr>
        <w:pStyle w:val="12"/>
        <w:pageBreakBefore w:val="0"/>
        <w:shd w:val="clear"/>
        <w:wordWrap/>
        <w:overflowPunct/>
        <w:topLinePunct w:val="0"/>
        <w:bidi w:val="0"/>
        <w:spacing w:line="360" w:lineRule="auto"/>
        <w:ind w:firstLine="480" w:firstLineChars="200"/>
        <w:rPr>
          <w:rFonts w:hint="eastAsia" w:ascii="仿宋" w:hAnsi="仿宋" w:eastAsia="仿宋" w:cs="仿宋"/>
          <w:bCs w:val="0"/>
          <w:iCs w:val="0"/>
          <w:color w:val="auto"/>
          <w:kern w:val="2"/>
          <w:sz w:val="24"/>
          <w:szCs w:val="24"/>
          <w:highlight w:val="none"/>
        </w:rPr>
      </w:pPr>
      <w:r>
        <w:rPr>
          <w:rFonts w:hint="eastAsia" w:ascii="仿宋" w:hAnsi="仿宋" w:eastAsia="仿宋" w:cs="仿宋"/>
          <w:bCs w:val="0"/>
          <w:iCs w:val="0"/>
          <w:color w:val="auto"/>
          <w:kern w:val="2"/>
          <w:sz w:val="24"/>
          <w:szCs w:val="24"/>
          <w:highlight w:val="none"/>
        </w:rPr>
        <w:t>时间：</w:t>
      </w:r>
      <w:r>
        <w:rPr>
          <w:rFonts w:hint="eastAsia" w:ascii="仿宋" w:hAnsi="仿宋" w:eastAsia="仿宋" w:cs="仿宋"/>
          <w:bCs w:val="0"/>
          <w:iCs w:val="0"/>
          <w:color w:val="auto"/>
          <w:kern w:val="2"/>
          <w:sz w:val="24"/>
          <w:szCs w:val="24"/>
          <w:highlight w:val="none"/>
          <w:lang w:eastAsia="zh-CN"/>
        </w:rPr>
        <w:t>202</w:t>
      </w:r>
      <w:r>
        <w:rPr>
          <w:rFonts w:hint="eastAsia" w:ascii="仿宋" w:hAnsi="仿宋" w:cs="仿宋"/>
          <w:bCs w:val="0"/>
          <w:iCs w:val="0"/>
          <w:color w:val="auto"/>
          <w:kern w:val="2"/>
          <w:sz w:val="24"/>
          <w:szCs w:val="24"/>
          <w:highlight w:val="none"/>
          <w:lang w:val="en-US" w:eastAsia="zh-CN"/>
        </w:rPr>
        <w:t>6</w:t>
      </w:r>
      <w:r>
        <w:rPr>
          <w:rFonts w:hint="eastAsia" w:ascii="仿宋" w:hAnsi="仿宋" w:eastAsia="仿宋" w:cs="仿宋"/>
          <w:bCs w:val="0"/>
          <w:iCs w:val="0"/>
          <w:color w:val="auto"/>
          <w:kern w:val="2"/>
          <w:sz w:val="24"/>
          <w:szCs w:val="24"/>
          <w:highlight w:val="none"/>
        </w:rPr>
        <w:t>-</w:t>
      </w:r>
      <w:r>
        <w:rPr>
          <w:rFonts w:hint="eastAsia" w:ascii="仿宋" w:hAnsi="仿宋" w:cs="仿宋"/>
          <w:bCs w:val="0"/>
          <w:iCs w:val="0"/>
          <w:color w:val="auto"/>
          <w:kern w:val="2"/>
          <w:sz w:val="24"/>
          <w:szCs w:val="24"/>
          <w:highlight w:val="none"/>
          <w:lang w:val="en-US" w:eastAsia="zh-CN"/>
        </w:rPr>
        <w:t xml:space="preserve">9-1 </w:t>
      </w:r>
      <w:r>
        <w:rPr>
          <w:rFonts w:hint="eastAsia" w:ascii="仿宋" w:hAnsi="仿宋" w:eastAsia="仿宋" w:cs="仿宋"/>
          <w:bCs w:val="0"/>
          <w:iCs w:val="0"/>
          <w:color w:val="auto"/>
          <w:kern w:val="2"/>
          <w:sz w:val="24"/>
          <w:szCs w:val="24"/>
          <w:highlight w:val="none"/>
          <w:lang w:val="en-US" w:eastAsia="zh-CN"/>
        </w:rPr>
        <w:t xml:space="preserve"> 0</w:t>
      </w:r>
      <w:r>
        <w:rPr>
          <w:rFonts w:hint="eastAsia" w:ascii="仿宋" w:hAnsi="仿宋" w:cs="仿宋"/>
          <w:bCs w:val="0"/>
          <w:iCs w:val="0"/>
          <w:color w:val="auto"/>
          <w:kern w:val="2"/>
          <w:sz w:val="24"/>
          <w:szCs w:val="24"/>
          <w:highlight w:val="none"/>
          <w:lang w:val="en-US" w:eastAsia="zh-CN"/>
        </w:rPr>
        <w:t>6</w:t>
      </w:r>
      <w:r>
        <w:rPr>
          <w:rFonts w:hint="eastAsia" w:ascii="仿宋" w:hAnsi="仿宋" w:eastAsia="仿宋" w:cs="仿宋"/>
          <w:bCs w:val="0"/>
          <w:iCs w:val="0"/>
          <w:color w:val="auto"/>
          <w:kern w:val="2"/>
          <w:sz w:val="24"/>
          <w:szCs w:val="24"/>
          <w:highlight w:val="none"/>
          <w:lang w:val="en-US" w:eastAsia="zh-CN"/>
        </w:rPr>
        <w:t>:00</w:t>
      </w:r>
      <w:r>
        <w:rPr>
          <w:rFonts w:hint="eastAsia" w:ascii="仿宋" w:hAnsi="仿宋" w:eastAsia="仿宋" w:cs="仿宋"/>
          <w:bCs w:val="0"/>
          <w:iCs w:val="0"/>
          <w:color w:val="auto"/>
          <w:kern w:val="2"/>
          <w:sz w:val="24"/>
          <w:szCs w:val="24"/>
          <w:highlight w:val="none"/>
        </w:rPr>
        <w:t>至</w:t>
      </w:r>
      <w:r>
        <w:rPr>
          <w:rFonts w:hint="eastAsia" w:ascii="仿宋" w:hAnsi="仿宋" w:eastAsia="仿宋" w:cs="仿宋"/>
          <w:bCs w:val="0"/>
          <w:iCs w:val="0"/>
          <w:color w:val="auto"/>
          <w:kern w:val="2"/>
          <w:sz w:val="24"/>
          <w:szCs w:val="24"/>
          <w:highlight w:val="none"/>
          <w:lang w:eastAsia="zh-CN"/>
        </w:rPr>
        <w:t>202</w:t>
      </w:r>
      <w:r>
        <w:rPr>
          <w:rFonts w:hint="eastAsia" w:ascii="仿宋" w:hAnsi="仿宋" w:cs="仿宋"/>
          <w:bCs w:val="0"/>
          <w:iCs w:val="0"/>
          <w:color w:val="auto"/>
          <w:kern w:val="2"/>
          <w:sz w:val="24"/>
          <w:szCs w:val="24"/>
          <w:highlight w:val="none"/>
          <w:lang w:val="en-US" w:eastAsia="zh-CN"/>
        </w:rPr>
        <w:t>6</w:t>
      </w:r>
      <w:r>
        <w:rPr>
          <w:rFonts w:hint="eastAsia" w:ascii="仿宋" w:hAnsi="仿宋" w:eastAsia="仿宋" w:cs="仿宋"/>
          <w:bCs w:val="0"/>
          <w:iCs w:val="0"/>
          <w:color w:val="auto"/>
          <w:kern w:val="2"/>
          <w:sz w:val="24"/>
          <w:szCs w:val="24"/>
          <w:highlight w:val="none"/>
        </w:rPr>
        <w:t>-</w:t>
      </w:r>
      <w:r>
        <w:rPr>
          <w:rFonts w:hint="eastAsia" w:ascii="仿宋" w:hAnsi="仿宋" w:cs="仿宋"/>
          <w:bCs w:val="0"/>
          <w:iCs w:val="0"/>
          <w:color w:val="auto"/>
          <w:kern w:val="2"/>
          <w:sz w:val="24"/>
          <w:szCs w:val="24"/>
          <w:highlight w:val="none"/>
          <w:lang w:val="en-US" w:eastAsia="zh-CN"/>
        </w:rPr>
        <w:t xml:space="preserve">9-8 </w:t>
      </w:r>
      <w:r>
        <w:rPr>
          <w:rFonts w:hint="eastAsia" w:ascii="仿宋" w:hAnsi="仿宋" w:eastAsia="仿宋" w:cs="仿宋"/>
          <w:bCs w:val="0"/>
          <w:iCs w:val="0"/>
          <w:color w:val="auto"/>
          <w:kern w:val="2"/>
          <w:sz w:val="24"/>
          <w:szCs w:val="24"/>
          <w:highlight w:val="none"/>
          <w:lang w:val="en-US" w:eastAsia="zh-CN"/>
        </w:rPr>
        <w:t xml:space="preserve"> </w:t>
      </w:r>
      <w:r>
        <w:rPr>
          <w:rFonts w:hint="eastAsia" w:ascii="仿宋" w:hAnsi="仿宋" w:cs="仿宋"/>
          <w:bCs w:val="0"/>
          <w:iCs w:val="0"/>
          <w:color w:val="auto"/>
          <w:kern w:val="2"/>
          <w:sz w:val="24"/>
          <w:szCs w:val="24"/>
          <w:highlight w:val="none"/>
          <w:lang w:val="en-US" w:eastAsia="zh-CN"/>
        </w:rPr>
        <w:t>23</w:t>
      </w:r>
      <w:r>
        <w:rPr>
          <w:rFonts w:hint="eastAsia" w:ascii="仿宋" w:hAnsi="仿宋" w:eastAsia="仿宋" w:cs="仿宋"/>
          <w:bCs w:val="0"/>
          <w:iCs w:val="0"/>
          <w:color w:val="auto"/>
          <w:kern w:val="2"/>
          <w:sz w:val="24"/>
          <w:szCs w:val="24"/>
          <w:highlight w:val="none"/>
          <w:lang w:val="en-US" w:eastAsia="zh-CN"/>
        </w:rPr>
        <w:t>:</w:t>
      </w:r>
      <w:r>
        <w:rPr>
          <w:rFonts w:hint="eastAsia" w:ascii="仿宋" w:hAnsi="仿宋" w:cs="仿宋"/>
          <w:bCs w:val="0"/>
          <w:iCs w:val="0"/>
          <w:color w:val="auto"/>
          <w:kern w:val="2"/>
          <w:sz w:val="24"/>
          <w:szCs w:val="24"/>
          <w:highlight w:val="none"/>
          <w:lang w:val="en-US" w:eastAsia="zh-CN"/>
        </w:rPr>
        <w:t>59</w:t>
      </w:r>
      <w:r>
        <w:rPr>
          <w:rFonts w:hint="eastAsia" w:ascii="仿宋" w:hAnsi="仿宋" w:eastAsia="仿宋" w:cs="仿宋"/>
          <w:bCs w:val="0"/>
          <w:iCs w:val="0"/>
          <w:color w:val="auto"/>
          <w:kern w:val="2"/>
          <w:sz w:val="24"/>
          <w:szCs w:val="24"/>
          <w:highlight w:val="none"/>
        </w:rPr>
        <w:t>，</w:t>
      </w:r>
      <w:r>
        <w:rPr>
          <w:rFonts w:hint="eastAsia" w:ascii="仿宋" w:hAnsi="仿宋" w:eastAsia="仿宋" w:cs="仿宋"/>
          <w:color w:val="auto"/>
          <w:sz w:val="24"/>
          <w:highlight w:val="none"/>
        </w:rPr>
        <w:t>每天上午</w:t>
      </w:r>
      <w:r>
        <w:rPr>
          <w:rFonts w:hint="eastAsia" w:ascii="仿宋" w:hAnsi="仿宋" w:eastAsia="仿宋" w:cs="仿宋"/>
          <w:color w:val="auto"/>
          <w:sz w:val="24"/>
          <w:highlight w:val="none"/>
          <w:u w:val="single"/>
        </w:rPr>
        <w:t>0</w:t>
      </w:r>
      <w:r>
        <w:rPr>
          <w:rFonts w:hint="eastAsia" w:ascii="仿宋" w:hAnsi="仿宋" w:cs="仿宋"/>
          <w:color w:val="auto"/>
          <w:sz w:val="24"/>
          <w:highlight w:val="none"/>
          <w:u w:val="single"/>
          <w:lang w:val="en-US" w:eastAsia="zh-CN"/>
        </w:rPr>
        <w:t>6</w:t>
      </w:r>
      <w:r>
        <w:rPr>
          <w:rFonts w:hint="eastAsia" w:ascii="仿宋" w:hAnsi="仿宋" w:eastAsia="仿宋" w:cs="仿宋"/>
          <w:color w:val="auto"/>
          <w:sz w:val="24"/>
          <w:highlight w:val="none"/>
          <w:u w:val="single"/>
          <w:lang w:val="en-US" w:eastAsia="zh-CN"/>
        </w:rPr>
        <w:t>:</w:t>
      </w:r>
      <w:r>
        <w:rPr>
          <w:rFonts w:hint="eastAsia" w:ascii="仿宋" w:hAnsi="仿宋" w:eastAsia="仿宋" w:cs="仿宋"/>
          <w:color w:val="auto"/>
          <w:sz w:val="24"/>
          <w:highlight w:val="none"/>
          <w:u w:val="single"/>
        </w:rPr>
        <w:t>00</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u w:val="single"/>
        </w:rPr>
        <w:t>12</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00</w:t>
      </w:r>
      <w:r>
        <w:rPr>
          <w:rFonts w:hint="eastAsia" w:ascii="仿宋" w:hAnsi="仿宋" w:eastAsia="仿宋" w:cs="仿宋"/>
          <w:color w:val="auto"/>
          <w:sz w:val="24"/>
          <w:highlight w:val="none"/>
        </w:rPr>
        <w:t>，下午</w:t>
      </w:r>
      <w:r>
        <w:rPr>
          <w:rFonts w:hint="eastAsia" w:ascii="仿宋" w:hAnsi="仿宋" w:eastAsia="仿宋" w:cs="仿宋"/>
          <w:color w:val="auto"/>
          <w:sz w:val="24"/>
          <w:highlight w:val="none"/>
          <w:u w:val="single"/>
        </w:rPr>
        <w:t>1</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u w:val="single"/>
        </w:rPr>
        <w:t>00</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u w:val="single"/>
          <w:lang w:val="en-US" w:eastAsia="zh-CN"/>
        </w:rPr>
        <w:t>23:59</w:t>
      </w:r>
      <w:r>
        <w:rPr>
          <w:rFonts w:hint="eastAsia" w:ascii="仿宋" w:hAnsi="仿宋" w:eastAsia="仿宋" w:cs="仿宋"/>
          <w:color w:val="auto"/>
          <w:sz w:val="24"/>
          <w:highlight w:val="none"/>
        </w:rPr>
        <w:t>（北京时间，法定节假日除外）</w:t>
      </w:r>
    </w:p>
    <w:p w14:paraId="46252631">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地点：政采云平台（https://www.zcygov.cn）</w:t>
      </w:r>
      <w:r>
        <w:rPr>
          <w:rFonts w:hint="eastAsia" w:ascii="仿宋" w:hAnsi="仿宋" w:eastAsia="仿宋" w:cs="仿宋"/>
          <w:color w:val="auto"/>
          <w:sz w:val="24"/>
          <w:highlight w:val="none"/>
          <w:lang w:val="en-US" w:eastAsia="zh-CN"/>
        </w:rPr>
        <w:t>线上获取</w:t>
      </w:r>
      <w:r>
        <w:rPr>
          <w:rFonts w:hint="eastAsia" w:ascii="仿宋" w:hAnsi="仿宋" w:eastAsia="仿宋" w:cs="仿宋"/>
          <w:color w:val="auto"/>
          <w:sz w:val="24"/>
          <w:highlight w:val="none"/>
          <w:lang w:eastAsia="zh-CN"/>
        </w:rPr>
        <w:t>。</w:t>
      </w:r>
    </w:p>
    <w:p w14:paraId="04DA304C">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方式：凡有意参加</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lang w:eastAsia="zh-CN"/>
        </w:rPr>
        <w:t>者，须在政采云平台办理数字证书（CA），并在政采云绑定数字证书（CA）后线上获取采购文件及其他采购资料。CA申领链接：</w:t>
      </w:r>
      <w:r>
        <w:rPr>
          <w:rFonts w:hint="eastAsia" w:ascii="仿宋" w:hAnsi="仿宋" w:cs="仿宋"/>
          <w:color w:val="auto"/>
          <w:sz w:val="24"/>
          <w:highlight w:val="none"/>
          <w:lang w:eastAsia="zh-CN"/>
        </w:rPr>
        <w:t>https://middle.zcygov.cn/ca/apply/list?_app_=zcy.sys</w:t>
      </w:r>
      <w:r>
        <w:rPr>
          <w:rFonts w:hint="eastAsia" w:ascii="仿宋" w:hAnsi="仿宋" w:eastAsia="仿宋" w:cs="仿宋"/>
          <w:color w:val="auto"/>
          <w:sz w:val="24"/>
          <w:highlight w:val="none"/>
          <w:lang w:eastAsia="zh-CN"/>
        </w:rPr>
        <w:t>，CA申领后需登陆政采云平台完成数字证书（CA）绑定才可以使用，数字证书（CA）详见其办理流程。</w:t>
      </w:r>
    </w:p>
    <w:p w14:paraId="04183284">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按上述要求获取文件的供应商视为合法获取了本项目采购文件，具备本项目的</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lang w:eastAsia="zh-CN"/>
        </w:rPr>
        <w:t>资格。</w:t>
      </w:r>
    </w:p>
    <w:p w14:paraId="587F7FFB">
      <w:pPr>
        <w:pageBreakBefore w:val="0"/>
        <w:shd w:val="clear"/>
        <w:wordWrap/>
        <w:overflowPunct/>
        <w:topLinePunct w:val="0"/>
        <w:bidi w:val="0"/>
        <w:spacing w:line="360" w:lineRule="auto"/>
        <w:ind w:firstLine="480" w:firstLineChars="200"/>
        <w:contextualSpacing/>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售价：</w:t>
      </w:r>
      <w:r>
        <w:rPr>
          <w:rFonts w:hint="eastAsia" w:ascii="仿宋" w:hAnsi="仿宋" w:eastAsia="仿宋" w:cs="仿宋"/>
          <w:color w:val="auto"/>
          <w:sz w:val="24"/>
          <w:highlight w:val="none"/>
          <w:lang w:val="en-US" w:eastAsia="zh-CN"/>
        </w:rPr>
        <w:t>0元</w:t>
      </w:r>
      <w:r>
        <w:rPr>
          <w:rFonts w:hint="eastAsia" w:ascii="仿宋" w:hAnsi="仿宋" w:cs="仿宋"/>
          <w:color w:val="auto"/>
          <w:sz w:val="24"/>
          <w:highlight w:val="none"/>
          <w:lang w:val="en-US" w:eastAsia="zh-CN"/>
        </w:rPr>
        <w:t>/份</w:t>
      </w:r>
    </w:p>
    <w:p w14:paraId="665F8828">
      <w:pPr>
        <w:pageBreakBefore w:val="0"/>
        <w:shd w:val="clear"/>
        <w:wordWrap/>
        <w:overflowPunct/>
        <w:topLinePunct w:val="0"/>
        <w:bidi w:val="0"/>
        <w:spacing w:line="360" w:lineRule="auto"/>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四、响应文件提交</w:t>
      </w:r>
    </w:p>
    <w:p w14:paraId="76CD70C1">
      <w:pPr>
        <w:pageBreakBefore w:val="0"/>
        <w:shd w:val="clear"/>
        <w:wordWrap/>
        <w:overflowPunct/>
        <w:topLinePunct w:val="0"/>
        <w:bidi w:val="0"/>
        <w:spacing w:line="360" w:lineRule="auto"/>
        <w:ind w:firstLine="480" w:firstLineChars="200"/>
        <w:contextualSpacing/>
        <w:rPr>
          <w:rFonts w:hint="eastAsia" w:ascii="仿宋" w:hAnsi="仿宋" w:eastAsia="仿宋" w:cs="仿宋"/>
          <w:bCs/>
          <w:color w:val="auto"/>
          <w:spacing w:val="10"/>
          <w:sz w:val="24"/>
          <w:highlight w:val="none"/>
        </w:rPr>
      </w:pPr>
      <w:r>
        <w:rPr>
          <w:rFonts w:hint="eastAsia" w:ascii="仿宋" w:hAnsi="仿宋" w:eastAsia="仿宋" w:cs="仿宋"/>
          <w:color w:val="auto"/>
          <w:sz w:val="24"/>
          <w:highlight w:val="none"/>
        </w:rPr>
        <w:t>截止时间：</w:t>
      </w:r>
      <w:r>
        <w:rPr>
          <w:rFonts w:hint="eastAsia" w:ascii="仿宋" w:hAnsi="仿宋" w:eastAsia="仿宋" w:cs="仿宋"/>
          <w:color w:val="auto"/>
          <w:sz w:val="24"/>
          <w:highlight w:val="none"/>
          <w:lang w:eastAsia="zh-CN"/>
        </w:rPr>
        <w:t>202</w:t>
      </w:r>
      <w:r>
        <w:rPr>
          <w:rFonts w:hint="eastAsia" w:ascii="仿宋" w:hAnsi="仿宋" w:cs="仿宋"/>
          <w:color w:val="auto"/>
          <w:sz w:val="24"/>
          <w:highlight w:val="none"/>
          <w:lang w:val="en-US" w:eastAsia="zh-CN"/>
        </w:rPr>
        <w:t>6</w:t>
      </w:r>
      <w:r>
        <w:rPr>
          <w:rFonts w:hint="eastAsia" w:ascii="仿宋" w:hAnsi="仿宋" w:eastAsia="仿宋" w:cs="仿宋"/>
          <w:color w:val="auto"/>
          <w:sz w:val="24"/>
          <w:highlight w:val="none"/>
        </w:rPr>
        <w:t>-</w:t>
      </w:r>
      <w:r>
        <w:rPr>
          <w:rFonts w:hint="eastAsia" w:ascii="仿宋" w:hAnsi="仿宋" w:cs="仿宋"/>
          <w:color w:val="auto"/>
          <w:sz w:val="24"/>
          <w:highlight w:val="none"/>
          <w:lang w:val="en-US" w:eastAsia="zh-CN"/>
        </w:rPr>
        <w:t>9-11 9:30</w:t>
      </w:r>
      <w:r>
        <w:rPr>
          <w:rFonts w:hint="eastAsia" w:ascii="仿宋" w:hAnsi="仿宋" w:eastAsia="仿宋" w:cs="仿宋"/>
          <w:color w:val="auto"/>
          <w:sz w:val="24"/>
          <w:szCs w:val="22"/>
          <w:highlight w:val="none"/>
        </w:rPr>
        <w:t>（北京时间）</w:t>
      </w:r>
    </w:p>
    <w:p w14:paraId="06A4FF59">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地点：登录政采云平台（</w:t>
      </w:r>
      <w:r>
        <w:rPr>
          <w:rFonts w:hint="eastAsia" w:ascii="仿宋" w:hAnsi="仿宋" w:eastAsia="仿宋" w:cs="仿宋"/>
          <w:color w:val="auto"/>
          <w:sz w:val="24"/>
          <w:highlight w:val="none"/>
          <w:lang w:eastAsia="zh-CN"/>
        </w:rPr>
        <w:t>https:</w:t>
      </w:r>
      <w:r>
        <w:rPr>
          <w:rFonts w:hint="eastAsia" w:ascii="仿宋" w:hAnsi="仿宋" w:eastAsia="仿宋" w:cs="仿宋"/>
          <w:color w:val="auto"/>
          <w:sz w:val="24"/>
          <w:highlight w:val="none"/>
        </w:rPr>
        <w:t>//www.zcygov.cn</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客户端实行在线电子</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w:t>
      </w:r>
    </w:p>
    <w:p w14:paraId="4D793DA1">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供应商应按照本项目采购文件和</w:t>
      </w:r>
      <w:r>
        <w:rPr>
          <w:rFonts w:hint="eastAsia" w:ascii="仿宋" w:hAnsi="仿宋" w:eastAsia="仿宋" w:cs="仿宋"/>
          <w:color w:val="auto"/>
          <w:sz w:val="24"/>
          <w:highlight w:val="none"/>
          <w:lang w:eastAsia="zh-CN"/>
        </w:rPr>
        <w:t>“政采云”</w:t>
      </w:r>
      <w:r>
        <w:rPr>
          <w:rFonts w:hint="eastAsia" w:ascii="仿宋" w:hAnsi="仿宋" w:eastAsia="仿宋" w:cs="仿宋"/>
          <w:color w:val="auto"/>
          <w:sz w:val="24"/>
          <w:highlight w:val="none"/>
        </w:rPr>
        <w:t>平台的要求编制、加密后在响应文件提交截止时间前上传至</w:t>
      </w:r>
      <w:r>
        <w:rPr>
          <w:rFonts w:hint="eastAsia" w:ascii="仿宋" w:hAnsi="仿宋" w:eastAsia="仿宋" w:cs="仿宋"/>
          <w:color w:val="auto"/>
          <w:sz w:val="24"/>
          <w:highlight w:val="none"/>
          <w:lang w:eastAsia="zh-CN"/>
        </w:rPr>
        <w:t>“政采云”</w:t>
      </w:r>
      <w:r>
        <w:rPr>
          <w:rFonts w:hint="eastAsia" w:ascii="仿宋" w:hAnsi="仿宋" w:eastAsia="仿宋" w:cs="仿宋"/>
          <w:color w:val="auto"/>
          <w:sz w:val="24"/>
          <w:highlight w:val="none"/>
        </w:rPr>
        <w:t>平台，响应文件提交截止时间前未完成响应文件上传的，视为撤回响应文件。供应商在</w:t>
      </w:r>
      <w:r>
        <w:rPr>
          <w:rFonts w:hint="eastAsia" w:ascii="仿宋" w:hAnsi="仿宋" w:eastAsia="仿宋" w:cs="仿宋"/>
          <w:color w:val="auto"/>
          <w:sz w:val="24"/>
          <w:highlight w:val="none"/>
          <w:lang w:eastAsia="zh-CN"/>
        </w:rPr>
        <w:t>“政采云”</w:t>
      </w:r>
      <w:r>
        <w:rPr>
          <w:rFonts w:hint="eastAsia" w:ascii="仿宋" w:hAnsi="仿宋" w:eastAsia="仿宋" w:cs="仿宋"/>
          <w:color w:val="auto"/>
          <w:sz w:val="24"/>
          <w:highlight w:val="none"/>
        </w:rPr>
        <w:t>平台提交电子版响应文件时，请填写参加远程采购活动经办人联系方式。</w:t>
      </w:r>
    </w:p>
    <w:p w14:paraId="3C7DC47F">
      <w:pPr>
        <w:pageBreakBefore w:val="0"/>
        <w:shd w:val="clear"/>
        <w:wordWrap/>
        <w:overflowPunct/>
        <w:topLinePunct w:val="0"/>
        <w:bidi w:val="0"/>
        <w:spacing w:line="360" w:lineRule="auto"/>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五、开启</w:t>
      </w:r>
    </w:p>
    <w:p w14:paraId="286469F8">
      <w:pPr>
        <w:pageBreakBefore w:val="0"/>
        <w:shd w:val="clear"/>
        <w:wordWrap/>
        <w:overflowPunct/>
        <w:topLinePunct w:val="0"/>
        <w:bidi w:val="0"/>
        <w:spacing w:line="360" w:lineRule="auto"/>
        <w:ind w:firstLine="480" w:firstLineChars="200"/>
        <w:contextualSpacing/>
        <w:rPr>
          <w:rFonts w:hint="eastAsia" w:ascii="仿宋" w:hAnsi="仿宋" w:eastAsia="仿宋" w:cs="仿宋"/>
          <w:bCs/>
          <w:color w:val="auto"/>
          <w:spacing w:val="10"/>
          <w:sz w:val="24"/>
          <w:highlight w:val="none"/>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lang w:eastAsia="zh-CN"/>
        </w:rPr>
        <w:t>202</w:t>
      </w:r>
      <w:r>
        <w:rPr>
          <w:rFonts w:hint="eastAsia" w:ascii="仿宋" w:hAnsi="仿宋" w:cs="仿宋"/>
          <w:color w:val="auto"/>
          <w:sz w:val="24"/>
          <w:highlight w:val="none"/>
          <w:lang w:val="en-US" w:eastAsia="zh-CN"/>
        </w:rPr>
        <w:t>6</w:t>
      </w:r>
      <w:r>
        <w:rPr>
          <w:rFonts w:hint="eastAsia" w:ascii="仿宋" w:hAnsi="仿宋" w:eastAsia="仿宋" w:cs="仿宋"/>
          <w:color w:val="auto"/>
          <w:sz w:val="24"/>
          <w:highlight w:val="none"/>
        </w:rPr>
        <w:t>-</w:t>
      </w:r>
      <w:r>
        <w:rPr>
          <w:rFonts w:hint="eastAsia" w:ascii="仿宋" w:hAnsi="仿宋" w:cs="仿宋"/>
          <w:color w:val="auto"/>
          <w:sz w:val="24"/>
          <w:highlight w:val="none"/>
          <w:lang w:val="en-US" w:eastAsia="zh-CN"/>
        </w:rPr>
        <w:t>9-11 9:30</w:t>
      </w:r>
      <w:r>
        <w:rPr>
          <w:rFonts w:hint="eastAsia" w:ascii="仿宋" w:hAnsi="仿宋" w:eastAsia="仿宋" w:cs="仿宋"/>
          <w:color w:val="auto"/>
          <w:sz w:val="24"/>
          <w:szCs w:val="22"/>
          <w:highlight w:val="none"/>
        </w:rPr>
        <w:t>（北京时间）</w:t>
      </w:r>
    </w:p>
    <w:p w14:paraId="3D880AEC">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地点：政采云平台（</w:t>
      </w:r>
      <w:r>
        <w:rPr>
          <w:rFonts w:hint="eastAsia" w:ascii="仿宋" w:hAnsi="仿宋" w:eastAsia="仿宋" w:cs="仿宋"/>
          <w:color w:val="auto"/>
          <w:sz w:val="24"/>
          <w:highlight w:val="none"/>
          <w:lang w:eastAsia="zh-CN"/>
        </w:rPr>
        <w:t>https:</w:t>
      </w:r>
      <w:r>
        <w:rPr>
          <w:rFonts w:hint="eastAsia" w:ascii="仿宋" w:hAnsi="仿宋" w:eastAsia="仿宋" w:cs="仿宋"/>
          <w:color w:val="auto"/>
          <w:sz w:val="24"/>
          <w:highlight w:val="none"/>
        </w:rPr>
        <w:t>//www.zcygov.cn</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开标室一。</w:t>
      </w:r>
    </w:p>
    <w:p w14:paraId="79BB80E7">
      <w:pPr>
        <w:pageBreakBefore w:val="0"/>
        <w:shd w:val="clear"/>
        <w:wordWrap/>
        <w:overflowPunct/>
        <w:topLinePunct w:val="0"/>
        <w:bidi w:val="0"/>
        <w:spacing w:line="360" w:lineRule="auto"/>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六、公告期限</w:t>
      </w:r>
    </w:p>
    <w:p w14:paraId="41E90912">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个工作日。</w:t>
      </w:r>
    </w:p>
    <w:p w14:paraId="7139AB26">
      <w:pPr>
        <w:pageBreakBefore w:val="0"/>
        <w:shd w:val="clear"/>
        <w:wordWrap/>
        <w:overflowPunct/>
        <w:topLinePunct w:val="0"/>
        <w:bidi w:val="0"/>
        <w:spacing w:line="360" w:lineRule="auto"/>
        <w:contextualSpacing/>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七、其他补充事宜</w:t>
      </w:r>
    </w:p>
    <w:p w14:paraId="2F9CDC60">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开标方式：网上开标</w:t>
      </w:r>
    </w:p>
    <w:p w14:paraId="6F19B808">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是否需要缴纳</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保证金：</w:t>
      </w:r>
      <w:r>
        <w:rPr>
          <w:rFonts w:hint="eastAsia" w:ascii="仿宋" w:hAnsi="仿宋" w:eastAsia="仿宋" w:cs="仿宋"/>
          <w:color w:val="auto"/>
          <w:sz w:val="24"/>
          <w:highlight w:val="none"/>
          <w:lang w:val="en-US" w:eastAsia="zh-CN"/>
        </w:rPr>
        <w:t>否</w:t>
      </w:r>
    </w:p>
    <w:p w14:paraId="18F07A8C">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szCs w:val="22"/>
          <w:highlight w:val="none"/>
        </w:rPr>
        <w:t>（</w:t>
      </w:r>
      <w:r>
        <w:rPr>
          <w:rFonts w:hint="eastAsia" w:ascii="仿宋" w:hAnsi="仿宋" w:cs="仿宋"/>
          <w:color w:val="auto"/>
          <w:sz w:val="24"/>
          <w:szCs w:val="22"/>
          <w:highlight w:val="none"/>
          <w:lang w:val="en-US" w:eastAsia="zh-CN"/>
        </w:rPr>
        <w:t>一</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登录政采云平台（https:</w:t>
      </w:r>
      <w:r>
        <w:rPr>
          <w:rFonts w:hint="eastAsia" w:ascii="仿宋" w:hAnsi="仿宋" w:eastAsia="仿宋" w:cs="仿宋"/>
          <w:color w:val="auto"/>
          <w:sz w:val="24"/>
          <w:szCs w:val="22"/>
          <w:highlight w:val="none"/>
          <w:lang w:eastAsia="zh-CN"/>
        </w:rPr>
        <w:t>www.zcygov.cn）</w:t>
      </w:r>
      <w:r>
        <w:rPr>
          <w:rFonts w:hint="eastAsia" w:ascii="仿宋" w:hAnsi="仿宋" w:eastAsia="仿宋" w:cs="仿宋"/>
          <w:color w:val="auto"/>
          <w:sz w:val="24"/>
          <w:szCs w:val="22"/>
          <w:highlight w:val="none"/>
        </w:rPr>
        <w:t>，按《供应商操作指南》（https://edu.zcygov.cn/luban/yunnan-dzjy-gys?utm=a0017.b3687.48.18.4b09ec80cbc911edb8a97356c5970511）完成远程响应文件解密等相关操作。本项目解密时间为</w:t>
      </w:r>
      <w:r>
        <w:rPr>
          <w:rFonts w:hint="eastAsia" w:ascii="仿宋" w:hAnsi="仿宋" w:eastAsia="仿宋" w:cs="仿宋"/>
          <w:color w:val="auto"/>
          <w:sz w:val="24"/>
          <w:szCs w:val="22"/>
          <w:highlight w:val="none"/>
          <w:lang w:val="en-US" w:eastAsia="zh-CN"/>
        </w:rPr>
        <w:t>30</w:t>
      </w:r>
      <w:r>
        <w:rPr>
          <w:rFonts w:hint="eastAsia" w:ascii="仿宋" w:hAnsi="仿宋" w:eastAsia="仿宋" w:cs="仿宋"/>
          <w:color w:val="auto"/>
          <w:sz w:val="24"/>
          <w:szCs w:val="22"/>
          <w:highlight w:val="none"/>
        </w:rPr>
        <w:t>分钟，若</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未在规定时间完成</w:t>
      </w:r>
      <w:r>
        <w:rPr>
          <w:rFonts w:hint="eastAsia" w:ascii="仿宋" w:hAnsi="仿宋" w:eastAsia="仿宋" w:cs="仿宋"/>
          <w:color w:val="auto"/>
          <w:sz w:val="24"/>
          <w:szCs w:val="22"/>
          <w:highlight w:val="none"/>
          <w:lang w:eastAsia="zh-CN"/>
        </w:rPr>
        <w:t>响应文件</w:t>
      </w:r>
      <w:r>
        <w:rPr>
          <w:rFonts w:hint="eastAsia" w:ascii="仿宋" w:hAnsi="仿宋" w:eastAsia="仿宋" w:cs="仿宋"/>
          <w:color w:val="auto"/>
          <w:sz w:val="24"/>
          <w:szCs w:val="22"/>
          <w:highlight w:val="none"/>
        </w:rPr>
        <w:t>解密，则视为无效</w:t>
      </w:r>
      <w:r>
        <w:rPr>
          <w:rFonts w:hint="eastAsia" w:ascii="仿宋" w:hAnsi="仿宋" w:eastAsia="仿宋" w:cs="仿宋"/>
          <w:color w:val="auto"/>
          <w:sz w:val="24"/>
          <w:szCs w:val="22"/>
          <w:highlight w:val="none"/>
          <w:lang w:val="en-US" w:eastAsia="zh-CN"/>
        </w:rPr>
        <w:t>响应</w:t>
      </w:r>
      <w:r>
        <w:rPr>
          <w:rFonts w:hint="eastAsia" w:ascii="仿宋" w:hAnsi="仿宋" w:eastAsia="仿宋" w:cs="仿宋"/>
          <w:color w:val="auto"/>
          <w:sz w:val="24"/>
          <w:szCs w:val="22"/>
          <w:highlight w:val="none"/>
        </w:rPr>
        <w:t>，不再进入评审阶段</w:t>
      </w:r>
    </w:p>
    <w:p w14:paraId="6B44FDCD">
      <w:pPr>
        <w:pageBreakBefore w:val="0"/>
        <w:shd w:val="clear"/>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cs="仿宋"/>
          <w:color w:val="auto"/>
          <w:sz w:val="24"/>
          <w:szCs w:val="22"/>
          <w:highlight w:val="none"/>
          <w:lang w:val="en-US" w:eastAsia="zh-CN"/>
        </w:rPr>
        <w:t>二</w:t>
      </w:r>
      <w:r>
        <w:rPr>
          <w:rFonts w:hint="eastAsia" w:ascii="仿宋" w:hAnsi="仿宋" w:eastAsia="仿宋" w:cs="仿宋"/>
          <w:color w:val="auto"/>
          <w:sz w:val="24"/>
          <w:szCs w:val="22"/>
          <w:highlight w:val="none"/>
        </w:rPr>
        <w:t>）各</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应在开标前应确保成为政采云平台供应商，并完成CA数字证书申领。因未注册入库、未办理CA数字证书等原因造成无法</w:t>
      </w:r>
      <w:r>
        <w:rPr>
          <w:rFonts w:hint="eastAsia" w:ascii="仿宋" w:hAnsi="仿宋" w:eastAsia="仿宋" w:cs="仿宋"/>
          <w:color w:val="auto"/>
          <w:sz w:val="24"/>
          <w:szCs w:val="22"/>
          <w:highlight w:val="none"/>
          <w:lang w:val="en-US" w:eastAsia="zh-CN"/>
        </w:rPr>
        <w:t>响应</w:t>
      </w:r>
      <w:r>
        <w:rPr>
          <w:rFonts w:hint="eastAsia" w:ascii="仿宋" w:hAnsi="仿宋" w:eastAsia="仿宋" w:cs="仿宋"/>
          <w:color w:val="auto"/>
          <w:sz w:val="24"/>
          <w:szCs w:val="22"/>
          <w:highlight w:val="none"/>
        </w:rPr>
        <w:t>或</w:t>
      </w:r>
      <w:r>
        <w:rPr>
          <w:rFonts w:hint="eastAsia" w:ascii="仿宋" w:hAnsi="仿宋" w:eastAsia="仿宋" w:cs="仿宋"/>
          <w:color w:val="auto"/>
          <w:sz w:val="24"/>
          <w:szCs w:val="22"/>
          <w:highlight w:val="none"/>
          <w:lang w:val="en-US" w:eastAsia="zh-CN"/>
        </w:rPr>
        <w:t>响应</w:t>
      </w:r>
      <w:r>
        <w:rPr>
          <w:rFonts w:hint="eastAsia" w:ascii="仿宋" w:hAnsi="仿宋" w:eastAsia="仿宋" w:cs="仿宋"/>
          <w:color w:val="auto"/>
          <w:sz w:val="24"/>
          <w:szCs w:val="22"/>
          <w:highlight w:val="none"/>
        </w:rPr>
        <w:t>失败等后果由供应商自行承担。</w:t>
      </w:r>
    </w:p>
    <w:p w14:paraId="2FFAE789">
      <w:pPr>
        <w:pageBreakBefore w:val="0"/>
        <w:wordWrap/>
        <w:overflowPunct/>
        <w:topLinePunct w:val="0"/>
        <w:bidi w:val="0"/>
        <w:spacing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sz w:val="24"/>
          <w:szCs w:val="22"/>
          <w:highlight w:val="none"/>
        </w:rPr>
        <w:t>（</w:t>
      </w:r>
      <w:r>
        <w:rPr>
          <w:rFonts w:hint="eastAsia" w:ascii="仿宋" w:hAnsi="仿宋" w:cs="仿宋"/>
          <w:color w:val="auto"/>
          <w:sz w:val="24"/>
          <w:szCs w:val="22"/>
          <w:highlight w:val="none"/>
          <w:lang w:val="en-US" w:eastAsia="zh-CN"/>
        </w:rPr>
        <w:t>三</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放弃投标。注：任何因忽视或误解而导致</w:t>
      </w:r>
      <w:r>
        <w:rPr>
          <w:rFonts w:hint="eastAsia" w:ascii="仿宋" w:hAnsi="仿宋" w:eastAsia="仿宋" w:cs="仿宋"/>
          <w:color w:val="auto"/>
          <w:sz w:val="24"/>
          <w:szCs w:val="22"/>
          <w:highlight w:val="none"/>
          <w:lang w:eastAsia="zh-CN"/>
        </w:rPr>
        <w:t>响应文件</w:t>
      </w:r>
      <w:r>
        <w:rPr>
          <w:rFonts w:hint="eastAsia" w:ascii="仿宋" w:hAnsi="仿宋" w:eastAsia="仿宋" w:cs="仿宋"/>
          <w:color w:val="auto"/>
          <w:sz w:val="24"/>
          <w:szCs w:val="22"/>
          <w:highlight w:val="none"/>
        </w:rPr>
        <w:t>未上传或已上传但未按规定的操作流程及时间要求进行解密的，由</w:t>
      </w:r>
      <w:r>
        <w:rPr>
          <w:rFonts w:hint="eastAsia" w:ascii="仿宋" w:hAnsi="仿宋" w:eastAsia="仿宋" w:cs="仿宋"/>
          <w:color w:val="auto"/>
          <w:sz w:val="24"/>
          <w:szCs w:val="22"/>
          <w:highlight w:val="none"/>
          <w:lang w:val="en-US" w:eastAsia="zh-CN"/>
        </w:rPr>
        <w:t>供应商</w:t>
      </w:r>
      <w:r>
        <w:rPr>
          <w:rFonts w:hint="eastAsia" w:ascii="仿宋" w:hAnsi="仿宋" w:eastAsia="仿宋" w:cs="仿宋"/>
          <w:color w:val="auto"/>
          <w:sz w:val="24"/>
          <w:szCs w:val="22"/>
          <w:highlight w:val="none"/>
        </w:rPr>
        <w:t>自行负责。</w:t>
      </w:r>
    </w:p>
    <w:p w14:paraId="6763C4D9">
      <w:pPr>
        <w:pageBreakBefore w:val="0"/>
        <w:wordWrap/>
        <w:overflowPunct/>
        <w:topLinePunct w:val="0"/>
        <w:bidi w:val="0"/>
        <w:spacing w:line="360" w:lineRule="auto"/>
        <w:contextualSpacing/>
        <w:rPr>
          <w:rFonts w:hint="eastAsia" w:ascii="仿宋" w:hAnsi="仿宋" w:eastAsia="仿宋" w:cs="仿宋"/>
          <w:color w:val="auto"/>
          <w:sz w:val="24"/>
          <w:highlight w:val="none"/>
        </w:rPr>
      </w:pPr>
      <w:r>
        <w:rPr>
          <w:rFonts w:hint="eastAsia" w:ascii="仿宋" w:hAnsi="仿宋" w:eastAsia="仿宋" w:cs="仿宋"/>
          <w:b/>
          <w:color w:val="auto"/>
          <w:sz w:val="24"/>
          <w:highlight w:val="none"/>
        </w:rPr>
        <w:t>八、凡对本次采购提出询问，请按以下方式联系。</w:t>
      </w:r>
    </w:p>
    <w:p w14:paraId="2F917F8A">
      <w:pPr>
        <w:pageBreakBefore w:val="0"/>
        <w:wordWrap/>
        <w:overflowPunct/>
        <w:topLinePunct w:val="0"/>
        <w:bidi w:val="0"/>
        <w:spacing w:line="360" w:lineRule="auto"/>
        <w:ind w:firstLine="480" w:firstLineChars="200"/>
        <w:contextualSpacing/>
        <w:rPr>
          <w:rFonts w:hint="default" w:ascii="仿宋" w:hAnsi="仿宋" w:eastAsia="仿宋" w:cs="仿宋"/>
          <w:color w:val="auto"/>
          <w:sz w:val="24"/>
          <w:highlight w:val="none"/>
          <w:lang w:val="en-US" w:eastAsia="zh-CN"/>
        </w:rPr>
      </w:pPr>
      <w:bookmarkStart w:id="4" w:name="OLE_LINK3"/>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一</w:t>
      </w:r>
      <w:r>
        <w:rPr>
          <w:rFonts w:hint="eastAsia" w:ascii="仿宋" w:hAnsi="仿宋" w:cs="仿宋"/>
          <w:color w:val="auto"/>
          <w:sz w:val="24"/>
          <w:highlight w:val="none"/>
          <w:lang w:eastAsia="zh-CN"/>
        </w:rPr>
        <w:t>）</w:t>
      </w:r>
      <w:bookmarkEnd w:id="4"/>
      <w:r>
        <w:rPr>
          <w:rFonts w:hint="eastAsia" w:ascii="仿宋" w:hAnsi="仿宋" w:eastAsia="仿宋" w:cs="仿宋"/>
          <w:color w:val="auto"/>
          <w:sz w:val="24"/>
          <w:highlight w:val="none"/>
        </w:rPr>
        <w:t>采购人信息</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val="en-US" w:eastAsia="zh-CN"/>
        </w:rPr>
        <w:t xml:space="preserve">                                                                                                                                                                                                                                                                                                                                                                                                                                                                                                                                                                                                                                                                                                                                                                                                                                                                                                                                                                                                                                                                                                                                                                                                                                                                                                                                                                                                                                                                                                                                                                                 </w:t>
      </w:r>
    </w:p>
    <w:p w14:paraId="2ED6B4AB">
      <w:pPr>
        <w:spacing w:line="360" w:lineRule="auto"/>
        <w:ind w:firstLine="480" w:firstLineChars="200"/>
        <w:contextualSpacing/>
        <w:rPr>
          <w:rFonts w:ascii="仿宋" w:hAnsi="仿宋" w:eastAsia="仿宋" w:cs="仿宋"/>
          <w:color w:val="auto"/>
          <w:szCs w:val="22"/>
          <w:highlight w:val="none"/>
        </w:rPr>
      </w:pPr>
      <w:r>
        <w:rPr>
          <w:rFonts w:hint="eastAsia" w:ascii="仿宋" w:hAnsi="仿宋" w:eastAsia="仿宋" w:cs="仿宋"/>
          <w:color w:val="auto"/>
          <w:szCs w:val="22"/>
          <w:highlight w:val="none"/>
        </w:rPr>
        <w:t>名    称：玉龙纳西族自治县文化和旅游局</w:t>
      </w:r>
    </w:p>
    <w:p w14:paraId="2846DB44">
      <w:pPr>
        <w:spacing w:line="360" w:lineRule="auto"/>
        <w:ind w:firstLine="480" w:firstLineChars="200"/>
        <w:contextualSpacing/>
        <w:rPr>
          <w:rFonts w:hint="eastAsia" w:ascii="仿宋" w:hAnsi="仿宋" w:eastAsia="仿宋" w:cs="仿宋"/>
          <w:color w:val="auto"/>
          <w:szCs w:val="22"/>
          <w:highlight w:val="none"/>
        </w:rPr>
      </w:pPr>
      <w:r>
        <w:rPr>
          <w:rFonts w:hint="eastAsia" w:ascii="仿宋" w:hAnsi="仿宋" w:eastAsia="仿宋" w:cs="仿宋"/>
          <w:color w:val="auto"/>
          <w:szCs w:val="22"/>
          <w:highlight w:val="none"/>
        </w:rPr>
        <w:t>地    址：云南省丽江市玉龙纳西族自治县文笔路1号</w:t>
      </w:r>
    </w:p>
    <w:p w14:paraId="7AADBC4A">
      <w:pPr>
        <w:spacing w:line="360" w:lineRule="auto"/>
        <w:ind w:firstLine="480" w:firstLineChars="200"/>
        <w:contextualSpacing/>
        <w:rPr>
          <w:rFonts w:hint="default" w:ascii="仿宋" w:hAnsi="仿宋" w:eastAsia="仿宋" w:cs="仿宋"/>
          <w:color w:val="auto"/>
          <w:szCs w:val="22"/>
          <w:highlight w:val="none"/>
          <w:lang w:val="en-US" w:eastAsia="zh-CN"/>
        </w:rPr>
      </w:pPr>
      <w:r>
        <w:rPr>
          <w:rFonts w:hint="eastAsia" w:ascii="仿宋" w:hAnsi="仿宋" w:eastAsia="仿宋" w:cs="仿宋"/>
          <w:color w:val="auto"/>
          <w:szCs w:val="22"/>
          <w:highlight w:val="none"/>
        </w:rPr>
        <w:t>联系方式：</w:t>
      </w:r>
      <w:r>
        <w:rPr>
          <w:rFonts w:hint="eastAsia" w:ascii="仿宋" w:hAnsi="仿宋" w:eastAsia="仿宋" w:cs="仿宋"/>
          <w:color w:val="auto"/>
          <w:szCs w:val="22"/>
          <w:highlight w:val="none"/>
          <w:lang w:val="en-US" w:eastAsia="zh-CN"/>
        </w:rPr>
        <w:t>冯军0888-5164149</w:t>
      </w:r>
    </w:p>
    <w:p w14:paraId="0EF9CFE0">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二</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采购代理机构信息</w:t>
      </w:r>
    </w:p>
    <w:p w14:paraId="0BD687C5">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称：云南蓝本招标咨询有限公司</w:t>
      </w:r>
    </w:p>
    <w:p w14:paraId="3FA7C90B">
      <w:pPr>
        <w:pageBreakBefore w:val="0"/>
        <w:wordWrap/>
        <w:overflowPunct/>
        <w:topLinePunct w:val="0"/>
        <w:bidi w:val="0"/>
        <w:spacing w:line="360" w:lineRule="auto"/>
        <w:ind w:left="547" w:leftChars="228"/>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址：云南省昆明市西山区环城南路668号东南亚商场写字楼A座17楼2、3号</w:t>
      </w:r>
    </w:p>
    <w:p w14:paraId="3BFE89F6">
      <w:pPr>
        <w:pageBreakBefore w:val="0"/>
        <w:wordWrap/>
        <w:overflowPunct/>
        <w:topLinePunct w:val="0"/>
        <w:bidi w:val="0"/>
        <w:spacing w:line="360" w:lineRule="auto"/>
        <w:ind w:left="547" w:leftChars="228"/>
        <w:contextualSpacing/>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eastAsia="zh-CN"/>
        </w:rPr>
        <w:t>0888-8880196</w:t>
      </w:r>
    </w:p>
    <w:p w14:paraId="1B33E127">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三</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项目联系方式</w:t>
      </w:r>
    </w:p>
    <w:p w14:paraId="63AF79D3">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w:t>
      </w:r>
      <w:r>
        <w:rPr>
          <w:rFonts w:hint="eastAsia" w:ascii="仿宋" w:hAnsi="仿宋" w:eastAsia="仿宋" w:cs="仿宋"/>
          <w:color w:val="auto"/>
          <w:sz w:val="24"/>
          <w:highlight w:val="none"/>
          <w:lang w:val="en-US" w:eastAsia="zh-CN"/>
        </w:rPr>
        <w:t>杨帆、</w:t>
      </w:r>
      <w:r>
        <w:rPr>
          <w:rFonts w:hint="eastAsia" w:ascii="仿宋" w:hAnsi="仿宋" w:eastAsia="仿宋" w:cs="仿宋"/>
          <w:color w:val="auto"/>
          <w:sz w:val="24"/>
          <w:highlight w:val="none"/>
        </w:rPr>
        <w:t>王易文、李宏英</w:t>
      </w:r>
    </w:p>
    <w:p w14:paraId="2B1C38FE">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eastAsia="zh-CN"/>
        </w:rPr>
        <w:t>0888-8880196</w:t>
      </w:r>
    </w:p>
    <w:p w14:paraId="5392824E">
      <w:pPr>
        <w:bidi w:val="0"/>
        <w:rPr>
          <w:rFonts w:hint="eastAsia"/>
          <w:color w:val="auto"/>
          <w:highlight w:val="none"/>
        </w:rPr>
      </w:pPr>
    </w:p>
    <w:p w14:paraId="40F7BB3B">
      <w:pPr>
        <w:pStyle w:val="2"/>
        <w:pageBreakBefore w:val="0"/>
        <w:wordWrap/>
        <w:overflowPunct/>
        <w:topLinePunct w:val="0"/>
        <w:bidi w:val="0"/>
        <w:spacing w:line="360" w:lineRule="auto"/>
        <w:jc w:val="center"/>
        <w:rPr>
          <w:rFonts w:hint="eastAsia" w:ascii="仿宋" w:hAnsi="仿宋" w:eastAsia="仿宋" w:cs="仿宋"/>
          <w:color w:val="auto"/>
          <w:sz w:val="32"/>
          <w:highlight w:val="none"/>
        </w:rPr>
      </w:pPr>
      <w:bookmarkStart w:id="5" w:name="_Toc14183"/>
      <w:r>
        <w:rPr>
          <w:rFonts w:hint="eastAsia" w:ascii="仿宋" w:hAnsi="仿宋" w:eastAsia="仿宋" w:cs="仿宋"/>
          <w:color w:val="auto"/>
          <w:sz w:val="32"/>
          <w:highlight w:val="none"/>
        </w:rPr>
        <w:t>第二章  供应商须知</w:t>
      </w:r>
      <w:bookmarkEnd w:id="5"/>
    </w:p>
    <w:p w14:paraId="69EDF4B8">
      <w:pPr>
        <w:pStyle w:val="3"/>
        <w:pageBreakBefore w:val="0"/>
        <w:wordWrap/>
        <w:overflowPunct/>
        <w:topLinePunct w:val="0"/>
        <w:bidi w:val="0"/>
        <w:spacing w:before="0" w:after="0" w:line="360" w:lineRule="auto"/>
        <w:rPr>
          <w:rFonts w:hint="eastAsia" w:ascii="仿宋" w:hAnsi="仿宋" w:eastAsia="仿宋" w:cs="仿宋"/>
          <w:color w:val="auto"/>
          <w:szCs w:val="28"/>
          <w:highlight w:val="none"/>
        </w:rPr>
      </w:pPr>
      <w:bookmarkStart w:id="6" w:name="_Toc15723"/>
      <w:bookmarkStart w:id="7" w:name="_Toc511457508"/>
      <w:bookmarkStart w:id="8" w:name="_Toc3378747"/>
      <w:bookmarkStart w:id="9" w:name="_Toc86124039"/>
      <w:bookmarkStart w:id="10" w:name="_Toc529197718"/>
      <w:bookmarkStart w:id="11" w:name="_Toc18106"/>
      <w:r>
        <w:rPr>
          <w:rFonts w:hint="eastAsia" w:ascii="仿宋" w:hAnsi="仿宋" w:eastAsia="仿宋" w:cs="仿宋"/>
          <w:color w:val="auto"/>
          <w:szCs w:val="28"/>
          <w:highlight w:val="none"/>
        </w:rPr>
        <w:t>供应商须知前附表</w:t>
      </w:r>
      <w:bookmarkEnd w:id="6"/>
      <w:bookmarkEnd w:id="7"/>
      <w:bookmarkEnd w:id="8"/>
      <w:bookmarkEnd w:id="9"/>
      <w:bookmarkEnd w:id="10"/>
      <w:bookmarkEnd w:id="11"/>
    </w:p>
    <w:tbl>
      <w:tblPr>
        <w:tblStyle w:val="38"/>
        <w:tblW w:w="990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71"/>
        <w:gridCol w:w="2006"/>
        <w:gridCol w:w="6930"/>
      </w:tblGrid>
      <w:tr w14:paraId="76C98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971" w:type="dxa"/>
            <w:tcBorders>
              <w:top w:val="single" w:color="auto" w:sz="12" w:space="0"/>
              <w:bottom w:val="single" w:color="auto" w:sz="6" w:space="0"/>
            </w:tcBorders>
            <w:shd w:val="clear" w:color="auto" w:fill="D9D9D9"/>
            <w:vAlign w:val="center"/>
          </w:tcPr>
          <w:p w14:paraId="65DFD889">
            <w:pPr>
              <w:pStyle w:val="16"/>
              <w:pageBreakBefore w:val="0"/>
              <w:wordWrap/>
              <w:overflowPunct/>
              <w:topLinePunct w:val="0"/>
              <w:bidi w:val="0"/>
              <w:spacing w:line="360" w:lineRule="auto"/>
              <w:jc w:val="center"/>
              <w:rPr>
                <w:rFonts w:hint="eastAsia" w:ascii="仿宋" w:hAnsi="仿宋" w:eastAsia="仿宋" w:cs="仿宋"/>
                <w:b/>
                <w:color w:val="auto"/>
                <w:sz w:val="24"/>
                <w:highlight w:val="none"/>
              </w:rPr>
            </w:pPr>
            <w:bookmarkStart w:id="12" w:name="_Toc86124040"/>
            <w:r>
              <w:rPr>
                <w:rFonts w:hint="eastAsia" w:ascii="仿宋" w:hAnsi="仿宋" w:eastAsia="仿宋" w:cs="仿宋"/>
                <w:b/>
                <w:color w:val="auto"/>
                <w:sz w:val="24"/>
                <w:highlight w:val="none"/>
              </w:rPr>
              <w:t>条款号</w:t>
            </w:r>
          </w:p>
        </w:tc>
        <w:tc>
          <w:tcPr>
            <w:tcW w:w="2006" w:type="dxa"/>
            <w:tcBorders>
              <w:top w:val="single" w:color="auto" w:sz="12" w:space="0"/>
              <w:bottom w:val="single" w:color="auto" w:sz="6" w:space="0"/>
            </w:tcBorders>
            <w:shd w:val="clear" w:color="auto" w:fill="D9D9D9"/>
            <w:vAlign w:val="center"/>
          </w:tcPr>
          <w:p w14:paraId="6BB5B72F">
            <w:pPr>
              <w:pStyle w:val="16"/>
              <w:pageBreakBefore w:val="0"/>
              <w:wordWrap/>
              <w:overflowPunct/>
              <w:topLinePunct w:val="0"/>
              <w:bidi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6930" w:type="dxa"/>
            <w:tcBorders>
              <w:top w:val="single" w:color="auto" w:sz="12" w:space="0"/>
              <w:bottom w:val="single" w:color="auto" w:sz="6" w:space="0"/>
            </w:tcBorders>
            <w:shd w:val="clear" w:color="auto" w:fill="D9D9D9"/>
            <w:vAlign w:val="center"/>
          </w:tcPr>
          <w:p w14:paraId="21243CFB">
            <w:pPr>
              <w:pStyle w:val="16"/>
              <w:pageBreakBefore w:val="0"/>
              <w:wordWrap/>
              <w:overflowPunct/>
              <w:topLinePunct w:val="0"/>
              <w:bidi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编列内容</w:t>
            </w:r>
          </w:p>
        </w:tc>
      </w:tr>
      <w:tr w14:paraId="5862E9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2" w:hRule="exact"/>
          <w:jc w:val="center"/>
        </w:trPr>
        <w:tc>
          <w:tcPr>
            <w:tcW w:w="971" w:type="dxa"/>
            <w:tcBorders>
              <w:top w:val="single" w:color="auto" w:sz="6" w:space="0"/>
            </w:tcBorders>
            <w:vAlign w:val="center"/>
          </w:tcPr>
          <w:p w14:paraId="4EDBE707">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2006" w:type="dxa"/>
            <w:tcBorders>
              <w:top w:val="single" w:color="auto" w:sz="6" w:space="0"/>
            </w:tcBorders>
            <w:vAlign w:val="center"/>
          </w:tcPr>
          <w:p w14:paraId="0EFF6CAC">
            <w:pPr>
              <w:pStyle w:val="16"/>
              <w:pageBreakBefore w:val="0"/>
              <w:wordWrap/>
              <w:overflowPunct/>
              <w:topLinePunct w:val="0"/>
              <w:bidi w:val="0"/>
              <w:spacing w:line="360" w:lineRule="auto"/>
              <w:jc w:val="center"/>
              <w:rPr>
                <w:rFonts w:hint="eastAsia" w:ascii="仿宋" w:hAnsi="仿宋" w:eastAsia="仿宋" w:cs="仿宋"/>
                <w:color w:val="auto"/>
                <w:sz w:val="24"/>
                <w:highlight w:val="none"/>
                <w:u w:val="single"/>
              </w:rPr>
            </w:pPr>
            <w:r>
              <w:rPr>
                <w:rFonts w:hint="eastAsia" w:ascii="仿宋" w:hAnsi="仿宋" w:eastAsia="仿宋" w:cs="仿宋"/>
                <w:color w:val="auto"/>
                <w:kern w:val="2"/>
                <w:sz w:val="24"/>
                <w:highlight w:val="none"/>
              </w:rPr>
              <w:t>采购人</w:t>
            </w:r>
          </w:p>
        </w:tc>
        <w:tc>
          <w:tcPr>
            <w:tcW w:w="6930" w:type="dxa"/>
            <w:tcBorders>
              <w:top w:val="single" w:color="auto" w:sz="6" w:space="0"/>
            </w:tcBorders>
            <w:vAlign w:val="center"/>
          </w:tcPr>
          <w:p w14:paraId="4C27A683">
            <w:pPr>
              <w:pStyle w:val="16"/>
              <w:keepNext w:val="0"/>
              <w:keepLines w:val="0"/>
              <w:pageBreakBefore w:val="0"/>
              <w:kinsoku/>
              <w:wordWrap/>
              <w:overflowPunct/>
              <w:topLinePunct w:val="0"/>
              <w:bidi w:val="0"/>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称：玉龙纳西族自治县文化和旅游局</w:t>
            </w:r>
          </w:p>
          <w:p w14:paraId="24874A30">
            <w:pPr>
              <w:pStyle w:val="16"/>
              <w:keepNext w:val="0"/>
              <w:keepLines w:val="0"/>
              <w:pageBreakBefore w:val="0"/>
              <w:kinsoku/>
              <w:wordWrap/>
              <w:overflowPunct/>
              <w:topLinePunct w:val="0"/>
              <w:bidi w:val="0"/>
              <w:snapToGrid/>
              <w:spacing w:line="360" w:lineRule="auto"/>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址：云南省丽江市玉龙纳西族自治县文笔路1号</w:t>
            </w:r>
          </w:p>
          <w:p w14:paraId="6B7A4F0A">
            <w:pPr>
              <w:pStyle w:val="16"/>
              <w:keepNext w:val="0"/>
              <w:keepLines w:val="0"/>
              <w:pageBreakBefore w:val="0"/>
              <w:kinsoku/>
              <w:wordWrap/>
              <w:overflowPunct/>
              <w:topLinePunct w:val="0"/>
              <w:bidi w:val="0"/>
              <w:snapToGrid/>
              <w:spacing w:line="360" w:lineRule="auto"/>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val="en-US" w:eastAsia="zh-CN"/>
              </w:rPr>
              <w:t>冯军0888-5164149</w:t>
            </w:r>
          </w:p>
          <w:p w14:paraId="10A86601">
            <w:pPr>
              <w:pStyle w:val="16"/>
              <w:keepNext w:val="0"/>
              <w:keepLines w:val="0"/>
              <w:pageBreakBefore w:val="0"/>
              <w:kinsoku/>
              <w:wordWrap/>
              <w:overflowPunct/>
              <w:topLinePunct w:val="0"/>
              <w:bidi w:val="0"/>
              <w:snapToGrid/>
              <w:spacing w:line="360" w:lineRule="auto"/>
              <w:textAlignment w:val="auto"/>
              <w:rPr>
                <w:rFonts w:hint="eastAsia" w:ascii="仿宋" w:hAnsi="仿宋" w:eastAsia="仿宋" w:cs="仿宋"/>
                <w:color w:val="auto"/>
                <w:sz w:val="24"/>
                <w:highlight w:val="none"/>
              </w:rPr>
            </w:pPr>
          </w:p>
        </w:tc>
      </w:tr>
      <w:tr w14:paraId="015B0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10" w:hRule="exact"/>
          <w:jc w:val="center"/>
        </w:trPr>
        <w:tc>
          <w:tcPr>
            <w:tcW w:w="971" w:type="dxa"/>
            <w:vAlign w:val="center"/>
          </w:tcPr>
          <w:p w14:paraId="41C6F68E">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w:t>
            </w:r>
          </w:p>
        </w:tc>
        <w:tc>
          <w:tcPr>
            <w:tcW w:w="2006" w:type="dxa"/>
            <w:vAlign w:val="center"/>
          </w:tcPr>
          <w:p w14:paraId="4BCD7A74">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kern w:val="2"/>
                <w:sz w:val="24"/>
                <w:highlight w:val="none"/>
              </w:rPr>
              <w:t>采购代理机构</w:t>
            </w:r>
          </w:p>
        </w:tc>
        <w:tc>
          <w:tcPr>
            <w:tcW w:w="6930" w:type="dxa"/>
            <w:vAlign w:val="center"/>
          </w:tcPr>
          <w:p w14:paraId="0167FE25">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    称：云南蓝本招标咨询有限公司</w:t>
            </w:r>
          </w:p>
          <w:p w14:paraId="7571BA1A">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址：云南省昆明市西山区环城南路668号东南亚商场写字楼A座17楼2、3号</w:t>
            </w:r>
          </w:p>
          <w:p w14:paraId="6756B0B7">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val="en-US" w:eastAsia="zh-CN"/>
              </w:rPr>
              <w:t>杨帆、</w:t>
            </w:r>
            <w:r>
              <w:rPr>
                <w:rFonts w:hint="eastAsia" w:ascii="仿宋" w:hAnsi="仿宋" w:eastAsia="仿宋" w:cs="仿宋"/>
                <w:color w:val="auto"/>
                <w:sz w:val="24"/>
                <w:highlight w:val="none"/>
              </w:rPr>
              <w:t>王易文、李宏英0888-8880196</w:t>
            </w:r>
          </w:p>
        </w:tc>
      </w:tr>
      <w:tr w14:paraId="60492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71" w:hRule="exact"/>
          <w:jc w:val="center"/>
        </w:trPr>
        <w:tc>
          <w:tcPr>
            <w:tcW w:w="971" w:type="dxa"/>
            <w:vAlign w:val="center"/>
          </w:tcPr>
          <w:p w14:paraId="1BF4FEB4">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w:t>
            </w:r>
          </w:p>
        </w:tc>
        <w:tc>
          <w:tcPr>
            <w:tcW w:w="2006" w:type="dxa"/>
            <w:vAlign w:val="center"/>
          </w:tcPr>
          <w:p w14:paraId="2E97E77F">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项目名称及项目编号</w:t>
            </w:r>
          </w:p>
        </w:tc>
        <w:tc>
          <w:tcPr>
            <w:tcW w:w="6930" w:type="dxa"/>
            <w:vAlign w:val="center"/>
          </w:tcPr>
          <w:p w14:paraId="495AFF56">
            <w:pPr>
              <w:pStyle w:val="16"/>
              <w:pageBreakBefore w:val="0"/>
              <w:wordWrap/>
              <w:overflowPunct/>
              <w:topLinePunct w:val="0"/>
              <w:bidi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cs="仿宋"/>
                <w:color w:val="auto"/>
                <w:kern w:val="2"/>
                <w:sz w:val="24"/>
                <w:highlight w:val="none"/>
                <w:lang w:eastAsia="zh-CN"/>
              </w:rPr>
              <w:t>《你好，再见！》丽江纪综艺纪板块（玉龙县）宣推项目</w:t>
            </w:r>
          </w:p>
          <w:p w14:paraId="3D1BF75F">
            <w:pPr>
              <w:pStyle w:val="16"/>
              <w:pageBreakBefore w:val="0"/>
              <w:wordWrap/>
              <w:overflowPunct/>
              <w:topLinePunct w:val="0"/>
              <w:bidi w:val="0"/>
              <w:spacing w:line="360" w:lineRule="auto"/>
              <w:rPr>
                <w:rFonts w:hint="eastAsia" w:ascii="仿宋" w:hAnsi="仿宋" w:eastAsia="仿宋" w:cs="仿宋"/>
                <w:b/>
                <w:bCs/>
                <w:color w:val="auto"/>
                <w:sz w:val="24"/>
                <w:highlight w:val="none"/>
                <w:u w:val="single"/>
                <w:lang w:eastAsia="zh-CN"/>
              </w:rPr>
            </w:pPr>
            <w:r>
              <w:rPr>
                <w:rFonts w:hint="eastAsia" w:ascii="仿宋" w:hAnsi="仿宋" w:eastAsia="仿宋" w:cs="仿宋"/>
                <w:color w:val="auto"/>
                <w:sz w:val="24"/>
                <w:highlight w:val="none"/>
              </w:rPr>
              <w:t>项目编号：</w:t>
            </w:r>
            <w:r>
              <w:rPr>
                <w:rFonts w:hint="eastAsia" w:ascii="仿宋" w:hAnsi="仿宋" w:cs="仿宋"/>
                <w:color w:val="auto"/>
                <w:sz w:val="24"/>
                <w:highlight w:val="none"/>
                <w:lang w:eastAsia="zh-CN"/>
              </w:rPr>
              <w:t>LJZC2026-C3-00705-YNLB-0329</w:t>
            </w:r>
          </w:p>
        </w:tc>
      </w:tr>
      <w:tr w14:paraId="519F7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971" w:type="dxa"/>
            <w:vAlign w:val="center"/>
          </w:tcPr>
          <w:p w14:paraId="444DBBEF">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2006" w:type="dxa"/>
            <w:vAlign w:val="center"/>
          </w:tcPr>
          <w:p w14:paraId="74895835">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资金来源</w:t>
            </w:r>
          </w:p>
        </w:tc>
        <w:tc>
          <w:tcPr>
            <w:tcW w:w="6930" w:type="dxa"/>
            <w:vAlign w:val="center"/>
          </w:tcPr>
          <w:p w14:paraId="1402C08D">
            <w:pPr>
              <w:pageBreakBefore w:val="0"/>
              <w:wordWrap/>
              <w:overflowPunct/>
              <w:topLinePunct w:val="0"/>
              <w:bidi w:val="0"/>
              <w:spacing w:line="360" w:lineRule="auto"/>
              <w:contextualSpacing/>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财政资金</w:t>
            </w:r>
          </w:p>
        </w:tc>
      </w:tr>
      <w:tr w14:paraId="10173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971" w:type="dxa"/>
            <w:vAlign w:val="center"/>
          </w:tcPr>
          <w:p w14:paraId="6D37D6E3">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3.1</w:t>
            </w:r>
          </w:p>
        </w:tc>
        <w:tc>
          <w:tcPr>
            <w:tcW w:w="2006" w:type="dxa"/>
            <w:vAlign w:val="center"/>
          </w:tcPr>
          <w:p w14:paraId="10B4DA31">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采购内容</w:t>
            </w:r>
          </w:p>
        </w:tc>
        <w:tc>
          <w:tcPr>
            <w:tcW w:w="6930" w:type="dxa"/>
            <w:vAlign w:val="center"/>
          </w:tcPr>
          <w:p w14:paraId="615C9CCE">
            <w:pPr>
              <w:pageBreakBefore w:val="0"/>
              <w:wordWrap/>
              <w:overflowPunct/>
              <w:topLinePunct w:val="0"/>
              <w:bidi w:val="0"/>
              <w:spacing w:line="360" w:lineRule="auto"/>
              <w:contextualSpacing/>
              <w:rPr>
                <w:rFonts w:hint="eastAsia" w:ascii="仿宋" w:hAnsi="仿宋" w:eastAsia="仿宋" w:cs="仿宋"/>
                <w:color w:val="auto"/>
                <w:sz w:val="24"/>
                <w:highlight w:val="none"/>
              </w:rPr>
            </w:pPr>
            <w:r>
              <w:rPr>
                <w:rFonts w:hint="eastAsia" w:ascii="仿宋" w:hAnsi="仿宋" w:cs="仿宋"/>
                <w:bCs/>
                <w:color w:val="auto"/>
                <w:sz w:val="24"/>
                <w:highlight w:val="none"/>
                <w:lang w:val="en-US" w:eastAsia="zh-CN"/>
              </w:rPr>
              <w:t>包括但不限于</w:t>
            </w:r>
            <w:r>
              <w:rPr>
                <w:rFonts w:hint="eastAsia" w:ascii="仿宋" w:hAnsi="仿宋" w:eastAsia="仿宋" w:cs="仿宋"/>
                <w:color w:val="auto"/>
                <w:kern w:val="0"/>
                <w:sz w:val="24"/>
                <w:szCs w:val="24"/>
                <w:highlight w:val="none"/>
                <w:lang w:val="en-US" w:eastAsia="zh-CN" w:bidi="ar"/>
              </w:rPr>
              <w:t>为深入推进丽江市、玉龙县文旅品牌推广、城市形象塑造及招商引资宣传工作，挖掘展示丽江地域文化、人文特色、优质文旅资源与特色产业场景，通过人物纪实综艺形式讲好丽江故事、传播丽江城市魅力，提升区域文旅知名度、美誉度与招商影响力。本次采购综艺纪板块人物内容策划、拍摄制作、成片交付及配套宣传推广专业服务</w:t>
            </w:r>
            <w:r>
              <w:rPr>
                <w:rFonts w:hint="eastAsia" w:ascii="仿宋" w:hAnsi="仿宋" w:cs="仿宋"/>
                <w:bCs/>
                <w:color w:val="auto"/>
                <w:sz w:val="24"/>
                <w:highlight w:val="none"/>
                <w:lang w:val="en-US" w:eastAsia="zh-CN"/>
              </w:rPr>
              <w:t>。</w:t>
            </w:r>
          </w:p>
        </w:tc>
      </w:tr>
      <w:tr w14:paraId="78A5F0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7" w:hRule="atLeast"/>
          <w:jc w:val="center"/>
        </w:trPr>
        <w:tc>
          <w:tcPr>
            <w:tcW w:w="971" w:type="dxa"/>
            <w:vAlign w:val="center"/>
          </w:tcPr>
          <w:p w14:paraId="1537999F">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3.2</w:t>
            </w:r>
          </w:p>
        </w:tc>
        <w:tc>
          <w:tcPr>
            <w:tcW w:w="2006" w:type="dxa"/>
            <w:vAlign w:val="center"/>
          </w:tcPr>
          <w:p w14:paraId="3AEE330A">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合同履行期限</w:t>
            </w:r>
          </w:p>
        </w:tc>
        <w:tc>
          <w:tcPr>
            <w:tcW w:w="6930" w:type="dxa"/>
            <w:vAlign w:val="center"/>
          </w:tcPr>
          <w:p w14:paraId="2E879152">
            <w:pPr>
              <w:pageBreakBefore w:val="0"/>
              <w:wordWrap/>
              <w:overflowPunct/>
              <w:topLinePunct w:val="0"/>
              <w:bidi w:val="0"/>
              <w:spacing w:line="360" w:lineRule="auto"/>
              <w:contextualSpacing/>
              <w:rPr>
                <w:rFonts w:hint="eastAsia" w:ascii="仿宋" w:hAnsi="仿宋" w:eastAsia="仿宋" w:cs="仿宋"/>
                <w:bCs/>
                <w:color w:val="auto"/>
                <w:sz w:val="24"/>
                <w:highlight w:val="none"/>
                <w:lang w:eastAsia="zh-CN"/>
              </w:rPr>
            </w:pPr>
            <w:r>
              <w:rPr>
                <w:rFonts w:hint="eastAsia" w:ascii="仿宋" w:hAnsi="仿宋" w:eastAsia="仿宋" w:cs="仿宋"/>
                <w:color w:val="auto"/>
                <w:kern w:val="0"/>
                <w:sz w:val="24"/>
                <w:szCs w:val="24"/>
                <w:highlight w:val="none"/>
                <w:lang w:val="en-US" w:eastAsia="zh-CN" w:bidi="ar"/>
              </w:rPr>
              <w:t>6个月，具体拍摄、交付计划以双方书面确认文件为准</w:t>
            </w:r>
            <w:r>
              <w:rPr>
                <w:rFonts w:hint="eastAsia" w:ascii="仿宋" w:hAnsi="仿宋" w:cs="仿宋"/>
                <w:color w:val="auto"/>
                <w:kern w:val="0"/>
                <w:sz w:val="24"/>
                <w:szCs w:val="24"/>
                <w:highlight w:val="none"/>
                <w:lang w:val="en-US" w:eastAsia="zh-CN" w:bidi="ar"/>
              </w:rPr>
              <w:t>。</w:t>
            </w:r>
          </w:p>
        </w:tc>
      </w:tr>
      <w:tr w14:paraId="31780E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639D2B28">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.1</w:t>
            </w:r>
          </w:p>
        </w:tc>
        <w:tc>
          <w:tcPr>
            <w:tcW w:w="2006" w:type="dxa"/>
            <w:vAlign w:val="center"/>
          </w:tcPr>
          <w:p w14:paraId="1B7A2C6C">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供应商资格要求</w:t>
            </w:r>
          </w:p>
        </w:tc>
        <w:tc>
          <w:tcPr>
            <w:tcW w:w="6930" w:type="dxa"/>
            <w:vAlign w:val="center"/>
          </w:tcPr>
          <w:p w14:paraId="0ACCF413">
            <w:pPr>
              <w:pageBreakBefore w:val="0"/>
              <w:wordWrap/>
              <w:overflowPunct/>
              <w:topLinePunct w:val="0"/>
              <w:bidi w:val="0"/>
              <w:spacing w:line="360" w:lineRule="auto"/>
              <w:contextualSpacing/>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val="en-US" w:eastAsia="zh-CN"/>
              </w:rPr>
              <w:t>详见竞争性磋商公告“</w:t>
            </w:r>
            <w:r>
              <w:rPr>
                <w:rFonts w:hint="eastAsia" w:ascii="仿宋" w:hAnsi="仿宋" w:eastAsia="仿宋" w:cs="仿宋"/>
                <w:bCs/>
                <w:color w:val="auto"/>
                <w:sz w:val="24"/>
                <w:highlight w:val="none"/>
                <w:lang w:eastAsia="zh-CN"/>
              </w:rPr>
              <w:t>二、申请人的资格要求</w:t>
            </w:r>
            <w:r>
              <w:rPr>
                <w:rFonts w:hint="eastAsia" w:ascii="仿宋" w:hAnsi="仿宋" w:eastAsia="仿宋" w:cs="仿宋"/>
                <w:bCs/>
                <w:color w:val="auto"/>
                <w:sz w:val="24"/>
                <w:highlight w:val="none"/>
                <w:lang w:val="en-US" w:eastAsia="zh-CN"/>
              </w:rPr>
              <w:t>”。</w:t>
            </w:r>
          </w:p>
        </w:tc>
      </w:tr>
      <w:tr w14:paraId="3FDCC6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971" w:type="dxa"/>
            <w:vAlign w:val="center"/>
          </w:tcPr>
          <w:p w14:paraId="3DAAB27D">
            <w:pPr>
              <w:pageBreakBefore w:val="0"/>
              <w:wordWrap/>
              <w:overflowPunct/>
              <w:topLinePunct w:val="0"/>
              <w:bidi w:val="0"/>
              <w:spacing w:line="360" w:lineRule="auto"/>
              <w:jc w:val="center"/>
              <w:rPr>
                <w:rFonts w:hint="eastAsia" w:ascii="仿宋" w:hAnsi="仿宋" w:eastAsia="仿宋" w:cs="仿宋"/>
                <w:color w:val="auto"/>
                <w:sz w:val="24"/>
                <w:highlight w:val="none"/>
                <w:lang w:val="en-US"/>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.2</w:t>
            </w:r>
          </w:p>
        </w:tc>
        <w:tc>
          <w:tcPr>
            <w:tcW w:w="2006" w:type="dxa"/>
            <w:vAlign w:val="center"/>
          </w:tcPr>
          <w:p w14:paraId="7D99355F">
            <w:pPr>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落实采购政策需满足的资格要求</w:t>
            </w:r>
          </w:p>
        </w:tc>
        <w:tc>
          <w:tcPr>
            <w:tcW w:w="6930" w:type="dxa"/>
            <w:vAlign w:val="center"/>
          </w:tcPr>
          <w:p w14:paraId="2E372CED">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en-US" w:eastAsia="zh-CN"/>
              </w:rPr>
              <w:t>详见竞争性磋商公告“</w:t>
            </w:r>
            <w:r>
              <w:rPr>
                <w:rFonts w:hint="eastAsia" w:ascii="仿宋" w:hAnsi="仿宋" w:eastAsia="仿宋" w:cs="仿宋"/>
                <w:bCs/>
                <w:color w:val="auto"/>
                <w:sz w:val="24"/>
                <w:highlight w:val="none"/>
                <w:lang w:eastAsia="zh-CN"/>
              </w:rPr>
              <w:t>二、申请人的资格要求</w:t>
            </w:r>
            <w:r>
              <w:rPr>
                <w:rFonts w:hint="eastAsia" w:ascii="仿宋" w:hAnsi="仿宋" w:eastAsia="仿宋" w:cs="仿宋"/>
                <w:bCs/>
                <w:color w:val="auto"/>
                <w:sz w:val="24"/>
                <w:highlight w:val="none"/>
                <w:lang w:val="en-US" w:eastAsia="zh-CN"/>
              </w:rPr>
              <w:t>”。</w:t>
            </w:r>
          </w:p>
        </w:tc>
      </w:tr>
      <w:tr w14:paraId="2AC271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971" w:type="dxa"/>
            <w:vAlign w:val="center"/>
          </w:tcPr>
          <w:p w14:paraId="4C121CE3">
            <w:pPr>
              <w:pageBreakBefore w:val="0"/>
              <w:wordWrap/>
              <w:overflowPunct/>
              <w:topLinePunct w:val="0"/>
              <w:bidi w:val="0"/>
              <w:spacing w:line="360" w:lineRule="auto"/>
              <w:jc w:val="center"/>
              <w:rPr>
                <w:rFonts w:hint="eastAsia" w:ascii="仿宋" w:hAnsi="仿宋" w:eastAsia="仿宋" w:cs="仿宋"/>
                <w:color w:val="auto"/>
                <w:sz w:val="24"/>
                <w:highlight w:val="none"/>
                <w:lang w:val="en-US"/>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.3</w:t>
            </w:r>
          </w:p>
        </w:tc>
        <w:tc>
          <w:tcPr>
            <w:tcW w:w="2006" w:type="dxa"/>
            <w:vAlign w:val="center"/>
          </w:tcPr>
          <w:p w14:paraId="03387E93">
            <w:pPr>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本项目的特定资格要求</w:t>
            </w:r>
          </w:p>
        </w:tc>
        <w:tc>
          <w:tcPr>
            <w:tcW w:w="6930" w:type="dxa"/>
            <w:vAlign w:val="center"/>
          </w:tcPr>
          <w:p w14:paraId="57DD72C1">
            <w:pPr>
              <w:keepNext w:val="0"/>
              <w:keepLines w:val="0"/>
              <w:pageBreakBefore w:val="0"/>
              <w:widowControl/>
              <w:shd w:val="clear"/>
              <w:kinsoku/>
              <w:wordWrap/>
              <w:overflowPunct/>
              <w:topLinePunct w:val="0"/>
              <w:autoSpaceDE/>
              <w:autoSpaceDN/>
              <w:bidi w:val="0"/>
              <w:adjustRightInd/>
              <w:snapToGrid/>
              <w:spacing w:line="360" w:lineRule="auto"/>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en-US" w:eastAsia="zh-CN"/>
              </w:rPr>
              <w:t>详见竞争性磋商公告“</w:t>
            </w:r>
            <w:r>
              <w:rPr>
                <w:rFonts w:hint="eastAsia" w:ascii="仿宋" w:hAnsi="仿宋" w:eastAsia="仿宋" w:cs="仿宋"/>
                <w:bCs/>
                <w:color w:val="auto"/>
                <w:sz w:val="24"/>
                <w:highlight w:val="none"/>
                <w:lang w:eastAsia="zh-CN"/>
              </w:rPr>
              <w:t>二、申请人的资格要求</w:t>
            </w:r>
            <w:r>
              <w:rPr>
                <w:rFonts w:hint="eastAsia" w:ascii="仿宋" w:hAnsi="仿宋" w:eastAsia="仿宋" w:cs="仿宋"/>
                <w:bCs/>
                <w:color w:val="auto"/>
                <w:sz w:val="24"/>
                <w:highlight w:val="none"/>
                <w:lang w:val="en-US" w:eastAsia="zh-CN"/>
              </w:rPr>
              <w:t>”。</w:t>
            </w:r>
          </w:p>
        </w:tc>
      </w:tr>
      <w:tr w14:paraId="1CA94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971" w:type="dxa"/>
            <w:vAlign w:val="center"/>
          </w:tcPr>
          <w:p w14:paraId="53374114">
            <w:pPr>
              <w:pageBreakBefore w:val="0"/>
              <w:wordWrap/>
              <w:overflowPunct/>
              <w:topLinePunct w:val="0"/>
              <w:bidi w:val="0"/>
              <w:spacing w:line="360" w:lineRule="auto"/>
              <w:jc w:val="center"/>
              <w:rPr>
                <w:rFonts w:hint="eastAsia" w:ascii="仿宋" w:hAnsi="仿宋" w:eastAsia="仿宋" w:cs="仿宋"/>
                <w:color w:val="auto"/>
                <w:sz w:val="24"/>
                <w:highlight w:val="none"/>
                <w:lang w:val="en-US"/>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.4</w:t>
            </w:r>
          </w:p>
        </w:tc>
        <w:tc>
          <w:tcPr>
            <w:tcW w:w="2006" w:type="dxa"/>
            <w:vAlign w:val="center"/>
          </w:tcPr>
          <w:p w14:paraId="6EB2477E">
            <w:pPr>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是否接受联合体参加</w:t>
            </w:r>
          </w:p>
        </w:tc>
        <w:tc>
          <w:tcPr>
            <w:tcW w:w="6930" w:type="dxa"/>
            <w:vAlign w:val="center"/>
          </w:tcPr>
          <w:p w14:paraId="26EA96C5">
            <w:pPr>
              <w:keepNext w:val="0"/>
              <w:keepLines w:val="0"/>
              <w:pageBreakBefore w:val="0"/>
              <w:widowControl/>
              <w:shd w:val="clear"/>
              <w:kinsoku/>
              <w:wordWrap/>
              <w:overflowPunct/>
              <w:topLinePunct w:val="0"/>
              <w:autoSpaceDE/>
              <w:autoSpaceDN/>
              <w:bidi w:val="0"/>
              <w:adjustRightInd/>
              <w:snapToGrid/>
              <w:spacing w:line="360" w:lineRule="auto"/>
              <w:ind w:left="0" w:left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w:t>
            </w:r>
          </w:p>
        </w:tc>
      </w:tr>
      <w:tr w14:paraId="1B954B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971" w:type="dxa"/>
            <w:vAlign w:val="center"/>
          </w:tcPr>
          <w:p w14:paraId="7215EE6D">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en-US" w:eastAsia="zh-CN"/>
              </w:rPr>
              <w:t>2</w:t>
            </w:r>
          </w:p>
        </w:tc>
        <w:tc>
          <w:tcPr>
            <w:tcW w:w="2006" w:type="dxa"/>
            <w:vAlign w:val="center"/>
          </w:tcPr>
          <w:p w14:paraId="58C06005">
            <w:pPr>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文件的询问联系方式</w:t>
            </w:r>
          </w:p>
        </w:tc>
        <w:tc>
          <w:tcPr>
            <w:tcW w:w="6930" w:type="dxa"/>
            <w:vAlign w:val="center"/>
          </w:tcPr>
          <w:p w14:paraId="08C5D7BE">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询问联系人：</w:t>
            </w:r>
            <w:r>
              <w:rPr>
                <w:rFonts w:hint="eastAsia" w:ascii="仿宋" w:hAnsi="仿宋" w:eastAsia="仿宋" w:cs="仿宋"/>
                <w:color w:val="auto"/>
                <w:sz w:val="24"/>
                <w:szCs w:val="24"/>
                <w:highlight w:val="none"/>
                <w:lang w:val="en-US" w:eastAsia="zh-CN"/>
              </w:rPr>
              <w:t>杨帆</w:t>
            </w:r>
          </w:p>
          <w:p w14:paraId="420EC068">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0888-8880196</w:t>
            </w:r>
          </w:p>
        </w:tc>
      </w:tr>
      <w:tr w14:paraId="0E5110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01" w:hRule="exact"/>
          <w:jc w:val="center"/>
        </w:trPr>
        <w:tc>
          <w:tcPr>
            <w:tcW w:w="971" w:type="dxa"/>
            <w:vAlign w:val="center"/>
          </w:tcPr>
          <w:p w14:paraId="0713FFF7">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7.5</w:t>
            </w:r>
          </w:p>
        </w:tc>
        <w:tc>
          <w:tcPr>
            <w:tcW w:w="2006" w:type="dxa"/>
            <w:vAlign w:val="center"/>
          </w:tcPr>
          <w:p w14:paraId="5A462C67">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本项目磋商小组根据与供应商磋商情况可能实质性变动的内容</w:t>
            </w:r>
          </w:p>
        </w:tc>
        <w:tc>
          <w:tcPr>
            <w:tcW w:w="6930" w:type="dxa"/>
            <w:vAlign w:val="center"/>
          </w:tcPr>
          <w:p w14:paraId="587D159E">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技术、服务要求以及合同草案条款。</w:t>
            </w:r>
          </w:p>
        </w:tc>
      </w:tr>
      <w:tr w14:paraId="2E5A0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exact"/>
          <w:jc w:val="center"/>
        </w:trPr>
        <w:tc>
          <w:tcPr>
            <w:tcW w:w="971" w:type="dxa"/>
            <w:vAlign w:val="center"/>
          </w:tcPr>
          <w:p w14:paraId="55DED340">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10.1</w:t>
            </w:r>
          </w:p>
        </w:tc>
        <w:tc>
          <w:tcPr>
            <w:tcW w:w="2006" w:type="dxa"/>
            <w:vAlign w:val="center"/>
          </w:tcPr>
          <w:p w14:paraId="34C099B6">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采购预算</w:t>
            </w:r>
          </w:p>
        </w:tc>
        <w:tc>
          <w:tcPr>
            <w:tcW w:w="6930" w:type="dxa"/>
            <w:vAlign w:val="center"/>
          </w:tcPr>
          <w:p w14:paraId="797C7418">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highlight w:val="none"/>
                <w:lang w:val="en-US" w:eastAsia="zh-CN"/>
              </w:rPr>
              <w:t>详见竞争性磋商公告“一</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项目基本情况”。</w:t>
            </w:r>
          </w:p>
        </w:tc>
      </w:tr>
      <w:tr w14:paraId="04123D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364A151D">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11.1</w:t>
            </w:r>
          </w:p>
        </w:tc>
        <w:tc>
          <w:tcPr>
            <w:tcW w:w="2006" w:type="dxa"/>
            <w:vAlign w:val="center"/>
          </w:tcPr>
          <w:p w14:paraId="52BAE11E">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磋商有效期</w:t>
            </w:r>
          </w:p>
        </w:tc>
        <w:tc>
          <w:tcPr>
            <w:tcW w:w="6930" w:type="dxa"/>
            <w:vAlign w:val="center"/>
          </w:tcPr>
          <w:p w14:paraId="622C6B1D">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从提交</w:t>
            </w:r>
            <w:r>
              <w:rPr>
                <w:rFonts w:hint="eastAsia" w:ascii="仿宋" w:hAnsi="仿宋" w:eastAsia="仿宋" w:cs="仿宋"/>
                <w:color w:val="auto"/>
                <w:sz w:val="24"/>
                <w:szCs w:val="24"/>
                <w:highlight w:val="none"/>
                <w:lang w:val="en-US" w:eastAsia="zh-CN"/>
              </w:rPr>
              <w:t>相应</w:t>
            </w:r>
            <w:r>
              <w:rPr>
                <w:rFonts w:hint="eastAsia" w:ascii="仿宋" w:hAnsi="仿宋" w:eastAsia="仿宋" w:cs="仿宋"/>
                <w:color w:val="auto"/>
                <w:sz w:val="24"/>
                <w:szCs w:val="24"/>
                <w:highlight w:val="none"/>
              </w:rPr>
              <w:t>文件截止之日起90日历天。</w:t>
            </w:r>
          </w:p>
        </w:tc>
      </w:tr>
      <w:tr w14:paraId="333DCE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2" w:hRule="atLeast"/>
          <w:jc w:val="center"/>
        </w:trPr>
        <w:tc>
          <w:tcPr>
            <w:tcW w:w="971" w:type="dxa"/>
            <w:vAlign w:val="center"/>
          </w:tcPr>
          <w:p w14:paraId="4026D7E8">
            <w:pPr>
              <w:pStyle w:val="20"/>
              <w:pageBreakBefore w:val="0"/>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szCs w:val="24"/>
                <w:highlight w:val="none"/>
              </w:rPr>
              <w:t>13</w:t>
            </w:r>
          </w:p>
        </w:tc>
        <w:tc>
          <w:tcPr>
            <w:tcW w:w="2006" w:type="dxa"/>
            <w:vAlign w:val="center"/>
          </w:tcPr>
          <w:p w14:paraId="2594A303">
            <w:pPr>
              <w:pageBreakBefore w:val="0"/>
              <w:wordWrap/>
              <w:overflowPunct/>
              <w:topLinePunct w:val="0"/>
              <w:bidi w:val="0"/>
              <w:spacing w:line="360" w:lineRule="auto"/>
              <w:contextualSpacing/>
              <w:jc w:val="center"/>
              <w:rPr>
                <w:rFonts w:hint="eastAsia" w:ascii="仿宋" w:hAnsi="仿宋" w:eastAsia="仿宋" w:cs="仿宋"/>
                <w:bCs/>
                <w:color w:val="auto"/>
                <w:spacing w:val="10"/>
                <w:sz w:val="24"/>
                <w:highlight w:val="none"/>
              </w:rPr>
            </w:pPr>
            <w:r>
              <w:rPr>
                <w:rFonts w:hint="eastAsia" w:ascii="仿宋" w:hAnsi="仿宋" w:eastAsia="仿宋" w:cs="仿宋"/>
                <w:bCs/>
                <w:color w:val="auto"/>
                <w:spacing w:val="10"/>
                <w:sz w:val="24"/>
                <w:highlight w:val="none"/>
              </w:rPr>
              <w:t>磋商保证金</w:t>
            </w:r>
          </w:p>
        </w:tc>
        <w:tc>
          <w:tcPr>
            <w:tcW w:w="6930" w:type="dxa"/>
            <w:vAlign w:val="center"/>
          </w:tcPr>
          <w:p w14:paraId="372D7C21">
            <w:pPr>
              <w:pageBreakBefore w:val="0"/>
              <w:wordWrap/>
              <w:overflowPunct/>
              <w:topLinePunct w:val="0"/>
              <w:bidi w:val="0"/>
              <w:spacing w:line="360" w:lineRule="auto"/>
              <w:contextualSpacing/>
              <w:rPr>
                <w:rFonts w:hint="default"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本项目不要求提交磋商保证金。</w:t>
            </w:r>
          </w:p>
        </w:tc>
      </w:tr>
      <w:tr w14:paraId="5B2EEA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7751FB21">
            <w:pPr>
              <w:pStyle w:val="20"/>
              <w:pageBreakBefore w:val="0"/>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p>
        </w:tc>
        <w:tc>
          <w:tcPr>
            <w:tcW w:w="2006" w:type="dxa"/>
            <w:vAlign w:val="center"/>
          </w:tcPr>
          <w:p w14:paraId="7AF00B7E">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响应文件提交截止时间、提交响应文件的地点</w:t>
            </w:r>
          </w:p>
        </w:tc>
        <w:tc>
          <w:tcPr>
            <w:tcW w:w="6930" w:type="dxa"/>
            <w:vAlign w:val="center"/>
          </w:tcPr>
          <w:p w14:paraId="0904D4CD">
            <w:pPr>
              <w:pStyle w:val="16"/>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文件提交截止时间：</w:t>
            </w:r>
            <w:r>
              <w:rPr>
                <w:rFonts w:hint="eastAsia" w:ascii="仿宋" w:hAnsi="仿宋" w:eastAsia="仿宋" w:cs="仿宋"/>
                <w:bCs/>
                <w:color w:val="auto"/>
                <w:sz w:val="24"/>
                <w:highlight w:val="none"/>
                <w:lang w:val="en-US" w:eastAsia="zh-CN"/>
              </w:rPr>
              <w:t>详见竞争性磋商公告“四、响应文件提交</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0CC21A6E">
            <w:pPr>
              <w:pStyle w:val="16"/>
              <w:pageBreakBefore w:val="0"/>
              <w:wordWrap/>
              <w:overflowPunct/>
              <w:topLinePunct w:val="0"/>
              <w:bidi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szCs w:val="24"/>
                <w:highlight w:val="none"/>
              </w:rPr>
              <w:t>提交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文件的地点：</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lang w:val="en-US" w:eastAsia="zh-CN"/>
              </w:rPr>
              <w:t>平台</w:t>
            </w:r>
            <w:r>
              <w:rPr>
                <w:rFonts w:hint="eastAsia" w:ascii="仿宋" w:hAnsi="仿宋" w:eastAsia="仿宋" w:cs="仿宋"/>
                <w:color w:val="auto"/>
                <w:sz w:val="24"/>
                <w:szCs w:val="24"/>
                <w:highlight w:val="none"/>
              </w:rPr>
              <w:t>。</w:t>
            </w:r>
          </w:p>
        </w:tc>
      </w:tr>
      <w:tr w14:paraId="629E28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71" w:type="dxa"/>
            <w:vAlign w:val="center"/>
          </w:tcPr>
          <w:p w14:paraId="4A1CFED9">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16.1</w:t>
            </w:r>
          </w:p>
        </w:tc>
        <w:tc>
          <w:tcPr>
            <w:tcW w:w="2006" w:type="dxa"/>
            <w:vAlign w:val="center"/>
          </w:tcPr>
          <w:p w14:paraId="434F7A93">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磋商时间和地点</w:t>
            </w:r>
          </w:p>
        </w:tc>
        <w:tc>
          <w:tcPr>
            <w:tcW w:w="6930" w:type="dxa"/>
            <w:vAlign w:val="center"/>
          </w:tcPr>
          <w:p w14:paraId="2A4704DF">
            <w:pPr>
              <w:pStyle w:val="16"/>
              <w:pageBreakBefore w:val="0"/>
              <w:wordWrap/>
              <w:overflowPunct/>
              <w:topLinePunct w:val="0"/>
              <w:bidi w:val="0"/>
              <w:spacing w:line="360" w:lineRule="auto"/>
              <w:rPr>
                <w:rFonts w:hint="eastAsia" w:ascii="仿宋" w:hAnsi="仿宋" w:eastAsia="仿宋" w:cs="仿宋"/>
                <w:color w:val="auto"/>
                <w:highlight w:val="none"/>
                <w:lang w:eastAsia="zh-CN"/>
              </w:rPr>
            </w:pPr>
            <w:r>
              <w:rPr>
                <w:rFonts w:hint="eastAsia" w:ascii="仿宋" w:hAnsi="仿宋" w:eastAsia="仿宋" w:cs="仿宋"/>
                <w:bCs/>
                <w:color w:val="auto"/>
                <w:sz w:val="24"/>
                <w:highlight w:val="none"/>
                <w:lang w:val="en-US" w:eastAsia="zh-CN"/>
              </w:rPr>
              <w:t>详见竞争性磋商公告“五、开启”</w:t>
            </w:r>
          </w:p>
        </w:tc>
      </w:tr>
      <w:tr w14:paraId="742A3E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971" w:type="dxa"/>
            <w:vAlign w:val="center"/>
          </w:tcPr>
          <w:p w14:paraId="445F6AA1">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16.4</w:t>
            </w:r>
          </w:p>
        </w:tc>
        <w:tc>
          <w:tcPr>
            <w:tcW w:w="2006" w:type="dxa"/>
            <w:vAlign w:val="center"/>
          </w:tcPr>
          <w:p w14:paraId="10142FE4">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磋商方法</w:t>
            </w:r>
          </w:p>
        </w:tc>
        <w:tc>
          <w:tcPr>
            <w:tcW w:w="6930" w:type="dxa"/>
            <w:vAlign w:val="center"/>
          </w:tcPr>
          <w:p w14:paraId="29ED2F51">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磋商方法：综合评分法。</w:t>
            </w:r>
          </w:p>
        </w:tc>
      </w:tr>
      <w:tr w14:paraId="32328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6AD05899">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16.7</w:t>
            </w:r>
          </w:p>
        </w:tc>
        <w:tc>
          <w:tcPr>
            <w:tcW w:w="2006" w:type="dxa"/>
            <w:vAlign w:val="center"/>
          </w:tcPr>
          <w:p w14:paraId="02CEC6AD">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因</w:t>
            </w:r>
            <w:r>
              <w:rPr>
                <w:rFonts w:hint="eastAsia" w:ascii="仿宋" w:hAnsi="仿宋" w:eastAsia="仿宋" w:cs="仿宋"/>
                <w:color w:val="auto"/>
                <w:sz w:val="24"/>
                <w:highlight w:val="none"/>
              </w:rPr>
              <w:t>市场竞争不充分的科研项目，以及需要扶持的科技成果转化项目</w:t>
            </w:r>
          </w:p>
        </w:tc>
        <w:tc>
          <w:tcPr>
            <w:tcW w:w="6930" w:type="dxa"/>
            <w:vAlign w:val="center"/>
          </w:tcPr>
          <w:p w14:paraId="68205658">
            <w:pPr>
              <w:pageBreakBefore w:val="0"/>
              <w:wordWrap/>
              <w:overflowPunct/>
              <w:topLinePunct w:val="0"/>
              <w:bidi w:val="0"/>
              <w:spacing w:line="360" w:lineRule="auto"/>
              <w:ind w:left="120" w:leftChars="50" w:right="120" w:rightChars="5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是</w:t>
            </w:r>
            <w:r>
              <w:rPr>
                <w:rFonts w:hint="eastAsia" w:ascii="仿宋" w:hAnsi="仿宋" w:eastAsia="仿宋" w:cs="仿宋"/>
                <w:color w:val="auto"/>
                <w:sz w:val="24"/>
                <w:highlight w:val="none"/>
                <w:lang w:val="en-US" w:eastAsia="zh-CN"/>
              </w:rPr>
              <w:sym w:font="Wingdings 2" w:char="00A3"/>
            </w:r>
          </w:p>
          <w:p w14:paraId="5788B4B4">
            <w:pPr>
              <w:pageBreakBefore w:val="0"/>
              <w:wordWrap/>
              <w:overflowPunct/>
              <w:topLinePunct w:val="0"/>
              <w:bidi w:val="0"/>
              <w:spacing w:line="360" w:lineRule="auto"/>
              <w:ind w:left="120" w:leftChars="50" w:right="120" w:rightChars="5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否</w:t>
            </w:r>
            <w:r>
              <w:rPr>
                <w:rFonts w:hint="eastAsia" w:ascii="仿宋" w:hAnsi="仿宋" w:eastAsia="仿宋" w:cs="仿宋"/>
                <w:color w:val="auto"/>
                <w:sz w:val="24"/>
                <w:highlight w:val="none"/>
                <w:lang w:val="en-US" w:eastAsia="zh-CN"/>
              </w:rPr>
              <w:sym w:font="Wingdings 2" w:char="0052"/>
            </w:r>
          </w:p>
        </w:tc>
      </w:tr>
      <w:tr w14:paraId="4F5E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1B9405CB">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16.7</w:t>
            </w:r>
          </w:p>
        </w:tc>
        <w:tc>
          <w:tcPr>
            <w:tcW w:w="2006" w:type="dxa"/>
            <w:vAlign w:val="center"/>
          </w:tcPr>
          <w:p w14:paraId="6E3EE622">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政府购买服务项目</w:t>
            </w:r>
          </w:p>
        </w:tc>
        <w:tc>
          <w:tcPr>
            <w:tcW w:w="6930" w:type="dxa"/>
            <w:vAlign w:val="center"/>
          </w:tcPr>
          <w:p w14:paraId="5AE2813D">
            <w:pPr>
              <w:pageBreakBefore w:val="0"/>
              <w:wordWrap/>
              <w:overflowPunct/>
              <w:topLinePunct w:val="0"/>
              <w:bidi w:val="0"/>
              <w:spacing w:line="360" w:lineRule="auto"/>
              <w:ind w:left="120" w:leftChars="50" w:right="120" w:rightChars="5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是</w:t>
            </w:r>
            <w:r>
              <w:rPr>
                <w:rFonts w:hint="eastAsia" w:ascii="仿宋" w:hAnsi="仿宋" w:eastAsia="仿宋" w:cs="仿宋"/>
                <w:color w:val="auto"/>
                <w:sz w:val="24"/>
                <w:highlight w:val="none"/>
                <w:lang w:val="en-US" w:eastAsia="zh-CN"/>
              </w:rPr>
              <w:sym w:font="Wingdings 2" w:char="00A3"/>
            </w:r>
          </w:p>
          <w:p w14:paraId="056B32C7">
            <w:pPr>
              <w:pageBreakBefore w:val="0"/>
              <w:wordWrap/>
              <w:overflowPunct/>
              <w:topLinePunct w:val="0"/>
              <w:bidi w:val="0"/>
              <w:spacing w:line="360" w:lineRule="auto"/>
              <w:ind w:left="120" w:leftChars="50" w:right="120" w:rightChars="5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否</w:t>
            </w:r>
            <w:r>
              <w:rPr>
                <w:rFonts w:hint="eastAsia" w:ascii="仿宋" w:hAnsi="仿宋" w:eastAsia="仿宋" w:cs="仿宋"/>
                <w:color w:val="auto"/>
                <w:sz w:val="24"/>
                <w:highlight w:val="none"/>
                <w:lang w:val="en-US" w:eastAsia="zh-CN"/>
              </w:rPr>
              <w:sym w:font="Wingdings 2" w:char="0052"/>
            </w:r>
          </w:p>
        </w:tc>
      </w:tr>
      <w:tr w14:paraId="07076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1B9B4E0E">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.1</w:t>
            </w:r>
          </w:p>
        </w:tc>
        <w:tc>
          <w:tcPr>
            <w:tcW w:w="2006" w:type="dxa"/>
            <w:vAlign w:val="center"/>
          </w:tcPr>
          <w:p w14:paraId="47DD5C2B">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履约保证金</w:t>
            </w:r>
          </w:p>
        </w:tc>
        <w:tc>
          <w:tcPr>
            <w:tcW w:w="6930" w:type="dxa"/>
            <w:shd w:val="clear" w:color="auto" w:fill="auto"/>
            <w:vAlign w:val="center"/>
          </w:tcPr>
          <w:p w14:paraId="4F38AD5B">
            <w:pPr>
              <w:pStyle w:val="16"/>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highlight w:val="none"/>
                <w:lang w:val="en-US" w:eastAsia="zh-CN" w:bidi="ar-SA"/>
              </w:rPr>
              <w:t>1.</w:t>
            </w:r>
            <w:r>
              <w:rPr>
                <w:rFonts w:hint="eastAsia" w:ascii="仿宋" w:hAnsi="仿宋" w:eastAsia="仿宋" w:cs="仿宋"/>
                <w:color w:val="auto"/>
                <w:sz w:val="24"/>
                <w:highlight w:val="none"/>
                <w:lang w:val="en-US" w:eastAsia="zh-CN"/>
              </w:rPr>
              <w:t>是否需要提交履约保证金：</w:t>
            </w:r>
          </w:p>
          <w:p w14:paraId="566E2A42">
            <w:pPr>
              <w:pStyle w:val="16"/>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sym w:font="Wingdings 2" w:char="00A3"/>
            </w:r>
            <w:r>
              <w:rPr>
                <w:rFonts w:hint="eastAsia" w:ascii="仿宋" w:hAnsi="仿宋" w:eastAsia="仿宋" w:cs="仿宋"/>
                <w:color w:val="auto"/>
                <w:sz w:val="24"/>
                <w:szCs w:val="24"/>
                <w:highlight w:val="none"/>
                <w:lang w:val="en-US" w:eastAsia="zh-CN"/>
              </w:rPr>
              <w:t>是</w:t>
            </w:r>
          </w:p>
          <w:p w14:paraId="7940BE11">
            <w:pPr>
              <w:keepNext w:val="0"/>
              <w:keepLines w:val="0"/>
              <w:pageBreakBefore w:val="0"/>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lang w:val="en-US" w:eastAsia="zh-CN"/>
              </w:rPr>
            </w:pPr>
            <w:r>
              <w:rPr>
                <w:rFonts w:hint="default"/>
                <w:color w:val="auto"/>
                <w:sz w:val="24"/>
                <w:szCs w:val="24"/>
                <w:highlight w:val="none"/>
                <w:lang w:val="en-US" w:eastAsia="zh-CN"/>
              </w:rPr>
              <w:sym w:font="Wingdings 2" w:char="0052"/>
            </w:r>
            <w:r>
              <w:rPr>
                <w:rFonts w:hint="eastAsia" w:ascii="仿宋" w:hAnsi="仿宋" w:eastAsia="仿宋" w:cs="仿宋"/>
                <w:color w:val="auto"/>
                <w:sz w:val="24"/>
                <w:szCs w:val="24"/>
                <w:highlight w:val="none"/>
                <w:lang w:val="en-US" w:eastAsia="zh-CN"/>
              </w:rPr>
              <w:t>否</w:t>
            </w:r>
          </w:p>
          <w:p w14:paraId="09CD80E1">
            <w:pPr>
              <w:keepNext w:val="0"/>
              <w:keepLines w:val="0"/>
              <w:pageBreakBefore w:val="0"/>
              <w:kinsoku/>
              <w:wordWrap/>
              <w:overflowPunct/>
              <w:topLinePunct w:val="0"/>
              <w:autoSpaceDE/>
              <w:autoSpaceDN/>
              <w:bidi w:val="0"/>
              <w:adjustRightInd/>
              <w:snapToGrid/>
              <w:spacing w:line="360" w:lineRule="auto"/>
              <w:ind w:left="0"/>
              <w:textAlignment w:val="auto"/>
              <w:rPr>
                <w:rFonts w:hint="default"/>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2.履约保证金提交信息：</w:t>
            </w:r>
          </w:p>
          <w:p w14:paraId="3D126263">
            <w:pPr>
              <w:pStyle w:val="16"/>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2"/>
                <w:highlight w:val="none"/>
                <w:lang w:eastAsia="zh-CN"/>
              </w:rPr>
            </w:pPr>
            <w:r>
              <w:rPr>
                <w:rFonts w:hint="eastAsia" w:ascii="宋体" w:hAnsi="宋体" w:eastAsia="宋体" w:cs="宋体"/>
                <w:b w:val="0"/>
                <w:bCs w:val="0"/>
                <w:color w:val="auto"/>
                <w:sz w:val="24"/>
                <w:highlight w:val="none"/>
              </w:rPr>
              <w:t>①</w:t>
            </w:r>
            <w:r>
              <w:rPr>
                <w:rFonts w:hint="eastAsia" w:ascii="仿宋" w:hAnsi="仿宋" w:eastAsia="仿宋" w:cs="仿宋"/>
                <w:b/>
                <w:bCs/>
                <w:color w:val="auto"/>
                <w:sz w:val="24"/>
                <w:highlight w:val="none"/>
              </w:rPr>
              <w:t>履约</w:t>
            </w:r>
            <w:r>
              <w:rPr>
                <w:rFonts w:hint="eastAsia" w:ascii="仿宋" w:hAnsi="仿宋" w:eastAsia="仿宋" w:cs="仿宋"/>
                <w:b/>
                <w:bCs/>
                <w:color w:val="auto"/>
                <w:sz w:val="24"/>
                <w:szCs w:val="22"/>
                <w:highlight w:val="none"/>
              </w:rPr>
              <w:t>保证金的形式</w:t>
            </w:r>
            <w:r>
              <w:rPr>
                <w:rFonts w:hint="eastAsia" w:ascii="仿宋" w:hAnsi="仿宋" w:eastAsia="仿宋" w:cs="仿宋"/>
                <w:color w:val="auto"/>
                <w:sz w:val="24"/>
                <w:szCs w:val="22"/>
                <w:highlight w:val="none"/>
              </w:rPr>
              <w:t>：以支票、汇票、本票或者金融机构、担保机构出具的保函等非现金形式提交</w:t>
            </w:r>
            <w:r>
              <w:rPr>
                <w:rFonts w:hint="eastAsia" w:ascii="仿宋" w:hAnsi="仿宋" w:eastAsia="仿宋" w:cs="仿宋"/>
                <w:color w:val="auto"/>
                <w:sz w:val="24"/>
                <w:szCs w:val="22"/>
                <w:highlight w:val="none"/>
                <w:lang w:eastAsia="zh-CN"/>
              </w:rPr>
              <w:t>；</w:t>
            </w:r>
          </w:p>
          <w:p w14:paraId="1D53A979">
            <w:pPr>
              <w:pStyle w:val="16"/>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textAlignment w:val="auto"/>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highlight w:val="none"/>
              </w:rPr>
              <w:t>②</w:t>
            </w:r>
            <w:r>
              <w:rPr>
                <w:rFonts w:hint="eastAsia" w:ascii="仿宋" w:hAnsi="仿宋" w:eastAsia="仿宋" w:cs="仿宋"/>
                <w:b/>
                <w:bCs/>
                <w:color w:val="auto"/>
                <w:sz w:val="24"/>
                <w:szCs w:val="22"/>
                <w:highlight w:val="none"/>
              </w:rPr>
              <w:t>履约保证金的金额</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合同金额的10%；</w:t>
            </w:r>
          </w:p>
          <w:p w14:paraId="64CE3751">
            <w:pPr>
              <w:pStyle w:val="16"/>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2"/>
                <w:highlight w:val="none"/>
              </w:rPr>
              <w:t>③</w:t>
            </w:r>
            <w:r>
              <w:rPr>
                <w:rFonts w:hint="eastAsia" w:ascii="仿宋" w:hAnsi="仿宋" w:eastAsia="仿宋" w:cs="仿宋"/>
                <w:b/>
                <w:bCs/>
                <w:color w:val="auto"/>
                <w:sz w:val="24"/>
                <w:highlight w:val="none"/>
                <w:lang w:val="en-US" w:eastAsia="zh-CN"/>
              </w:rPr>
              <w:t>退还条件</w:t>
            </w:r>
            <w:r>
              <w:rPr>
                <w:rFonts w:hint="eastAsia" w:ascii="仿宋" w:hAnsi="仿宋" w:eastAsia="仿宋" w:cs="仿宋"/>
                <w:color w:val="auto"/>
                <w:sz w:val="24"/>
                <w:highlight w:val="none"/>
                <w:lang w:val="en-US" w:eastAsia="zh-CN"/>
              </w:rPr>
              <w:t>：供应商全面履行合同义务，设备验收合格且稳定运行满3个月无质量问题、无违约行为、无售后服务不到位情形，满足全部合同履约要求后予以退还；</w:t>
            </w:r>
          </w:p>
          <w:p w14:paraId="7B0219A4">
            <w:pPr>
              <w:pStyle w:val="16"/>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④</w:t>
            </w:r>
            <w:r>
              <w:rPr>
                <w:rFonts w:hint="eastAsia" w:ascii="仿宋" w:hAnsi="仿宋" w:eastAsia="仿宋" w:cs="仿宋"/>
                <w:b/>
                <w:bCs/>
                <w:color w:val="auto"/>
                <w:sz w:val="24"/>
                <w:highlight w:val="none"/>
                <w:lang w:val="en-US" w:eastAsia="zh-CN"/>
              </w:rPr>
              <w:t>退还时间</w:t>
            </w:r>
            <w:r>
              <w:rPr>
                <w:rFonts w:hint="eastAsia" w:ascii="仿宋" w:hAnsi="仿宋" w:eastAsia="仿宋" w:cs="仿宋"/>
                <w:color w:val="auto"/>
                <w:sz w:val="24"/>
                <w:highlight w:val="none"/>
                <w:lang w:val="en-US" w:eastAsia="zh-CN"/>
              </w:rPr>
              <w:t>：满足退还条件后，采购人在10个工作日内办理完毕退还手续；</w:t>
            </w:r>
          </w:p>
          <w:p w14:paraId="22ABD154">
            <w:pPr>
              <w:pStyle w:val="16"/>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⑤</w:t>
            </w:r>
            <w:r>
              <w:rPr>
                <w:rFonts w:hint="eastAsia" w:ascii="仿宋" w:hAnsi="仿宋" w:eastAsia="仿宋" w:cs="仿宋"/>
                <w:b/>
                <w:bCs/>
                <w:color w:val="auto"/>
                <w:sz w:val="24"/>
                <w:highlight w:val="none"/>
                <w:lang w:val="en-US" w:eastAsia="zh-CN"/>
              </w:rPr>
              <w:t>退还方式：</w:t>
            </w:r>
            <w:r>
              <w:rPr>
                <w:rFonts w:hint="eastAsia" w:ascii="仿宋" w:hAnsi="仿宋" w:eastAsia="仿宋" w:cs="仿宋"/>
                <w:b w:val="0"/>
                <w:bCs w:val="0"/>
                <w:color w:val="auto"/>
                <w:sz w:val="24"/>
                <w:highlight w:val="none"/>
                <w:lang w:val="en-US" w:eastAsia="zh-CN"/>
              </w:rPr>
              <w:t>满足退还条件后，采购人按照供应商原提交的保证金形式予以原路退还（若以保函形式提交的，退还保函原件）；</w:t>
            </w:r>
          </w:p>
          <w:p w14:paraId="0A6A3FFC">
            <w:pPr>
              <w:pStyle w:val="16"/>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highlight w:val="none"/>
                <w:lang w:val="en-US" w:eastAsia="zh-CN"/>
              </w:rPr>
            </w:pPr>
            <w:r>
              <w:rPr>
                <w:rFonts w:hint="eastAsia" w:ascii="宋体" w:hAnsi="宋体" w:eastAsia="宋体" w:cs="宋体"/>
                <w:color w:val="auto"/>
                <w:sz w:val="24"/>
                <w:highlight w:val="none"/>
                <w:lang w:val="en-US" w:eastAsia="zh-CN"/>
              </w:rPr>
              <w:t>⑥</w:t>
            </w:r>
            <w:r>
              <w:rPr>
                <w:rFonts w:hint="eastAsia" w:ascii="仿宋" w:hAnsi="仿宋" w:eastAsia="仿宋" w:cs="仿宋"/>
                <w:b/>
                <w:bCs/>
                <w:color w:val="auto"/>
                <w:sz w:val="24"/>
                <w:highlight w:val="none"/>
                <w:lang w:val="en-US" w:eastAsia="zh-CN"/>
              </w:rPr>
              <w:t>违约扣除情形</w:t>
            </w:r>
            <w:r>
              <w:rPr>
                <w:rFonts w:hint="eastAsia" w:ascii="仿宋" w:hAnsi="仿宋" w:eastAsia="仿宋" w:cs="仿宋"/>
                <w:color w:val="auto"/>
                <w:sz w:val="24"/>
                <w:highlight w:val="none"/>
                <w:lang w:val="en-US" w:eastAsia="zh-CN"/>
              </w:rPr>
              <w:t>：在上述3个月运行期内，若设备运行不正常、出现质量问题或供应商发生任何违约行为的，履约保证金全额不予退还；因此给采购人造成的损失超过履约保证金数额的，供应商仍应承担相应赔偿责任。</w:t>
            </w:r>
          </w:p>
          <w:p w14:paraId="4C0ABBCD">
            <w:pPr>
              <w:pStyle w:val="12"/>
              <w:keepNext w:val="0"/>
              <w:keepLines w:val="0"/>
              <w:pageBreakBefore w:val="0"/>
              <w:widowControl w:val="0"/>
              <w:kinsoku/>
              <w:wordWrap/>
              <w:overflowPunct/>
              <w:topLinePunct w:val="0"/>
              <w:bidi w:val="0"/>
              <w:snapToGrid/>
              <w:spacing w:line="360" w:lineRule="auto"/>
              <w:rPr>
                <w:rFonts w:hint="default" w:ascii="仿宋" w:hAnsi="仿宋" w:eastAsia="仿宋" w:cs="仿宋"/>
                <w:bCs/>
                <w:iCs/>
                <w:color w:val="auto"/>
                <w:kern w:val="44"/>
                <w:sz w:val="24"/>
                <w:szCs w:val="24"/>
                <w:highlight w:val="none"/>
                <w:lang w:val="en-US" w:eastAsia="zh-CN" w:bidi="ar-SA"/>
              </w:rPr>
            </w:pPr>
            <w:r>
              <w:rPr>
                <w:rFonts w:hint="eastAsia" w:ascii="仿宋" w:hAnsi="仿宋" w:eastAsia="仿宋" w:cs="仿宋"/>
                <w:color w:val="auto"/>
                <w:sz w:val="24"/>
                <w:highlight w:val="none"/>
                <w:lang w:val="en-US" w:eastAsia="zh-CN"/>
              </w:rPr>
              <w:t>注：成交人</w:t>
            </w:r>
            <w:r>
              <w:rPr>
                <w:rFonts w:hint="eastAsia" w:ascii="仿宋" w:hAnsi="仿宋" w:eastAsia="仿宋" w:cs="仿宋"/>
                <w:color w:val="auto"/>
                <w:sz w:val="24"/>
                <w:highlight w:val="none"/>
              </w:rPr>
              <w:t>不按规定提交履约保证金</w:t>
            </w:r>
            <w:r>
              <w:rPr>
                <w:rFonts w:hint="eastAsia" w:ascii="仿宋" w:hAnsi="仿宋" w:eastAsia="仿宋" w:cs="仿宋"/>
                <w:color w:val="auto"/>
                <w:sz w:val="24"/>
                <w:highlight w:val="none"/>
                <w:lang w:val="en-US" w:eastAsia="zh-CN"/>
              </w:rPr>
              <w:t>的，将按照相关法律法规执行。</w:t>
            </w:r>
          </w:p>
        </w:tc>
      </w:tr>
      <w:tr w14:paraId="075B6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7E89B7B9">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21.6</w:t>
            </w:r>
          </w:p>
        </w:tc>
        <w:tc>
          <w:tcPr>
            <w:tcW w:w="2006" w:type="dxa"/>
            <w:vAlign w:val="center"/>
          </w:tcPr>
          <w:p w14:paraId="603AB75B">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接收质疑函的方式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部门、联系方式及地点</w:t>
            </w:r>
          </w:p>
        </w:tc>
        <w:tc>
          <w:tcPr>
            <w:tcW w:w="6930" w:type="dxa"/>
            <w:vAlign w:val="center"/>
          </w:tcPr>
          <w:p w14:paraId="20930D28">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接收质疑函的方式：</w:t>
            </w:r>
            <w:r>
              <w:rPr>
                <w:rFonts w:hint="eastAsia" w:ascii="仿宋" w:hAnsi="仿宋" w:eastAsia="仿宋" w:cs="仿宋"/>
                <w:color w:val="auto"/>
                <w:sz w:val="24"/>
                <w:highlight w:val="none"/>
              </w:rPr>
              <w:t>书面方式；</w:t>
            </w:r>
          </w:p>
          <w:p w14:paraId="7D4BC9A8">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接收质疑函的部门：云南蓝本招标咨询有限公司；</w:t>
            </w:r>
          </w:p>
          <w:p w14:paraId="6D5FFA88">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w:t>
            </w:r>
            <w:r>
              <w:rPr>
                <w:rFonts w:hint="eastAsia" w:ascii="仿宋" w:hAnsi="仿宋" w:eastAsia="仿宋" w:cs="仿宋"/>
                <w:color w:val="auto"/>
                <w:sz w:val="24"/>
                <w:highlight w:val="none"/>
                <w:lang w:val="en-US" w:eastAsia="zh-CN"/>
              </w:rPr>
              <w:t>方式</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杨帆</w:t>
            </w:r>
            <w:r>
              <w:rPr>
                <w:rFonts w:hint="eastAsia" w:ascii="仿宋" w:hAnsi="仿宋" w:eastAsia="仿宋" w:cs="仿宋"/>
                <w:color w:val="auto"/>
                <w:sz w:val="24"/>
                <w:highlight w:val="none"/>
                <w:lang w:eastAsia="zh-CN"/>
              </w:rPr>
              <w:t>0888-8880196</w:t>
            </w:r>
            <w:r>
              <w:rPr>
                <w:rFonts w:hint="eastAsia" w:ascii="仿宋" w:hAnsi="仿宋" w:eastAsia="仿宋" w:cs="仿宋"/>
                <w:color w:val="auto"/>
                <w:sz w:val="24"/>
                <w:highlight w:val="none"/>
              </w:rPr>
              <w:t>；</w:t>
            </w:r>
          </w:p>
          <w:p w14:paraId="371307C4">
            <w:pPr>
              <w:pStyle w:val="16"/>
              <w:pageBreakBefore w:val="0"/>
              <w:wordWrap/>
              <w:overflowPunct/>
              <w:topLinePunct w:val="0"/>
              <w:bidi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highlight w:val="none"/>
              </w:rPr>
              <w:t>通讯地址：</w:t>
            </w:r>
            <w:r>
              <w:rPr>
                <w:rFonts w:hint="eastAsia" w:ascii="仿宋" w:hAnsi="仿宋" w:cs="仿宋"/>
                <w:color w:val="auto"/>
                <w:sz w:val="24"/>
                <w:highlight w:val="none"/>
                <w:lang w:eastAsia="zh-CN"/>
              </w:rPr>
              <w:t>云南省丽江市古城区象山路264号办公楼5楼</w:t>
            </w:r>
            <w:r>
              <w:rPr>
                <w:rFonts w:hint="eastAsia" w:ascii="仿宋" w:hAnsi="仿宋" w:eastAsia="仿宋" w:cs="仿宋"/>
                <w:color w:val="auto"/>
                <w:sz w:val="24"/>
                <w:highlight w:val="none"/>
                <w:lang w:val="en-US" w:eastAsia="zh-CN"/>
              </w:rPr>
              <w:t>综合办公室</w:t>
            </w:r>
            <w:r>
              <w:rPr>
                <w:rFonts w:hint="eastAsia" w:ascii="仿宋" w:hAnsi="仿宋" w:eastAsia="仿宋" w:cs="仿宋"/>
                <w:color w:val="auto"/>
                <w:sz w:val="24"/>
                <w:highlight w:val="none"/>
              </w:rPr>
              <w:t>。</w:t>
            </w:r>
          </w:p>
        </w:tc>
      </w:tr>
      <w:tr w14:paraId="60678A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6FE20C59">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w:t>
            </w:r>
          </w:p>
        </w:tc>
        <w:tc>
          <w:tcPr>
            <w:tcW w:w="2006" w:type="dxa"/>
            <w:vAlign w:val="center"/>
          </w:tcPr>
          <w:p w14:paraId="26018948">
            <w:pPr>
              <w:pStyle w:val="16"/>
              <w:pageBreakBefore w:val="0"/>
              <w:wordWrap/>
              <w:overflowPunct/>
              <w:topLinePunct w:val="0"/>
              <w:bidi w:val="0"/>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成交服务费</w:t>
            </w:r>
          </w:p>
        </w:tc>
        <w:tc>
          <w:tcPr>
            <w:tcW w:w="6930" w:type="dxa"/>
            <w:vAlign w:val="center"/>
          </w:tcPr>
          <w:p w14:paraId="4324A9EB">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r>
              <w:rPr>
                <w:rFonts w:hint="eastAsia" w:ascii="仿宋" w:hAnsi="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val="en-US" w:eastAsia="zh-CN"/>
              </w:rPr>
              <w:t>本项目</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zh-CN"/>
              </w:rPr>
              <w:t>服务费参照《云南省建设工程招标代理服务收费参考意见》的通知云建招协〔2024〕58号文规定收费标准向</w:t>
            </w:r>
            <w:r>
              <w:rPr>
                <w:rFonts w:hint="eastAsia" w:ascii="仿宋" w:hAnsi="仿宋" w:cs="仿宋"/>
                <w:color w:val="auto"/>
                <w:sz w:val="24"/>
                <w:szCs w:val="24"/>
                <w:highlight w:val="none"/>
                <w:lang w:eastAsia="zh-CN"/>
              </w:rPr>
              <w:t>成交供应商</w:t>
            </w:r>
            <w:r>
              <w:rPr>
                <w:rFonts w:hint="eastAsia" w:ascii="仿宋" w:hAnsi="仿宋" w:eastAsia="仿宋" w:cs="仿宋"/>
                <w:color w:val="auto"/>
                <w:sz w:val="24"/>
                <w:szCs w:val="24"/>
                <w:highlight w:val="none"/>
                <w:lang w:eastAsia="zh-CN"/>
              </w:rPr>
              <w:t>收取（本项目为服务项目</w:t>
            </w:r>
            <w:r>
              <w:rPr>
                <w:rFonts w:hint="eastAsia" w:ascii="仿宋" w:hAnsi="仿宋" w:cs="仿宋"/>
                <w:color w:val="auto"/>
                <w:sz w:val="24"/>
                <w:szCs w:val="24"/>
                <w:highlight w:val="none"/>
                <w:lang w:eastAsia="zh-CN"/>
              </w:rPr>
              <w:t>，按预算金额为计费基数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highlight w:val="none"/>
              </w:rPr>
              <w:t>。</w:t>
            </w:r>
          </w:p>
          <w:p w14:paraId="229B47EE">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r>
              <w:rPr>
                <w:rFonts w:hint="eastAsia" w:ascii="仿宋" w:hAnsi="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val="en-US" w:eastAsia="zh-CN"/>
              </w:rPr>
              <w:t>成交服务费接受以下形式：现金、银行电汇、网银等形式。</w:t>
            </w:r>
          </w:p>
          <w:p w14:paraId="44C2FF15">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r>
              <w:rPr>
                <w:rFonts w:hint="eastAsia" w:ascii="仿宋" w:hAnsi="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lang w:val="en-US" w:eastAsia="zh-CN"/>
              </w:rPr>
              <w:t>成交服务费收款账号信息：</w:t>
            </w:r>
          </w:p>
          <w:p w14:paraId="12E8B3D4">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户名：云南蓝本招标咨询有限公司丽江分公司</w:t>
            </w:r>
          </w:p>
          <w:p w14:paraId="6A921D8C">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开户行：招商银行丽江分行营业部</w:t>
            </w:r>
          </w:p>
          <w:p w14:paraId="1079E9F6">
            <w:pPr>
              <w:pStyle w:val="16"/>
              <w:pageBreakBefore w:val="0"/>
              <w:wordWrap/>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rPr>
              <w:t>账号：888900601510601</w:t>
            </w:r>
          </w:p>
        </w:tc>
      </w:tr>
      <w:tr w14:paraId="33BB5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28C030FE">
            <w:pPr>
              <w:pStyle w:val="16"/>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w:t>
            </w:r>
          </w:p>
        </w:tc>
        <w:tc>
          <w:tcPr>
            <w:tcW w:w="8936" w:type="dxa"/>
            <w:gridSpan w:val="2"/>
            <w:vAlign w:val="center"/>
          </w:tcPr>
          <w:p w14:paraId="241541D3">
            <w:pPr>
              <w:pStyle w:val="16"/>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需要补充的其他内容</w:t>
            </w:r>
          </w:p>
        </w:tc>
      </w:tr>
      <w:tr w14:paraId="626C1B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5DB48C20">
            <w:pPr>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highlight w:val="none"/>
              </w:rPr>
            </w:pPr>
            <w:r>
              <w:rPr>
                <w:rFonts w:hint="eastAsia" w:ascii="仿宋" w:hAnsi="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cs="仿宋"/>
                <w:color w:val="auto"/>
                <w:sz w:val="24"/>
                <w:szCs w:val="24"/>
                <w:highlight w:val="none"/>
                <w:lang w:val="en-US" w:eastAsia="zh-CN"/>
              </w:rPr>
              <w:t>)</w:t>
            </w:r>
          </w:p>
        </w:tc>
        <w:tc>
          <w:tcPr>
            <w:tcW w:w="8936" w:type="dxa"/>
            <w:gridSpan w:val="2"/>
            <w:vAlign w:val="center"/>
          </w:tcPr>
          <w:p w14:paraId="0DDA86FC">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为自然人的，应当由本人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为法人应当由</w:t>
            </w:r>
            <w:r>
              <w:rPr>
                <w:rFonts w:hint="eastAsia" w:ascii="仿宋" w:hAnsi="仿宋" w:eastAsia="仿宋" w:cs="仿宋"/>
                <w:color w:val="auto"/>
                <w:sz w:val="24"/>
                <w:szCs w:val="24"/>
                <w:highlight w:val="none"/>
                <w:lang w:eastAsia="zh-CN"/>
              </w:rPr>
              <w:t>法定代表人（负责人）（电子签名或签章）</w:t>
            </w:r>
            <w:r>
              <w:rPr>
                <w:rFonts w:hint="eastAsia" w:ascii="仿宋" w:hAnsi="仿宋" w:eastAsia="仿宋" w:cs="仿宋"/>
                <w:color w:val="auto"/>
                <w:sz w:val="24"/>
                <w:szCs w:val="24"/>
                <w:highlight w:val="none"/>
              </w:rPr>
              <w:t>；其他组织的应当由主要负责人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，并加盖电子公章。</w:t>
            </w:r>
          </w:p>
        </w:tc>
      </w:tr>
      <w:tr w14:paraId="0EE83D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6A5AB001">
            <w:pPr>
              <w:pStyle w:val="16"/>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highlight w:val="none"/>
              </w:rPr>
            </w:pP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2</w:t>
            </w:r>
            <w:r>
              <w:rPr>
                <w:rFonts w:hint="eastAsia" w:ascii="仿宋" w:hAnsi="仿宋" w:cs="仿宋"/>
                <w:color w:val="auto"/>
                <w:sz w:val="24"/>
                <w:szCs w:val="24"/>
                <w:highlight w:val="none"/>
                <w:lang w:val="en-US" w:eastAsia="zh-CN"/>
              </w:rPr>
              <w:t>)</w:t>
            </w:r>
          </w:p>
        </w:tc>
        <w:tc>
          <w:tcPr>
            <w:tcW w:w="8936" w:type="dxa"/>
            <w:gridSpan w:val="2"/>
            <w:vAlign w:val="center"/>
          </w:tcPr>
          <w:p w14:paraId="5DB6AC01">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采购项目行业划分：</w:t>
            </w:r>
          </w:p>
          <w:p w14:paraId="68FC66DD">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本项目采购标的所属行业为</w:t>
            </w:r>
            <w:r>
              <w:rPr>
                <w:rFonts w:hint="eastAsia" w:ascii="仿宋" w:hAnsi="仿宋" w:eastAsia="仿宋" w:cs="仿宋"/>
                <w:color w:val="auto"/>
                <w:sz w:val="24"/>
                <w:szCs w:val="24"/>
                <w:highlight w:val="none"/>
                <w:lang w:eastAsia="zh-CN"/>
              </w:rPr>
              <w:t>：</w:t>
            </w:r>
            <w:r>
              <w:rPr>
                <w:rFonts w:hint="eastAsia" w:ascii="仿宋" w:hAnsi="仿宋" w:eastAsia="仿宋" w:cs="仿宋"/>
                <w:b/>
                <w:color w:val="auto"/>
                <w:sz w:val="24"/>
                <w:szCs w:val="24"/>
                <w:highlight w:val="none"/>
                <w:u w:val="single"/>
              </w:rPr>
              <w:t>“</w:t>
            </w:r>
            <w:r>
              <w:rPr>
                <w:rFonts w:hint="eastAsia" w:ascii="仿宋" w:hAnsi="仿宋" w:cs="仿宋"/>
                <w:b/>
                <w:color w:val="auto"/>
                <w:sz w:val="24"/>
                <w:szCs w:val="24"/>
                <w:highlight w:val="none"/>
                <w:u w:val="single"/>
                <w:lang w:val="en-US" w:eastAsia="zh-CN"/>
              </w:rPr>
              <w:t>商务服务业</w:t>
            </w:r>
            <w:r>
              <w:rPr>
                <w:rFonts w:hint="eastAsia" w:ascii="仿宋" w:hAnsi="仿宋" w:eastAsia="仿宋" w:cs="仿宋"/>
                <w:b/>
                <w:color w:val="auto"/>
                <w:sz w:val="24"/>
                <w:szCs w:val="24"/>
                <w:highlight w:val="none"/>
                <w:u w:val="single"/>
              </w:rPr>
              <w:t>”。</w:t>
            </w:r>
          </w:p>
        </w:tc>
      </w:tr>
      <w:tr w14:paraId="36971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15099C91">
            <w:pPr>
              <w:pStyle w:val="16"/>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highlight w:val="none"/>
              </w:rPr>
            </w:pP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3</w:t>
            </w:r>
            <w:r>
              <w:rPr>
                <w:rFonts w:hint="eastAsia" w:ascii="仿宋" w:hAnsi="仿宋" w:cs="仿宋"/>
                <w:color w:val="auto"/>
                <w:sz w:val="24"/>
                <w:szCs w:val="24"/>
                <w:highlight w:val="none"/>
                <w:lang w:val="en-US" w:eastAsia="zh-CN"/>
              </w:rPr>
              <w:t>)</w:t>
            </w:r>
          </w:p>
        </w:tc>
        <w:tc>
          <w:tcPr>
            <w:tcW w:w="8936" w:type="dxa"/>
            <w:gridSpan w:val="2"/>
            <w:vAlign w:val="center"/>
          </w:tcPr>
          <w:p w14:paraId="1C2B5994">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供应商在上传响应文件时，将“开标一览表”上传至“报价文件”部分，将整份标响应文件（含封面及目录）上传至“商务及技术文件”部分。</w:t>
            </w:r>
          </w:p>
        </w:tc>
      </w:tr>
      <w:tr w14:paraId="598B1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71" w:type="dxa"/>
            <w:vAlign w:val="center"/>
          </w:tcPr>
          <w:p w14:paraId="79DF9534">
            <w:pPr>
              <w:pStyle w:val="16"/>
              <w:keepNext w:val="0"/>
              <w:keepLines w:val="0"/>
              <w:pageBreakBefore w:val="0"/>
              <w:shd w:val="clear"/>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highlight w:val="none"/>
              </w:rPr>
            </w:pP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4</w:t>
            </w:r>
            <w:r>
              <w:rPr>
                <w:rFonts w:hint="eastAsia" w:ascii="仿宋" w:hAnsi="仿宋" w:cs="仿宋"/>
                <w:color w:val="auto"/>
                <w:sz w:val="24"/>
                <w:szCs w:val="24"/>
                <w:highlight w:val="none"/>
                <w:lang w:val="en-US" w:eastAsia="zh-CN"/>
              </w:rPr>
              <w:t>)</w:t>
            </w:r>
          </w:p>
        </w:tc>
        <w:tc>
          <w:tcPr>
            <w:tcW w:w="8936" w:type="dxa"/>
            <w:gridSpan w:val="2"/>
            <w:vAlign w:val="center"/>
          </w:tcPr>
          <w:p w14:paraId="7F8EA9E4">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成交人在《云南省政府采购网》查询到成交公示或接到采购人（采购代理机构）后，需办理以下事宜：</w:t>
            </w:r>
          </w:p>
          <w:p w14:paraId="3088C84E">
            <w:pPr>
              <w:keepNext w:val="0"/>
              <w:keepLines w:val="0"/>
              <w:pageBreakBefore w:val="0"/>
              <w:shd w:val="clear"/>
              <w:kinsoku/>
              <w:wordWrap/>
              <w:overflowPunct/>
              <w:topLinePunct w:val="0"/>
              <w:autoSpaceDE/>
              <w:autoSpaceDN/>
              <w:bidi w:val="0"/>
              <w:adjustRightInd/>
              <w:snapToGrid/>
              <w:spacing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向采购代理机构</w:t>
            </w:r>
            <w:r>
              <w:rPr>
                <w:rFonts w:hint="eastAsia" w:ascii="仿宋" w:hAnsi="仿宋" w:cs="仿宋"/>
                <w:color w:val="auto"/>
                <w:sz w:val="24"/>
                <w:szCs w:val="24"/>
                <w:highlight w:val="none"/>
                <w:lang w:val="en-US" w:eastAsia="zh-CN"/>
              </w:rPr>
              <w:t>交</w:t>
            </w:r>
            <w:r>
              <w:rPr>
                <w:rFonts w:hint="eastAsia" w:ascii="仿宋" w:hAnsi="仿宋" w:eastAsia="仿宋" w:cs="仿宋"/>
                <w:color w:val="auto"/>
                <w:sz w:val="24"/>
                <w:szCs w:val="24"/>
                <w:highlight w:val="none"/>
                <w:lang w:val="en-US" w:eastAsia="zh-CN"/>
              </w:rPr>
              <w:t>纳成交服务费。</w:t>
            </w:r>
          </w:p>
          <w:p w14:paraId="0DAACC12">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从采购代理机构处领取成交通知书，并与采购人联系、洽谈采购合同。</w:t>
            </w:r>
          </w:p>
          <w:p w14:paraId="06145F37">
            <w:pPr>
              <w:keepNext w:val="0"/>
              <w:keepLines w:val="0"/>
              <w:pageBreakBefore w:val="0"/>
              <w:shd w:val="clear"/>
              <w:kinsoku/>
              <w:wordWrap/>
              <w:overflowPunct/>
              <w:topLinePunct w:val="0"/>
              <w:autoSpaceDE/>
              <w:autoSpaceDN/>
              <w:bidi w:val="0"/>
              <w:adjustRightInd/>
              <w:snapToGrid/>
              <w:spacing w:line="360" w:lineRule="auto"/>
              <w:ind w:left="0" w:leftChars="0"/>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w:t>
            </w:r>
            <w:r>
              <w:rPr>
                <w:rFonts w:hint="eastAsia" w:ascii="仿宋" w:hAnsi="仿宋" w:cs="仿宋"/>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签订合同当天请告知采购代理机构。</w:t>
            </w:r>
          </w:p>
        </w:tc>
      </w:tr>
    </w:tbl>
    <w:p w14:paraId="265EDB5D">
      <w:pPr>
        <w:pageBreakBefore w:val="0"/>
        <w:wordWrap/>
        <w:overflowPunct/>
        <w:topLinePunct w:val="0"/>
        <w:bidi w:val="0"/>
        <w:spacing w:line="360" w:lineRule="auto"/>
        <w:rPr>
          <w:rFonts w:hint="eastAsia" w:ascii="仿宋" w:hAnsi="仿宋" w:eastAsia="仿宋" w:cs="仿宋"/>
          <w:color w:val="auto"/>
          <w:highlight w:val="none"/>
        </w:rPr>
      </w:pPr>
    </w:p>
    <w:p w14:paraId="43B51ADB">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bookmarkStart w:id="13" w:name="_Toc511457509"/>
      <w:bookmarkStart w:id="14" w:name="_Toc32040"/>
      <w:r>
        <w:rPr>
          <w:rFonts w:hint="eastAsia" w:ascii="仿宋" w:hAnsi="仿宋" w:eastAsia="仿宋" w:cs="仿宋"/>
          <w:color w:val="auto"/>
          <w:szCs w:val="28"/>
          <w:highlight w:val="none"/>
        </w:rPr>
        <w:t>一、总则</w:t>
      </w:r>
      <w:bookmarkEnd w:id="12"/>
      <w:bookmarkEnd w:id="13"/>
      <w:bookmarkEnd w:id="14"/>
    </w:p>
    <w:p w14:paraId="361A2840">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5" w:name="_Toc529197720"/>
      <w:bookmarkStart w:id="16" w:name="_Toc482912944"/>
      <w:bookmarkStart w:id="17" w:name="_Toc388341193"/>
      <w:bookmarkStart w:id="18" w:name="_Toc10320831"/>
      <w:bookmarkStart w:id="19" w:name="_Toc498086590"/>
      <w:bookmarkStart w:id="20" w:name="_Toc2001"/>
      <w:bookmarkStart w:id="21" w:name="_Toc329810186"/>
      <w:bookmarkStart w:id="22" w:name="_Toc8382287"/>
      <w:bookmarkStart w:id="23" w:name="_Toc3378749"/>
      <w:bookmarkStart w:id="24" w:name="_Toc511457510"/>
      <w:bookmarkStart w:id="25" w:name="_Toc12894"/>
      <w:r>
        <w:rPr>
          <w:rFonts w:hint="eastAsia" w:ascii="仿宋" w:hAnsi="仿宋" w:cs="仿宋"/>
          <w:color w:val="auto"/>
          <w:highlight w:val="none"/>
          <w:lang w:val="en-US" w:eastAsia="zh-CN"/>
        </w:rPr>
        <w:t>1.</w:t>
      </w:r>
      <w:r>
        <w:rPr>
          <w:rFonts w:hint="eastAsia" w:ascii="仿宋" w:hAnsi="仿宋" w:eastAsia="仿宋" w:cs="仿宋"/>
          <w:color w:val="auto"/>
          <w:highlight w:val="none"/>
        </w:rPr>
        <w:t>项目概况</w:t>
      </w:r>
      <w:bookmarkEnd w:id="15"/>
      <w:bookmarkEnd w:id="16"/>
      <w:bookmarkEnd w:id="17"/>
      <w:bookmarkEnd w:id="18"/>
      <w:bookmarkEnd w:id="19"/>
      <w:bookmarkEnd w:id="20"/>
      <w:bookmarkEnd w:id="21"/>
      <w:bookmarkEnd w:id="22"/>
      <w:bookmarkEnd w:id="23"/>
      <w:bookmarkEnd w:id="24"/>
      <w:bookmarkEnd w:id="25"/>
    </w:p>
    <w:p w14:paraId="03F700F1">
      <w:pPr>
        <w:pageBreakBefore w:val="0"/>
        <w:widowControl w:val="0"/>
        <w:kinsoku/>
        <w:wordWrap/>
        <w:overflowPunct/>
        <w:topLinePunct w:val="0"/>
        <w:bidi w:val="0"/>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val="en-US" w:eastAsia="zh-CN"/>
        </w:rPr>
        <w:t>根据</w:t>
      </w:r>
      <w:r>
        <w:rPr>
          <w:rFonts w:hint="eastAsia" w:ascii="仿宋" w:hAnsi="仿宋" w:eastAsia="仿宋" w:cs="仿宋"/>
          <w:color w:val="auto"/>
          <w:spacing w:val="6"/>
          <w:kern w:val="0"/>
          <w:sz w:val="24"/>
          <w:highlight w:val="none"/>
          <w:lang w:val="zh-CN"/>
        </w:rPr>
        <w:t>《中华人民共和国政府采购法》《中华人民共和国政府采购法实施条例》《政府采购竞争性磋商采购方式管理暂行办法》（财库〔2014〕214号））等有关法律法规和规章的规定</w:t>
      </w:r>
      <w:r>
        <w:rPr>
          <w:rFonts w:hint="eastAsia" w:ascii="仿宋" w:hAnsi="仿宋" w:eastAsia="仿宋" w:cs="仿宋"/>
          <w:color w:val="auto"/>
          <w:sz w:val="24"/>
          <w:highlight w:val="none"/>
        </w:rPr>
        <w:t>，现对本次采购进行竞争性磋商采购。</w:t>
      </w:r>
    </w:p>
    <w:p w14:paraId="6ADCD566">
      <w:pPr>
        <w:pStyle w:val="107"/>
        <w:pageBreakBefore w:val="0"/>
        <w:widowControl w:val="0"/>
        <w:kinsoku/>
        <w:wordWrap/>
        <w:overflowPunct/>
        <w:topLinePunct w:val="0"/>
        <w:bidi w:val="0"/>
        <w:snapToGrid/>
        <w:spacing w:line="360" w:lineRule="auto"/>
        <w:ind w:firstLine="48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本项目采购人：详见“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4E3A5FBF">
      <w:pPr>
        <w:pStyle w:val="107"/>
        <w:pageBreakBefore w:val="0"/>
        <w:widowControl w:val="0"/>
        <w:kinsoku/>
        <w:wordWrap/>
        <w:overflowPunct/>
        <w:topLinePunct w:val="0"/>
        <w:bidi w:val="0"/>
        <w:snapToGrid/>
        <w:spacing w:line="360" w:lineRule="auto"/>
        <w:ind w:firstLine="48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1.3</w:t>
      </w:r>
      <w:r>
        <w:rPr>
          <w:rFonts w:hint="eastAsia" w:ascii="仿宋" w:hAnsi="仿宋" w:eastAsia="仿宋" w:cs="仿宋"/>
          <w:color w:val="auto"/>
          <w:sz w:val="24"/>
          <w:highlight w:val="none"/>
        </w:rPr>
        <w:t>本项目采购代理机构：详见“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0A3B88BF">
      <w:pPr>
        <w:pStyle w:val="107"/>
        <w:pageBreakBefore w:val="0"/>
        <w:widowControl w:val="0"/>
        <w:kinsoku/>
        <w:wordWrap/>
        <w:overflowPunct/>
        <w:topLinePunct w:val="0"/>
        <w:bidi w:val="0"/>
        <w:snapToGrid/>
        <w:spacing w:line="360" w:lineRule="auto"/>
        <w:ind w:firstLine="48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1.4</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项目名称及项目编号：详见“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010C099C">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26" w:name="_Toc498086591"/>
      <w:bookmarkStart w:id="27" w:name="_Toc8382288"/>
      <w:bookmarkStart w:id="28" w:name="_Toc3378750"/>
      <w:bookmarkStart w:id="29" w:name="_Toc529197721"/>
      <w:bookmarkStart w:id="30" w:name="_Toc6777"/>
      <w:bookmarkStart w:id="31" w:name="_Toc10320832"/>
      <w:bookmarkStart w:id="32" w:name="_Toc329810187"/>
      <w:bookmarkStart w:id="33" w:name="_Toc511457511"/>
      <w:bookmarkStart w:id="34" w:name="_Toc265142411"/>
      <w:bookmarkStart w:id="35" w:name="_Toc388341194"/>
      <w:bookmarkStart w:id="36" w:name="_Toc482912945"/>
      <w:bookmarkStart w:id="37" w:name="_Toc14383"/>
      <w:r>
        <w:rPr>
          <w:rFonts w:hint="eastAsia" w:ascii="仿宋" w:hAnsi="仿宋" w:cs="仿宋"/>
          <w:color w:val="auto"/>
          <w:highlight w:val="none"/>
          <w:lang w:val="en-US" w:eastAsia="zh-CN"/>
        </w:rPr>
        <w:t>2.</w:t>
      </w:r>
      <w:r>
        <w:rPr>
          <w:rFonts w:hint="eastAsia" w:ascii="仿宋" w:hAnsi="仿宋" w:eastAsia="仿宋" w:cs="仿宋"/>
          <w:color w:val="auto"/>
          <w:highlight w:val="none"/>
        </w:rPr>
        <w:t>资金来源</w:t>
      </w:r>
      <w:bookmarkEnd w:id="26"/>
      <w:bookmarkEnd w:id="27"/>
      <w:bookmarkEnd w:id="28"/>
      <w:bookmarkEnd w:id="29"/>
      <w:bookmarkEnd w:id="30"/>
      <w:bookmarkEnd w:id="31"/>
      <w:bookmarkEnd w:id="32"/>
      <w:bookmarkEnd w:id="33"/>
      <w:bookmarkEnd w:id="34"/>
      <w:bookmarkEnd w:id="35"/>
      <w:bookmarkEnd w:id="36"/>
      <w:bookmarkEnd w:id="37"/>
    </w:p>
    <w:p w14:paraId="774DA5B8">
      <w:pPr>
        <w:pageBreakBefore w:val="0"/>
        <w:widowControl w:val="0"/>
        <w:kinsoku/>
        <w:wordWrap/>
        <w:overflowPunct/>
        <w:topLinePunct w:val="0"/>
        <w:bidi w:val="0"/>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2.1</w:t>
      </w:r>
      <w:r>
        <w:rPr>
          <w:rFonts w:hint="eastAsia" w:ascii="仿宋" w:hAnsi="仿宋" w:eastAsia="仿宋" w:cs="仿宋"/>
          <w:color w:val="auto"/>
          <w:sz w:val="24"/>
          <w:highlight w:val="none"/>
        </w:rPr>
        <w:t>“</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中所述的采购人资金已落实，用于采购“</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”所列</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w:t>
      </w:r>
    </w:p>
    <w:p w14:paraId="4D95F9BE">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38" w:name="_Toc388341195"/>
      <w:bookmarkStart w:id="39" w:name="_Toc498086592"/>
      <w:bookmarkStart w:id="40" w:name="_Toc529197722"/>
      <w:bookmarkStart w:id="41" w:name="_Toc22999"/>
      <w:bookmarkStart w:id="42" w:name="_Toc10320833"/>
      <w:bookmarkStart w:id="43" w:name="_Toc265142412"/>
      <w:bookmarkStart w:id="44" w:name="_Toc8382289"/>
      <w:bookmarkStart w:id="45" w:name="_Toc511457512"/>
      <w:bookmarkStart w:id="46" w:name="_Toc329810188"/>
      <w:bookmarkStart w:id="47" w:name="_Toc482912946"/>
      <w:bookmarkStart w:id="48" w:name="_Toc3378751"/>
      <w:bookmarkStart w:id="49" w:name="_Toc27025"/>
      <w:r>
        <w:rPr>
          <w:rFonts w:hint="eastAsia" w:ascii="仿宋" w:hAnsi="仿宋" w:cs="仿宋"/>
          <w:color w:val="auto"/>
          <w:highlight w:val="none"/>
          <w:lang w:val="en-US" w:eastAsia="zh-CN"/>
        </w:rPr>
        <w:t>3.</w:t>
      </w:r>
      <w:r>
        <w:rPr>
          <w:rFonts w:hint="eastAsia" w:ascii="仿宋" w:hAnsi="仿宋" w:eastAsia="仿宋" w:cs="仿宋"/>
          <w:color w:val="auto"/>
          <w:highlight w:val="none"/>
        </w:rPr>
        <w:t>采购范围</w:t>
      </w:r>
      <w:bookmarkEnd w:id="38"/>
      <w:bookmarkEnd w:id="39"/>
      <w:bookmarkEnd w:id="40"/>
      <w:bookmarkEnd w:id="41"/>
      <w:bookmarkEnd w:id="42"/>
      <w:bookmarkEnd w:id="43"/>
      <w:bookmarkEnd w:id="44"/>
      <w:bookmarkEnd w:id="45"/>
      <w:bookmarkEnd w:id="46"/>
      <w:bookmarkEnd w:id="47"/>
      <w:bookmarkEnd w:id="48"/>
      <w:bookmarkEnd w:id="49"/>
    </w:p>
    <w:p w14:paraId="508C367F">
      <w:pPr>
        <w:pageBreakBefore w:val="0"/>
        <w:widowControl w:val="0"/>
        <w:kinsoku/>
        <w:wordWrap/>
        <w:overflowPunct/>
        <w:topLinePunct w:val="0"/>
        <w:bidi w:val="0"/>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3.1</w:t>
      </w:r>
      <w:r>
        <w:rPr>
          <w:rFonts w:hint="eastAsia" w:ascii="仿宋" w:hAnsi="仿宋" w:eastAsia="仿宋" w:cs="仿宋"/>
          <w:color w:val="auto"/>
          <w:sz w:val="24"/>
          <w:highlight w:val="none"/>
        </w:rPr>
        <w:t>本项目采购内容：见“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33911046">
      <w:pPr>
        <w:pageBreakBefore w:val="0"/>
        <w:widowControl w:val="0"/>
        <w:kinsoku/>
        <w:wordWrap/>
        <w:overflowPunct/>
        <w:topLinePunct w:val="0"/>
        <w:bidi w:val="0"/>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3.2</w:t>
      </w:r>
      <w:r>
        <w:rPr>
          <w:rFonts w:hint="eastAsia" w:ascii="仿宋" w:hAnsi="仿宋" w:eastAsia="仿宋" w:cs="仿宋"/>
          <w:color w:val="auto"/>
          <w:sz w:val="24"/>
          <w:highlight w:val="none"/>
        </w:rPr>
        <w:t>本项目</w:t>
      </w:r>
      <w:r>
        <w:rPr>
          <w:rFonts w:hint="eastAsia" w:ascii="仿宋" w:hAnsi="仿宋" w:eastAsia="仿宋" w:cs="仿宋"/>
          <w:bCs/>
          <w:color w:val="auto"/>
          <w:sz w:val="24"/>
          <w:highlight w:val="none"/>
        </w:rPr>
        <w:t>合同履行期限</w:t>
      </w:r>
      <w:r>
        <w:rPr>
          <w:rFonts w:hint="eastAsia" w:ascii="仿宋" w:hAnsi="仿宋" w:eastAsia="仿宋" w:cs="仿宋"/>
          <w:color w:val="auto"/>
          <w:sz w:val="24"/>
          <w:highlight w:val="none"/>
        </w:rPr>
        <w:t>：见“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3D8A90A7">
      <w:pPr>
        <w:pStyle w:val="4"/>
        <w:pageBreakBefore w:val="0"/>
        <w:widowControl w:val="0"/>
        <w:numPr>
          <w:ilvl w:val="0"/>
          <w:numId w:val="0"/>
        </w:numPr>
        <w:kinsoku/>
        <w:wordWrap/>
        <w:overflowPunct/>
        <w:topLinePunct w:val="0"/>
        <w:bidi w:val="0"/>
        <w:snapToGrid/>
        <w:spacing w:before="0" w:after="0" w:line="360" w:lineRule="auto"/>
        <w:ind w:firstLine="482" w:firstLineChars="200"/>
        <w:jc w:val="left"/>
        <w:textAlignment w:val="auto"/>
        <w:rPr>
          <w:rFonts w:hint="eastAsia" w:ascii="仿宋" w:hAnsi="仿宋" w:eastAsia="仿宋" w:cs="仿宋"/>
          <w:color w:val="auto"/>
          <w:highlight w:val="none"/>
        </w:rPr>
      </w:pPr>
      <w:bookmarkStart w:id="50" w:name="_Toc10320834"/>
      <w:bookmarkStart w:id="51" w:name="_Toc8382290"/>
      <w:bookmarkStart w:id="52" w:name="_Toc8173"/>
      <w:bookmarkStart w:id="53" w:name="_Toc482912947"/>
      <w:bookmarkStart w:id="54" w:name="_Toc329810189"/>
      <w:bookmarkStart w:id="55" w:name="_Toc511457513"/>
      <w:bookmarkStart w:id="56" w:name="_Toc529197723"/>
      <w:bookmarkStart w:id="57" w:name="_Toc388341196"/>
      <w:bookmarkStart w:id="58" w:name="_Toc3378752"/>
      <w:bookmarkStart w:id="59" w:name="_Toc498086593"/>
      <w:bookmarkStart w:id="60" w:name="_Toc13143"/>
      <w:r>
        <w:rPr>
          <w:rFonts w:hint="eastAsia" w:ascii="仿宋" w:hAnsi="仿宋" w:cs="仿宋"/>
          <w:color w:val="auto"/>
          <w:highlight w:val="none"/>
          <w:lang w:val="en-US" w:eastAsia="zh-CN"/>
        </w:rPr>
        <w:t>4.</w:t>
      </w:r>
      <w:r>
        <w:rPr>
          <w:rFonts w:hint="eastAsia" w:ascii="仿宋" w:hAnsi="仿宋" w:eastAsia="仿宋" w:cs="仿宋"/>
          <w:color w:val="auto"/>
          <w:highlight w:val="none"/>
        </w:rPr>
        <w:t>合格的供应商（以下简称供应商）</w:t>
      </w:r>
      <w:bookmarkEnd w:id="50"/>
      <w:bookmarkEnd w:id="51"/>
      <w:bookmarkEnd w:id="52"/>
      <w:bookmarkEnd w:id="53"/>
      <w:bookmarkEnd w:id="54"/>
      <w:bookmarkEnd w:id="55"/>
      <w:bookmarkEnd w:id="56"/>
      <w:bookmarkEnd w:id="57"/>
      <w:bookmarkEnd w:id="58"/>
      <w:bookmarkEnd w:id="59"/>
      <w:bookmarkEnd w:id="60"/>
    </w:p>
    <w:p w14:paraId="4E2C6B33">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4.1</w:t>
      </w: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lang w:val="en-US" w:eastAsia="zh-CN"/>
        </w:rPr>
        <w:t>符合</w:t>
      </w:r>
      <w:r>
        <w:rPr>
          <w:rFonts w:hint="eastAsia" w:ascii="仿宋" w:hAnsi="仿宋" w:eastAsia="仿宋" w:cs="仿宋"/>
          <w:color w:val="auto"/>
          <w:sz w:val="24"/>
          <w:highlight w:val="none"/>
        </w:rPr>
        <w:t>《中华人民共和国政府采购法》第二十二条规定的条件：</w:t>
      </w:r>
      <w:r>
        <w:rPr>
          <w:rFonts w:hint="eastAsia" w:ascii="仿宋" w:hAnsi="仿宋" w:eastAsia="仿宋" w:cs="仿宋"/>
          <w:bCs/>
          <w:color w:val="auto"/>
          <w:sz w:val="24"/>
          <w:highlight w:val="none"/>
          <w:lang w:val="en-US" w:eastAsia="zh-CN"/>
        </w:rPr>
        <w:t>详见《竞争性磋商公告》</w:t>
      </w:r>
      <w:r>
        <w:rPr>
          <w:rFonts w:hint="eastAsia" w:ascii="仿宋" w:hAnsi="仿宋" w:eastAsia="仿宋" w:cs="仿宋"/>
          <w:b/>
          <w:bCs w:val="0"/>
          <w:color w:val="auto"/>
          <w:sz w:val="24"/>
          <w:highlight w:val="none"/>
          <w:lang w:val="en-US" w:eastAsia="zh-CN"/>
        </w:rPr>
        <w:t>“</w:t>
      </w:r>
      <w:r>
        <w:rPr>
          <w:rFonts w:hint="eastAsia" w:ascii="仿宋" w:hAnsi="仿宋" w:eastAsia="仿宋" w:cs="仿宋"/>
          <w:b/>
          <w:bCs w:val="0"/>
          <w:color w:val="auto"/>
          <w:sz w:val="24"/>
          <w:highlight w:val="none"/>
          <w:lang w:eastAsia="zh-CN"/>
        </w:rPr>
        <w:t>二、申请人的资格要求</w:t>
      </w:r>
      <w:r>
        <w:rPr>
          <w:rFonts w:hint="eastAsia" w:ascii="仿宋" w:hAnsi="仿宋" w:eastAsia="仿宋" w:cs="仿宋"/>
          <w:b/>
          <w:bCs w:val="0"/>
          <w:color w:val="auto"/>
          <w:sz w:val="24"/>
          <w:highlight w:val="none"/>
          <w:lang w:val="en-US" w:eastAsia="zh-CN"/>
        </w:rPr>
        <w:t>”。</w:t>
      </w:r>
    </w:p>
    <w:p w14:paraId="0520E61B">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4.2</w:t>
      </w:r>
      <w:r>
        <w:rPr>
          <w:rFonts w:hint="eastAsia" w:ascii="仿宋" w:hAnsi="仿宋" w:eastAsia="仿宋" w:cs="仿宋"/>
          <w:color w:val="auto"/>
          <w:sz w:val="24"/>
          <w:highlight w:val="none"/>
        </w:rPr>
        <w:t>落实政府采购政策需满足的资格要求：</w:t>
      </w:r>
      <w:r>
        <w:rPr>
          <w:rFonts w:hint="eastAsia" w:ascii="仿宋" w:hAnsi="仿宋" w:eastAsia="仿宋" w:cs="仿宋"/>
          <w:bCs/>
          <w:color w:val="auto"/>
          <w:sz w:val="24"/>
          <w:highlight w:val="none"/>
          <w:lang w:val="en-US" w:eastAsia="zh-CN"/>
        </w:rPr>
        <w:t>详见《竞争性磋商公告》</w:t>
      </w:r>
      <w:r>
        <w:rPr>
          <w:rFonts w:hint="eastAsia" w:ascii="仿宋" w:hAnsi="仿宋" w:eastAsia="仿宋" w:cs="仿宋"/>
          <w:b/>
          <w:bCs w:val="0"/>
          <w:color w:val="auto"/>
          <w:sz w:val="24"/>
          <w:highlight w:val="none"/>
          <w:lang w:val="en-US" w:eastAsia="zh-CN"/>
        </w:rPr>
        <w:t>“</w:t>
      </w:r>
      <w:r>
        <w:rPr>
          <w:rFonts w:hint="eastAsia" w:ascii="仿宋" w:hAnsi="仿宋" w:eastAsia="仿宋" w:cs="仿宋"/>
          <w:b/>
          <w:bCs w:val="0"/>
          <w:color w:val="auto"/>
          <w:sz w:val="24"/>
          <w:highlight w:val="none"/>
          <w:lang w:eastAsia="zh-CN"/>
        </w:rPr>
        <w:t>二、申请人的资格要求</w:t>
      </w:r>
      <w:r>
        <w:rPr>
          <w:rFonts w:hint="eastAsia" w:ascii="仿宋" w:hAnsi="仿宋" w:eastAsia="仿宋" w:cs="仿宋"/>
          <w:b/>
          <w:bCs w:val="0"/>
          <w:color w:val="auto"/>
          <w:sz w:val="24"/>
          <w:highlight w:val="none"/>
          <w:lang w:val="en-US" w:eastAsia="zh-CN"/>
        </w:rPr>
        <w:t>”。</w:t>
      </w:r>
    </w:p>
    <w:p w14:paraId="562FCCAA">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4.3</w:t>
      </w:r>
      <w:r>
        <w:rPr>
          <w:rFonts w:hint="eastAsia" w:ascii="仿宋" w:hAnsi="仿宋" w:eastAsia="仿宋" w:cs="仿宋"/>
          <w:color w:val="auto"/>
          <w:sz w:val="24"/>
          <w:highlight w:val="none"/>
        </w:rPr>
        <w:t>本项目的特定资格要求：</w:t>
      </w:r>
      <w:r>
        <w:rPr>
          <w:rFonts w:hint="eastAsia" w:ascii="仿宋" w:hAnsi="仿宋" w:eastAsia="仿宋" w:cs="仿宋"/>
          <w:bCs/>
          <w:color w:val="auto"/>
          <w:sz w:val="24"/>
          <w:highlight w:val="none"/>
          <w:lang w:val="en-US" w:eastAsia="zh-CN"/>
        </w:rPr>
        <w:t>详见《竞争性磋商公告》</w:t>
      </w:r>
      <w:r>
        <w:rPr>
          <w:rFonts w:hint="eastAsia" w:ascii="仿宋" w:hAnsi="仿宋" w:eastAsia="仿宋" w:cs="仿宋"/>
          <w:b/>
          <w:bCs w:val="0"/>
          <w:color w:val="auto"/>
          <w:sz w:val="24"/>
          <w:highlight w:val="none"/>
          <w:lang w:val="en-US" w:eastAsia="zh-CN"/>
        </w:rPr>
        <w:t>“</w:t>
      </w:r>
      <w:r>
        <w:rPr>
          <w:rFonts w:hint="eastAsia" w:ascii="仿宋" w:hAnsi="仿宋" w:eastAsia="仿宋" w:cs="仿宋"/>
          <w:b/>
          <w:bCs w:val="0"/>
          <w:color w:val="auto"/>
          <w:sz w:val="24"/>
          <w:highlight w:val="none"/>
          <w:lang w:eastAsia="zh-CN"/>
        </w:rPr>
        <w:t>二、申请人的资格要求</w:t>
      </w:r>
      <w:r>
        <w:rPr>
          <w:rFonts w:hint="eastAsia" w:ascii="仿宋" w:hAnsi="仿宋" w:eastAsia="仿宋" w:cs="仿宋"/>
          <w:b/>
          <w:bCs w:val="0"/>
          <w:color w:val="auto"/>
          <w:sz w:val="24"/>
          <w:highlight w:val="none"/>
          <w:lang w:val="en-US" w:eastAsia="zh-CN"/>
        </w:rPr>
        <w:t>”。</w:t>
      </w:r>
    </w:p>
    <w:p w14:paraId="70E8CA78">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4.4</w:t>
      </w:r>
      <w:r>
        <w:rPr>
          <w:rFonts w:hint="eastAsia" w:ascii="仿宋" w:hAnsi="仿宋" w:eastAsia="仿宋" w:cs="仿宋"/>
          <w:color w:val="auto"/>
          <w:sz w:val="24"/>
          <w:highlight w:val="none"/>
          <w:lang w:val="en-US" w:eastAsia="zh-CN"/>
        </w:rPr>
        <w:t>联合体要求：</w:t>
      </w:r>
      <w:r>
        <w:rPr>
          <w:rFonts w:hint="eastAsia" w:ascii="仿宋" w:hAnsi="仿宋" w:eastAsia="仿宋" w:cs="仿宋"/>
          <w:color w:val="auto"/>
          <w:sz w:val="24"/>
          <w:highlight w:val="none"/>
        </w:rPr>
        <w:t>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2107374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cs="仿宋"/>
          <w:color w:val="auto"/>
          <w:sz w:val="24"/>
          <w:highlight w:val="none"/>
          <w:lang w:val="en-US" w:eastAsia="zh-CN"/>
        </w:rPr>
        <w:t>4.4.1</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须知前附表》</w:t>
      </w:r>
      <w:r>
        <w:rPr>
          <w:rFonts w:hint="eastAsia" w:ascii="仿宋" w:hAnsi="仿宋" w:eastAsia="仿宋" w:cs="仿宋"/>
          <w:color w:val="auto"/>
          <w:sz w:val="24"/>
          <w:szCs w:val="24"/>
          <w:highlight w:val="none"/>
        </w:rPr>
        <w:t>规定接受联合体</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的，联合体各方还应遵守以下规定：</w:t>
      </w:r>
    </w:p>
    <w:p w14:paraId="4018C84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）两个以上的自然人、法人或者其他组织可以组成一个联合体，以一个</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的身份共同参加投标。</w:t>
      </w:r>
    </w:p>
    <w:p w14:paraId="2D410DC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）参加联合体的供应商均应当具备</w:t>
      </w:r>
      <w:r>
        <w:rPr>
          <w:rFonts w:hint="eastAsia" w:ascii="仿宋" w:hAnsi="仿宋" w:eastAsia="仿宋" w:cs="仿宋"/>
          <w:color w:val="auto"/>
          <w:sz w:val="24"/>
          <w:szCs w:val="24"/>
          <w:highlight w:val="none"/>
          <w:lang w:val="en-US" w:eastAsia="zh-CN"/>
        </w:rPr>
        <w:t>上述“4.1”“4.2”“4.3”</w:t>
      </w:r>
      <w:r>
        <w:rPr>
          <w:rFonts w:hint="eastAsia" w:ascii="仿宋" w:hAnsi="仿宋" w:eastAsia="仿宋" w:cs="仿宋"/>
          <w:color w:val="auto"/>
          <w:sz w:val="24"/>
          <w:szCs w:val="24"/>
          <w:highlight w:val="none"/>
          <w:lang w:eastAsia="zh-CN"/>
        </w:rPr>
        <w:t>规定的条件，并应当向采购人提交联合协议，载明联合体各方承担的工作和义务。</w:t>
      </w:r>
      <w:r>
        <w:rPr>
          <w:rFonts w:hint="eastAsia" w:ascii="仿宋" w:hAnsi="仿宋" w:eastAsia="仿宋" w:cs="仿宋"/>
          <w:color w:val="auto"/>
          <w:sz w:val="24"/>
          <w:szCs w:val="24"/>
          <w:highlight w:val="none"/>
          <w:lang w:val="en-US" w:eastAsia="zh-CN"/>
        </w:rPr>
        <w:t>成交后，</w:t>
      </w:r>
      <w:r>
        <w:rPr>
          <w:rFonts w:hint="eastAsia" w:ascii="仿宋" w:hAnsi="仿宋" w:eastAsia="仿宋" w:cs="仿宋"/>
          <w:color w:val="auto"/>
          <w:sz w:val="24"/>
          <w:szCs w:val="24"/>
          <w:highlight w:val="none"/>
          <w:lang w:eastAsia="zh-CN"/>
        </w:rPr>
        <w:t>联合体各方应当共同与采购人签订采购合同，就采购合同约定的事项对采购人承担连带责任。</w:t>
      </w:r>
    </w:p>
    <w:p w14:paraId="2C4A12D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合体中有同类资质的供应商按照联合体分工承担相同工作的，按照资质等级较低的供应商确定资质等级。以联合体形式参加政府采购活动的，联合体各方不得再单独参加或者与其他供应商另外组成联合体参加同一合同项下的政府采购活动。</w:t>
      </w:r>
    </w:p>
    <w:p w14:paraId="31ABA1E5">
      <w:pPr>
        <w:pageBreakBefore w:val="0"/>
        <w:wordWrap/>
        <w:overflowPunct/>
        <w:topLinePunct w:val="0"/>
        <w:bidi w:val="0"/>
        <w:spacing w:line="360" w:lineRule="auto"/>
        <w:ind w:firstLine="480" w:firstLineChars="200"/>
        <w:jc w:val="left"/>
        <w:rPr>
          <w:rFonts w:hint="eastAsia" w:ascii="仿宋" w:hAnsi="仿宋" w:eastAsia="仿宋" w:cs="仿宋"/>
          <w:color w:val="auto"/>
          <w:highlight w:val="none"/>
        </w:rPr>
      </w:pPr>
      <w:r>
        <w:rPr>
          <w:rFonts w:hint="eastAsia" w:ascii="仿宋" w:hAnsi="仿宋" w:cs="仿宋"/>
          <w:color w:val="auto"/>
          <w:sz w:val="24"/>
          <w:highlight w:val="none"/>
          <w:lang w:val="en-US" w:eastAsia="zh-CN"/>
        </w:rPr>
        <w:t>4.5</w:t>
      </w:r>
      <w:r>
        <w:rPr>
          <w:rFonts w:hint="eastAsia" w:ascii="仿宋" w:hAnsi="仿宋" w:eastAsia="仿宋" w:cs="仿宋"/>
          <w:color w:val="auto"/>
          <w:sz w:val="24"/>
          <w:highlight w:val="none"/>
        </w:rPr>
        <w:t>符合上述条件的供应商应承担磋商及履约中应承担的全部责任与义务且提供的所有资料真实有效，由此产生的一切后果均由供应商承担。</w:t>
      </w:r>
    </w:p>
    <w:p w14:paraId="2FD9F5ED">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61" w:name="_Hlt200176664"/>
      <w:bookmarkEnd w:id="61"/>
      <w:bookmarkStart w:id="62" w:name="_Toc388341197"/>
      <w:bookmarkStart w:id="63" w:name="_Toc329810190"/>
      <w:bookmarkStart w:id="64" w:name="_Toc8382291"/>
      <w:bookmarkStart w:id="65" w:name="_Toc511457514"/>
      <w:bookmarkStart w:id="66" w:name="_Toc3378753"/>
      <w:bookmarkStart w:id="67" w:name="_Toc498086594"/>
      <w:bookmarkStart w:id="68" w:name="_Toc17032"/>
      <w:bookmarkStart w:id="69" w:name="_Toc482912948"/>
      <w:bookmarkStart w:id="70" w:name="_Toc529197724"/>
      <w:bookmarkStart w:id="71" w:name="_Toc10320835"/>
      <w:bookmarkStart w:id="72" w:name="_Toc2291"/>
      <w:r>
        <w:rPr>
          <w:rFonts w:hint="eastAsia" w:ascii="仿宋" w:hAnsi="仿宋" w:cs="仿宋"/>
          <w:color w:val="auto"/>
          <w:highlight w:val="none"/>
          <w:lang w:val="en-US" w:eastAsia="zh-CN"/>
        </w:rPr>
        <w:t>5.</w:t>
      </w:r>
      <w:r>
        <w:rPr>
          <w:rFonts w:hint="eastAsia" w:ascii="仿宋" w:hAnsi="仿宋" w:eastAsia="仿宋" w:cs="仿宋"/>
          <w:color w:val="auto"/>
          <w:highlight w:val="none"/>
        </w:rPr>
        <w:t>磋商费用</w:t>
      </w:r>
      <w:bookmarkEnd w:id="62"/>
      <w:bookmarkEnd w:id="63"/>
      <w:bookmarkEnd w:id="64"/>
      <w:bookmarkEnd w:id="65"/>
      <w:bookmarkEnd w:id="66"/>
      <w:bookmarkEnd w:id="67"/>
      <w:bookmarkEnd w:id="68"/>
      <w:bookmarkEnd w:id="69"/>
      <w:bookmarkEnd w:id="70"/>
      <w:bookmarkEnd w:id="71"/>
      <w:bookmarkEnd w:id="72"/>
    </w:p>
    <w:p w14:paraId="032CB7A3">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5.1</w:t>
      </w:r>
      <w:r>
        <w:rPr>
          <w:rFonts w:hint="eastAsia" w:ascii="仿宋" w:hAnsi="仿宋" w:eastAsia="仿宋" w:cs="仿宋"/>
          <w:color w:val="auto"/>
          <w:sz w:val="24"/>
          <w:highlight w:val="none"/>
        </w:rPr>
        <w:t>无论是否成交，供应商自行承担所有与参加磋商有关的全部费用。</w:t>
      </w:r>
    </w:p>
    <w:p w14:paraId="400890A1">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bookmarkStart w:id="73" w:name="_Toc86124047"/>
      <w:bookmarkStart w:id="74" w:name="_Toc511457515"/>
      <w:bookmarkStart w:id="75" w:name="_Toc18759"/>
      <w:r>
        <w:rPr>
          <w:rFonts w:hint="eastAsia" w:ascii="仿宋" w:hAnsi="仿宋" w:eastAsia="仿宋" w:cs="仿宋"/>
          <w:color w:val="auto"/>
          <w:szCs w:val="28"/>
          <w:highlight w:val="none"/>
        </w:rPr>
        <w:t>二、磋商文件</w:t>
      </w:r>
      <w:bookmarkEnd w:id="73"/>
      <w:bookmarkEnd w:id="74"/>
      <w:bookmarkEnd w:id="75"/>
    </w:p>
    <w:p w14:paraId="2ADDC6EF">
      <w:pPr>
        <w:pStyle w:val="4"/>
        <w:pageBreakBefore w:val="0"/>
        <w:wordWrap/>
        <w:overflowPunct/>
        <w:topLinePunct w:val="0"/>
        <w:bidi w:val="0"/>
        <w:spacing w:before="0" w:after="0" w:line="360" w:lineRule="auto"/>
        <w:ind w:firstLine="482"/>
        <w:jc w:val="left"/>
        <w:rPr>
          <w:rFonts w:hint="eastAsia" w:ascii="仿宋" w:hAnsi="仿宋" w:eastAsia="仿宋" w:cs="仿宋"/>
          <w:color w:val="auto"/>
          <w:highlight w:val="none"/>
        </w:rPr>
      </w:pPr>
      <w:bookmarkStart w:id="76" w:name="_Toc529197726"/>
      <w:bookmarkStart w:id="77" w:name="_Toc8382293"/>
      <w:bookmarkStart w:id="78" w:name="_Toc388341199"/>
      <w:bookmarkStart w:id="79" w:name="_Toc482912950"/>
      <w:bookmarkStart w:id="80" w:name="_Toc329810192"/>
      <w:bookmarkStart w:id="81" w:name="_Toc511457516"/>
      <w:bookmarkStart w:id="82" w:name="_Toc10320837"/>
      <w:bookmarkStart w:id="83" w:name="_Toc498086596"/>
      <w:bookmarkStart w:id="84" w:name="_Toc19844"/>
      <w:bookmarkStart w:id="85" w:name="_Toc3378755"/>
      <w:bookmarkStart w:id="86" w:name="_Toc30471"/>
      <w:r>
        <w:rPr>
          <w:rFonts w:hint="eastAsia" w:ascii="仿宋" w:hAnsi="仿宋" w:cs="仿宋"/>
          <w:color w:val="auto"/>
          <w:highlight w:val="none"/>
          <w:lang w:val="en-US" w:eastAsia="zh-CN"/>
        </w:rPr>
        <w:t>6.</w:t>
      </w:r>
      <w:r>
        <w:rPr>
          <w:rFonts w:hint="eastAsia" w:ascii="仿宋" w:hAnsi="仿宋" w:eastAsia="仿宋" w:cs="仿宋"/>
          <w:color w:val="auto"/>
          <w:highlight w:val="none"/>
        </w:rPr>
        <w:t>磋商文件的组成</w:t>
      </w:r>
      <w:bookmarkEnd w:id="76"/>
      <w:bookmarkEnd w:id="77"/>
      <w:bookmarkEnd w:id="78"/>
      <w:bookmarkEnd w:id="79"/>
      <w:bookmarkEnd w:id="80"/>
      <w:bookmarkEnd w:id="81"/>
      <w:bookmarkEnd w:id="82"/>
      <w:bookmarkEnd w:id="83"/>
      <w:bookmarkEnd w:id="84"/>
      <w:bookmarkEnd w:id="85"/>
      <w:bookmarkEnd w:id="86"/>
    </w:p>
    <w:p w14:paraId="136F3D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采购人要求提供的服务</w:t>
      </w:r>
      <w:r>
        <w:rPr>
          <w:rFonts w:hint="eastAsia" w:ascii="仿宋" w:hAnsi="仿宋" w:eastAsia="仿宋" w:cs="仿宋"/>
          <w:color w:val="auto"/>
          <w:sz w:val="24"/>
          <w:highlight w:val="none"/>
        </w:rPr>
        <w:t>、采购过程及合同条款在磋商文件中均有说明，磋商文件共六章，各章的内容如下：</w:t>
      </w:r>
    </w:p>
    <w:p w14:paraId="0B242340">
      <w:pPr>
        <w:pageBreakBefore w:val="0"/>
        <w:wordWrap/>
        <w:overflowPunct/>
        <w:topLinePunct w:val="0"/>
        <w:bidi w:val="0"/>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竞争性磋商公告</w:t>
      </w:r>
    </w:p>
    <w:p w14:paraId="3239A47E">
      <w:pPr>
        <w:pageBreakBefore w:val="0"/>
        <w:wordWrap/>
        <w:overflowPunct/>
        <w:topLinePunct w:val="0"/>
        <w:bidi w:val="0"/>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14:paraId="7315B0B1">
      <w:pPr>
        <w:pageBreakBefore w:val="0"/>
        <w:wordWrap/>
        <w:overflowPunct/>
        <w:topLinePunct w:val="0"/>
        <w:bidi w:val="0"/>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合同书样式及主要条款</w:t>
      </w:r>
    </w:p>
    <w:p w14:paraId="647C17FA">
      <w:pPr>
        <w:pageBreakBefore w:val="0"/>
        <w:wordWrap/>
        <w:overflowPunct/>
        <w:topLinePunct w:val="0"/>
        <w:bidi w:val="0"/>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响应文件格式</w:t>
      </w:r>
    </w:p>
    <w:p w14:paraId="284C798F">
      <w:pPr>
        <w:pageBreakBefore w:val="0"/>
        <w:wordWrap/>
        <w:overflowPunct/>
        <w:topLinePunct w:val="0"/>
        <w:bidi w:val="0"/>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w:t>
      </w:r>
    </w:p>
    <w:p w14:paraId="62355DDC">
      <w:pPr>
        <w:pageBreakBefore w:val="0"/>
        <w:wordWrap/>
        <w:overflowPunct/>
        <w:topLinePunct w:val="0"/>
        <w:bidi w:val="0"/>
        <w:spacing w:line="360" w:lineRule="auto"/>
        <w:ind w:left="502"/>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第六章  磋商程序和方法</w:t>
      </w:r>
    </w:p>
    <w:p w14:paraId="1B537284">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87" w:name="_Toc86124049"/>
      <w:bookmarkStart w:id="88" w:name="_Toc17640"/>
      <w:bookmarkStart w:id="89" w:name="_Toc3378756"/>
      <w:bookmarkStart w:id="90" w:name="_Toc10320838"/>
      <w:bookmarkStart w:id="91" w:name="_Toc511457517"/>
      <w:bookmarkStart w:id="92" w:name="_Toc329810193"/>
      <w:bookmarkStart w:id="93" w:name="_Toc529197727"/>
      <w:bookmarkStart w:id="94" w:name="_Toc388341200"/>
      <w:bookmarkStart w:id="95" w:name="_Toc498086597"/>
      <w:bookmarkStart w:id="96" w:name="_Toc482912951"/>
      <w:bookmarkStart w:id="97" w:name="_Toc8382294"/>
      <w:bookmarkStart w:id="98" w:name="_Toc19204"/>
      <w:r>
        <w:rPr>
          <w:rFonts w:hint="eastAsia" w:ascii="仿宋" w:hAnsi="仿宋" w:cs="仿宋"/>
          <w:color w:val="auto"/>
          <w:highlight w:val="none"/>
          <w:lang w:val="en-US" w:eastAsia="zh-CN"/>
        </w:rPr>
        <w:t>7.</w:t>
      </w:r>
      <w:r>
        <w:rPr>
          <w:rFonts w:hint="eastAsia" w:ascii="仿宋" w:hAnsi="仿宋" w:eastAsia="仿宋" w:cs="仿宋"/>
          <w:color w:val="auto"/>
          <w:highlight w:val="none"/>
        </w:rPr>
        <w:t>磋商文件的澄清</w:t>
      </w:r>
      <w:bookmarkEnd w:id="87"/>
      <w:r>
        <w:rPr>
          <w:rFonts w:hint="eastAsia" w:ascii="仿宋" w:hAnsi="仿宋" w:eastAsia="仿宋" w:cs="仿宋"/>
          <w:color w:val="auto"/>
          <w:highlight w:val="none"/>
        </w:rPr>
        <w:t>、修改</w:t>
      </w:r>
      <w:bookmarkEnd w:id="88"/>
      <w:bookmarkEnd w:id="89"/>
      <w:bookmarkEnd w:id="90"/>
      <w:bookmarkEnd w:id="91"/>
      <w:bookmarkEnd w:id="92"/>
      <w:bookmarkEnd w:id="93"/>
      <w:bookmarkEnd w:id="94"/>
      <w:bookmarkEnd w:id="95"/>
      <w:bookmarkEnd w:id="96"/>
      <w:bookmarkEnd w:id="97"/>
      <w:bookmarkEnd w:id="98"/>
    </w:p>
    <w:p w14:paraId="354161E6">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cs="仿宋"/>
          <w:color w:val="auto"/>
          <w:sz w:val="24"/>
          <w:highlight w:val="none"/>
          <w:lang w:val="en-US" w:eastAsia="zh-CN"/>
        </w:rPr>
        <w:t>7.1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供应商应认真阅读竞争性磋商文件，如有疑问的，供应商可以向采购人或采购代理机构提出询问，采购人或者采购代理机构在接到询问后</w:t>
      </w:r>
      <w:r>
        <w:rPr>
          <w:rFonts w:hint="eastAsia" w:ascii="仿宋" w:hAnsi="仿宋" w:eastAsia="仿宋" w:cs="仿宋"/>
          <w:color w:val="auto"/>
          <w:sz w:val="24"/>
          <w:highlight w:val="none"/>
          <w:lang w:val="en-US" w:eastAsia="zh-CN"/>
        </w:rPr>
        <w:t>会依法</w:t>
      </w:r>
      <w:r>
        <w:rPr>
          <w:rFonts w:hint="eastAsia" w:ascii="仿宋" w:hAnsi="仿宋" w:eastAsia="仿宋" w:cs="仿宋"/>
          <w:color w:val="auto"/>
          <w:sz w:val="24"/>
          <w:highlight w:val="none"/>
        </w:rPr>
        <w:t>对供应商依法提出的询问作出答复，但答复的内容不涉及商业秘密</w:t>
      </w:r>
      <w:r>
        <w:rPr>
          <w:rFonts w:hint="eastAsia" w:ascii="仿宋" w:hAnsi="仿宋" w:eastAsia="仿宋" w:cs="仿宋"/>
          <w:color w:val="auto"/>
          <w:sz w:val="24"/>
          <w:highlight w:val="none"/>
          <w:lang w:eastAsia="zh-CN"/>
        </w:rPr>
        <w:t>。</w:t>
      </w:r>
    </w:p>
    <w:p w14:paraId="00AA4F13">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7.2</w:t>
      </w:r>
      <w:r>
        <w:rPr>
          <w:rFonts w:hint="eastAsia" w:ascii="仿宋" w:hAnsi="仿宋" w:eastAsia="仿宋" w:cs="仿宋"/>
          <w:color w:val="auto"/>
          <w:sz w:val="24"/>
          <w:highlight w:val="none"/>
          <w:lang w:val="en-US" w:eastAsia="zh-CN"/>
        </w:rPr>
        <w:t>竞争性磋商文件询问联系方式：详见</w:t>
      </w:r>
      <w:r>
        <w:rPr>
          <w:rFonts w:hint="eastAsia" w:ascii="仿宋" w:hAnsi="仿宋" w:eastAsia="仿宋" w:cs="仿宋"/>
          <w:color w:val="auto"/>
          <w:sz w:val="24"/>
          <w:highlight w:val="none"/>
        </w:rPr>
        <w:t>“</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w:t>
      </w:r>
    </w:p>
    <w:p w14:paraId="496C79A9">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7.3</w:t>
      </w:r>
      <w:r>
        <w:rPr>
          <w:rFonts w:hint="eastAsia" w:ascii="仿宋" w:hAnsi="仿宋" w:eastAsia="仿宋" w:cs="仿宋"/>
          <w:color w:val="auto"/>
          <w:sz w:val="24"/>
          <w:highlight w:val="none"/>
        </w:rPr>
        <w:t>采购人、采购代理机构对已发出的磋商文件进行必要的澄清或者修改的，澄清或者修改的内容作为磋商文件的组成部分。</w:t>
      </w:r>
    </w:p>
    <w:p w14:paraId="2935AA4F">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7.4</w:t>
      </w:r>
      <w:r>
        <w:rPr>
          <w:rFonts w:hint="eastAsia" w:ascii="仿宋" w:hAnsi="仿宋" w:eastAsia="仿宋" w:cs="仿宋"/>
          <w:color w:val="auto"/>
          <w:sz w:val="24"/>
          <w:highlight w:val="none"/>
        </w:rPr>
        <w:t>澄清或者修改的内容可能影响响应文件编制的，采购人、采购代理机构将在提交首次响应文件截止之日5个工作日前，以书面形式通知所有接收磋商文件的供应商，不足5个工作日的，将顺延提交首次响应文件截止之日</w:t>
      </w:r>
      <w:r>
        <w:rPr>
          <w:rFonts w:hint="eastAsia" w:ascii="仿宋" w:hAnsi="仿宋" w:eastAsia="仿宋" w:cs="仿宋"/>
          <w:color w:val="auto"/>
          <w:sz w:val="24"/>
          <w:highlight w:val="none"/>
          <w:lang w:eastAsia="zh-CN"/>
        </w:rPr>
        <w:t>，</w:t>
      </w:r>
      <w:r>
        <w:rPr>
          <w:rFonts w:hint="eastAsia" w:ascii="仿宋" w:hAnsi="仿宋" w:eastAsia="仿宋" w:cs="仿宋"/>
          <w:b w:val="0"/>
          <w:bCs w:val="0"/>
          <w:color w:val="auto"/>
          <w:sz w:val="24"/>
          <w:szCs w:val="24"/>
          <w:highlight w:val="none"/>
          <w:lang w:val="en-US" w:eastAsia="zh-CN"/>
        </w:rPr>
        <w:t>并同时在</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b w:val="0"/>
          <w:bCs w:val="0"/>
          <w:color w:val="auto"/>
          <w:sz w:val="24"/>
          <w:highlight w:val="none"/>
          <w:lang w:val="en-US" w:eastAsia="zh-CN"/>
        </w:rPr>
        <w:t>及云南省政府采购网（http:www.yngp.com）发布澄清公告</w:t>
      </w:r>
      <w:r>
        <w:rPr>
          <w:rFonts w:hint="eastAsia" w:ascii="仿宋" w:hAnsi="仿宋" w:eastAsia="仿宋" w:cs="仿宋"/>
          <w:color w:val="auto"/>
          <w:sz w:val="24"/>
          <w:highlight w:val="none"/>
        </w:rPr>
        <w:t>。</w:t>
      </w:r>
    </w:p>
    <w:p w14:paraId="163C6142">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7.5</w:t>
      </w:r>
      <w:r>
        <w:rPr>
          <w:rFonts w:hint="eastAsia" w:ascii="仿宋" w:hAnsi="仿宋" w:eastAsia="仿宋" w:cs="仿宋"/>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64D2162A">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7.5.1</w:t>
      </w:r>
      <w:r>
        <w:rPr>
          <w:rFonts w:hint="eastAsia" w:ascii="仿宋" w:hAnsi="仿宋" w:eastAsia="仿宋" w:cs="仿宋"/>
          <w:color w:val="auto"/>
          <w:sz w:val="24"/>
          <w:highlight w:val="none"/>
        </w:rPr>
        <w:t>对磋商文件作出的实质性变动是磋商文件的有效组成部分，磋商小组应当及时以书面形式同时通知所有参加磋商的供应商。</w:t>
      </w:r>
    </w:p>
    <w:p w14:paraId="4810B9F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7.5.2</w:t>
      </w:r>
      <w:r>
        <w:rPr>
          <w:rFonts w:hint="eastAsia" w:ascii="仿宋" w:hAnsi="仿宋" w:eastAsia="仿宋" w:cs="仿宋"/>
          <w:color w:val="auto"/>
          <w:sz w:val="24"/>
          <w:highlight w:val="none"/>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77C807">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bookmarkStart w:id="99" w:name="_Toc511457518"/>
      <w:bookmarkStart w:id="100" w:name="_Toc86124051"/>
      <w:bookmarkStart w:id="101" w:name="_Toc31492"/>
      <w:r>
        <w:rPr>
          <w:rFonts w:hint="eastAsia" w:ascii="仿宋" w:hAnsi="仿宋" w:eastAsia="仿宋" w:cs="仿宋"/>
          <w:color w:val="auto"/>
          <w:szCs w:val="28"/>
          <w:highlight w:val="none"/>
        </w:rPr>
        <w:t>三、响应文件</w:t>
      </w:r>
      <w:bookmarkEnd w:id="99"/>
      <w:bookmarkEnd w:id="100"/>
      <w:bookmarkEnd w:id="101"/>
    </w:p>
    <w:p w14:paraId="3B10F487">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02" w:name="_Toc511457519"/>
      <w:bookmarkStart w:id="103" w:name="_Toc498086599"/>
      <w:bookmarkStart w:id="104" w:name="_Toc329810195"/>
      <w:bookmarkStart w:id="105" w:name="_Toc3378758"/>
      <w:bookmarkStart w:id="106" w:name="_Toc482912953"/>
      <w:bookmarkStart w:id="107" w:name="_Toc86124052"/>
      <w:bookmarkStart w:id="108" w:name="_Toc388341202"/>
      <w:bookmarkStart w:id="109" w:name="_Toc529197729"/>
      <w:bookmarkStart w:id="110" w:name="_Toc8382296"/>
      <w:bookmarkStart w:id="111" w:name="_Toc31861"/>
      <w:bookmarkStart w:id="112" w:name="_Toc10320840"/>
      <w:bookmarkStart w:id="113" w:name="_Toc23561"/>
      <w:r>
        <w:rPr>
          <w:rFonts w:hint="eastAsia" w:ascii="仿宋" w:hAnsi="仿宋" w:cs="仿宋"/>
          <w:color w:val="auto"/>
          <w:highlight w:val="none"/>
          <w:lang w:val="en-US" w:eastAsia="zh-CN"/>
        </w:rPr>
        <w:t>8.</w:t>
      </w:r>
      <w:r>
        <w:rPr>
          <w:rFonts w:hint="eastAsia" w:ascii="仿宋" w:hAnsi="仿宋" w:eastAsia="仿宋" w:cs="仿宋"/>
          <w:color w:val="auto"/>
          <w:highlight w:val="none"/>
        </w:rPr>
        <w:t>响应文件编写注意事项</w:t>
      </w:r>
      <w:bookmarkEnd w:id="102"/>
      <w:bookmarkEnd w:id="103"/>
      <w:bookmarkEnd w:id="104"/>
      <w:bookmarkEnd w:id="105"/>
      <w:bookmarkEnd w:id="106"/>
      <w:bookmarkEnd w:id="107"/>
      <w:bookmarkEnd w:id="108"/>
      <w:bookmarkEnd w:id="109"/>
      <w:bookmarkEnd w:id="110"/>
      <w:bookmarkEnd w:id="111"/>
      <w:bookmarkEnd w:id="112"/>
      <w:bookmarkEnd w:id="113"/>
    </w:p>
    <w:p w14:paraId="3FEF1683">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8.1</w:t>
      </w:r>
      <w:r>
        <w:rPr>
          <w:rFonts w:hint="eastAsia" w:ascii="仿宋" w:hAnsi="仿宋" w:eastAsia="仿宋" w:cs="仿宋"/>
          <w:color w:val="auto"/>
          <w:sz w:val="24"/>
          <w:highlight w:val="none"/>
        </w:rPr>
        <w:t xml:space="preserve"> 供应商应仔细阅读磋商文件，在完全了解采购的内容、技术性能要求（见“第五章采购需求”）和商务条件后，编写响应文件。</w:t>
      </w:r>
    </w:p>
    <w:p w14:paraId="26C13AB5">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8.2</w:t>
      </w:r>
      <w:r>
        <w:rPr>
          <w:rFonts w:hint="eastAsia" w:ascii="仿宋" w:hAnsi="仿宋" w:eastAsia="仿宋" w:cs="仿宋"/>
          <w:color w:val="auto"/>
          <w:sz w:val="24"/>
          <w:highlight w:val="none"/>
        </w:rPr>
        <w:t>对磋商文件提出的实质性要求和条件作出响应是指供应商必须对磋商文件中规定的成交实质性要求和条件作出满足或者优于原要求和条件的承诺</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提供相应的证明材料。</w:t>
      </w:r>
      <w:r>
        <w:rPr>
          <w:rFonts w:hint="eastAsia" w:ascii="仿宋" w:hAnsi="仿宋" w:eastAsia="仿宋" w:cs="仿宋"/>
          <w:color w:val="auto"/>
          <w:sz w:val="24"/>
          <w:highlight w:val="none"/>
          <w:lang w:val="en-US" w:eastAsia="zh-CN"/>
        </w:rPr>
        <w:t>文件成交</w:t>
      </w:r>
      <w:r>
        <w:rPr>
          <w:rFonts w:hint="eastAsia" w:ascii="仿宋" w:hAnsi="仿宋" w:eastAsia="仿宋" w:cs="仿宋"/>
          <w:b/>
          <w:bCs/>
          <w:color w:val="auto"/>
          <w:sz w:val="24"/>
          <w:szCs w:val="24"/>
          <w:highlight w:val="none"/>
          <w:lang w:val="en-US" w:eastAsia="zh-CN"/>
        </w:rPr>
        <w:t>注“●”的条款为</w:t>
      </w:r>
      <w:r>
        <w:rPr>
          <w:rFonts w:hint="eastAsia" w:ascii="仿宋" w:hAnsi="仿宋" w:eastAsia="仿宋" w:cs="仿宋"/>
          <w:b/>
          <w:bCs/>
          <w:color w:val="auto"/>
          <w:sz w:val="24"/>
          <w:szCs w:val="24"/>
          <w:highlight w:val="none"/>
        </w:rPr>
        <w:t>实质性要求和条件。</w:t>
      </w:r>
    </w:p>
    <w:p w14:paraId="0B3B0D46">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14" w:name="_Toc388341203"/>
      <w:bookmarkStart w:id="115" w:name="_Toc482912954"/>
      <w:bookmarkStart w:id="116" w:name="_Toc3378759"/>
      <w:bookmarkStart w:id="117" w:name="_Toc8382297"/>
      <w:bookmarkStart w:id="118" w:name="_Toc498086600"/>
      <w:bookmarkStart w:id="119" w:name="_Toc329810196"/>
      <w:bookmarkStart w:id="120" w:name="_Toc511457520"/>
      <w:bookmarkStart w:id="121" w:name="_Toc86124054"/>
      <w:bookmarkStart w:id="122" w:name="_Toc529197730"/>
      <w:bookmarkStart w:id="123" w:name="_Toc10320841"/>
      <w:bookmarkStart w:id="124" w:name="_Toc6228"/>
      <w:bookmarkStart w:id="125" w:name="_Toc18199"/>
      <w:r>
        <w:rPr>
          <w:rFonts w:hint="eastAsia" w:ascii="仿宋" w:hAnsi="仿宋" w:cs="仿宋"/>
          <w:color w:val="auto"/>
          <w:highlight w:val="none"/>
          <w:lang w:val="en-US" w:eastAsia="zh-CN"/>
        </w:rPr>
        <w:t>9.</w:t>
      </w:r>
      <w:r>
        <w:rPr>
          <w:rFonts w:hint="eastAsia" w:ascii="仿宋" w:hAnsi="仿宋" w:eastAsia="仿宋" w:cs="仿宋"/>
          <w:color w:val="auto"/>
          <w:highlight w:val="none"/>
        </w:rPr>
        <w:t>响应文件构成</w:t>
      </w:r>
      <w:bookmarkEnd w:id="114"/>
      <w:bookmarkEnd w:id="115"/>
      <w:bookmarkEnd w:id="116"/>
      <w:bookmarkEnd w:id="117"/>
      <w:bookmarkEnd w:id="118"/>
      <w:bookmarkEnd w:id="119"/>
      <w:bookmarkEnd w:id="120"/>
      <w:bookmarkEnd w:id="121"/>
      <w:bookmarkEnd w:id="122"/>
      <w:bookmarkEnd w:id="123"/>
      <w:bookmarkEnd w:id="124"/>
      <w:bookmarkEnd w:id="125"/>
    </w:p>
    <w:p w14:paraId="765833A0">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9.1</w:t>
      </w:r>
      <w:r>
        <w:rPr>
          <w:rFonts w:hint="eastAsia" w:ascii="仿宋" w:hAnsi="仿宋" w:eastAsia="仿宋" w:cs="仿宋"/>
          <w:color w:val="auto"/>
          <w:sz w:val="24"/>
          <w:highlight w:val="none"/>
        </w:rPr>
        <w:t>供应商编写的响应文件应按第四章“响应文件格式”要求填写。有关文件的提交如未特别注明需提供原件的，可提供复印件</w:t>
      </w:r>
      <w:r>
        <w:rPr>
          <w:rFonts w:hint="eastAsia" w:ascii="仿宋" w:hAnsi="仿宋" w:eastAsia="仿宋" w:cs="仿宋"/>
          <w:color w:val="auto"/>
          <w:sz w:val="24"/>
          <w:highlight w:val="none"/>
          <w:lang w:val="en-US" w:eastAsia="zh-CN"/>
        </w:rPr>
        <w:t>或扫描件</w:t>
      </w:r>
      <w:r>
        <w:rPr>
          <w:rFonts w:hint="eastAsia" w:ascii="仿宋" w:hAnsi="仿宋" w:eastAsia="仿宋" w:cs="仿宋"/>
          <w:color w:val="auto"/>
          <w:sz w:val="24"/>
          <w:highlight w:val="none"/>
        </w:rPr>
        <w:t>。</w:t>
      </w:r>
    </w:p>
    <w:p w14:paraId="1ABDB03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9.2</w:t>
      </w:r>
      <w:r>
        <w:rPr>
          <w:rFonts w:hint="eastAsia" w:ascii="仿宋" w:hAnsi="仿宋" w:eastAsia="仿宋" w:cs="仿宋"/>
          <w:color w:val="auto"/>
          <w:sz w:val="24"/>
          <w:highlight w:val="none"/>
        </w:rPr>
        <w:t>供应商同时参与多个包（若分包时）磋商的，响应文件应按包分别编制。</w:t>
      </w:r>
    </w:p>
    <w:p w14:paraId="02DB5B35">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26" w:name="_Toc86124056"/>
      <w:bookmarkStart w:id="127" w:name="_Toc498086601"/>
      <w:bookmarkStart w:id="128" w:name="_Toc3378760"/>
      <w:bookmarkStart w:id="129" w:name="_Toc511457521"/>
      <w:bookmarkStart w:id="130" w:name="_Toc8382298"/>
      <w:bookmarkStart w:id="131" w:name="_Toc529197731"/>
      <w:bookmarkStart w:id="132" w:name="_Toc388341204"/>
      <w:bookmarkStart w:id="133" w:name="_Toc329810197"/>
      <w:bookmarkStart w:id="134" w:name="_Toc422"/>
      <w:bookmarkStart w:id="135" w:name="_Toc10320842"/>
      <w:bookmarkStart w:id="136" w:name="_Toc482912955"/>
      <w:bookmarkStart w:id="137" w:name="_Toc30728"/>
      <w:r>
        <w:rPr>
          <w:rFonts w:hint="eastAsia" w:ascii="仿宋" w:hAnsi="仿宋" w:cs="仿宋"/>
          <w:color w:val="auto"/>
          <w:highlight w:val="none"/>
          <w:lang w:val="en-US" w:eastAsia="zh-CN"/>
        </w:rPr>
        <w:t>10.</w:t>
      </w:r>
      <w:r>
        <w:rPr>
          <w:rFonts w:hint="eastAsia" w:ascii="仿宋" w:hAnsi="仿宋" w:eastAsia="仿宋" w:cs="仿宋"/>
          <w:color w:val="auto"/>
          <w:highlight w:val="none"/>
        </w:rPr>
        <w:t>报价</w:t>
      </w:r>
      <w:bookmarkEnd w:id="126"/>
      <w:r>
        <w:rPr>
          <w:rFonts w:hint="eastAsia" w:ascii="仿宋" w:hAnsi="仿宋" w:eastAsia="仿宋" w:cs="仿宋"/>
          <w:color w:val="auto"/>
          <w:highlight w:val="none"/>
        </w:rPr>
        <w:t>和报价货币</w:t>
      </w:r>
      <w:bookmarkEnd w:id="127"/>
      <w:bookmarkEnd w:id="128"/>
      <w:bookmarkEnd w:id="129"/>
      <w:bookmarkEnd w:id="130"/>
      <w:bookmarkEnd w:id="131"/>
      <w:bookmarkEnd w:id="132"/>
      <w:bookmarkEnd w:id="133"/>
      <w:bookmarkEnd w:id="134"/>
      <w:bookmarkEnd w:id="135"/>
      <w:bookmarkEnd w:id="136"/>
      <w:bookmarkEnd w:id="137"/>
    </w:p>
    <w:p w14:paraId="1C96FF41">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10.1</w:t>
      </w:r>
      <w:r>
        <w:rPr>
          <w:rFonts w:hint="eastAsia" w:ascii="仿宋" w:hAnsi="仿宋" w:eastAsia="仿宋" w:cs="仿宋"/>
          <w:color w:val="auto"/>
          <w:sz w:val="24"/>
          <w:highlight w:val="none"/>
        </w:rPr>
        <w:t>本项目采购预算</w:t>
      </w:r>
      <w:r>
        <w:rPr>
          <w:rFonts w:hint="eastAsia" w:ascii="仿宋" w:hAnsi="仿宋" w:eastAsia="仿宋" w:cs="仿宋"/>
          <w:color w:val="auto"/>
          <w:sz w:val="24"/>
          <w:highlight w:val="none"/>
          <w:lang w:val="en-US" w:eastAsia="zh-CN"/>
        </w:rPr>
        <w:t>及最高限价（如有）</w:t>
      </w:r>
      <w:r>
        <w:rPr>
          <w:rFonts w:hint="eastAsia" w:ascii="仿宋" w:hAnsi="仿宋" w:eastAsia="仿宋" w:cs="仿宋"/>
          <w:color w:val="auto"/>
          <w:sz w:val="24"/>
          <w:highlight w:val="none"/>
        </w:rPr>
        <w:t>详见“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”，最后报价超过采购预算</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最高限价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的供应商的响应文件将按无效文件处理。</w:t>
      </w:r>
    </w:p>
    <w:p w14:paraId="625F18D9">
      <w:pPr>
        <w:pageBreakBefore w:val="0"/>
        <w:wordWrap/>
        <w:overflowPunct/>
        <w:topLinePunct w:val="0"/>
        <w:bidi w:val="0"/>
        <w:spacing w:line="360" w:lineRule="auto"/>
        <w:ind w:firstLine="480" w:firstLineChars="200"/>
        <w:jc w:val="left"/>
        <w:rPr>
          <w:rFonts w:hint="eastAsia" w:ascii="仿宋" w:hAnsi="仿宋" w:cs="仿宋"/>
          <w:color w:val="auto"/>
          <w:sz w:val="24"/>
          <w:highlight w:val="none"/>
          <w:lang w:val="en-US" w:eastAsia="zh-CN"/>
        </w:rPr>
      </w:pPr>
      <w:r>
        <w:rPr>
          <w:rFonts w:hint="eastAsia" w:ascii="仿宋" w:hAnsi="仿宋" w:cs="仿宋"/>
          <w:color w:val="auto"/>
          <w:sz w:val="24"/>
          <w:highlight w:val="none"/>
          <w:lang w:val="en-US" w:eastAsia="zh-CN"/>
        </w:rPr>
        <w:t>10.2供应商须就“采购需求”中所参与磋商内容作完整唯一报价。</w:t>
      </w:r>
    </w:p>
    <w:p w14:paraId="0F2856CE">
      <w:pPr>
        <w:pStyle w:val="16"/>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10.3</w:t>
      </w:r>
      <w:r>
        <w:rPr>
          <w:rFonts w:hint="eastAsia" w:ascii="仿宋" w:hAnsi="仿宋" w:eastAsia="仿宋" w:cs="仿宋"/>
          <w:color w:val="auto"/>
          <w:sz w:val="24"/>
          <w:highlight w:val="none"/>
        </w:rPr>
        <w:t>供应商应依据磋商文件的要求及有关资料，执行国家或行业现行技术经济标准、定额及规范，自行测算出满足采购要求的竞争性报价。磋商报价为供应商在响应文件中提出的完成本项目采购范围规定的全部内容的全部费用，包括完成该项目的人员、设备、税收、保险、利润、物价、差旅费、文本费、成交服务费等项目实施的一切费用。该报价应符合市场行情并能保证供应商完成履行合同所需的一切工作。合同一旦签订，此价格在合同实施期间将不因市场价格等的变化而调整。</w:t>
      </w:r>
    </w:p>
    <w:p w14:paraId="4704B0C1">
      <w:pPr>
        <w:pageBreakBefore w:val="0"/>
        <w:wordWrap/>
        <w:overflowPunct/>
        <w:topLinePunct w:val="0"/>
        <w:bidi w:val="0"/>
        <w:spacing w:line="360" w:lineRule="auto"/>
        <w:ind w:firstLine="480" w:firstLineChars="200"/>
        <w:jc w:val="left"/>
        <w:rPr>
          <w:rFonts w:hint="eastAsia" w:ascii="仿宋" w:hAnsi="仿宋" w:eastAsia="仿宋" w:cs="仿宋"/>
          <w:b/>
          <w:color w:val="auto"/>
          <w:sz w:val="24"/>
          <w:highlight w:val="none"/>
        </w:rPr>
      </w:pPr>
      <w:r>
        <w:rPr>
          <w:rFonts w:hint="eastAsia" w:ascii="仿宋" w:hAnsi="仿宋" w:cs="仿宋"/>
          <w:color w:val="auto"/>
          <w:sz w:val="24"/>
          <w:highlight w:val="none"/>
          <w:lang w:val="en-US" w:eastAsia="zh-CN"/>
        </w:rPr>
        <w:t>10.4</w:t>
      </w:r>
      <w:r>
        <w:rPr>
          <w:rFonts w:hint="eastAsia" w:ascii="仿宋" w:hAnsi="仿宋" w:eastAsia="仿宋" w:cs="仿宋"/>
          <w:b/>
          <w:color w:val="auto"/>
          <w:sz w:val="24"/>
          <w:highlight w:val="none"/>
        </w:rPr>
        <w:t>通过资格审查和符合性审查的供应商才能进入磋商程序并进行第二轮报价，第二轮报价为最终报价</w:t>
      </w:r>
      <w:r>
        <w:rPr>
          <w:rFonts w:hint="eastAsia" w:ascii="仿宋" w:hAnsi="仿宋" w:eastAsia="仿宋" w:cs="仿宋"/>
          <w:b/>
          <w:color w:val="auto"/>
          <w:sz w:val="24"/>
          <w:highlight w:val="none"/>
          <w:lang w:eastAsia="zh-CN"/>
        </w:rPr>
        <w:t>，最后报价超过采购预算金额（</w:t>
      </w: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lang w:eastAsia="zh-CN"/>
        </w:rPr>
        <w:t>）的供应商将被视为未实质性响应竞争性磋商文件要求，按无效响应处理</w:t>
      </w:r>
      <w:r>
        <w:rPr>
          <w:rFonts w:hint="eastAsia" w:ascii="仿宋" w:hAnsi="仿宋" w:eastAsia="仿宋" w:cs="仿宋"/>
          <w:b/>
          <w:color w:val="auto"/>
          <w:sz w:val="24"/>
          <w:highlight w:val="none"/>
        </w:rPr>
        <w:t>。</w:t>
      </w:r>
    </w:p>
    <w:p w14:paraId="3DE08BCD">
      <w:pPr>
        <w:pageBreakBefore w:val="0"/>
        <w:wordWrap/>
        <w:overflowPunct/>
        <w:topLinePunct w:val="0"/>
        <w:bidi w:val="0"/>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cs="仿宋"/>
          <w:b/>
          <w:color w:val="auto"/>
          <w:sz w:val="24"/>
          <w:highlight w:val="none"/>
          <w:lang w:val="en-US" w:eastAsia="zh-CN"/>
        </w:rPr>
        <w:t>10.5</w:t>
      </w:r>
      <w:r>
        <w:rPr>
          <w:rFonts w:hint="eastAsia" w:ascii="仿宋" w:hAnsi="仿宋" w:eastAsia="仿宋" w:cs="仿宋"/>
          <w:b/>
          <w:color w:val="auto"/>
          <w:sz w:val="24"/>
          <w:highlight w:val="none"/>
        </w:rPr>
        <w:t>最终报价在政采云投标客户端规定的时</w:t>
      </w:r>
      <w:r>
        <w:rPr>
          <w:rFonts w:hint="eastAsia" w:ascii="仿宋" w:hAnsi="仿宋" w:cs="仿宋"/>
          <w:b/>
          <w:color w:val="auto"/>
          <w:sz w:val="24"/>
          <w:highlight w:val="none"/>
          <w:lang w:eastAsia="zh-CN"/>
        </w:rPr>
        <w:t>间内</w:t>
      </w:r>
      <w:r>
        <w:rPr>
          <w:rFonts w:hint="eastAsia" w:ascii="仿宋" w:hAnsi="仿宋" w:eastAsia="仿宋" w:cs="仿宋"/>
          <w:b/>
          <w:color w:val="auto"/>
          <w:sz w:val="24"/>
          <w:highlight w:val="none"/>
        </w:rPr>
        <w:t>提交。</w:t>
      </w:r>
    </w:p>
    <w:p w14:paraId="0B8EBBAB">
      <w:pPr>
        <w:pStyle w:val="16"/>
        <w:pageBreakBefore w:val="0"/>
        <w:tabs>
          <w:tab w:val="left" w:pos="3030"/>
        </w:tabs>
        <w:topLinePunct w:val="0"/>
        <w:bidi w:val="0"/>
        <w:spacing w:line="360" w:lineRule="auto"/>
        <w:ind w:left="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cs="仿宋"/>
          <w:color w:val="auto"/>
          <w:sz w:val="24"/>
          <w:highlight w:val="none"/>
          <w:lang w:val="en-US" w:eastAsia="zh-CN"/>
        </w:rPr>
        <w:t>10.6</w:t>
      </w:r>
      <w:r>
        <w:rPr>
          <w:rFonts w:hint="eastAsia" w:ascii="仿宋" w:hAnsi="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不得哄抬报价，也不应低于成本价报价。评标委员会认为</w:t>
      </w:r>
      <w:r>
        <w:rPr>
          <w:rFonts w:hint="eastAsia" w:ascii="仿宋" w:hAnsi="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的投标报价或者某些分项报价明显不合理或者低于成本，有可能影响商品质量和不能诚信履约的，将要求其在规定的期限内提交相关证明材料予以解释说明；</w:t>
      </w:r>
      <w:r>
        <w:rPr>
          <w:rFonts w:hint="eastAsia" w:ascii="仿宋" w:hAnsi="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不能证明其报价合理性的，评标委员会将认定</w:t>
      </w:r>
      <w:r>
        <w:rPr>
          <w:rFonts w:hint="eastAsia" w:ascii="仿宋" w:hAnsi="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投标文件无效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异常低价投标审查执行《关于推动解决政府采购异常低价问题的通知》（财库〔2026〕2号）。</w:t>
      </w:r>
    </w:p>
    <w:p w14:paraId="69BBFF52">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b/>
          <w:bCs/>
          <w:i w:val="0"/>
          <w:iCs w:val="0"/>
          <w:caps w:val="0"/>
          <w:color w:val="auto"/>
          <w:spacing w:val="0"/>
          <w:sz w:val="24"/>
          <w:szCs w:val="24"/>
          <w:highlight w:val="none"/>
          <w:shd w:val="clear" w:color="auto" w:fill="auto"/>
        </w:rPr>
      </w:pPr>
      <w:r>
        <w:rPr>
          <w:rFonts w:hint="eastAsia" w:ascii="仿宋" w:hAnsi="仿宋" w:eastAsia="仿宋" w:cs="仿宋"/>
          <w:b/>
          <w:bCs/>
          <w:color w:val="auto"/>
          <w:sz w:val="24"/>
          <w:szCs w:val="24"/>
          <w:highlight w:val="none"/>
          <w:shd w:val="clear" w:color="auto" w:fill="auto"/>
          <w:lang w:val="en-US" w:eastAsia="zh-CN"/>
        </w:rPr>
        <w:t>（一）</w:t>
      </w:r>
      <w:r>
        <w:rPr>
          <w:rFonts w:hint="eastAsia" w:ascii="仿宋" w:hAnsi="仿宋" w:eastAsia="仿宋" w:cs="仿宋"/>
          <w:b/>
          <w:bCs/>
          <w:i w:val="0"/>
          <w:iCs w:val="0"/>
          <w:caps w:val="0"/>
          <w:color w:val="auto"/>
          <w:spacing w:val="0"/>
          <w:sz w:val="24"/>
          <w:szCs w:val="24"/>
          <w:highlight w:val="none"/>
          <w:shd w:val="clear" w:color="auto" w:fill="auto"/>
        </w:rPr>
        <w:t xml:space="preserve">政府采购评审中出现下列情形之一的，评审委员会应当启动异常低价投标（响应）审查程序： </w:t>
      </w:r>
    </w:p>
    <w:p w14:paraId="7286F593">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b/>
          <w:bCs/>
          <w:color w:val="auto"/>
          <w:sz w:val="24"/>
          <w:szCs w:val="24"/>
          <w:highlight w:val="none"/>
          <w:shd w:val="clear" w:color="auto" w:fill="auto"/>
          <w:lang w:val="en-US" w:eastAsia="zh-CN"/>
        </w:rPr>
      </w:pPr>
      <w:r>
        <w:rPr>
          <w:rFonts w:hint="eastAsia" w:ascii="仿宋" w:hAnsi="仿宋" w:eastAsia="仿宋" w:cs="仿宋"/>
          <w:b/>
          <w:bCs/>
          <w:color w:val="auto"/>
          <w:sz w:val="24"/>
          <w:szCs w:val="24"/>
          <w:highlight w:val="none"/>
          <w:shd w:val="clear" w:color="auto" w:fill="auto"/>
          <w:lang w:val="en-US" w:eastAsia="zh-CN"/>
        </w:rPr>
        <w:t xml:space="preserve">1.投标（响应）报价低于全部通过符合性审查供应商投标（响应）报价平均值50%的，即投标（响应）报价〈全部通过符合性审查供应商投标（响应）报价平均值×50%； </w:t>
      </w:r>
    </w:p>
    <w:p w14:paraId="05B99512">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b/>
          <w:bCs/>
          <w:color w:val="auto"/>
          <w:sz w:val="24"/>
          <w:szCs w:val="24"/>
          <w:highlight w:val="none"/>
          <w:shd w:val="clear" w:color="auto" w:fill="auto"/>
          <w:lang w:val="en-US" w:eastAsia="zh-CN"/>
        </w:rPr>
      </w:pPr>
      <w:r>
        <w:rPr>
          <w:rFonts w:hint="eastAsia" w:ascii="仿宋" w:hAnsi="仿宋" w:eastAsia="仿宋" w:cs="仿宋"/>
          <w:b/>
          <w:bCs/>
          <w:color w:val="auto"/>
          <w:sz w:val="24"/>
          <w:szCs w:val="24"/>
          <w:highlight w:val="none"/>
          <w:shd w:val="clear" w:color="auto" w:fill="auto"/>
          <w:lang w:val="en-US" w:eastAsia="zh-CN"/>
        </w:rPr>
        <w:t xml:space="preserve">2.投标（响应）报价低于通过符合性审查的次低报价供应商投标（响应）报价50%的，即投标（响应）报价〈通过符合性审查的次低报价供应商投标（响应）报价×50%； </w:t>
      </w:r>
    </w:p>
    <w:p w14:paraId="7D02E51A">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b/>
          <w:bCs/>
          <w:color w:val="auto"/>
          <w:sz w:val="24"/>
          <w:szCs w:val="24"/>
          <w:highlight w:val="none"/>
          <w:shd w:val="clear" w:color="auto" w:fill="auto"/>
          <w:lang w:val="en-US" w:eastAsia="zh-CN"/>
        </w:rPr>
      </w:pPr>
      <w:r>
        <w:rPr>
          <w:rFonts w:hint="eastAsia" w:ascii="仿宋" w:hAnsi="仿宋" w:eastAsia="仿宋" w:cs="仿宋"/>
          <w:b/>
          <w:bCs/>
          <w:color w:val="auto"/>
          <w:sz w:val="24"/>
          <w:szCs w:val="24"/>
          <w:highlight w:val="none"/>
          <w:shd w:val="clear" w:color="auto" w:fill="auto"/>
          <w:lang w:val="en-US" w:eastAsia="zh-CN"/>
        </w:rPr>
        <w:t xml:space="preserve">3.投标（响应）报价低于采购项目最高限价45%的，即投标（响应）报价〈采购项目最高限价×45%； </w:t>
      </w:r>
    </w:p>
    <w:p w14:paraId="628E33DA">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b/>
          <w:bCs/>
          <w:color w:val="auto"/>
          <w:sz w:val="24"/>
          <w:szCs w:val="24"/>
          <w:highlight w:val="none"/>
          <w:shd w:val="clear" w:color="auto" w:fill="auto"/>
          <w:lang w:val="en-US" w:eastAsia="zh-CN"/>
        </w:rPr>
      </w:pPr>
      <w:r>
        <w:rPr>
          <w:rFonts w:hint="eastAsia" w:ascii="仿宋" w:hAnsi="仿宋" w:eastAsia="仿宋" w:cs="仿宋"/>
          <w:b/>
          <w:bCs/>
          <w:color w:val="auto"/>
          <w:sz w:val="24"/>
          <w:szCs w:val="24"/>
          <w:highlight w:val="none"/>
          <w:shd w:val="clear" w:color="auto" w:fill="auto"/>
          <w:lang w:val="en-US" w:eastAsia="zh-CN"/>
        </w:rPr>
        <w:t xml:space="preserve">4.评审委员会基于专业判断，认为供应商报价过低，有可能影响产品质量或者不能诚信履约的其他情形。 招标人可以结合具体项目实际情况，提高上述第1项至第3项中启动异常低价投标（响应）审查的数值标准，但是最高不得超过65%。 </w:t>
      </w:r>
    </w:p>
    <w:p w14:paraId="228D134E">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b/>
          <w:bCs/>
          <w:color w:val="auto"/>
          <w:sz w:val="24"/>
          <w:szCs w:val="24"/>
          <w:highlight w:val="none"/>
          <w:shd w:val="clear" w:color="auto" w:fill="auto"/>
          <w:lang w:val="en-US" w:eastAsia="zh-CN"/>
        </w:rPr>
      </w:pPr>
      <w:r>
        <w:rPr>
          <w:rFonts w:hint="eastAsia" w:ascii="仿宋" w:hAnsi="仿宋" w:eastAsia="仿宋" w:cs="仿宋"/>
          <w:b/>
          <w:bCs/>
          <w:color w:val="auto"/>
          <w:sz w:val="24"/>
          <w:szCs w:val="24"/>
          <w:highlight w:val="none"/>
          <w:shd w:val="clear" w:color="auto" w:fill="auto"/>
          <w:lang w:val="en-US" w:eastAsia="zh-CN"/>
        </w:rPr>
        <w:t xml:space="preserve">相关法律法规对供应商报价有规定的，从其规定。 </w:t>
      </w:r>
    </w:p>
    <w:p w14:paraId="6F233CFF">
      <w:pPr>
        <w:pStyle w:val="16"/>
        <w:pageBreakBefore w:val="0"/>
        <w:tabs>
          <w:tab w:val="left" w:pos="3030"/>
        </w:tabs>
        <w:topLinePunct w:val="0"/>
        <w:bidi w:val="0"/>
        <w:spacing w:line="360" w:lineRule="auto"/>
        <w:ind w:left="0" w:leftChars="0"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shd w:val="clear" w:color="auto" w:fill="auto"/>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招标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p>
    <w:p w14:paraId="4EE0F792">
      <w:pPr>
        <w:pageBreakBefore w:val="0"/>
        <w:wordWrap/>
        <w:overflowPunct/>
        <w:topLinePunct w:val="0"/>
        <w:bidi w:val="0"/>
        <w:adjustRightInd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10.7</w:t>
      </w:r>
      <w:r>
        <w:rPr>
          <w:rFonts w:hint="eastAsia" w:ascii="仿宋" w:hAnsi="仿宋" w:eastAsia="仿宋" w:cs="仿宋"/>
          <w:color w:val="auto"/>
          <w:sz w:val="24"/>
          <w:highlight w:val="none"/>
        </w:rPr>
        <w:t>报价货币为人民币。</w:t>
      </w:r>
    </w:p>
    <w:p w14:paraId="1FB970D1">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38" w:name="_Toc511457522"/>
      <w:bookmarkStart w:id="139" w:name="_Toc498086602"/>
      <w:bookmarkStart w:id="140" w:name="_Toc482912956"/>
      <w:bookmarkStart w:id="141" w:name="_Toc3378761"/>
      <w:bookmarkStart w:id="142" w:name="_Toc86124058"/>
      <w:bookmarkStart w:id="143" w:name="_Toc8382299"/>
      <w:bookmarkStart w:id="144" w:name="_Toc529197732"/>
      <w:bookmarkStart w:id="145" w:name="_Toc329810198"/>
      <w:bookmarkStart w:id="146" w:name="_Toc10320843"/>
      <w:bookmarkStart w:id="147" w:name="_Toc26193"/>
      <w:bookmarkStart w:id="148" w:name="_Toc388341205"/>
      <w:bookmarkStart w:id="149" w:name="_Toc31125"/>
      <w:r>
        <w:rPr>
          <w:rFonts w:hint="eastAsia" w:ascii="仿宋" w:hAnsi="仿宋" w:cs="仿宋"/>
          <w:color w:val="auto"/>
          <w:highlight w:val="none"/>
          <w:lang w:val="en-US" w:eastAsia="zh-CN"/>
        </w:rPr>
        <w:t>11.</w:t>
      </w:r>
      <w:r>
        <w:rPr>
          <w:rFonts w:hint="eastAsia" w:ascii="仿宋" w:hAnsi="仿宋" w:eastAsia="仿宋" w:cs="仿宋"/>
          <w:color w:val="auto"/>
          <w:highlight w:val="none"/>
        </w:rPr>
        <w:t>有效期</w:t>
      </w:r>
      <w:bookmarkEnd w:id="138"/>
      <w:bookmarkEnd w:id="139"/>
      <w:bookmarkEnd w:id="140"/>
      <w:bookmarkEnd w:id="141"/>
      <w:bookmarkEnd w:id="142"/>
      <w:bookmarkEnd w:id="143"/>
      <w:bookmarkEnd w:id="144"/>
      <w:bookmarkEnd w:id="145"/>
      <w:bookmarkEnd w:id="146"/>
      <w:bookmarkEnd w:id="147"/>
      <w:bookmarkEnd w:id="148"/>
      <w:bookmarkEnd w:id="149"/>
    </w:p>
    <w:p w14:paraId="1B768B58">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11.1</w:t>
      </w:r>
      <w:r>
        <w:rPr>
          <w:rFonts w:hint="eastAsia" w:ascii="仿宋" w:hAnsi="仿宋" w:eastAsia="仿宋" w:cs="仿宋"/>
          <w:color w:val="auto"/>
          <w:sz w:val="24"/>
          <w:highlight w:val="none"/>
        </w:rPr>
        <w:t>在“</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”规定的有效期内，供应商不得要求撤销或修改其响应文件。</w:t>
      </w:r>
    </w:p>
    <w:p w14:paraId="556411E3">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11.2</w:t>
      </w:r>
      <w:r>
        <w:rPr>
          <w:rFonts w:hint="eastAsia" w:ascii="仿宋" w:hAnsi="仿宋" w:eastAsia="仿宋" w:cs="仿宋"/>
          <w:color w:val="auto"/>
          <w:sz w:val="24"/>
          <w:highlight w:val="none"/>
        </w:rPr>
        <w:t>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202E562C">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50" w:name="_Toc329810199"/>
      <w:bookmarkStart w:id="151" w:name="_Toc86124059"/>
      <w:bookmarkStart w:id="152" w:name="_Toc388341206"/>
      <w:bookmarkStart w:id="153" w:name="_Toc3378762"/>
      <w:bookmarkStart w:id="154" w:name="_Toc498086603"/>
      <w:bookmarkStart w:id="155" w:name="_Toc10320844"/>
      <w:bookmarkStart w:id="156" w:name="_Toc8382300"/>
      <w:bookmarkStart w:id="157" w:name="_Toc511457523"/>
      <w:bookmarkStart w:id="158" w:name="_Toc482912957"/>
      <w:bookmarkStart w:id="159" w:name="_Toc529197733"/>
      <w:bookmarkStart w:id="160" w:name="_Toc4120"/>
      <w:bookmarkStart w:id="161" w:name="_Toc14272"/>
      <w:r>
        <w:rPr>
          <w:rFonts w:hint="eastAsia" w:ascii="仿宋" w:hAnsi="仿宋" w:cs="仿宋"/>
          <w:color w:val="auto"/>
          <w:highlight w:val="none"/>
          <w:lang w:val="en-US" w:eastAsia="zh-CN"/>
        </w:rPr>
        <w:t>12.</w:t>
      </w:r>
      <w:r>
        <w:rPr>
          <w:rFonts w:hint="eastAsia" w:ascii="仿宋" w:hAnsi="仿宋" w:eastAsia="仿宋" w:cs="仿宋"/>
          <w:color w:val="auto"/>
          <w:highlight w:val="none"/>
        </w:rPr>
        <w:t>响应文件的</w:t>
      </w:r>
      <w:bookmarkEnd w:id="150"/>
      <w:bookmarkEnd w:id="151"/>
      <w:r>
        <w:rPr>
          <w:rFonts w:hint="eastAsia" w:ascii="仿宋" w:hAnsi="仿宋" w:eastAsia="仿宋" w:cs="仿宋"/>
          <w:color w:val="auto"/>
          <w:highlight w:val="none"/>
        </w:rPr>
        <w:t>编制</w:t>
      </w:r>
      <w:bookmarkEnd w:id="152"/>
      <w:bookmarkEnd w:id="153"/>
      <w:bookmarkEnd w:id="154"/>
      <w:bookmarkEnd w:id="155"/>
      <w:bookmarkEnd w:id="156"/>
      <w:bookmarkEnd w:id="157"/>
      <w:bookmarkEnd w:id="158"/>
      <w:bookmarkEnd w:id="159"/>
      <w:bookmarkEnd w:id="160"/>
      <w:bookmarkEnd w:id="161"/>
    </w:p>
    <w:p w14:paraId="4BFC4621">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12.1</w:t>
      </w:r>
      <w:r>
        <w:rPr>
          <w:rFonts w:hint="eastAsia" w:ascii="仿宋" w:hAnsi="仿宋" w:eastAsia="仿宋" w:cs="仿宋"/>
          <w:color w:val="auto"/>
          <w:sz w:val="24"/>
          <w:highlight w:val="none"/>
        </w:rPr>
        <w:t>响应文件全部采用电子文档，供应商应安装客户端软件—“政采云电子交易客户端”，并按照采购文件和政采云电子交易平台的要求编制，编制后应进行电子签名及加密。</w:t>
      </w:r>
    </w:p>
    <w:p w14:paraId="7867F831">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12.2</w:t>
      </w:r>
      <w:r>
        <w:rPr>
          <w:rFonts w:hint="eastAsia" w:ascii="仿宋" w:hAnsi="仿宋" w:eastAsia="仿宋" w:cs="仿宋"/>
          <w:color w:val="auto"/>
          <w:sz w:val="24"/>
          <w:highlight w:val="none"/>
        </w:rPr>
        <w:t>如供应商提交的电子标书采购文件要求或磋商时无法读取导入或解密，其响应文件将不予受理。</w:t>
      </w:r>
    </w:p>
    <w:p w14:paraId="4C24A366">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12.3</w:t>
      </w:r>
      <w:r>
        <w:rPr>
          <w:rFonts w:hint="eastAsia" w:ascii="仿宋" w:hAnsi="仿宋" w:eastAsia="仿宋" w:cs="仿宋"/>
          <w:color w:val="auto"/>
          <w:sz w:val="24"/>
          <w:highlight w:val="none"/>
        </w:rPr>
        <w:t>响应文件应尽量避免涂改、行间插字或删除。如果出现上述情况，改动之处应加盖供应商的公章或供应商法定代表人或委托代理人签字确认。</w:t>
      </w:r>
    </w:p>
    <w:p w14:paraId="53822917">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12.4</w:t>
      </w:r>
      <w:r>
        <w:rPr>
          <w:rFonts w:hint="eastAsia" w:ascii="仿宋" w:hAnsi="仿宋" w:eastAsia="仿宋" w:cs="仿宋"/>
          <w:color w:val="auto"/>
          <w:sz w:val="24"/>
          <w:highlight w:val="none"/>
        </w:rPr>
        <w:t>响应文件应由法定代表人或委托代理人在竞争性磋商文件规定签字处逐一签字或盖章，要求盖章处应加盖公章。</w:t>
      </w:r>
    </w:p>
    <w:p w14:paraId="033090BF">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12.5</w:t>
      </w:r>
      <w:r>
        <w:rPr>
          <w:rFonts w:hint="eastAsia" w:ascii="仿宋" w:hAnsi="仿宋" w:eastAsia="仿宋" w:cs="仿宋"/>
          <w:color w:val="auto"/>
          <w:sz w:val="24"/>
          <w:highlight w:val="none"/>
        </w:rPr>
        <w:t>响应文件和来往函件均应采用中文书写，计量单位使用中国或国际标准单位。</w:t>
      </w:r>
    </w:p>
    <w:p w14:paraId="1AC3155D">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12.6</w:t>
      </w:r>
      <w:r>
        <w:rPr>
          <w:rFonts w:hint="eastAsia" w:ascii="仿宋" w:hAnsi="仿宋" w:eastAsia="仿宋" w:cs="仿宋"/>
          <w:color w:val="auto"/>
          <w:sz w:val="24"/>
          <w:highlight w:val="none"/>
        </w:rPr>
        <w:t>最后报价采用人民币进行报价，若中文文字形式表示的数值与数字形式表示的数值不一致，以中文文字形式表示的数值为准。</w:t>
      </w:r>
    </w:p>
    <w:p w14:paraId="4C4CBF04">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12.7</w:t>
      </w:r>
      <w:r>
        <w:rPr>
          <w:rFonts w:hint="eastAsia" w:ascii="仿宋" w:hAnsi="仿宋" w:eastAsia="仿宋" w:cs="仿宋"/>
          <w:color w:val="auto"/>
          <w:sz w:val="24"/>
          <w:highlight w:val="none"/>
        </w:rPr>
        <w:t>响应文件的组成应包括下列内容（但不限于）：详见：《响应文件格式》部分。</w:t>
      </w:r>
    </w:p>
    <w:p w14:paraId="49242527">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12.8</w:t>
      </w:r>
      <w:r>
        <w:rPr>
          <w:rFonts w:hint="eastAsia" w:ascii="仿宋" w:hAnsi="仿宋" w:eastAsia="仿宋" w:cs="仿宋"/>
          <w:color w:val="auto"/>
          <w:sz w:val="24"/>
          <w:highlight w:val="none"/>
        </w:rPr>
        <w:t>响应文件份数：按</w:t>
      </w:r>
      <w:r>
        <w:rPr>
          <w:rFonts w:hint="eastAsia" w:ascii="仿宋" w:hAnsi="仿宋" w:eastAsia="仿宋" w:cs="仿宋"/>
          <w:color w:val="auto"/>
          <w:sz w:val="24"/>
          <w:highlight w:val="none"/>
          <w:lang w:eastAsia="zh-CN"/>
        </w:rPr>
        <w:t>“政采云”</w:t>
      </w:r>
      <w:r>
        <w:rPr>
          <w:rFonts w:hint="eastAsia" w:ascii="仿宋" w:hAnsi="仿宋" w:eastAsia="仿宋" w:cs="仿宋"/>
          <w:color w:val="auto"/>
          <w:sz w:val="24"/>
          <w:highlight w:val="none"/>
        </w:rPr>
        <w:t>要求，上传电子响应文件壹份。</w:t>
      </w:r>
    </w:p>
    <w:p w14:paraId="20C0E9DC">
      <w:pPr>
        <w:pageBreakBefore w:val="0"/>
        <w:wordWrap/>
        <w:overflowPunct/>
        <w:topLinePunct w:val="0"/>
        <w:bidi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12.9</w:t>
      </w:r>
      <w:r>
        <w:rPr>
          <w:rFonts w:hint="eastAsia" w:ascii="仿宋" w:hAnsi="仿宋" w:eastAsia="仿宋" w:cs="仿宋"/>
          <w:color w:val="auto"/>
          <w:sz w:val="24"/>
          <w:highlight w:val="none"/>
        </w:rPr>
        <w:t>响应文件中提供的资料（扫描件）、关键内容必须清晰可辨，若出现字迹潦草、表达不清、未按要求填写而导致非唯一理解，视为未实质性响应竞争性磋商文件，供应商响应文件将按无效响应处理。</w:t>
      </w:r>
    </w:p>
    <w:p w14:paraId="36E9DDB7">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162" w:name="_Toc482912958"/>
      <w:bookmarkStart w:id="163" w:name="_Toc388341207"/>
      <w:bookmarkStart w:id="164" w:name="_Toc3378763"/>
      <w:bookmarkStart w:id="165" w:name="_Toc529197734"/>
      <w:bookmarkStart w:id="166" w:name="_Toc511457524"/>
      <w:bookmarkStart w:id="167" w:name="_Toc10320845"/>
      <w:bookmarkStart w:id="168" w:name="_Toc8382301"/>
      <w:bookmarkStart w:id="169" w:name="_Toc329810200"/>
      <w:bookmarkStart w:id="170" w:name="_Toc498086604"/>
      <w:bookmarkStart w:id="171" w:name="_Toc7771"/>
      <w:bookmarkStart w:id="172" w:name="_Toc29944"/>
      <w:r>
        <w:rPr>
          <w:rFonts w:hint="eastAsia" w:ascii="仿宋" w:hAnsi="仿宋" w:cs="仿宋"/>
          <w:color w:val="auto"/>
          <w:highlight w:val="none"/>
          <w:lang w:val="en-US" w:eastAsia="zh-CN"/>
        </w:rPr>
        <w:t>13.</w:t>
      </w:r>
      <w:r>
        <w:rPr>
          <w:rFonts w:hint="eastAsia" w:ascii="仿宋" w:hAnsi="仿宋" w:eastAsia="仿宋" w:cs="仿宋"/>
          <w:color w:val="auto"/>
          <w:highlight w:val="none"/>
        </w:rPr>
        <w:t>磋商保证金</w:t>
      </w:r>
      <w:bookmarkEnd w:id="162"/>
      <w:bookmarkEnd w:id="163"/>
      <w:bookmarkEnd w:id="164"/>
      <w:bookmarkEnd w:id="165"/>
      <w:bookmarkEnd w:id="166"/>
      <w:bookmarkEnd w:id="167"/>
      <w:bookmarkEnd w:id="168"/>
      <w:bookmarkEnd w:id="169"/>
      <w:bookmarkEnd w:id="170"/>
      <w:bookmarkEnd w:id="171"/>
      <w:bookmarkEnd w:id="172"/>
    </w:p>
    <w:p w14:paraId="0D84B7F2">
      <w:pPr>
        <w:pageBreakBefore w:val="0"/>
        <w:wordWrap/>
        <w:overflowPunct/>
        <w:topLinePunct w:val="0"/>
        <w:bidi w:val="0"/>
        <w:spacing w:line="360" w:lineRule="auto"/>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本项目</w:t>
      </w:r>
      <w:r>
        <w:rPr>
          <w:rFonts w:hint="eastAsia" w:ascii="仿宋" w:hAnsi="仿宋" w:cs="仿宋"/>
          <w:color w:val="auto"/>
          <w:sz w:val="24"/>
          <w:highlight w:val="none"/>
          <w:lang w:val="en-US" w:eastAsia="zh-CN"/>
        </w:rPr>
        <w:t>不要求提交</w:t>
      </w:r>
      <w:r>
        <w:rPr>
          <w:rFonts w:hint="eastAsia" w:ascii="仿宋" w:hAnsi="仿宋" w:eastAsia="仿宋" w:cs="仿宋"/>
          <w:color w:val="auto"/>
          <w:sz w:val="24"/>
          <w:highlight w:val="none"/>
          <w:lang w:val="en-US" w:eastAsia="zh-CN"/>
        </w:rPr>
        <w:t>磋商保证金。</w:t>
      </w:r>
    </w:p>
    <w:p w14:paraId="5E810E98">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bookmarkStart w:id="173" w:name="_Toc511457525"/>
      <w:bookmarkStart w:id="174" w:name="_Toc86124061"/>
      <w:bookmarkStart w:id="175" w:name="_Toc21909"/>
      <w:r>
        <w:rPr>
          <w:rFonts w:hint="eastAsia" w:ascii="仿宋" w:hAnsi="仿宋" w:eastAsia="仿宋" w:cs="仿宋"/>
          <w:color w:val="auto"/>
          <w:szCs w:val="28"/>
          <w:highlight w:val="none"/>
        </w:rPr>
        <w:t>四、响应文件的提交</w:t>
      </w:r>
      <w:bookmarkEnd w:id="173"/>
      <w:bookmarkEnd w:id="174"/>
      <w:bookmarkEnd w:id="175"/>
    </w:p>
    <w:p w14:paraId="682ACD85">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176" w:name="_Toc529197736"/>
      <w:bookmarkStart w:id="177" w:name="_Toc329810202"/>
      <w:bookmarkStart w:id="178" w:name="_Toc511457526"/>
      <w:bookmarkStart w:id="179" w:name="_Toc3378765"/>
      <w:bookmarkStart w:id="180" w:name="_Toc10320847"/>
      <w:bookmarkStart w:id="181" w:name="_Toc8382303"/>
      <w:bookmarkStart w:id="182" w:name="_Toc498086606"/>
      <w:bookmarkStart w:id="183" w:name="_Toc86124062"/>
      <w:bookmarkStart w:id="184" w:name="_Toc388341209"/>
      <w:bookmarkStart w:id="185" w:name="_Toc482912960"/>
      <w:bookmarkStart w:id="186" w:name="_Toc10325"/>
      <w:bookmarkStart w:id="187" w:name="_Toc11425"/>
      <w:r>
        <w:rPr>
          <w:rFonts w:hint="eastAsia" w:ascii="仿宋" w:hAnsi="仿宋" w:cs="仿宋"/>
          <w:color w:val="auto"/>
          <w:highlight w:val="none"/>
          <w:lang w:val="en-US" w:eastAsia="zh-CN"/>
        </w:rPr>
        <w:t>14.</w:t>
      </w:r>
      <w:r>
        <w:rPr>
          <w:rFonts w:hint="eastAsia" w:ascii="仿宋" w:hAnsi="仿宋" w:eastAsia="仿宋" w:cs="仿宋"/>
          <w:color w:val="auto"/>
          <w:highlight w:val="none"/>
        </w:rPr>
        <w:t>响应文件的</w:t>
      </w:r>
      <w:bookmarkEnd w:id="176"/>
      <w:bookmarkEnd w:id="177"/>
      <w:bookmarkEnd w:id="178"/>
      <w:bookmarkEnd w:id="179"/>
      <w:bookmarkEnd w:id="180"/>
      <w:bookmarkEnd w:id="181"/>
      <w:bookmarkEnd w:id="182"/>
      <w:bookmarkEnd w:id="183"/>
      <w:bookmarkEnd w:id="184"/>
      <w:bookmarkEnd w:id="185"/>
      <w:r>
        <w:rPr>
          <w:rFonts w:hint="eastAsia" w:ascii="仿宋" w:hAnsi="仿宋" w:eastAsia="仿宋" w:cs="仿宋"/>
          <w:color w:val="auto"/>
          <w:highlight w:val="none"/>
        </w:rPr>
        <w:t>密封</w:t>
      </w:r>
      <w:r>
        <w:rPr>
          <w:rFonts w:hint="eastAsia" w:ascii="仿宋" w:hAnsi="仿宋" w:eastAsia="仿宋" w:cs="仿宋"/>
          <w:color w:val="auto"/>
          <w:highlight w:val="none"/>
          <w:lang w:val="en-US" w:eastAsia="zh-CN"/>
        </w:rPr>
        <w:t>与标记</w:t>
      </w:r>
      <w:bookmarkEnd w:id="186"/>
      <w:bookmarkEnd w:id="187"/>
    </w:p>
    <w:p w14:paraId="2D3E9E65">
      <w:pPr>
        <w:pageBreakBefore w:val="0"/>
        <w:shd w:val="clear"/>
        <w:wordWrap/>
        <w:overflowPunct/>
        <w:topLinePunct w:val="0"/>
        <w:bidi w:val="0"/>
        <w:spacing w:line="360" w:lineRule="auto"/>
        <w:ind w:firstLine="420"/>
        <w:jc w:val="both"/>
        <w:rPr>
          <w:rFonts w:hint="eastAsia" w:ascii="仿宋" w:hAnsi="仿宋" w:eastAsia="仿宋" w:cs="仿宋"/>
          <w:color w:val="auto"/>
          <w:sz w:val="24"/>
          <w:szCs w:val="24"/>
          <w:highlight w:val="none"/>
          <w:lang w:val="en-US" w:eastAsia="zh-CN"/>
        </w:rPr>
      </w:pPr>
      <w:bookmarkStart w:id="188" w:name="_Toc489197833"/>
      <w:bookmarkStart w:id="189" w:name="_Toc17219"/>
      <w:bookmarkStart w:id="190" w:name="_Toc1260"/>
      <w:bookmarkStart w:id="191" w:name="_Toc528186477"/>
      <w:bookmarkStart w:id="192" w:name="_Toc489145729"/>
      <w:bookmarkStart w:id="193" w:name="_Toc34"/>
      <w:bookmarkStart w:id="194" w:name="_Toc179632575"/>
      <w:bookmarkStart w:id="195" w:name="_Toc247085715"/>
      <w:bookmarkStart w:id="196" w:name="_Toc152042333"/>
      <w:bookmarkStart w:id="197" w:name="_Toc246996944"/>
      <w:bookmarkStart w:id="198" w:name="_Toc144974525"/>
      <w:bookmarkStart w:id="199" w:name="_Toc246996201"/>
      <w:bookmarkStart w:id="200" w:name="_Toc152045557"/>
      <w:r>
        <w:rPr>
          <w:rFonts w:hint="eastAsia" w:ascii="仿宋" w:hAnsi="仿宋" w:cs="仿宋"/>
          <w:color w:val="auto"/>
          <w:sz w:val="24"/>
          <w:szCs w:val="24"/>
          <w:highlight w:val="none"/>
          <w:lang w:val="en-US" w:eastAsia="zh-CN"/>
        </w:rPr>
        <w:t>14.1</w:t>
      </w:r>
      <w:r>
        <w:rPr>
          <w:rFonts w:hint="eastAsia" w:ascii="仿宋" w:hAnsi="仿宋" w:eastAsia="仿宋" w:cs="仿宋"/>
          <w:color w:val="auto"/>
          <w:sz w:val="24"/>
          <w:szCs w:val="24"/>
          <w:highlight w:val="none"/>
          <w:lang w:val="en-US" w:eastAsia="zh-CN"/>
        </w:rPr>
        <w:t>供应商进行电子交易应安装客户端软件—“政采云电子交易客户端”，并</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平台的要求编制、加密后上传至</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w:t>
      </w:r>
    </w:p>
    <w:p w14:paraId="57413859">
      <w:pPr>
        <w:pageBreakBefore w:val="0"/>
        <w:wordWrap/>
        <w:overflowPunct/>
        <w:topLinePunct w:val="0"/>
        <w:bidi w:val="0"/>
        <w:spacing w:line="360" w:lineRule="auto"/>
        <w:ind w:firstLine="480" w:firstLineChars="200"/>
        <w:contextualSpacing/>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val="en-US" w:eastAsia="zh-CN"/>
        </w:rPr>
        <w:t>14.2</w:t>
      </w:r>
      <w:r>
        <w:rPr>
          <w:rFonts w:hint="eastAsia" w:ascii="仿宋" w:hAnsi="仿宋" w:eastAsia="仿宋" w:cs="仿宋"/>
          <w:color w:val="auto"/>
          <w:sz w:val="24"/>
          <w:szCs w:val="24"/>
          <w:highlight w:val="none"/>
        </w:rPr>
        <w:t>使用“政采云电子交易客户端”需要提前申领 CA 数字证书，申领流程见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竞争性磋商</w:t>
      </w:r>
      <w:r>
        <w:rPr>
          <w:rFonts w:hint="eastAsia" w:ascii="仿宋" w:hAnsi="仿宋" w:eastAsia="仿宋" w:cs="仿宋"/>
          <w:color w:val="auto"/>
          <w:sz w:val="24"/>
          <w:szCs w:val="24"/>
          <w:highlight w:val="none"/>
        </w:rPr>
        <w:t>公告</w:t>
      </w:r>
      <w:r>
        <w:rPr>
          <w:rFonts w:hint="eastAsia" w:ascii="仿宋" w:hAnsi="仿宋" w:eastAsia="仿宋" w:cs="仿宋"/>
          <w:color w:val="auto"/>
          <w:sz w:val="24"/>
          <w:szCs w:val="24"/>
          <w:highlight w:val="none"/>
          <w:lang w:eastAsia="zh-CN"/>
        </w:rPr>
        <w:t>》“</w:t>
      </w:r>
      <w:r>
        <w:rPr>
          <w:rFonts w:hint="eastAsia" w:ascii="仿宋" w:hAnsi="仿宋" w:eastAsia="仿宋" w:cs="仿宋"/>
          <w:b/>
          <w:color w:val="auto"/>
          <w:sz w:val="24"/>
          <w:highlight w:val="none"/>
        </w:rPr>
        <w:t>三、获取采购文件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38EACE6D">
      <w:pPr>
        <w:pageBreakBefore w:val="0"/>
        <w:shd w:val="clear"/>
        <w:wordWrap/>
        <w:overflowPunct/>
        <w:topLinePunct w:val="0"/>
        <w:bidi w:val="0"/>
        <w:spacing w:line="360" w:lineRule="auto"/>
        <w:ind w:firstLine="420"/>
        <w:jc w:val="left"/>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val="en-US" w:eastAsia="zh-CN"/>
        </w:rPr>
        <w:t>14.3</w:t>
      </w:r>
      <w:r>
        <w:rPr>
          <w:rFonts w:hint="eastAsia" w:ascii="仿宋" w:hAnsi="仿宋" w:eastAsia="仿宋" w:cs="仿宋"/>
          <w:color w:val="auto"/>
          <w:sz w:val="24"/>
          <w:szCs w:val="24"/>
          <w:highlight w:val="none"/>
        </w:rPr>
        <w:t>为确保网上操作合法、有效和安全，供应商应当在文件提交截止时间前完成在 “政府采购云平台”的身份认证，确保在电子交易过程中能够对相关数据电文进行加密和使用电子签名。</w:t>
      </w:r>
    </w:p>
    <w:p w14:paraId="56381F6B">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rPr>
      </w:pPr>
      <w:bookmarkStart w:id="201" w:name="_Toc76"/>
      <w:bookmarkStart w:id="202" w:name="_Toc14278"/>
      <w:r>
        <w:rPr>
          <w:rFonts w:hint="eastAsia" w:ascii="仿宋" w:hAnsi="仿宋" w:cs="仿宋"/>
          <w:color w:val="auto"/>
          <w:highlight w:val="none"/>
          <w:lang w:val="en-US" w:eastAsia="zh-CN"/>
        </w:rPr>
        <w:t>15.</w:t>
      </w:r>
      <w:r>
        <w:rPr>
          <w:rFonts w:hint="eastAsia" w:ascii="仿宋" w:hAnsi="仿宋" w:eastAsia="仿宋" w:cs="仿宋"/>
          <w:color w:val="auto"/>
          <w:highlight w:val="none"/>
          <w:lang w:eastAsia="zh-CN"/>
        </w:rPr>
        <w:t>响应文件</w:t>
      </w:r>
      <w:r>
        <w:rPr>
          <w:rFonts w:hint="eastAsia" w:ascii="仿宋" w:hAnsi="仿宋" w:eastAsia="仿宋" w:cs="仿宋"/>
          <w:color w:val="auto"/>
          <w:highlight w:val="none"/>
        </w:rPr>
        <w:t>的提交</w:t>
      </w:r>
      <w:bookmarkEnd w:id="188"/>
      <w:bookmarkEnd w:id="189"/>
      <w:bookmarkEnd w:id="190"/>
      <w:bookmarkEnd w:id="191"/>
      <w:bookmarkEnd w:id="192"/>
      <w:bookmarkEnd w:id="193"/>
      <w:r>
        <w:rPr>
          <w:rFonts w:hint="eastAsia" w:ascii="仿宋" w:hAnsi="仿宋" w:eastAsia="仿宋" w:cs="仿宋"/>
          <w:color w:val="auto"/>
          <w:highlight w:val="none"/>
          <w:lang w:val="en-US" w:eastAsia="zh-CN"/>
        </w:rPr>
        <w:t>与开启</w:t>
      </w:r>
      <w:bookmarkEnd w:id="201"/>
      <w:bookmarkEnd w:id="202"/>
    </w:p>
    <w:p w14:paraId="5C3FF12E">
      <w:pPr>
        <w:pageBreakBefore w:val="0"/>
        <w:shd w:val="clear"/>
        <w:wordWrap/>
        <w:overflowPunct/>
        <w:topLinePunct w:val="0"/>
        <w:bidi w:val="0"/>
        <w:spacing w:line="360" w:lineRule="auto"/>
        <w:ind w:firstLine="420"/>
        <w:jc w:val="left"/>
        <w:rPr>
          <w:rFonts w:hint="eastAsia" w:ascii="仿宋" w:hAnsi="仿宋" w:eastAsia="仿宋" w:cs="仿宋"/>
          <w:color w:val="auto"/>
          <w:sz w:val="24"/>
          <w:szCs w:val="24"/>
          <w:highlight w:val="none"/>
          <w:lang w:eastAsia="zh-CN"/>
        </w:rPr>
      </w:pPr>
      <w:bookmarkStart w:id="203" w:name="_Toc296602445"/>
      <w:r>
        <w:rPr>
          <w:rFonts w:hint="eastAsia" w:ascii="仿宋" w:hAnsi="仿宋" w:cs="仿宋"/>
          <w:color w:val="auto"/>
          <w:sz w:val="24"/>
          <w:szCs w:val="24"/>
          <w:highlight w:val="none"/>
          <w:lang w:val="en-US" w:eastAsia="zh-CN"/>
        </w:rPr>
        <w:t>15.1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提</w:t>
      </w:r>
      <w:bookmarkEnd w:id="194"/>
      <w:bookmarkEnd w:id="195"/>
      <w:bookmarkEnd w:id="196"/>
      <w:bookmarkEnd w:id="197"/>
      <w:bookmarkEnd w:id="198"/>
      <w:bookmarkEnd w:id="199"/>
      <w:bookmarkEnd w:id="200"/>
      <w:bookmarkEnd w:id="203"/>
      <w:r>
        <w:rPr>
          <w:rFonts w:hint="eastAsia" w:ascii="仿宋" w:hAnsi="仿宋" w:eastAsia="仿宋" w:cs="仿宋"/>
          <w:color w:val="auto"/>
          <w:sz w:val="24"/>
          <w:szCs w:val="24"/>
          <w:highlight w:val="none"/>
        </w:rPr>
        <w:t>交截止时间、提交</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的地点：详见</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p>
    <w:p w14:paraId="24F0684B">
      <w:pPr>
        <w:pageBreakBefore w:val="0"/>
        <w:shd w:val="clear"/>
        <w:wordWrap/>
        <w:overflowPunct/>
        <w:topLinePunct w:val="0"/>
        <w:bidi w:val="0"/>
        <w:spacing w:line="360" w:lineRule="auto"/>
        <w:ind w:firstLine="420"/>
        <w:jc w:val="both"/>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val="en-US" w:eastAsia="zh-CN"/>
        </w:rPr>
        <w:t>15.2</w:t>
      </w:r>
      <w:r>
        <w:rPr>
          <w:rFonts w:hint="eastAsia" w:ascii="仿宋" w:hAnsi="仿宋" w:eastAsia="仿宋" w:cs="仿宋"/>
          <w:color w:val="auto"/>
          <w:sz w:val="24"/>
          <w:szCs w:val="24"/>
          <w:highlight w:val="none"/>
          <w:lang w:val="en-US" w:eastAsia="zh-CN"/>
        </w:rPr>
        <w:t xml:space="preserve"> 供应商应当在磋商文件要求的截止时间前，将响应文件</w:t>
      </w:r>
      <w:r>
        <w:rPr>
          <w:rFonts w:hint="eastAsia" w:ascii="仿宋" w:hAnsi="仿宋" w:eastAsia="仿宋" w:cs="仿宋"/>
          <w:color w:val="auto"/>
          <w:sz w:val="24"/>
          <w:szCs w:val="24"/>
          <w:highlight w:val="none"/>
        </w:rPr>
        <w:t>上传至</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w:t>
      </w:r>
      <w:r>
        <w:rPr>
          <w:rFonts w:hint="eastAsia" w:ascii="仿宋" w:hAnsi="仿宋" w:eastAsia="仿宋" w:cs="仿宋"/>
          <w:color w:val="auto"/>
          <w:sz w:val="24"/>
          <w:szCs w:val="24"/>
          <w:highlight w:val="none"/>
          <w:lang w:val="en-US" w:eastAsia="zh-CN"/>
        </w:rPr>
        <w:t>。在截止时间后上传的响应文件为无效文件。供应商在提交响应文件截止时间前，可以对所提交的响应文件进行补充、修改或者撤回，但补充、修改后的响应文件应按照本项目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和“政采云”平台的要求编制、加密后在响应文件提交截止时间前重新上传至“政采云”平台。</w:t>
      </w:r>
    </w:p>
    <w:p w14:paraId="674D3FD3">
      <w:pPr>
        <w:pageBreakBefore w:val="0"/>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cs="仿宋"/>
          <w:color w:val="auto"/>
          <w:sz w:val="24"/>
          <w:szCs w:val="24"/>
          <w:highlight w:val="none"/>
          <w:lang w:val="en-US" w:eastAsia="zh-CN"/>
        </w:rPr>
        <w:t>15.3</w:t>
      </w:r>
      <w:r>
        <w:rPr>
          <w:rFonts w:hint="eastAsia" w:ascii="仿宋" w:hAnsi="仿宋" w:eastAsia="仿宋" w:cs="仿宋"/>
          <w:color w:val="auto"/>
          <w:sz w:val="24"/>
          <w:szCs w:val="24"/>
          <w:highlight w:val="none"/>
          <w:lang w:val="en-US" w:eastAsia="zh-CN"/>
        </w:rPr>
        <w:t>已提交响应文件的供应商，在提交最后报价之前，可以根据磋商情况退出磋商。</w:t>
      </w:r>
    </w:p>
    <w:p w14:paraId="5FA750F8">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cs="仿宋"/>
          <w:color w:val="auto"/>
          <w:sz w:val="24"/>
          <w:szCs w:val="24"/>
          <w:highlight w:val="none"/>
          <w:lang w:val="en-US" w:eastAsia="zh-CN"/>
        </w:rPr>
        <w:t>15.4</w:t>
      </w:r>
      <w:r>
        <w:rPr>
          <w:rFonts w:hint="eastAsia" w:ascii="仿宋" w:hAnsi="仿宋" w:eastAsia="仿宋" w:cs="仿宋"/>
          <w:color w:val="auto"/>
          <w:sz w:val="24"/>
          <w:szCs w:val="24"/>
          <w:highlight w:val="none"/>
          <w:lang w:val="en-US" w:eastAsia="zh-CN"/>
        </w:rPr>
        <w:t>响应文件加密：</w:t>
      </w:r>
      <w:r>
        <w:rPr>
          <w:rFonts w:hint="eastAsia" w:ascii="仿宋" w:hAnsi="仿宋" w:eastAsia="仿宋" w:cs="仿宋"/>
          <w:color w:val="auto"/>
          <w:sz w:val="24"/>
          <w:highlight w:val="none"/>
        </w:rPr>
        <w:t>采购代理机构将在规定的</w:t>
      </w:r>
      <w:r>
        <w:rPr>
          <w:rFonts w:hint="eastAsia" w:ascii="仿宋" w:hAnsi="仿宋" w:eastAsia="仿宋" w:cs="仿宋"/>
          <w:color w:val="auto"/>
          <w:sz w:val="24"/>
          <w:highlight w:val="none"/>
          <w:lang w:val="en-US" w:eastAsia="zh-CN"/>
        </w:rPr>
        <w:t>响应文件开启</w:t>
      </w:r>
      <w:r>
        <w:rPr>
          <w:rFonts w:hint="eastAsia" w:ascii="仿宋" w:hAnsi="仿宋" w:eastAsia="仿宋" w:cs="仿宋"/>
          <w:color w:val="auto"/>
          <w:sz w:val="24"/>
          <w:highlight w:val="none"/>
        </w:rPr>
        <w:t>时间通过电子交易平台组织响应文件开启，采购机构依托电子交易平台发起开始解密指令，供应商的法定代表人或其委托代理人须携带加密时所用的CA锁按平台提示和采购文件的规定登录到</w:t>
      </w:r>
      <w:r>
        <w:rPr>
          <w:rFonts w:hint="eastAsia" w:ascii="仿宋" w:hAnsi="仿宋" w:eastAsia="仿宋" w:cs="仿宋"/>
          <w:color w:val="auto"/>
          <w:sz w:val="24"/>
          <w:highlight w:val="none"/>
          <w:lang w:eastAsia="zh-CN"/>
        </w:rPr>
        <w:t>“政采云”</w:t>
      </w:r>
      <w:r>
        <w:rPr>
          <w:rFonts w:hint="eastAsia" w:ascii="仿宋" w:hAnsi="仿宋" w:eastAsia="仿宋" w:cs="仿宋"/>
          <w:color w:val="auto"/>
          <w:sz w:val="24"/>
          <w:highlight w:val="none"/>
        </w:rPr>
        <w:t>平台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并在发起解密指令之时起</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分钟内完成对电子响应文件在线解密。发起解密指令之时起5分钟内供应商还未进行解密的，代理机构可通知供应商</w:t>
      </w:r>
      <w:r>
        <w:rPr>
          <w:rFonts w:hint="eastAsia" w:ascii="仿宋" w:hAnsi="仿宋" w:eastAsia="仿宋" w:cs="仿宋"/>
          <w:color w:val="auto"/>
          <w:sz w:val="24"/>
          <w:highlight w:val="none"/>
          <w:lang w:eastAsia="zh-CN"/>
        </w:rPr>
        <w:t>，若</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lang w:eastAsia="zh-CN"/>
        </w:rPr>
        <w:t>未在规定时</w:t>
      </w:r>
      <w:r>
        <w:rPr>
          <w:rFonts w:hint="eastAsia" w:ascii="仿宋" w:hAnsi="仿宋" w:cs="仿宋"/>
          <w:color w:val="auto"/>
          <w:sz w:val="24"/>
          <w:highlight w:val="none"/>
          <w:lang w:eastAsia="zh-CN"/>
        </w:rPr>
        <w:t>间内</w:t>
      </w:r>
      <w:r>
        <w:rPr>
          <w:rFonts w:hint="eastAsia" w:ascii="仿宋" w:hAnsi="仿宋" w:eastAsia="仿宋" w:cs="仿宋"/>
          <w:color w:val="auto"/>
          <w:sz w:val="24"/>
          <w:highlight w:val="none"/>
          <w:lang w:eastAsia="zh-CN"/>
        </w:rPr>
        <w:t>完成</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文件解密，则视为无效</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，不再进入</w:t>
      </w:r>
      <w:r>
        <w:rPr>
          <w:rFonts w:hint="eastAsia" w:ascii="仿宋" w:hAnsi="仿宋" w:eastAsia="仿宋" w:cs="仿宋"/>
          <w:color w:val="auto"/>
          <w:sz w:val="24"/>
          <w:highlight w:val="none"/>
          <w:lang w:val="en-US" w:eastAsia="zh-CN"/>
        </w:rPr>
        <w:t>评审</w:t>
      </w:r>
      <w:r>
        <w:rPr>
          <w:rFonts w:hint="eastAsia" w:ascii="仿宋" w:hAnsi="仿宋" w:eastAsia="仿宋" w:cs="仿宋"/>
          <w:color w:val="auto"/>
          <w:sz w:val="24"/>
          <w:highlight w:val="none"/>
          <w:lang w:eastAsia="zh-CN"/>
        </w:rPr>
        <w:t>阶段；</w:t>
      </w:r>
      <w:r>
        <w:rPr>
          <w:rFonts w:hint="eastAsia" w:ascii="仿宋" w:hAnsi="仿宋" w:eastAsia="仿宋" w:cs="仿宋"/>
          <w:color w:val="auto"/>
          <w:sz w:val="24"/>
          <w:highlight w:val="none"/>
          <w:lang w:val="en-US" w:eastAsia="zh-CN"/>
        </w:rPr>
        <w:t>全部供应商解密完成或解密时限到达后由采购代理机构</w:t>
      </w:r>
      <w:r>
        <w:rPr>
          <w:rFonts w:hint="eastAsia" w:ascii="仿宋" w:hAnsi="仿宋" w:eastAsia="仿宋" w:cs="仿宋"/>
          <w:color w:val="auto"/>
          <w:sz w:val="24"/>
          <w:highlight w:val="none"/>
        </w:rPr>
        <w:t>依托电子交易平台</w:t>
      </w:r>
      <w:r>
        <w:rPr>
          <w:rFonts w:hint="eastAsia" w:ascii="仿宋" w:hAnsi="仿宋" w:eastAsia="仿宋" w:cs="仿宋"/>
          <w:color w:val="auto"/>
          <w:sz w:val="24"/>
          <w:highlight w:val="none"/>
          <w:lang w:val="en-US" w:eastAsia="zh-CN"/>
        </w:rPr>
        <w:t>开启报价及发起签字</w:t>
      </w:r>
      <w:r>
        <w:rPr>
          <w:rFonts w:hint="eastAsia" w:ascii="仿宋" w:hAnsi="仿宋" w:eastAsia="仿宋" w:cs="仿宋"/>
          <w:color w:val="auto"/>
          <w:sz w:val="24"/>
          <w:highlight w:val="none"/>
        </w:rPr>
        <w:t>指令</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供应商确认报价后需按照</w:t>
      </w:r>
      <w:r>
        <w:rPr>
          <w:rFonts w:hint="eastAsia" w:ascii="仿宋" w:hAnsi="仿宋" w:eastAsia="仿宋" w:cs="仿宋"/>
          <w:color w:val="auto"/>
          <w:sz w:val="24"/>
          <w:highlight w:val="none"/>
          <w:lang w:eastAsia="zh-CN"/>
        </w:rPr>
        <w:t>“政采云”</w:t>
      </w:r>
      <w:r>
        <w:rPr>
          <w:rFonts w:hint="eastAsia" w:ascii="仿宋" w:hAnsi="仿宋" w:eastAsia="仿宋" w:cs="仿宋"/>
          <w:color w:val="auto"/>
          <w:sz w:val="24"/>
          <w:highlight w:val="none"/>
        </w:rPr>
        <w:t>平台</w:t>
      </w:r>
      <w:r>
        <w:rPr>
          <w:rFonts w:hint="eastAsia" w:ascii="仿宋" w:hAnsi="仿宋" w:eastAsia="仿宋" w:cs="仿宋"/>
          <w:color w:val="auto"/>
          <w:sz w:val="24"/>
          <w:highlight w:val="none"/>
          <w:lang w:val="en-US" w:eastAsia="zh-CN"/>
        </w:rPr>
        <w:t>提示进行签字确认。</w:t>
      </w:r>
    </w:p>
    <w:p w14:paraId="5B89273B">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bookmarkStart w:id="204" w:name="_Toc86124064"/>
      <w:bookmarkStart w:id="205" w:name="_Toc511457528"/>
      <w:bookmarkStart w:id="206" w:name="_Toc13482"/>
      <w:r>
        <w:rPr>
          <w:rFonts w:hint="eastAsia" w:ascii="仿宋" w:hAnsi="仿宋" w:eastAsia="仿宋" w:cs="仿宋"/>
          <w:color w:val="auto"/>
          <w:szCs w:val="28"/>
          <w:highlight w:val="none"/>
        </w:rPr>
        <w:t>五、磋商</w:t>
      </w:r>
      <w:bookmarkEnd w:id="204"/>
      <w:bookmarkEnd w:id="205"/>
      <w:bookmarkEnd w:id="206"/>
    </w:p>
    <w:p w14:paraId="66F692C7">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07" w:name="_Toc10232"/>
      <w:bookmarkStart w:id="208" w:name="_Toc3378768"/>
      <w:bookmarkStart w:id="209" w:name="_Toc10320850"/>
      <w:bookmarkStart w:id="210" w:name="_Toc8382306"/>
      <w:bookmarkStart w:id="211" w:name="_Toc529197739"/>
      <w:bookmarkStart w:id="212" w:name="_Toc13686"/>
      <w:r>
        <w:rPr>
          <w:rFonts w:hint="eastAsia" w:ascii="仿宋" w:hAnsi="仿宋" w:cs="仿宋"/>
          <w:color w:val="auto"/>
          <w:highlight w:val="none"/>
          <w:lang w:val="en-US" w:eastAsia="zh-CN"/>
        </w:rPr>
        <w:t>16.</w:t>
      </w:r>
      <w:r>
        <w:rPr>
          <w:rFonts w:hint="eastAsia" w:ascii="仿宋" w:hAnsi="仿宋" w:eastAsia="仿宋" w:cs="仿宋"/>
          <w:color w:val="auto"/>
          <w:highlight w:val="none"/>
          <w:lang w:val="en-US" w:eastAsia="zh-CN"/>
        </w:rPr>
        <w:t>磋商</w:t>
      </w:r>
      <w:bookmarkEnd w:id="207"/>
      <w:bookmarkEnd w:id="208"/>
      <w:bookmarkEnd w:id="209"/>
      <w:bookmarkEnd w:id="210"/>
      <w:bookmarkEnd w:id="211"/>
      <w:bookmarkEnd w:id="212"/>
    </w:p>
    <w:p w14:paraId="1F24EE5A">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16.1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采购代理机构将在“</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”规定的时间和地点进行磋商，供应商的法定代表人或其委托代理人应按时参加线上磋商会议。</w:t>
      </w:r>
    </w:p>
    <w:p w14:paraId="2A9CD279">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16.2</w:t>
      </w:r>
      <w:r>
        <w:rPr>
          <w:rFonts w:hint="eastAsia" w:ascii="仿宋" w:hAnsi="仿宋" w:eastAsia="仿宋" w:cs="仿宋"/>
          <w:color w:val="auto"/>
          <w:sz w:val="24"/>
          <w:highlight w:val="none"/>
        </w:rPr>
        <w:t>磋商由磋商小组负责。磋商小组由采购人代表和评审专家共3人以上单数组成，其中评审专家人数不少于磋商小组成员总数的2/3</w:t>
      </w:r>
      <w:r>
        <w:rPr>
          <w:rFonts w:hint="eastAsia" w:ascii="仿宋" w:hAnsi="仿宋" w:eastAsia="仿宋" w:cs="仿宋"/>
          <w:color w:val="auto"/>
          <w:sz w:val="24"/>
          <w:highlight w:val="none"/>
          <w:lang w:eastAsia="zh-CN"/>
        </w:rPr>
        <w:t>，评</w:t>
      </w:r>
      <w:r>
        <w:rPr>
          <w:rFonts w:hint="eastAsia" w:ascii="仿宋" w:hAnsi="仿宋" w:eastAsia="仿宋" w:cs="仿宋"/>
          <w:color w:val="auto"/>
          <w:sz w:val="24"/>
          <w:highlight w:val="none"/>
        </w:rPr>
        <w:t>审专家从</w:t>
      </w:r>
      <w:r>
        <w:rPr>
          <w:rFonts w:hint="eastAsia" w:ascii="仿宋" w:hAnsi="仿宋" w:eastAsia="仿宋" w:cs="仿宋"/>
          <w:color w:val="auto"/>
          <w:sz w:val="24"/>
          <w:highlight w:val="none"/>
          <w:lang w:val="en-US" w:eastAsia="zh-CN"/>
        </w:rPr>
        <w:t>云南省财政厅</w:t>
      </w:r>
      <w:r>
        <w:rPr>
          <w:rFonts w:hint="eastAsia" w:ascii="仿宋" w:hAnsi="仿宋" w:eastAsia="仿宋" w:cs="仿宋"/>
          <w:color w:val="auto"/>
          <w:sz w:val="24"/>
          <w:highlight w:val="none"/>
        </w:rPr>
        <w:t>政府采购评审专家库内相关专业的专家名单中随机抽取，磋商应当推选组长，但采购人代表不得担任组长。</w:t>
      </w:r>
    </w:p>
    <w:p w14:paraId="72DBF94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16.3</w:t>
      </w:r>
      <w:r>
        <w:rPr>
          <w:rFonts w:hint="eastAsia" w:ascii="仿宋" w:hAnsi="仿宋" w:eastAsia="仿宋" w:cs="仿宋"/>
          <w:color w:val="auto"/>
          <w:sz w:val="24"/>
          <w:highlight w:val="none"/>
        </w:rPr>
        <w:t>磋商原则</w:t>
      </w:r>
    </w:p>
    <w:p w14:paraId="30CE1292">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822CCE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16.4</w:t>
      </w:r>
      <w:r>
        <w:rPr>
          <w:rFonts w:hint="eastAsia" w:ascii="仿宋" w:hAnsi="仿宋" w:eastAsia="仿宋" w:cs="仿宋"/>
          <w:color w:val="auto"/>
          <w:sz w:val="24"/>
          <w:highlight w:val="none"/>
          <w:lang w:val="en-US" w:eastAsia="zh-CN"/>
        </w:rPr>
        <w:t>磋商办法</w:t>
      </w:r>
    </w:p>
    <w:p w14:paraId="35A6513C">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综合评分法，即响应文件满足磋商文件全部实质性要求且按评审因素的量化指标评审得分最高的供应商为成交候选人的评审方法。</w:t>
      </w:r>
    </w:p>
    <w:p w14:paraId="141F0372">
      <w:pPr>
        <w:pageBreakBefore w:val="0"/>
        <w:tabs>
          <w:tab w:val="left" w:pos="7980"/>
        </w:tabs>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16.5</w:t>
      </w:r>
      <w:r>
        <w:rPr>
          <w:rFonts w:hint="eastAsia" w:ascii="仿宋" w:hAnsi="仿宋" w:eastAsia="仿宋" w:cs="仿宋"/>
          <w:color w:val="auto"/>
          <w:sz w:val="24"/>
          <w:highlight w:val="none"/>
        </w:rPr>
        <w:t>磋商程序和方法</w:t>
      </w:r>
    </w:p>
    <w:p w14:paraId="12A0059A">
      <w:pPr>
        <w:pageBreakBefore w:val="0"/>
        <w:tabs>
          <w:tab w:val="left" w:pos="7980"/>
        </w:tabs>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磋商小组按照第六章“磋商程序和方法”规定评审程序、评审方法和评审标准进行独立评审。</w:t>
      </w:r>
    </w:p>
    <w:p w14:paraId="19108ED5">
      <w:pPr>
        <w:pageBreakBefore w:val="0"/>
        <w:tabs>
          <w:tab w:val="left" w:pos="7980"/>
        </w:tabs>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16.6</w:t>
      </w:r>
      <w:r>
        <w:rPr>
          <w:rFonts w:hint="eastAsia" w:ascii="仿宋" w:hAnsi="仿宋" w:eastAsia="仿宋" w:cs="仿宋"/>
          <w:color w:val="auto"/>
          <w:sz w:val="24"/>
          <w:highlight w:val="none"/>
        </w:rPr>
        <w:t>磋商结束后，磋商小组应当要求所有实质性</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第六章“磋商程序和方法”前附表第2.1.1及2.1.2实质性要求为采购文件的实质性内容</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响应的供应商在规定时间内提交最后报价，提交最后报价的供应商不得少于3家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最后报价是供应商响应文件的组成部分，</w:t>
      </w:r>
    </w:p>
    <w:p w14:paraId="42C643E8">
      <w:pPr>
        <w:pageBreakBefore w:val="0"/>
        <w:tabs>
          <w:tab w:val="left" w:pos="7980"/>
        </w:tabs>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16.7</w:t>
      </w:r>
      <w:r>
        <w:rPr>
          <w:rFonts w:hint="eastAsia" w:ascii="仿宋" w:hAnsi="仿宋" w:eastAsia="仿宋" w:cs="仿宋"/>
          <w:color w:val="auto"/>
          <w:sz w:val="24"/>
          <w:highlight w:val="none"/>
          <w:lang w:val="en-US" w:eastAsia="zh-CN"/>
        </w:rPr>
        <w:t>因</w:t>
      </w:r>
      <w:r>
        <w:rPr>
          <w:rFonts w:hint="eastAsia" w:ascii="仿宋" w:hAnsi="仿宋" w:eastAsia="仿宋" w:cs="仿宋"/>
          <w:color w:val="auto"/>
          <w:sz w:val="24"/>
          <w:highlight w:val="none"/>
        </w:rPr>
        <w:t>市场竞争不充分的科研项目，以及需要扶持的科技成果转化项目</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提交最后报价的供应商可以为2</w:t>
      </w:r>
      <w:r>
        <w:rPr>
          <w:rFonts w:hint="eastAsia" w:ascii="仿宋" w:hAnsi="仿宋" w:eastAsia="仿宋" w:cs="仿宋"/>
          <w:color w:val="auto"/>
          <w:sz w:val="24"/>
          <w:highlight w:val="none"/>
          <w:lang w:eastAsia="zh-CN"/>
        </w:rPr>
        <w:t>家</w:t>
      </w:r>
      <w:r>
        <w:rPr>
          <w:rFonts w:hint="eastAsia" w:ascii="仿宋" w:hAnsi="仿宋" w:eastAsia="仿宋" w:cs="仿宋"/>
          <w:color w:val="auto"/>
          <w:sz w:val="24"/>
          <w:highlight w:val="none"/>
          <w:lang w:val="en-US" w:eastAsia="zh-CN"/>
        </w:rPr>
        <w:t>；采用竞争性磋商采购方式采购的政府购买服务项目（含政府和社会资本合作项目），在采购过程中符合要求的供应商（社会资本）只有2家的，竞争性磋商采购活动可以继续进行。</w:t>
      </w:r>
    </w:p>
    <w:p w14:paraId="7BBAB566">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16.8</w:t>
      </w:r>
      <w:r>
        <w:rPr>
          <w:rFonts w:hint="eastAsia" w:ascii="仿宋" w:hAnsi="仿宋" w:eastAsia="仿宋" w:cs="仿宋"/>
          <w:color w:val="auto"/>
          <w:sz w:val="24"/>
          <w:highlight w:val="none"/>
          <w:lang w:val="en-US" w:eastAsia="zh-CN"/>
        </w:rPr>
        <w:t>经磋商确定最终采购需求和提交最后报价的供应商后，由磋商小组采用综合评分法对提交最后报价的供应商的响应文件和最后报价进行综合评分。</w:t>
      </w:r>
    </w:p>
    <w:p w14:paraId="3F9F6F83">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16.9</w:t>
      </w:r>
      <w:r>
        <w:rPr>
          <w:rFonts w:hint="eastAsia" w:ascii="仿宋" w:hAnsi="仿宋" w:eastAsia="仿宋" w:cs="仿宋"/>
          <w:color w:val="auto"/>
          <w:sz w:val="24"/>
          <w:highlight w:val="none"/>
        </w:rPr>
        <w:t xml:space="preserve">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cs="仿宋"/>
          <w:color w:val="auto"/>
          <w:sz w:val="24"/>
          <w:highlight w:val="none"/>
          <w:lang w:eastAsia="zh-CN"/>
        </w:rPr>
        <w:t>（报价、服务期限、技术方案核心指标、资格条件）</w:t>
      </w:r>
      <w:r>
        <w:rPr>
          <w:rFonts w:hint="eastAsia" w:ascii="仿宋" w:hAnsi="仿宋" w:eastAsia="仿宋" w:cs="仿宋"/>
          <w:color w:val="auto"/>
          <w:sz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80E5ED6">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bookmarkStart w:id="213" w:name="_Toc482912964"/>
      <w:bookmarkStart w:id="214" w:name="_Toc3378769"/>
      <w:bookmarkStart w:id="215" w:name="_Toc86124067"/>
      <w:bookmarkStart w:id="216" w:name="_Toc388341213"/>
      <w:bookmarkStart w:id="217" w:name="_Toc10320851"/>
      <w:bookmarkStart w:id="218" w:name="_Toc511457530"/>
      <w:bookmarkStart w:id="219" w:name="_Toc498086610"/>
      <w:bookmarkStart w:id="220" w:name="_Toc529197740"/>
      <w:bookmarkStart w:id="221" w:name="_Toc8382307"/>
      <w:bookmarkStart w:id="222" w:name="_Toc329810207"/>
      <w:r>
        <w:rPr>
          <w:rFonts w:hint="eastAsia" w:ascii="仿宋" w:hAnsi="仿宋" w:cs="仿宋"/>
          <w:color w:val="auto"/>
          <w:sz w:val="24"/>
          <w:highlight w:val="none"/>
          <w:lang w:val="en-US" w:eastAsia="zh-CN"/>
        </w:rPr>
        <w:t>16.10</w:t>
      </w:r>
      <w:r>
        <w:rPr>
          <w:rFonts w:hint="eastAsia" w:ascii="仿宋" w:hAnsi="仿宋" w:eastAsia="仿宋" w:cs="仿宋"/>
          <w:color w:val="auto"/>
          <w:sz w:val="24"/>
          <w:highlight w:val="none"/>
          <w:lang w:val="en-US" w:eastAsia="zh-CN"/>
        </w:rPr>
        <w:t>磋商过程的保密</w:t>
      </w:r>
      <w:bookmarkEnd w:id="213"/>
      <w:bookmarkEnd w:id="214"/>
      <w:bookmarkEnd w:id="215"/>
      <w:bookmarkEnd w:id="216"/>
      <w:bookmarkEnd w:id="217"/>
      <w:bookmarkEnd w:id="218"/>
      <w:bookmarkEnd w:id="219"/>
      <w:bookmarkEnd w:id="220"/>
      <w:bookmarkEnd w:id="221"/>
      <w:bookmarkEnd w:id="222"/>
    </w:p>
    <w:p w14:paraId="28F4D9AE">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4F5BEC16">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bookmarkStart w:id="223" w:name="_Toc329810208"/>
      <w:bookmarkStart w:id="224" w:name="_Toc388341214"/>
      <w:bookmarkStart w:id="225" w:name="_Toc86124068"/>
      <w:bookmarkStart w:id="226" w:name="_Toc8382308"/>
      <w:bookmarkStart w:id="227" w:name="_Toc498086611"/>
      <w:bookmarkStart w:id="228" w:name="_Toc378499713"/>
      <w:bookmarkStart w:id="229" w:name="_Toc10320852"/>
      <w:bookmarkStart w:id="230" w:name="_Toc3378770"/>
      <w:bookmarkStart w:id="231" w:name="_Toc482912965"/>
      <w:bookmarkStart w:id="232" w:name="_Toc529197741"/>
      <w:bookmarkStart w:id="233" w:name="_Toc511457531"/>
      <w:r>
        <w:rPr>
          <w:rFonts w:hint="eastAsia" w:ascii="仿宋" w:hAnsi="仿宋" w:cs="仿宋"/>
          <w:color w:val="auto"/>
          <w:sz w:val="24"/>
          <w:highlight w:val="none"/>
          <w:lang w:val="en-US" w:eastAsia="zh-CN"/>
        </w:rPr>
        <w:t>16.11</w:t>
      </w:r>
      <w:r>
        <w:rPr>
          <w:rFonts w:hint="eastAsia" w:ascii="仿宋" w:hAnsi="仿宋" w:eastAsia="仿宋" w:cs="仿宋"/>
          <w:color w:val="auto"/>
          <w:sz w:val="24"/>
          <w:highlight w:val="none"/>
          <w:lang w:val="en-US" w:eastAsia="zh-CN"/>
        </w:rPr>
        <w:t>出现下列情形之一的，将终止竞争性磋商采购活动，并发布项目终止公告并说明原因，重新开展采购活动：</w:t>
      </w:r>
      <w:bookmarkEnd w:id="223"/>
      <w:bookmarkEnd w:id="224"/>
      <w:bookmarkEnd w:id="225"/>
      <w:bookmarkEnd w:id="226"/>
      <w:bookmarkEnd w:id="227"/>
      <w:bookmarkEnd w:id="228"/>
      <w:bookmarkEnd w:id="229"/>
      <w:bookmarkEnd w:id="230"/>
      <w:bookmarkEnd w:id="231"/>
      <w:bookmarkEnd w:id="232"/>
      <w:bookmarkEnd w:id="233"/>
    </w:p>
    <w:p w14:paraId="0FA28741">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（1）因情况变化，不再符合规定的竞争性磋商采购方式适用情形的；</w:t>
      </w:r>
    </w:p>
    <w:p w14:paraId="30E6FADB">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1ECD28A0">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（3）在采购过程中符合竞争要求的供应商或者报价未超过采购预算的供应商不足3家的，但情形技术复杂或者性质特殊，不能确定详细规格或者具体要求的采购项目除外。</w:t>
      </w:r>
    </w:p>
    <w:p w14:paraId="608AC526">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bookmarkStart w:id="234" w:name="_Toc86124069"/>
      <w:bookmarkStart w:id="235" w:name="_Toc511457532"/>
      <w:bookmarkStart w:id="236" w:name="_Toc5460"/>
      <w:r>
        <w:rPr>
          <w:rFonts w:hint="eastAsia" w:ascii="仿宋" w:hAnsi="仿宋" w:eastAsia="仿宋" w:cs="仿宋"/>
          <w:color w:val="auto"/>
          <w:szCs w:val="28"/>
          <w:highlight w:val="none"/>
        </w:rPr>
        <w:t>六、成交结果</w:t>
      </w:r>
      <w:bookmarkEnd w:id="234"/>
      <w:bookmarkEnd w:id="235"/>
      <w:bookmarkEnd w:id="236"/>
    </w:p>
    <w:p w14:paraId="3D091C1A">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37" w:name="_Toc511457533"/>
      <w:bookmarkStart w:id="238" w:name="_Toc86124070"/>
      <w:bookmarkStart w:id="239" w:name="_Toc8382310"/>
      <w:bookmarkStart w:id="240" w:name="_Toc388341216"/>
      <w:bookmarkStart w:id="241" w:name="_Toc10320854"/>
      <w:bookmarkStart w:id="242" w:name="_Toc3378772"/>
      <w:bookmarkStart w:id="243" w:name="_Toc329810210"/>
      <w:bookmarkStart w:id="244" w:name="_Toc529197743"/>
      <w:bookmarkStart w:id="245" w:name="_Toc482912967"/>
      <w:bookmarkStart w:id="246" w:name="_Toc498086613"/>
      <w:bookmarkStart w:id="247" w:name="_Toc17630"/>
      <w:bookmarkStart w:id="248" w:name="_Toc13545"/>
      <w:r>
        <w:rPr>
          <w:rFonts w:hint="eastAsia" w:ascii="仿宋" w:hAnsi="仿宋" w:cs="仿宋"/>
          <w:color w:val="auto"/>
          <w:highlight w:val="none"/>
          <w:lang w:val="en-US" w:eastAsia="zh-CN"/>
        </w:rPr>
        <w:t>17.</w:t>
      </w:r>
      <w:r>
        <w:rPr>
          <w:rFonts w:hint="eastAsia" w:ascii="仿宋" w:hAnsi="仿宋" w:eastAsia="仿宋" w:cs="仿宋"/>
          <w:color w:val="auto"/>
          <w:highlight w:val="none"/>
          <w:lang w:val="en-US" w:eastAsia="zh-CN"/>
        </w:rPr>
        <w:t>成交人的确定</w:t>
      </w:r>
      <w:bookmarkEnd w:id="237"/>
      <w:bookmarkEnd w:id="238"/>
      <w:bookmarkEnd w:id="239"/>
      <w:bookmarkEnd w:id="240"/>
      <w:bookmarkEnd w:id="241"/>
      <w:bookmarkEnd w:id="242"/>
      <w:bookmarkEnd w:id="243"/>
      <w:bookmarkEnd w:id="244"/>
      <w:bookmarkEnd w:id="245"/>
      <w:bookmarkEnd w:id="246"/>
      <w:bookmarkEnd w:id="247"/>
      <w:bookmarkEnd w:id="248"/>
    </w:p>
    <w:p w14:paraId="55949BA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bookmarkStart w:id="249" w:name="_Toc329810211"/>
      <w:r>
        <w:rPr>
          <w:rFonts w:hint="eastAsia" w:ascii="仿宋" w:hAnsi="仿宋" w:cs="仿宋"/>
          <w:color w:val="auto"/>
          <w:sz w:val="24"/>
          <w:highlight w:val="none"/>
          <w:lang w:val="en-US" w:eastAsia="zh-CN"/>
        </w:rPr>
        <w:t>17.1</w:t>
      </w:r>
      <w:r>
        <w:rPr>
          <w:rFonts w:hint="eastAsia" w:ascii="仿宋" w:hAnsi="仿宋" w:eastAsia="仿宋" w:cs="仿宋"/>
          <w:color w:val="auto"/>
          <w:sz w:val="24"/>
          <w:highlight w:val="none"/>
        </w:rPr>
        <w:t>采购代理机构在评审结束后2个工作日内将评审报告送采购人确认。</w:t>
      </w:r>
    </w:p>
    <w:p w14:paraId="3D5AB94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17.2</w:t>
      </w:r>
      <w:r>
        <w:rPr>
          <w:rFonts w:hint="eastAsia" w:ascii="仿宋" w:hAnsi="仿宋" w:eastAsia="仿宋" w:cs="仿宋"/>
          <w:color w:val="auto"/>
          <w:sz w:val="24"/>
          <w:highlight w:val="none"/>
        </w:rPr>
        <w:t>采购人在收到评审报告后5个工作日内，从评审报告提出的成交候选人中，在质量和服务均能满足采购文件实质性响应要求前提下，</w:t>
      </w:r>
      <w:r>
        <w:rPr>
          <w:rFonts w:hint="eastAsia" w:ascii="仿宋" w:hAnsi="仿宋" w:eastAsia="仿宋" w:cs="仿宋"/>
          <w:color w:val="auto"/>
          <w:sz w:val="24"/>
          <w:highlight w:val="none"/>
          <w:lang w:eastAsia="zh-CN"/>
        </w:rPr>
        <w:t>按照</w:t>
      </w:r>
      <w:r>
        <w:rPr>
          <w:rFonts w:hint="eastAsia" w:ascii="仿宋" w:hAnsi="仿宋" w:eastAsia="仿宋" w:cs="仿宋"/>
          <w:color w:val="auto"/>
          <w:sz w:val="24"/>
          <w:highlight w:val="none"/>
        </w:rPr>
        <w:t>评审后总得分由高到低顺序推荐成交人。</w:t>
      </w:r>
    </w:p>
    <w:p w14:paraId="5F666E4E">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50" w:name="_Toc482912968"/>
      <w:bookmarkStart w:id="251" w:name="_Toc529197744"/>
      <w:bookmarkStart w:id="252" w:name="_Toc10320855"/>
      <w:bookmarkStart w:id="253" w:name="_Toc25840"/>
      <w:bookmarkStart w:id="254" w:name="_Toc388341217"/>
      <w:bookmarkStart w:id="255" w:name="_Toc8382311"/>
      <w:bookmarkStart w:id="256" w:name="_Toc498086614"/>
      <w:bookmarkStart w:id="257" w:name="_Toc3378773"/>
      <w:bookmarkStart w:id="258" w:name="_Toc511457534"/>
      <w:bookmarkStart w:id="259" w:name="_Toc9936"/>
      <w:r>
        <w:rPr>
          <w:rFonts w:hint="eastAsia" w:ascii="仿宋" w:hAnsi="仿宋" w:cs="仿宋"/>
          <w:color w:val="auto"/>
          <w:highlight w:val="none"/>
          <w:lang w:val="en-US" w:eastAsia="zh-CN"/>
        </w:rPr>
        <w:t>18.</w:t>
      </w:r>
      <w:r>
        <w:rPr>
          <w:rFonts w:hint="eastAsia" w:ascii="仿宋" w:hAnsi="仿宋" w:eastAsia="仿宋" w:cs="仿宋"/>
          <w:color w:val="auto"/>
          <w:highlight w:val="none"/>
          <w:lang w:val="en-US" w:eastAsia="zh-CN"/>
        </w:rPr>
        <w:t>成交通知书</w:t>
      </w:r>
      <w:bookmarkEnd w:id="249"/>
      <w:bookmarkEnd w:id="250"/>
      <w:bookmarkEnd w:id="251"/>
      <w:bookmarkEnd w:id="252"/>
      <w:bookmarkEnd w:id="253"/>
      <w:bookmarkEnd w:id="254"/>
      <w:bookmarkEnd w:id="255"/>
      <w:bookmarkEnd w:id="256"/>
      <w:bookmarkEnd w:id="257"/>
      <w:bookmarkEnd w:id="258"/>
      <w:bookmarkEnd w:id="259"/>
    </w:p>
    <w:p w14:paraId="51F2D607">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bookmarkStart w:id="260" w:name="_Toc329810212"/>
      <w:bookmarkStart w:id="261" w:name="_Toc86124072"/>
      <w:r>
        <w:rPr>
          <w:rFonts w:hint="eastAsia" w:ascii="仿宋" w:hAnsi="仿宋" w:cs="仿宋"/>
          <w:color w:val="auto"/>
          <w:sz w:val="24"/>
          <w:highlight w:val="none"/>
          <w:lang w:val="en-US" w:eastAsia="zh-CN"/>
        </w:rPr>
        <w:t>18.1</w:t>
      </w:r>
      <w:r>
        <w:rPr>
          <w:rFonts w:hint="eastAsia" w:ascii="仿宋" w:hAnsi="仿宋" w:eastAsia="仿宋" w:cs="仿宋"/>
          <w:color w:val="auto"/>
          <w:sz w:val="24"/>
          <w:highlight w:val="none"/>
        </w:rPr>
        <w:t>采购代理机构将在成交供应商确定后2个工作日内，在</w:t>
      </w:r>
      <w:r>
        <w:rPr>
          <w:rFonts w:hint="eastAsia" w:ascii="仿宋" w:hAnsi="仿宋" w:eastAsia="仿宋" w:cs="仿宋"/>
          <w:color w:val="auto"/>
          <w:sz w:val="24"/>
          <w:highlight w:val="none"/>
          <w:lang w:val="en-US" w:eastAsia="zh-CN"/>
        </w:rPr>
        <w:t>政采云平台及</w:t>
      </w:r>
      <w:r>
        <w:rPr>
          <w:rFonts w:hint="eastAsia" w:ascii="仿宋" w:hAnsi="仿宋" w:eastAsia="仿宋" w:cs="仿宋"/>
          <w:color w:val="auto"/>
          <w:sz w:val="24"/>
          <w:highlight w:val="none"/>
          <w:lang w:eastAsia="zh-CN"/>
        </w:rPr>
        <w:t>云南省政府采购网</w:t>
      </w:r>
      <w:r>
        <w:rPr>
          <w:rFonts w:hint="eastAsia" w:ascii="仿宋" w:hAnsi="仿宋" w:eastAsia="仿宋" w:cs="仿宋"/>
          <w:color w:val="auto"/>
          <w:sz w:val="24"/>
          <w:highlight w:val="none"/>
          <w:lang w:val="en-US" w:eastAsia="zh-CN"/>
        </w:rPr>
        <w:t>上发布成交</w:t>
      </w:r>
      <w:r>
        <w:rPr>
          <w:rFonts w:hint="eastAsia" w:ascii="仿宋" w:hAnsi="仿宋" w:eastAsia="仿宋" w:cs="仿宋"/>
          <w:color w:val="auto"/>
          <w:sz w:val="24"/>
          <w:highlight w:val="none"/>
        </w:rPr>
        <w:t>公告</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同时向成交供应商发出成交通知书。</w:t>
      </w:r>
    </w:p>
    <w:p w14:paraId="14DCD09C">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18.2</w:t>
      </w:r>
      <w:r>
        <w:rPr>
          <w:rFonts w:hint="eastAsia" w:ascii="仿宋" w:hAnsi="仿宋" w:eastAsia="仿宋" w:cs="仿宋"/>
          <w:color w:val="auto"/>
          <w:sz w:val="24"/>
          <w:highlight w:val="none"/>
        </w:rPr>
        <w:t>成交通知书是合同的一个组成部分。</w:t>
      </w:r>
    </w:p>
    <w:p w14:paraId="7A677945">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18.3</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除不可抗力等因素外，成交通知书发出后，采购人改变成交结果，或者成交供应商拒绝签订采购合同的，应当承担相应的法律责任。</w:t>
      </w:r>
    </w:p>
    <w:p w14:paraId="7829D475">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62" w:name="_Toc388341218"/>
      <w:bookmarkStart w:id="263" w:name="_Toc3378774"/>
      <w:bookmarkStart w:id="264" w:name="_Toc10320856"/>
      <w:bookmarkStart w:id="265" w:name="_Toc30727"/>
      <w:bookmarkStart w:id="266" w:name="_Toc511457535"/>
      <w:bookmarkStart w:id="267" w:name="_Toc529197745"/>
      <w:bookmarkStart w:id="268" w:name="_Toc482912969"/>
      <w:bookmarkStart w:id="269" w:name="_Toc498086615"/>
      <w:bookmarkStart w:id="270" w:name="_Toc8382312"/>
      <w:bookmarkStart w:id="271" w:name="_Toc29848"/>
      <w:r>
        <w:rPr>
          <w:rFonts w:hint="eastAsia" w:ascii="仿宋" w:hAnsi="仿宋" w:cs="仿宋"/>
          <w:color w:val="auto"/>
          <w:highlight w:val="none"/>
          <w:lang w:val="en-US" w:eastAsia="zh-CN"/>
        </w:rPr>
        <w:t>19.</w:t>
      </w:r>
      <w:r>
        <w:rPr>
          <w:rFonts w:hint="eastAsia" w:ascii="仿宋" w:hAnsi="仿宋" w:eastAsia="仿宋" w:cs="仿宋"/>
          <w:color w:val="auto"/>
          <w:highlight w:val="none"/>
          <w:lang w:val="en-US" w:eastAsia="zh-CN"/>
        </w:rPr>
        <w:t>签订合同</w:t>
      </w:r>
      <w:bookmarkEnd w:id="260"/>
      <w:bookmarkEnd w:id="261"/>
      <w:bookmarkEnd w:id="262"/>
      <w:bookmarkEnd w:id="263"/>
      <w:bookmarkEnd w:id="264"/>
      <w:bookmarkEnd w:id="265"/>
      <w:bookmarkEnd w:id="266"/>
      <w:bookmarkEnd w:id="267"/>
      <w:bookmarkEnd w:id="268"/>
      <w:bookmarkEnd w:id="269"/>
      <w:bookmarkEnd w:id="270"/>
      <w:bookmarkEnd w:id="271"/>
    </w:p>
    <w:p w14:paraId="2E777722">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bookmarkStart w:id="272" w:name="_Toc329810213"/>
      <w:bookmarkStart w:id="273" w:name="_Toc86124073"/>
      <w:r>
        <w:rPr>
          <w:rFonts w:hint="eastAsia" w:ascii="仿宋" w:hAnsi="仿宋" w:cs="仿宋"/>
          <w:color w:val="auto"/>
          <w:sz w:val="24"/>
          <w:highlight w:val="none"/>
          <w:lang w:val="en-US" w:eastAsia="zh-CN"/>
        </w:rPr>
        <w:t>19.1</w:t>
      </w:r>
      <w:r>
        <w:rPr>
          <w:rFonts w:hint="eastAsia" w:ascii="仿宋" w:hAnsi="仿宋" w:eastAsia="仿宋" w:cs="仿宋"/>
          <w:color w:val="auto"/>
          <w:sz w:val="24"/>
          <w:highlight w:val="none"/>
        </w:rPr>
        <w:t>采购人与成交供应商应当在成交通知书发出之日起30日内，按照采购文件确定的合同文本以及采购标的、规格型号、采购金额、采购数量、技术和服务要求等事项签订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125E66A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19.2</w:t>
      </w:r>
      <w:r>
        <w:rPr>
          <w:rFonts w:hint="eastAsia" w:ascii="仿宋" w:hAnsi="仿宋" w:eastAsia="仿宋" w:cs="仿宋"/>
          <w:color w:val="auto"/>
          <w:sz w:val="24"/>
          <w:highlight w:val="none"/>
        </w:rPr>
        <w:t>成交供应商拒绝签订采购合同的，采购人可以按照《政府采购非招标采购方式管理办法》规定的原则确定其他供应商作为成交供应商并签订</w:t>
      </w:r>
      <w:r>
        <w:rPr>
          <w:rFonts w:hint="eastAsia" w:ascii="仿宋" w:hAnsi="仿宋" w:eastAsia="仿宋" w:cs="仿宋"/>
          <w:color w:val="auto"/>
          <w:sz w:val="24"/>
          <w:highlight w:val="none"/>
          <w:lang w:val="en-US" w:eastAsia="zh-CN"/>
        </w:rPr>
        <w:t>政府</w:t>
      </w:r>
      <w:r>
        <w:rPr>
          <w:rFonts w:hint="eastAsia" w:ascii="仿宋" w:hAnsi="仿宋" w:eastAsia="仿宋" w:cs="仿宋"/>
          <w:color w:val="auto"/>
          <w:sz w:val="24"/>
          <w:highlight w:val="none"/>
        </w:rPr>
        <w:t>采购合同，也可以重新开展采购活动。拒绝签订</w:t>
      </w:r>
      <w:r>
        <w:rPr>
          <w:rFonts w:hint="eastAsia" w:ascii="仿宋" w:hAnsi="仿宋" w:eastAsia="仿宋" w:cs="仿宋"/>
          <w:color w:val="auto"/>
          <w:sz w:val="24"/>
          <w:highlight w:val="none"/>
          <w:lang w:val="en-US" w:eastAsia="zh-CN"/>
        </w:rPr>
        <w:t>政府</w:t>
      </w:r>
      <w:r>
        <w:rPr>
          <w:rFonts w:hint="eastAsia" w:ascii="仿宋" w:hAnsi="仿宋" w:eastAsia="仿宋" w:cs="仿宋"/>
          <w:color w:val="auto"/>
          <w:sz w:val="24"/>
          <w:highlight w:val="none"/>
        </w:rPr>
        <w:t>采购合同的成交供应商不得参加对该项目重新开展的采购活动。</w:t>
      </w:r>
    </w:p>
    <w:p w14:paraId="67B9FBA5">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74" w:name="_Toc3378775"/>
      <w:bookmarkStart w:id="275" w:name="_Toc388341219"/>
      <w:bookmarkStart w:id="276" w:name="_Toc10320857"/>
      <w:bookmarkStart w:id="277" w:name="_Toc8382313"/>
      <w:bookmarkStart w:id="278" w:name="_Toc482912970"/>
      <w:bookmarkStart w:id="279" w:name="_Toc511457536"/>
      <w:bookmarkStart w:id="280" w:name="_Toc529197746"/>
      <w:bookmarkStart w:id="281" w:name="_Toc1356"/>
      <w:bookmarkStart w:id="282" w:name="_Toc498086616"/>
      <w:bookmarkStart w:id="283" w:name="_Toc8314"/>
      <w:r>
        <w:rPr>
          <w:rFonts w:hint="eastAsia" w:ascii="仿宋" w:hAnsi="仿宋" w:cs="仿宋"/>
          <w:color w:val="auto"/>
          <w:highlight w:val="none"/>
          <w:lang w:val="en-US" w:eastAsia="zh-CN"/>
        </w:rPr>
        <w:t>20.</w:t>
      </w:r>
      <w:r>
        <w:rPr>
          <w:rFonts w:hint="eastAsia" w:ascii="仿宋" w:hAnsi="仿宋" w:eastAsia="仿宋" w:cs="仿宋"/>
          <w:color w:val="auto"/>
          <w:highlight w:val="none"/>
          <w:lang w:val="en-US" w:eastAsia="zh-CN"/>
        </w:rPr>
        <w:t>履约保证金</w:t>
      </w:r>
      <w:bookmarkEnd w:id="272"/>
      <w:bookmarkEnd w:id="273"/>
      <w:bookmarkEnd w:id="274"/>
      <w:bookmarkEnd w:id="275"/>
      <w:bookmarkEnd w:id="276"/>
      <w:bookmarkEnd w:id="277"/>
      <w:bookmarkEnd w:id="278"/>
      <w:bookmarkEnd w:id="279"/>
      <w:bookmarkEnd w:id="280"/>
      <w:bookmarkEnd w:id="281"/>
      <w:bookmarkEnd w:id="282"/>
      <w:bookmarkEnd w:id="283"/>
    </w:p>
    <w:p w14:paraId="430F6B7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20.1</w:t>
      </w:r>
      <w:r>
        <w:rPr>
          <w:rFonts w:hint="eastAsia" w:ascii="仿宋" w:hAnsi="仿宋" w:eastAsia="仿宋" w:cs="仿宋"/>
          <w:color w:val="auto"/>
          <w:sz w:val="24"/>
          <w:highlight w:val="none"/>
        </w:rPr>
        <w:t>成交人应按“</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”中确定的履约保证金的金额，向采购人</w:t>
      </w:r>
      <w:r>
        <w:rPr>
          <w:rFonts w:hint="eastAsia" w:ascii="仿宋" w:hAnsi="仿宋" w:eastAsia="仿宋" w:cs="仿宋"/>
          <w:color w:val="auto"/>
          <w:sz w:val="24"/>
          <w:highlight w:val="none"/>
          <w:lang w:val="en-US" w:eastAsia="zh-CN"/>
        </w:rPr>
        <w:t>提交</w:t>
      </w:r>
      <w:r>
        <w:rPr>
          <w:rFonts w:hint="eastAsia" w:ascii="仿宋" w:hAnsi="仿宋" w:eastAsia="仿宋" w:cs="仿宋"/>
          <w:color w:val="auto"/>
          <w:sz w:val="24"/>
          <w:highlight w:val="none"/>
        </w:rPr>
        <w:t>履约保证金。</w:t>
      </w:r>
    </w:p>
    <w:p w14:paraId="13648A6A">
      <w:pPr>
        <w:pStyle w:val="3"/>
        <w:keepNext/>
        <w:keepLines/>
        <w:pageBreakBefore w:val="0"/>
        <w:widowControl w:val="0"/>
        <w:kinsoku/>
        <w:wordWrap/>
        <w:overflowPunct/>
        <w:topLinePunct w:val="0"/>
        <w:autoSpaceDE/>
        <w:autoSpaceDN/>
        <w:bidi w:val="0"/>
        <w:adjustRightInd/>
        <w:snapToGrid/>
        <w:spacing w:before="0" w:after="0" w:line="360" w:lineRule="auto"/>
        <w:ind w:left="0"/>
        <w:jc w:val="center"/>
        <w:textAlignment w:val="auto"/>
        <w:rPr>
          <w:rFonts w:hint="eastAsia" w:ascii="仿宋" w:hAnsi="仿宋" w:eastAsia="仿宋" w:cs="仿宋"/>
          <w:color w:val="auto"/>
          <w:szCs w:val="28"/>
          <w:highlight w:val="none"/>
        </w:rPr>
      </w:pPr>
      <w:bookmarkStart w:id="284" w:name="_Toc86124074"/>
      <w:bookmarkStart w:id="285" w:name="_Toc511457537"/>
      <w:bookmarkStart w:id="286" w:name="_Toc7699"/>
      <w:r>
        <w:rPr>
          <w:rFonts w:hint="eastAsia" w:ascii="仿宋" w:hAnsi="仿宋" w:eastAsia="仿宋" w:cs="仿宋"/>
          <w:color w:val="auto"/>
          <w:szCs w:val="28"/>
          <w:highlight w:val="none"/>
        </w:rPr>
        <w:t>七、其他事项</w:t>
      </w:r>
      <w:bookmarkEnd w:id="284"/>
      <w:bookmarkEnd w:id="285"/>
      <w:bookmarkEnd w:id="286"/>
    </w:p>
    <w:p w14:paraId="28416DDB">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87" w:name="_Toc10320859"/>
      <w:bookmarkStart w:id="288" w:name="_Toc529197748"/>
      <w:bookmarkStart w:id="289" w:name="_Toc388341221"/>
      <w:bookmarkStart w:id="290" w:name="_Toc16737"/>
      <w:bookmarkStart w:id="291" w:name="_Toc8382315"/>
      <w:bookmarkStart w:id="292" w:name="_Toc498086618"/>
      <w:bookmarkStart w:id="293" w:name="_Toc511457538"/>
      <w:bookmarkStart w:id="294" w:name="_Toc482912972"/>
      <w:bookmarkStart w:id="295" w:name="_Toc3378777"/>
      <w:bookmarkStart w:id="296" w:name="_Toc329810215"/>
      <w:bookmarkStart w:id="297" w:name="_Toc7869"/>
      <w:r>
        <w:rPr>
          <w:rFonts w:hint="eastAsia" w:ascii="仿宋" w:hAnsi="仿宋" w:cs="仿宋"/>
          <w:color w:val="auto"/>
          <w:highlight w:val="none"/>
          <w:lang w:val="en-US" w:eastAsia="zh-CN"/>
        </w:rPr>
        <w:t>21.</w:t>
      </w:r>
      <w:r>
        <w:rPr>
          <w:rFonts w:hint="eastAsia" w:ascii="仿宋" w:hAnsi="仿宋" w:eastAsia="仿宋" w:cs="仿宋"/>
          <w:color w:val="auto"/>
          <w:highlight w:val="none"/>
          <w:lang w:val="en-US" w:eastAsia="zh-CN"/>
        </w:rPr>
        <w:t>质疑</w:t>
      </w:r>
      <w:bookmarkEnd w:id="287"/>
      <w:bookmarkEnd w:id="288"/>
      <w:bookmarkEnd w:id="289"/>
      <w:bookmarkEnd w:id="290"/>
      <w:bookmarkEnd w:id="291"/>
      <w:bookmarkEnd w:id="292"/>
      <w:bookmarkEnd w:id="293"/>
      <w:bookmarkEnd w:id="294"/>
      <w:bookmarkEnd w:id="295"/>
      <w:bookmarkEnd w:id="296"/>
      <w:bookmarkEnd w:id="297"/>
    </w:p>
    <w:p w14:paraId="120609FB">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21.1</w:t>
      </w:r>
      <w:r>
        <w:rPr>
          <w:rFonts w:hint="eastAsia" w:ascii="仿宋" w:hAnsi="仿宋" w:eastAsia="仿宋" w:cs="仿宋"/>
          <w:color w:val="auto"/>
          <w:sz w:val="24"/>
          <w:highlight w:val="none"/>
        </w:rPr>
        <w:t>供应商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2C23099B">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21.2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供应商提供的质疑书应符合中华人民共和国财政部第94号令《政府采购质疑和投诉办法》的规定。供应商提供的质疑书（如材料中有外文资料应同时附上中文译本）应当包括以下主要内容：</w:t>
      </w:r>
    </w:p>
    <w:p w14:paraId="219D6FC8">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（1）质疑项目名称；</w:t>
      </w:r>
    </w:p>
    <w:p w14:paraId="48E1BC35">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（2）质疑理由及事实依据；</w:t>
      </w:r>
    </w:p>
    <w:p w14:paraId="78362BCB">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（3）质疑对象；</w:t>
      </w:r>
    </w:p>
    <w:p w14:paraId="7E62B2D5">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（4）联系电话和地址；</w:t>
      </w:r>
    </w:p>
    <w:p w14:paraId="7500E8F6">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（5）质疑的日期；</w:t>
      </w:r>
    </w:p>
    <w:p w14:paraId="0CC170A9">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（6）质疑人署名。</w:t>
      </w:r>
    </w:p>
    <w:p w14:paraId="3D305491">
      <w:pPr>
        <w:pageBreakBefore w:val="0"/>
        <w:wordWrap/>
        <w:overflowPunct/>
        <w:topLinePunct w:val="0"/>
        <w:bidi w:val="0"/>
        <w:spacing w:line="360" w:lineRule="auto"/>
        <w:ind w:firstLine="542" w:firstLineChars="225"/>
        <w:jc w:val="left"/>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质疑书实行实名制，并提交由法定代表人或其委托代理人签字并加盖单</w:t>
      </w:r>
      <w:r>
        <w:rPr>
          <w:rFonts w:hint="eastAsia" w:ascii="仿宋" w:hAnsi="仿宋" w:cs="仿宋"/>
          <w:b/>
          <w:bCs/>
          <w:color w:val="auto"/>
          <w:sz w:val="24"/>
          <w:highlight w:val="none"/>
          <w:u w:val="single"/>
          <w:lang w:eastAsia="zh-CN"/>
        </w:rPr>
        <w:t>位公</w:t>
      </w:r>
      <w:r>
        <w:rPr>
          <w:rFonts w:hint="eastAsia" w:ascii="仿宋" w:hAnsi="仿宋" w:eastAsia="仿宋" w:cs="仿宋"/>
          <w:b/>
          <w:bCs/>
          <w:color w:val="auto"/>
          <w:sz w:val="24"/>
          <w:highlight w:val="none"/>
          <w:u w:val="single"/>
        </w:rPr>
        <w:t>章的原件。</w:t>
      </w:r>
    </w:p>
    <w:p w14:paraId="13E958AA">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21.3</w:t>
      </w:r>
      <w:r>
        <w:rPr>
          <w:rFonts w:hint="eastAsia" w:ascii="仿宋" w:hAnsi="仿宋" w:eastAsia="仿宋" w:cs="仿宋"/>
          <w:color w:val="auto"/>
          <w:sz w:val="24"/>
          <w:highlight w:val="none"/>
        </w:rPr>
        <w:t>采购人、采购代理机构将在收到供应商的书面质疑后七个工作日内</w:t>
      </w:r>
      <w:r>
        <w:rPr>
          <w:rFonts w:hint="eastAsia" w:ascii="仿宋" w:hAnsi="仿宋" w:eastAsia="仿宋" w:cs="仿宋"/>
          <w:color w:val="auto"/>
          <w:sz w:val="24"/>
          <w:highlight w:val="none"/>
          <w:lang w:eastAsia="zh-CN"/>
        </w:rPr>
        <w:t>作出</w:t>
      </w:r>
      <w:r>
        <w:rPr>
          <w:rFonts w:hint="eastAsia" w:ascii="仿宋" w:hAnsi="仿宋" w:eastAsia="仿宋" w:cs="仿宋"/>
          <w:color w:val="auto"/>
          <w:sz w:val="24"/>
          <w:highlight w:val="none"/>
        </w:rPr>
        <w:t>书面答复，但答复的内容不涉及商业秘密。</w:t>
      </w:r>
    </w:p>
    <w:p w14:paraId="48D55119">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21.4</w:t>
      </w:r>
      <w:r>
        <w:rPr>
          <w:rFonts w:hint="eastAsia" w:ascii="仿宋" w:hAnsi="仿宋" w:eastAsia="仿宋" w:cs="仿宋"/>
          <w:color w:val="auto"/>
          <w:sz w:val="24"/>
          <w:highlight w:val="none"/>
        </w:rPr>
        <w:t>参与政府采购活动的供应商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68870CD7">
      <w:pPr>
        <w:pageBreakBefore w:val="0"/>
        <w:wordWrap/>
        <w:overflowPunct/>
        <w:topLinePunct w:val="0"/>
        <w:bidi w:val="0"/>
        <w:spacing w:line="360" w:lineRule="auto"/>
        <w:ind w:firstLine="480" w:firstLineChars="200"/>
        <w:rPr>
          <w:rFonts w:hint="eastAsia" w:ascii="仿宋" w:hAnsi="仿宋" w:cs="仿宋"/>
          <w:color w:val="auto"/>
          <w:sz w:val="24"/>
          <w:highlight w:val="none"/>
          <w:lang w:eastAsia="zh-CN"/>
        </w:rPr>
      </w:pPr>
      <w:r>
        <w:rPr>
          <w:rFonts w:hint="eastAsia" w:ascii="仿宋" w:hAnsi="仿宋" w:cs="仿宋"/>
          <w:color w:val="auto"/>
          <w:sz w:val="24"/>
          <w:highlight w:val="none"/>
          <w:lang w:val="en-US" w:eastAsia="zh-CN"/>
        </w:rPr>
        <w:t>21.5</w:t>
      </w:r>
      <w:r>
        <w:rPr>
          <w:rFonts w:hint="eastAsia" w:ascii="仿宋" w:hAnsi="仿宋" w:eastAsia="仿宋" w:cs="仿宋"/>
          <w:color w:val="auto"/>
          <w:sz w:val="24"/>
          <w:highlight w:val="none"/>
        </w:rPr>
        <w:t>特别说明：决定参加该项目的供应商（即供应商）若认为磋商文件的资格要求和技术要求使其权益受到损害，可在文件发售后七个工作日内提出质疑。未在法定质疑期内提出质疑的，视为放弃就该环节提出质疑的权利</w:t>
      </w:r>
      <w:r>
        <w:rPr>
          <w:rFonts w:hint="eastAsia" w:ascii="仿宋" w:hAnsi="仿宋" w:cs="仿宋"/>
          <w:color w:val="auto"/>
          <w:sz w:val="24"/>
          <w:highlight w:val="none"/>
          <w:lang w:eastAsia="zh-CN"/>
        </w:rPr>
        <w:t>。</w:t>
      </w:r>
    </w:p>
    <w:p w14:paraId="598EDB92">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21.6</w:t>
      </w:r>
      <w:r>
        <w:rPr>
          <w:rFonts w:hint="eastAsia" w:ascii="仿宋" w:hAnsi="仿宋" w:eastAsia="仿宋" w:cs="仿宋"/>
          <w:color w:val="auto"/>
          <w:sz w:val="24"/>
          <w:szCs w:val="24"/>
          <w:highlight w:val="none"/>
        </w:rPr>
        <w:t>接收质疑函的方式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部门、联系方式及地点</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须知前附表</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rPr>
        <w:t>。</w:t>
      </w:r>
    </w:p>
    <w:p w14:paraId="5C8956BB">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298" w:name="_Toc823"/>
      <w:bookmarkStart w:id="299" w:name="_Toc30922"/>
      <w:r>
        <w:rPr>
          <w:rFonts w:hint="eastAsia" w:ascii="仿宋" w:hAnsi="仿宋" w:cs="仿宋"/>
          <w:color w:val="auto"/>
          <w:highlight w:val="none"/>
          <w:lang w:val="en-US" w:eastAsia="zh-CN"/>
        </w:rPr>
        <w:t>22.</w:t>
      </w:r>
      <w:r>
        <w:rPr>
          <w:rFonts w:hint="eastAsia" w:ascii="仿宋" w:hAnsi="仿宋" w:eastAsia="仿宋" w:cs="仿宋"/>
          <w:color w:val="auto"/>
          <w:highlight w:val="none"/>
          <w:lang w:val="en-US" w:eastAsia="zh-CN"/>
        </w:rPr>
        <w:t>投诉</w:t>
      </w:r>
      <w:bookmarkEnd w:id="298"/>
      <w:bookmarkEnd w:id="299"/>
    </w:p>
    <w:p w14:paraId="71831CB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bookmarkStart w:id="300" w:name="_Toc511457539"/>
      <w:bookmarkStart w:id="301" w:name="_Toc329810216"/>
      <w:bookmarkStart w:id="302" w:name="_Toc10320860"/>
      <w:bookmarkStart w:id="303" w:name="_Toc388341222"/>
      <w:bookmarkStart w:id="304" w:name="_Toc8382316"/>
      <w:bookmarkStart w:id="305" w:name="_Toc482912973"/>
      <w:bookmarkStart w:id="306" w:name="_Toc3378778"/>
      <w:bookmarkStart w:id="307" w:name="_Toc529197749"/>
      <w:bookmarkStart w:id="308" w:name="_Toc498086619"/>
      <w:bookmarkStart w:id="309" w:name="_Toc86124075"/>
      <w:r>
        <w:rPr>
          <w:rFonts w:hint="eastAsia" w:ascii="仿宋" w:hAnsi="仿宋" w:cs="仿宋"/>
          <w:color w:val="auto"/>
          <w:sz w:val="24"/>
          <w:highlight w:val="none"/>
          <w:lang w:val="en-US" w:eastAsia="zh-CN"/>
        </w:rPr>
        <w:t>22.1</w:t>
      </w:r>
      <w:r>
        <w:rPr>
          <w:rFonts w:hint="eastAsia" w:ascii="仿宋" w:hAnsi="仿宋" w:eastAsia="仿宋" w:cs="仿宋"/>
          <w:color w:val="auto"/>
          <w:sz w:val="24"/>
          <w:highlight w:val="none"/>
        </w:rPr>
        <w:t>投诉人必须首先经过质疑程序，在对采购人、采购代理机构的答复不满意，或者采购人、采购代理机构未在规定的时间内</w:t>
      </w:r>
      <w:r>
        <w:rPr>
          <w:rFonts w:hint="eastAsia" w:ascii="仿宋" w:hAnsi="仿宋" w:eastAsia="仿宋" w:cs="仿宋"/>
          <w:color w:val="auto"/>
          <w:sz w:val="24"/>
          <w:highlight w:val="none"/>
          <w:lang w:eastAsia="zh-CN"/>
        </w:rPr>
        <w:t>作出</w:t>
      </w:r>
      <w:r>
        <w:rPr>
          <w:rFonts w:hint="eastAsia" w:ascii="仿宋" w:hAnsi="仿宋" w:eastAsia="仿宋" w:cs="仿宋"/>
          <w:color w:val="auto"/>
          <w:sz w:val="24"/>
          <w:highlight w:val="none"/>
        </w:rPr>
        <w:t>答复的，可以在答复期满后十五个工作日内书面向监督管理部门投诉。</w:t>
      </w:r>
    </w:p>
    <w:bookmarkEnd w:id="300"/>
    <w:bookmarkEnd w:id="301"/>
    <w:bookmarkEnd w:id="302"/>
    <w:bookmarkEnd w:id="303"/>
    <w:bookmarkEnd w:id="304"/>
    <w:bookmarkEnd w:id="305"/>
    <w:bookmarkEnd w:id="306"/>
    <w:bookmarkEnd w:id="307"/>
    <w:bookmarkEnd w:id="308"/>
    <w:bookmarkEnd w:id="309"/>
    <w:p w14:paraId="1528B891">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310" w:name="_Toc7288"/>
      <w:bookmarkStart w:id="311" w:name="_Toc15670"/>
      <w:r>
        <w:rPr>
          <w:rFonts w:hint="eastAsia" w:ascii="仿宋" w:hAnsi="仿宋" w:cs="仿宋"/>
          <w:color w:val="auto"/>
          <w:highlight w:val="none"/>
          <w:lang w:val="en-US" w:eastAsia="zh-CN"/>
        </w:rPr>
        <w:t>23.</w:t>
      </w:r>
      <w:r>
        <w:rPr>
          <w:rFonts w:hint="eastAsia" w:ascii="仿宋" w:hAnsi="仿宋" w:eastAsia="仿宋" w:cs="仿宋"/>
          <w:color w:val="auto"/>
          <w:highlight w:val="none"/>
          <w:lang w:val="en-US" w:eastAsia="zh-CN"/>
        </w:rPr>
        <w:t>成交服务费</w:t>
      </w:r>
      <w:bookmarkEnd w:id="310"/>
      <w:bookmarkEnd w:id="311"/>
    </w:p>
    <w:p w14:paraId="618A0077">
      <w:pPr>
        <w:pageBreakBefore w:val="0"/>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cs="仿宋"/>
          <w:color w:val="auto"/>
          <w:sz w:val="24"/>
          <w:highlight w:val="none"/>
          <w:lang w:val="en-US" w:eastAsia="zh-CN"/>
        </w:rPr>
        <w:t>23.1</w:t>
      </w:r>
      <w:r>
        <w:rPr>
          <w:rFonts w:hint="eastAsia" w:ascii="仿宋" w:hAnsi="仿宋" w:eastAsia="仿宋" w:cs="仿宋"/>
          <w:color w:val="auto"/>
          <w:sz w:val="24"/>
          <w:highlight w:val="none"/>
          <w:lang w:eastAsia="zh-CN"/>
        </w:rPr>
        <w:t>成交服务费</w:t>
      </w:r>
      <w:r>
        <w:rPr>
          <w:rFonts w:hint="eastAsia" w:ascii="仿宋" w:hAnsi="仿宋" w:eastAsia="仿宋" w:cs="仿宋"/>
          <w:color w:val="auto"/>
          <w:sz w:val="24"/>
          <w:highlight w:val="none"/>
        </w:rPr>
        <w:t>由采购代理机构向</w:t>
      </w:r>
      <w:r>
        <w:rPr>
          <w:rFonts w:hint="eastAsia" w:ascii="仿宋" w:hAnsi="仿宋" w:eastAsia="仿宋" w:cs="仿宋"/>
          <w:color w:val="auto"/>
          <w:sz w:val="24"/>
          <w:highlight w:val="none"/>
          <w:lang w:val="en-US" w:eastAsia="zh-CN"/>
        </w:rPr>
        <w:t>成交供应商</w:t>
      </w:r>
      <w:r>
        <w:rPr>
          <w:rFonts w:hint="eastAsia" w:ascii="仿宋" w:hAnsi="仿宋" w:eastAsia="仿宋" w:cs="仿宋"/>
          <w:color w:val="auto"/>
          <w:sz w:val="24"/>
          <w:highlight w:val="none"/>
        </w:rPr>
        <w:t>收</w:t>
      </w:r>
      <w:r>
        <w:rPr>
          <w:rFonts w:hint="eastAsia" w:ascii="仿宋" w:hAnsi="仿宋" w:eastAsia="仿宋" w:cs="仿宋"/>
          <w:color w:val="auto"/>
          <w:sz w:val="24"/>
          <w:highlight w:val="none"/>
        </w:rPr>
        <w:t>取，收取标准详见“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服务收费按差额定率累进法计算。</w:t>
      </w:r>
    </w:p>
    <w:p w14:paraId="354F4160">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312" w:name="_Toc388341223"/>
      <w:bookmarkStart w:id="313" w:name="_Toc482912974"/>
      <w:bookmarkStart w:id="314" w:name="_Toc8382317"/>
      <w:bookmarkStart w:id="315" w:name="_Toc10783"/>
      <w:bookmarkStart w:id="316" w:name="_Toc498086620"/>
      <w:bookmarkStart w:id="317" w:name="_Toc329810217"/>
      <w:bookmarkStart w:id="318" w:name="_Toc3378779"/>
      <w:bookmarkStart w:id="319" w:name="_Toc511457540"/>
      <w:bookmarkStart w:id="320" w:name="_Toc10320861"/>
      <w:bookmarkStart w:id="321" w:name="_Toc529197750"/>
      <w:bookmarkStart w:id="322" w:name="_Toc1067"/>
      <w:r>
        <w:rPr>
          <w:rFonts w:hint="eastAsia" w:ascii="仿宋" w:hAnsi="仿宋" w:cs="仿宋"/>
          <w:color w:val="auto"/>
          <w:highlight w:val="none"/>
          <w:lang w:val="en-US" w:eastAsia="zh-CN"/>
        </w:rPr>
        <w:t>24.</w:t>
      </w:r>
      <w:r>
        <w:rPr>
          <w:rFonts w:hint="eastAsia" w:ascii="仿宋" w:hAnsi="仿宋" w:eastAsia="仿宋" w:cs="仿宋"/>
          <w:color w:val="auto"/>
          <w:highlight w:val="none"/>
          <w:lang w:val="en-US" w:eastAsia="zh-CN"/>
        </w:rPr>
        <w:t>磋商文件编制依据</w:t>
      </w:r>
      <w:bookmarkEnd w:id="312"/>
      <w:bookmarkEnd w:id="313"/>
      <w:bookmarkEnd w:id="314"/>
      <w:bookmarkEnd w:id="315"/>
      <w:bookmarkEnd w:id="316"/>
      <w:bookmarkEnd w:id="317"/>
      <w:bookmarkEnd w:id="318"/>
      <w:bookmarkEnd w:id="319"/>
      <w:bookmarkEnd w:id="320"/>
      <w:bookmarkEnd w:id="321"/>
      <w:bookmarkEnd w:id="322"/>
    </w:p>
    <w:p w14:paraId="1F3AD5F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24.1</w:t>
      </w:r>
      <w:r>
        <w:rPr>
          <w:rFonts w:hint="eastAsia" w:ascii="仿宋" w:hAnsi="仿宋" w:eastAsia="仿宋" w:cs="仿宋"/>
          <w:color w:val="auto"/>
          <w:sz w:val="24"/>
          <w:highlight w:val="none"/>
        </w:rPr>
        <w:t>本竞争性磋商文件是</w:t>
      </w:r>
      <w:r>
        <w:rPr>
          <w:rFonts w:hint="eastAsia" w:ascii="仿宋" w:hAnsi="仿宋" w:eastAsia="仿宋" w:cs="仿宋"/>
          <w:color w:val="auto"/>
          <w:sz w:val="24"/>
          <w:highlight w:val="none"/>
          <w:lang w:eastAsia="zh-CN"/>
        </w:rPr>
        <w:t>根据</w:t>
      </w:r>
      <w:r>
        <w:rPr>
          <w:rFonts w:hint="eastAsia" w:ascii="仿宋" w:hAnsi="仿宋" w:eastAsia="仿宋" w:cs="仿宋"/>
          <w:color w:val="auto"/>
          <w:spacing w:val="6"/>
          <w:kern w:val="0"/>
          <w:sz w:val="24"/>
          <w:highlight w:val="none"/>
          <w:lang w:val="zh-CN"/>
        </w:rPr>
        <w:t>《中华人民共和国政府采购法》《中华人民共和国政府采购法实施条例》《政府采购竞争性磋商采购方式管理暂行办法》（财库〔2014〕214号）等有关法律法规和规章的规定</w:t>
      </w:r>
      <w:r>
        <w:rPr>
          <w:rFonts w:hint="eastAsia" w:ascii="仿宋" w:hAnsi="仿宋" w:eastAsia="仿宋" w:cs="仿宋"/>
          <w:color w:val="auto"/>
          <w:sz w:val="24"/>
          <w:highlight w:val="none"/>
        </w:rPr>
        <w:t>编制。</w:t>
      </w:r>
    </w:p>
    <w:p w14:paraId="54197AD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24.2本次</w:t>
      </w:r>
      <w:r>
        <w:rPr>
          <w:rFonts w:hint="eastAsia" w:ascii="仿宋" w:hAnsi="仿宋" w:eastAsia="仿宋" w:cs="仿宋"/>
          <w:color w:val="auto"/>
          <w:sz w:val="24"/>
          <w:szCs w:val="24"/>
          <w:highlight w:val="none"/>
          <w:lang w:val="en-US" w:eastAsia="zh-CN"/>
        </w:rPr>
        <w:t>竞争性磋商仅适用于本次竞争性磋商公告中所叙述的项目。</w:t>
      </w:r>
    </w:p>
    <w:p w14:paraId="222BA539">
      <w:pPr>
        <w:pStyle w:val="4"/>
        <w:pageBreakBefore w:val="0"/>
        <w:widowControl w:val="0"/>
        <w:kinsoku/>
        <w:wordWrap/>
        <w:overflowPunct/>
        <w:topLinePunct w:val="0"/>
        <w:bidi w:val="0"/>
        <w:snapToGrid/>
        <w:spacing w:before="0" w:after="0" w:line="360" w:lineRule="auto"/>
        <w:ind w:firstLine="482"/>
        <w:jc w:val="left"/>
        <w:textAlignment w:val="auto"/>
        <w:rPr>
          <w:rFonts w:hint="eastAsia" w:ascii="仿宋" w:hAnsi="仿宋" w:eastAsia="仿宋" w:cs="仿宋"/>
          <w:color w:val="auto"/>
          <w:highlight w:val="none"/>
          <w:lang w:val="en-US" w:eastAsia="zh-CN"/>
        </w:rPr>
      </w:pPr>
      <w:bookmarkStart w:id="323" w:name="_Toc529197751"/>
      <w:bookmarkStart w:id="324" w:name="_Toc10320862"/>
      <w:bookmarkStart w:id="325" w:name="_Toc86124077"/>
      <w:bookmarkStart w:id="326" w:name="_Toc482912975"/>
      <w:bookmarkStart w:id="327" w:name="_Toc8382318"/>
      <w:bookmarkStart w:id="328" w:name="_Toc388341224"/>
      <w:bookmarkStart w:id="329" w:name="_Toc511457541"/>
      <w:bookmarkStart w:id="330" w:name="_Toc498086621"/>
      <w:bookmarkStart w:id="331" w:name="_Toc21463"/>
      <w:bookmarkStart w:id="332" w:name="_Toc329810218"/>
      <w:bookmarkStart w:id="333" w:name="_Toc3378780"/>
      <w:bookmarkStart w:id="334" w:name="_Toc3793"/>
      <w:r>
        <w:rPr>
          <w:rFonts w:hint="eastAsia" w:ascii="仿宋" w:hAnsi="仿宋" w:cs="仿宋"/>
          <w:color w:val="auto"/>
          <w:highlight w:val="none"/>
          <w:lang w:val="en-US" w:eastAsia="zh-CN"/>
        </w:rPr>
        <w:t>25.</w:t>
      </w:r>
      <w:r>
        <w:rPr>
          <w:rFonts w:hint="eastAsia" w:ascii="仿宋" w:hAnsi="仿宋" w:eastAsia="仿宋" w:cs="仿宋"/>
          <w:color w:val="auto"/>
          <w:highlight w:val="none"/>
          <w:lang w:val="en-US" w:eastAsia="zh-CN"/>
        </w:rPr>
        <w:t>需要补充的其他内容</w:t>
      </w:r>
      <w:bookmarkEnd w:id="323"/>
      <w:bookmarkEnd w:id="324"/>
      <w:bookmarkEnd w:id="325"/>
      <w:bookmarkEnd w:id="326"/>
      <w:bookmarkEnd w:id="327"/>
      <w:bookmarkEnd w:id="328"/>
      <w:bookmarkEnd w:id="329"/>
      <w:bookmarkEnd w:id="330"/>
      <w:bookmarkEnd w:id="331"/>
      <w:bookmarkEnd w:id="332"/>
      <w:bookmarkEnd w:id="333"/>
      <w:bookmarkEnd w:id="334"/>
    </w:p>
    <w:p w14:paraId="740DE428">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25.1</w:t>
      </w:r>
      <w:r>
        <w:rPr>
          <w:rFonts w:hint="eastAsia" w:ascii="仿宋" w:hAnsi="仿宋" w:eastAsia="仿宋" w:cs="仿宋"/>
          <w:color w:val="auto"/>
          <w:sz w:val="24"/>
          <w:highlight w:val="none"/>
        </w:rPr>
        <w:t>需要补充的其他内容：见“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bookmarkStart w:id="335" w:name="_Toc86124078"/>
    </w:p>
    <w:p w14:paraId="60749315">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43863CF3">
      <w:pPr>
        <w:pStyle w:val="2"/>
        <w:pageBreakBefore w:val="0"/>
        <w:wordWrap/>
        <w:overflowPunct/>
        <w:topLinePunct w:val="0"/>
        <w:bidi w:val="0"/>
        <w:spacing w:line="360" w:lineRule="auto"/>
        <w:jc w:val="center"/>
        <w:rPr>
          <w:rFonts w:hint="eastAsia" w:ascii="仿宋" w:hAnsi="仿宋" w:eastAsia="仿宋" w:cs="仿宋"/>
          <w:color w:val="auto"/>
          <w:sz w:val="32"/>
          <w:szCs w:val="32"/>
          <w:highlight w:val="none"/>
        </w:rPr>
      </w:pPr>
      <w:bookmarkStart w:id="336" w:name="_Toc15297"/>
      <w:r>
        <w:rPr>
          <w:rFonts w:hint="eastAsia" w:ascii="仿宋" w:hAnsi="仿宋" w:eastAsia="仿宋" w:cs="仿宋"/>
          <w:color w:val="auto"/>
          <w:sz w:val="32"/>
          <w:szCs w:val="32"/>
          <w:highlight w:val="none"/>
        </w:rPr>
        <w:t>第三章  合同书样式及主要条款</w:t>
      </w:r>
      <w:bookmarkEnd w:id="335"/>
      <w:bookmarkEnd w:id="336"/>
    </w:p>
    <w:p w14:paraId="7807294D">
      <w:pPr>
        <w:pStyle w:val="3"/>
        <w:pageBreakBefore w:val="0"/>
        <w:wordWrap/>
        <w:overflowPunct/>
        <w:topLinePunct w:val="0"/>
        <w:bidi w:val="0"/>
        <w:spacing w:before="0" w:after="0" w:line="360" w:lineRule="auto"/>
        <w:rPr>
          <w:rFonts w:hint="eastAsia" w:ascii="仿宋" w:hAnsi="仿宋" w:eastAsia="仿宋" w:cs="仿宋"/>
          <w:color w:val="auto"/>
          <w:szCs w:val="28"/>
          <w:highlight w:val="none"/>
        </w:rPr>
      </w:pPr>
      <w:bookmarkStart w:id="337" w:name="_Toc511457543"/>
      <w:bookmarkStart w:id="338" w:name="_Toc11987"/>
      <w:bookmarkStart w:id="339" w:name="_Toc19684"/>
      <w:bookmarkStart w:id="340" w:name="_Toc86124079"/>
      <w:bookmarkStart w:id="341" w:name="_Toc31879"/>
      <w:bookmarkStart w:id="342" w:name="_Toc7768"/>
      <w:bookmarkStart w:id="343" w:name="_Toc14331"/>
      <w:bookmarkStart w:id="344" w:name="_Toc14614"/>
      <w:bookmarkStart w:id="345" w:name="_Toc3378782"/>
      <w:bookmarkStart w:id="346" w:name="_Toc18148"/>
      <w:bookmarkStart w:id="347" w:name="_Toc8655"/>
      <w:bookmarkStart w:id="348" w:name="_Toc10320864"/>
      <w:bookmarkStart w:id="349" w:name="_Toc8382320"/>
      <w:bookmarkStart w:id="350" w:name="_Toc529197753"/>
      <w:bookmarkStart w:id="351" w:name="_Toc498086623"/>
      <w:bookmarkStart w:id="352" w:name="_Toc19447"/>
      <w:r>
        <w:rPr>
          <w:rFonts w:hint="eastAsia" w:ascii="仿宋" w:hAnsi="仿宋" w:eastAsia="仿宋" w:cs="仿宋"/>
          <w:color w:val="auto"/>
          <w:szCs w:val="28"/>
          <w:highlight w:val="none"/>
        </w:rPr>
        <w:t>合同条款前附表</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Style w:val="38"/>
        <w:tblW w:w="978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786"/>
        <w:gridCol w:w="7076"/>
      </w:tblGrid>
      <w:tr w14:paraId="2B17918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26" w:type="dxa"/>
            <w:vAlign w:val="center"/>
          </w:tcPr>
          <w:p w14:paraId="025C1A21">
            <w:pPr>
              <w:pStyle w:val="16"/>
              <w:pageBreakBefore w:val="0"/>
              <w:shd w:val="clear"/>
              <w:wordWrap/>
              <w:overflowPunct/>
              <w:topLinePunct w:val="0"/>
              <w:bidi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786" w:type="dxa"/>
            <w:vAlign w:val="center"/>
          </w:tcPr>
          <w:p w14:paraId="59E40B0F">
            <w:pPr>
              <w:pStyle w:val="16"/>
              <w:pageBreakBefore w:val="0"/>
              <w:shd w:val="clear"/>
              <w:wordWrap/>
              <w:overflowPunct/>
              <w:topLinePunct w:val="0"/>
              <w:bidi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w:t>
            </w:r>
          </w:p>
        </w:tc>
        <w:tc>
          <w:tcPr>
            <w:tcW w:w="7076" w:type="dxa"/>
            <w:vAlign w:val="center"/>
          </w:tcPr>
          <w:p w14:paraId="4FBEEA66">
            <w:pPr>
              <w:pStyle w:val="16"/>
              <w:pageBreakBefore w:val="0"/>
              <w:shd w:val="clear"/>
              <w:wordWrap/>
              <w:overflowPunct/>
              <w:topLinePunct w:val="0"/>
              <w:bidi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内      容</w:t>
            </w:r>
          </w:p>
        </w:tc>
      </w:tr>
      <w:tr w14:paraId="00AEAE2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926" w:type="dxa"/>
            <w:vAlign w:val="center"/>
          </w:tcPr>
          <w:p w14:paraId="4207AF94">
            <w:pPr>
              <w:pStyle w:val="16"/>
              <w:pageBreakBefore w:val="0"/>
              <w:shd w:val="clear"/>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786" w:type="dxa"/>
            <w:vAlign w:val="center"/>
          </w:tcPr>
          <w:p w14:paraId="24DA297C">
            <w:pPr>
              <w:pStyle w:val="16"/>
              <w:pageBreakBefore w:val="0"/>
              <w:shd w:val="clear"/>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bCs/>
                <w:color w:val="auto"/>
                <w:sz w:val="24"/>
                <w:highlight w:val="none"/>
                <w:lang w:val="en-US" w:eastAsia="zh-CN"/>
              </w:rPr>
              <w:t>合同履行期限</w:t>
            </w:r>
          </w:p>
        </w:tc>
        <w:tc>
          <w:tcPr>
            <w:tcW w:w="7076" w:type="dxa"/>
            <w:vAlign w:val="center"/>
          </w:tcPr>
          <w:p w14:paraId="74C0B366">
            <w:pPr>
              <w:pStyle w:val="16"/>
              <w:pageBreakBefore w:val="0"/>
              <w:shd w:val="clear"/>
              <w:wordWrap/>
              <w:overflowPunct/>
              <w:topLinePunct w:val="0"/>
              <w:bidi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kern w:val="0"/>
                <w:sz w:val="24"/>
                <w:szCs w:val="24"/>
                <w:highlight w:val="none"/>
                <w:lang w:val="en-US" w:eastAsia="zh-CN" w:bidi="ar"/>
              </w:rPr>
              <w:t>6个月，具体拍摄、交付计划以双方书面确认文件为准</w:t>
            </w:r>
            <w:r>
              <w:rPr>
                <w:rFonts w:hint="eastAsia" w:ascii="仿宋" w:hAnsi="仿宋" w:cs="仿宋"/>
                <w:color w:val="auto"/>
                <w:kern w:val="0"/>
                <w:sz w:val="24"/>
                <w:szCs w:val="24"/>
                <w:highlight w:val="none"/>
                <w:lang w:val="en-US" w:eastAsia="zh-CN" w:bidi="ar"/>
              </w:rPr>
              <w:t>。</w:t>
            </w:r>
          </w:p>
        </w:tc>
      </w:tr>
      <w:tr w14:paraId="5EE9936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926" w:type="dxa"/>
            <w:vAlign w:val="center"/>
          </w:tcPr>
          <w:p w14:paraId="719786EF">
            <w:pPr>
              <w:pStyle w:val="16"/>
              <w:pageBreakBefore w:val="0"/>
              <w:shd w:val="clear"/>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2</w:t>
            </w:r>
          </w:p>
        </w:tc>
        <w:tc>
          <w:tcPr>
            <w:tcW w:w="1786" w:type="dxa"/>
            <w:vAlign w:val="center"/>
          </w:tcPr>
          <w:p w14:paraId="26108105">
            <w:pPr>
              <w:pStyle w:val="16"/>
              <w:pageBreakBefore w:val="0"/>
              <w:shd w:val="clear"/>
              <w:wordWrap/>
              <w:overflowPunct/>
              <w:topLinePunct w:val="0"/>
              <w:bidi w:val="0"/>
              <w:spacing w:line="360" w:lineRule="auto"/>
              <w:jc w:val="center"/>
              <w:rPr>
                <w:rFonts w:hint="default" w:ascii="仿宋" w:hAnsi="仿宋" w:eastAsia="仿宋" w:cs="仿宋"/>
                <w:bCs/>
                <w:color w:val="auto"/>
                <w:sz w:val="24"/>
                <w:highlight w:val="none"/>
                <w:lang w:val="en-US" w:eastAsia="zh-CN"/>
              </w:rPr>
            </w:pPr>
            <w:r>
              <w:rPr>
                <w:rFonts w:hint="eastAsia" w:ascii="仿宋" w:hAnsi="仿宋" w:cs="仿宋"/>
                <w:bCs/>
                <w:color w:val="auto"/>
                <w:sz w:val="24"/>
                <w:highlight w:val="none"/>
                <w:lang w:val="en-US" w:eastAsia="zh-CN"/>
              </w:rPr>
              <w:t>付款方式</w:t>
            </w:r>
          </w:p>
        </w:tc>
        <w:tc>
          <w:tcPr>
            <w:tcW w:w="7076" w:type="dxa"/>
            <w:vAlign w:val="center"/>
          </w:tcPr>
          <w:p w14:paraId="738C852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1. </w:t>
            </w:r>
            <w:r>
              <w:rPr>
                <w:rStyle w:val="41"/>
                <w:rFonts w:hint="eastAsia" w:ascii="仿宋" w:hAnsi="仿宋" w:eastAsia="仿宋" w:cs="仿宋"/>
                <w:color w:val="auto"/>
                <w:kern w:val="0"/>
                <w:sz w:val="24"/>
                <w:szCs w:val="24"/>
                <w:highlight w:val="none"/>
                <w:lang w:val="en-US" w:eastAsia="zh-CN" w:bidi="ar"/>
              </w:rPr>
              <w:t>首期预付款</w:t>
            </w:r>
            <w:r>
              <w:rPr>
                <w:rFonts w:hint="eastAsia" w:ascii="仿宋" w:hAnsi="仿宋" w:eastAsia="仿宋" w:cs="仿宋"/>
                <w:color w:val="auto"/>
                <w:kern w:val="0"/>
                <w:sz w:val="24"/>
                <w:szCs w:val="24"/>
                <w:highlight w:val="none"/>
                <w:lang w:val="en-US" w:eastAsia="zh-CN" w:bidi="ar"/>
              </w:rPr>
              <w:t>：供应商提交的具体策划执行方案经甲方审核通过后7个工作日内，支付合同金额的50%。</w:t>
            </w:r>
          </w:p>
          <w:p w14:paraId="55C8F8C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2. </w:t>
            </w:r>
            <w:r>
              <w:rPr>
                <w:rStyle w:val="41"/>
                <w:rFonts w:hint="eastAsia" w:ascii="仿宋" w:hAnsi="仿宋" w:eastAsia="仿宋" w:cs="仿宋"/>
                <w:color w:val="auto"/>
                <w:kern w:val="0"/>
                <w:sz w:val="24"/>
                <w:szCs w:val="24"/>
                <w:highlight w:val="none"/>
                <w:lang w:val="en-US" w:eastAsia="zh-CN" w:bidi="ar"/>
              </w:rPr>
              <w:t>阶段性结算</w:t>
            </w:r>
            <w:r>
              <w:rPr>
                <w:rFonts w:hint="eastAsia" w:ascii="仿宋" w:hAnsi="仿宋" w:eastAsia="仿宋" w:cs="仿宋"/>
                <w:color w:val="auto"/>
                <w:kern w:val="0"/>
                <w:sz w:val="24"/>
                <w:szCs w:val="24"/>
                <w:highlight w:val="none"/>
                <w:lang w:val="en-US" w:eastAsia="zh-CN" w:bidi="ar"/>
              </w:rPr>
              <w:t>：供应商每完成10个人物内容并提交全套成果，甲方10个工作日内完成审核验收，验收合格后甲方支付合同金额的30%；后续每完成10人成果并验收合格后，7个工作日内据实支付对应服务费。</w:t>
            </w:r>
          </w:p>
          <w:p w14:paraId="1CFBD9A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3. </w:t>
            </w:r>
            <w:r>
              <w:rPr>
                <w:rStyle w:val="41"/>
                <w:rFonts w:hint="eastAsia" w:ascii="仿宋" w:hAnsi="仿宋" w:eastAsia="仿宋" w:cs="仿宋"/>
                <w:color w:val="auto"/>
                <w:kern w:val="0"/>
                <w:sz w:val="24"/>
                <w:szCs w:val="24"/>
                <w:highlight w:val="none"/>
                <w:lang w:val="en-US" w:eastAsia="zh-CN" w:bidi="ar"/>
              </w:rPr>
              <w:t>最终结算</w:t>
            </w:r>
            <w:r>
              <w:rPr>
                <w:rFonts w:hint="eastAsia" w:ascii="仿宋" w:hAnsi="仿宋" w:eastAsia="仿宋" w:cs="仿宋"/>
                <w:color w:val="auto"/>
                <w:kern w:val="0"/>
                <w:sz w:val="24"/>
                <w:szCs w:val="24"/>
                <w:highlight w:val="none"/>
                <w:lang w:val="en-US" w:eastAsia="zh-CN" w:bidi="ar"/>
              </w:rPr>
              <w:t>：项目全部完成后，双方根据最终验收合格的人物总数量统一核算总费用，据实结算。</w:t>
            </w:r>
          </w:p>
          <w:p w14:paraId="519E8B6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4. </w:t>
            </w:r>
            <w:r>
              <w:rPr>
                <w:rStyle w:val="41"/>
                <w:rFonts w:hint="eastAsia" w:ascii="仿宋" w:hAnsi="仿宋" w:eastAsia="仿宋" w:cs="仿宋"/>
                <w:color w:val="auto"/>
                <w:kern w:val="0"/>
                <w:sz w:val="24"/>
                <w:szCs w:val="24"/>
                <w:highlight w:val="none"/>
                <w:lang w:val="en-US" w:eastAsia="zh-CN" w:bidi="ar"/>
              </w:rPr>
              <w:t>付款前提</w:t>
            </w:r>
            <w:r>
              <w:rPr>
                <w:rFonts w:hint="eastAsia" w:ascii="仿宋" w:hAnsi="仿宋" w:eastAsia="仿宋" w:cs="仿宋"/>
                <w:color w:val="auto"/>
                <w:kern w:val="0"/>
                <w:sz w:val="24"/>
                <w:szCs w:val="24"/>
                <w:highlight w:val="none"/>
                <w:lang w:val="en-US" w:eastAsia="zh-CN" w:bidi="ar"/>
              </w:rPr>
              <w:t>：供应商需按甲方财务要求提供合法有效的增值税发票及收款资料，否则甲方有权顺延付款。</w:t>
            </w:r>
          </w:p>
          <w:p w14:paraId="71E6F6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cs="仿宋"/>
                <w:color w:val="auto"/>
                <w:sz w:val="24"/>
                <w:highlight w:val="none"/>
                <w:lang w:val="en-US" w:eastAsia="zh-CN"/>
              </w:rPr>
            </w:pPr>
            <w:r>
              <w:rPr>
                <w:rFonts w:hint="eastAsia" w:ascii="仿宋" w:hAnsi="仿宋" w:eastAsia="仿宋" w:cs="仿宋"/>
                <w:color w:val="auto"/>
                <w:kern w:val="0"/>
                <w:sz w:val="24"/>
                <w:szCs w:val="24"/>
                <w:highlight w:val="none"/>
                <w:lang w:val="en-US" w:eastAsia="zh-CN" w:bidi="ar"/>
              </w:rPr>
              <w:t xml:space="preserve">5. </w:t>
            </w:r>
            <w:r>
              <w:rPr>
                <w:rStyle w:val="41"/>
                <w:rFonts w:hint="eastAsia" w:ascii="仿宋" w:hAnsi="仿宋" w:eastAsia="仿宋" w:cs="仿宋"/>
                <w:color w:val="auto"/>
                <w:kern w:val="0"/>
                <w:sz w:val="24"/>
                <w:szCs w:val="24"/>
                <w:highlight w:val="none"/>
                <w:lang w:val="en-US" w:eastAsia="zh-CN" w:bidi="ar"/>
              </w:rPr>
              <w:t>验收默认规则</w:t>
            </w:r>
            <w:r>
              <w:rPr>
                <w:rFonts w:hint="eastAsia" w:ascii="仿宋" w:hAnsi="仿宋" w:eastAsia="仿宋" w:cs="仿宋"/>
                <w:color w:val="auto"/>
                <w:kern w:val="0"/>
                <w:sz w:val="24"/>
                <w:szCs w:val="24"/>
                <w:highlight w:val="none"/>
                <w:lang w:val="en-US" w:eastAsia="zh-CN" w:bidi="ar"/>
              </w:rPr>
              <w:t>：甲方收到阶段性成果后10个工作日内未提出书面异议的，视为自动验收合格，付款期限自审核期满次日起计算。</w:t>
            </w:r>
          </w:p>
        </w:tc>
      </w:tr>
    </w:tbl>
    <w:p w14:paraId="50993FD4">
      <w:pPr>
        <w:pageBreakBefore w:val="0"/>
        <w:wordWrap/>
        <w:overflowPunct/>
        <w:topLinePunct w:val="0"/>
        <w:bidi w:val="0"/>
        <w:spacing w:line="360" w:lineRule="auto"/>
        <w:rPr>
          <w:rFonts w:hint="eastAsia" w:ascii="仿宋" w:hAnsi="仿宋" w:eastAsia="仿宋" w:cs="仿宋"/>
          <w:b/>
          <w:bCs/>
          <w:color w:val="auto"/>
          <w:highlight w:val="none"/>
        </w:rPr>
      </w:pPr>
    </w:p>
    <w:p w14:paraId="6325FF6A">
      <w:pPr>
        <w:pageBreakBefore w:val="0"/>
        <w:wordWrap/>
        <w:overflowPunct/>
        <w:topLinePunct w:val="0"/>
        <w:bidi w:val="0"/>
        <w:spacing w:line="360" w:lineRule="auto"/>
        <w:ind w:firstLine="482" w:firstLineChars="200"/>
        <w:rPr>
          <w:rFonts w:hint="eastAsia" w:ascii="仿宋" w:hAnsi="仿宋" w:eastAsia="仿宋" w:cs="仿宋"/>
          <w:b/>
          <w:color w:val="auto"/>
          <w:sz w:val="24"/>
          <w:highlight w:val="none"/>
        </w:rPr>
      </w:pPr>
    </w:p>
    <w:p w14:paraId="23604EAA">
      <w:pPr>
        <w:pageBreakBefore w:val="0"/>
        <w:wordWrap/>
        <w:overflowPunct/>
        <w:topLinePunct w:val="0"/>
        <w:autoSpaceDE w:val="0"/>
        <w:autoSpaceDN w:val="0"/>
        <w:bidi w:val="0"/>
        <w:adjustRightInd w:val="0"/>
        <w:spacing w:line="360" w:lineRule="auto"/>
        <w:ind w:right="568"/>
        <w:rPr>
          <w:rFonts w:hint="eastAsia" w:ascii="仿宋" w:hAnsi="仿宋" w:eastAsia="仿宋" w:cs="仿宋"/>
          <w:color w:val="auto"/>
          <w:kern w:val="0"/>
          <w:sz w:val="24"/>
          <w:highlight w:val="none"/>
        </w:rPr>
      </w:pPr>
      <w:r>
        <w:rPr>
          <w:rFonts w:hint="eastAsia" w:ascii="仿宋" w:hAnsi="仿宋" w:eastAsia="仿宋" w:cs="仿宋"/>
          <w:color w:val="auto"/>
          <w:sz w:val="36"/>
          <w:highlight w:val="none"/>
        </w:rPr>
        <w:br w:type="page"/>
      </w:r>
    </w:p>
    <w:p w14:paraId="0C5174FA">
      <w:pPr>
        <w:pageBreakBefore w:val="0"/>
        <w:wordWrap/>
        <w:overflowPunct/>
        <w:topLinePunct w:val="0"/>
        <w:autoSpaceDE w:val="0"/>
        <w:autoSpaceDN w:val="0"/>
        <w:bidi w:val="0"/>
        <w:adjustRightInd w:val="0"/>
        <w:spacing w:line="360" w:lineRule="auto"/>
        <w:ind w:right="-72"/>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注：</w:t>
      </w:r>
      <w:r>
        <w:rPr>
          <w:rFonts w:hint="eastAsia" w:ascii="仿宋" w:hAnsi="仿宋" w:eastAsia="仿宋" w:cs="仿宋"/>
          <w:b/>
          <w:color w:val="auto"/>
          <w:sz w:val="24"/>
          <w:highlight w:val="none"/>
          <w:u w:val="single"/>
        </w:rPr>
        <w:t>本合同样式仅供参考，具体合同以采购人与成交人</w:t>
      </w:r>
      <w:r>
        <w:rPr>
          <w:rFonts w:hint="eastAsia" w:ascii="仿宋" w:hAnsi="仿宋" w:eastAsia="仿宋" w:cs="仿宋"/>
          <w:b/>
          <w:color w:val="auto"/>
          <w:sz w:val="24"/>
          <w:highlight w:val="none"/>
          <w:u w:val="single"/>
          <w:lang w:eastAsia="zh-CN"/>
        </w:rPr>
        <w:t>签订的合同</w:t>
      </w:r>
      <w:r>
        <w:rPr>
          <w:rFonts w:hint="eastAsia" w:ascii="仿宋" w:hAnsi="仿宋" w:eastAsia="仿宋" w:cs="仿宋"/>
          <w:b/>
          <w:color w:val="auto"/>
          <w:sz w:val="24"/>
          <w:highlight w:val="none"/>
          <w:u w:val="single"/>
        </w:rPr>
        <w:t>内容为准</w:t>
      </w:r>
      <w:r>
        <w:rPr>
          <w:rFonts w:hint="eastAsia" w:ascii="仿宋" w:hAnsi="仿宋" w:eastAsia="仿宋" w:cs="仿宋"/>
          <w:color w:val="auto"/>
          <w:sz w:val="24"/>
          <w:highlight w:val="none"/>
        </w:rPr>
        <w:t>）</w:t>
      </w:r>
    </w:p>
    <w:p w14:paraId="29C0D1DE">
      <w:pPr>
        <w:pageBreakBefore w:val="0"/>
        <w:wordWrap/>
        <w:overflowPunct/>
        <w:topLinePunct w:val="0"/>
        <w:autoSpaceDE w:val="0"/>
        <w:autoSpaceDN w:val="0"/>
        <w:bidi w:val="0"/>
        <w:adjustRightInd w:val="0"/>
        <w:spacing w:line="360" w:lineRule="auto"/>
        <w:ind w:right="568"/>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24"/>
          <w:highlight w:val="none"/>
        </w:rPr>
        <w:t>●本合同须加盖甲乙双方骑缝章有效</w:t>
      </w:r>
    </w:p>
    <w:p w14:paraId="07CADD86">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52"/>
          <w:szCs w:val="52"/>
          <w:highlight w:val="none"/>
        </w:rPr>
      </w:pPr>
    </w:p>
    <w:p w14:paraId="1391BAAF">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52"/>
          <w:szCs w:val="52"/>
          <w:highlight w:val="none"/>
        </w:rPr>
      </w:pPr>
    </w:p>
    <w:p w14:paraId="485E741C">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52"/>
          <w:szCs w:val="52"/>
          <w:highlight w:val="none"/>
        </w:rPr>
      </w:pPr>
      <w:r>
        <w:rPr>
          <w:rFonts w:hint="eastAsia" w:ascii="仿宋" w:hAnsi="仿宋" w:eastAsia="仿宋" w:cs="仿宋"/>
          <w:color w:val="auto"/>
          <w:kern w:val="0"/>
          <w:sz w:val="52"/>
          <w:szCs w:val="52"/>
          <w:highlight w:val="none"/>
        </w:rPr>
        <w:t>政 府 采 购</w:t>
      </w:r>
    </w:p>
    <w:p w14:paraId="2FCD629E">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b/>
          <w:color w:val="auto"/>
          <w:kern w:val="0"/>
          <w:sz w:val="44"/>
          <w:szCs w:val="44"/>
          <w:highlight w:val="none"/>
        </w:rPr>
      </w:pPr>
    </w:p>
    <w:p w14:paraId="5350E825">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b/>
          <w:color w:val="auto"/>
          <w:kern w:val="0"/>
          <w:sz w:val="44"/>
          <w:szCs w:val="44"/>
          <w:highlight w:val="none"/>
        </w:rPr>
      </w:pPr>
      <w:r>
        <w:rPr>
          <w:rFonts w:hint="eastAsia" w:ascii="仿宋" w:hAnsi="仿宋" w:eastAsia="仿宋" w:cs="仿宋"/>
          <w:color w:val="auto"/>
          <w:sz w:val="33"/>
          <w:szCs w:val="33"/>
          <w:highlight w:val="none"/>
        </w:rPr>
        <w:t>（委托采购）</w:t>
      </w:r>
    </w:p>
    <w:p w14:paraId="0100A19C">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18"/>
          <w:szCs w:val="18"/>
          <w:highlight w:val="none"/>
        </w:rPr>
      </w:pPr>
    </w:p>
    <w:p w14:paraId="5BBAA30A">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18"/>
          <w:szCs w:val="18"/>
          <w:highlight w:val="none"/>
        </w:rPr>
      </w:pPr>
    </w:p>
    <w:p w14:paraId="296E56EC">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84"/>
          <w:szCs w:val="84"/>
          <w:highlight w:val="none"/>
        </w:rPr>
      </w:pPr>
      <w:r>
        <w:rPr>
          <w:rFonts w:hint="eastAsia" w:ascii="仿宋" w:hAnsi="仿宋" w:eastAsia="仿宋" w:cs="仿宋"/>
          <w:color w:val="auto"/>
          <w:kern w:val="0"/>
          <w:sz w:val="84"/>
          <w:szCs w:val="84"/>
          <w:highlight w:val="none"/>
        </w:rPr>
        <w:t xml:space="preserve">合 </w:t>
      </w:r>
    </w:p>
    <w:p w14:paraId="44A5F726">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72"/>
          <w:szCs w:val="72"/>
          <w:highlight w:val="none"/>
        </w:rPr>
      </w:pPr>
      <w:r>
        <w:rPr>
          <w:rFonts w:hint="eastAsia" w:ascii="仿宋" w:hAnsi="仿宋" w:eastAsia="仿宋" w:cs="仿宋"/>
          <w:color w:val="auto"/>
          <w:kern w:val="0"/>
          <w:sz w:val="84"/>
          <w:szCs w:val="84"/>
          <w:highlight w:val="none"/>
        </w:rPr>
        <w:t xml:space="preserve">同 </w:t>
      </w:r>
    </w:p>
    <w:p w14:paraId="1B14399D">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color w:val="auto"/>
          <w:kern w:val="0"/>
          <w:sz w:val="84"/>
          <w:szCs w:val="84"/>
          <w:highlight w:val="none"/>
        </w:rPr>
      </w:pPr>
      <w:r>
        <w:rPr>
          <w:rFonts w:hint="eastAsia" w:ascii="仿宋" w:hAnsi="仿宋" w:eastAsia="仿宋" w:cs="仿宋"/>
          <w:color w:val="auto"/>
          <w:kern w:val="0"/>
          <w:sz w:val="84"/>
          <w:szCs w:val="84"/>
          <w:highlight w:val="none"/>
        </w:rPr>
        <w:t xml:space="preserve">书 </w:t>
      </w:r>
    </w:p>
    <w:p w14:paraId="548AB0EB">
      <w:pPr>
        <w:pageBreakBefore w:val="0"/>
        <w:shd w:val="clear"/>
        <w:wordWrap/>
        <w:overflowPunct/>
        <w:topLinePunct w:val="0"/>
        <w:autoSpaceDE w:val="0"/>
        <w:autoSpaceDN w:val="0"/>
        <w:bidi w:val="0"/>
        <w:adjustRightInd w:val="0"/>
        <w:spacing w:line="360" w:lineRule="auto"/>
        <w:ind w:firstLine="3092" w:firstLineChars="1100"/>
        <w:rPr>
          <w:rFonts w:hint="eastAsia" w:ascii="仿宋" w:hAnsi="仿宋" w:eastAsia="仿宋" w:cs="仿宋"/>
          <w:b/>
          <w:color w:val="auto"/>
          <w:kern w:val="0"/>
          <w:sz w:val="28"/>
          <w:szCs w:val="28"/>
          <w:highlight w:val="none"/>
          <w:lang w:val="zh-CN"/>
        </w:rPr>
      </w:pPr>
      <w:r>
        <w:rPr>
          <w:rFonts w:hint="eastAsia" w:ascii="仿宋" w:hAnsi="仿宋" w:eastAsia="仿宋" w:cs="仿宋"/>
          <w:b/>
          <w:color w:val="auto"/>
          <w:kern w:val="0"/>
          <w:sz w:val="28"/>
          <w:szCs w:val="28"/>
          <w:highlight w:val="none"/>
          <w:lang w:val="zh-CN"/>
        </w:rPr>
        <w:t xml:space="preserve">签订地点：丽江市 </w:t>
      </w:r>
    </w:p>
    <w:p w14:paraId="7AA28F12">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b/>
          <w:color w:val="auto"/>
          <w:kern w:val="0"/>
          <w:sz w:val="28"/>
          <w:szCs w:val="28"/>
          <w:highlight w:val="none"/>
          <w:lang w:val="zh-CN"/>
        </w:rPr>
      </w:pPr>
    </w:p>
    <w:p w14:paraId="477DAE4B">
      <w:pPr>
        <w:pageBreakBefore w:val="0"/>
        <w:shd w:val="clear"/>
        <w:wordWrap/>
        <w:overflowPunct/>
        <w:topLinePunct w:val="0"/>
        <w:autoSpaceDE w:val="0"/>
        <w:autoSpaceDN w:val="0"/>
        <w:bidi w:val="0"/>
        <w:adjustRightInd w:val="0"/>
        <w:spacing w:line="360" w:lineRule="auto"/>
        <w:jc w:val="center"/>
        <w:rPr>
          <w:rFonts w:hint="eastAsia" w:ascii="仿宋" w:hAnsi="仿宋" w:eastAsia="仿宋" w:cs="仿宋"/>
          <w:b/>
          <w:color w:val="auto"/>
          <w:kern w:val="0"/>
          <w:sz w:val="28"/>
          <w:szCs w:val="28"/>
          <w:highlight w:val="none"/>
          <w:lang w:val="zh-CN"/>
        </w:rPr>
      </w:pPr>
      <w:r>
        <w:rPr>
          <w:rFonts w:hint="eastAsia" w:ascii="仿宋" w:hAnsi="仿宋" w:eastAsia="仿宋" w:cs="仿宋"/>
          <w:b/>
          <w:color w:val="auto"/>
          <w:kern w:val="0"/>
          <w:sz w:val="28"/>
          <w:szCs w:val="28"/>
          <w:highlight w:val="none"/>
          <w:lang w:val="zh-CN"/>
        </w:rPr>
        <w:t>签订日期：   年　月　日</w:t>
      </w:r>
    </w:p>
    <w:p w14:paraId="66CE22F3">
      <w:pPr>
        <w:pageBreakBefore w:val="0"/>
        <w:wordWrap/>
        <w:overflowPunct/>
        <w:topLinePunct w:val="0"/>
        <w:bidi w:val="0"/>
        <w:spacing w:line="360" w:lineRule="auto"/>
        <w:rPr>
          <w:rFonts w:hint="eastAsia" w:ascii="仿宋" w:hAnsi="仿宋" w:eastAsia="仿宋" w:cs="仿宋"/>
          <w:color w:val="auto"/>
          <w:sz w:val="24"/>
          <w:highlight w:val="none"/>
        </w:rPr>
      </w:pPr>
    </w:p>
    <w:p w14:paraId="2AA2D51E">
      <w:pPr>
        <w:pageBreakBefore w:val="0"/>
        <w:wordWrap/>
        <w:overflowPunct/>
        <w:topLinePunct w:val="0"/>
        <w:bidi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kern w:val="0"/>
          <w:sz w:val="24"/>
          <w:highlight w:val="none"/>
        </w:rPr>
        <w:br w:type="page"/>
      </w:r>
      <w:r>
        <w:rPr>
          <w:rFonts w:hint="eastAsia" w:ascii="仿宋" w:hAnsi="仿宋" w:eastAsia="仿宋" w:cs="仿宋"/>
          <w:b/>
          <w:color w:val="auto"/>
          <w:sz w:val="24"/>
          <w:highlight w:val="none"/>
          <w:u w:val="single"/>
        </w:rPr>
        <w:fldChar w:fldCharType="begin"/>
      </w:r>
      <w:r>
        <w:rPr>
          <w:rFonts w:hint="eastAsia" w:ascii="仿宋" w:hAnsi="仿宋" w:eastAsia="仿宋" w:cs="仿宋"/>
          <w:b/>
          <w:color w:val="auto"/>
          <w:sz w:val="24"/>
          <w:highlight w:val="none"/>
          <w:u w:val="single"/>
        </w:rPr>
        <w:instrText xml:space="preserve"> AUTOTEXT  input659 \* MERGEFORMAT </w:instrText>
      </w:r>
      <w:r>
        <w:rPr>
          <w:rFonts w:hint="eastAsia" w:ascii="仿宋" w:hAnsi="仿宋" w:eastAsia="仿宋" w:cs="仿宋"/>
          <w:b/>
          <w:color w:val="auto"/>
          <w:sz w:val="24"/>
          <w:highlight w:val="none"/>
          <w:u w:val="single"/>
        </w:rPr>
        <w:fldChar w:fldCharType="end"/>
      </w:r>
    </w:p>
    <w:p w14:paraId="042E30BE">
      <w:pPr>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甲乙双方根据</w:t>
      </w:r>
      <w:r>
        <w:rPr>
          <w:rFonts w:hint="eastAsia" w:ascii="仿宋" w:hAnsi="仿宋" w:cs="仿宋"/>
          <w:color w:val="auto"/>
          <w:sz w:val="24"/>
          <w:highlight w:val="none"/>
          <w:lang w:eastAsia="zh-CN"/>
        </w:rPr>
        <w:t>玉龙纳西族自治县文化和旅游局</w:t>
      </w:r>
      <w:r>
        <w:rPr>
          <w:rFonts w:hint="eastAsia" w:ascii="仿宋" w:hAnsi="仿宋" w:eastAsia="仿宋" w:cs="仿宋"/>
          <w:color w:val="auto"/>
          <w:sz w:val="24"/>
          <w:highlight w:val="none"/>
        </w:rPr>
        <w:t>委托云南蓝本招标咨询有限公司组织的项目编号为</w:t>
      </w:r>
      <w:r>
        <w:rPr>
          <w:rFonts w:hint="eastAsia" w:ascii="仿宋" w:hAnsi="仿宋" w:cs="仿宋"/>
          <w:color w:val="auto"/>
          <w:sz w:val="24"/>
          <w:highlight w:val="none"/>
          <w:lang w:eastAsia="zh-CN"/>
        </w:rPr>
        <w:t>LJZC2026-C3-00705-YNLB-0329</w:t>
      </w:r>
      <w:r>
        <w:rPr>
          <w:rFonts w:hint="eastAsia" w:ascii="仿宋" w:hAnsi="仿宋" w:eastAsia="仿宋" w:cs="仿宋"/>
          <w:color w:val="auto"/>
          <w:sz w:val="24"/>
          <w:highlight w:val="none"/>
        </w:rPr>
        <w:t>的“</w:t>
      </w:r>
      <w:r>
        <w:rPr>
          <w:rFonts w:hint="eastAsia" w:ascii="仿宋" w:hAnsi="仿宋" w:cs="仿宋"/>
          <w:color w:val="auto"/>
          <w:sz w:val="24"/>
          <w:highlight w:val="none"/>
          <w:lang w:eastAsia="zh-CN"/>
        </w:rPr>
        <w:t>《你好，再见！》丽江纪综艺纪板块（玉龙县）宣推项目</w:t>
      </w:r>
      <w:r>
        <w:rPr>
          <w:rFonts w:hint="eastAsia" w:ascii="仿宋" w:hAnsi="仿宋" w:eastAsia="仿宋" w:cs="仿宋"/>
          <w:color w:val="auto"/>
          <w:sz w:val="24"/>
          <w:highlight w:val="none"/>
        </w:rPr>
        <w:t>”通过竞争性磋商的采购结果，确定乙方为该项目成交供应商。为了保护供需各方合法权益，甲乙双方依照《中华人民共和国</w:t>
      </w:r>
      <w:r>
        <w:rPr>
          <w:rFonts w:hint="eastAsia" w:ascii="仿宋" w:hAnsi="仿宋" w:cs="仿宋"/>
          <w:color w:val="auto"/>
          <w:sz w:val="24"/>
          <w:highlight w:val="none"/>
          <w:lang w:eastAsia="zh-CN"/>
        </w:rPr>
        <w:t>民法典》及相关</w:t>
      </w:r>
      <w:r>
        <w:rPr>
          <w:rFonts w:hint="eastAsia" w:ascii="仿宋" w:hAnsi="仿宋" w:eastAsia="仿宋" w:cs="仿宋"/>
          <w:color w:val="auto"/>
          <w:sz w:val="24"/>
          <w:highlight w:val="none"/>
        </w:rPr>
        <w:t>法律、行政法规，遵循平等、自愿、公平和诚实信用的原则，经双方协定达成一致，签订以下内容：</w:t>
      </w:r>
    </w:p>
    <w:p w14:paraId="4401C40A">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一、合同</w:t>
      </w:r>
      <w:r>
        <w:rPr>
          <w:rFonts w:hint="eastAsia" w:ascii="仿宋" w:hAnsi="仿宋" w:eastAsia="仿宋" w:cs="仿宋"/>
          <w:b/>
          <w:color w:val="auto"/>
          <w:sz w:val="24"/>
          <w:highlight w:val="none"/>
          <w:lang w:val="en-US" w:eastAsia="zh-CN"/>
        </w:rPr>
        <w:t>单</w:t>
      </w:r>
      <w:r>
        <w:rPr>
          <w:rFonts w:hint="eastAsia" w:ascii="仿宋" w:hAnsi="仿宋" w:eastAsia="仿宋" w:cs="仿宋"/>
          <w:b/>
          <w:color w:val="auto"/>
          <w:sz w:val="24"/>
          <w:highlight w:val="none"/>
        </w:rPr>
        <w:t>价</w:t>
      </w:r>
    </w:p>
    <w:p w14:paraId="0A9626FB">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p>
    <w:p w14:paraId="2F408713">
      <w:pPr>
        <w:pageBreakBefore w:val="0"/>
        <w:numPr>
          <w:ilvl w:val="0"/>
          <w:numId w:val="4"/>
        </w:numPr>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服务内容及要求：</w:t>
      </w:r>
    </w:p>
    <w:p w14:paraId="0E4E5BE8">
      <w:pPr>
        <w:pStyle w:val="12"/>
        <w:pageBreakBefore w:val="0"/>
        <w:wordWrap/>
        <w:overflowPunct/>
        <w:topLinePunct w:val="0"/>
        <w:bidi w:val="0"/>
        <w:spacing w:line="360" w:lineRule="auto"/>
        <w:ind w:firstLine="480" w:firstLineChars="200"/>
        <w:rPr>
          <w:rFonts w:hint="eastAsia" w:ascii="仿宋" w:hAnsi="仿宋" w:cs="仿宋"/>
          <w:bCs w:val="0"/>
          <w:iCs w:val="0"/>
          <w:color w:val="auto"/>
          <w:kern w:val="2"/>
          <w:sz w:val="24"/>
          <w:szCs w:val="24"/>
          <w:highlight w:val="none"/>
          <w:lang w:eastAsia="zh-CN"/>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p>
    <w:p w14:paraId="1D2E45BC">
      <w:pPr>
        <w:pStyle w:val="26"/>
        <w:pageBreakBefore w:val="0"/>
        <w:wordWrap/>
        <w:overflowPunct/>
        <w:topLinePunct w:val="0"/>
        <w:bidi w:val="0"/>
        <w:spacing w:after="0" w:line="360" w:lineRule="auto"/>
        <w:jc w:val="both"/>
        <w:rPr>
          <w:rFonts w:hint="default"/>
          <w:i w:val="0"/>
          <w:iCs/>
          <w:color w:val="auto"/>
          <w:highlight w:val="none"/>
          <w:lang w:val="en-US" w:eastAsia="zh-CN"/>
        </w:rPr>
      </w:pPr>
      <w:r>
        <w:rPr>
          <w:rFonts w:hint="eastAsia" w:ascii="仿宋" w:hAnsi="仿宋" w:cs="仿宋"/>
          <w:bCs w:val="0"/>
          <w:iCs w:val="0"/>
          <w:color w:val="auto"/>
          <w:kern w:val="2"/>
          <w:sz w:val="24"/>
          <w:szCs w:val="24"/>
          <w:highlight w:val="none"/>
          <w:lang w:val="en-US" w:eastAsia="zh-CN"/>
        </w:rPr>
        <w:t xml:space="preserve">   </w:t>
      </w:r>
      <w:r>
        <w:rPr>
          <w:rFonts w:hint="eastAsia" w:ascii="仿宋" w:hAnsi="仿宋" w:eastAsia="仿宋" w:cs="仿宋"/>
          <w:bCs w:val="0"/>
          <w:i w:val="0"/>
          <w:iCs w:val="0"/>
          <w:color w:val="auto"/>
          <w:kern w:val="2"/>
          <w:sz w:val="24"/>
          <w:szCs w:val="24"/>
          <w:highlight w:val="none"/>
          <w:lang w:val="en-US" w:eastAsia="zh-CN" w:bidi="ar-SA"/>
        </w:rPr>
        <w:t xml:space="preserve"> （二）</w:t>
      </w:r>
    </w:p>
    <w:p w14:paraId="639206F1">
      <w:pPr>
        <w:pStyle w:val="12"/>
        <w:pageBreakBefore w:val="0"/>
        <w:wordWrap/>
        <w:overflowPunct/>
        <w:topLinePunct w:val="0"/>
        <w:bidi w:val="0"/>
        <w:spacing w:line="360" w:lineRule="auto"/>
        <w:ind w:firstLine="480" w:firstLineChars="200"/>
        <w:rPr>
          <w:rFonts w:hint="default" w:ascii="仿宋" w:hAnsi="仿宋" w:eastAsia="仿宋" w:cs="仿宋"/>
          <w:bCs w:val="0"/>
          <w:iCs w:val="0"/>
          <w:color w:val="auto"/>
          <w:kern w:val="2"/>
          <w:sz w:val="24"/>
          <w:szCs w:val="24"/>
          <w:highlight w:val="none"/>
          <w:lang w:val="en-US" w:eastAsia="zh-CN"/>
        </w:rPr>
      </w:pPr>
      <w:r>
        <w:rPr>
          <w:rFonts w:hint="eastAsia" w:ascii="仿宋" w:hAnsi="仿宋" w:cs="仿宋"/>
          <w:bCs w:val="0"/>
          <w:iCs w:val="0"/>
          <w:color w:val="auto"/>
          <w:kern w:val="2"/>
          <w:sz w:val="24"/>
          <w:szCs w:val="24"/>
          <w:highlight w:val="none"/>
          <w:lang w:val="en-US" w:eastAsia="zh-CN"/>
        </w:rPr>
        <w:t>（三）</w:t>
      </w:r>
    </w:p>
    <w:p w14:paraId="33EFF431">
      <w:pPr>
        <w:pageBreakBefore w:val="0"/>
        <w:numPr>
          <w:ilvl w:val="0"/>
          <w:numId w:val="5"/>
        </w:numPr>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服务方式、地点及时间</w:t>
      </w:r>
    </w:p>
    <w:p w14:paraId="4C26BBBC">
      <w:pPr>
        <w:pStyle w:val="12"/>
        <w:pageBreakBefore w:val="0"/>
        <w:wordWrap/>
        <w:overflowPunct/>
        <w:topLinePunct w:val="0"/>
        <w:bidi w:val="0"/>
        <w:spacing w:line="360" w:lineRule="auto"/>
        <w:ind w:firstLine="480" w:firstLineChars="200"/>
        <w:rPr>
          <w:rFonts w:hint="eastAsia" w:ascii="仿宋" w:hAnsi="仿宋" w:eastAsia="仿宋" w:cs="仿宋"/>
          <w:bCs w:val="0"/>
          <w:iCs w:val="0"/>
          <w:color w:val="auto"/>
          <w:kern w:val="2"/>
          <w:sz w:val="24"/>
          <w:szCs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bCs w:val="0"/>
          <w:iCs w:val="0"/>
          <w:color w:val="auto"/>
          <w:kern w:val="2"/>
          <w:sz w:val="24"/>
          <w:szCs w:val="24"/>
          <w:highlight w:val="none"/>
        </w:rPr>
        <w:t>服务方式：</w:t>
      </w:r>
    </w:p>
    <w:p w14:paraId="5F388FE1">
      <w:pPr>
        <w:pageBreakBefore w:val="0"/>
        <w:tabs>
          <w:tab w:val="left" w:pos="6810"/>
        </w:tabs>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二</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服务地点：</w:t>
      </w:r>
    </w:p>
    <w:p w14:paraId="7DEDE2D8">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w:t>
      </w:r>
      <w:r>
        <w:rPr>
          <w:rFonts w:hint="eastAsia" w:ascii="仿宋" w:hAnsi="仿宋" w:cs="仿宋"/>
          <w:color w:val="auto"/>
          <w:sz w:val="24"/>
          <w:highlight w:val="none"/>
          <w:lang w:val="en-US" w:eastAsia="zh-CN"/>
        </w:rPr>
        <w:t>三</w:t>
      </w:r>
      <w:r>
        <w:rPr>
          <w:rFonts w:hint="eastAsia" w:ascii="仿宋" w:hAnsi="仿宋" w:cs="仿宋"/>
          <w:color w:val="auto"/>
          <w:sz w:val="24"/>
          <w:highlight w:val="none"/>
          <w:lang w:eastAsia="zh-CN"/>
        </w:rPr>
        <w:t>）</w:t>
      </w:r>
      <w:r>
        <w:rPr>
          <w:rFonts w:hint="eastAsia" w:ascii="仿宋" w:hAnsi="仿宋" w:eastAsia="仿宋" w:cs="仿宋"/>
          <w:color w:val="auto"/>
          <w:sz w:val="24"/>
          <w:highlight w:val="none"/>
        </w:rPr>
        <w:t>服务时间：</w:t>
      </w:r>
    </w:p>
    <w:p w14:paraId="05322D76">
      <w:pPr>
        <w:pageBreakBefore w:val="0"/>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四、甲乙双方的权利和义务</w:t>
      </w:r>
    </w:p>
    <w:p w14:paraId="3337DA04">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（一）甲方的权利和义务</w:t>
      </w:r>
    </w:p>
    <w:p w14:paraId="201471CC">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w:t>
      </w:r>
      <w:r>
        <w:rPr>
          <w:rFonts w:hint="eastAsia" w:ascii="仿宋" w:hAnsi="仿宋" w:cs="仿宋"/>
          <w:color w:val="auto"/>
          <w:sz w:val="24"/>
          <w:highlight w:val="none"/>
          <w:lang w:eastAsia="zh-CN"/>
        </w:rPr>
        <w:t>.</w:t>
      </w:r>
    </w:p>
    <w:p w14:paraId="387705B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w:t>
      </w:r>
      <w:r>
        <w:rPr>
          <w:rFonts w:hint="eastAsia" w:ascii="仿宋" w:hAnsi="仿宋" w:cs="仿宋"/>
          <w:color w:val="auto"/>
          <w:sz w:val="24"/>
          <w:highlight w:val="none"/>
          <w:lang w:eastAsia="zh-CN"/>
        </w:rPr>
        <w:t>.</w:t>
      </w:r>
    </w:p>
    <w:p w14:paraId="63C3F62D">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cs="仿宋"/>
          <w:color w:val="auto"/>
          <w:sz w:val="24"/>
          <w:highlight w:val="none"/>
          <w:lang w:eastAsia="zh-CN"/>
        </w:rPr>
        <w:t>.</w:t>
      </w:r>
    </w:p>
    <w:p w14:paraId="4B91FB93">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（二）乙方的权利和义务</w:t>
      </w:r>
    </w:p>
    <w:p w14:paraId="46D64ED0">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cs="仿宋"/>
          <w:color w:val="auto"/>
          <w:sz w:val="24"/>
          <w:highlight w:val="none"/>
          <w:lang w:eastAsia="zh-CN"/>
        </w:rPr>
        <w:t>.</w:t>
      </w:r>
    </w:p>
    <w:p w14:paraId="06E1F14F">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w:t>
      </w:r>
      <w:r>
        <w:rPr>
          <w:rFonts w:hint="eastAsia" w:ascii="仿宋" w:hAnsi="仿宋" w:cs="仿宋"/>
          <w:color w:val="auto"/>
          <w:sz w:val="24"/>
          <w:highlight w:val="none"/>
          <w:lang w:eastAsia="zh-CN"/>
        </w:rPr>
        <w:t>.</w:t>
      </w:r>
    </w:p>
    <w:p w14:paraId="6AD3A0EC">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cs="仿宋"/>
          <w:color w:val="auto"/>
          <w:sz w:val="24"/>
          <w:highlight w:val="none"/>
          <w:lang w:eastAsia="zh-CN"/>
        </w:rPr>
        <w:t>.</w:t>
      </w:r>
    </w:p>
    <w:p w14:paraId="70D49C72">
      <w:pPr>
        <w:pageBreakBefore w:val="0"/>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、合同价款结算</w:t>
      </w:r>
    </w:p>
    <w:p w14:paraId="6919314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1. </w:t>
      </w:r>
      <w:r>
        <w:rPr>
          <w:rStyle w:val="41"/>
          <w:rFonts w:hint="eastAsia" w:ascii="仿宋" w:hAnsi="仿宋" w:eastAsia="仿宋" w:cs="仿宋"/>
          <w:color w:val="auto"/>
          <w:kern w:val="0"/>
          <w:sz w:val="24"/>
          <w:szCs w:val="24"/>
          <w:highlight w:val="none"/>
          <w:lang w:val="en-US" w:eastAsia="zh-CN" w:bidi="ar"/>
        </w:rPr>
        <w:t>首期预付款</w:t>
      </w:r>
      <w:r>
        <w:rPr>
          <w:rFonts w:hint="eastAsia" w:ascii="仿宋" w:hAnsi="仿宋" w:eastAsia="仿宋" w:cs="仿宋"/>
          <w:color w:val="auto"/>
          <w:kern w:val="0"/>
          <w:sz w:val="24"/>
          <w:szCs w:val="24"/>
          <w:highlight w:val="none"/>
          <w:lang w:val="en-US" w:eastAsia="zh-CN" w:bidi="ar"/>
        </w:rPr>
        <w:t>：供应商提交的具体策划执行方案经甲方审核通过后7个工作日内，支付合同金额的50%。</w:t>
      </w:r>
    </w:p>
    <w:p w14:paraId="719A240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2. </w:t>
      </w:r>
      <w:r>
        <w:rPr>
          <w:rStyle w:val="41"/>
          <w:rFonts w:hint="eastAsia" w:ascii="仿宋" w:hAnsi="仿宋" w:eastAsia="仿宋" w:cs="仿宋"/>
          <w:color w:val="auto"/>
          <w:kern w:val="0"/>
          <w:sz w:val="24"/>
          <w:szCs w:val="24"/>
          <w:highlight w:val="none"/>
          <w:lang w:val="en-US" w:eastAsia="zh-CN" w:bidi="ar"/>
        </w:rPr>
        <w:t>阶段性结算</w:t>
      </w:r>
      <w:r>
        <w:rPr>
          <w:rFonts w:hint="eastAsia" w:ascii="仿宋" w:hAnsi="仿宋" w:eastAsia="仿宋" w:cs="仿宋"/>
          <w:color w:val="auto"/>
          <w:kern w:val="0"/>
          <w:sz w:val="24"/>
          <w:szCs w:val="24"/>
          <w:highlight w:val="none"/>
          <w:lang w:val="en-US" w:eastAsia="zh-CN" w:bidi="ar"/>
        </w:rPr>
        <w:t>：供应商每完成10个人物内容并提交全套成果，甲方10个工作日内完成审核验收，验收合格后甲方支付合同金额的30%；后续每完成10人成果并验收合格后，7个工作日内据实支付对应服务费。</w:t>
      </w:r>
    </w:p>
    <w:p w14:paraId="77C110A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3. </w:t>
      </w:r>
      <w:r>
        <w:rPr>
          <w:rStyle w:val="41"/>
          <w:rFonts w:hint="eastAsia" w:ascii="仿宋" w:hAnsi="仿宋" w:eastAsia="仿宋" w:cs="仿宋"/>
          <w:color w:val="auto"/>
          <w:kern w:val="0"/>
          <w:sz w:val="24"/>
          <w:szCs w:val="24"/>
          <w:highlight w:val="none"/>
          <w:lang w:val="en-US" w:eastAsia="zh-CN" w:bidi="ar"/>
        </w:rPr>
        <w:t>最终结算</w:t>
      </w:r>
      <w:r>
        <w:rPr>
          <w:rFonts w:hint="eastAsia" w:ascii="仿宋" w:hAnsi="仿宋" w:eastAsia="仿宋" w:cs="仿宋"/>
          <w:color w:val="auto"/>
          <w:kern w:val="0"/>
          <w:sz w:val="24"/>
          <w:szCs w:val="24"/>
          <w:highlight w:val="none"/>
          <w:lang w:val="en-US" w:eastAsia="zh-CN" w:bidi="ar"/>
        </w:rPr>
        <w:t>：项目全部完成后，双方根据最终验收合格的人物总数量统一核算总费用，据实结算。</w:t>
      </w:r>
    </w:p>
    <w:p w14:paraId="7C6CEE9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4. </w:t>
      </w:r>
      <w:r>
        <w:rPr>
          <w:rStyle w:val="41"/>
          <w:rFonts w:hint="eastAsia" w:ascii="仿宋" w:hAnsi="仿宋" w:eastAsia="仿宋" w:cs="仿宋"/>
          <w:color w:val="auto"/>
          <w:kern w:val="0"/>
          <w:sz w:val="24"/>
          <w:szCs w:val="24"/>
          <w:highlight w:val="none"/>
          <w:lang w:val="en-US" w:eastAsia="zh-CN" w:bidi="ar"/>
        </w:rPr>
        <w:t>付款前提</w:t>
      </w:r>
      <w:r>
        <w:rPr>
          <w:rFonts w:hint="eastAsia" w:ascii="仿宋" w:hAnsi="仿宋" w:eastAsia="仿宋" w:cs="仿宋"/>
          <w:color w:val="auto"/>
          <w:kern w:val="0"/>
          <w:sz w:val="24"/>
          <w:szCs w:val="24"/>
          <w:highlight w:val="none"/>
          <w:lang w:val="en-US" w:eastAsia="zh-CN" w:bidi="ar"/>
        </w:rPr>
        <w:t>：供应商需按甲方财务要求提供合法有效的增值税发票及收款资料，否则甲方有权顺延付款。</w:t>
      </w:r>
    </w:p>
    <w:p w14:paraId="4188F072">
      <w:pPr>
        <w:pageBreakBefore w:val="0"/>
        <w:wordWrap/>
        <w:overflowPunct/>
        <w:topLinePunct w:val="0"/>
        <w:bidi w:val="0"/>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5. </w:t>
      </w:r>
      <w:r>
        <w:rPr>
          <w:rStyle w:val="41"/>
          <w:rFonts w:hint="eastAsia" w:ascii="仿宋" w:hAnsi="仿宋" w:eastAsia="仿宋" w:cs="仿宋"/>
          <w:color w:val="auto"/>
          <w:kern w:val="0"/>
          <w:sz w:val="24"/>
          <w:szCs w:val="24"/>
          <w:highlight w:val="none"/>
          <w:lang w:val="en-US" w:eastAsia="zh-CN" w:bidi="ar"/>
        </w:rPr>
        <w:t>验收默认规则</w:t>
      </w:r>
      <w:r>
        <w:rPr>
          <w:rFonts w:hint="eastAsia" w:ascii="仿宋" w:hAnsi="仿宋" w:eastAsia="仿宋" w:cs="仿宋"/>
          <w:color w:val="auto"/>
          <w:kern w:val="0"/>
          <w:sz w:val="24"/>
          <w:szCs w:val="24"/>
          <w:highlight w:val="none"/>
          <w:lang w:val="en-US" w:eastAsia="zh-CN" w:bidi="ar"/>
        </w:rPr>
        <w:t>：甲方收到阶段性成果后10个工作日内未提出书面异议的，视为自动验收合格，付款期限自审核期满次日起计算。</w:t>
      </w:r>
    </w:p>
    <w:p w14:paraId="2DC6E1EE">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六</w:t>
      </w:r>
      <w:r>
        <w:rPr>
          <w:rFonts w:hint="eastAsia" w:ascii="仿宋" w:hAnsi="仿宋" w:eastAsia="仿宋" w:cs="仿宋"/>
          <w:b/>
          <w:color w:val="auto"/>
          <w:sz w:val="24"/>
          <w:highlight w:val="none"/>
        </w:rPr>
        <w:t>、不可抗力</w:t>
      </w:r>
    </w:p>
    <w:p w14:paraId="1BEE8427">
      <w:pPr>
        <w:pStyle w:val="12"/>
        <w:pageBreakBefore w:val="0"/>
        <w:wordWrap/>
        <w:overflowPunct/>
        <w:topLinePunct w:val="0"/>
        <w:bidi w:val="0"/>
        <w:spacing w:line="360" w:lineRule="auto"/>
        <w:ind w:firstLine="480"/>
        <w:rPr>
          <w:rFonts w:hint="eastAsia" w:ascii="仿宋" w:hAnsi="仿宋" w:eastAsia="仿宋" w:cs="仿宋"/>
          <w:bCs w:val="0"/>
          <w:iCs w:val="0"/>
          <w:color w:val="auto"/>
          <w:kern w:val="2"/>
          <w:sz w:val="24"/>
          <w:szCs w:val="24"/>
          <w:highlight w:val="none"/>
        </w:rPr>
      </w:pPr>
      <w:bookmarkStart w:id="353" w:name="OLE_LINK4"/>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bookmarkEnd w:id="353"/>
      <w:r>
        <w:rPr>
          <w:rFonts w:hint="eastAsia" w:ascii="仿宋" w:hAnsi="仿宋" w:eastAsia="仿宋" w:cs="仿宋"/>
          <w:bCs w:val="0"/>
          <w:iCs w:val="0"/>
          <w:color w:val="auto"/>
          <w:kern w:val="2"/>
          <w:sz w:val="24"/>
          <w:szCs w:val="24"/>
          <w:highlight w:val="none"/>
        </w:rPr>
        <w:t>由于地震、台风、水灾、火灾、战争以及其他不能预见并对其发生和后果不能预防、不能克服或避免的不可抗力直接影响本合同的履行或者导致双方不能按照约定履行合同的，遇有不可抗力的一方可以免除相关合同责任。但是遇有不可抗力的</w:t>
      </w:r>
      <w:r>
        <w:rPr>
          <w:rFonts w:hint="eastAsia" w:ascii="仿宋" w:hAnsi="仿宋" w:eastAsia="仿宋" w:cs="仿宋"/>
          <w:bCs w:val="0"/>
          <w:iCs w:val="0"/>
          <w:color w:val="auto"/>
          <w:kern w:val="2"/>
          <w:sz w:val="24"/>
          <w:szCs w:val="24"/>
          <w:highlight w:val="none"/>
          <w:lang w:eastAsia="zh-CN"/>
        </w:rPr>
        <w:t>一方</w:t>
      </w:r>
      <w:r>
        <w:rPr>
          <w:rFonts w:hint="eastAsia" w:ascii="仿宋" w:hAnsi="仿宋" w:eastAsia="仿宋" w:cs="仿宋"/>
          <w:bCs w:val="0"/>
          <w:iCs w:val="0"/>
          <w:color w:val="auto"/>
          <w:kern w:val="2"/>
          <w:sz w:val="24"/>
          <w:szCs w:val="24"/>
          <w:highlight w:val="none"/>
        </w:rPr>
        <w:t>应立即书面通知对方</w:t>
      </w:r>
      <w:r>
        <w:rPr>
          <w:rFonts w:hint="eastAsia" w:ascii="仿宋" w:hAnsi="仿宋" w:eastAsia="仿宋" w:cs="仿宋"/>
          <w:bCs w:val="0"/>
          <w:iCs w:val="0"/>
          <w:color w:val="auto"/>
          <w:kern w:val="2"/>
          <w:sz w:val="24"/>
          <w:szCs w:val="24"/>
          <w:highlight w:val="none"/>
          <w:lang w:eastAsia="zh-CN"/>
        </w:rPr>
        <w:t>，</w:t>
      </w:r>
      <w:r>
        <w:rPr>
          <w:rFonts w:hint="eastAsia" w:ascii="仿宋" w:hAnsi="仿宋" w:eastAsia="仿宋" w:cs="仿宋"/>
          <w:bCs w:val="0"/>
          <w:iCs w:val="0"/>
          <w:color w:val="auto"/>
          <w:kern w:val="2"/>
          <w:sz w:val="24"/>
          <w:szCs w:val="24"/>
          <w:highlight w:val="none"/>
        </w:rPr>
        <w:t>并在15天之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w:t>
      </w:r>
      <w:r>
        <w:rPr>
          <w:rFonts w:hint="eastAsia" w:ascii="仿宋" w:hAnsi="仿宋" w:eastAsia="仿宋" w:cs="仿宋"/>
          <w:bCs w:val="0"/>
          <w:iCs w:val="0"/>
          <w:color w:val="auto"/>
          <w:kern w:val="2"/>
          <w:sz w:val="24"/>
          <w:szCs w:val="24"/>
          <w:highlight w:val="none"/>
          <w:lang w:val="en-US" w:eastAsia="zh-CN"/>
        </w:rPr>
        <w:t>一</w:t>
      </w:r>
      <w:r>
        <w:rPr>
          <w:rFonts w:hint="eastAsia" w:ascii="仿宋" w:hAnsi="仿宋" w:eastAsia="仿宋" w:cs="仿宋"/>
          <w:bCs w:val="0"/>
          <w:iCs w:val="0"/>
          <w:color w:val="auto"/>
          <w:kern w:val="2"/>
          <w:sz w:val="24"/>
          <w:szCs w:val="24"/>
          <w:highlight w:val="none"/>
        </w:rPr>
        <w:t>方迟延履行本合同时发生了不可抗力的，迟延方的合同义务不能免除。</w:t>
      </w:r>
    </w:p>
    <w:p w14:paraId="28D61C67">
      <w:pPr>
        <w:pStyle w:val="12"/>
        <w:pageBreakBefore w:val="0"/>
        <w:wordWrap/>
        <w:overflowPunct/>
        <w:topLinePunct w:val="0"/>
        <w:bidi w:val="0"/>
        <w:spacing w:line="360" w:lineRule="auto"/>
        <w:ind w:firstLine="480"/>
        <w:rPr>
          <w:rFonts w:hint="eastAsia" w:ascii="仿宋" w:hAnsi="仿宋" w:eastAsia="仿宋" w:cs="仿宋"/>
          <w:bCs w:val="0"/>
          <w:iCs w:val="0"/>
          <w:color w:val="auto"/>
          <w:kern w:val="2"/>
          <w:sz w:val="24"/>
          <w:szCs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二</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bCs w:val="0"/>
          <w:iCs w:val="0"/>
          <w:color w:val="auto"/>
          <w:kern w:val="2"/>
          <w:sz w:val="24"/>
          <w:szCs w:val="24"/>
          <w:highlight w:val="none"/>
        </w:rPr>
        <w:t>受不可抗力影响的一方，应当尽可能采取合理的行为和适当的措施减轻不可抗力对履行本合同所造成的影响。没有采取适当措施致使损失扩大的，该方不得就扩大损失的部分要求免责或赔偿。</w:t>
      </w:r>
    </w:p>
    <w:p w14:paraId="6E8F6FE0">
      <w:pPr>
        <w:pageBreakBefore w:val="0"/>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七</w:t>
      </w:r>
      <w:r>
        <w:rPr>
          <w:rFonts w:hint="eastAsia" w:ascii="仿宋" w:hAnsi="仿宋" w:eastAsia="仿宋" w:cs="仿宋"/>
          <w:b/>
          <w:color w:val="auto"/>
          <w:sz w:val="24"/>
          <w:highlight w:val="none"/>
        </w:rPr>
        <w:t>、违约责任</w:t>
      </w:r>
    </w:p>
    <w:p w14:paraId="10E92A6B">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乙方应在规定时限内完成本合同所约定的全部内容。如因乙方原因导致时限推迟的，甲方可以视情况决定是否解除本合同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甲方选择解除合同的，乙方应全数退还已支付的项目经费</w:t>
      </w:r>
      <w:r>
        <w:rPr>
          <w:rFonts w:hint="eastAsia" w:ascii="仿宋" w:hAnsi="仿宋" w:cs="仿宋"/>
          <w:color w:val="auto"/>
          <w:sz w:val="24"/>
          <w:highlight w:val="none"/>
          <w:lang w:eastAsia="zh-CN"/>
        </w:rPr>
        <w:t>。</w:t>
      </w:r>
    </w:p>
    <w:p w14:paraId="3C1B944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二</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如因乙方原因未提供服务或所提供的服务不符合本合同约定的，经甲方提出后乙方应在双方协商确定的期限内改正，否则每延迟</w:t>
      </w:r>
      <w:r>
        <w:rPr>
          <w:rFonts w:hint="eastAsia" w:ascii="仿宋" w:hAnsi="仿宋" w:eastAsia="仿宋" w:cs="仿宋"/>
          <w:color w:val="auto"/>
          <w:sz w:val="24"/>
          <w:highlight w:val="none"/>
          <w:lang w:eastAsia="zh-CN"/>
        </w:rPr>
        <w:t>一日</w:t>
      </w:r>
      <w:r>
        <w:rPr>
          <w:rFonts w:hint="eastAsia" w:ascii="仿宋" w:hAnsi="仿宋" w:eastAsia="仿宋" w:cs="仿宋"/>
          <w:color w:val="auto"/>
          <w:sz w:val="24"/>
          <w:highlight w:val="none"/>
        </w:rPr>
        <w:t>应支付本合同金额___ %的违约金。</w:t>
      </w:r>
    </w:p>
    <w:p w14:paraId="3486AE5A">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三</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乙方应确保各项服务的质量符合甲方要求。</w:t>
      </w:r>
      <w:r>
        <w:rPr>
          <w:rFonts w:hint="eastAsia" w:ascii="仿宋" w:hAnsi="仿宋" w:cs="仿宋"/>
          <w:color w:val="auto"/>
          <w:sz w:val="24"/>
          <w:highlight w:val="none"/>
          <w:lang w:eastAsia="zh-CN"/>
        </w:rPr>
        <w:t>因</w:t>
      </w:r>
      <w:r>
        <w:rPr>
          <w:rFonts w:hint="eastAsia" w:ascii="仿宋" w:hAnsi="仿宋" w:eastAsia="仿宋" w:cs="仿宋"/>
          <w:color w:val="auto"/>
          <w:sz w:val="24"/>
          <w:highlight w:val="none"/>
        </w:rPr>
        <w:t>乙方原因所提供的服务不符合本合同约定的，甲方有权要求乙方整改至符合要求为止，乙方拒绝整改或经过一次整改后仍不符合 要求的，甲方有权解除本合同并要求乙方退还不符合要求部分的全部费用。</w:t>
      </w:r>
    </w:p>
    <w:p w14:paraId="5EF6F141">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四</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本合同签订后，若乙方无正当理由而终止合同，应当返还本合同项下甲方已经支付给乙方但实际未发生的费用，并支付甲方本合同总</w:t>
      </w:r>
      <w:r>
        <w:rPr>
          <w:rFonts w:hint="eastAsia" w:ascii="仿宋" w:hAnsi="仿宋" w:eastAsia="仿宋" w:cs="仿宋"/>
          <w:color w:val="auto"/>
          <w:sz w:val="24"/>
          <w:highlight w:val="none"/>
        </w:rPr>
        <w:t>额__ %的</w:t>
      </w:r>
      <w:r>
        <w:rPr>
          <w:rFonts w:hint="eastAsia" w:ascii="仿宋" w:hAnsi="仿宋" w:eastAsia="仿宋" w:cs="仿宋"/>
          <w:color w:val="auto"/>
          <w:sz w:val="24"/>
          <w:highlight w:val="none"/>
        </w:rPr>
        <w:t>违约金。 如果违约金不足以抵偿甲方的直接损失，乙方应当继续赔偿。</w:t>
      </w:r>
    </w:p>
    <w:p w14:paraId="3A06B74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五</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本合同签订后，若甲方无正当理由而终止合同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应向乙方支付本合同</w:t>
      </w:r>
      <w:r>
        <w:rPr>
          <w:rFonts w:hint="eastAsia" w:ascii="仿宋" w:hAnsi="仿宋" w:eastAsia="仿宋" w:cs="仿宋"/>
          <w:color w:val="auto"/>
          <w:sz w:val="24"/>
          <w:highlight w:val="none"/>
        </w:rPr>
        <w:t>总额__ %</w:t>
      </w:r>
      <w:r>
        <w:rPr>
          <w:rFonts w:hint="eastAsia" w:ascii="仿宋" w:hAnsi="仿宋" w:eastAsia="仿宋" w:cs="仿宋"/>
          <w:color w:val="auto"/>
          <w:sz w:val="24"/>
          <w:highlight w:val="none"/>
        </w:rPr>
        <w:t>的违约金。如果违约金不足以抵偿乙方的直接损失，甲方还应当继续赔偿。</w:t>
      </w:r>
    </w:p>
    <w:p w14:paraId="54338709">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六</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甲乙双方在执行合同过程中，产生异议和纠纷，应友好协商解决。双方协商不能达成一致时，应依照现行法律法规，向被告人所在地的人民法院起诉。</w:t>
      </w:r>
    </w:p>
    <w:p w14:paraId="160B7A06">
      <w:pPr>
        <w:pageBreakBefore w:val="0"/>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八</w:t>
      </w:r>
      <w:r>
        <w:rPr>
          <w:rFonts w:hint="eastAsia" w:ascii="仿宋" w:hAnsi="仿宋" w:eastAsia="仿宋" w:cs="仿宋"/>
          <w:b/>
          <w:color w:val="auto"/>
          <w:sz w:val="24"/>
          <w:highlight w:val="none"/>
        </w:rPr>
        <w:t>、保密责任</w:t>
      </w:r>
    </w:p>
    <w:p w14:paraId="1D031700">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双方共同恪守对项目及技术的保密责任。</w:t>
      </w:r>
    </w:p>
    <w:p w14:paraId="01A10C8F">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所有项目相关人员不得以任何形式向任何第三方透露本合同项目合作计划及相关内容。</w:t>
      </w:r>
    </w:p>
    <w:p w14:paraId="0774A2B3">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二</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所有项目相关人员，不得以任何方式向任何第三方透露与本项目有关的任何技术资料。</w:t>
      </w:r>
    </w:p>
    <w:p w14:paraId="7E98B25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三</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乙方在项目实施过程中，必须严格遵守法律法规和相关制度规定，</w:t>
      </w:r>
      <w:r>
        <w:rPr>
          <w:rFonts w:hint="eastAsia" w:ascii="仿宋" w:hAnsi="仿宋" w:eastAsia="仿宋" w:cs="仿宋"/>
          <w:color w:val="auto"/>
          <w:sz w:val="24"/>
          <w:highlight w:val="none"/>
          <w:lang w:eastAsia="zh-CN"/>
        </w:rPr>
        <w:t>对于</w:t>
      </w:r>
      <w:r>
        <w:rPr>
          <w:rFonts w:hint="eastAsia" w:ascii="仿宋" w:hAnsi="仿宋" w:eastAsia="仿宋" w:cs="仿宋"/>
          <w:color w:val="auto"/>
          <w:sz w:val="24"/>
          <w:highlight w:val="none"/>
        </w:rPr>
        <w:t>本项目各项技术、数据和成果，及时采取有力措施履行相关保密义务，不得以任何方式向任何第三方透露本项目的任何技术资料、数据及相关信息、文档。如因保密义务的不履行或履行不当，乙方除承担所造成的损失外，亦须承担由此所产生的其他相关法律责任。</w:t>
      </w:r>
    </w:p>
    <w:p w14:paraId="387FDC94">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四</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保密期限</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在本协议有效期内甲乙双方均不得将合同及项目相关的技术资料、技术秘密等成为公共信息之前披露给任何第三方。</w:t>
      </w:r>
    </w:p>
    <w:p w14:paraId="368A61C4">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五</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乙方的保密 义务不因本合同的终止而解除，任何时间、地点乙方违反本合同保密义务的，甲方均有权根据本协议约定要求乙方承担相应的法律责任。</w:t>
      </w:r>
    </w:p>
    <w:p w14:paraId="5BA1C518">
      <w:pPr>
        <w:pageBreakBefore w:val="0"/>
        <w:wordWrap/>
        <w:overflowPunct/>
        <w:topLinePunct w:val="0"/>
        <w:bidi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九</w:t>
      </w:r>
      <w:r>
        <w:rPr>
          <w:rFonts w:hint="eastAsia" w:ascii="仿宋" w:hAnsi="仿宋" w:eastAsia="仿宋" w:cs="仿宋"/>
          <w:b/>
          <w:bCs/>
          <w:color w:val="auto"/>
          <w:sz w:val="24"/>
          <w:highlight w:val="none"/>
        </w:rPr>
        <w:t>、合同的变更</w:t>
      </w:r>
    </w:p>
    <w:p w14:paraId="6B70E42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履行期间，发生特殊情况时，任何一方需变更本合同的，要求变更一方应及时书面通知对方，征得对方同意后，双方在规定的时限内（书面通知发出___5___天内）签订书面变更协议，该协议将成为合同不可分割的部分。未经双方签署书面文件，任何一方无权变更本合同，否则，由此造成对方的经济损失，由责任方承担。</w:t>
      </w:r>
    </w:p>
    <w:p w14:paraId="13AA9E23">
      <w:pPr>
        <w:pageBreakBefore w:val="0"/>
        <w:wordWrap/>
        <w:overflowPunct/>
        <w:topLinePunct w:val="0"/>
        <w:bidi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十、合同的转让</w:t>
      </w:r>
    </w:p>
    <w:p w14:paraId="47589C1C">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除合同中另有规定外或经双方协商同意外，本合同所规</w:t>
      </w:r>
      <w:r>
        <w:rPr>
          <w:rFonts w:hint="eastAsia" w:ascii="仿宋" w:hAnsi="仿宋" w:cs="仿宋"/>
          <w:color w:val="auto"/>
          <w:sz w:val="24"/>
          <w:highlight w:val="none"/>
          <w:lang w:eastAsia="zh-CN"/>
        </w:rPr>
        <w:t>定的</w:t>
      </w:r>
      <w:r>
        <w:rPr>
          <w:rFonts w:hint="eastAsia" w:ascii="仿宋" w:hAnsi="仿宋" w:eastAsia="仿宋" w:cs="仿宋"/>
          <w:color w:val="auto"/>
          <w:sz w:val="24"/>
          <w:highlight w:val="none"/>
        </w:rPr>
        <w:t>双方的任何权利和义务，任何一方在未经征得另一方书面同意之前，不得转让给第三者。任何转让，未经另一方书面明确同意，均属无效。</w:t>
      </w:r>
    </w:p>
    <w:p w14:paraId="3BF72F55">
      <w:pPr>
        <w:pageBreakBefore w:val="0"/>
        <w:wordWrap/>
        <w:overflowPunct/>
        <w:topLinePunct w:val="0"/>
        <w:bidi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十</w:t>
      </w:r>
      <w:r>
        <w:rPr>
          <w:rFonts w:hint="eastAsia" w:ascii="仿宋" w:hAnsi="仿宋" w:eastAsia="仿宋" w:cs="仿宋"/>
          <w:b/>
          <w:bCs/>
          <w:color w:val="auto"/>
          <w:sz w:val="24"/>
          <w:highlight w:val="none"/>
          <w:lang w:val="en-US" w:eastAsia="zh-CN"/>
        </w:rPr>
        <w:t>一</w:t>
      </w:r>
      <w:r>
        <w:rPr>
          <w:rFonts w:hint="eastAsia" w:ascii="仿宋" w:hAnsi="仿宋" w:eastAsia="仿宋" w:cs="仿宋"/>
          <w:b/>
          <w:bCs/>
          <w:color w:val="auto"/>
          <w:sz w:val="24"/>
          <w:highlight w:val="none"/>
        </w:rPr>
        <w:t>、争议的处理</w:t>
      </w:r>
    </w:p>
    <w:p w14:paraId="316D841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本合同受中华人民共和国法律管辖并按其进行解释。</w:t>
      </w:r>
    </w:p>
    <w:p w14:paraId="612F0831">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二</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 xml:space="preserve">本合同在履行过程中发生的争议，由双方当事人协商解决，也可由有关部门调解；协商或调解不成的，按下列第 </w:t>
      </w:r>
      <w:r>
        <w:rPr>
          <w:rFonts w:hint="eastAsia" w:ascii="仿宋" w:hAnsi="仿宋" w:eastAsia="仿宋" w:cs="仿宋"/>
          <w:color w:val="auto"/>
          <w:sz w:val="24"/>
          <w:highlight w:val="none"/>
          <w:u w:val="single"/>
        </w:rPr>
        <w:t xml:space="preserve"> 1 </w:t>
      </w:r>
      <w:r>
        <w:rPr>
          <w:rFonts w:hint="eastAsia" w:ascii="仿宋" w:hAnsi="仿宋" w:eastAsia="仿宋" w:cs="仿宋"/>
          <w:color w:val="auto"/>
          <w:sz w:val="24"/>
          <w:highlight w:val="none"/>
        </w:rPr>
        <w:t xml:space="preserve"> 种方式解决：</w:t>
      </w:r>
    </w:p>
    <w:p w14:paraId="4FBF0AC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三</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提交</w:t>
      </w:r>
      <w:r>
        <w:rPr>
          <w:rFonts w:hint="eastAsia" w:ascii="仿宋" w:hAnsi="仿宋" w:eastAsia="仿宋" w:cs="仿宋"/>
          <w:color w:val="auto"/>
          <w:sz w:val="24"/>
          <w:highlight w:val="none"/>
          <w:u w:val="single"/>
        </w:rPr>
        <w:t>当地</w:t>
      </w:r>
      <w:r>
        <w:rPr>
          <w:rFonts w:hint="eastAsia" w:ascii="仿宋" w:hAnsi="仿宋" w:eastAsia="仿宋" w:cs="仿宋"/>
          <w:color w:val="auto"/>
          <w:sz w:val="24"/>
          <w:highlight w:val="none"/>
        </w:rPr>
        <w:t>仲裁委员会仲裁；</w:t>
      </w:r>
    </w:p>
    <w:p w14:paraId="357B080F">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四</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依法向人民法院起诉。</w:t>
      </w:r>
    </w:p>
    <w:p w14:paraId="3F337580">
      <w:pPr>
        <w:pageBreakBefore w:val="0"/>
        <w:wordWrap/>
        <w:overflowPunct/>
        <w:topLinePunct w:val="0"/>
        <w:bidi w:val="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十</w:t>
      </w:r>
      <w:r>
        <w:rPr>
          <w:rFonts w:hint="eastAsia" w:ascii="仿宋" w:hAnsi="仿宋" w:eastAsia="仿宋" w:cs="仿宋"/>
          <w:b/>
          <w:bCs/>
          <w:color w:val="auto"/>
          <w:sz w:val="24"/>
          <w:highlight w:val="none"/>
          <w:lang w:val="en-US" w:eastAsia="zh-CN"/>
        </w:rPr>
        <w:t>二</w:t>
      </w:r>
      <w:r>
        <w:rPr>
          <w:rFonts w:hint="eastAsia" w:ascii="仿宋" w:hAnsi="仿宋" w:eastAsia="仿宋" w:cs="仿宋"/>
          <w:b/>
          <w:bCs/>
          <w:color w:val="auto"/>
          <w:sz w:val="24"/>
          <w:highlight w:val="none"/>
        </w:rPr>
        <w:t>、其他</w:t>
      </w:r>
    </w:p>
    <w:p w14:paraId="71F29D6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一</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本合同其他未尽事宜，按国家《</w:t>
      </w:r>
      <w:r>
        <w:rPr>
          <w:rFonts w:hint="eastAsia" w:ascii="仿宋" w:hAnsi="仿宋" w:eastAsia="仿宋" w:cs="仿宋"/>
          <w:color w:val="auto"/>
          <w:sz w:val="24"/>
          <w:highlight w:val="none"/>
          <w:lang w:eastAsia="zh-CN"/>
        </w:rPr>
        <w:t>中华人民共和国民法典</w:t>
      </w:r>
      <w:r>
        <w:rPr>
          <w:rFonts w:hint="eastAsia" w:ascii="仿宋" w:hAnsi="仿宋" w:eastAsia="仿宋" w:cs="仿宋"/>
          <w:color w:val="auto"/>
          <w:sz w:val="24"/>
          <w:highlight w:val="none"/>
        </w:rPr>
        <w:t>》有关规定处理。</w:t>
      </w:r>
    </w:p>
    <w:p w14:paraId="57EBA5D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二</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本合同一式</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份，甲方执</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份，乙方执</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份。</w:t>
      </w:r>
    </w:p>
    <w:p w14:paraId="5333BFC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三</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本合同自签订之日起生效。</w:t>
      </w:r>
    </w:p>
    <w:p w14:paraId="19BDF7D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bCs w:val="0"/>
          <w:iCs w:val="0"/>
          <w:color w:val="auto"/>
          <w:kern w:val="2"/>
          <w:sz w:val="24"/>
          <w:szCs w:val="24"/>
          <w:highlight w:val="none"/>
          <w:lang w:eastAsia="zh-CN"/>
        </w:rPr>
        <w:t>（</w:t>
      </w:r>
      <w:r>
        <w:rPr>
          <w:rFonts w:hint="eastAsia" w:ascii="仿宋" w:hAnsi="仿宋" w:cs="仿宋"/>
          <w:bCs w:val="0"/>
          <w:iCs w:val="0"/>
          <w:color w:val="auto"/>
          <w:kern w:val="2"/>
          <w:sz w:val="24"/>
          <w:szCs w:val="24"/>
          <w:highlight w:val="none"/>
          <w:lang w:val="en-US" w:eastAsia="zh-CN"/>
        </w:rPr>
        <w:t>四</w:t>
      </w:r>
      <w:r>
        <w:rPr>
          <w:rFonts w:hint="eastAsia" w:ascii="仿宋" w:hAnsi="仿宋" w:cs="仿宋"/>
          <w:bCs w:val="0"/>
          <w:iCs w:val="0"/>
          <w:color w:val="auto"/>
          <w:kern w:val="2"/>
          <w:sz w:val="24"/>
          <w:szCs w:val="24"/>
          <w:highlight w:val="none"/>
          <w:lang w:eastAsia="zh-CN"/>
        </w:rPr>
        <w:t>）</w:t>
      </w:r>
      <w:r>
        <w:rPr>
          <w:rFonts w:hint="eastAsia" w:ascii="仿宋" w:hAnsi="仿宋" w:eastAsia="仿宋" w:cs="仿宋"/>
          <w:color w:val="auto"/>
          <w:sz w:val="24"/>
          <w:highlight w:val="none"/>
        </w:rPr>
        <w:t>本合同不可分割之部分：1</w:t>
      </w:r>
      <w:r>
        <w:rPr>
          <w:rFonts w:hint="eastAsia" w:ascii="仿宋" w:hAnsi="仿宋" w:cs="仿宋"/>
          <w:color w:val="auto"/>
          <w:sz w:val="24"/>
          <w:highlight w:val="none"/>
          <w:lang w:val="en-US" w:eastAsia="zh-CN"/>
        </w:rPr>
        <w:t>.</w:t>
      </w:r>
      <w:r>
        <w:rPr>
          <w:rFonts w:hint="eastAsia" w:ascii="仿宋" w:hAnsi="仿宋" w:eastAsia="仿宋" w:cs="仿宋"/>
          <w:color w:val="auto"/>
          <w:sz w:val="24"/>
          <w:highlight w:val="none"/>
        </w:rPr>
        <w:t>竞争性磋商文件；2</w:t>
      </w:r>
      <w:r>
        <w:rPr>
          <w:rFonts w:hint="eastAsia" w:ascii="仿宋" w:hAnsi="仿宋" w:cs="仿宋"/>
          <w:color w:val="auto"/>
          <w:sz w:val="24"/>
          <w:highlight w:val="none"/>
          <w:lang w:val="en-US" w:eastAsia="zh-CN"/>
        </w:rPr>
        <w:t>.</w:t>
      </w:r>
      <w:r>
        <w:rPr>
          <w:rFonts w:hint="eastAsia" w:ascii="仿宋" w:hAnsi="仿宋" w:eastAsia="仿宋" w:cs="仿宋"/>
          <w:color w:val="auto"/>
          <w:sz w:val="24"/>
          <w:highlight w:val="none"/>
        </w:rPr>
        <w:t>响应文件；3</w:t>
      </w:r>
      <w:r>
        <w:rPr>
          <w:rFonts w:hint="eastAsia" w:ascii="仿宋" w:hAnsi="仿宋" w:cs="仿宋"/>
          <w:color w:val="auto"/>
          <w:sz w:val="24"/>
          <w:highlight w:val="none"/>
          <w:lang w:val="en-US" w:eastAsia="zh-CN"/>
        </w:rPr>
        <w:t>.</w:t>
      </w:r>
      <w:r>
        <w:rPr>
          <w:rFonts w:hint="eastAsia" w:ascii="仿宋" w:hAnsi="仿宋" w:eastAsia="仿宋" w:cs="仿宋"/>
          <w:color w:val="auto"/>
          <w:sz w:val="24"/>
          <w:highlight w:val="none"/>
        </w:rPr>
        <w:t>磋商（报价）一览表；4</w:t>
      </w:r>
      <w:r>
        <w:rPr>
          <w:rFonts w:hint="eastAsia" w:ascii="仿宋" w:hAnsi="仿宋" w:cs="仿宋"/>
          <w:color w:val="auto"/>
          <w:sz w:val="24"/>
          <w:highlight w:val="none"/>
          <w:lang w:val="en-US" w:eastAsia="zh-CN"/>
        </w:rPr>
        <w:t>.</w:t>
      </w:r>
      <w:r>
        <w:rPr>
          <w:rFonts w:hint="eastAsia" w:ascii="仿宋" w:hAnsi="仿宋" w:eastAsia="仿宋" w:cs="仿宋"/>
          <w:color w:val="auto"/>
          <w:sz w:val="24"/>
          <w:highlight w:val="none"/>
        </w:rPr>
        <w:t>成交通知书；5</w:t>
      </w:r>
      <w:r>
        <w:rPr>
          <w:rFonts w:hint="eastAsia" w:ascii="仿宋" w:hAnsi="仿宋" w:cs="仿宋"/>
          <w:color w:val="auto"/>
          <w:sz w:val="24"/>
          <w:highlight w:val="none"/>
          <w:lang w:val="en-US" w:eastAsia="zh-CN"/>
        </w:rPr>
        <w:t>.</w:t>
      </w:r>
      <w:r>
        <w:rPr>
          <w:rFonts w:hint="eastAsia" w:ascii="仿宋" w:hAnsi="仿宋" w:eastAsia="仿宋" w:cs="仿宋"/>
          <w:color w:val="auto"/>
          <w:sz w:val="24"/>
          <w:highlight w:val="none"/>
        </w:rPr>
        <w:t>合同书附件。</w:t>
      </w:r>
    </w:p>
    <w:p w14:paraId="0289C3ED">
      <w:pPr>
        <w:pageBreakBefore w:val="0"/>
        <w:wordWrap/>
        <w:overflowPunct/>
        <w:topLinePunct w:val="0"/>
        <w:bidi w:val="0"/>
        <w:spacing w:line="360" w:lineRule="auto"/>
        <w:ind w:firstLine="480" w:firstLineChars="200"/>
        <w:rPr>
          <w:rFonts w:hint="eastAsia" w:ascii="仿宋" w:hAnsi="仿宋" w:eastAsia="仿宋" w:cs="仿宋"/>
          <w:color w:val="auto"/>
          <w:sz w:val="48"/>
          <w:highlight w:val="none"/>
        </w:rPr>
      </w:pPr>
      <w:r>
        <w:rPr>
          <w:rFonts w:hint="eastAsia" w:ascii="仿宋" w:hAnsi="仿宋" w:eastAsia="仿宋" w:cs="仿宋"/>
          <w:color w:val="auto"/>
          <w:sz w:val="24"/>
          <w:szCs w:val="28"/>
          <w:highlight w:val="none"/>
        </w:rPr>
        <w:br w:type="page"/>
      </w:r>
    </w:p>
    <w:p w14:paraId="420F02D9">
      <w:pPr>
        <w:pStyle w:val="2"/>
        <w:pageBreakBefore w:val="0"/>
        <w:wordWrap/>
        <w:overflowPunct/>
        <w:topLinePunct w:val="0"/>
        <w:bidi w:val="0"/>
        <w:spacing w:line="360" w:lineRule="auto"/>
        <w:jc w:val="center"/>
        <w:rPr>
          <w:rFonts w:hint="eastAsia" w:ascii="仿宋" w:hAnsi="仿宋" w:eastAsia="仿宋" w:cs="仿宋"/>
          <w:color w:val="auto"/>
          <w:highlight w:val="none"/>
        </w:rPr>
      </w:pPr>
      <w:bookmarkStart w:id="354" w:name="_Toc509218491"/>
      <w:bookmarkStart w:id="355" w:name="_Toc503861946"/>
      <w:bookmarkStart w:id="356" w:name="_Toc7478"/>
      <w:r>
        <w:rPr>
          <w:rFonts w:hint="eastAsia" w:ascii="仿宋" w:hAnsi="仿宋" w:eastAsia="仿宋" w:cs="仿宋"/>
          <w:color w:val="auto"/>
          <w:sz w:val="32"/>
          <w:szCs w:val="32"/>
          <w:highlight w:val="none"/>
        </w:rPr>
        <w:t>第四章  响应文件格式</w:t>
      </w:r>
      <w:bookmarkEnd w:id="354"/>
      <w:bookmarkEnd w:id="355"/>
      <w:bookmarkEnd w:id="356"/>
      <w:bookmarkStart w:id="357" w:name="_Toc503861947"/>
      <w:bookmarkStart w:id="358" w:name="_Toc363509121"/>
      <w:bookmarkStart w:id="359" w:name="_Toc364392643"/>
    </w:p>
    <w:p w14:paraId="7F9B1A85">
      <w:pPr>
        <w:pStyle w:val="3"/>
        <w:pageBreakBefore w:val="0"/>
        <w:wordWrap/>
        <w:overflowPunct/>
        <w:topLinePunct w:val="0"/>
        <w:bidi w:val="0"/>
        <w:spacing w:before="0" w:after="0" w:line="360" w:lineRule="auto"/>
        <w:ind w:firstLine="643"/>
        <w:rPr>
          <w:rFonts w:hint="eastAsia" w:ascii="仿宋" w:hAnsi="仿宋" w:eastAsia="仿宋" w:cs="仿宋"/>
          <w:color w:val="auto"/>
          <w:highlight w:val="none"/>
        </w:rPr>
      </w:pPr>
      <w:bookmarkStart w:id="360" w:name="_Toc509218492"/>
      <w:bookmarkStart w:id="361" w:name="_Toc3846"/>
      <w:r>
        <w:rPr>
          <w:rFonts w:hint="eastAsia" w:ascii="仿宋" w:hAnsi="仿宋" w:eastAsia="仿宋" w:cs="仿宋"/>
          <w:color w:val="auto"/>
          <w:highlight w:val="none"/>
        </w:rPr>
        <w:t>一、响应文件封面</w:t>
      </w:r>
      <w:bookmarkEnd w:id="357"/>
      <w:bookmarkEnd w:id="358"/>
      <w:bookmarkEnd w:id="359"/>
      <w:bookmarkEnd w:id="360"/>
      <w:bookmarkEnd w:id="361"/>
    </w:p>
    <w:p w14:paraId="504EB810">
      <w:pPr>
        <w:pageBreakBefore w:val="0"/>
        <w:tabs>
          <w:tab w:val="left" w:pos="5190"/>
        </w:tabs>
        <w:wordWrap/>
        <w:overflowPunct/>
        <w:topLinePunct w:val="0"/>
        <w:bidi w:val="0"/>
        <w:spacing w:line="360" w:lineRule="auto"/>
        <w:jc w:val="center"/>
        <w:rPr>
          <w:rFonts w:hint="eastAsia" w:ascii="仿宋" w:hAnsi="仿宋" w:eastAsia="仿宋" w:cs="仿宋"/>
          <w:b/>
          <w:bCs/>
          <w:color w:val="auto"/>
          <w:kern w:val="0"/>
          <w:sz w:val="48"/>
          <w:szCs w:val="48"/>
          <w:highlight w:val="none"/>
        </w:rPr>
      </w:pPr>
    </w:p>
    <w:p w14:paraId="71A9BE2E">
      <w:pPr>
        <w:pStyle w:val="16"/>
        <w:pageBreakBefore w:val="0"/>
        <w:wordWrap/>
        <w:overflowPunct/>
        <w:topLinePunct w:val="0"/>
        <w:bidi w:val="0"/>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cs="仿宋"/>
          <w:b/>
          <w:bCs/>
          <w:color w:val="auto"/>
          <w:sz w:val="52"/>
          <w:szCs w:val="52"/>
          <w:highlight w:val="none"/>
          <w:lang w:eastAsia="zh-CN"/>
        </w:rPr>
        <w:t>《你好，再见！》丽江纪综艺纪板块（玉龙县）宣推项目</w:t>
      </w:r>
    </w:p>
    <w:p w14:paraId="356FCDD0">
      <w:pPr>
        <w:pageBreakBefore w:val="0"/>
        <w:tabs>
          <w:tab w:val="left" w:pos="5190"/>
        </w:tabs>
        <w:wordWrap/>
        <w:overflowPunct/>
        <w:topLinePunct w:val="0"/>
        <w:bidi w:val="0"/>
        <w:spacing w:line="360" w:lineRule="auto"/>
        <w:jc w:val="center"/>
        <w:rPr>
          <w:rFonts w:hint="eastAsia" w:ascii="仿宋" w:hAnsi="仿宋" w:eastAsia="仿宋" w:cs="仿宋"/>
          <w:b/>
          <w:color w:val="auto"/>
          <w:sz w:val="36"/>
          <w:highlight w:val="none"/>
        </w:rPr>
      </w:pPr>
    </w:p>
    <w:p w14:paraId="7745DEAC">
      <w:pPr>
        <w:pStyle w:val="12"/>
        <w:pageBreakBefore w:val="0"/>
        <w:wordWrap/>
        <w:overflowPunct/>
        <w:topLinePunct w:val="0"/>
        <w:bidi w:val="0"/>
        <w:spacing w:line="360" w:lineRule="auto"/>
        <w:rPr>
          <w:rFonts w:hint="eastAsia" w:ascii="仿宋" w:hAnsi="仿宋" w:eastAsia="仿宋" w:cs="仿宋"/>
          <w:color w:val="auto"/>
          <w:highlight w:val="none"/>
        </w:rPr>
      </w:pPr>
    </w:p>
    <w:p w14:paraId="529343B0">
      <w:pPr>
        <w:pageBreakBefore w:val="0"/>
        <w:wordWrap/>
        <w:overflowPunct/>
        <w:topLinePunct w:val="0"/>
        <w:bidi w:val="0"/>
        <w:spacing w:line="360" w:lineRule="auto"/>
        <w:rPr>
          <w:rFonts w:hint="eastAsia" w:ascii="仿宋" w:hAnsi="仿宋" w:eastAsia="仿宋" w:cs="仿宋"/>
          <w:color w:val="auto"/>
          <w:highlight w:val="none"/>
        </w:rPr>
      </w:pPr>
    </w:p>
    <w:p w14:paraId="1EC2445F">
      <w:pPr>
        <w:pStyle w:val="12"/>
        <w:pageBreakBefore w:val="0"/>
        <w:wordWrap/>
        <w:overflowPunct/>
        <w:topLinePunct w:val="0"/>
        <w:bidi w:val="0"/>
        <w:spacing w:line="360" w:lineRule="auto"/>
        <w:rPr>
          <w:rFonts w:hint="eastAsia" w:ascii="仿宋" w:hAnsi="仿宋" w:eastAsia="仿宋" w:cs="仿宋"/>
          <w:color w:val="auto"/>
          <w:highlight w:val="none"/>
        </w:rPr>
      </w:pPr>
    </w:p>
    <w:p w14:paraId="4ED1B6B2">
      <w:pPr>
        <w:pageBreakBefore w:val="0"/>
        <w:wordWrap/>
        <w:overflowPunct/>
        <w:topLinePunct w:val="0"/>
        <w:bidi w:val="0"/>
        <w:spacing w:line="360" w:lineRule="auto"/>
        <w:rPr>
          <w:rFonts w:hint="eastAsia" w:ascii="仿宋" w:hAnsi="仿宋" w:eastAsia="仿宋" w:cs="仿宋"/>
          <w:color w:val="auto"/>
          <w:highlight w:val="none"/>
        </w:rPr>
      </w:pPr>
    </w:p>
    <w:p w14:paraId="1DFB9324">
      <w:pPr>
        <w:pageBreakBefore w:val="0"/>
        <w:wordWrap/>
        <w:overflowPunct/>
        <w:topLinePunct w:val="0"/>
        <w:bidi w:val="0"/>
        <w:spacing w:line="360" w:lineRule="auto"/>
        <w:jc w:val="center"/>
        <w:rPr>
          <w:rFonts w:hint="eastAsia" w:ascii="仿宋" w:hAnsi="仿宋" w:eastAsia="仿宋" w:cs="仿宋"/>
          <w:b/>
          <w:bCs/>
          <w:color w:val="auto"/>
          <w:spacing w:val="217"/>
          <w:kern w:val="0"/>
          <w:sz w:val="72"/>
          <w:szCs w:val="72"/>
          <w:highlight w:val="none"/>
        </w:rPr>
      </w:pPr>
      <w:r>
        <w:rPr>
          <w:rFonts w:hint="eastAsia" w:ascii="仿宋" w:hAnsi="仿宋" w:eastAsia="仿宋" w:cs="仿宋"/>
          <w:b/>
          <w:bCs/>
          <w:color w:val="auto"/>
          <w:spacing w:val="217"/>
          <w:kern w:val="0"/>
          <w:sz w:val="72"/>
          <w:szCs w:val="72"/>
          <w:highlight w:val="none"/>
        </w:rPr>
        <w:t>响应文件</w:t>
      </w:r>
    </w:p>
    <w:p w14:paraId="6BE9E932">
      <w:pPr>
        <w:pageBreakBefore w:val="0"/>
        <w:wordWrap/>
        <w:overflowPunct/>
        <w:topLinePunct w:val="0"/>
        <w:bidi w:val="0"/>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项目编号：</w:t>
      </w:r>
      <w:r>
        <w:rPr>
          <w:rFonts w:hint="eastAsia" w:ascii="仿宋" w:hAnsi="仿宋" w:cs="仿宋"/>
          <w:color w:val="auto"/>
          <w:sz w:val="32"/>
          <w:szCs w:val="32"/>
          <w:highlight w:val="none"/>
          <w:lang w:eastAsia="zh-CN"/>
        </w:rPr>
        <w:t>LJZC2026-C3-00705-YNLB-0329</w:t>
      </w:r>
    </w:p>
    <w:p w14:paraId="7B58A40B">
      <w:pPr>
        <w:pageBreakBefore w:val="0"/>
        <w:tabs>
          <w:tab w:val="left" w:pos="5190"/>
        </w:tabs>
        <w:wordWrap/>
        <w:overflowPunct/>
        <w:topLinePunct w:val="0"/>
        <w:bidi w:val="0"/>
        <w:spacing w:line="360" w:lineRule="auto"/>
        <w:jc w:val="center"/>
        <w:rPr>
          <w:rFonts w:hint="eastAsia" w:ascii="仿宋" w:hAnsi="仿宋" w:eastAsia="仿宋" w:cs="仿宋"/>
          <w:color w:val="auto"/>
          <w:sz w:val="32"/>
          <w:szCs w:val="32"/>
          <w:highlight w:val="none"/>
        </w:rPr>
      </w:pPr>
    </w:p>
    <w:p w14:paraId="49D9BD37">
      <w:pPr>
        <w:pageBreakBefore w:val="0"/>
        <w:tabs>
          <w:tab w:val="left" w:pos="5190"/>
        </w:tabs>
        <w:wordWrap/>
        <w:overflowPunct/>
        <w:topLinePunct w:val="0"/>
        <w:bidi w:val="0"/>
        <w:spacing w:line="360" w:lineRule="auto"/>
        <w:rPr>
          <w:rFonts w:hint="eastAsia" w:ascii="仿宋" w:hAnsi="仿宋" w:eastAsia="仿宋" w:cs="仿宋"/>
          <w:color w:val="auto"/>
          <w:sz w:val="32"/>
          <w:szCs w:val="32"/>
          <w:highlight w:val="none"/>
        </w:rPr>
      </w:pPr>
    </w:p>
    <w:p w14:paraId="38E49829">
      <w:pPr>
        <w:pStyle w:val="12"/>
        <w:pageBreakBefore w:val="0"/>
        <w:wordWrap/>
        <w:overflowPunct/>
        <w:topLinePunct w:val="0"/>
        <w:bidi w:val="0"/>
        <w:spacing w:line="360" w:lineRule="auto"/>
        <w:rPr>
          <w:rFonts w:hint="eastAsia" w:ascii="仿宋" w:hAnsi="仿宋" w:eastAsia="仿宋" w:cs="仿宋"/>
          <w:color w:val="auto"/>
          <w:highlight w:val="none"/>
        </w:rPr>
      </w:pPr>
    </w:p>
    <w:p w14:paraId="4959D870">
      <w:pPr>
        <w:pStyle w:val="12"/>
        <w:pageBreakBefore w:val="0"/>
        <w:wordWrap/>
        <w:overflowPunct/>
        <w:topLinePunct w:val="0"/>
        <w:bidi w:val="0"/>
        <w:spacing w:line="360" w:lineRule="auto"/>
        <w:rPr>
          <w:rFonts w:hint="eastAsia" w:ascii="仿宋" w:hAnsi="仿宋" w:eastAsia="仿宋" w:cs="仿宋"/>
          <w:color w:val="auto"/>
          <w:sz w:val="32"/>
          <w:szCs w:val="32"/>
          <w:highlight w:val="none"/>
        </w:rPr>
      </w:pPr>
    </w:p>
    <w:p w14:paraId="7503CFE0">
      <w:pPr>
        <w:pageBreakBefore w:val="0"/>
        <w:wordWrap/>
        <w:overflowPunct/>
        <w:topLinePunct w:val="0"/>
        <w:bidi w:val="0"/>
        <w:spacing w:line="360" w:lineRule="auto"/>
        <w:ind w:firstLine="640" w:firstLineChars="200"/>
        <w:jc w:val="left"/>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供应商全称（</w:t>
      </w:r>
      <w:r>
        <w:rPr>
          <w:rFonts w:hint="eastAsia" w:ascii="仿宋" w:hAnsi="仿宋" w:eastAsia="仿宋" w:cs="仿宋"/>
          <w:color w:val="auto"/>
          <w:sz w:val="32"/>
          <w:szCs w:val="32"/>
          <w:highlight w:val="none"/>
          <w:lang w:val="en-US" w:eastAsia="zh-CN"/>
        </w:rPr>
        <w:t>电子签章</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w:t>
      </w:r>
    </w:p>
    <w:p w14:paraId="7E36686C">
      <w:pPr>
        <w:pageBreakBefore w:val="0"/>
        <w:tabs>
          <w:tab w:val="left" w:pos="5190"/>
        </w:tabs>
        <w:wordWrap/>
        <w:overflowPunct/>
        <w:topLinePunct w:val="0"/>
        <w:bidi w:val="0"/>
        <w:spacing w:line="360" w:lineRule="auto"/>
        <w:ind w:firstLine="640" w:firstLineChars="200"/>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法定代表人或委托代理人（</w:t>
      </w:r>
      <w:r>
        <w:rPr>
          <w:rFonts w:hint="eastAsia" w:ascii="仿宋" w:hAnsi="仿宋" w:eastAsia="仿宋" w:cs="仿宋"/>
          <w:color w:val="auto"/>
          <w:sz w:val="32"/>
          <w:szCs w:val="32"/>
          <w:highlight w:val="none"/>
          <w:lang w:eastAsia="zh-CN"/>
        </w:rPr>
        <w:t>电子签章</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w:t>
      </w:r>
    </w:p>
    <w:p w14:paraId="4FA30543">
      <w:pPr>
        <w:pageBreakBefore w:val="0"/>
        <w:wordWrap/>
        <w:overflowPunct/>
        <w:topLinePunct w:val="0"/>
        <w:bidi w:val="0"/>
        <w:spacing w:line="360" w:lineRule="auto"/>
        <w:ind w:firstLine="640" w:firstLineChars="200"/>
        <w:jc w:val="left"/>
        <w:rPr>
          <w:rFonts w:hint="eastAsia" w:ascii="仿宋" w:hAnsi="仿宋" w:eastAsia="仿宋" w:cs="仿宋"/>
          <w:color w:val="auto"/>
          <w:highlight w:val="none"/>
        </w:rPr>
      </w:pPr>
      <w:r>
        <w:rPr>
          <w:rFonts w:hint="eastAsia" w:ascii="仿宋" w:hAnsi="仿宋" w:eastAsia="仿宋" w:cs="仿宋"/>
          <w:color w:val="auto"/>
          <w:sz w:val="32"/>
          <w:szCs w:val="32"/>
          <w:highlight w:val="none"/>
        </w:rPr>
        <w:t>日期：</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月</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rPr>
        <w:t>日</w:t>
      </w:r>
      <w:bookmarkStart w:id="362" w:name="_Toc391301871"/>
      <w:bookmarkStart w:id="363" w:name="_Toc509218493"/>
      <w:bookmarkStart w:id="364" w:name="_Toc503861948"/>
      <w:bookmarkStart w:id="365" w:name="_Toc406162617"/>
      <w:bookmarkStart w:id="366" w:name="_Toc383636412"/>
    </w:p>
    <w:p w14:paraId="54D93C7C">
      <w:pPr>
        <w:pageBreakBefore w:val="0"/>
        <w:wordWrap/>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532BA64">
      <w:pPr>
        <w:pStyle w:val="3"/>
        <w:pageBreakBefore w:val="0"/>
        <w:wordWrap/>
        <w:overflowPunct/>
        <w:topLinePunct w:val="0"/>
        <w:bidi w:val="0"/>
        <w:spacing w:before="0" w:after="0" w:line="360" w:lineRule="auto"/>
        <w:ind w:firstLine="643"/>
        <w:rPr>
          <w:rFonts w:hint="eastAsia" w:ascii="仿宋" w:hAnsi="仿宋" w:eastAsia="仿宋" w:cs="仿宋"/>
          <w:color w:val="auto"/>
          <w:sz w:val="24"/>
          <w:highlight w:val="none"/>
        </w:rPr>
      </w:pPr>
      <w:bookmarkStart w:id="367" w:name="_Toc1887"/>
      <w:r>
        <w:rPr>
          <w:rFonts w:hint="eastAsia" w:ascii="仿宋" w:hAnsi="仿宋" w:eastAsia="仿宋" w:cs="仿宋"/>
          <w:color w:val="auto"/>
          <w:highlight w:val="none"/>
        </w:rPr>
        <w:t>二、报价一览表</w:t>
      </w:r>
      <w:bookmarkEnd w:id="362"/>
      <w:bookmarkEnd w:id="363"/>
      <w:bookmarkEnd w:id="364"/>
      <w:bookmarkEnd w:id="365"/>
      <w:bookmarkEnd w:id="366"/>
      <w:bookmarkEnd w:id="367"/>
    </w:p>
    <w:p w14:paraId="2CA44080">
      <w:pPr>
        <w:pageBreakBefore w:val="0"/>
        <w:wordWrap/>
        <w:overflowPunct/>
        <w:topLinePunct w:val="0"/>
        <w:bidi w:val="0"/>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cs="仿宋"/>
          <w:bCs/>
          <w:color w:val="auto"/>
          <w:sz w:val="24"/>
          <w:highlight w:val="none"/>
          <w:lang w:eastAsia="zh-CN"/>
        </w:rPr>
        <w:t>《你好，再见！》丽江纪综艺纪板块（玉龙县）宣推项目</w:t>
      </w:r>
    </w:p>
    <w:p w14:paraId="0A493BF1">
      <w:pPr>
        <w:pageBreakBefore w:val="0"/>
        <w:wordWrap/>
        <w:overflowPunct/>
        <w:topLinePunct w:val="0"/>
        <w:bidi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pacing w:val="10"/>
          <w:sz w:val="24"/>
          <w:highlight w:val="none"/>
        </w:rPr>
        <w:t>项目</w:t>
      </w:r>
      <w:r>
        <w:rPr>
          <w:rFonts w:hint="eastAsia" w:ascii="仿宋" w:hAnsi="仿宋" w:eastAsia="仿宋" w:cs="仿宋"/>
          <w:color w:val="auto"/>
          <w:sz w:val="24"/>
          <w:highlight w:val="none"/>
        </w:rPr>
        <w:t>编号：</w:t>
      </w:r>
      <w:bookmarkStart w:id="368" w:name="_Toc383636413"/>
      <w:bookmarkStart w:id="369" w:name="_Toc509218495"/>
      <w:bookmarkStart w:id="370" w:name="_Toc503861950"/>
      <w:bookmarkStart w:id="371" w:name="_Toc406162618"/>
      <w:bookmarkStart w:id="372" w:name="_Toc391301872"/>
      <w:r>
        <w:rPr>
          <w:rFonts w:hint="eastAsia" w:ascii="仿宋" w:hAnsi="仿宋" w:cs="仿宋"/>
          <w:color w:val="auto"/>
          <w:sz w:val="24"/>
          <w:highlight w:val="none"/>
          <w:lang w:eastAsia="zh-CN"/>
        </w:rPr>
        <w:t>LJZC2026-C3-00705-YNLB-0329</w:t>
      </w:r>
    </w:p>
    <w:tbl>
      <w:tblPr>
        <w:tblStyle w:val="38"/>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950"/>
        <w:gridCol w:w="6523"/>
      </w:tblGrid>
      <w:tr w14:paraId="561B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372" w:type="dxa"/>
            <w:gridSpan w:val="3"/>
            <w:tcBorders>
              <w:top w:val="single" w:color="auto" w:sz="4" w:space="0"/>
              <w:left w:val="single" w:color="auto" w:sz="4" w:space="0"/>
              <w:bottom w:val="single" w:color="auto" w:sz="4" w:space="0"/>
              <w:right w:val="single" w:color="auto" w:sz="4" w:space="0"/>
            </w:tcBorders>
            <w:vAlign w:val="center"/>
          </w:tcPr>
          <w:p w14:paraId="3FB6A132">
            <w:pPr>
              <w:pageBreakBefore w:val="0"/>
              <w:wordWrap/>
              <w:overflowPunct/>
              <w:topLinePunct w:val="0"/>
              <w:bidi w:val="0"/>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供应商单位全称（</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tc>
      </w:tr>
      <w:tr w14:paraId="456F5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99" w:type="dxa"/>
            <w:tcBorders>
              <w:top w:val="single" w:color="auto" w:sz="4" w:space="0"/>
              <w:left w:val="single" w:color="auto" w:sz="4" w:space="0"/>
              <w:right w:val="single" w:color="auto" w:sz="4" w:space="0"/>
            </w:tcBorders>
            <w:vAlign w:val="center"/>
          </w:tcPr>
          <w:p w14:paraId="34631F45">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950" w:type="dxa"/>
            <w:tcBorders>
              <w:top w:val="single" w:color="auto" w:sz="4" w:space="0"/>
              <w:left w:val="single" w:color="auto" w:sz="4" w:space="0"/>
              <w:right w:val="single" w:color="auto" w:sz="4" w:space="0"/>
            </w:tcBorders>
            <w:vAlign w:val="center"/>
          </w:tcPr>
          <w:p w14:paraId="6E23AE49">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内容</w:t>
            </w:r>
          </w:p>
        </w:tc>
        <w:tc>
          <w:tcPr>
            <w:tcW w:w="6523" w:type="dxa"/>
            <w:tcBorders>
              <w:top w:val="single" w:color="auto" w:sz="4" w:space="0"/>
              <w:left w:val="single" w:color="auto" w:sz="4" w:space="0"/>
              <w:bottom w:val="single" w:color="auto" w:sz="4" w:space="0"/>
              <w:right w:val="single" w:color="auto" w:sz="4" w:space="0"/>
            </w:tcBorders>
            <w:vAlign w:val="center"/>
          </w:tcPr>
          <w:p w14:paraId="71F03CEE">
            <w:pPr>
              <w:pageBreakBefore w:val="0"/>
              <w:tabs>
                <w:tab w:val="left" w:pos="1124"/>
              </w:tabs>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报价及承诺</w:t>
            </w:r>
          </w:p>
        </w:tc>
      </w:tr>
      <w:tr w14:paraId="49E28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99" w:type="dxa"/>
            <w:vMerge w:val="restart"/>
            <w:tcBorders>
              <w:top w:val="single" w:color="auto" w:sz="4" w:space="0"/>
              <w:left w:val="single" w:color="auto" w:sz="4" w:space="0"/>
              <w:right w:val="single" w:color="auto" w:sz="4" w:space="0"/>
            </w:tcBorders>
            <w:vAlign w:val="center"/>
          </w:tcPr>
          <w:p w14:paraId="224709DF">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p>
        </w:tc>
        <w:tc>
          <w:tcPr>
            <w:tcW w:w="1950" w:type="dxa"/>
            <w:vMerge w:val="restart"/>
            <w:tcBorders>
              <w:top w:val="single" w:color="auto" w:sz="4" w:space="0"/>
              <w:left w:val="single" w:color="auto" w:sz="4" w:space="0"/>
              <w:right w:val="single" w:color="auto" w:sz="4" w:space="0"/>
            </w:tcBorders>
            <w:vAlign w:val="center"/>
          </w:tcPr>
          <w:p w14:paraId="4AD7E26C">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（报价项1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20人及以内人员单价）</w:t>
            </w:r>
          </w:p>
        </w:tc>
        <w:tc>
          <w:tcPr>
            <w:tcW w:w="6523" w:type="dxa"/>
            <w:tcBorders>
              <w:top w:val="single" w:color="auto" w:sz="4" w:space="0"/>
              <w:left w:val="single" w:color="auto" w:sz="4" w:space="0"/>
              <w:bottom w:val="single" w:color="auto" w:sz="4" w:space="0"/>
              <w:right w:val="single" w:color="auto" w:sz="4" w:space="0"/>
            </w:tcBorders>
            <w:vAlign w:val="center"/>
          </w:tcPr>
          <w:p w14:paraId="57186BC6">
            <w:pPr>
              <w:pageBreakBefore w:val="0"/>
              <w:wordWrap/>
              <w:overflowPunct/>
              <w:topLinePunct w:val="0"/>
              <w:bidi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小写：</w:t>
            </w:r>
          </w:p>
        </w:tc>
      </w:tr>
      <w:tr w14:paraId="6279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99" w:type="dxa"/>
            <w:vMerge w:val="continue"/>
            <w:tcBorders>
              <w:left w:val="single" w:color="auto" w:sz="4" w:space="0"/>
              <w:right w:val="single" w:color="auto" w:sz="4" w:space="0"/>
            </w:tcBorders>
            <w:vAlign w:val="center"/>
          </w:tcPr>
          <w:p w14:paraId="7216BBC3">
            <w:pPr>
              <w:pageBreakBefore w:val="0"/>
              <w:wordWrap/>
              <w:overflowPunct/>
              <w:topLinePunct w:val="0"/>
              <w:bidi w:val="0"/>
              <w:spacing w:line="360" w:lineRule="auto"/>
              <w:jc w:val="left"/>
              <w:rPr>
                <w:rFonts w:hint="eastAsia" w:ascii="仿宋" w:hAnsi="仿宋" w:eastAsia="仿宋" w:cs="仿宋"/>
                <w:color w:val="auto"/>
                <w:highlight w:val="none"/>
              </w:rPr>
            </w:pPr>
          </w:p>
        </w:tc>
        <w:tc>
          <w:tcPr>
            <w:tcW w:w="1950" w:type="dxa"/>
            <w:vMerge w:val="continue"/>
            <w:tcBorders>
              <w:left w:val="single" w:color="auto" w:sz="4" w:space="0"/>
              <w:right w:val="single" w:color="auto" w:sz="4" w:space="0"/>
            </w:tcBorders>
            <w:vAlign w:val="center"/>
          </w:tcPr>
          <w:p w14:paraId="04368118">
            <w:pPr>
              <w:pageBreakBefore w:val="0"/>
              <w:wordWrap/>
              <w:overflowPunct/>
              <w:topLinePunct w:val="0"/>
              <w:bidi w:val="0"/>
              <w:spacing w:line="360" w:lineRule="auto"/>
              <w:jc w:val="left"/>
              <w:rPr>
                <w:rFonts w:hint="eastAsia" w:ascii="仿宋" w:hAnsi="仿宋" w:eastAsia="仿宋" w:cs="仿宋"/>
                <w:color w:val="auto"/>
                <w:highlight w:val="none"/>
              </w:rPr>
            </w:pPr>
          </w:p>
        </w:tc>
        <w:tc>
          <w:tcPr>
            <w:tcW w:w="6523" w:type="dxa"/>
            <w:tcBorders>
              <w:top w:val="single" w:color="auto" w:sz="4" w:space="0"/>
              <w:left w:val="single" w:color="auto" w:sz="4" w:space="0"/>
              <w:bottom w:val="single" w:color="auto" w:sz="4" w:space="0"/>
              <w:right w:val="single" w:color="auto" w:sz="4" w:space="0"/>
            </w:tcBorders>
            <w:vAlign w:val="center"/>
          </w:tcPr>
          <w:p w14:paraId="60F391F0">
            <w:pPr>
              <w:pageBreakBefore w:val="0"/>
              <w:wordWrap/>
              <w:overflowPunct/>
              <w:topLinePunct w:val="0"/>
              <w:bidi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大写：</w:t>
            </w:r>
          </w:p>
        </w:tc>
      </w:tr>
      <w:tr w14:paraId="4E67A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899" w:type="dxa"/>
            <w:vMerge w:val="restart"/>
            <w:tcBorders>
              <w:top w:val="single" w:color="auto" w:sz="4" w:space="0"/>
              <w:left w:val="single" w:color="auto" w:sz="4" w:space="0"/>
              <w:right w:val="single" w:color="auto" w:sz="4" w:space="0"/>
            </w:tcBorders>
            <w:vAlign w:val="center"/>
          </w:tcPr>
          <w:p w14:paraId="0EE86E68">
            <w:pPr>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二</w:t>
            </w:r>
          </w:p>
        </w:tc>
        <w:tc>
          <w:tcPr>
            <w:tcW w:w="1950" w:type="dxa"/>
            <w:vMerge w:val="restart"/>
            <w:tcBorders>
              <w:top w:val="single" w:color="auto" w:sz="4" w:space="0"/>
              <w:left w:val="single" w:color="auto" w:sz="4" w:space="0"/>
              <w:right w:val="single" w:color="auto" w:sz="4" w:space="0"/>
            </w:tcBorders>
            <w:vAlign w:val="center"/>
          </w:tcPr>
          <w:p w14:paraId="24E8FD2E">
            <w:pPr>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报价项2(超出 20 人部分人员单价)</w:t>
            </w:r>
          </w:p>
        </w:tc>
        <w:tc>
          <w:tcPr>
            <w:tcW w:w="6523" w:type="dxa"/>
            <w:tcBorders>
              <w:top w:val="single" w:color="auto" w:sz="4" w:space="0"/>
              <w:left w:val="single" w:color="auto" w:sz="4" w:space="0"/>
              <w:bottom w:val="single" w:color="auto" w:sz="4" w:space="0"/>
              <w:right w:val="single" w:color="auto" w:sz="4" w:space="0"/>
            </w:tcBorders>
            <w:shd w:val="clear" w:color="auto" w:fill="auto"/>
            <w:vAlign w:val="center"/>
          </w:tcPr>
          <w:p w14:paraId="4A974538">
            <w:pPr>
              <w:pageBreakBefore w:val="0"/>
              <w:wordWrap/>
              <w:overflowPunct/>
              <w:topLinePunct w:val="0"/>
              <w:bidi w:val="0"/>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小写：</w:t>
            </w:r>
          </w:p>
        </w:tc>
      </w:tr>
      <w:tr w14:paraId="4303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899" w:type="dxa"/>
            <w:vMerge w:val="continue"/>
            <w:tcBorders>
              <w:left w:val="single" w:color="auto" w:sz="4" w:space="0"/>
              <w:bottom w:val="single" w:color="auto" w:sz="4" w:space="0"/>
              <w:right w:val="single" w:color="auto" w:sz="4" w:space="0"/>
            </w:tcBorders>
            <w:vAlign w:val="center"/>
          </w:tcPr>
          <w:p w14:paraId="0EAA904C">
            <w:pPr>
              <w:pageBreakBefore w:val="0"/>
              <w:wordWrap/>
              <w:overflowPunct/>
              <w:topLinePunct w:val="0"/>
              <w:bidi w:val="0"/>
              <w:spacing w:line="360" w:lineRule="auto"/>
              <w:jc w:val="center"/>
              <w:rPr>
                <w:rFonts w:hint="eastAsia" w:ascii="仿宋" w:hAnsi="仿宋" w:cs="仿宋"/>
                <w:color w:val="auto"/>
                <w:sz w:val="24"/>
                <w:highlight w:val="none"/>
                <w:lang w:val="en-US" w:eastAsia="zh-CN"/>
              </w:rPr>
            </w:pPr>
          </w:p>
        </w:tc>
        <w:tc>
          <w:tcPr>
            <w:tcW w:w="1950" w:type="dxa"/>
            <w:vMerge w:val="continue"/>
            <w:tcBorders>
              <w:left w:val="single" w:color="auto" w:sz="4" w:space="0"/>
              <w:bottom w:val="single" w:color="auto" w:sz="4" w:space="0"/>
              <w:right w:val="single" w:color="auto" w:sz="4" w:space="0"/>
            </w:tcBorders>
            <w:vAlign w:val="center"/>
          </w:tcPr>
          <w:p w14:paraId="5D63CC1D">
            <w:pPr>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p>
        </w:tc>
        <w:tc>
          <w:tcPr>
            <w:tcW w:w="6523" w:type="dxa"/>
            <w:tcBorders>
              <w:top w:val="single" w:color="auto" w:sz="4" w:space="0"/>
              <w:left w:val="single" w:color="auto" w:sz="4" w:space="0"/>
              <w:bottom w:val="single" w:color="auto" w:sz="4" w:space="0"/>
              <w:right w:val="single" w:color="auto" w:sz="4" w:space="0"/>
            </w:tcBorders>
            <w:shd w:val="clear" w:color="auto" w:fill="auto"/>
            <w:vAlign w:val="center"/>
          </w:tcPr>
          <w:p w14:paraId="27AF790D">
            <w:pPr>
              <w:pageBreakBefore w:val="0"/>
              <w:wordWrap/>
              <w:overflowPunct/>
              <w:topLinePunct w:val="0"/>
              <w:bidi w:val="0"/>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大写：</w:t>
            </w:r>
          </w:p>
        </w:tc>
      </w:tr>
      <w:tr w14:paraId="0199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5FD9365A">
            <w:pPr>
              <w:pageBreakBefore w:val="0"/>
              <w:wordWrap/>
              <w:overflowPunct/>
              <w:topLinePunct w:val="0"/>
              <w:bidi w:val="0"/>
              <w:spacing w:line="360" w:lineRule="auto"/>
              <w:jc w:val="center"/>
              <w:rPr>
                <w:rFonts w:hint="eastAsia" w:ascii="仿宋" w:hAnsi="仿宋" w:eastAsia="仿宋" w:cs="仿宋"/>
                <w:color w:val="auto"/>
                <w:sz w:val="24"/>
                <w:highlight w:val="none"/>
                <w:lang w:eastAsia="zh-CN"/>
              </w:rPr>
            </w:pPr>
            <w:r>
              <w:rPr>
                <w:rFonts w:hint="eastAsia" w:ascii="仿宋" w:hAnsi="仿宋" w:cs="仿宋"/>
                <w:color w:val="auto"/>
                <w:sz w:val="24"/>
                <w:highlight w:val="none"/>
                <w:lang w:val="en-US" w:eastAsia="zh-CN"/>
              </w:rPr>
              <w:t>三</w:t>
            </w:r>
          </w:p>
        </w:tc>
        <w:tc>
          <w:tcPr>
            <w:tcW w:w="1950" w:type="dxa"/>
            <w:tcBorders>
              <w:top w:val="single" w:color="auto" w:sz="4" w:space="0"/>
              <w:left w:val="single" w:color="auto" w:sz="4" w:space="0"/>
              <w:bottom w:val="single" w:color="auto" w:sz="4" w:space="0"/>
              <w:right w:val="single" w:color="auto" w:sz="4" w:space="0"/>
            </w:tcBorders>
            <w:vAlign w:val="center"/>
          </w:tcPr>
          <w:p w14:paraId="1E619A6A">
            <w:pPr>
              <w:pageBreakBefore w:val="0"/>
              <w:wordWrap/>
              <w:overflowPunct/>
              <w:topLinePunct w:val="0"/>
              <w:bidi w:val="0"/>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项目负责人</w:t>
            </w:r>
          </w:p>
        </w:tc>
        <w:tc>
          <w:tcPr>
            <w:tcW w:w="6523" w:type="dxa"/>
            <w:tcBorders>
              <w:top w:val="single" w:color="auto" w:sz="4" w:space="0"/>
              <w:left w:val="single" w:color="auto" w:sz="4" w:space="0"/>
              <w:bottom w:val="single" w:color="auto" w:sz="4" w:space="0"/>
              <w:right w:val="single" w:color="auto" w:sz="4" w:space="0"/>
            </w:tcBorders>
            <w:shd w:val="clear" w:color="auto" w:fill="auto"/>
            <w:vAlign w:val="center"/>
          </w:tcPr>
          <w:p w14:paraId="0BBA4417">
            <w:pPr>
              <w:pageBreakBefore w:val="0"/>
              <w:wordWrap/>
              <w:overflowPunct/>
              <w:topLinePunct w:val="0"/>
              <w:bidi w:val="0"/>
              <w:spacing w:line="360" w:lineRule="auto"/>
              <w:jc w:val="left"/>
              <w:rPr>
                <w:rFonts w:hint="eastAsia" w:ascii="仿宋" w:hAnsi="仿宋" w:eastAsia="仿宋" w:cs="仿宋"/>
                <w:color w:val="auto"/>
                <w:kern w:val="2"/>
                <w:sz w:val="24"/>
                <w:szCs w:val="24"/>
                <w:highlight w:val="none"/>
                <w:lang w:val="en-US" w:eastAsia="zh-CN" w:bidi="ar-SA"/>
              </w:rPr>
            </w:pPr>
          </w:p>
        </w:tc>
      </w:tr>
      <w:tr w14:paraId="0A52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6E53DD69">
            <w:pPr>
              <w:pageBreakBefore w:val="0"/>
              <w:wordWrap/>
              <w:overflowPunct/>
              <w:topLinePunct w:val="0"/>
              <w:bidi w:val="0"/>
              <w:spacing w:line="360" w:lineRule="auto"/>
              <w:jc w:val="center"/>
              <w:rPr>
                <w:rFonts w:hint="eastAsia" w:ascii="仿宋" w:hAnsi="仿宋" w:eastAsia="仿宋" w:cs="仿宋"/>
                <w:color w:val="auto"/>
                <w:sz w:val="24"/>
                <w:highlight w:val="none"/>
                <w:lang w:eastAsia="zh-CN"/>
              </w:rPr>
            </w:pPr>
            <w:r>
              <w:rPr>
                <w:rFonts w:hint="eastAsia" w:ascii="仿宋" w:hAnsi="仿宋" w:cs="仿宋"/>
                <w:color w:val="auto"/>
                <w:sz w:val="24"/>
                <w:highlight w:val="none"/>
                <w:lang w:val="en-US" w:eastAsia="zh-CN"/>
              </w:rPr>
              <w:t>四</w:t>
            </w:r>
          </w:p>
        </w:tc>
        <w:tc>
          <w:tcPr>
            <w:tcW w:w="1950" w:type="dxa"/>
            <w:tcBorders>
              <w:top w:val="single" w:color="auto" w:sz="4" w:space="0"/>
              <w:left w:val="single" w:color="auto" w:sz="4" w:space="0"/>
              <w:bottom w:val="single" w:color="auto" w:sz="4" w:space="0"/>
              <w:right w:val="single" w:color="auto" w:sz="4" w:space="0"/>
            </w:tcBorders>
            <w:vAlign w:val="center"/>
          </w:tcPr>
          <w:p w14:paraId="649BE09D">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合同履行期限</w:t>
            </w:r>
          </w:p>
        </w:tc>
        <w:tc>
          <w:tcPr>
            <w:tcW w:w="6523" w:type="dxa"/>
            <w:tcBorders>
              <w:top w:val="single" w:color="auto" w:sz="4" w:space="0"/>
              <w:left w:val="single" w:color="auto" w:sz="4" w:space="0"/>
              <w:bottom w:val="single" w:color="auto" w:sz="4" w:space="0"/>
              <w:right w:val="single" w:color="auto" w:sz="4" w:space="0"/>
            </w:tcBorders>
            <w:vAlign w:val="center"/>
          </w:tcPr>
          <w:p w14:paraId="55E06DFE">
            <w:pPr>
              <w:pageBreakBefore w:val="0"/>
              <w:wordWrap/>
              <w:overflowPunct/>
              <w:topLinePunct w:val="0"/>
              <w:bidi w:val="0"/>
              <w:spacing w:line="360" w:lineRule="auto"/>
              <w:jc w:val="center"/>
              <w:rPr>
                <w:rFonts w:hint="eastAsia" w:ascii="仿宋" w:hAnsi="仿宋" w:eastAsia="仿宋" w:cs="仿宋"/>
                <w:color w:val="auto"/>
                <w:sz w:val="24"/>
                <w:highlight w:val="none"/>
              </w:rPr>
            </w:pPr>
          </w:p>
        </w:tc>
      </w:tr>
      <w:tr w14:paraId="4FB5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1257A41F">
            <w:pPr>
              <w:pageBreakBefore w:val="0"/>
              <w:wordWrap/>
              <w:overflowPunct/>
              <w:topLinePunct w:val="0"/>
              <w:bidi w:val="0"/>
              <w:spacing w:line="360" w:lineRule="auto"/>
              <w:jc w:val="center"/>
              <w:rPr>
                <w:rFonts w:hint="eastAsia" w:ascii="仿宋" w:hAnsi="仿宋" w:eastAsia="仿宋" w:cs="仿宋"/>
                <w:color w:val="auto"/>
                <w:sz w:val="24"/>
                <w:highlight w:val="none"/>
                <w:lang w:eastAsia="zh-CN"/>
              </w:rPr>
            </w:pPr>
            <w:r>
              <w:rPr>
                <w:rFonts w:hint="eastAsia" w:ascii="仿宋" w:hAnsi="仿宋" w:cs="仿宋"/>
                <w:color w:val="auto"/>
                <w:sz w:val="24"/>
                <w:highlight w:val="none"/>
                <w:lang w:val="en-US" w:eastAsia="zh-CN"/>
              </w:rPr>
              <w:t>五</w:t>
            </w:r>
          </w:p>
        </w:tc>
        <w:tc>
          <w:tcPr>
            <w:tcW w:w="1950" w:type="dxa"/>
            <w:tcBorders>
              <w:top w:val="single" w:color="auto" w:sz="4" w:space="0"/>
              <w:left w:val="single" w:color="auto" w:sz="4" w:space="0"/>
              <w:bottom w:val="single" w:color="auto" w:sz="4" w:space="0"/>
              <w:right w:val="single" w:color="auto" w:sz="4" w:space="0"/>
            </w:tcBorders>
            <w:vAlign w:val="center"/>
          </w:tcPr>
          <w:p w14:paraId="11F3A1E5">
            <w:pPr>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服务质量承诺</w:t>
            </w:r>
          </w:p>
        </w:tc>
        <w:tc>
          <w:tcPr>
            <w:tcW w:w="6523" w:type="dxa"/>
            <w:tcBorders>
              <w:top w:val="single" w:color="auto" w:sz="4" w:space="0"/>
              <w:left w:val="single" w:color="auto" w:sz="4" w:space="0"/>
              <w:bottom w:val="single" w:color="auto" w:sz="4" w:space="0"/>
              <w:right w:val="single" w:color="auto" w:sz="4" w:space="0"/>
            </w:tcBorders>
            <w:vAlign w:val="center"/>
          </w:tcPr>
          <w:p w14:paraId="42B60B8C">
            <w:pPr>
              <w:pageBreakBefore w:val="0"/>
              <w:wordWrap/>
              <w:overflowPunct/>
              <w:topLinePunct w:val="0"/>
              <w:bidi w:val="0"/>
              <w:spacing w:line="360" w:lineRule="auto"/>
              <w:jc w:val="left"/>
              <w:rPr>
                <w:rFonts w:hint="eastAsia" w:ascii="仿宋" w:hAnsi="仿宋" w:eastAsia="仿宋" w:cs="仿宋"/>
                <w:color w:val="auto"/>
                <w:sz w:val="24"/>
                <w:highlight w:val="none"/>
                <w:lang w:val="en-US" w:eastAsia="zh-CN"/>
              </w:rPr>
            </w:pPr>
          </w:p>
        </w:tc>
      </w:tr>
      <w:tr w14:paraId="7DE7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424BBF0C">
            <w:pPr>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六</w:t>
            </w:r>
          </w:p>
        </w:tc>
        <w:tc>
          <w:tcPr>
            <w:tcW w:w="1950" w:type="dxa"/>
            <w:tcBorders>
              <w:top w:val="single" w:color="auto" w:sz="4" w:space="0"/>
              <w:left w:val="single" w:color="auto" w:sz="4" w:space="0"/>
              <w:bottom w:val="single" w:color="auto" w:sz="4" w:space="0"/>
              <w:right w:val="single" w:color="auto" w:sz="4" w:space="0"/>
            </w:tcBorders>
            <w:vAlign w:val="center"/>
          </w:tcPr>
          <w:p w14:paraId="6E3C539A">
            <w:pPr>
              <w:pageBreakBefore w:val="0"/>
              <w:wordWrap/>
              <w:overflowPunct/>
              <w:topLinePunct w:val="0"/>
              <w:bidi w:val="0"/>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备注</w:t>
            </w:r>
          </w:p>
        </w:tc>
        <w:tc>
          <w:tcPr>
            <w:tcW w:w="6523" w:type="dxa"/>
            <w:tcBorders>
              <w:top w:val="single" w:color="auto" w:sz="4" w:space="0"/>
              <w:left w:val="single" w:color="auto" w:sz="4" w:space="0"/>
              <w:bottom w:val="single" w:color="auto" w:sz="4" w:space="0"/>
              <w:right w:val="single" w:color="auto" w:sz="4" w:space="0"/>
            </w:tcBorders>
            <w:vAlign w:val="center"/>
          </w:tcPr>
          <w:p w14:paraId="5267C3C4">
            <w:pPr>
              <w:pageBreakBefore w:val="0"/>
              <w:wordWrap/>
              <w:overflowPunct/>
              <w:topLinePunct w:val="0"/>
              <w:bidi w:val="0"/>
              <w:spacing w:line="360" w:lineRule="auto"/>
              <w:jc w:val="left"/>
              <w:rPr>
                <w:rFonts w:hint="eastAsia" w:ascii="仿宋" w:hAnsi="仿宋" w:eastAsia="仿宋" w:cs="仿宋"/>
                <w:color w:val="auto"/>
                <w:sz w:val="24"/>
                <w:highlight w:val="none"/>
                <w:lang w:val="en-US" w:eastAsia="zh-CN"/>
              </w:rPr>
            </w:pPr>
          </w:p>
        </w:tc>
      </w:tr>
      <w:tr w14:paraId="79A1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jc w:val="center"/>
        </w:trPr>
        <w:tc>
          <w:tcPr>
            <w:tcW w:w="9372" w:type="dxa"/>
            <w:gridSpan w:val="3"/>
            <w:tcBorders>
              <w:top w:val="single" w:color="auto" w:sz="4" w:space="0"/>
              <w:left w:val="single" w:color="auto" w:sz="4" w:space="0"/>
              <w:bottom w:val="single" w:color="auto" w:sz="4" w:space="0"/>
              <w:right w:val="single" w:color="auto" w:sz="4" w:space="0"/>
            </w:tcBorders>
            <w:vAlign w:val="center"/>
          </w:tcPr>
          <w:p w14:paraId="116B82E1">
            <w:pPr>
              <w:pageBreakBefore w:val="0"/>
              <w:wordWrap/>
              <w:overflowPunct/>
              <w:topLinePunct w:val="0"/>
              <w:bidi w:val="0"/>
              <w:spacing w:line="360" w:lineRule="auto"/>
              <w:rPr>
                <w:rFonts w:hint="eastAsia" w:ascii="仿宋" w:hAnsi="仿宋" w:eastAsia="仿宋" w:cs="仿宋"/>
                <w:color w:val="auto"/>
                <w:sz w:val="24"/>
                <w:highlight w:val="none"/>
              </w:rPr>
            </w:pPr>
          </w:p>
          <w:p w14:paraId="316FEDE8">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法人或授权代理人（</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2FA4E15A">
            <w:pPr>
              <w:pageBreakBefore w:val="0"/>
              <w:wordWrap/>
              <w:overflowPunct/>
              <w:topLinePunct w:val="0"/>
              <w:bidi w:val="0"/>
              <w:spacing w:line="360" w:lineRule="auto"/>
              <w:rPr>
                <w:rFonts w:hint="eastAsia" w:ascii="仿宋" w:hAnsi="仿宋" w:eastAsia="仿宋" w:cs="仿宋"/>
                <w:color w:val="auto"/>
                <w:sz w:val="24"/>
                <w:highlight w:val="none"/>
              </w:rPr>
            </w:pPr>
          </w:p>
          <w:p w14:paraId="1A4166F9">
            <w:pPr>
              <w:pageBreakBefore w:val="0"/>
              <w:wordWrap/>
              <w:overflowPunct/>
              <w:topLinePunct w:val="0"/>
              <w:bidi w:val="0"/>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    年  月  日</w:t>
            </w:r>
          </w:p>
        </w:tc>
      </w:tr>
    </w:tbl>
    <w:p w14:paraId="1A153E37">
      <w:pPr>
        <w:pageBreakBefore w:val="0"/>
        <w:tabs>
          <w:tab w:val="left" w:pos="1734"/>
          <w:tab w:val="left" w:pos="2814"/>
          <w:tab w:val="left" w:pos="3894"/>
          <w:tab w:val="left" w:pos="5334"/>
          <w:tab w:val="left" w:pos="6414"/>
          <w:tab w:val="left" w:pos="8574"/>
          <w:tab w:val="left" w:pos="9654"/>
        </w:tabs>
        <w:wordWrap/>
        <w:overflowPunct/>
        <w:topLinePunct w:val="0"/>
        <w:bidi w:val="0"/>
        <w:spacing w:line="360" w:lineRule="auto"/>
        <w:ind w:left="-2" w:leftChars="-1"/>
        <w:rPr>
          <w:rFonts w:hint="eastAsia" w:ascii="仿宋" w:hAnsi="仿宋" w:eastAsia="仿宋" w:cs="仿宋"/>
          <w:b/>
          <w:bCs/>
          <w:color w:val="auto"/>
          <w:highlight w:val="none"/>
        </w:rPr>
      </w:pPr>
      <w:r>
        <w:rPr>
          <w:rFonts w:hint="eastAsia" w:ascii="仿宋" w:hAnsi="仿宋" w:eastAsia="仿宋" w:cs="仿宋"/>
          <w:b/>
          <w:color w:val="auto"/>
          <w:highlight w:val="none"/>
        </w:rPr>
        <w:t>注：&lt;1&gt;</w:t>
      </w:r>
      <w:r>
        <w:rPr>
          <w:rFonts w:hint="eastAsia" w:ascii="仿宋" w:hAnsi="仿宋" w:eastAsia="仿宋" w:cs="仿宋"/>
          <w:b/>
          <w:color w:val="auto"/>
          <w:spacing w:val="10"/>
          <w:highlight w:val="none"/>
        </w:rPr>
        <w:t>供应商</w:t>
      </w:r>
      <w:r>
        <w:rPr>
          <w:rFonts w:hint="eastAsia" w:ascii="仿宋" w:hAnsi="仿宋" w:eastAsia="仿宋" w:cs="仿宋"/>
          <w:b/>
          <w:bCs/>
          <w:color w:val="auto"/>
          <w:highlight w:val="none"/>
        </w:rPr>
        <w:t>应将此表放于响应文件封面后第一页。供应商可根据自身磋商情况，按规定表格填报、不得漏报。</w:t>
      </w:r>
    </w:p>
    <w:p w14:paraId="1052085B">
      <w:pPr>
        <w:pageBreakBefore w:val="0"/>
        <w:widowControl/>
        <w:wordWrap/>
        <w:overflowPunct/>
        <w:topLinePunct w:val="0"/>
        <w:bidi w:val="0"/>
        <w:spacing w:line="360" w:lineRule="auto"/>
        <w:jc w:val="left"/>
        <w:rPr>
          <w:rFonts w:hint="eastAsia" w:ascii="仿宋" w:hAnsi="仿宋" w:eastAsia="仿宋" w:cs="仿宋"/>
          <w:b/>
          <w:bCs/>
          <w:color w:val="auto"/>
          <w:highlight w:val="none"/>
        </w:rPr>
      </w:pPr>
      <w:r>
        <w:rPr>
          <w:rFonts w:hint="eastAsia" w:ascii="仿宋" w:hAnsi="仿宋" w:eastAsia="仿宋" w:cs="仿宋"/>
          <w:b/>
          <w:color w:val="auto"/>
          <w:highlight w:val="none"/>
        </w:rPr>
        <w:t>&lt;2&gt;</w:t>
      </w:r>
      <w:r>
        <w:rPr>
          <w:rFonts w:hint="eastAsia" w:ascii="仿宋" w:hAnsi="仿宋" w:eastAsia="仿宋" w:cs="仿宋"/>
          <w:b/>
          <w:bCs/>
          <w:color w:val="auto"/>
          <w:highlight w:val="none"/>
        </w:rPr>
        <w:t>报价一览表内容应与响应文件内容相一致，当两者不相符时，以报价一览表为准，且不得出现选择性内容。</w:t>
      </w:r>
    </w:p>
    <w:p w14:paraId="57852C33">
      <w:pPr>
        <w:pageBreakBefore w:val="0"/>
        <w:wordWrap/>
        <w:overflowPunct/>
        <w:topLinePunct w:val="0"/>
        <w:bidi w:val="0"/>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r>
    </w:p>
    <w:p w14:paraId="58FACC46">
      <w:pPr>
        <w:pStyle w:val="49"/>
        <w:pageBreakBefore w:val="0"/>
        <w:wordWrap/>
        <w:overflowPunct/>
        <w:topLinePunct w:val="0"/>
        <w:bidi w:val="0"/>
        <w:spacing w:before="0" w:after="0" w:line="360" w:lineRule="auto"/>
        <w:rPr>
          <w:rFonts w:hint="eastAsia" w:ascii="仿宋" w:hAnsi="仿宋" w:eastAsia="仿宋" w:cs="仿宋"/>
          <w:color w:val="auto"/>
          <w:highlight w:val="none"/>
        </w:rPr>
      </w:pPr>
    </w:p>
    <w:p w14:paraId="2A9EA8BB">
      <w:pPr>
        <w:pStyle w:val="3"/>
        <w:pageBreakBefore w:val="0"/>
        <w:wordWrap/>
        <w:overflowPunct/>
        <w:topLinePunct w:val="0"/>
        <w:bidi w:val="0"/>
        <w:spacing w:before="0" w:after="0" w:line="360" w:lineRule="auto"/>
        <w:rPr>
          <w:rFonts w:hint="eastAsia" w:ascii="仿宋" w:hAnsi="仿宋" w:eastAsia="仿宋" w:cs="仿宋"/>
          <w:color w:val="auto"/>
          <w:highlight w:val="none"/>
        </w:rPr>
      </w:pPr>
      <w:bookmarkStart w:id="373" w:name="_Toc31144"/>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、资格审查文件部分</w:t>
      </w:r>
      <w:bookmarkEnd w:id="368"/>
      <w:bookmarkEnd w:id="369"/>
      <w:bookmarkEnd w:id="370"/>
      <w:bookmarkEnd w:id="371"/>
      <w:bookmarkEnd w:id="372"/>
      <w:bookmarkEnd w:id="373"/>
    </w:p>
    <w:p w14:paraId="72AC58C3">
      <w:pPr>
        <w:keepNext/>
        <w:keepLines/>
        <w:pageBreakBefore w:val="0"/>
        <w:shd w:val="clear"/>
        <w:wordWrap/>
        <w:overflowPunct/>
        <w:topLinePunct w:val="0"/>
        <w:bidi w:val="0"/>
        <w:spacing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w:t>
      </w:r>
      <w:r>
        <w:rPr>
          <w:rFonts w:hint="eastAsia" w:ascii="仿宋" w:hAnsi="仿宋" w:cs="仿宋"/>
          <w:b/>
          <w:color w:val="auto"/>
          <w:kern w:val="0"/>
          <w:sz w:val="24"/>
          <w:szCs w:val="24"/>
          <w:highlight w:val="none"/>
          <w:lang w:val="en-US" w:eastAsia="zh-CN"/>
        </w:rPr>
        <w:t>.</w:t>
      </w:r>
      <w:r>
        <w:rPr>
          <w:rFonts w:hint="eastAsia" w:ascii="仿宋" w:hAnsi="仿宋" w:eastAsia="仿宋" w:cs="仿宋"/>
          <w:b/>
          <w:color w:val="auto"/>
          <w:kern w:val="0"/>
          <w:sz w:val="24"/>
          <w:szCs w:val="24"/>
          <w:highlight w:val="none"/>
        </w:rPr>
        <w:t>具有独立承担民事责任的能力</w:t>
      </w:r>
    </w:p>
    <w:p w14:paraId="0C83762E">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①若为企业法人：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提供“营业执照”；②若为事业法人：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提供“事业单位法人证书或统一社会信用代码证书”；③若为其他组织：</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提供“对应主管部门颁发的准许执业证明文件或营业执照”；④若为自然人：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提供“身份证明材料”</w:t>
      </w:r>
      <w:r>
        <w:rPr>
          <w:rFonts w:hint="eastAsia" w:ascii="仿宋" w:hAnsi="仿宋" w:eastAsia="仿宋" w:cs="仿宋"/>
          <w:color w:val="auto"/>
          <w:sz w:val="24"/>
          <w:highlight w:val="none"/>
          <w:lang w:eastAsia="zh-CN"/>
        </w:rPr>
        <w:t>；</w:t>
      </w:r>
    </w:p>
    <w:p w14:paraId="439BA774">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lang w:val="en-US" w:eastAsia="zh-CN"/>
        </w:rPr>
        <w:t>注：上述材料需提供扫描件。</w:t>
      </w:r>
    </w:p>
    <w:p w14:paraId="29618E0B">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p>
    <w:p w14:paraId="0FE4B353">
      <w:pPr>
        <w:keepNext/>
        <w:keepLines/>
        <w:pageBreakBefore w:val="0"/>
        <w:shd w:val="clear"/>
        <w:wordWrap/>
        <w:overflowPunct/>
        <w:topLinePunct w:val="0"/>
        <w:bidi w:val="0"/>
        <w:spacing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格式2</w:t>
      </w:r>
      <w:r>
        <w:rPr>
          <w:rFonts w:hint="eastAsia" w:ascii="仿宋" w:hAnsi="仿宋" w:cs="仿宋"/>
          <w:b/>
          <w:color w:val="auto"/>
          <w:kern w:val="0"/>
          <w:sz w:val="24"/>
          <w:szCs w:val="24"/>
          <w:highlight w:val="none"/>
          <w:lang w:val="en-US" w:eastAsia="zh-CN"/>
        </w:rPr>
        <w:t>.</w:t>
      </w:r>
      <w:r>
        <w:rPr>
          <w:rFonts w:hint="eastAsia" w:ascii="仿宋" w:hAnsi="仿宋" w:eastAsia="仿宋" w:cs="仿宋"/>
          <w:b/>
          <w:color w:val="auto"/>
          <w:kern w:val="0"/>
          <w:sz w:val="24"/>
          <w:szCs w:val="24"/>
          <w:highlight w:val="none"/>
        </w:rPr>
        <w:t>有良好的商业信誉和健全的财务会计制度</w:t>
      </w:r>
    </w:p>
    <w:p w14:paraId="2C1AE4AB">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①提供2023年（含）至</w:t>
      </w:r>
      <w:r>
        <w:rPr>
          <w:rFonts w:hint="eastAsia" w:ascii="仿宋" w:hAnsi="仿宋" w:cs="仿宋"/>
          <w:color w:val="auto"/>
          <w:sz w:val="24"/>
          <w:szCs w:val="22"/>
          <w:highlight w:val="none"/>
          <w:lang w:eastAsia="zh-CN"/>
        </w:rPr>
        <w:t>响应文件</w:t>
      </w:r>
      <w:r>
        <w:rPr>
          <w:rFonts w:hint="eastAsia" w:ascii="仿宋" w:hAnsi="仿宋" w:eastAsia="仿宋" w:cs="仿宋"/>
          <w:color w:val="auto"/>
          <w:sz w:val="24"/>
          <w:szCs w:val="22"/>
          <w:highlight w:val="none"/>
          <w:lang w:eastAsia="zh-CN"/>
        </w:rPr>
        <w:t>提交截止时间任一年度完整经审计财务报告，包含审计报告正文、资产负债表、利润表、现金流量表、财务报表附注；前述审计财务报告须在财政部注册会计师行业统一监管平台赋码并附有有效验证码，无有效赋码或核验信息不一致的审计报告不予采信（成立不满1年的</w:t>
      </w:r>
      <w:r>
        <w:rPr>
          <w:rFonts w:hint="eastAsia" w:ascii="仿宋" w:hAnsi="仿宋" w:cs="仿宋"/>
          <w:color w:val="auto"/>
          <w:sz w:val="24"/>
          <w:szCs w:val="22"/>
          <w:highlight w:val="none"/>
          <w:lang w:eastAsia="zh-CN"/>
        </w:rPr>
        <w:t>供应商</w:t>
      </w:r>
      <w:r>
        <w:rPr>
          <w:rFonts w:hint="eastAsia" w:ascii="仿宋" w:hAnsi="仿宋" w:eastAsia="仿宋" w:cs="仿宋"/>
          <w:color w:val="auto"/>
          <w:sz w:val="24"/>
          <w:szCs w:val="22"/>
          <w:highlight w:val="none"/>
          <w:lang w:eastAsia="zh-CN"/>
        </w:rPr>
        <w:t>，提供自成立之日起的财务报表（含资产负债表、利润表、现金流量表）；</w:t>
      </w:r>
      <w:r>
        <w:rPr>
          <w:rFonts w:hint="eastAsia" w:ascii="仿宋" w:hAnsi="仿宋" w:cs="仿宋"/>
          <w:color w:val="auto"/>
          <w:sz w:val="24"/>
          <w:szCs w:val="22"/>
          <w:highlight w:val="none"/>
          <w:lang w:eastAsia="zh-CN"/>
        </w:rPr>
        <w:t>供应商</w:t>
      </w:r>
      <w:r>
        <w:rPr>
          <w:rFonts w:hint="eastAsia" w:ascii="仿宋" w:hAnsi="仿宋" w:eastAsia="仿宋" w:cs="仿宋"/>
          <w:color w:val="auto"/>
          <w:sz w:val="24"/>
          <w:szCs w:val="22"/>
          <w:highlight w:val="none"/>
          <w:lang w:eastAsia="zh-CN"/>
        </w:rPr>
        <w:t>为自然人的可提交财务状况承诺函；非营利性单位、社会团体、机关事业单位可按自身财务制度提供合规财务证明材料或承诺函）；②提供在提交</w:t>
      </w:r>
      <w:r>
        <w:rPr>
          <w:rFonts w:hint="eastAsia" w:ascii="仿宋" w:hAnsi="仿宋" w:cs="仿宋"/>
          <w:color w:val="auto"/>
          <w:sz w:val="24"/>
          <w:szCs w:val="22"/>
          <w:highlight w:val="none"/>
          <w:lang w:eastAsia="zh-CN"/>
        </w:rPr>
        <w:t>响应文件</w:t>
      </w:r>
      <w:r>
        <w:rPr>
          <w:rFonts w:hint="eastAsia" w:ascii="仿宋" w:hAnsi="仿宋" w:eastAsia="仿宋" w:cs="仿宋"/>
          <w:color w:val="auto"/>
          <w:sz w:val="24"/>
          <w:szCs w:val="22"/>
          <w:highlight w:val="none"/>
          <w:lang w:eastAsia="zh-CN"/>
        </w:rPr>
        <w:t>截止时间前六个月内银行开具的资信证明或银行存款证明或其他财务说明；③提供财政部门认可的政府采购专业担保机构对</w:t>
      </w:r>
      <w:r>
        <w:rPr>
          <w:rFonts w:hint="eastAsia" w:ascii="仿宋" w:hAnsi="仿宋" w:cs="仿宋"/>
          <w:color w:val="auto"/>
          <w:sz w:val="24"/>
          <w:szCs w:val="22"/>
          <w:highlight w:val="none"/>
          <w:lang w:eastAsia="zh-CN"/>
        </w:rPr>
        <w:t>供应商</w:t>
      </w:r>
      <w:r>
        <w:rPr>
          <w:rFonts w:hint="eastAsia" w:ascii="仿宋" w:hAnsi="仿宋" w:eastAsia="仿宋" w:cs="仿宋"/>
          <w:color w:val="auto"/>
          <w:sz w:val="24"/>
          <w:szCs w:val="22"/>
          <w:highlight w:val="none"/>
          <w:lang w:eastAsia="zh-CN"/>
        </w:rPr>
        <w:t>进行资信审查后出具的投标担保函。（注：上述①—③项证明材料，提供任意一项即可）</w:t>
      </w:r>
    </w:p>
    <w:p w14:paraId="738AAF87">
      <w:pPr>
        <w:keepNext/>
        <w:keepLines/>
        <w:pageBreakBefore w:val="0"/>
        <w:shd w:val="clear"/>
        <w:wordWrap/>
        <w:overflowPunct/>
        <w:topLinePunct w:val="0"/>
        <w:bidi w:val="0"/>
        <w:spacing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格式3</w:t>
      </w:r>
      <w:r>
        <w:rPr>
          <w:rFonts w:hint="eastAsia" w:ascii="仿宋" w:hAnsi="仿宋" w:cs="仿宋"/>
          <w:b/>
          <w:color w:val="auto"/>
          <w:kern w:val="0"/>
          <w:sz w:val="24"/>
          <w:szCs w:val="24"/>
          <w:highlight w:val="none"/>
          <w:lang w:val="en-US" w:eastAsia="zh-CN"/>
        </w:rPr>
        <w:t>.</w:t>
      </w:r>
      <w:r>
        <w:rPr>
          <w:rFonts w:hint="eastAsia" w:ascii="仿宋" w:hAnsi="仿宋" w:eastAsia="仿宋" w:cs="仿宋"/>
          <w:b/>
          <w:color w:val="auto"/>
          <w:kern w:val="0"/>
          <w:sz w:val="24"/>
          <w:szCs w:val="24"/>
          <w:highlight w:val="none"/>
        </w:rPr>
        <w:t>具有履行合同所必需的设备和专业技术能力</w:t>
      </w:r>
    </w:p>
    <w:p w14:paraId="162619E9">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（提供书面声明或证明材料）</w:t>
      </w:r>
    </w:p>
    <w:p w14:paraId="44BC9B19">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p>
    <w:p w14:paraId="738C1243">
      <w:pPr>
        <w:keepNext/>
        <w:keepLines/>
        <w:pageBreakBefore w:val="0"/>
        <w:shd w:val="clear"/>
        <w:wordWrap/>
        <w:overflowPunct/>
        <w:topLinePunct w:val="0"/>
        <w:bidi w:val="0"/>
        <w:spacing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格式4</w:t>
      </w:r>
      <w:r>
        <w:rPr>
          <w:rFonts w:hint="eastAsia" w:ascii="仿宋" w:hAnsi="仿宋" w:cs="仿宋"/>
          <w:b/>
          <w:color w:val="auto"/>
          <w:kern w:val="0"/>
          <w:sz w:val="24"/>
          <w:szCs w:val="24"/>
          <w:highlight w:val="none"/>
          <w:lang w:val="en-US" w:eastAsia="zh-CN"/>
        </w:rPr>
        <w:t>.</w:t>
      </w:r>
      <w:r>
        <w:rPr>
          <w:rFonts w:hint="eastAsia" w:ascii="仿宋" w:hAnsi="仿宋" w:eastAsia="仿宋" w:cs="仿宋"/>
          <w:b/>
          <w:color w:val="auto"/>
          <w:kern w:val="0"/>
          <w:sz w:val="24"/>
          <w:szCs w:val="24"/>
          <w:highlight w:val="none"/>
        </w:rPr>
        <w:t>有依法缴纳税收和社会保障资金的良好记录</w:t>
      </w:r>
    </w:p>
    <w:p w14:paraId="7C3DF522">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①提供税款所属时期</w:t>
      </w:r>
      <w:r>
        <w:rPr>
          <w:rFonts w:hint="eastAsia" w:ascii="仿宋" w:hAnsi="仿宋" w:eastAsia="仿宋" w:cs="仿宋"/>
          <w:color w:val="auto"/>
          <w:sz w:val="24"/>
          <w:szCs w:val="22"/>
          <w:highlight w:val="none"/>
          <w:lang w:val="en-US" w:eastAsia="zh-CN"/>
        </w:rPr>
        <w:t>在</w:t>
      </w:r>
      <w:r>
        <w:rPr>
          <w:rFonts w:hint="eastAsia" w:ascii="仿宋" w:hAnsi="仿宋" w:cs="仿宋"/>
          <w:color w:val="auto"/>
          <w:sz w:val="24"/>
          <w:szCs w:val="22"/>
          <w:highlight w:val="none"/>
          <w:lang w:eastAsia="zh-CN"/>
        </w:rPr>
        <w:t>2025年5月</w:t>
      </w:r>
      <w:r>
        <w:rPr>
          <w:rFonts w:hint="eastAsia" w:ascii="仿宋" w:hAnsi="仿宋" w:eastAsia="仿宋" w:cs="仿宋"/>
          <w:color w:val="auto"/>
          <w:sz w:val="24"/>
          <w:szCs w:val="22"/>
          <w:highlight w:val="none"/>
          <w:lang w:eastAsia="zh-CN"/>
        </w:rPr>
        <w:t>至响应文件提交截止时间任意连续3个月的税务局税收通用缴款书复印件或银行电子缴税（费）凭证或税务局出</w:t>
      </w:r>
      <w:r>
        <w:rPr>
          <w:rFonts w:hint="eastAsia" w:ascii="仿宋" w:hAnsi="仿宋" w:cs="仿宋"/>
          <w:color w:val="auto"/>
          <w:sz w:val="24"/>
          <w:szCs w:val="22"/>
          <w:highlight w:val="none"/>
          <w:lang w:eastAsia="zh-CN"/>
        </w:rPr>
        <w:t>具的</w:t>
      </w:r>
      <w:r>
        <w:rPr>
          <w:rFonts w:hint="eastAsia" w:ascii="仿宋" w:hAnsi="仿宋" w:eastAsia="仿宋" w:cs="仿宋"/>
          <w:color w:val="auto"/>
          <w:sz w:val="24"/>
          <w:szCs w:val="22"/>
          <w:highlight w:val="none"/>
          <w:lang w:eastAsia="zh-CN"/>
        </w:rPr>
        <w:t>纳税情况的相关证明（注：成立未满3个月</w:t>
      </w:r>
      <w:r>
        <w:rPr>
          <w:rFonts w:hint="eastAsia" w:ascii="仿宋" w:hAnsi="仿宋" w:cs="仿宋"/>
          <w:color w:val="auto"/>
          <w:sz w:val="24"/>
          <w:szCs w:val="22"/>
          <w:highlight w:val="none"/>
          <w:lang w:val="en-US" w:eastAsia="zh-CN"/>
        </w:rPr>
        <w:t>或刚满3个月</w:t>
      </w:r>
      <w:r>
        <w:rPr>
          <w:rFonts w:hint="eastAsia" w:ascii="仿宋" w:hAnsi="仿宋" w:eastAsia="仿宋" w:cs="仿宋"/>
          <w:color w:val="auto"/>
          <w:sz w:val="24"/>
          <w:szCs w:val="22"/>
          <w:highlight w:val="none"/>
          <w:lang w:eastAsia="zh-CN"/>
        </w:rPr>
        <w:t>的供应商提供自成立以来的相关纳税证明或情况说明；依法免税的，应提供依法免税的相关证明文件）；②提供费款所属时期</w:t>
      </w:r>
      <w:r>
        <w:rPr>
          <w:rFonts w:hint="eastAsia" w:ascii="仿宋" w:hAnsi="仿宋" w:eastAsia="仿宋" w:cs="仿宋"/>
          <w:color w:val="auto"/>
          <w:sz w:val="24"/>
          <w:szCs w:val="22"/>
          <w:highlight w:val="none"/>
          <w:lang w:val="en-US" w:eastAsia="zh-CN"/>
        </w:rPr>
        <w:t>在</w:t>
      </w:r>
      <w:r>
        <w:rPr>
          <w:rFonts w:hint="eastAsia" w:ascii="仿宋" w:hAnsi="仿宋" w:cs="仿宋"/>
          <w:color w:val="auto"/>
          <w:sz w:val="24"/>
          <w:szCs w:val="22"/>
          <w:highlight w:val="none"/>
          <w:lang w:eastAsia="zh-CN"/>
        </w:rPr>
        <w:t>2025年5月</w:t>
      </w:r>
      <w:r>
        <w:rPr>
          <w:rFonts w:hint="eastAsia" w:ascii="仿宋" w:hAnsi="仿宋" w:eastAsia="仿宋" w:cs="仿宋"/>
          <w:color w:val="auto"/>
          <w:sz w:val="24"/>
          <w:szCs w:val="22"/>
          <w:highlight w:val="none"/>
          <w:lang w:eastAsia="zh-CN"/>
        </w:rPr>
        <w:t>至响应文件提交截止时间任意连续3个月的社会保险费缴款书复印件或银行电子缴税（费）凭证或社保管理部门出具的有效的缴款证明（成立未满3个月</w:t>
      </w:r>
      <w:r>
        <w:rPr>
          <w:rFonts w:hint="eastAsia" w:ascii="仿宋" w:hAnsi="仿宋" w:cs="仿宋"/>
          <w:color w:val="auto"/>
          <w:sz w:val="24"/>
          <w:szCs w:val="22"/>
          <w:highlight w:val="none"/>
          <w:lang w:val="en-US" w:eastAsia="zh-CN"/>
        </w:rPr>
        <w:t>或刚满3个月</w:t>
      </w:r>
      <w:r>
        <w:rPr>
          <w:rFonts w:hint="eastAsia" w:ascii="仿宋" w:hAnsi="仿宋" w:eastAsia="仿宋" w:cs="仿宋"/>
          <w:color w:val="auto"/>
          <w:sz w:val="24"/>
          <w:szCs w:val="22"/>
          <w:highlight w:val="none"/>
          <w:lang w:eastAsia="zh-CN"/>
        </w:rPr>
        <w:t>的提供成立以来社会保障资金缴纳凭证或相关情况说明；依法不需要缴纳社会保障资金的供应商，应提供相应文件证明其不需要缴纳社会保障资金）</w:t>
      </w:r>
      <w:r>
        <w:rPr>
          <w:rFonts w:hint="eastAsia" w:ascii="仿宋" w:hAnsi="仿宋" w:eastAsia="仿宋" w:cs="仿宋"/>
          <w:color w:val="auto"/>
          <w:sz w:val="24"/>
          <w:szCs w:val="22"/>
          <w:highlight w:val="none"/>
        </w:rPr>
        <w:t>；</w:t>
      </w:r>
    </w:p>
    <w:p w14:paraId="53867A94">
      <w:pPr>
        <w:pageBreakBefore w:val="0"/>
        <w:wordWrap/>
        <w:overflowPunct/>
        <w:topLinePunct w:val="0"/>
        <w:bidi w:val="0"/>
        <w:spacing w:line="360" w:lineRule="auto"/>
        <w:rPr>
          <w:rFonts w:hint="eastAsia" w:ascii="仿宋" w:hAnsi="仿宋" w:eastAsia="仿宋" w:cs="仿宋"/>
          <w:color w:val="auto"/>
          <w:highlight w:val="none"/>
        </w:rPr>
      </w:pPr>
    </w:p>
    <w:p w14:paraId="31F8B77B">
      <w:pPr>
        <w:keepNext/>
        <w:keepLines/>
        <w:pageBreakBefore w:val="0"/>
        <w:shd w:val="clear"/>
        <w:wordWrap/>
        <w:overflowPunct/>
        <w:topLinePunct w:val="0"/>
        <w:bidi w:val="0"/>
        <w:spacing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格式5</w:t>
      </w:r>
      <w:r>
        <w:rPr>
          <w:rFonts w:hint="eastAsia" w:ascii="仿宋" w:hAnsi="仿宋" w:cs="仿宋"/>
          <w:b/>
          <w:color w:val="auto"/>
          <w:kern w:val="0"/>
          <w:sz w:val="24"/>
          <w:szCs w:val="24"/>
          <w:highlight w:val="none"/>
          <w:lang w:val="en-US" w:eastAsia="zh-CN"/>
        </w:rPr>
        <w:t>.</w:t>
      </w:r>
      <w:r>
        <w:rPr>
          <w:rFonts w:hint="eastAsia" w:ascii="仿宋" w:hAnsi="仿宋" w:eastAsia="仿宋" w:cs="仿宋"/>
          <w:b/>
          <w:color w:val="auto"/>
          <w:kern w:val="0"/>
          <w:sz w:val="24"/>
          <w:szCs w:val="24"/>
          <w:highlight w:val="none"/>
          <w:lang w:eastAsia="zh-CN"/>
        </w:rPr>
        <w:t>参加政府采购活动前三年内，在经营活动中没有重大违法记录</w:t>
      </w:r>
      <w:r>
        <w:rPr>
          <w:rFonts w:hint="eastAsia" w:ascii="仿宋" w:hAnsi="仿宋" w:eastAsia="仿宋" w:cs="仿宋"/>
          <w:b/>
          <w:color w:val="auto"/>
          <w:kern w:val="0"/>
          <w:sz w:val="24"/>
          <w:szCs w:val="24"/>
          <w:highlight w:val="none"/>
        </w:rPr>
        <w:t>；</w:t>
      </w:r>
    </w:p>
    <w:p w14:paraId="7BEBD98E">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提供书面声明</w:t>
      </w:r>
      <w:r>
        <w:rPr>
          <w:rFonts w:hint="eastAsia" w:ascii="仿宋" w:hAnsi="仿宋" w:eastAsia="仿宋" w:cs="仿宋"/>
          <w:color w:val="auto"/>
          <w:sz w:val="24"/>
          <w:szCs w:val="22"/>
          <w:highlight w:val="none"/>
        </w:rPr>
        <w:t>）</w:t>
      </w:r>
    </w:p>
    <w:p w14:paraId="130C05B8">
      <w:pPr>
        <w:pageBreakBefore w:val="0"/>
        <w:wordWrap/>
        <w:overflowPunct/>
        <w:topLinePunct w:val="0"/>
        <w:bidi w:val="0"/>
        <w:spacing w:line="360" w:lineRule="auto"/>
        <w:rPr>
          <w:rFonts w:hint="eastAsia" w:ascii="仿宋" w:hAnsi="仿宋" w:eastAsia="仿宋" w:cs="仿宋"/>
          <w:color w:val="auto"/>
          <w:highlight w:val="none"/>
        </w:rPr>
      </w:pPr>
    </w:p>
    <w:p w14:paraId="4B653F41">
      <w:pPr>
        <w:keepNext/>
        <w:keepLines/>
        <w:pageBreakBefore w:val="0"/>
        <w:shd w:val="clear"/>
        <w:wordWrap/>
        <w:overflowPunct/>
        <w:topLinePunct w:val="0"/>
        <w:bidi w:val="0"/>
        <w:spacing w:line="360" w:lineRule="auto"/>
        <w:ind w:firstLine="723" w:firstLineChars="300"/>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6</w:t>
      </w:r>
      <w:r>
        <w:rPr>
          <w:rFonts w:hint="eastAsia" w:ascii="仿宋" w:hAnsi="仿宋" w:cs="仿宋"/>
          <w:b/>
          <w:color w:val="auto"/>
          <w:kern w:val="0"/>
          <w:sz w:val="24"/>
          <w:szCs w:val="24"/>
          <w:highlight w:val="none"/>
          <w:lang w:val="en-US" w:eastAsia="zh-CN"/>
        </w:rPr>
        <w:t>.</w:t>
      </w:r>
      <w:r>
        <w:rPr>
          <w:rFonts w:hint="eastAsia" w:ascii="仿宋" w:hAnsi="仿宋" w:eastAsia="仿宋" w:cs="仿宋"/>
          <w:b/>
          <w:color w:val="auto"/>
          <w:kern w:val="0"/>
          <w:sz w:val="24"/>
          <w:szCs w:val="24"/>
          <w:highlight w:val="none"/>
          <w:lang w:val="en-US" w:eastAsia="zh-CN"/>
        </w:rPr>
        <w:t>法律、行政法规规定的其他条件</w:t>
      </w:r>
    </w:p>
    <w:p w14:paraId="48B8061A">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单位负责人为同一人或者存在直接控股、管理关系的不同供应商，不得参加同一合同项下的政府采购活动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68EA426F">
      <w:pPr>
        <w:pageBreakBefore w:val="0"/>
        <w:shd w:val="clear" w:fill="FFFFFF" w:themeFill="background1"/>
        <w:wordWrap/>
        <w:overflowPunct/>
        <w:topLinePunct w:val="0"/>
        <w:bidi w:val="0"/>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为采购项目提供整体设计、规范编制或者项目管理、监理、检测等服务的供应商，不得再参加该采购项目的其他采购活动。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20DBE113">
      <w:pPr>
        <w:rPr>
          <w:rFonts w:hint="eastAsia" w:ascii="仿宋" w:hAnsi="仿宋" w:eastAsia="仿宋" w:cs="仿宋"/>
          <w:color w:val="auto"/>
          <w:highlight w:val="none"/>
        </w:rPr>
      </w:pPr>
      <w:r>
        <w:rPr>
          <w:rFonts w:hint="eastAsia" w:ascii="仿宋" w:hAnsi="仿宋" w:eastAsia="仿宋" w:cs="仿宋"/>
          <w:color w:val="auto"/>
          <w:sz w:val="24"/>
          <w:szCs w:val="22"/>
          <w:highlight w:val="none"/>
          <w:lang w:eastAsia="zh-CN"/>
        </w:rPr>
        <w:br w:type="page"/>
      </w:r>
    </w:p>
    <w:p w14:paraId="427AC634">
      <w:pPr>
        <w:rPr>
          <w:rFonts w:hint="eastAsia" w:ascii="仿宋" w:hAnsi="仿宋" w:eastAsia="仿宋" w:cs="仿宋"/>
          <w:color w:val="auto"/>
          <w:sz w:val="24"/>
          <w:szCs w:val="22"/>
          <w:highlight w:val="none"/>
          <w:lang w:eastAsia="zh-CN"/>
        </w:rPr>
      </w:pPr>
    </w:p>
    <w:p w14:paraId="6C8FB552">
      <w:pPr>
        <w:pageBreakBefore w:val="0"/>
        <w:wordWrap/>
        <w:overflowPunct/>
        <w:topLinePunct w:val="0"/>
        <w:bidi w:val="0"/>
        <w:spacing w:line="360" w:lineRule="auto"/>
        <w:rPr>
          <w:rFonts w:hint="eastAsia" w:ascii="仿宋" w:hAnsi="仿宋" w:eastAsia="仿宋" w:cs="仿宋"/>
          <w:color w:val="auto"/>
          <w:sz w:val="24"/>
          <w:szCs w:val="22"/>
          <w:highlight w:val="none"/>
          <w:lang w:eastAsia="zh-CN"/>
        </w:rPr>
      </w:pPr>
    </w:p>
    <w:p w14:paraId="756A0F38">
      <w:pPr>
        <w:pStyle w:val="3"/>
        <w:pageBreakBefore w:val="0"/>
        <w:wordWrap/>
        <w:overflowPunct/>
        <w:topLinePunct w:val="0"/>
        <w:bidi w:val="0"/>
        <w:spacing w:before="0" w:after="0" w:line="360" w:lineRule="auto"/>
        <w:rPr>
          <w:rFonts w:hint="eastAsia" w:ascii="仿宋" w:hAnsi="仿宋" w:eastAsia="仿宋" w:cs="仿宋"/>
          <w:color w:val="auto"/>
          <w:highlight w:val="none"/>
        </w:rPr>
      </w:pPr>
      <w:bookmarkStart w:id="374" w:name="_Toc706"/>
      <w:bookmarkStart w:id="375" w:name="_Toc406162626"/>
      <w:bookmarkStart w:id="376" w:name="_Toc509218505"/>
      <w:bookmarkStart w:id="377" w:name="_Toc503861960"/>
      <w:bookmarkStart w:id="378" w:name="_Toc383636421"/>
      <w:bookmarkStart w:id="379" w:name="_Toc391301880"/>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、技术标部分格式</w:t>
      </w:r>
      <w:bookmarkEnd w:id="374"/>
      <w:bookmarkStart w:id="380" w:name="_Toc231"/>
      <w:bookmarkStart w:id="381" w:name="_Toc17708045"/>
      <w:bookmarkStart w:id="382" w:name="_Toc60777311"/>
    </w:p>
    <w:bookmarkEnd w:id="380"/>
    <w:bookmarkEnd w:id="381"/>
    <w:bookmarkEnd w:id="382"/>
    <w:p w14:paraId="2D5B5FCC">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lang w:val="en-US" w:eastAsia="zh-CN"/>
        </w:rPr>
      </w:pPr>
      <w:bookmarkStart w:id="383" w:name="_Toc11932"/>
      <w:bookmarkStart w:id="384" w:name="_Toc12742"/>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1</w:t>
      </w:r>
      <w:bookmarkEnd w:id="383"/>
      <w:r>
        <w:rPr>
          <w:rFonts w:hint="eastAsia" w:ascii="仿宋" w:hAnsi="仿宋" w:cs="仿宋"/>
          <w:color w:val="auto"/>
          <w:highlight w:val="none"/>
          <w:lang w:val="en-US" w:eastAsia="zh-CN"/>
        </w:rPr>
        <w:t>.</w:t>
      </w:r>
      <w:r>
        <w:rPr>
          <w:rFonts w:hint="eastAsia" w:ascii="仿宋" w:hAnsi="仿宋" w:eastAsia="仿宋" w:cs="仿宋"/>
          <w:color w:val="auto"/>
          <w:sz w:val="24"/>
          <w:highlight w:val="none"/>
        </w:rPr>
        <w:t>项目理解需求分析</w:t>
      </w:r>
      <w:bookmarkEnd w:id="384"/>
    </w:p>
    <w:p w14:paraId="71571B42">
      <w:pPr>
        <w:pageBreakBefore w:val="0"/>
        <w:wordWrap/>
        <w:overflowPunct/>
        <w:topLinePunct w:val="0"/>
        <w:bidi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各供应商根据评审办法自行编制，格式自拟</w:t>
      </w:r>
    </w:p>
    <w:p w14:paraId="731F79E7">
      <w:pPr>
        <w:pageBreakBefore w:val="0"/>
        <w:wordWrap/>
        <w:overflowPunct/>
        <w:topLinePunct w:val="0"/>
        <w:bidi w:val="0"/>
        <w:spacing w:line="360" w:lineRule="auto"/>
        <w:rPr>
          <w:rFonts w:hint="eastAsia" w:ascii="仿宋" w:hAnsi="仿宋" w:eastAsia="仿宋" w:cs="仿宋"/>
          <w:color w:val="auto"/>
          <w:kern w:val="0"/>
          <w:sz w:val="24"/>
          <w:szCs w:val="24"/>
          <w:highlight w:val="none"/>
          <w:lang w:bidi="en-US"/>
        </w:rPr>
      </w:pPr>
    </w:p>
    <w:p w14:paraId="472297B5">
      <w:pPr>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025FEE02">
      <w:pPr>
        <w:pStyle w:val="12"/>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374F94BF">
      <w:pPr>
        <w:pStyle w:val="26"/>
        <w:pageBreakBefore w:val="0"/>
        <w:wordWrap/>
        <w:overflowPunct/>
        <w:topLinePunct w:val="0"/>
        <w:bidi w:val="0"/>
        <w:spacing w:after="0" w:line="360" w:lineRule="auto"/>
        <w:jc w:val="both"/>
        <w:rPr>
          <w:rFonts w:hint="eastAsia"/>
          <w:color w:val="auto"/>
          <w:highlight w:val="none"/>
          <w:lang w:val="en-US" w:eastAsia="zh-CN"/>
        </w:rPr>
      </w:pPr>
    </w:p>
    <w:p w14:paraId="2A348178">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lang w:val="en-US" w:eastAsia="zh-CN"/>
        </w:rPr>
      </w:pPr>
      <w:bookmarkStart w:id="385" w:name="_Toc18229"/>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2</w:t>
      </w:r>
      <w:r>
        <w:rPr>
          <w:rFonts w:hint="eastAsia" w:ascii="仿宋" w:hAnsi="仿宋" w:cs="仿宋"/>
          <w:color w:val="auto"/>
          <w:highlight w:val="none"/>
          <w:lang w:val="en-US" w:eastAsia="zh-CN"/>
        </w:rPr>
        <w:t>.</w:t>
      </w:r>
      <w:r>
        <w:rPr>
          <w:rFonts w:hint="eastAsia" w:ascii="Calibri"/>
          <w:color w:val="auto"/>
          <w:sz w:val="24"/>
          <w:highlight w:val="none"/>
          <w:lang w:val="en-US" w:eastAsia="zh-CN"/>
        </w:rPr>
        <w:t>项目实施</w:t>
      </w:r>
      <w:r>
        <w:rPr>
          <w:rFonts w:hint="eastAsia" w:ascii="Calibri" w:eastAsia="仿宋"/>
          <w:color w:val="auto"/>
          <w:sz w:val="24"/>
          <w:highlight w:val="none"/>
          <w:lang w:val="en-US" w:eastAsia="zh-CN"/>
        </w:rPr>
        <w:t>方案</w:t>
      </w:r>
      <w:bookmarkEnd w:id="385"/>
    </w:p>
    <w:p w14:paraId="7E267175">
      <w:pPr>
        <w:pageBreakBefore w:val="0"/>
        <w:wordWrap/>
        <w:overflowPunct/>
        <w:topLinePunct w:val="0"/>
        <w:bidi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各供应商根据评审办法自行编制，格式自拟</w:t>
      </w:r>
    </w:p>
    <w:p w14:paraId="3505C8E0">
      <w:pPr>
        <w:pageBreakBefore w:val="0"/>
        <w:wordWrap/>
        <w:overflowPunct/>
        <w:topLinePunct w:val="0"/>
        <w:bidi w:val="0"/>
        <w:spacing w:line="360" w:lineRule="auto"/>
        <w:rPr>
          <w:rFonts w:hint="eastAsia" w:ascii="仿宋" w:hAnsi="仿宋" w:eastAsia="仿宋" w:cs="仿宋"/>
          <w:color w:val="auto"/>
          <w:kern w:val="0"/>
          <w:sz w:val="24"/>
          <w:szCs w:val="24"/>
          <w:highlight w:val="none"/>
          <w:lang w:bidi="en-US"/>
        </w:rPr>
      </w:pPr>
    </w:p>
    <w:p w14:paraId="133F3AD6">
      <w:pPr>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59B94544">
      <w:pPr>
        <w:pStyle w:val="12"/>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73C0B1B5">
      <w:pPr>
        <w:pStyle w:val="26"/>
        <w:pageBreakBefore w:val="0"/>
        <w:wordWrap/>
        <w:overflowPunct/>
        <w:topLinePunct w:val="0"/>
        <w:bidi w:val="0"/>
        <w:spacing w:after="0" w:line="360" w:lineRule="auto"/>
        <w:rPr>
          <w:rFonts w:hint="eastAsia"/>
          <w:color w:val="auto"/>
          <w:highlight w:val="none"/>
          <w:lang w:val="en-US" w:eastAsia="zh-CN"/>
        </w:rPr>
      </w:pPr>
    </w:p>
    <w:p w14:paraId="1E43C3CC">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lang w:val="en-US" w:eastAsia="zh-CN"/>
        </w:rPr>
      </w:pPr>
      <w:bookmarkStart w:id="386" w:name="_Toc23335"/>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3</w:t>
      </w:r>
      <w:r>
        <w:rPr>
          <w:rFonts w:hint="eastAsia" w:ascii="仿宋" w:hAnsi="仿宋" w:cs="仿宋"/>
          <w:color w:val="auto"/>
          <w:highlight w:val="none"/>
          <w:lang w:val="en-US" w:eastAsia="zh-CN"/>
        </w:rPr>
        <w:t>.</w:t>
      </w:r>
      <w:r>
        <w:rPr>
          <w:rFonts w:hint="eastAsia" w:ascii="仿宋" w:hAnsi="仿宋" w:cs="仿宋"/>
          <w:color w:val="auto"/>
          <w:sz w:val="24"/>
          <w:highlight w:val="none"/>
          <w:lang w:val="en-US" w:eastAsia="zh-CN"/>
        </w:rPr>
        <w:t>项目服务与配合能力</w:t>
      </w:r>
      <w:bookmarkEnd w:id="386"/>
    </w:p>
    <w:p w14:paraId="14EA7BB8">
      <w:pPr>
        <w:pageBreakBefore w:val="0"/>
        <w:wordWrap/>
        <w:overflowPunct/>
        <w:topLinePunct w:val="0"/>
        <w:bidi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各供应商根据评审办法自行编制，格式自拟</w:t>
      </w:r>
    </w:p>
    <w:p w14:paraId="775452FA">
      <w:pPr>
        <w:pageBreakBefore w:val="0"/>
        <w:wordWrap/>
        <w:overflowPunct/>
        <w:topLinePunct w:val="0"/>
        <w:bidi w:val="0"/>
        <w:spacing w:line="360" w:lineRule="auto"/>
        <w:rPr>
          <w:rFonts w:hint="eastAsia" w:ascii="仿宋" w:hAnsi="仿宋" w:eastAsia="仿宋" w:cs="仿宋"/>
          <w:color w:val="auto"/>
          <w:kern w:val="0"/>
          <w:sz w:val="24"/>
          <w:szCs w:val="24"/>
          <w:highlight w:val="none"/>
          <w:lang w:bidi="en-US"/>
        </w:rPr>
      </w:pPr>
    </w:p>
    <w:p w14:paraId="782B8AE0">
      <w:pPr>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7B0A410A">
      <w:pPr>
        <w:pStyle w:val="16"/>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55DC58FE">
      <w:pPr>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62E3F5E3">
      <w:pPr>
        <w:pStyle w:val="16"/>
        <w:pageBreakBefore w:val="0"/>
        <w:wordWrap/>
        <w:overflowPunct/>
        <w:topLinePunct w:val="0"/>
        <w:bidi w:val="0"/>
        <w:spacing w:line="360" w:lineRule="auto"/>
        <w:rPr>
          <w:rFonts w:hint="eastAsia"/>
          <w:color w:val="auto"/>
          <w:highlight w:val="none"/>
          <w:lang w:val="en-US" w:eastAsia="zh-CN"/>
        </w:rPr>
      </w:pPr>
    </w:p>
    <w:p w14:paraId="43695A58">
      <w:pPr>
        <w:pStyle w:val="26"/>
        <w:pageBreakBefore w:val="0"/>
        <w:wordWrap/>
        <w:overflowPunct/>
        <w:topLinePunct w:val="0"/>
        <w:bidi w:val="0"/>
        <w:spacing w:after="0" w:line="360" w:lineRule="auto"/>
        <w:rPr>
          <w:rFonts w:hint="eastAsia" w:ascii="仿宋" w:hAnsi="仿宋" w:eastAsia="仿宋" w:cs="仿宋"/>
          <w:color w:val="auto"/>
          <w:highlight w:val="none"/>
          <w:lang w:val="en-US" w:eastAsia="zh-CN"/>
        </w:rPr>
      </w:pPr>
    </w:p>
    <w:p w14:paraId="227F20B4">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bookmarkStart w:id="387" w:name="_Toc2448"/>
      <w:bookmarkStart w:id="388" w:name="_Toc12164"/>
      <w:r>
        <w:rPr>
          <w:rFonts w:hint="eastAsia" w:ascii="仿宋" w:hAnsi="仿宋" w:cs="仿宋"/>
          <w:color w:val="auto"/>
          <w:highlight w:val="none"/>
          <w:lang w:val="en-US" w:eastAsia="zh-CN"/>
        </w:rPr>
        <w:t>格式4、</w:t>
      </w:r>
      <w:r>
        <w:rPr>
          <w:rFonts w:hint="eastAsia" w:ascii="仿宋" w:hAnsi="仿宋" w:eastAsia="仿宋" w:cs="仿宋"/>
          <w:color w:val="auto"/>
          <w:highlight w:val="none"/>
        </w:rPr>
        <w:t>磋商文件要求的其他资料或供应商认为需要提供的其他资料</w:t>
      </w:r>
      <w:bookmarkEnd w:id="387"/>
      <w:bookmarkEnd w:id="388"/>
    </w:p>
    <w:p w14:paraId="305D37DD">
      <w:pPr>
        <w:pageBreakBefore w:val="0"/>
        <w:wordWrap/>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bookmarkEnd w:id="375"/>
    <w:bookmarkEnd w:id="376"/>
    <w:bookmarkEnd w:id="377"/>
    <w:bookmarkEnd w:id="378"/>
    <w:bookmarkEnd w:id="379"/>
    <w:p w14:paraId="4C148BCB">
      <w:pPr>
        <w:pStyle w:val="3"/>
        <w:pageBreakBefore w:val="0"/>
        <w:wordWrap/>
        <w:overflowPunct/>
        <w:topLinePunct w:val="0"/>
        <w:bidi w:val="0"/>
        <w:spacing w:before="0" w:after="0" w:line="360" w:lineRule="auto"/>
        <w:ind w:firstLine="643"/>
        <w:rPr>
          <w:rFonts w:hint="eastAsia" w:ascii="仿宋" w:hAnsi="仿宋" w:eastAsia="仿宋" w:cs="仿宋"/>
          <w:color w:val="auto"/>
          <w:highlight w:val="none"/>
        </w:rPr>
      </w:pPr>
      <w:bookmarkStart w:id="389" w:name="_Toc17708042"/>
      <w:bookmarkStart w:id="390" w:name="_Toc6912"/>
      <w:bookmarkStart w:id="391" w:name="_Toc383636434"/>
      <w:bookmarkStart w:id="392" w:name="_Toc391301893"/>
      <w:bookmarkStart w:id="393" w:name="_Toc406162639"/>
      <w:bookmarkStart w:id="394" w:name="_Toc509218515"/>
      <w:bookmarkStart w:id="395" w:name="_Toc503861971"/>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rPr>
        <w:t>、</w:t>
      </w:r>
      <w:bookmarkEnd w:id="389"/>
      <w:r>
        <w:rPr>
          <w:rFonts w:hint="eastAsia" w:ascii="仿宋" w:hAnsi="仿宋" w:eastAsia="仿宋" w:cs="仿宋"/>
          <w:color w:val="auto"/>
          <w:highlight w:val="none"/>
        </w:rPr>
        <w:t>商务标部分</w:t>
      </w:r>
      <w:bookmarkEnd w:id="390"/>
    </w:p>
    <w:p w14:paraId="6D0719FF">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bookmarkStart w:id="396" w:name="_Toc383636422"/>
      <w:bookmarkStart w:id="397" w:name="_Toc406162627"/>
      <w:bookmarkStart w:id="398" w:name="_Toc503861961"/>
      <w:bookmarkStart w:id="399" w:name="_Toc391301881"/>
      <w:bookmarkStart w:id="400" w:name="_Toc509218506"/>
      <w:bookmarkStart w:id="401" w:name="_Toc4934"/>
      <w:r>
        <w:rPr>
          <w:rFonts w:hint="eastAsia" w:ascii="仿宋" w:hAnsi="仿宋" w:eastAsia="仿宋" w:cs="仿宋"/>
          <w:color w:val="auto"/>
          <w:highlight w:val="none"/>
        </w:rPr>
        <w:t>格式1</w:t>
      </w:r>
      <w:bookmarkEnd w:id="396"/>
      <w:bookmarkEnd w:id="397"/>
      <w:bookmarkEnd w:id="398"/>
      <w:bookmarkEnd w:id="399"/>
      <w:bookmarkEnd w:id="400"/>
      <w:r>
        <w:rPr>
          <w:rFonts w:hint="eastAsia" w:ascii="仿宋" w:hAnsi="仿宋" w:cs="仿宋"/>
          <w:color w:val="auto"/>
          <w:highlight w:val="none"/>
          <w:lang w:val="en-US" w:eastAsia="zh-CN"/>
        </w:rPr>
        <w:t>.</w:t>
      </w:r>
      <w:r>
        <w:rPr>
          <w:rFonts w:hint="eastAsia" w:ascii="仿宋" w:hAnsi="仿宋" w:eastAsia="仿宋" w:cs="仿宋"/>
          <w:color w:val="auto"/>
          <w:highlight w:val="none"/>
        </w:rPr>
        <w:t>磋商申请书</w:t>
      </w:r>
      <w:bookmarkEnd w:id="401"/>
    </w:p>
    <w:p w14:paraId="108D9E7C">
      <w:pPr>
        <w:pageBreakBefore w:val="0"/>
        <w:wordWrap/>
        <w:overflowPunct/>
        <w:topLinePunct w:val="0"/>
        <w:bidi w:val="0"/>
        <w:spacing w:line="360" w:lineRule="auto"/>
        <w:rPr>
          <w:rFonts w:hint="eastAsia" w:ascii="仿宋" w:hAnsi="仿宋" w:eastAsia="仿宋" w:cs="仿宋"/>
          <w:b/>
          <w:color w:val="auto"/>
          <w:sz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u w:val="single"/>
        </w:rPr>
        <w:t>云南蓝本招标咨询有限公司</w:t>
      </w:r>
    </w:p>
    <w:p w14:paraId="47183B11">
      <w:pPr>
        <w:pageBreakBefore w:val="0"/>
        <w:wordWrap/>
        <w:overflowPunct/>
        <w:topLinePunct w:val="0"/>
        <w:bidi w:val="0"/>
        <w:spacing w:line="360" w:lineRule="auto"/>
        <w:ind w:firstLine="480" w:firstLineChars="200"/>
        <w:rPr>
          <w:rFonts w:hint="eastAsia" w:ascii="仿宋" w:hAnsi="仿宋" w:eastAsia="仿宋" w:cs="仿宋"/>
          <w:b/>
          <w:bCs/>
          <w:color w:val="auto"/>
          <w:sz w:val="24"/>
          <w:highlight w:val="none"/>
          <w:u w:val="single"/>
        </w:rPr>
      </w:pPr>
      <w:r>
        <w:rPr>
          <w:rFonts w:hint="eastAsia" w:ascii="仿宋" w:hAnsi="仿宋" w:eastAsia="仿宋" w:cs="仿宋"/>
          <w:color w:val="auto"/>
          <w:sz w:val="24"/>
          <w:highlight w:val="none"/>
        </w:rPr>
        <w:t>根据贵方代理的</w:t>
      </w:r>
      <w:r>
        <w:rPr>
          <w:rFonts w:hint="eastAsia" w:ascii="仿宋" w:hAnsi="仿宋" w:cs="仿宋"/>
          <w:bCs/>
          <w:color w:val="auto"/>
          <w:sz w:val="24"/>
          <w:highlight w:val="none"/>
          <w:u w:val="single"/>
          <w:lang w:eastAsia="zh-CN"/>
        </w:rPr>
        <w:t>《你好，再见！》丽江纪综艺纪板块（玉龙县）宣推项目</w:t>
      </w:r>
      <w:r>
        <w:rPr>
          <w:rFonts w:hint="eastAsia" w:ascii="仿宋" w:hAnsi="仿宋" w:eastAsia="仿宋" w:cs="仿宋"/>
          <w:bCs/>
          <w:color w:val="auto"/>
          <w:sz w:val="24"/>
          <w:highlight w:val="none"/>
        </w:rPr>
        <w:t>的</w:t>
      </w:r>
      <w:r>
        <w:rPr>
          <w:rFonts w:hint="eastAsia" w:ascii="仿宋" w:hAnsi="仿宋" w:eastAsia="仿宋" w:cs="仿宋"/>
          <w:color w:val="auto"/>
          <w:sz w:val="24"/>
          <w:highlight w:val="none"/>
        </w:rPr>
        <w:t>磋商文件。我单位（公司）决定参加磋商，由</w:t>
      </w:r>
      <w:r>
        <w:rPr>
          <w:rFonts w:hint="eastAsia" w:ascii="仿宋" w:hAnsi="仿宋" w:eastAsia="仿宋" w:cs="仿宋"/>
          <w:color w:val="auto"/>
          <w:sz w:val="24"/>
          <w:highlight w:val="none"/>
          <w:u w:val="single"/>
        </w:rPr>
        <w:t xml:space="preserve">             （法定代表人或委托代理人） </w:t>
      </w:r>
      <w:r>
        <w:rPr>
          <w:rFonts w:hint="eastAsia" w:ascii="仿宋" w:hAnsi="仿宋" w:eastAsia="仿宋" w:cs="仿宋"/>
          <w:color w:val="auto"/>
          <w:sz w:val="24"/>
          <w:highlight w:val="none"/>
        </w:rPr>
        <w:t>全权代表</w:t>
      </w:r>
      <w:r>
        <w:rPr>
          <w:rFonts w:hint="eastAsia" w:ascii="仿宋" w:hAnsi="仿宋" w:eastAsia="仿宋" w:cs="仿宋"/>
          <w:color w:val="auto"/>
          <w:sz w:val="24"/>
          <w:highlight w:val="none"/>
          <w:lang w:eastAsia="zh-CN"/>
        </w:rPr>
        <w:t>本</w:t>
      </w:r>
      <w:r>
        <w:rPr>
          <w:rFonts w:hint="eastAsia" w:ascii="仿宋" w:hAnsi="仿宋" w:eastAsia="仿宋" w:cs="仿宋"/>
          <w:color w:val="auto"/>
          <w:sz w:val="24"/>
          <w:highlight w:val="none"/>
        </w:rPr>
        <w:t>单位（公司）参加本次项目的磋商工作。为此，我单位（公司）谨郑重声明以下诸点，并对之负法律责任。</w:t>
      </w:r>
    </w:p>
    <w:p w14:paraId="1F9FA869">
      <w:pPr>
        <w:pageBreakBefore w:val="0"/>
        <w:wordWrap/>
        <w:overflowPunct/>
        <w:topLinePunct w:val="0"/>
        <w:bidi w:val="0"/>
        <w:spacing w:line="360" w:lineRule="auto"/>
        <w:ind w:firstLine="480" w:firstLineChars="200"/>
        <w:rPr>
          <w:rFonts w:hint="eastAsia" w:ascii="仿宋" w:hAnsi="仿宋" w:eastAsia="仿宋" w:cs="仿宋"/>
          <w:b/>
          <w:bCs/>
          <w:color w:val="auto"/>
          <w:sz w:val="24"/>
          <w:highlight w:val="none"/>
          <w:u w:val="single"/>
        </w:rPr>
      </w:pPr>
      <w:r>
        <w:rPr>
          <w:rFonts w:hint="eastAsia" w:ascii="仿宋" w:hAnsi="仿宋" w:cs="仿宋"/>
          <w:color w:val="auto"/>
          <w:sz w:val="24"/>
          <w:highlight w:val="none"/>
          <w:lang w:eastAsia="zh-CN"/>
        </w:rPr>
        <w:t>1.</w:t>
      </w:r>
      <w:r>
        <w:rPr>
          <w:rFonts w:hint="eastAsia" w:ascii="仿宋" w:hAnsi="仿宋" w:eastAsia="仿宋" w:cs="仿宋"/>
          <w:color w:val="auto"/>
          <w:sz w:val="24"/>
          <w:highlight w:val="none"/>
        </w:rPr>
        <w:t>本次磋商报价中规定的</w:t>
      </w:r>
      <w:r>
        <w:rPr>
          <w:rFonts w:hint="eastAsia" w:ascii="仿宋" w:hAnsi="仿宋" w:cs="仿宋"/>
          <w:bCs/>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总</w:t>
      </w:r>
      <w:r>
        <w:rPr>
          <w:rFonts w:hint="eastAsia" w:ascii="仿宋" w:hAnsi="仿宋" w:eastAsia="仿宋" w:cs="仿宋"/>
          <w:color w:val="auto"/>
          <w:sz w:val="24"/>
          <w:highlight w:val="none"/>
        </w:rPr>
        <w:t>报价为：</w:t>
      </w:r>
      <w:r>
        <w:rPr>
          <w:rFonts w:hint="eastAsia" w:ascii="仿宋" w:hAnsi="仿宋" w:eastAsia="仿宋" w:cs="仿宋"/>
          <w:color w:val="auto"/>
          <w:sz w:val="24"/>
          <w:highlight w:val="none"/>
          <w:lang w:val="en-US" w:eastAsia="zh-CN"/>
        </w:rPr>
        <w:t>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元</w:t>
      </w:r>
      <w:r>
        <w:rPr>
          <w:rFonts w:hint="eastAsia" w:ascii="仿宋" w:hAnsi="仿宋" w:eastAsia="仿宋" w:cs="仿宋"/>
          <w:color w:val="auto"/>
          <w:sz w:val="24"/>
          <w:highlight w:val="none"/>
          <w:u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rPr>
        <w:t>；</w:t>
      </w:r>
    </w:p>
    <w:p w14:paraId="52E12FED">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2.</w:t>
      </w:r>
      <w:r>
        <w:rPr>
          <w:rFonts w:hint="eastAsia" w:ascii="仿宋" w:hAnsi="仿宋" w:eastAsia="仿宋" w:cs="仿宋"/>
          <w:color w:val="auto"/>
          <w:sz w:val="24"/>
          <w:highlight w:val="none"/>
        </w:rPr>
        <w:t>遵守磋商文件的各项条款及一切有关规定；</w:t>
      </w:r>
    </w:p>
    <w:p w14:paraId="5CD87F8D">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3.</w:t>
      </w:r>
      <w:r>
        <w:rPr>
          <w:rFonts w:hint="eastAsia" w:ascii="仿宋" w:hAnsi="仿宋" w:eastAsia="仿宋" w:cs="仿宋"/>
          <w:color w:val="auto"/>
          <w:sz w:val="24"/>
          <w:highlight w:val="none"/>
        </w:rPr>
        <w:t>向贵方提供所有与磋</w:t>
      </w:r>
      <w:r>
        <w:rPr>
          <w:rFonts w:hint="eastAsia" w:ascii="仿宋" w:hAnsi="仿宋" w:cs="仿宋"/>
          <w:color w:val="auto"/>
          <w:sz w:val="24"/>
          <w:highlight w:val="none"/>
          <w:lang w:eastAsia="zh-CN"/>
        </w:rPr>
        <w:t>商事</w:t>
      </w:r>
      <w:r>
        <w:rPr>
          <w:rFonts w:hint="eastAsia" w:ascii="仿宋" w:hAnsi="仿宋" w:eastAsia="仿宋" w:cs="仿宋"/>
          <w:color w:val="auto"/>
          <w:sz w:val="24"/>
          <w:highlight w:val="none"/>
        </w:rPr>
        <w:t>项有关的真实有效的数据、情况和技术资料；</w:t>
      </w:r>
    </w:p>
    <w:p w14:paraId="68109FA2">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4.</w:t>
      </w:r>
      <w:r>
        <w:rPr>
          <w:rFonts w:hint="eastAsia" w:ascii="仿宋" w:hAnsi="仿宋" w:eastAsia="仿宋" w:cs="仿宋"/>
          <w:color w:val="auto"/>
          <w:sz w:val="24"/>
          <w:highlight w:val="none"/>
        </w:rPr>
        <w:t>如我方磋商申请被接受，我方将按磋商文件的规定履行合同责任和义务。</w:t>
      </w:r>
    </w:p>
    <w:p w14:paraId="002688C1">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5.</w:t>
      </w:r>
      <w:r>
        <w:rPr>
          <w:rFonts w:hint="eastAsia" w:ascii="仿宋" w:hAnsi="仿宋" w:eastAsia="仿宋" w:cs="仿宋"/>
          <w:color w:val="auto"/>
          <w:sz w:val="24"/>
          <w:highlight w:val="none"/>
        </w:rPr>
        <w:t>本磋商申请自贵方收到之</w:t>
      </w:r>
      <w:r>
        <w:rPr>
          <w:rFonts w:hint="eastAsia" w:ascii="仿宋" w:hAnsi="仿宋" w:cs="仿宋"/>
          <w:color w:val="auto"/>
          <w:sz w:val="24"/>
          <w:highlight w:val="none"/>
          <w:lang w:eastAsia="zh-CN"/>
        </w:rPr>
        <w:t>日起</w:t>
      </w:r>
      <w:r>
        <w:rPr>
          <w:rFonts w:hint="eastAsia" w:ascii="仿宋" w:hAnsi="仿宋" w:eastAsia="仿宋" w:cs="仿宋"/>
          <w:color w:val="auto"/>
          <w:sz w:val="24"/>
          <w:highlight w:val="none"/>
        </w:rPr>
        <w:t>生效，有效期至磋商后90日，在此期间本磋商文件之规定对我方具有约束力；</w:t>
      </w:r>
    </w:p>
    <w:p w14:paraId="0D0B572D">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eastAsia="zh-CN"/>
        </w:rPr>
        <w:t>6.</w:t>
      </w:r>
      <w:r>
        <w:rPr>
          <w:rFonts w:hint="eastAsia" w:ascii="仿宋" w:hAnsi="仿宋" w:eastAsia="仿宋" w:cs="仿宋"/>
          <w:color w:val="auto"/>
          <w:sz w:val="24"/>
          <w:highlight w:val="none"/>
        </w:rPr>
        <w:t>如果我方磋商申请被接受，则至合同履行完成期满为止，本竞争性磋商文件保持有效。</w:t>
      </w:r>
    </w:p>
    <w:p w14:paraId="7D3A4879">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p>
    <w:p w14:paraId="4BFAB8B0">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p>
    <w:p w14:paraId="2052A49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供应商全称（</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1B375809">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p>
    <w:p w14:paraId="46141AD4">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邮  编：</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传  真：</w:t>
      </w:r>
      <w:r>
        <w:rPr>
          <w:rFonts w:hint="eastAsia" w:ascii="仿宋" w:hAnsi="仿宋" w:eastAsia="仿宋" w:cs="仿宋"/>
          <w:color w:val="auto"/>
          <w:sz w:val="24"/>
          <w:highlight w:val="none"/>
          <w:u w:val="single"/>
        </w:rPr>
        <w:t xml:space="preserve">                  </w:t>
      </w:r>
    </w:p>
    <w:p w14:paraId="588AE63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28D36D9B">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83C87A5">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p>
    <w:p w14:paraId="21B747B9">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02" w:name="_Toc503861965"/>
      <w:bookmarkStart w:id="403" w:name="_Toc509218509"/>
      <w:bookmarkStart w:id="404" w:name="_Toc406162630"/>
      <w:bookmarkStart w:id="405" w:name="_Toc391301884"/>
      <w:bookmarkStart w:id="406" w:name="_Toc383636425"/>
      <w:bookmarkStart w:id="407" w:name="_Toc23801"/>
      <w:r>
        <w:rPr>
          <w:rFonts w:hint="eastAsia" w:ascii="仿宋" w:hAnsi="仿宋" w:eastAsia="仿宋" w:cs="仿宋"/>
          <w:color w:val="auto"/>
          <w:highlight w:val="none"/>
        </w:rPr>
        <w:t>格式2</w:t>
      </w:r>
      <w:r>
        <w:rPr>
          <w:rFonts w:hint="eastAsia" w:ascii="仿宋" w:hAnsi="仿宋" w:cs="仿宋"/>
          <w:color w:val="auto"/>
          <w:highlight w:val="none"/>
          <w:lang w:val="en-US" w:eastAsia="zh-CN"/>
        </w:rPr>
        <w:t>.</w:t>
      </w:r>
      <w:r>
        <w:rPr>
          <w:rFonts w:hint="eastAsia" w:ascii="仿宋" w:hAnsi="仿宋" w:eastAsia="仿宋" w:cs="仿宋"/>
          <w:color w:val="auto"/>
          <w:highlight w:val="none"/>
        </w:rPr>
        <w:t>承诺书（供应商）</w:t>
      </w:r>
      <w:bookmarkEnd w:id="402"/>
      <w:bookmarkEnd w:id="403"/>
      <w:bookmarkEnd w:id="404"/>
      <w:bookmarkEnd w:id="405"/>
      <w:bookmarkEnd w:id="406"/>
      <w:bookmarkEnd w:id="407"/>
    </w:p>
    <w:p w14:paraId="49C798A7">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p>
    <w:p w14:paraId="3843ECC9">
      <w:pPr>
        <w:pageBreakBefore w:val="0"/>
        <w:widowControl/>
        <w:wordWrap/>
        <w:overflowPunct/>
        <w:topLinePunct w:val="0"/>
        <w:bidi w:val="0"/>
        <w:spacing w:line="360" w:lineRule="auto"/>
        <w:ind w:firstLine="475" w:firstLineChars="198"/>
        <w:jc w:val="left"/>
        <w:rPr>
          <w:rFonts w:hint="eastAsia" w:ascii="仿宋" w:hAnsi="仿宋" w:eastAsia="仿宋" w:cs="仿宋"/>
          <w:b/>
          <w:bCs/>
          <w:color w:val="auto"/>
          <w:sz w:val="24"/>
          <w:highlight w:val="none"/>
          <w:u w:val="single"/>
        </w:rPr>
      </w:pPr>
      <w:r>
        <w:rPr>
          <w:rFonts w:hint="eastAsia" w:ascii="仿宋" w:hAnsi="仿宋" w:eastAsia="仿宋" w:cs="仿宋"/>
          <w:color w:val="auto"/>
          <w:kern w:val="0"/>
          <w:sz w:val="24"/>
          <w:highlight w:val="none"/>
        </w:rPr>
        <w:t>本企业作为</w:t>
      </w:r>
      <w:r>
        <w:rPr>
          <w:rFonts w:hint="eastAsia" w:ascii="仿宋" w:hAnsi="仿宋" w:cs="仿宋"/>
          <w:bCs/>
          <w:color w:val="auto"/>
          <w:sz w:val="24"/>
          <w:highlight w:val="none"/>
          <w:u w:val="single"/>
          <w:lang w:eastAsia="zh-CN"/>
        </w:rPr>
        <w:t>《你好，再见！》丽江纪综艺纪板块（玉龙县）宣推项目</w:t>
      </w:r>
      <w:r>
        <w:rPr>
          <w:rFonts w:hint="eastAsia" w:ascii="仿宋" w:hAnsi="仿宋" w:eastAsia="仿宋" w:cs="仿宋"/>
          <w:color w:val="auto"/>
          <w:sz w:val="24"/>
          <w:highlight w:val="none"/>
          <w:u w:val="none"/>
        </w:rPr>
        <w:t>的</w:t>
      </w:r>
      <w:r>
        <w:rPr>
          <w:rFonts w:hint="eastAsia" w:ascii="仿宋" w:hAnsi="仿宋" w:eastAsia="仿宋" w:cs="仿宋"/>
          <w:color w:val="auto"/>
          <w:kern w:val="0"/>
          <w:sz w:val="24"/>
          <w:highlight w:val="none"/>
        </w:rPr>
        <w:t>供应商，现作如下承诺：</w:t>
      </w:r>
    </w:p>
    <w:p w14:paraId="50563116">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p>
    <w:p w14:paraId="7CB2D9E7">
      <w:pPr>
        <w:pageBreakBefore w:val="0"/>
        <w:widowControl/>
        <w:wordWrap/>
        <w:overflowPunct/>
        <w:topLinePunct w:val="0"/>
        <w:bidi w:val="0"/>
        <w:spacing w:line="360" w:lineRule="auto"/>
        <w:ind w:left="4147" w:leftChars="228" w:hanging="3600" w:hangingChars="15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1.</w:t>
      </w:r>
      <w:r>
        <w:rPr>
          <w:rFonts w:hint="eastAsia" w:ascii="仿宋" w:hAnsi="仿宋" w:eastAsia="仿宋" w:cs="仿宋"/>
          <w:color w:val="auto"/>
          <w:kern w:val="0"/>
          <w:sz w:val="24"/>
          <w:highlight w:val="none"/>
        </w:rPr>
        <w:t>所提供的一切材料都是真实、有效、合法的。</w:t>
      </w:r>
    </w:p>
    <w:p w14:paraId="1924C8BA">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2.</w:t>
      </w:r>
      <w:r>
        <w:rPr>
          <w:rFonts w:hint="eastAsia" w:ascii="仿宋" w:hAnsi="仿宋" w:eastAsia="仿宋" w:cs="仿宋"/>
          <w:color w:val="auto"/>
          <w:kern w:val="0"/>
          <w:sz w:val="24"/>
          <w:highlight w:val="none"/>
        </w:rPr>
        <w:t>不与其他供应商串通磋商，不损害采购人或其他供应商的合法权益。</w:t>
      </w:r>
    </w:p>
    <w:p w14:paraId="2625BADC">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3.</w:t>
      </w:r>
      <w:r>
        <w:rPr>
          <w:rFonts w:hint="eastAsia" w:ascii="仿宋" w:hAnsi="仿宋" w:eastAsia="仿宋" w:cs="仿宋"/>
          <w:color w:val="auto"/>
          <w:kern w:val="0"/>
          <w:sz w:val="24"/>
          <w:highlight w:val="none"/>
        </w:rPr>
        <w:t>不转让、出租、出借资质证书、人员岗位证书或以其他方式允许他人以本企业名义参与磋商。</w:t>
      </w:r>
    </w:p>
    <w:p w14:paraId="4B011C77">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4.</w:t>
      </w:r>
      <w:r>
        <w:rPr>
          <w:rFonts w:hint="eastAsia" w:ascii="仿宋" w:hAnsi="仿宋" w:eastAsia="仿宋" w:cs="仿宋"/>
          <w:color w:val="auto"/>
          <w:kern w:val="0"/>
          <w:sz w:val="24"/>
          <w:highlight w:val="none"/>
        </w:rPr>
        <w:t>不与采购人或采购代理机构串通磋商，损害国家利益、社会公共利益或者他人的合法权益。</w:t>
      </w:r>
    </w:p>
    <w:p w14:paraId="72B32970">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5.</w:t>
      </w:r>
      <w:r>
        <w:rPr>
          <w:rFonts w:hint="eastAsia" w:ascii="仿宋" w:hAnsi="仿宋" w:eastAsia="仿宋" w:cs="仿宋"/>
          <w:color w:val="auto"/>
          <w:kern w:val="0"/>
          <w:sz w:val="24"/>
          <w:highlight w:val="none"/>
        </w:rPr>
        <w:t>不向采购人、磋商小组成员、监督人员行贿。</w:t>
      </w:r>
    </w:p>
    <w:p w14:paraId="2260AF31">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6.</w:t>
      </w:r>
      <w:r>
        <w:rPr>
          <w:rFonts w:hint="eastAsia" w:ascii="仿宋" w:hAnsi="仿宋" w:eastAsia="仿宋" w:cs="仿宋"/>
          <w:color w:val="auto"/>
          <w:kern w:val="0"/>
          <w:sz w:val="24"/>
          <w:highlight w:val="none"/>
        </w:rPr>
        <w:t>不</w:t>
      </w:r>
      <w:r>
        <w:rPr>
          <w:rFonts w:hint="eastAsia" w:ascii="仿宋" w:hAnsi="仿宋" w:eastAsia="仿宋" w:cs="仿宋"/>
          <w:color w:val="auto"/>
          <w:kern w:val="0"/>
          <w:sz w:val="24"/>
          <w:highlight w:val="none"/>
          <w:lang w:val="en-US" w:eastAsia="zh-CN"/>
        </w:rPr>
        <w:t>干</w:t>
      </w:r>
      <w:r>
        <w:rPr>
          <w:rFonts w:hint="eastAsia" w:ascii="仿宋" w:hAnsi="仿宋" w:eastAsia="仿宋" w:cs="仿宋"/>
          <w:color w:val="auto"/>
          <w:kern w:val="0"/>
          <w:sz w:val="24"/>
          <w:highlight w:val="none"/>
        </w:rPr>
        <w:t>扰磋商活动正常秩序。</w:t>
      </w:r>
    </w:p>
    <w:p w14:paraId="2092B2A1">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7.</w:t>
      </w:r>
      <w:r>
        <w:rPr>
          <w:rFonts w:hint="eastAsia" w:ascii="仿宋" w:hAnsi="仿宋" w:eastAsia="仿宋" w:cs="仿宋"/>
          <w:color w:val="auto"/>
          <w:kern w:val="0"/>
          <w:sz w:val="24"/>
          <w:highlight w:val="none"/>
        </w:rPr>
        <w:t>不进行虚假恶意投诉。</w:t>
      </w:r>
    </w:p>
    <w:p w14:paraId="5D23B93F">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cs="仿宋"/>
          <w:color w:val="auto"/>
          <w:kern w:val="0"/>
          <w:sz w:val="24"/>
          <w:highlight w:val="none"/>
          <w:lang w:eastAsia="zh-CN"/>
        </w:rPr>
        <w:t>8.</w:t>
      </w:r>
      <w:r>
        <w:rPr>
          <w:rFonts w:hint="eastAsia" w:ascii="仿宋" w:hAnsi="仿宋" w:eastAsia="仿宋" w:cs="仿宋"/>
          <w:color w:val="auto"/>
          <w:kern w:val="0"/>
          <w:sz w:val="24"/>
          <w:highlight w:val="none"/>
        </w:rPr>
        <w:t>因违反</w:t>
      </w:r>
      <w:r>
        <w:rPr>
          <w:rFonts w:hint="eastAsia" w:ascii="仿宋" w:hAnsi="仿宋" w:eastAsia="仿宋" w:cs="仿宋"/>
          <w:color w:val="auto"/>
          <w:kern w:val="0"/>
          <w:sz w:val="24"/>
          <w:highlight w:val="none"/>
          <w:lang w:eastAsia="zh-CN"/>
        </w:rPr>
        <w:t>法律法规</w:t>
      </w:r>
      <w:r>
        <w:rPr>
          <w:rFonts w:hint="eastAsia" w:ascii="仿宋" w:hAnsi="仿宋" w:eastAsia="仿宋" w:cs="仿宋"/>
          <w:color w:val="auto"/>
          <w:kern w:val="0"/>
          <w:sz w:val="24"/>
          <w:highlight w:val="none"/>
        </w:rPr>
        <w:t>、规章被查处的，不干预案件查处。</w:t>
      </w:r>
    </w:p>
    <w:p w14:paraId="388ADB22">
      <w:pPr>
        <w:pageBreakBefore w:val="0"/>
        <w:widowControl/>
        <w:wordWrap/>
        <w:overflowPunct/>
        <w:topLinePunct w:val="0"/>
        <w:bidi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如违反上述行为，本供应商自愿承担相关责任，接受</w:t>
      </w:r>
      <w:r>
        <w:rPr>
          <w:rFonts w:hint="eastAsia" w:ascii="仿宋" w:hAnsi="仿宋" w:eastAsia="仿宋" w:cs="仿宋"/>
          <w:color w:val="auto"/>
          <w:sz w:val="24"/>
          <w:highlight w:val="none"/>
          <w:lang w:val="en-US" w:eastAsia="zh-CN"/>
        </w:rPr>
        <w:t>政府采购</w:t>
      </w:r>
      <w:r>
        <w:rPr>
          <w:rFonts w:hint="eastAsia" w:ascii="仿宋" w:hAnsi="仿宋" w:eastAsia="仿宋" w:cs="仿宋"/>
          <w:color w:val="auto"/>
          <w:sz w:val="24"/>
          <w:highlight w:val="none"/>
        </w:rPr>
        <w:t>监督管理部门、纪检监察部门或司法机关调查处理。</w:t>
      </w:r>
      <w:r>
        <w:rPr>
          <w:rFonts w:hint="eastAsia" w:ascii="仿宋" w:hAnsi="仿宋" w:eastAsia="仿宋" w:cs="仿宋"/>
          <w:color w:val="auto"/>
          <w:kern w:val="0"/>
          <w:sz w:val="24"/>
          <w:highlight w:val="none"/>
        </w:rPr>
        <w:t>给采购人造成损失的，依法承担赔偿责任。</w:t>
      </w:r>
    </w:p>
    <w:p w14:paraId="50828FEE">
      <w:pPr>
        <w:pageBreakBefore w:val="0"/>
        <w:wordWrap/>
        <w:overflowPunct/>
        <w:topLinePunct w:val="0"/>
        <w:bidi w:val="0"/>
        <w:spacing w:line="360" w:lineRule="auto"/>
        <w:rPr>
          <w:rFonts w:hint="eastAsia" w:ascii="仿宋" w:hAnsi="仿宋" w:eastAsia="仿宋" w:cs="仿宋"/>
          <w:color w:val="auto"/>
          <w:sz w:val="24"/>
          <w:highlight w:val="none"/>
        </w:rPr>
      </w:pPr>
    </w:p>
    <w:p w14:paraId="5BEF0A1C">
      <w:pPr>
        <w:pageBreakBefore w:val="0"/>
        <w:wordWrap/>
        <w:overflowPunct/>
        <w:topLinePunct w:val="0"/>
        <w:bidi w:val="0"/>
        <w:spacing w:line="360" w:lineRule="auto"/>
        <w:rPr>
          <w:rFonts w:hint="eastAsia" w:ascii="仿宋" w:hAnsi="仿宋" w:eastAsia="仿宋" w:cs="仿宋"/>
          <w:color w:val="auto"/>
          <w:sz w:val="24"/>
          <w:highlight w:val="none"/>
        </w:rPr>
      </w:pPr>
    </w:p>
    <w:p w14:paraId="413E7EF1">
      <w:pPr>
        <w:pageBreakBefore w:val="0"/>
        <w:wordWrap/>
        <w:overflowPunct/>
        <w:topLinePunct w:val="0"/>
        <w:bidi w:val="0"/>
        <w:spacing w:line="360" w:lineRule="auto"/>
        <w:rPr>
          <w:rFonts w:hint="eastAsia" w:ascii="仿宋" w:hAnsi="仿宋" w:eastAsia="仿宋" w:cs="仿宋"/>
          <w:color w:val="auto"/>
          <w:sz w:val="24"/>
          <w:highlight w:val="none"/>
        </w:rPr>
      </w:pPr>
    </w:p>
    <w:p w14:paraId="54B24A26">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供应商全称（</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4594D908">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1460E341">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755A699">
      <w:pPr>
        <w:pageBreakBefore w:val="0"/>
        <w:wordWrap/>
        <w:overflowPunct/>
        <w:topLinePunct w:val="0"/>
        <w:bidi w:val="0"/>
        <w:spacing w:line="360" w:lineRule="auto"/>
        <w:ind w:firstLine="200"/>
        <w:rPr>
          <w:rFonts w:hint="eastAsia" w:ascii="仿宋" w:hAnsi="仿宋" w:eastAsia="仿宋" w:cs="仿宋"/>
          <w:color w:val="auto"/>
          <w:sz w:val="24"/>
          <w:highlight w:val="none"/>
        </w:rPr>
      </w:pPr>
    </w:p>
    <w:p w14:paraId="3E1F0557">
      <w:pPr>
        <w:pageBreakBefore w:val="0"/>
        <w:wordWrap/>
        <w:overflowPunct/>
        <w:topLinePunct w:val="0"/>
        <w:bidi w:val="0"/>
        <w:spacing w:line="360" w:lineRule="auto"/>
        <w:ind w:firstLine="200"/>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bookmarkStart w:id="408" w:name="_Toc406162637"/>
      <w:bookmarkStart w:id="409" w:name="_Toc391301891"/>
      <w:bookmarkStart w:id="410" w:name="_Toc383636432"/>
    </w:p>
    <w:bookmarkEnd w:id="408"/>
    <w:bookmarkEnd w:id="409"/>
    <w:bookmarkEnd w:id="410"/>
    <w:p w14:paraId="0A900114">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bookmarkStart w:id="411" w:name="_Toc64"/>
      <w:bookmarkStart w:id="412" w:name="_Toc8635"/>
      <w:bookmarkStart w:id="413" w:name="_Toc4546"/>
      <w:bookmarkStart w:id="414" w:name="_Toc9373"/>
      <w:bookmarkStart w:id="415" w:name="_Toc503861967"/>
      <w:bookmarkStart w:id="416" w:name="_Toc509218511"/>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3</w:t>
      </w:r>
      <w:r>
        <w:rPr>
          <w:rFonts w:hint="eastAsia" w:ascii="仿宋" w:hAnsi="仿宋" w:cs="仿宋"/>
          <w:color w:val="auto"/>
          <w:highlight w:val="none"/>
          <w:lang w:val="en-US" w:eastAsia="zh-CN"/>
        </w:rPr>
        <w:t>.</w:t>
      </w:r>
      <w:r>
        <w:rPr>
          <w:rFonts w:hint="eastAsia" w:ascii="仿宋" w:hAnsi="仿宋" w:eastAsia="仿宋" w:cs="仿宋"/>
          <w:color w:val="auto"/>
          <w:highlight w:val="none"/>
        </w:rPr>
        <w:t>供应商基本情况表</w:t>
      </w:r>
      <w:bookmarkEnd w:id="411"/>
    </w:p>
    <w:tbl>
      <w:tblPr>
        <w:tblStyle w:val="38"/>
        <w:tblW w:w="9628" w:type="dxa"/>
        <w:jc w:val="center"/>
        <w:tblLayout w:type="fixed"/>
        <w:tblCellMar>
          <w:top w:w="0" w:type="dxa"/>
          <w:left w:w="108" w:type="dxa"/>
          <w:bottom w:w="0" w:type="dxa"/>
          <w:right w:w="108" w:type="dxa"/>
        </w:tblCellMar>
      </w:tblPr>
      <w:tblGrid>
        <w:gridCol w:w="2014"/>
        <w:gridCol w:w="3316"/>
        <w:gridCol w:w="1471"/>
        <w:gridCol w:w="2827"/>
      </w:tblGrid>
      <w:tr w14:paraId="35B75C26">
        <w:tblPrEx>
          <w:tblCellMar>
            <w:top w:w="0" w:type="dxa"/>
            <w:left w:w="108" w:type="dxa"/>
            <w:bottom w:w="0" w:type="dxa"/>
            <w:right w:w="108" w:type="dxa"/>
          </w:tblCellMar>
        </w:tblPrEx>
        <w:trPr>
          <w:trHeight w:val="20" w:hRule="atLeast"/>
          <w:jc w:val="center"/>
        </w:trPr>
        <w:tc>
          <w:tcPr>
            <w:tcW w:w="2014" w:type="dxa"/>
            <w:tcBorders>
              <w:top w:val="single" w:color="auto" w:sz="6" w:space="0"/>
              <w:left w:val="single" w:color="auto" w:sz="6" w:space="0"/>
              <w:bottom w:val="single" w:color="auto" w:sz="6" w:space="0"/>
              <w:right w:val="single" w:color="auto" w:sz="6" w:space="0"/>
            </w:tcBorders>
            <w:shd w:val="clear" w:color="auto" w:fill="D9D9D9"/>
            <w:vAlign w:val="center"/>
          </w:tcPr>
          <w:p w14:paraId="710D25C0">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c>
          <w:tcPr>
            <w:tcW w:w="7614" w:type="dxa"/>
            <w:gridSpan w:val="3"/>
            <w:tcBorders>
              <w:top w:val="single" w:color="auto" w:sz="6" w:space="0"/>
              <w:left w:val="single" w:color="auto" w:sz="6" w:space="0"/>
              <w:bottom w:val="single" w:color="auto" w:sz="6" w:space="0"/>
              <w:right w:val="single" w:color="auto" w:sz="6" w:space="0"/>
            </w:tcBorders>
            <w:vAlign w:val="center"/>
          </w:tcPr>
          <w:p w14:paraId="1E2D4CF3">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r>
      <w:tr w14:paraId="6CCA22A2">
        <w:tblPrEx>
          <w:tblCellMar>
            <w:top w:w="0" w:type="dxa"/>
            <w:left w:w="108" w:type="dxa"/>
            <w:bottom w:w="0" w:type="dxa"/>
            <w:right w:w="108" w:type="dxa"/>
          </w:tblCellMar>
        </w:tblPrEx>
        <w:trPr>
          <w:trHeight w:val="20" w:hRule="atLeast"/>
          <w:jc w:val="center"/>
        </w:trPr>
        <w:tc>
          <w:tcPr>
            <w:tcW w:w="2014" w:type="dxa"/>
            <w:tcBorders>
              <w:top w:val="single" w:color="auto" w:sz="6" w:space="0"/>
              <w:left w:val="single" w:color="auto" w:sz="6" w:space="0"/>
              <w:bottom w:val="single" w:color="auto" w:sz="6" w:space="0"/>
              <w:right w:val="single" w:color="auto" w:sz="6" w:space="0"/>
            </w:tcBorders>
            <w:shd w:val="clear" w:color="auto" w:fill="D9D9D9"/>
            <w:vAlign w:val="center"/>
          </w:tcPr>
          <w:p w14:paraId="1AF94BE4">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经济类型</w:t>
            </w:r>
          </w:p>
        </w:tc>
        <w:tc>
          <w:tcPr>
            <w:tcW w:w="3316" w:type="dxa"/>
            <w:tcBorders>
              <w:top w:val="single" w:color="auto" w:sz="6" w:space="0"/>
              <w:left w:val="single" w:color="auto" w:sz="6" w:space="0"/>
              <w:bottom w:val="single" w:color="auto" w:sz="6" w:space="0"/>
              <w:right w:val="single" w:color="auto" w:sz="6" w:space="0"/>
            </w:tcBorders>
            <w:vAlign w:val="center"/>
          </w:tcPr>
          <w:p w14:paraId="53A62162">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c>
          <w:tcPr>
            <w:tcW w:w="1471" w:type="dxa"/>
            <w:tcBorders>
              <w:top w:val="single" w:color="auto" w:sz="6" w:space="0"/>
              <w:left w:val="single" w:color="auto" w:sz="6" w:space="0"/>
              <w:bottom w:val="single" w:color="auto" w:sz="6" w:space="0"/>
              <w:right w:val="single" w:color="auto" w:sz="6" w:space="0"/>
            </w:tcBorders>
            <w:vAlign w:val="center"/>
          </w:tcPr>
          <w:p w14:paraId="6D2183CD">
            <w:pPr>
              <w:pageBreakBefore w:val="0"/>
              <w:wordWrap/>
              <w:overflowPunct/>
              <w:topLinePunct w:val="0"/>
              <w:bidi w:val="0"/>
              <w:spacing w:line="360" w:lineRule="auto"/>
              <w:ind w:left="38" w:leftChars="16"/>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2827" w:type="dxa"/>
            <w:tcBorders>
              <w:top w:val="single" w:color="auto" w:sz="6" w:space="0"/>
              <w:left w:val="single" w:color="auto" w:sz="6" w:space="0"/>
              <w:bottom w:val="single" w:color="auto" w:sz="6" w:space="0"/>
              <w:right w:val="single" w:color="auto" w:sz="6" w:space="0"/>
            </w:tcBorders>
            <w:vAlign w:val="center"/>
          </w:tcPr>
          <w:p w14:paraId="6615664A">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r>
      <w:tr w14:paraId="10D4FFFB">
        <w:tblPrEx>
          <w:tblCellMar>
            <w:top w:w="0" w:type="dxa"/>
            <w:left w:w="108" w:type="dxa"/>
            <w:bottom w:w="0" w:type="dxa"/>
            <w:right w:w="108" w:type="dxa"/>
          </w:tblCellMar>
        </w:tblPrEx>
        <w:trPr>
          <w:trHeight w:val="20" w:hRule="atLeast"/>
          <w:jc w:val="center"/>
        </w:trPr>
        <w:tc>
          <w:tcPr>
            <w:tcW w:w="2014" w:type="dxa"/>
            <w:tcBorders>
              <w:top w:val="single" w:color="auto" w:sz="6" w:space="0"/>
              <w:left w:val="single" w:color="auto" w:sz="6" w:space="0"/>
              <w:bottom w:val="single" w:color="auto" w:sz="6" w:space="0"/>
              <w:right w:val="single" w:color="auto" w:sz="6" w:space="0"/>
            </w:tcBorders>
            <w:shd w:val="clear" w:color="auto" w:fill="D9D9D9"/>
            <w:vAlign w:val="center"/>
          </w:tcPr>
          <w:p w14:paraId="2858B740">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p>
        </w:tc>
        <w:tc>
          <w:tcPr>
            <w:tcW w:w="3316" w:type="dxa"/>
            <w:tcBorders>
              <w:top w:val="single" w:color="auto" w:sz="6" w:space="0"/>
              <w:left w:val="single" w:color="auto" w:sz="6" w:space="0"/>
              <w:bottom w:val="single" w:color="auto" w:sz="6" w:space="0"/>
              <w:right w:val="single" w:color="auto" w:sz="6" w:space="0"/>
            </w:tcBorders>
            <w:vAlign w:val="center"/>
          </w:tcPr>
          <w:p w14:paraId="4E7D8538">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c>
          <w:tcPr>
            <w:tcW w:w="1471" w:type="dxa"/>
            <w:tcBorders>
              <w:top w:val="single" w:color="auto" w:sz="6" w:space="0"/>
              <w:left w:val="single" w:color="auto" w:sz="6" w:space="0"/>
              <w:bottom w:val="single" w:color="auto" w:sz="6" w:space="0"/>
              <w:right w:val="single" w:color="auto" w:sz="6" w:space="0"/>
            </w:tcBorders>
            <w:vAlign w:val="center"/>
          </w:tcPr>
          <w:p w14:paraId="0432726A">
            <w:pPr>
              <w:pageBreakBefore w:val="0"/>
              <w:wordWrap/>
              <w:overflowPunct/>
              <w:topLinePunct w:val="0"/>
              <w:bidi w:val="0"/>
              <w:spacing w:line="360" w:lineRule="auto"/>
              <w:ind w:left="38" w:leftChars="16"/>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2827" w:type="dxa"/>
            <w:tcBorders>
              <w:top w:val="single" w:color="auto" w:sz="6" w:space="0"/>
              <w:left w:val="single" w:color="auto" w:sz="6" w:space="0"/>
              <w:bottom w:val="single" w:color="auto" w:sz="6" w:space="0"/>
              <w:right w:val="single" w:color="auto" w:sz="6" w:space="0"/>
            </w:tcBorders>
            <w:vAlign w:val="center"/>
          </w:tcPr>
          <w:p w14:paraId="6C42CA68">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r>
      <w:tr w14:paraId="251E5573">
        <w:tblPrEx>
          <w:tblCellMar>
            <w:top w:w="0" w:type="dxa"/>
            <w:left w:w="108" w:type="dxa"/>
            <w:bottom w:w="0" w:type="dxa"/>
            <w:right w:w="108" w:type="dxa"/>
          </w:tblCellMar>
        </w:tblPrEx>
        <w:trPr>
          <w:trHeight w:val="20" w:hRule="atLeast"/>
          <w:jc w:val="center"/>
        </w:trPr>
        <w:tc>
          <w:tcPr>
            <w:tcW w:w="2014"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3C55B711">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工商登记</w:t>
            </w:r>
          </w:p>
        </w:tc>
        <w:tc>
          <w:tcPr>
            <w:tcW w:w="7614" w:type="dxa"/>
            <w:gridSpan w:val="3"/>
            <w:tcBorders>
              <w:top w:val="single" w:color="auto" w:sz="6" w:space="0"/>
              <w:left w:val="single" w:color="auto" w:sz="6" w:space="0"/>
              <w:bottom w:val="single" w:color="auto" w:sz="6" w:space="0"/>
              <w:right w:val="single" w:color="auto" w:sz="6" w:space="0"/>
            </w:tcBorders>
            <w:vAlign w:val="center"/>
          </w:tcPr>
          <w:p w14:paraId="2F9CFC19">
            <w:pPr>
              <w:pageBreakBefore w:val="0"/>
              <w:wordWrap/>
              <w:overflowPunct/>
              <w:topLinePunct w:val="0"/>
              <w:bidi w:val="0"/>
              <w:spacing w:line="360" w:lineRule="auto"/>
              <w:ind w:firstLine="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登记机关：                注册资本金</w:t>
            </w:r>
            <w:r>
              <w:rPr>
                <w:rFonts w:hint="eastAsia" w:ascii="仿宋" w:hAnsi="仿宋" w:eastAsia="仿宋" w:cs="仿宋"/>
                <w:color w:val="auto"/>
                <w:sz w:val="24"/>
                <w:highlight w:val="none"/>
                <w:lang w:eastAsia="zh-CN"/>
              </w:rPr>
              <w:t>：</w:t>
            </w:r>
          </w:p>
        </w:tc>
      </w:tr>
      <w:tr w14:paraId="76BF4F63">
        <w:tblPrEx>
          <w:tblCellMar>
            <w:top w:w="0" w:type="dxa"/>
            <w:left w:w="108" w:type="dxa"/>
            <w:bottom w:w="0" w:type="dxa"/>
            <w:right w:w="108" w:type="dxa"/>
          </w:tblCellMar>
        </w:tblPrEx>
        <w:trPr>
          <w:trHeight w:val="20" w:hRule="atLeast"/>
          <w:jc w:val="center"/>
        </w:trPr>
        <w:tc>
          <w:tcPr>
            <w:tcW w:w="2014"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7D2CB20B">
            <w:pPr>
              <w:pageBreakBefore w:val="0"/>
              <w:wordWrap/>
              <w:overflowPunct/>
              <w:topLinePunct w:val="0"/>
              <w:bidi w:val="0"/>
              <w:spacing w:line="360" w:lineRule="auto"/>
              <w:jc w:val="center"/>
              <w:rPr>
                <w:rFonts w:hint="eastAsia" w:ascii="仿宋" w:hAnsi="仿宋" w:eastAsia="仿宋" w:cs="仿宋"/>
                <w:color w:val="auto"/>
                <w:sz w:val="24"/>
                <w:highlight w:val="none"/>
              </w:rPr>
            </w:pPr>
          </w:p>
        </w:tc>
        <w:tc>
          <w:tcPr>
            <w:tcW w:w="7614" w:type="dxa"/>
            <w:gridSpan w:val="3"/>
            <w:tcBorders>
              <w:top w:val="single" w:color="auto" w:sz="6" w:space="0"/>
              <w:left w:val="single" w:color="auto" w:sz="6" w:space="0"/>
              <w:bottom w:val="single" w:color="auto" w:sz="6" w:space="0"/>
              <w:right w:val="single" w:color="auto" w:sz="6" w:space="0"/>
            </w:tcBorders>
            <w:vAlign w:val="center"/>
          </w:tcPr>
          <w:p w14:paraId="46284C66">
            <w:pPr>
              <w:pageBreakBefore w:val="0"/>
              <w:wordWrap/>
              <w:overflowPunct/>
              <w:topLinePunct w:val="0"/>
              <w:bidi w:val="0"/>
              <w:spacing w:line="360" w:lineRule="auto"/>
              <w:ind w:firstLine="200"/>
              <w:rPr>
                <w:rFonts w:hint="eastAsia" w:ascii="仿宋" w:hAnsi="仿宋" w:eastAsia="仿宋" w:cs="仿宋"/>
                <w:color w:val="auto"/>
                <w:sz w:val="24"/>
                <w:highlight w:val="none"/>
              </w:rPr>
            </w:pPr>
            <w:r>
              <w:rPr>
                <w:rFonts w:hint="eastAsia" w:ascii="仿宋" w:hAnsi="仿宋" w:eastAsia="仿宋" w:cs="仿宋"/>
                <w:color w:val="auto"/>
                <w:sz w:val="24"/>
                <w:highlight w:val="none"/>
              </w:rPr>
              <w:t>执照号：</w:t>
            </w:r>
          </w:p>
        </w:tc>
      </w:tr>
      <w:tr w14:paraId="3BAE5274">
        <w:tblPrEx>
          <w:tblCellMar>
            <w:top w:w="0" w:type="dxa"/>
            <w:left w:w="108" w:type="dxa"/>
            <w:bottom w:w="0" w:type="dxa"/>
            <w:right w:w="108" w:type="dxa"/>
          </w:tblCellMar>
        </w:tblPrEx>
        <w:trPr>
          <w:trHeight w:val="20" w:hRule="atLeast"/>
          <w:jc w:val="center"/>
        </w:trPr>
        <w:tc>
          <w:tcPr>
            <w:tcW w:w="2014" w:type="dxa"/>
            <w:tcBorders>
              <w:top w:val="single" w:color="auto" w:sz="6" w:space="0"/>
              <w:left w:val="single" w:color="auto" w:sz="6" w:space="0"/>
              <w:bottom w:val="single" w:color="auto" w:sz="6" w:space="0"/>
              <w:right w:val="single" w:color="auto" w:sz="6" w:space="0"/>
            </w:tcBorders>
            <w:shd w:val="clear" w:color="auto" w:fill="D9D9D9"/>
            <w:vAlign w:val="center"/>
          </w:tcPr>
          <w:p w14:paraId="6CA8DE49">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税务登记</w:t>
            </w:r>
          </w:p>
        </w:tc>
        <w:tc>
          <w:tcPr>
            <w:tcW w:w="7614" w:type="dxa"/>
            <w:gridSpan w:val="3"/>
            <w:tcBorders>
              <w:top w:val="single" w:color="auto" w:sz="6" w:space="0"/>
              <w:left w:val="single" w:color="auto" w:sz="6" w:space="0"/>
              <w:bottom w:val="single" w:color="auto" w:sz="6" w:space="0"/>
              <w:right w:val="single" w:color="auto" w:sz="6" w:space="0"/>
            </w:tcBorders>
            <w:vAlign w:val="center"/>
          </w:tcPr>
          <w:p w14:paraId="4480565D">
            <w:pPr>
              <w:pageBreakBefore w:val="0"/>
              <w:wordWrap/>
              <w:overflowPunct/>
              <w:topLinePunct w:val="0"/>
              <w:bidi w:val="0"/>
              <w:spacing w:line="360" w:lineRule="auto"/>
              <w:ind w:firstLine="200"/>
              <w:rPr>
                <w:rFonts w:hint="eastAsia" w:ascii="仿宋" w:hAnsi="仿宋" w:eastAsia="仿宋" w:cs="仿宋"/>
                <w:color w:val="auto"/>
                <w:sz w:val="24"/>
                <w:highlight w:val="none"/>
              </w:rPr>
            </w:pPr>
            <w:r>
              <w:rPr>
                <w:rFonts w:hint="eastAsia" w:ascii="仿宋" w:hAnsi="仿宋" w:eastAsia="仿宋" w:cs="仿宋"/>
                <w:color w:val="auto"/>
                <w:sz w:val="24"/>
                <w:highlight w:val="none"/>
              </w:rPr>
              <w:t>登记机关：                  税务号：</w:t>
            </w:r>
          </w:p>
        </w:tc>
      </w:tr>
      <w:tr w14:paraId="34707007">
        <w:tblPrEx>
          <w:tblCellMar>
            <w:top w:w="0" w:type="dxa"/>
            <w:left w:w="108" w:type="dxa"/>
            <w:bottom w:w="0" w:type="dxa"/>
            <w:right w:w="108" w:type="dxa"/>
          </w:tblCellMar>
        </w:tblPrEx>
        <w:trPr>
          <w:trHeight w:val="20" w:hRule="atLeast"/>
          <w:jc w:val="center"/>
        </w:trPr>
        <w:tc>
          <w:tcPr>
            <w:tcW w:w="2014" w:type="dxa"/>
            <w:tcBorders>
              <w:top w:val="single" w:color="auto" w:sz="6" w:space="0"/>
              <w:left w:val="single" w:color="auto" w:sz="6" w:space="0"/>
              <w:bottom w:val="single" w:color="auto" w:sz="6" w:space="0"/>
              <w:right w:val="single" w:color="auto" w:sz="6" w:space="0"/>
            </w:tcBorders>
            <w:shd w:val="clear" w:color="auto" w:fill="D9D9D9"/>
            <w:vAlign w:val="center"/>
          </w:tcPr>
          <w:p w14:paraId="0EFC007B">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614" w:type="dxa"/>
            <w:gridSpan w:val="3"/>
            <w:tcBorders>
              <w:top w:val="single" w:color="auto" w:sz="6" w:space="0"/>
              <w:left w:val="single" w:color="auto" w:sz="6" w:space="0"/>
              <w:right w:val="single" w:color="auto" w:sz="6" w:space="0"/>
            </w:tcBorders>
            <w:vAlign w:val="center"/>
          </w:tcPr>
          <w:p w14:paraId="4F26C0A6">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r>
      <w:tr w14:paraId="55DCD6AE">
        <w:tblPrEx>
          <w:tblCellMar>
            <w:top w:w="0" w:type="dxa"/>
            <w:left w:w="108" w:type="dxa"/>
            <w:bottom w:w="0" w:type="dxa"/>
            <w:right w:w="108" w:type="dxa"/>
          </w:tblCellMar>
        </w:tblPrEx>
        <w:trPr>
          <w:trHeight w:val="20" w:hRule="atLeast"/>
          <w:jc w:val="center"/>
        </w:trPr>
        <w:tc>
          <w:tcPr>
            <w:tcW w:w="2014" w:type="dxa"/>
            <w:tcBorders>
              <w:top w:val="single" w:color="auto" w:sz="6" w:space="0"/>
              <w:left w:val="single" w:color="auto" w:sz="6" w:space="0"/>
              <w:bottom w:val="single" w:color="auto" w:sz="6" w:space="0"/>
              <w:right w:val="single" w:color="auto" w:sz="6" w:space="0"/>
            </w:tcBorders>
            <w:shd w:val="clear" w:color="auto" w:fill="D9D9D9"/>
            <w:vAlign w:val="center"/>
          </w:tcPr>
          <w:p w14:paraId="33B81275">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企业详细地址</w:t>
            </w:r>
          </w:p>
        </w:tc>
        <w:tc>
          <w:tcPr>
            <w:tcW w:w="7614" w:type="dxa"/>
            <w:gridSpan w:val="3"/>
            <w:tcBorders>
              <w:top w:val="single" w:color="auto" w:sz="6" w:space="0"/>
              <w:left w:val="single" w:color="auto" w:sz="6" w:space="0"/>
              <w:bottom w:val="single" w:color="auto" w:sz="6" w:space="0"/>
              <w:right w:val="single" w:color="auto" w:sz="6" w:space="0"/>
            </w:tcBorders>
            <w:vAlign w:val="center"/>
          </w:tcPr>
          <w:p w14:paraId="07506FDD">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r>
      <w:tr w14:paraId="72F285A7">
        <w:tblPrEx>
          <w:tblCellMar>
            <w:top w:w="0" w:type="dxa"/>
            <w:left w:w="108" w:type="dxa"/>
            <w:bottom w:w="0" w:type="dxa"/>
            <w:right w:w="108" w:type="dxa"/>
          </w:tblCellMar>
        </w:tblPrEx>
        <w:trPr>
          <w:trHeight w:val="20" w:hRule="atLeast"/>
          <w:jc w:val="center"/>
        </w:trPr>
        <w:tc>
          <w:tcPr>
            <w:tcW w:w="2014"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5BC27388">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通信联系</w:t>
            </w:r>
          </w:p>
        </w:tc>
        <w:tc>
          <w:tcPr>
            <w:tcW w:w="7614" w:type="dxa"/>
            <w:gridSpan w:val="3"/>
            <w:tcBorders>
              <w:top w:val="single" w:color="auto" w:sz="6" w:space="0"/>
              <w:left w:val="single" w:color="auto" w:sz="6" w:space="0"/>
              <w:bottom w:val="single" w:color="auto" w:sz="6" w:space="0"/>
              <w:right w:val="single" w:color="auto" w:sz="6" w:space="0"/>
            </w:tcBorders>
            <w:vAlign w:val="center"/>
          </w:tcPr>
          <w:p w14:paraId="5A83D234">
            <w:pPr>
              <w:pageBreakBefore w:val="0"/>
              <w:wordWrap/>
              <w:overflowPunct/>
              <w:topLinePunct w:val="0"/>
              <w:bidi w:val="0"/>
              <w:spacing w:line="360" w:lineRule="auto"/>
              <w:ind w:firstLine="2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企业联系电话：              传真：</w:t>
            </w:r>
          </w:p>
        </w:tc>
      </w:tr>
      <w:tr w14:paraId="112E4543">
        <w:tblPrEx>
          <w:tblCellMar>
            <w:top w:w="0" w:type="dxa"/>
            <w:left w:w="108" w:type="dxa"/>
            <w:bottom w:w="0" w:type="dxa"/>
            <w:right w:w="108" w:type="dxa"/>
          </w:tblCellMar>
        </w:tblPrEx>
        <w:trPr>
          <w:trHeight w:val="20" w:hRule="atLeast"/>
          <w:jc w:val="center"/>
        </w:trPr>
        <w:tc>
          <w:tcPr>
            <w:tcW w:w="2014"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34E33311">
            <w:pPr>
              <w:pageBreakBefore w:val="0"/>
              <w:wordWrap/>
              <w:overflowPunct/>
              <w:topLinePunct w:val="0"/>
              <w:bidi w:val="0"/>
              <w:spacing w:line="360" w:lineRule="auto"/>
              <w:ind w:firstLine="200"/>
              <w:rPr>
                <w:rFonts w:hint="eastAsia" w:ascii="仿宋" w:hAnsi="仿宋" w:eastAsia="仿宋" w:cs="仿宋"/>
                <w:color w:val="auto"/>
                <w:sz w:val="24"/>
                <w:highlight w:val="none"/>
              </w:rPr>
            </w:pPr>
          </w:p>
        </w:tc>
        <w:tc>
          <w:tcPr>
            <w:tcW w:w="7614" w:type="dxa"/>
            <w:gridSpan w:val="3"/>
            <w:tcBorders>
              <w:top w:val="single" w:color="auto" w:sz="6" w:space="0"/>
              <w:left w:val="single" w:color="auto" w:sz="6" w:space="0"/>
              <w:bottom w:val="single" w:color="auto" w:sz="4" w:space="0"/>
              <w:right w:val="single" w:color="auto" w:sz="6" w:space="0"/>
            </w:tcBorders>
            <w:vAlign w:val="center"/>
          </w:tcPr>
          <w:p w14:paraId="30FC88E5">
            <w:pPr>
              <w:pageBreakBefore w:val="0"/>
              <w:wordWrap/>
              <w:overflowPunct/>
              <w:topLinePunct w:val="0"/>
              <w:bidi w:val="0"/>
              <w:spacing w:line="360" w:lineRule="auto"/>
              <w:ind w:firstLine="200"/>
              <w:rPr>
                <w:rFonts w:hint="eastAsia" w:ascii="仿宋" w:hAnsi="仿宋" w:eastAsia="仿宋" w:cs="仿宋"/>
                <w:color w:val="auto"/>
                <w:sz w:val="24"/>
                <w:highlight w:val="none"/>
              </w:rPr>
            </w:pPr>
            <w:r>
              <w:rPr>
                <w:rFonts w:hint="eastAsia" w:ascii="仿宋" w:hAnsi="仿宋" w:eastAsia="仿宋" w:cs="仿宋"/>
                <w:color w:val="auto"/>
                <w:sz w:val="24"/>
                <w:highlight w:val="none"/>
              </w:rPr>
              <w:t>业务联系人：                电话：</w:t>
            </w:r>
          </w:p>
        </w:tc>
      </w:tr>
    </w:tbl>
    <w:p w14:paraId="153390E9">
      <w:pPr>
        <w:pageBreakBefore w:val="0"/>
        <w:wordWrap/>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5F9CF24">
      <w:pPr>
        <w:pageBreakBefore w:val="0"/>
        <w:wordWrap/>
        <w:overflowPunct/>
        <w:topLinePunct w:val="0"/>
        <w:bidi w:val="0"/>
        <w:spacing w:line="360" w:lineRule="auto"/>
        <w:rPr>
          <w:rFonts w:hint="eastAsia" w:ascii="仿宋" w:hAnsi="仿宋" w:eastAsia="仿宋" w:cs="仿宋"/>
          <w:color w:val="auto"/>
          <w:highlight w:val="none"/>
        </w:rPr>
      </w:pPr>
    </w:p>
    <w:p w14:paraId="5C2077C3">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bookmarkStart w:id="417" w:name="_Toc391301874"/>
      <w:bookmarkStart w:id="418" w:name="_Toc503861953"/>
      <w:bookmarkStart w:id="419" w:name="_Toc383636415"/>
      <w:bookmarkStart w:id="420" w:name="_Toc509218498"/>
      <w:bookmarkStart w:id="421" w:name="_Toc406162620"/>
      <w:bookmarkStart w:id="422" w:name="_Toc3450"/>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4</w:t>
      </w:r>
      <w:r>
        <w:rPr>
          <w:rFonts w:hint="eastAsia" w:ascii="仿宋" w:hAnsi="仿宋" w:cs="仿宋"/>
          <w:color w:val="auto"/>
          <w:highlight w:val="none"/>
          <w:lang w:val="en-US" w:eastAsia="zh-CN"/>
        </w:rPr>
        <w:t>.</w:t>
      </w:r>
      <w:r>
        <w:rPr>
          <w:rFonts w:hint="eastAsia" w:ascii="仿宋" w:hAnsi="仿宋" w:eastAsia="仿宋" w:cs="仿宋"/>
          <w:color w:val="auto"/>
          <w:highlight w:val="none"/>
        </w:rPr>
        <w:t>法定代表人身份证明书</w:t>
      </w:r>
      <w:bookmarkEnd w:id="417"/>
      <w:bookmarkEnd w:id="418"/>
      <w:bookmarkEnd w:id="419"/>
      <w:bookmarkEnd w:id="420"/>
      <w:bookmarkEnd w:id="421"/>
      <w:bookmarkEnd w:id="422"/>
    </w:p>
    <w:p w14:paraId="0A7414E7">
      <w:pPr>
        <w:pageBreakBefore w:val="0"/>
        <w:wordWrap/>
        <w:overflowPunct/>
        <w:topLinePunct w:val="0"/>
        <w:bidi w:val="0"/>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 xml:space="preserve">                             </w:t>
      </w:r>
    </w:p>
    <w:p w14:paraId="00E6D2E7">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32840462">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注册资金：</w:t>
      </w:r>
      <w:r>
        <w:rPr>
          <w:rFonts w:hint="eastAsia" w:ascii="仿宋" w:hAnsi="仿宋" w:eastAsia="仿宋" w:cs="仿宋"/>
          <w:color w:val="auto"/>
          <w:sz w:val="24"/>
          <w:highlight w:val="none"/>
          <w:u w:val="single"/>
        </w:rPr>
        <w:t xml:space="preserve">                             </w:t>
      </w:r>
    </w:p>
    <w:p w14:paraId="2C5E7334">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36142CB9">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p>
    <w:p w14:paraId="7F6C8830">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6C9B008A">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53552E40">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的法定代表人</w:t>
      </w:r>
    </w:p>
    <w:p w14:paraId="1202D79A">
      <w:pPr>
        <w:pageBreakBefore w:val="0"/>
        <w:wordWrap/>
        <w:overflowPunct/>
        <w:topLinePunct w:val="0"/>
        <w:bidi w:val="0"/>
        <w:spacing w:line="360" w:lineRule="auto"/>
        <w:rPr>
          <w:rFonts w:hint="eastAsia" w:ascii="仿宋" w:hAnsi="仿宋" w:eastAsia="仿宋" w:cs="仿宋"/>
          <w:color w:val="auto"/>
          <w:sz w:val="24"/>
          <w:highlight w:val="none"/>
        </w:rPr>
      </w:pPr>
    </w:p>
    <w:p w14:paraId="37ABDA4F">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0522FA13">
      <w:pPr>
        <w:pageBreakBefore w:val="0"/>
        <w:wordWrap/>
        <w:overflowPunct/>
        <w:topLinePunct w:val="0"/>
        <w:bidi w:val="0"/>
        <w:spacing w:line="360" w:lineRule="auto"/>
        <w:rPr>
          <w:rFonts w:hint="eastAsia" w:ascii="仿宋" w:hAnsi="仿宋" w:eastAsia="仿宋" w:cs="仿宋"/>
          <w:color w:val="auto"/>
          <w:sz w:val="24"/>
          <w:highlight w:val="none"/>
        </w:rPr>
      </w:pPr>
    </w:p>
    <w:p w14:paraId="768EF3A3">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供应商全称（电子签章）：</w:t>
      </w:r>
      <w:r>
        <w:rPr>
          <w:rFonts w:hint="eastAsia" w:ascii="仿宋" w:hAnsi="仿宋" w:eastAsia="仿宋" w:cs="仿宋"/>
          <w:color w:val="auto"/>
          <w:sz w:val="24"/>
          <w:highlight w:val="none"/>
          <w:u w:val="single"/>
        </w:rPr>
        <w:t xml:space="preserve">                  </w:t>
      </w:r>
    </w:p>
    <w:p w14:paraId="1FC79595">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CCDCA5F">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1113155</wp:posOffset>
                </wp:positionH>
                <wp:positionV relativeFrom="paragraph">
                  <wp:posOffset>93345</wp:posOffset>
                </wp:positionV>
                <wp:extent cx="3848100" cy="1790700"/>
                <wp:effectExtent l="6350" t="6350" r="12700" b="12700"/>
                <wp:wrapNone/>
                <wp:docPr id="3" name="矩形: 圆角 3"/>
                <wp:cNvGraphicFramePr/>
                <a:graphic xmlns:a="http://schemas.openxmlformats.org/drawingml/2006/main">
                  <a:graphicData uri="http://schemas.microsoft.com/office/word/2010/wordprocessingShape">
                    <wps:wsp>
                      <wps:cNvSpPr/>
                      <wps:spPr>
                        <a:xfrm>
                          <a:off x="0" y="0"/>
                          <a:ext cx="3848100" cy="1790700"/>
                        </a:xfrm>
                        <a:prstGeom prst="roundRect">
                          <a:avLst/>
                        </a:prstGeom>
                        <a:noFill/>
                        <a:ln w="127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3" o:spid="_x0000_s1026" o:spt="2" style="position:absolute;left:0pt;margin-left:87.65pt;margin-top:7.35pt;height:141pt;width:303pt;z-index:251659264;v-text-anchor:middle;mso-width-relative:page;mso-height-relative:page;" filled="f" stroked="t" coordsize="21600,21600" arcsize="0.166666666666667" o:gfxdata="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Vm8kH9sAAAAKAQAADwAAAAAAAAABACAAAAAiAAAAZHJz&#10;L2Rvd25yZXYueG1sUEsBAhQAFAAAAAgAh07iQL5vEO9zAgAA0AQAAA4AAAAAAAAAAQAgAAAAKgEA&#10;AGRycy9lMm9Eb2MueG1sUEsFBgAAAAAGAAYAWQEAAA8GAAAAAA==&#10;">
                <v:fill on="f" focussize="0,0"/>
                <v:stroke weight="1pt" color="#000000" joinstyle="round"/>
                <v:imagedata o:title=""/>
                <o:lock v:ext="edit" aspectratio="f"/>
              </v:roundrect>
            </w:pict>
          </mc:Fallback>
        </mc:AlternateContent>
      </w:r>
    </w:p>
    <w:p w14:paraId="79615539">
      <w:pPr>
        <w:pageBreakBefore w:val="0"/>
        <w:wordWrap/>
        <w:overflowPunct/>
        <w:topLinePunct w:val="0"/>
        <w:bidi w:val="0"/>
        <w:spacing w:line="360" w:lineRule="auto"/>
        <w:rPr>
          <w:rFonts w:hint="eastAsia" w:ascii="仿宋" w:hAnsi="仿宋" w:eastAsia="仿宋" w:cs="仿宋"/>
          <w:color w:val="auto"/>
          <w:sz w:val="24"/>
          <w:highlight w:val="none"/>
        </w:rPr>
      </w:pPr>
    </w:p>
    <w:p w14:paraId="25B81249">
      <w:pPr>
        <w:pageBreakBefore w:val="0"/>
        <w:wordWrap/>
        <w:overflowPunct/>
        <w:topLinePunct w:val="0"/>
        <w:bidi w:val="0"/>
        <w:spacing w:line="360" w:lineRule="auto"/>
        <w:jc w:val="center"/>
        <w:rPr>
          <w:rFonts w:hint="eastAsia" w:ascii="仿宋" w:hAnsi="仿宋" w:eastAsia="仿宋" w:cs="仿宋"/>
          <w:b/>
          <w:color w:val="auto"/>
          <w:sz w:val="24"/>
          <w:highlight w:val="none"/>
        </w:rPr>
      </w:pPr>
    </w:p>
    <w:p w14:paraId="75DEFDEB">
      <w:pPr>
        <w:pageBreakBefore w:val="0"/>
        <w:wordWrap/>
        <w:overflowPunct/>
        <w:topLinePunct w:val="0"/>
        <w:bidi w:val="0"/>
        <w:spacing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t>法定代表人有效的身份证复印件（正反面）</w:t>
      </w:r>
    </w:p>
    <w:p w14:paraId="124A0BC6">
      <w:pPr>
        <w:pageBreakBefore w:val="0"/>
        <w:wordWrap/>
        <w:overflowPunct/>
        <w:topLinePunct w:val="0"/>
        <w:bidi w:val="0"/>
        <w:spacing w:line="360" w:lineRule="auto"/>
        <w:rPr>
          <w:rFonts w:hint="eastAsia" w:ascii="仿宋" w:hAnsi="仿宋" w:eastAsia="仿宋" w:cs="仿宋"/>
          <w:color w:val="auto"/>
          <w:sz w:val="24"/>
          <w:highlight w:val="none"/>
        </w:rPr>
      </w:pPr>
    </w:p>
    <w:p w14:paraId="121A43D0">
      <w:pPr>
        <w:pageBreakBefore w:val="0"/>
        <w:wordWrap/>
        <w:overflowPunct/>
        <w:topLinePunct w:val="0"/>
        <w:bidi w:val="0"/>
        <w:spacing w:line="360" w:lineRule="auto"/>
        <w:rPr>
          <w:rFonts w:hint="eastAsia" w:ascii="仿宋" w:hAnsi="仿宋" w:eastAsia="仿宋" w:cs="仿宋"/>
          <w:color w:val="auto"/>
          <w:sz w:val="24"/>
          <w:highlight w:val="none"/>
        </w:rPr>
      </w:pPr>
    </w:p>
    <w:p w14:paraId="75C71CE5">
      <w:pPr>
        <w:pageBreakBefore w:val="0"/>
        <w:wordWrap/>
        <w:overflowPunct/>
        <w:topLinePunct w:val="0"/>
        <w:bidi w:val="0"/>
        <w:spacing w:line="360" w:lineRule="auto"/>
        <w:rPr>
          <w:rFonts w:hint="eastAsia" w:ascii="仿宋" w:hAnsi="仿宋" w:eastAsia="仿宋" w:cs="仿宋"/>
          <w:color w:val="auto"/>
          <w:sz w:val="24"/>
          <w:highlight w:val="none"/>
        </w:rPr>
      </w:pPr>
    </w:p>
    <w:p w14:paraId="1857002A">
      <w:pPr>
        <w:pageBreakBefore w:val="0"/>
        <w:wordWrap/>
        <w:overflowPunct/>
        <w:topLinePunct w:val="0"/>
        <w:bidi w:val="0"/>
        <w:spacing w:line="360" w:lineRule="auto"/>
        <w:rPr>
          <w:rFonts w:hint="eastAsia" w:ascii="仿宋" w:hAnsi="仿宋" w:eastAsia="仿宋" w:cs="仿宋"/>
          <w:color w:val="auto"/>
          <w:sz w:val="24"/>
          <w:highlight w:val="none"/>
        </w:rPr>
      </w:pPr>
    </w:p>
    <w:p w14:paraId="60C9738D">
      <w:pPr>
        <w:pageBreakBefore w:val="0"/>
        <w:wordWrap/>
        <w:overflowPunct/>
        <w:topLinePunct w:val="0"/>
        <w:bidi w:val="0"/>
        <w:spacing w:line="360" w:lineRule="auto"/>
        <w:rPr>
          <w:rFonts w:hint="eastAsia" w:ascii="仿宋" w:hAnsi="仿宋" w:eastAsia="仿宋" w:cs="仿宋"/>
          <w:color w:val="auto"/>
          <w:sz w:val="24"/>
          <w:highlight w:val="none"/>
        </w:rPr>
      </w:pPr>
    </w:p>
    <w:p w14:paraId="7A766E4C">
      <w:pPr>
        <w:pageBreakBefore w:val="0"/>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6F04542C">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bookmarkStart w:id="423" w:name="_Toc430214793"/>
      <w:bookmarkStart w:id="424" w:name="_Toc509218499"/>
      <w:bookmarkStart w:id="425" w:name="_Toc503861954"/>
      <w:bookmarkStart w:id="426" w:name="_Toc22541"/>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5</w:t>
      </w:r>
      <w:r>
        <w:rPr>
          <w:rFonts w:hint="eastAsia" w:ascii="仿宋" w:hAnsi="仿宋" w:cs="仿宋"/>
          <w:color w:val="auto"/>
          <w:highlight w:val="none"/>
          <w:lang w:val="en-US" w:eastAsia="zh-CN"/>
        </w:rPr>
        <w:t>.</w:t>
      </w:r>
      <w:r>
        <w:rPr>
          <w:rFonts w:hint="eastAsia" w:ascii="仿宋" w:hAnsi="仿宋" w:eastAsia="仿宋" w:cs="仿宋"/>
          <w:color w:val="auto"/>
          <w:highlight w:val="none"/>
        </w:rPr>
        <w:t>法定代表人授权委托书（授权代表是法定代表人时，不必提供）</w:t>
      </w:r>
      <w:bookmarkEnd w:id="423"/>
      <w:bookmarkEnd w:id="424"/>
      <w:bookmarkEnd w:id="425"/>
      <w:bookmarkEnd w:id="426"/>
    </w:p>
    <w:p w14:paraId="722BD924">
      <w:pPr>
        <w:pageBreakBefore w:val="0"/>
        <w:wordWrap/>
        <w:overflowPunct/>
        <w:topLinePunct w:val="0"/>
        <w:bidi w:val="0"/>
        <w:spacing w:line="360" w:lineRule="auto"/>
        <w:ind w:firstLine="540" w:firstLineChars="225"/>
        <w:rPr>
          <w:rFonts w:hint="eastAsia" w:ascii="仿宋" w:hAnsi="仿宋" w:eastAsia="仿宋" w:cs="仿宋"/>
          <w:color w:val="auto"/>
          <w:sz w:val="24"/>
          <w:highlight w:val="none"/>
        </w:rPr>
      </w:pPr>
    </w:p>
    <w:p w14:paraId="0D332CAA">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（供应商名称）的法定代表人，现授权委托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（单位名称）的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（姓名）为我公司代理人，以公司名义参加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（采购人）的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（项目名称）磋商活动。代理人在磋商、评审及合同谈判过程中所签署的一切文件和处理与之有关的一切事务，我均</w:t>
      </w:r>
      <w:r>
        <w:rPr>
          <w:rFonts w:hint="eastAsia" w:ascii="仿宋" w:hAnsi="仿宋" w:cs="仿宋"/>
          <w:color w:val="auto"/>
          <w:sz w:val="24"/>
          <w:highlight w:val="none"/>
          <w:lang w:eastAsia="zh-CN"/>
        </w:rPr>
        <w:t>予以</w:t>
      </w:r>
      <w:r>
        <w:rPr>
          <w:rFonts w:hint="eastAsia" w:ascii="仿宋" w:hAnsi="仿宋" w:eastAsia="仿宋" w:cs="仿宋"/>
          <w:color w:val="auto"/>
          <w:sz w:val="24"/>
          <w:highlight w:val="none"/>
        </w:rPr>
        <w:t>承认。</w:t>
      </w:r>
    </w:p>
    <w:p w14:paraId="200A82C8">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p>
    <w:p w14:paraId="0C828913">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p>
    <w:p w14:paraId="06C85C79">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部  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14:paraId="1B5B3ADB">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代理人无转委权。特此委托。</w:t>
      </w:r>
    </w:p>
    <w:p w14:paraId="14C0DDBC">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供应商全称（</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21A17C78">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98006E5">
      <w:pPr>
        <w:pStyle w:val="29"/>
        <w:pageBreakBefore w:val="0"/>
        <w:wordWrap/>
        <w:overflowPunct/>
        <w:topLinePunct w:val="0"/>
        <w:bidi w:val="0"/>
        <w:spacing w:line="360" w:lineRule="auto"/>
        <w:ind w:firstLine="461"/>
        <w:rPr>
          <w:rFonts w:hint="eastAsia" w:ascii="仿宋" w:hAnsi="仿宋" w:eastAsia="仿宋" w:cs="仿宋"/>
          <w:color w:val="auto"/>
          <w:highlight w:val="none"/>
        </w:rPr>
      </w:pPr>
      <w:r>
        <w:rPr>
          <w:rFonts w:hint="eastAsia" w:ascii="仿宋" w:hAnsi="仿宋" w:eastAsia="仿宋" w:cs="仿宋"/>
          <w:color w:val="auto"/>
          <w:highlight w:val="none"/>
        </w:rPr>
        <w:t>委托代理人（</w:t>
      </w:r>
      <w:r>
        <w:rPr>
          <w:rFonts w:hint="eastAsia" w:ascii="仿宋" w:hAnsi="仿宋" w:eastAsia="仿宋" w:cs="仿宋"/>
          <w:color w:val="auto"/>
          <w:highlight w:val="none"/>
          <w:lang w:eastAsia="zh-CN"/>
        </w:rPr>
        <w:t>电子签章</w:t>
      </w:r>
      <w:r>
        <w:rPr>
          <w:rFonts w:hint="eastAsia" w:ascii="仿宋" w:hAnsi="仿宋" w:eastAsia="仿宋" w:cs="仿宋"/>
          <w:color w:val="auto"/>
          <w:highlight w:val="none"/>
          <w:lang w:val="en-US" w:eastAsia="zh-CN"/>
        </w:rPr>
        <w:t>或签字或盖章</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p>
    <w:p w14:paraId="75D7123E">
      <w:pPr>
        <w:pageBreakBefore w:val="0"/>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10C90A1D">
      <w:pPr>
        <w:pageBreakBefore w:val="0"/>
        <w:wordWrap/>
        <w:overflowPunct/>
        <w:topLinePunct w:val="0"/>
        <w:bidi w:val="0"/>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注：附授权委托代理人身份证复印件，如供应商由法定代表人亲自签署</w:t>
      </w:r>
      <w:r>
        <w:rPr>
          <w:rFonts w:hint="eastAsia" w:ascii="仿宋" w:hAnsi="仿宋" w:eastAsia="仿宋" w:cs="仿宋"/>
          <w:b/>
          <w:bCs/>
          <w:color w:val="auto"/>
          <w:sz w:val="24"/>
          <w:highlight w:val="none"/>
        </w:rPr>
        <w:t>响应文件</w:t>
      </w:r>
      <w:r>
        <w:rPr>
          <w:rFonts w:hint="eastAsia" w:ascii="仿宋" w:hAnsi="仿宋" w:eastAsia="仿宋" w:cs="仿宋"/>
          <w:b/>
          <w:color w:val="auto"/>
          <w:sz w:val="24"/>
          <w:highlight w:val="none"/>
        </w:rPr>
        <w:t>并参与相关活动，则不需要办理授权。如有被授权的代理人签署上述文件，则必须按本格式规定填报并提交授权书，否则被授权的代理人将不被认可。</w:t>
      </w:r>
    </w:p>
    <w:p w14:paraId="58D415A0">
      <w:pPr>
        <w:pageBreakBefore w:val="0"/>
        <w:wordWrap/>
        <w:overflowPunct/>
        <w:topLinePunct w:val="0"/>
        <w:bidi w:val="0"/>
        <w:spacing w:line="360" w:lineRule="auto"/>
        <w:ind w:firstLine="480"/>
        <w:rPr>
          <w:rFonts w:hint="eastAsia" w:ascii="仿宋" w:hAnsi="仿宋" w:eastAsia="仿宋" w:cs="仿宋"/>
          <w:b/>
          <w:color w:val="auto"/>
          <w:sz w:val="24"/>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0288" behindDoc="1" locked="0" layoutInCell="1" allowOverlap="1">
                <wp:simplePos x="0" y="0"/>
                <wp:positionH relativeFrom="column">
                  <wp:posOffset>1069975</wp:posOffset>
                </wp:positionH>
                <wp:positionV relativeFrom="paragraph">
                  <wp:posOffset>217805</wp:posOffset>
                </wp:positionV>
                <wp:extent cx="4100830" cy="1919605"/>
                <wp:effectExtent l="4445" t="4445" r="9525" b="19050"/>
                <wp:wrapNone/>
                <wp:docPr id="37" name="AutoShape 4"/>
                <wp:cNvGraphicFramePr/>
                <a:graphic xmlns:a="http://schemas.openxmlformats.org/drawingml/2006/main">
                  <a:graphicData uri="http://schemas.microsoft.com/office/word/2010/wordprocessingShape">
                    <wps:wsp>
                      <wps:cNvSpPr>
                        <a:spLocks noChangeArrowheads="1"/>
                      </wps:cNvSpPr>
                      <wps:spPr bwMode="auto">
                        <a:xfrm>
                          <a:off x="0" y="0"/>
                          <a:ext cx="4100830" cy="1919605"/>
                        </a:xfrm>
                        <a:prstGeom prst="roundRect">
                          <a:avLst>
                            <a:gd name="adj" fmla="val 16667"/>
                          </a:avLst>
                        </a:prstGeom>
                        <a:solidFill>
                          <a:srgbClr val="FFFFFF"/>
                        </a:solidFill>
                        <a:ln w="9525">
                          <a:solidFill>
                            <a:srgbClr val="000000"/>
                          </a:solidFill>
                          <a:round/>
                        </a:ln>
                        <a:effectLst/>
                      </wps:spPr>
                      <wps:bodyPr rot="0" vert="horz" wrap="square" lIns="91440" tIns="45720" rIns="91440" bIns="45720" anchor="t" anchorCtr="0" upright="1">
                        <a:noAutofit/>
                      </wps:bodyPr>
                    </wps:wsp>
                  </a:graphicData>
                </a:graphic>
              </wp:anchor>
            </w:drawing>
          </mc:Choice>
          <mc:Fallback>
            <w:pict>
              <v:roundrect id="AutoShape 4" o:spid="_x0000_s1026" o:spt="2" style="position:absolute;left:0pt;margin-left:84.25pt;margin-top:17.15pt;height:151.15pt;width:322.9pt;z-index:-251656192;mso-width-relative:page;mso-height-relative:page;" fillcolor="#FFFFFF" filled="t" stroked="t" coordsize="21600,21600" arcsize="0.166666666666667" o:gfxdata="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82QhU1QAAAAoBAAAPAAAAAAAAAAEAIAAAACIAAABk&#10;cnMvZG93bnJldi54bWxQSwECFAAUAAAACACHTuJAb6l800ICAACmBAAADgAAAAAAAAABACAAAAAk&#10;AQAAZHJzL2Uyb0RvYy54bWxQSwUGAAAAAAYABgBZAQAA2AUAAAAA&#10;">
                <v:fill on="t" focussize="0,0"/>
                <v:stroke color="#000000" joinstyle="round"/>
                <v:imagedata o:title=""/>
                <o:lock v:ext="edit" aspectratio="f"/>
              </v:roundrect>
            </w:pict>
          </mc:Fallback>
        </mc:AlternateContent>
      </w:r>
    </w:p>
    <w:p w14:paraId="21EF9825">
      <w:pPr>
        <w:pageBreakBefore w:val="0"/>
        <w:wordWrap/>
        <w:overflowPunct/>
        <w:topLinePunct w:val="0"/>
        <w:bidi w:val="0"/>
        <w:spacing w:line="360" w:lineRule="auto"/>
        <w:ind w:firstLine="482"/>
        <w:jc w:val="center"/>
        <w:rPr>
          <w:rFonts w:hint="eastAsia" w:ascii="仿宋" w:hAnsi="仿宋" w:eastAsia="仿宋" w:cs="仿宋"/>
          <w:b/>
          <w:color w:val="auto"/>
          <w:sz w:val="24"/>
          <w:highlight w:val="none"/>
        </w:rPr>
      </w:pPr>
    </w:p>
    <w:p w14:paraId="7A990149">
      <w:pPr>
        <w:pageBreakBefore w:val="0"/>
        <w:wordWrap/>
        <w:overflowPunct/>
        <w:topLinePunct w:val="0"/>
        <w:bidi w:val="0"/>
        <w:spacing w:line="360" w:lineRule="auto"/>
        <w:ind w:firstLine="482"/>
        <w:jc w:val="center"/>
        <w:rPr>
          <w:rFonts w:hint="eastAsia" w:ascii="仿宋" w:hAnsi="仿宋" w:eastAsia="仿宋" w:cs="仿宋"/>
          <w:b/>
          <w:color w:val="auto"/>
          <w:sz w:val="24"/>
          <w:highlight w:val="none"/>
        </w:rPr>
      </w:pPr>
    </w:p>
    <w:p w14:paraId="1B3FBF83">
      <w:pPr>
        <w:pageBreakBefore w:val="0"/>
        <w:wordWrap/>
        <w:overflowPunct/>
        <w:topLinePunct w:val="0"/>
        <w:bidi w:val="0"/>
        <w:spacing w:line="360" w:lineRule="auto"/>
        <w:ind w:firstLine="482"/>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委托代理人有效的身份证复印件（正反面）</w:t>
      </w:r>
    </w:p>
    <w:p w14:paraId="4D2C6397">
      <w:pPr>
        <w:pageBreakBefore w:val="0"/>
        <w:wordWrap/>
        <w:overflowPunct/>
        <w:topLinePunct w:val="0"/>
        <w:bidi w:val="0"/>
        <w:spacing w:line="360" w:lineRule="auto"/>
        <w:ind w:firstLine="482"/>
        <w:rPr>
          <w:rFonts w:hint="eastAsia" w:ascii="仿宋" w:hAnsi="仿宋" w:eastAsia="仿宋" w:cs="仿宋"/>
          <w:b/>
          <w:color w:val="auto"/>
          <w:sz w:val="24"/>
          <w:highlight w:val="none"/>
        </w:rPr>
      </w:pPr>
    </w:p>
    <w:p w14:paraId="4157B8EE">
      <w:pPr>
        <w:pageBreakBefore w:val="0"/>
        <w:wordWrap/>
        <w:overflowPunct/>
        <w:topLinePunct w:val="0"/>
        <w:bidi w:val="0"/>
        <w:spacing w:line="360" w:lineRule="auto"/>
        <w:ind w:firstLine="482"/>
        <w:rPr>
          <w:rFonts w:hint="eastAsia" w:ascii="仿宋" w:hAnsi="仿宋" w:eastAsia="仿宋" w:cs="仿宋"/>
          <w:b/>
          <w:color w:val="auto"/>
          <w:sz w:val="24"/>
          <w:highlight w:val="none"/>
        </w:rPr>
      </w:pPr>
    </w:p>
    <w:p w14:paraId="522AC036">
      <w:pPr>
        <w:pageBreakBefore w:val="0"/>
        <w:wordWrap/>
        <w:overflowPunct/>
        <w:topLinePunct w:val="0"/>
        <w:bidi w:val="0"/>
        <w:spacing w:line="360" w:lineRule="auto"/>
        <w:ind w:firstLine="482"/>
        <w:rPr>
          <w:rFonts w:hint="eastAsia" w:ascii="仿宋" w:hAnsi="仿宋" w:eastAsia="仿宋" w:cs="仿宋"/>
          <w:b/>
          <w:color w:val="auto"/>
          <w:sz w:val="24"/>
          <w:highlight w:val="none"/>
        </w:rPr>
      </w:pPr>
    </w:p>
    <w:p w14:paraId="382E8C1C">
      <w:pPr>
        <w:pageBreakBefore w:val="0"/>
        <w:wordWrap/>
        <w:overflowPunct/>
        <w:topLinePunct w:val="0"/>
        <w:bidi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2041559A">
      <w:pPr>
        <w:pageBreakBefore w:val="0"/>
        <w:wordWrap/>
        <w:overflowPunct/>
        <w:topLinePunct w:val="0"/>
        <w:bidi w:val="0"/>
        <w:spacing w:line="360" w:lineRule="auto"/>
        <w:rPr>
          <w:rFonts w:hint="eastAsia" w:ascii="仿宋" w:hAnsi="仿宋" w:eastAsia="仿宋" w:cs="仿宋"/>
          <w:color w:val="auto"/>
          <w:highlight w:val="none"/>
        </w:rPr>
      </w:pPr>
    </w:p>
    <w:p w14:paraId="12CB540E">
      <w:pPr>
        <w:pStyle w:val="4"/>
        <w:pageBreakBefore w:val="0"/>
        <w:wordWrap/>
        <w:overflowPunct/>
        <w:topLinePunct w:val="0"/>
        <w:bidi w:val="0"/>
        <w:spacing w:before="0" w:after="0" w:line="360" w:lineRule="auto"/>
        <w:ind w:left="0" w:leftChars="0" w:firstLine="0" w:firstLineChars="0"/>
        <w:jc w:val="center"/>
        <w:rPr>
          <w:rFonts w:hint="eastAsia" w:ascii="仿宋" w:hAnsi="仿宋" w:eastAsia="仿宋" w:cs="仿宋"/>
          <w:color w:val="auto"/>
          <w:highlight w:val="none"/>
          <w:lang w:val="en-US" w:eastAsia="zh-CN"/>
        </w:rPr>
      </w:pPr>
      <w:bookmarkStart w:id="427" w:name="_Toc23356"/>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6</w:t>
      </w:r>
      <w:r>
        <w:rPr>
          <w:rFonts w:hint="eastAsia" w:ascii="仿宋" w:hAnsi="仿宋" w:cs="仿宋"/>
          <w:color w:val="auto"/>
          <w:highlight w:val="none"/>
          <w:lang w:val="en-US" w:eastAsia="zh-CN"/>
        </w:rPr>
        <w:t>.</w:t>
      </w:r>
      <w:r>
        <w:rPr>
          <w:rFonts w:hint="eastAsia" w:ascii="仿宋" w:hAnsi="仿宋" w:eastAsia="仿宋" w:cs="仿宋"/>
          <w:color w:val="auto"/>
          <w:highlight w:val="none"/>
        </w:rPr>
        <w:t>售后及</w:t>
      </w:r>
      <w:r>
        <w:rPr>
          <w:rFonts w:ascii="仿宋" w:hAnsi="仿宋" w:eastAsia="仿宋" w:cs="仿宋"/>
          <w:color w:val="auto"/>
          <w:highlight w:val="none"/>
        </w:rPr>
        <w:t>应急方案</w:t>
      </w:r>
      <w:bookmarkEnd w:id="427"/>
    </w:p>
    <w:p w14:paraId="4C264BD2">
      <w:pPr>
        <w:pageBreakBefore w:val="0"/>
        <w:wordWrap/>
        <w:overflowPunct/>
        <w:topLinePunct w:val="0"/>
        <w:bidi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各供应商根据评审办法自行编制，格式自拟</w:t>
      </w:r>
    </w:p>
    <w:p w14:paraId="353FC845">
      <w:pPr>
        <w:pStyle w:val="16"/>
        <w:pageBreakBefore w:val="0"/>
        <w:wordWrap/>
        <w:overflowPunct/>
        <w:topLinePunct w:val="0"/>
        <w:bidi w:val="0"/>
        <w:spacing w:line="360" w:lineRule="auto"/>
        <w:rPr>
          <w:rFonts w:hint="eastAsia" w:ascii="仿宋" w:hAnsi="仿宋" w:eastAsia="仿宋" w:cs="仿宋"/>
          <w:color w:val="auto"/>
          <w:sz w:val="24"/>
          <w:szCs w:val="24"/>
          <w:highlight w:val="none"/>
          <w:lang w:val="en-US" w:eastAsia="zh-CN"/>
        </w:rPr>
      </w:pPr>
    </w:p>
    <w:p w14:paraId="1E43CF53">
      <w:pPr>
        <w:pageBreakBefore w:val="0"/>
        <w:wordWrap/>
        <w:overflowPunct/>
        <w:topLinePunct w:val="0"/>
        <w:bidi w:val="0"/>
        <w:spacing w:line="360" w:lineRule="auto"/>
        <w:rPr>
          <w:rFonts w:hint="eastAsia" w:ascii="仿宋" w:hAnsi="仿宋" w:eastAsia="仿宋" w:cs="仿宋"/>
          <w:color w:val="auto"/>
          <w:sz w:val="24"/>
          <w:szCs w:val="24"/>
          <w:highlight w:val="none"/>
          <w:lang w:val="en-US" w:eastAsia="zh-CN"/>
        </w:rPr>
      </w:pPr>
    </w:p>
    <w:p w14:paraId="22391E8A">
      <w:pPr>
        <w:pStyle w:val="16"/>
        <w:pageBreakBefore w:val="0"/>
        <w:wordWrap/>
        <w:overflowPunct/>
        <w:topLinePunct w:val="0"/>
        <w:bidi w:val="0"/>
        <w:spacing w:line="360" w:lineRule="auto"/>
        <w:rPr>
          <w:rFonts w:hint="eastAsia" w:ascii="仿宋" w:hAnsi="仿宋" w:eastAsia="仿宋" w:cs="仿宋"/>
          <w:color w:val="auto"/>
          <w:highlight w:val="none"/>
          <w:lang w:val="en-US" w:eastAsia="zh-CN"/>
        </w:rPr>
      </w:pPr>
    </w:p>
    <w:p w14:paraId="6C991BEA">
      <w:pPr>
        <w:pStyle w:val="4"/>
        <w:pageBreakBefore w:val="0"/>
        <w:wordWrap/>
        <w:overflowPunct/>
        <w:topLinePunct w:val="0"/>
        <w:bidi w:val="0"/>
        <w:spacing w:before="0" w:after="0" w:line="360" w:lineRule="auto"/>
        <w:ind w:left="0" w:leftChars="0" w:firstLine="0" w:firstLineChars="0"/>
        <w:jc w:val="center"/>
        <w:rPr>
          <w:rFonts w:hint="eastAsia" w:ascii="仿宋" w:hAnsi="仿宋" w:eastAsia="仿宋" w:cs="仿宋"/>
          <w:color w:val="auto"/>
          <w:highlight w:val="none"/>
        </w:rPr>
      </w:pPr>
      <w:bookmarkStart w:id="428" w:name="_Toc15337"/>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7</w:t>
      </w:r>
      <w:r>
        <w:rPr>
          <w:rFonts w:hint="eastAsia" w:ascii="仿宋" w:hAnsi="仿宋" w:cs="仿宋"/>
          <w:color w:val="auto"/>
          <w:highlight w:val="none"/>
          <w:lang w:val="en-US" w:eastAsia="zh-CN"/>
        </w:rPr>
        <w:t>.</w:t>
      </w:r>
      <w:r>
        <w:rPr>
          <w:rFonts w:hint="eastAsia" w:ascii="Calibri" w:eastAsia="仿宋"/>
          <w:color w:val="auto"/>
          <w:sz w:val="24"/>
          <w:highlight w:val="none"/>
          <w:lang w:val="en-US" w:eastAsia="zh-CN"/>
        </w:rPr>
        <w:t>保密管理及承诺</w:t>
      </w:r>
      <w:bookmarkEnd w:id="428"/>
    </w:p>
    <w:p w14:paraId="58702F46">
      <w:pPr>
        <w:pageBreakBefore w:val="0"/>
        <w:wordWrap/>
        <w:overflowPunct/>
        <w:topLinePunct w:val="0"/>
        <w:bidi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各供应商根据评审办法自行编制，格式自拟</w:t>
      </w:r>
    </w:p>
    <w:p w14:paraId="7F7D2A48">
      <w:pPr>
        <w:pStyle w:val="16"/>
        <w:pageBreakBefore w:val="0"/>
        <w:wordWrap/>
        <w:overflowPunct/>
        <w:topLinePunct w:val="0"/>
        <w:bidi w:val="0"/>
        <w:spacing w:line="360" w:lineRule="auto"/>
        <w:rPr>
          <w:rFonts w:hint="eastAsia" w:ascii="仿宋" w:hAnsi="仿宋" w:eastAsia="仿宋" w:cs="仿宋"/>
          <w:color w:val="auto"/>
          <w:highlight w:val="none"/>
        </w:rPr>
      </w:pPr>
    </w:p>
    <w:p w14:paraId="6DA6E5D1">
      <w:pPr>
        <w:pStyle w:val="4"/>
        <w:pageBreakBefore w:val="0"/>
        <w:wordWrap/>
        <w:overflowPunct/>
        <w:topLinePunct w:val="0"/>
        <w:bidi w:val="0"/>
        <w:spacing w:before="0" w:after="0" w:line="360" w:lineRule="auto"/>
        <w:ind w:firstLine="482"/>
        <w:rPr>
          <w:rFonts w:hint="eastAsia" w:ascii="仿宋" w:hAnsi="仿宋" w:eastAsia="仿宋" w:cs="仿宋"/>
          <w:color w:val="auto"/>
          <w:highlight w:val="none"/>
        </w:rPr>
      </w:pPr>
      <w:bookmarkStart w:id="429" w:name="_Toc25193"/>
      <w:r>
        <w:rPr>
          <w:rFonts w:hint="eastAsia" w:ascii="仿宋" w:hAnsi="仿宋" w:eastAsia="仿宋" w:cs="仿宋"/>
          <w:color w:val="auto"/>
          <w:highlight w:val="none"/>
        </w:rPr>
        <w:t>格式</w:t>
      </w:r>
      <w:r>
        <w:rPr>
          <w:rFonts w:hint="eastAsia" w:ascii="仿宋" w:hAnsi="仿宋" w:cs="仿宋"/>
          <w:color w:val="auto"/>
          <w:highlight w:val="none"/>
          <w:lang w:val="en-US" w:eastAsia="zh-CN"/>
        </w:rPr>
        <w:t>8.</w:t>
      </w:r>
      <w:r>
        <w:rPr>
          <w:rFonts w:hint="eastAsia" w:ascii="仿宋" w:hAnsi="仿宋" w:eastAsia="仿宋" w:cs="仿宋"/>
          <w:color w:val="auto"/>
          <w:highlight w:val="none"/>
        </w:rPr>
        <w:t>项目类似业绩</w:t>
      </w:r>
      <w:bookmarkEnd w:id="412"/>
      <w:bookmarkEnd w:id="413"/>
      <w:bookmarkEnd w:id="429"/>
    </w:p>
    <w:tbl>
      <w:tblPr>
        <w:tblStyle w:val="38"/>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0"/>
        <w:gridCol w:w="2316"/>
        <w:gridCol w:w="1985"/>
        <w:gridCol w:w="1417"/>
        <w:gridCol w:w="1486"/>
      </w:tblGrid>
      <w:tr w14:paraId="7E3F1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470" w:type="dxa"/>
            <w:tcBorders>
              <w:top w:val="single" w:color="auto" w:sz="4" w:space="0"/>
              <w:left w:val="single" w:color="auto" w:sz="4" w:space="0"/>
              <w:bottom w:val="single" w:color="auto" w:sz="4" w:space="0"/>
              <w:right w:val="single" w:color="auto" w:sz="4" w:space="0"/>
            </w:tcBorders>
            <w:vAlign w:val="center"/>
          </w:tcPr>
          <w:p w14:paraId="14665164">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采购单位名称</w:t>
            </w:r>
          </w:p>
        </w:tc>
        <w:tc>
          <w:tcPr>
            <w:tcW w:w="2316" w:type="dxa"/>
            <w:tcBorders>
              <w:top w:val="single" w:color="auto" w:sz="4" w:space="0"/>
              <w:left w:val="single" w:color="auto" w:sz="4" w:space="0"/>
              <w:bottom w:val="single" w:color="auto" w:sz="4" w:space="0"/>
              <w:right w:val="single" w:color="auto" w:sz="4" w:space="0"/>
            </w:tcBorders>
            <w:vAlign w:val="center"/>
          </w:tcPr>
          <w:p w14:paraId="5F6BC6B7">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985" w:type="dxa"/>
            <w:tcBorders>
              <w:top w:val="single" w:color="auto" w:sz="4" w:space="0"/>
              <w:left w:val="single" w:color="auto" w:sz="4" w:space="0"/>
              <w:bottom w:val="single" w:color="auto" w:sz="4" w:space="0"/>
              <w:right w:val="single" w:color="auto" w:sz="4" w:space="0"/>
            </w:tcBorders>
            <w:vAlign w:val="center"/>
          </w:tcPr>
          <w:p w14:paraId="6EAB8363">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w:t>
            </w:r>
          </w:p>
        </w:tc>
        <w:tc>
          <w:tcPr>
            <w:tcW w:w="1417" w:type="dxa"/>
            <w:tcBorders>
              <w:top w:val="single" w:color="auto" w:sz="4" w:space="0"/>
              <w:left w:val="single" w:color="auto" w:sz="4" w:space="0"/>
              <w:bottom w:val="single" w:color="auto" w:sz="4" w:space="0"/>
              <w:right w:val="single" w:color="auto" w:sz="4" w:space="0"/>
            </w:tcBorders>
            <w:vAlign w:val="center"/>
          </w:tcPr>
          <w:p w14:paraId="5D93B34D">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年份</w:t>
            </w:r>
          </w:p>
        </w:tc>
        <w:tc>
          <w:tcPr>
            <w:tcW w:w="1486" w:type="dxa"/>
            <w:tcBorders>
              <w:top w:val="single" w:color="auto" w:sz="4" w:space="0"/>
              <w:left w:val="single" w:color="auto" w:sz="4" w:space="0"/>
              <w:bottom w:val="single" w:color="auto" w:sz="4" w:space="0"/>
              <w:right w:val="single" w:color="auto" w:sz="4" w:space="0"/>
            </w:tcBorders>
            <w:vAlign w:val="center"/>
          </w:tcPr>
          <w:p w14:paraId="5AB40137">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0B56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2470" w:type="dxa"/>
            <w:tcBorders>
              <w:top w:val="single" w:color="auto" w:sz="4" w:space="0"/>
              <w:left w:val="single" w:color="auto" w:sz="4" w:space="0"/>
              <w:bottom w:val="single" w:color="auto" w:sz="4" w:space="0"/>
              <w:right w:val="single" w:color="auto" w:sz="4" w:space="0"/>
            </w:tcBorders>
            <w:vAlign w:val="center"/>
          </w:tcPr>
          <w:p w14:paraId="47F8BCB6">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2316" w:type="dxa"/>
            <w:tcBorders>
              <w:top w:val="single" w:color="auto" w:sz="4" w:space="0"/>
              <w:left w:val="single" w:color="auto" w:sz="4" w:space="0"/>
              <w:bottom w:val="single" w:color="auto" w:sz="4" w:space="0"/>
              <w:right w:val="single" w:color="auto" w:sz="4" w:space="0"/>
            </w:tcBorders>
            <w:vAlign w:val="center"/>
          </w:tcPr>
          <w:p w14:paraId="75084A8B">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66A98377">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CE96CE0">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86" w:type="dxa"/>
            <w:tcBorders>
              <w:top w:val="single" w:color="auto" w:sz="4" w:space="0"/>
              <w:left w:val="single" w:color="auto" w:sz="4" w:space="0"/>
              <w:bottom w:val="single" w:color="auto" w:sz="4" w:space="0"/>
              <w:right w:val="single" w:color="auto" w:sz="4" w:space="0"/>
            </w:tcBorders>
            <w:vAlign w:val="center"/>
          </w:tcPr>
          <w:p w14:paraId="50F030EB">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r>
      <w:tr w14:paraId="0D68F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470" w:type="dxa"/>
            <w:tcBorders>
              <w:top w:val="single" w:color="auto" w:sz="4" w:space="0"/>
              <w:left w:val="single" w:color="auto" w:sz="4" w:space="0"/>
              <w:bottom w:val="single" w:color="auto" w:sz="4" w:space="0"/>
              <w:right w:val="single" w:color="auto" w:sz="4" w:space="0"/>
            </w:tcBorders>
            <w:vAlign w:val="center"/>
          </w:tcPr>
          <w:p w14:paraId="6FE8B13A">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2316" w:type="dxa"/>
            <w:tcBorders>
              <w:top w:val="single" w:color="auto" w:sz="4" w:space="0"/>
              <w:left w:val="single" w:color="auto" w:sz="4" w:space="0"/>
              <w:bottom w:val="single" w:color="auto" w:sz="4" w:space="0"/>
              <w:right w:val="single" w:color="auto" w:sz="4" w:space="0"/>
            </w:tcBorders>
            <w:vAlign w:val="center"/>
          </w:tcPr>
          <w:p w14:paraId="3888E858">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6D0378D8">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54F07D21">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86" w:type="dxa"/>
            <w:tcBorders>
              <w:top w:val="single" w:color="auto" w:sz="4" w:space="0"/>
              <w:left w:val="single" w:color="auto" w:sz="4" w:space="0"/>
              <w:bottom w:val="single" w:color="auto" w:sz="4" w:space="0"/>
              <w:right w:val="single" w:color="auto" w:sz="4" w:space="0"/>
            </w:tcBorders>
            <w:vAlign w:val="center"/>
          </w:tcPr>
          <w:p w14:paraId="0350F578">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r>
      <w:tr w14:paraId="60D99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470" w:type="dxa"/>
            <w:tcBorders>
              <w:top w:val="single" w:color="auto" w:sz="4" w:space="0"/>
              <w:left w:val="single" w:color="auto" w:sz="4" w:space="0"/>
              <w:bottom w:val="single" w:color="auto" w:sz="4" w:space="0"/>
              <w:right w:val="single" w:color="auto" w:sz="4" w:space="0"/>
            </w:tcBorders>
            <w:vAlign w:val="center"/>
          </w:tcPr>
          <w:p w14:paraId="18035C6A">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2316" w:type="dxa"/>
            <w:tcBorders>
              <w:top w:val="single" w:color="auto" w:sz="4" w:space="0"/>
              <w:left w:val="single" w:color="auto" w:sz="4" w:space="0"/>
              <w:bottom w:val="single" w:color="auto" w:sz="4" w:space="0"/>
              <w:right w:val="single" w:color="auto" w:sz="4" w:space="0"/>
            </w:tcBorders>
            <w:vAlign w:val="center"/>
          </w:tcPr>
          <w:p w14:paraId="3D27345F">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6C2DE794">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FA4A636">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86" w:type="dxa"/>
            <w:tcBorders>
              <w:top w:val="single" w:color="auto" w:sz="4" w:space="0"/>
              <w:left w:val="single" w:color="auto" w:sz="4" w:space="0"/>
              <w:bottom w:val="single" w:color="auto" w:sz="4" w:space="0"/>
              <w:right w:val="single" w:color="auto" w:sz="4" w:space="0"/>
            </w:tcBorders>
            <w:vAlign w:val="center"/>
          </w:tcPr>
          <w:p w14:paraId="2A8E8408">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r>
      <w:tr w14:paraId="4522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2470" w:type="dxa"/>
            <w:tcBorders>
              <w:top w:val="single" w:color="auto" w:sz="4" w:space="0"/>
              <w:left w:val="single" w:color="auto" w:sz="4" w:space="0"/>
              <w:bottom w:val="single" w:color="auto" w:sz="4" w:space="0"/>
              <w:right w:val="single" w:color="auto" w:sz="4" w:space="0"/>
            </w:tcBorders>
            <w:vAlign w:val="center"/>
          </w:tcPr>
          <w:p w14:paraId="3699C5C3">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2316" w:type="dxa"/>
            <w:tcBorders>
              <w:top w:val="single" w:color="auto" w:sz="4" w:space="0"/>
              <w:left w:val="single" w:color="auto" w:sz="4" w:space="0"/>
              <w:bottom w:val="single" w:color="auto" w:sz="4" w:space="0"/>
              <w:right w:val="single" w:color="auto" w:sz="4" w:space="0"/>
            </w:tcBorders>
            <w:vAlign w:val="center"/>
          </w:tcPr>
          <w:p w14:paraId="108E7D6C">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54782DE2">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592CBCD">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86" w:type="dxa"/>
            <w:tcBorders>
              <w:top w:val="single" w:color="auto" w:sz="4" w:space="0"/>
              <w:left w:val="single" w:color="auto" w:sz="4" w:space="0"/>
              <w:bottom w:val="single" w:color="auto" w:sz="4" w:space="0"/>
              <w:right w:val="single" w:color="auto" w:sz="4" w:space="0"/>
            </w:tcBorders>
            <w:vAlign w:val="center"/>
          </w:tcPr>
          <w:p w14:paraId="51815B09">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r>
      <w:tr w14:paraId="202E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470" w:type="dxa"/>
            <w:tcBorders>
              <w:top w:val="single" w:color="auto" w:sz="4" w:space="0"/>
              <w:left w:val="single" w:color="auto" w:sz="4" w:space="0"/>
              <w:bottom w:val="single" w:color="auto" w:sz="4" w:space="0"/>
              <w:right w:val="single" w:color="auto" w:sz="4" w:space="0"/>
            </w:tcBorders>
            <w:vAlign w:val="center"/>
          </w:tcPr>
          <w:p w14:paraId="6CAE3F76">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2316" w:type="dxa"/>
            <w:tcBorders>
              <w:top w:val="single" w:color="auto" w:sz="4" w:space="0"/>
              <w:left w:val="single" w:color="auto" w:sz="4" w:space="0"/>
              <w:bottom w:val="single" w:color="auto" w:sz="4" w:space="0"/>
              <w:right w:val="single" w:color="auto" w:sz="4" w:space="0"/>
            </w:tcBorders>
            <w:vAlign w:val="center"/>
          </w:tcPr>
          <w:p w14:paraId="0A3181D5">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56E27BBB">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78412B2">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c>
          <w:tcPr>
            <w:tcW w:w="1486" w:type="dxa"/>
            <w:tcBorders>
              <w:top w:val="single" w:color="auto" w:sz="4" w:space="0"/>
              <w:left w:val="single" w:color="auto" w:sz="4" w:space="0"/>
              <w:bottom w:val="single" w:color="auto" w:sz="4" w:space="0"/>
              <w:right w:val="single" w:color="auto" w:sz="4" w:space="0"/>
            </w:tcBorders>
            <w:vAlign w:val="center"/>
          </w:tcPr>
          <w:p w14:paraId="198A676D">
            <w:pPr>
              <w:pStyle w:val="139"/>
              <w:pageBreakBefore w:val="0"/>
              <w:widowControl w:val="0"/>
              <w:wordWrap/>
              <w:overflowPunct/>
              <w:topLinePunct w:val="0"/>
              <w:bidi w:val="0"/>
              <w:spacing w:line="360" w:lineRule="auto"/>
              <w:ind w:firstLine="0" w:firstLineChars="0"/>
              <w:jc w:val="center"/>
              <w:rPr>
                <w:rFonts w:hint="eastAsia" w:ascii="仿宋" w:hAnsi="仿宋" w:eastAsia="仿宋" w:cs="仿宋"/>
                <w:color w:val="auto"/>
                <w:sz w:val="24"/>
                <w:szCs w:val="24"/>
                <w:highlight w:val="none"/>
              </w:rPr>
            </w:pPr>
          </w:p>
        </w:tc>
      </w:tr>
    </w:tbl>
    <w:p w14:paraId="6C260CB5">
      <w:pPr>
        <w:pStyle w:val="139"/>
        <w:pageBreakBefore w:val="0"/>
        <w:wordWrap/>
        <w:overflowPunct/>
        <w:topLinePunct w:val="0"/>
        <w:bidi w:val="0"/>
        <w:spacing w:line="360" w:lineRule="auto"/>
        <w:ind w:firstLine="0" w:firstLineChars="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注：附证明文件（提供</w:t>
      </w:r>
      <w:r>
        <w:rPr>
          <w:rFonts w:hint="eastAsia" w:ascii="仿宋" w:hAnsi="仿宋" w:eastAsia="仿宋" w:cs="仿宋"/>
          <w:b/>
          <w:color w:val="auto"/>
          <w:sz w:val="24"/>
          <w:szCs w:val="24"/>
          <w:highlight w:val="none"/>
          <w:lang w:eastAsia="zh-CN"/>
        </w:rPr>
        <w:t>成交（</w:t>
      </w:r>
      <w:r>
        <w:rPr>
          <w:rFonts w:hint="eastAsia" w:ascii="仿宋" w:hAnsi="仿宋" w:eastAsia="仿宋" w:cs="仿宋"/>
          <w:b/>
          <w:color w:val="auto"/>
          <w:sz w:val="24"/>
          <w:szCs w:val="24"/>
          <w:highlight w:val="none"/>
          <w:lang w:val="en-US" w:eastAsia="zh-CN"/>
        </w:rPr>
        <w:t>中标</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通知书或合同或成果报告的扫描件或复印件并加盖公章）。</w:t>
      </w:r>
    </w:p>
    <w:p w14:paraId="271352B6">
      <w:pPr>
        <w:pageBreakBefore w:val="0"/>
        <w:wordWrap/>
        <w:overflowPunct/>
        <w:topLinePunct w:val="0"/>
        <w:bidi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38E346A1">
      <w:pPr>
        <w:pStyle w:val="139"/>
        <w:pageBreakBefore w:val="0"/>
        <w:wordWrap/>
        <w:overflowPunct/>
        <w:topLinePunct w:val="0"/>
        <w:bidi w:val="0"/>
        <w:spacing w:line="360" w:lineRule="auto"/>
        <w:ind w:firstLine="0" w:firstLineChars="0"/>
        <w:rPr>
          <w:rFonts w:hint="eastAsia" w:ascii="仿宋" w:hAnsi="仿宋" w:eastAsia="仿宋" w:cs="仿宋"/>
          <w:b/>
          <w:color w:val="auto"/>
          <w:sz w:val="24"/>
          <w:szCs w:val="24"/>
          <w:highlight w:val="none"/>
        </w:rPr>
      </w:pPr>
    </w:p>
    <w:p w14:paraId="37320C3E">
      <w:pPr>
        <w:pStyle w:val="4"/>
        <w:pageBreakBefore w:val="0"/>
        <w:wordWrap/>
        <w:overflowPunct/>
        <w:topLinePunct w:val="0"/>
        <w:bidi w:val="0"/>
        <w:spacing w:before="0" w:after="0" w:line="360" w:lineRule="auto"/>
        <w:ind w:left="0" w:leftChars="0" w:firstLine="0" w:firstLineChars="0"/>
        <w:jc w:val="center"/>
        <w:rPr>
          <w:rFonts w:hint="eastAsia" w:ascii="仿宋" w:hAnsi="仿宋" w:eastAsia="仿宋" w:cs="仿宋"/>
          <w:color w:val="auto"/>
          <w:highlight w:val="none"/>
        </w:rPr>
      </w:pPr>
      <w:bookmarkStart w:id="430" w:name="_Toc6471"/>
      <w:bookmarkStart w:id="431" w:name="_Toc16322"/>
      <w:r>
        <w:rPr>
          <w:rFonts w:hint="eastAsia" w:ascii="仿宋" w:hAnsi="仿宋" w:cs="仿宋"/>
          <w:color w:val="auto"/>
          <w:highlight w:val="none"/>
          <w:lang w:val="en-US" w:eastAsia="zh-CN"/>
        </w:rPr>
        <w:t>格式9.</w:t>
      </w:r>
      <w:r>
        <w:rPr>
          <w:rFonts w:hint="eastAsia" w:ascii="仿宋" w:hAnsi="仿宋" w:eastAsia="仿宋" w:cs="仿宋"/>
          <w:color w:val="auto"/>
          <w:highlight w:val="none"/>
        </w:rPr>
        <w:t>磋商文件要求的其他资料或供应商认为需要提供的其他资料</w:t>
      </w:r>
      <w:bookmarkEnd w:id="430"/>
      <w:bookmarkEnd w:id="431"/>
    </w:p>
    <w:p w14:paraId="0402E2F5">
      <w:pPr>
        <w:keepNext/>
        <w:keepLines/>
        <w:spacing w:before="60" w:after="60" w:line="360" w:lineRule="auto"/>
        <w:ind w:firstLine="480" w:firstLineChars="200"/>
        <w:outlineLvl w:val="2"/>
        <w:rPr>
          <w:rFonts w:ascii="仿宋" w:hAnsi="仿宋" w:eastAsia="仿宋" w:cs="仿宋"/>
          <w:b/>
          <w:color w:val="auto"/>
          <w:highlight w:val="none"/>
        </w:rPr>
      </w:pPr>
      <w:r>
        <w:rPr>
          <w:rFonts w:hint="eastAsia" w:ascii="仿宋" w:hAnsi="仿宋" w:eastAsia="仿宋" w:cs="仿宋"/>
          <w:color w:val="auto"/>
          <w:highlight w:val="none"/>
        </w:rPr>
        <w:br w:type="page"/>
      </w:r>
      <w:r>
        <w:rPr>
          <w:rFonts w:hint="eastAsia" w:ascii="仿宋" w:hAnsi="仿宋" w:eastAsia="仿宋" w:cs="仿宋"/>
          <w:b/>
          <w:color w:val="auto"/>
          <w:highlight w:val="none"/>
        </w:rPr>
        <w:t>格式</w:t>
      </w:r>
      <w:r>
        <w:rPr>
          <w:rFonts w:hint="eastAsia" w:ascii="仿宋" w:hAnsi="仿宋" w:cs="仿宋"/>
          <w:b/>
          <w:color w:val="auto"/>
          <w:highlight w:val="none"/>
          <w:lang w:val="en-US" w:eastAsia="zh-CN"/>
        </w:rPr>
        <w:t>10</w:t>
      </w:r>
      <w:r>
        <w:rPr>
          <w:rFonts w:hint="eastAsia" w:ascii="仿宋" w:hAnsi="仿宋" w:eastAsia="仿宋" w:cs="仿宋"/>
          <w:b/>
          <w:color w:val="auto"/>
          <w:highlight w:val="none"/>
        </w:rPr>
        <w:t>、中小企业声明函</w:t>
      </w:r>
    </w:p>
    <w:p w14:paraId="7C8A8A4C">
      <w:pPr>
        <w:spacing w:line="360" w:lineRule="auto"/>
        <w:ind w:firstLine="482" w:firstLineChars="200"/>
        <w:rPr>
          <w:rFonts w:ascii="仿宋" w:hAnsi="仿宋" w:eastAsia="仿宋" w:cs="仿宋"/>
          <w:b/>
          <w:bCs/>
          <w:color w:val="auto"/>
          <w:highlight w:val="none"/>
        </w:rPr>
      </w:pPr>
    </w:p>
    <w:p w14:paraId="6D15BF19">
      <w:pPr>
        <w:spacing w:line="480" w:lineRule="auto"/>
        <w:ind w:firstLine="506" w:firstLineChars="200"/>
        <w:jc w:val="center"/>
        <w:rPr>
          <w:rFonts w:ascii="仿宋" w:hAnsi="仿宋" w:eastAsia="仿宋" w:cs="仿宋"/>
          <w:b/>
          <w:bCs/>
          <w:color w:val="auto"/>
          <w:spacing w:val="6"/>
          <w:highlight w:val="none"/>
        </w:rPr>
      </w:pPr>
      <w:r>
        <w:rPr>
          <w:rFonts w:hint="eastAsia" w:ascii="仿宋" w:hAnsi="仿宋" w:eastAsia="仿宋" w:cs="仿宋"/>
          <w:b/>
          <w:bCs/>
          <w:color w:val="auto"/>
          <w:spacing w:val="6"/>
          <w:highlight w:val="none"/>
        </w:rPr>
        <w:t>中小企业声明函</w:t>
      </w:r>
    </w:p>
    <w:p w14:paraId="6DCB5955">
      <w:pPr>
        <w:snapToGrid w:val="0"/>
        <w:spacing w:line="480" w:lineRule="auto"/>
        <w:ind w:firstLine="504" w:firstLineChars="200"/>
        <w:rPr>
          <w:rFonts w:ascii="仿宋" w:hAnsi="仿宋" w:eastAsia="仿宋" w:cs="仿宋"/>
          <w:bCs/>
          <w:color w:val="auto"/>
          <w:highlight w:val="none"/>
        </w:rPr>
      </w:pPr>
      <w:r>
        <w:rPr>
          <w:rFonts w:hint="eastAsia" w:ascii="仿宋" w:hAnsi="仿宋" w:eastAsia="仿宋" w:cs="仿宋"/>
          <w:color w:val="auto"/>
          <w:spacing w:val="6"/>
          <w:highlight w:val="none"/>
        </w:rPr>
        <w:t>本公司郑重声明，根据《政府采购促进中小企业发展管理办法》（财库﹝2020﹞46号）的规定，本公司参加</w:t>
      </w:r>
      <w:r>
        <w:rPr>
          <w:rFonts w:hint="eastAsia" w:ascii="仿宋" w:hAnsi="仿宋" w:eastAsia="仿宋" w:cs="仿宋"/>
          <w:color w:val="auto"/>
          <w:spacing w:val="6"/>
          <w:highlight w:val="none"/>
          <w:u w:val="single"/>
        </w:rPr>
        <w:t>（单位名称）</w:t>
      </w:r>
      <w:r>
        <w:rPr>
          <w:rFonts w:hint="eastAsia" w:ascii="仿宋" w:hAnsi="仿宋" w:eastAsia="仿宋" w:cs="仿宋"/>
          <w:color w:val="auto"/>
          <w:spacing w:val="6"/>
          <w:highlight w:val="none"/>
        </w:rPr>
        <w:t>的</w:t>
      </w:r>
      <w:r>
        <w:rPr>
          <w:rFonts w:hint="eastAsia" w:ascii="仿宋" w:hAnsi="仿宋" w:eastAsia="仿宋" w:cs="仿宋"/>
          <w:color w:val="auto"/>
          <w:spacing w:val="6"/>
          <w:highlight w:val="none"/>
          <w:u w:val="single"/>
        </w:rPr>
        <w:t>（项目名称）</w:t>
      </w:r>
      <w:r>
        <w:rPr>
          <w:rFonts w:hint="eastAsia" w:ascii="仿宋" w:hAnsi="仿宋" w:eastAsia="仿宋" w:cs="仿宋"/>
          <w:color w:val="auto"/>
          <w:spacing w:val="6"/>
          <w:highlight w:val="none"/>
        </w:rPr>
        <w:t>采购活动，</w:t>
      </w:r>
      <w:r>
        <w:rPr>
          <w:rFonts w:hint="eastAsia" w:ascii="仿宋" w:hAnsi="仿宋" w:eastAsia="仿宋" w:cs="仿宋"/>
          <w:bCs/>
          <w:color w:val="auto"/>
          <w:highlight w:val="none"/>
        </w:rPr>
        <w:t>提供的货物全部由符合政策要求的中小企业制造。相关企业的具体情况如下：</w:t>
      </w:r>
    </w:p>
    <w:p w14:paraId="590237C5">
      <w:pPr>
        <w:snapToGrid w:val="0"/>
        <w:spacing w:line="480" w:lineRule="auto"/>
        <w:ind w:firstLine="480" w:firstLineChars="200"/>
        <w:rPr>
          <w:rFonts w:ascii="仿宋" w:hAnsi="仿宋" w:eastAsia="仿宋" w:cs="仿宋"/>
          <w:bCs/>
          <w:color w:val="auto"/>
          <w:highlight w:val="none"/>
          <w:u w:val="single"/>
        </w:rPr>
      </w:pPr>
      <w:r>
        <w:rPr>
          <w:rFonts w:hint="eastAsia" w:ascii="仿宋" w:hAnsi="仿宋" w:eastAsia="仿宋" w:cs="仿宋"/>
          <w:bCs/>
          <w:color w:val="auto"/>
          <w:highlight w:val="none"/>
        </w:rPr>
        <w:t>1.</w:t>
      </w:r>
      <w:r>
        <w:rPr>
          <w:rFonts w:hint="eastAsia" w:ascii="仿宋" w:hAnsi="仿宋" w:eastAsia="仿宋" w:cs="仿宋"/>
          <w:bCs/>
          <w:color w:val="auto"/>
          <w:highlight w:val="none"/>
          <w:u w:val="single"/>
        </w:rPr>
        <w:t>（标的名称）</w:t>
      </w:r>
      <w:r>
        <w:rPr>
          <w:rFonts w:hint="eastAsia" w:ascii="仿宋" w:hAnsi="仿宋" w:eastAsia="仿宋" w:cs="仿宋"/>
          <w:bCs/>
          <w:color w:val="auto"/>
          <w:highlight w:val="none"/>
        </w:rPr>
        <w:t>，属于</w:t>
      </w:r>
      <w:r>
        <w:rPr>
          <w:rFonts w:hint="eastAsia" w:ascii="仿宋" w:hAnsi="仿宋" w:eastAsia="仿宋" w:cs="仿宋"/>
          <w:bCs/>
          <w:color w:val="auto"/>
          <w:highlight w:val="none"/>
          <w:u w:val="single"/>
        </w:rPr>
        <w:t>（采购文件中明确的所属行业）</w:t>
      </w:r>
      <w:r>
        <w:rPr>
          <w:rFonts w:hint="eastAsia" w:ascii="仿宋" w:hAnsi="仿宋" w:eastAsia="仿宋" w:cs="仿宋"/>
          <w:bCs/>
          <w:color w:val="auto"/>
          <w:highlight w:val="none"/>
        </w:rPr>
        <w:t>行业；制造商为</w:t>
      </w:r>
      <w:r>
        <w:rPr>
          <w:rFonts w:hint="eastAsia" w:ascii="仿宋" w:hAnsi="仿宋" w:eastAsia="仿宋" w:cs="仿宋"/>
          <w:bCs/>
          <w:color w:val="auto"/>
          <w:highlight w:val="none"/>
          <w:u w:val="single"/>
        </w:rPr>
        <w:t>（企业名称）</w:t>
      </w:r>
      <w:r>
        <w:rPr>
          <w:rFonts w:hint="eastAsia" w:ascii="仿宋" w:hAnsi="仿宋" w:eastAsia="仿宋" w:cs="仿宋"/>
          <w:bCs/>
          <w:color w:val="auto"/>
          <w:highlight w:val="none"/>
        </w:rPr>
        <w:t>，从业人员人人，营业收入为万元，资产总额为万元，属于</w:t>
      </w:r>
      <w:r>
        <w:rPr>
          <w:rFonts w:hint="eastAsia" w:ascii="仿宋" w:hAnsi="仿宋" w:eastAsia="仿宋" w:cs="仿宋"/>
          <w:bCs/>
          <w:color w:val="auto"/>
          <w:highlight w:val="none"/>
          <w:u w:val="single"/>
        </w:rPr>
        <w:t>（中型企业、小型企业、微型企业）</w:t>
      </w:r>
      <w:r>
        <w:rPr>
          <w:rFonts w:hint="eastAsia" w:ascii="仿宋" w:hAnsi="仿宋" w:eastAsia="仿宋" w:cs="仿宋"/>
          <w:bCs/>
          <w:color w:val="auto"/>
          <w:highlight w:val="none"/>
        </w:rPr>
        <w:t>；</w:t>
      </w:r>
    </w:p>
    <w:p w14:paraId="122BC41D">
      <w:pPr>
        <w:spacing w:line="480" w:lineRule="auto"/>
        <w:ind w:firstLine="480" w:firstLineChars="200"/>
        <w:rPr>
          <w:rFonts w:ascii="仿宋" w:hAnsi="仿宋" w:eastAsia="仿宋" w:cs="仿宋"/>
          <w:color w:val="auto"/>
          <w:spacing w:val="6"/>
          <w:highlight w:val="none"/>
        </w:rPr>
      </w:pPr>
      <w:r>
        <w:rPr>
          <w:rFonts w:hint="eastAsia" w:ascii="仿宋" w:hAnsi="仿宋" w:eastAsia="仿宋" w:cs="仿宋"/>
          <w:bCs/>
          <w:color w:val="auto"/>
          <w:highlight w:val="none"/>
        </w:rPr>
        <w:t>2.</w:t>
      </w:r>
      <w:r>
        <w:rPr>
          <w:rFonts w:hint="eastAsia" w:ascii="仿宋" w:hAnsi="仿宋" w:eastAsia="仿宋" w:cs="仿宋"/>
          <w:bCs/>
          <w:color w:val="auto"/>
          <w:highlight w:val="none"/>
          <w:u w:val="single"/>
        </w:rPr>
        <w:t>（标的名称）</w:t>
      </w:r>
      <w:r>
        <w:rPr>
          <w:rFonts w:hint="eastAsia" w:ascii="仿宋" w:hAnsi="仿宋" w:eastAsia="仿宋" w:cs="仿宋"/>
          <w:bCs/>
          <w:color w:val="auto"/>
          <w:highlight w:val="none"/>
        </w:rPr>
        <w:t>，属于</w:t>
      </w:r>
      <w:r>
        <w:rPr>
          <w:rFonts w:hint="eastAsia" w:ascii="仿宋" w:hAnsi="仿宋" w:eastAsia="仿宋" w:cs="仿宋"/>
          <w:bCs/>
          <w:color w:val="auto"/>
          <w:highlight w:val="none"/>
          <w:u w:val="single"/>
        </w:rPr>
        <w:t>（采购文件中明确的所属行业）</w:t>
      </w:r>
      <w:r>
        <w:rPr>
          <w:rFonts w:hint="eastAsia" w:ascii="仿宋" w:hAnsi="仿宋" w:eastAsia="仿宋" w:cs="仿宋"/>
          <w:bCs/>
          <w:color w:val="auto"/>
          <w:highlight w:val="none"/>
        </w:rPr>
        <w:t>行业；制造商为</w:t>
      </w:r>
      <w:r>
        <w:rPr>
          <w:rFonts w:hint="eastAsia" w:ascii="仿宋" w:hAnsi="仿宋" w:eastAsia="仿宋" w:cs="仿宋"/>
          <w:bCs/>
          <w:color w:val="auto"/>
          <w:highlight w:val="none"/>
          <w:u w:val="single"/>
        </w:rPr>
        <w:t>（企业名称）</w:t>
      </w:r>
      <w:r>
        <w:rPr>
          <w:rFonts w:hint="eastAsia" w:ascii="仿宋" w:hAnsi="仿宋" w:eastAsia="仿宋" w:cs="仿宋"/>
          <w:bCs/>
          <w:color w:val="auto"/>
          <w:highlight w:val="none"/>
        </w:rPr>
        <w:t>，从业人员人，营业收入为万元，资产总额为万元，属于</w:t>
      </w:r>
      <w:r>
        <w:rPr>
          <w:rFonts w:hint="eastAsia" w:ascii="仿宋" w:hAnsi="仿宋" w:eastAsia="仿宋" w:cs="仿宋"/>
          <w:bCs/>
          <w:color w:val="auto"/>
          <w:highlight w:val="none"/>
          <w:u w:val="single"/>
        </w:rPr>
        <w:t>（中型企业、小型企业、微型企业）</w:t>
      </w:r>
      <w:r>
        <w:rPr>
          <w:rFonts w:hint="eastAsia" w:ascii="仿宋" w:hAnsi="仿宋" w:eastAsia="仿宋" w:cs="仿宋"/>
          <w:bCs/>
          <w:color w:val="auto"/>
          <w:highlight w:val="none"/>
        </w:rPr>
        <w:t>；</w:t>
      </w:r>
    </w:p>
    <w:p w14:paraId="1C44C9AC">
      <w:pPr>
        <w:spacing w:line="360" w:lineRule="auto"/>
        <w:ind w:firstLine="504" w:firstLineChars="200"/>
        <w:rPr>
          <w:rFonts w:ascii="仿宋" w:hAnsi="仿宋" w:eastAsia="仿宋" w:cs="仿宋"/>
          <w:color w:val="auto"/>
          <w:spacing w:val="6"/>
          <w:highlight w:val="none"/>
        </w:rPr>
      </w:pPr>
      <w:r>
        <w:rPr>
          <w:rFonts w:hint="eastAsia" w:ascii="仿宋" w:hAnsi="仿宋" w:eastAsia="仿宋" w:cs="仿宋"/>
          <w:color w:val="auto"/>
          <w:spacing w:val="6"/>
          <w:highlight w:val="none"/>
        </w:rPr>
        <w:t>……</w:t>
      </w:r>
    </w:p>
    <w:p w14:paraId="353B3C00">
      <w:pPr>
        <w:spacing w:line="360" w:lineRule="auto"/>
        <w:ind w:firstLine="504" w:firstLineChars="200"/>
        <w:rPr>
          <w:rFonts w:ascii="仿宋" w:hAnsi="仿宋" w:eastAsia="仿宋" w:cs="仿宋"/>
          <w:color w:val="auto"/>
          <w:spacing w:val="6"/>
          <w:szCs w:val="22"/>
          <w:highlight w:val="none"/>
        </w:rPr>
      </w:pPr>
      <w:r>
        <w:rPr>
          <w:rFonts w:hint="eastAsia" w:ascii="仿宋" w:hAnsi="仿宋" w:eastAsia="仿宋" w:cs="仿宋"/>
          <w:color w:val="auto"/>
          <w:spacing w:val="6"/>
          <w:szCs w:val="22"/>
          <w:highlight w:val="none"/>
        </w:rPr>
        <w:t>以上企业，不属于大企业的分支机构，不存在控股股东为大企业的情形，也不存在与大企业的负责人为同一人的情形。</w:t>
      </w:r>
    </w:p>
    <w:p w14:paraId="5D6E266E">
      <w:pPr>
        <w:spacing w:line="360" w:lineRule="auto"/>
        <w:ind w:firstLine="504" w:firstLineChars="200"/>
        <w:rPr>
          <w:rFonts w:ascii="仿宋" w:hAnsi="仿宋" w:eastAsia="仿宋" w:cs="仿宋"/>
          <w:color w:val="auto"/>
          <w:highlight w:val="none"/>
        </w:rPr>
      </w:pPr>
      <w:r>
        <w:rPr>
          <w:rFonts w:hint="eastAsia" w:ascii="仿宋" w:hAnsi="仿宋" w:eastAsia="仿宋" w:cs="仿宋"/>
          <w:color w:val="auto"/>
          <w:spacing w:val="6"/>
          <w:highlight w:val="none"/>
        </w:rPr>
        <w:t>本企业对上述声明内容的真实性负责。如有虚假，将依法承担相应责任。</w:t>
      </w:r>
    </w:p>
    <w:p w14:paraId="738F4236">
      <w:pPr>
        <w:spacing w:line="360" w:lineRule="auto"/>
        <w:ind w:firstLine="480" w:firstLineChars="200"/>
        <w:rPr>
          <w:rFonts w:ascii="仿宋" w:hAnsi="仿宋" w:eastAsia="仿宋" w:cs="仿宋"/>
          <w:color w:val="auto"/>
          <w:highlight w:val="none"/>
        </w:rPr>
      </w:pPr>
    </w:p>
    <w:p w14:paraId="0F7EB47C">
      <w:pPr>
        <w:spacing w:line="360" w:lineRule="auto"/>
        <w:ind w:firstLine="480" w:firstLineChars="200"/>
        <w:rPr>
          <w:rFonts w:ascii="仿宋" w:hAnsi="仿宋" w:eastAsia="仿宋" w:cs="仿宋"/>
          <w:color w:val="auto"/>
          <w:highlight w:val="none"/>
          <w:u w:val="single"/>
        </w:rPr>
      </w:pPr>
      <w:r>
        <w:rPr>
          <w:rFonts w:hint="eastAsia" w:ascii="仿宋" w:hAnsi="仿宋" w:cs="仿宋"/>
          <w:color w:val="auto"/>
          <w:highlight w:val="none"/>
          <w:lang w:eastAsia="zh-CN"/>
        </w:rPr>
        <w:t>供应商</w:t>
      </w:r>
      <w:r>
        <w:rPr>
          <w:rFonts w:hint="eastAsia" w:ascii="仿宋" w:hAnsi="仿宋" w:eastAsia="仿宋" w:cs="仿宋"/>
          <w:color w:val="auto"/>
          <w:highlight w:val="none"/>
        </w:rPr>
        <w:t>（单位电子公章）：</w:t>
      </w:r>
    </w:p>
    <w:p w14:paraId="2B1D3C8F">
      <w:pPr>
        <w:ind w:firstLine="480" w:firstLineChars="200"/>
        <w:rPr>
          <w:rFonts w:ascii="仿宋" w:hAnsi="仿宋" w:eastAsia="仿宋" w:cs="仿宋"/>
          <w:b/>
          <w:bCs/>
          <w:color w:val="auto"/>
          <w:highlight w:val="none"/>
        </w:rPr>
      </w:pPr>
      <w:r>
        <w:rPr>
          <w:rFonts w:hint="eastAsia" w:ascii="仿宋" w:hAnsi="仿宋" w:eastAsia="仿宋" w:cs="仿宋"/>
          <w:color w:val="auto"/>
          <w:highlight w:val="none"/>
        </w:rPr>
        <w:t>日期：年月日</w:t>
      </w:r>
    </w:p>
    <w:p w14:paraId="6B7DBD2E">
      <w:pPr>
        <w:spacing w:line="360" w:lineRule="auto"/>
        <w:rPr>
          <w:rFonts w:ascii="仿宋" w:hAnsi="仿宋" w:eastAsia="仿宋" w:cs="仿宋"/>
          <w:b/>
          <w:bCs/>
          <w:color w:val="auto"/>
          <w:highlight w:val="none"/>
        </w:rPr>
      </w:pPr>
    </w:p>
    <w:p w14:paraId="57D50234">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注：1、从业人员、营业收入、资产总额填报上一年度数据，无上一年度数据的新成立企业可不填报</w:t>
      </w:r>
    </w:p>
    <w:p w14:paraId="3F8EC4BF">
      <w:pP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lang w:eastAsia="zh-CN"/>
        </w:rPr>
        <w:t>2.</w:t>
      </w:r>
      <w:r>
        <w:rPr>
          <w:rFonts w:hint="eastAsia" w:ascii="仿宋" w:hAnsi="仿宋" w:eastAsia="仿宋" w:cs="仿宋"/>
          <w:b/>
          <w:bCs/>
          <w:color w:val="auto"/>
          <w:highlight w:val="none"/>
        </w:rPr>
        <w:t>本项目属于“</w:t>
      </w:r>
      <w:r>
        <w:rPr>
          <w:rFonts w:hint="eastAsia" w:ascii="仿宋" w:hAnsi="仿宋" w:cs="仿宋"/>
          <w:b/>
          <w:color w:val="auto"/>
          <w:sz w:val="24"/>
          <w:szCs w:val="24"/>
          <w:highlight w:val="none"/>
          <w:u w:val="single"/>
          <w:lang w:val="en-US" w:eastAsia="zh-CN"/>
        </w:rPr>
        <w:t>商务服务业</w:t>
      </w:r>
      <w:r>
        <w:rPr>
          <w:rFonts w:hint="eastAsia" w:ascii="仿宋" w:hAnsi="仿宋" w:eastAsia="仿宋" w:cs="仿宋"/>
          <w:b/>
          <w:color w:val="auto"/>
          <w:highlight w:val="none"/>
        </w:rPr>
        <w:t>”</w:t>
      </w:r>
    </w:p>
    <w:p w14:paraId="3F9889F5">
      <w:pPr>
        <w:spacing w:line="360" w:lineRule="auto"/>
        <w:ind w:firstLine="482" w:firstLineChars="200"/>
        <w:rPr>
          <w:rFonts w:ascii="仿宋" w:hAnsi="仿宋" w:eastAsia="仿宋" w:cs="仿宋"/>
          <w:color w:val="auto"/>
          <w:szCs w:val="21"/>
          <w:highlight w:val="none"/>
        </w:rPr>
        <w:sectPr>
          <w:pgSz w:w="11906" w:h="16838"/>
          <w:pgMar w:top="1134" w:right="1247" w:bottom="1134" w:left="1418" w:header="851" w:footer="992" w:gutter="0"/>
          <w:cols w:space="425" w:num="1"/>
          <w:docGrid w:linePitch="312" w:charSpace="0"/>
        </w:sectPr>
      </w:pPr>
      <w:r>
        <w:rPr>
          <w:rFonts w:hint="eastAsia" w:ascii="仿宋" w:hAnsi="仿宋" w:eastAsia="仿宋" w:cs="仿宋"/>
          <w:b/>
          <w:bCs/>
          <w:color w:val="auto"/>
          <w:highlight w:val="none"/>
        </w:rPr>
        <w:br w:type="page"/>
      </w:r>
    </w:p>
    <w:p w14:paraId="67C90221">
      <w:pPr>
        <w:keepNext/>
        <w:keepLines/>
        <w:spacing w:before="60" w:after="60" w:line="360" w:lineRule="auto"/>
        <w:ind w:firstLine="480" w:firstLineChars="200"/>
        <w:outlineLvl w:val="2"/>
        <w:rPr>
          <w:rFonts w:ascii="仿宋" w:hAnsi="仿宋" w:eastAsia="仿宋" w:cs="仿宋"/>
          <w:b/>
          <w:color w:val="auto"/>
          <w:highlight w:val="none"/>
        </w:rPr>
      </w:pPr>
      <w:r>
        <w:rPr>
          <w:rFonts w:hint="eastAsia" w:ascii="仿宋" w:hAnsi="仿宋" w:eastAsia="仿宋" w:cs="仿宋"/>
          <w:b/>
          <w:color w:val="auto"/>
          <w:highlight w:val="none"/>
        </w:rPr>
        <w:t>格式</w:t>
      </w:r>
      <w:r>
        <w:rPr>
          <w:rFonts w:hint="eastAsia" w:ascii="仿宋" w:hAnsi="仿宋" w:eastAsia="仿宋" w:cs="仿宋"/>
          <w:b/>
          <w:color w:val="auto"/>
          <w:highlight w:val="none"/>
          <w:lang w:val="en-US" w:eastAsia="zh-CN"/>
        </w:rPr>
        <w:t>1</w:t>
      </w:r>
      <w:r>
        <w:rPr>
          <w:rFonts w:hint="eastAsia" w:ascii="仿宋" w:hAnsi="仿宋" w:cs="仿宋"/>
          <w:b/>
          <w:color w:val="auto"/>
          <w:highlight w:val="none"/>
          <w:lang w:val="en-US" w:eastAsia="zh-CN"/>
        </w:rPr>
        <w:t>1</w:t>
      </w:r>
      <w:r>
        <w:rPr>
          <w:rFonts w:hint="eastAsia" w:ascii="仿宋" w:hAnsi="仿宋" w:eastAsia="仿宋" w:cs="仿宋"/>
          <w:b/>
          <w:color w:val="auto"/>
          <w:highlight w:val="none"/>
        </w:rPr>
        <w:t>、残疾人福利性单位声明函</w:t>
      </w:r>
    </w:p>
    <w:p w14:paraId="1981684D">
      <w:pPr>
        <w:tabs>
          <w:tab w:val="left" w:pos="5580"/>
        </w:tabs>
        <w:spacing w:line="360" w:lineRule="auto"/>
        <w:jc w:val="center"/>
        <w:rPr>
          <w:rFonts w:ascii="仿宋" w:hAnsi="仿宋" w:eastAsia="仿宋" w:cs="仿宋"/>
          <w:b/>
          <w:color w:val="auto"/>
          <w:sz w:val="28"/>
          <w:highlight w:val="none"/>
        </w:rPr>
      </w:pPr>
    </w:p>
    <w:p w14:paraId="083E6F07">
      <w:pPr>
        <w:tabs>
          <w:tab w:val="left" w:pos="5580"/>
        </w:tabs>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《残疾人福利性单位声明函》（原件扫描件。符合《三部门联合发布关于促进残疾人就业政府采购政策的通知》（财库〔2017〕141号）价格扣减条件的</w:t>
      </w:r>
      <w:r>
        <w:rPr>
          <w:rFonts w:hint="eastAsia" w:ascii="仿宋" w:hAnsi="仿宋" w:cs="仿宋"/>
          <w:b/>
          <w:color w:val="auto"/>
          <w:highlight w:val="none"/>
          <w:lang w:eastAsia="zh-CN"/>
        </w:rPr>
        <w:t>供应商</w:t>
      </w:r>
      <w:r>
        <w:rPr>
          <w:rFonts w:hint="eastAsia" w:ascii="仿宋" w:hAnsi="仿宋" w:eastAsia="仿宋" w:cs="仿宋"/>
          <w:b/>
          <w:color w:val="auto"/>
          <w:highlight w:val="none"/>
        </w:rPr>
        <w:t>须提交）</w:t>
      </w:r>
    </w:p>
    <w:p w14:paraId="67621583">
      <w:pPr>
        <w:rPr>
          <w:rStyle w:val="41"/>
          <w:rFonts w:ascii="仿宋" w:hAnsi="仿宋" w:eastAsia="仿宋" w:cs="仿宋"/>
          <w:color w:val="auto"/>
          <w:spacing w:val="8"/>
          <w:sz w:val="28"/>
          <w:szCs w:val="28"/>
          <w:highlight w:val="none"/>
          <w:shd w:val="clear" w:color="auto" w:fill="FCFCFC"/>
        </w:rPr>
      </w:pPr>
    </w:p>
    <w:p w14:paraId="1B6E2BC6">
      <w:pPr>
        <w:tabs>
          <w:tab w:val="left" w:pos="5580"/>
        </w:tabs>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残疾人福利性单位声明函</w:t>
      </w:r>
    </w:p>
    <w:p w14:paraId="10C5F537">
      <w:pPr>
        <w:spacing w:line="360" w:lineRule="auto"/>
        <w:ind w:firstLine="504" w:firstLineChars="200"/>
        <w:rPr>
          <w:rFonts w:ascii="仿宋" w:hAnsi="仿宋" w:eastAsia="仿宋" w:cs="仿宋"/>
          <w:color w:val="auto"/>
          <w:spacing w:val="6"/>
          <w:highlight w:val="none"/>
        </w:rPr>
      </w:pPr>
    </w:p>
    <w:p w14:paraId="54F35BEE">
      <w:pPr>
        <w:spacing w:line="360" w:lineRule="auto"/>
        <w:ind w:firstLine="504" w:firstLineChars="200"/>
        <w:rPr>
          <w:rFonts w:ascii="仿宋" w:hAnsi="仿宋" w:eastAsia="仿宋" w:cs="仿宋"/>
          <w:color w:val="auto"/>
          <w:spacing w:val="6"/>
          <w:highlight w:val="none"/>
        </w:rPr>
      </w:pPr>
      <w:r>
        <w:rPr>
          <w:rFonts w:hint="eastAsia" w:ascii="仿宋" w:hAnsi="仿宋" w:eastAsia="仿宋" w:cs="仿宋"/>
          <w:color w:val="auto"/>
          <w:spacing w:val="6"/>
          <w:highlight w:val="none"/>
        </w:rPr>
        <w:t>本单位郑重声明，根据《财政部民政部中国残疾人联合会关于促进残疾人就业政府采购政策的通知》（财库</w:t>
      </w:r>
      <w:r>
        <w:rPr>
          <w:rFonts w:hint="eastAsia" w:ascii="仿宋" w:hAnsi="仿宋" w:eastAsia="仿宋" w:cs="仿宋"/>
          <w:color w:val="auto"/>
          <w:highlight w:val="none"/>
        </w:rPr>
        <w:t>〔2017〕141</w:t>
      </w:r>
      <w:r>
        <w:rPr>
          <w:rFonts w:hint="eastAsia" w:ascii="仿宋" w:hAnsi="仿宋" w:eastAsia="仿宋" w:cs="仿宋"/>
          <w:color w:val="auto"/>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479E3E">
      <w:pPr>
        <w:spacing w:line="360" w:lineRule="auto"/>
        <w:ind w:firstLine="504" w:firstLineChars="200"/>
        <w:rPr>
          <w:rFonts w:ascii="仿宋" w:hAnsi="仿宋" w:eastAsia="仿宋" w:cs="仿宋"/>
          <w:color w:val="auto"/>
          <w:spacing w:val="6"/>
          <w:highlight w:val="none"/>
        </w:rPr>
      </w:pPr>
      <w:r>
        <w:rPr>
          <w:rFonts w:hint="eastAsia" w:ascii="仿宋" w:hAnsi="仿宋" w:eastAsia="仿宋" w:cs="仿宋"/>
          <w:color w:val="auto"/>
          <w:spacing w:val="6"/>
          <w:highlight w:val="none"/>
        </w:rPr>
        <w:t>本单位对上述声明的真实性负责。如有虚假，将依法承担相应责任。</w:t>
      </w:r>
    </w:p>
    <w:p w14:paraId="600A2147">
      <w:pPr>
        <w:tabs>
          <w:tab w:val="left" w:pos="4860"/>
        </w:tabs>
        <w:spacing w:line="360" w:lineRule="auto"/>
        <w:ind w:right="1560" w:firstLine="504" w:firstLineChars="200"/>
        <w:jc w:val="center"/>
        <w:rPr>
          <w:rFonts w:ascii="仿宋" w:hAnsi="仿宋" w:eastAsia="仿宋" w:cs="仿宋"/>
          <w:color w:val="auto"/>
          <w:spacing w:val="6"/>
          <w:highlight w:val="none"/>
        </w:rPr>
      </w:pPr>
    </w:p>
    <w:p w14:paraId="37AF2C4C">
      <w:pPr>
        <w:spacing w:line="360" w:lineRule="auto"/>
        <w:ind w:firstLine="480" w:firstLineChars="200"/>
        <w:rPr>
          <w:rFonts w:ascii="仿宋" w:hAnsi="仿宋" w:eastAsia="仿宋" w:cs="仿宋"/>
          <w:color w:val="auto"/>
          <w:highlight w:val="none"/>
          <w:u w:val="single"/>
        </w:rPr>
      </w:pPr>
      <w:r>
        <w:rPr>
          <w:rFonts w:hint="eastAsia" w:ascii="仿宋" w:hAnsi="仿宋" w:cs="仿宋"/>
          <w:color w:val="auto"/>
          <w:highlight w:val="none"/>
          <w:lang w:eastAsia="zh-CN"/>
        </w:rPr>
        <w:t>供应商</w:t>
      </w:r>
      <w:r>
        <w:rPr>
          <w:rFonts w:hint="eastAsia" w:ascii="仿宋" w:hAnsi="仿宋" w:eastAsia="仿宋" w:cs="仿宋"/>
          <w:color w:val="auto"/>
          <w:highlight w:val="none"/>
        </w:rPr>
        <w:t>（电子公章）：</w:t>
      </w:r>
      <w:r>
        <w:rPr>
          <w:rFonts w:hint="eastAsia" w:ascii="仿宋" w:hAnsi="仿宋" w:eastAsia="仿宋" w:cs="仿宋"/>
          <w:color w:val="auto"/>
          <w:highlight w:val="none"/>
          <w:u w:val="single"/>
        </w:rPr>
        <w:t xml:space="preserve">                        </w:t>
      </w:r>
    </w:p>
    <w:p w14:paraId="60FC69E2">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法定代表人或委托代理人（电子签章）：</w:t>
      </w:r>
      <w:r>
        <w:rPr>
          <w:rFonts w:hint="eastAsia" w:ascii="仿宋" w:hAnsi="仿宋" w:eastAsia="仿宋" w:cs="仿宋"/>
          <w:color w:val="auto"/>
          <w:highlight w:val="none"/>
          <w:u w:val="single"/>
        </w:rPr>
        <w:t xml:space="preserve">          </w:t>
      </w:r>
    </w:p>
    <w:p w14:paraId="505C5FBC">
      <w:pPr>
        <w:spacing w:line="360" w:lineRule="auto"/>
        <w:ind w:firstLine="480" w:firstLineChars="200"/>
        <w:rPr>
          <w:rFonts w:ascii="仿宋" w:hAnsi="仿宋" w:eastAsia="仿宋" w:cs="仿宋"/>
          <w:color w:val="auto"/>
          <w:highlight w:val="none"/>
          <w:u w:val="single"/>
        </w:rPr>
      </w:pPr>
      <w:r>
        <w:rPr>
          <w:rFonts w:hint="eastAsia" w:ascii="仿宋" w:hAnsi="仿宋" w:eastAsia="仿宋" w:cs="仿宋"/>
          <w:bCs/>
          <w:color w:val="auto"/>
          <w:highlight w:val="none"/>
        </w:rPr>
        <w:t>日期：</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年</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月</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日</w:t>
      </w:r>
    </w:p>
    <w:p w14:paraId="510DCBCA">
      <w:pPr>
        <w:tabs>
          <w:tab w:val="left" w:pos="4860"/>
        </w:tabs>
        <w:spacing w:line="360" w:lineRule="auto"/>
        <w:ind w:right="1560" w:firstLine="504" w:firstLineChars="200"/>
        <w:jc w:val="center"/>
        <w:rPr>
          <w:rFonts w:ascii="仿宋" w:hAnsi="仿宋" w:eastAsia="仿宋" w:cs="仿宋"/>
          <w:color w:val="auto"/>
          <w:spacing w:val="6"/>
          <w:highlight w:val="none"/>
        </w:rPr>
      </w:pPr>
    </w:p>
    <w:p w14:paraId="5B808B13">
      <w:pPr>
        <w:spacing w:line="360" w:lineRule="auto"/>
        <w:rPr>
          <w:rFonts w:ascii="仿宋" w:hAnsi="仿宋" w:eastAsia="仿宋" w:cs="仿宋"/>
          <w:b/>
          <w:color w:val="auto"/>
          <w:highlight w:val="none"/>
        </w:rPr>
      </w:pPr>
      <w:r>
        <w:rPr>
          <w:rFonts w:hint="eastAsia" w:ascii="仿宋" w:hAnsi="仿宋" w:eastAsia="仿宋" w:cs="仿宋"/>
          <w:b/>
          <w:color w:val="auto"/>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0AE8DB79">
      <w:pPr>
        <w:rPr>
          <w:rFonts w:ascii="仿宋" w:hAnsi="仿宋" w:eastAsia="仿宋" w:cs="仿宋"/>
          <w:color w:val="auto"/>
          <w:highlight w:val="none"/>
        </w:rPr>
      </w:pPr>
      <w:r>
        <w:rPr>
          <w:rFonts w:hint="eastAsia" w:ascii="仿宋" w:hAnsi="仿宋" w:eastAsia="仿宋" w:cs="仿宋"/>
          <w:color w:val="auto"/>
          <w:highlight w:val="none"/>
        </w:rPr>
        <w:br w:type="page"/>
      </w:r>
    </w:p>
    <w:p w14:paraId="20D48139">
      <w:pPr>
        <w:pStyle w:val="4"/>
        <w:spacing w:line="360" w:lineRule="auto"/>
        <w:ind w:firstLine="480" w:firstLineChars="200"/>
        <w:rPr>
          <w:rFonts w:ascii="仿宋" w:hAnsi="仿宋" w:cs="仿宋"/>
          <w:b/>
          <w:bCs/>
          <w:color w:val="auto"/>
          <w:szCs w:val="28"/>
          <w:highlight w:val="none"/>
        </w:rPr>
      </w:pPr>
      <w:bookmarkStart w:id="432" w:name="_Toc30172"/>
      <w:r>
        <w:rPr>
          <w:rFonts w:hint="eastAsia" w:ascii="仿宋" w:hAnsi="仿宋" w:cs="仿宋"/>
          <w:b/>
          <w:color w:val="auto"/>
          <w:sz w:val="24"/>
          <w:szCs w:val="24"/>
          <w:highlight w:val="none"/>
        </w:rPr>
        <w:t>格式</w:t>
      </w:r>
      <w:r>
        <w:rPr>
          <w:rFonts w:hint="eastAsia" w:ascii="仿宋" w:hAnsi="仿宋" w:cs="仿宋"/>
          <w:b/>
          <w:color w:val="auto"/>
          <w:sz w:val="24"/>
          <w:szCs w:val="24"/>
          <w:highlight w:val="none"/>
          <w:lang w:val="en-US" w:eastAsia="zh-CN"/>
        </w:rPr>
        <w:t>12</w:t>
      </w:r>
      <w:r>
        <w:rPr>
          <w:rFonts w:hint="eastAsia" w:ascii="仿宋" w:hAnsi="仿宋" w:cs="仿宋"/>
          <w:b/>
          <w:color w:val="auto"/>
          <w:sz w:val="24"/>
          <w:szCs w:val="24"/>
          <w:highlight w:val="none"/>
        </w:rPr>
        <w:t>、监狱企业证明文件</w:t>
      </w:r>
      <w:bookmarkEnd w:id="432"/>
    </w:p>
    <w:p w14:paraId="03C4BC0A">
      <w:pPr>
        <w:spacing w:line="360" w:lineRule="auto"/>
        <w:rPr>
          <w:rFonts w:ascii="仿宋" w:hAnsi="仿宋" w:eastAsia="仿宋" w:cs="仿宋"/>
          <w:b/>
          <w:color w:val="auto"/>
          <w:szCs w:val="21"/>
          <w:highlight w:val="none"/>
        </w:rPr>
      </w:pPr>
    </w:p>
    <w:p w14:paraId="6D108E76">
      <w:pPr>
        <w:tabs>
          <w:tab w:val="left" w:pos="5580"/>
        </w:tabs>
        <w:spacing w:line="360" w:lineRule="auto"/>
        <w:jc w:val="center"/>
        <w:rPr>
          <w:rFonts w:ascii="仿宋" w:hAnsi="仿宋" w:eastAsia="仿宋" w:cs="仿宋"/>
          <w:b/>
          <w:color w:val="auto"/>
          <w:highlight w:val="none"/>
        </w:rPr>
      </w:pPr>
      <w:r>
        <w:rPr>
          <w:rFonts w:hint="eastAsia" w:ascii="仿宋" w:hAnsi="仿宋" w:eastAsia="仿宋" w:cs="仿宋"/>
          <w:b/>
          <w:color w:val="auto"/>
          <w:highlight w:val="none"/>
        </w:rPr>
        <w:t>《监狱企业证明文件》（原件。符合《财政部司法部关于政府采购支持监狱企业发展有关问题的通知》（财库[2014]68号）价格扣减条件的</w:t>
      </w:r>
      <w:r>
        <w:rPr>
          <w:rFonts w:hint="eastAsia" w:ascii="仿宋" w:hAnsi="仿宋" w:cs="仿宋"/>
          <w:b/>
          <w:color w:val="auto"/>
          <w:highlight w:val="none"/>
          <w:lang w:eastAsia="zh-CN"/>
        </w:rPr>
        <w:t>供应商</w:t>
      </w:r>
      <w:r>
        <w:rPr>
          <w:rFonts w:hint="eastAsia" w:ascii="仿宋" w:hAnsi="仿宋" w:eastAsia="仿宋" w:cs="仿宋"/>
          <w:b/>
          <w:color w:val="auto"/>
          <w:highlight w:val="none"/>
        </w:rPr>
        <w:t>须提交）</w:t>
      </w:r>
    </w:p>
    <w:p w14:paraId="0F871B55">
      <w:pPr>
        <w:spacing w:line="360" w:lineRule="auto"/>
        <w:jc w:val="center"/>
        <w:rPr>
          <w:rFonts w:ascii="仿宋" w:hAnsi="仿宋" w:eastAsia="仿宋" w:cs="仿宋"/>
          <w:b/>
          <w:bCs/>
          <w:color w:val="auto"/>
          <w:highlight w:val="none"/>
        </w:rPr>
      </w:pPr>
      <w:r>
        <w:rPr>
          <w:rFonts w:hint="eastAsia" w:ascii="仿宋" w:hAnsi="仿宋" w:eastAsia="仿宋" w:cs="仿宋"/>
          <w:b/>
          <w:bCs/>
          <w:color w:val="auto"/>
          <w:highlight w:val="none"/>
        </w:rPr>
        <w:t>监狱企业证明文件</w:t>
      </w:r>
    </w:p>
    <w:p w14:paraId="77D9606B">
      <w:pPr>
        <w:spacing w:line="360" w:lineRule="auto"/>
        <w:ind w:firstLine="480" w:firstLineChars="200"/>
        <w:rPr>
          <w:rFonts w:ascii="仿宋" w:hAnsi="仿宋" w:eastAsia="仿宋" w:cs="仿宋"/>
          <w:color w:val="auto"/>
          <w:highlight w:val="none"/>
        </w:rPr>
      </w:pPr>
    </w:p>
    <w:p w14:paraId="7F0B9710">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8ABEE5">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监狱企业参加政府采购活动时，应当提供由省级以上监狱管理局、戒毒管理局（含新疆生产建设兵团）出具的属于监狱企业的证明文件。</w:t>
      </w:r>
    </w:p>
    <w:p w14:paraId="32B122E7">
      <w:pPr>
        <w:spacing w:line="360" w:lineRule="auto"/>
        <w:rPr>
          <w:rFonts w:ascii="仿宋" w:hAnsi="仿宋" w:eastAsia="仿宋" w:cs="仿宋"/>
          <w:b/>
          <w:color w:val="auto"/>
          <w:highlight w:val="none"/>
        </w:rPr>
      </w:pPr>
    </w:p>
    <w:p w14:paraId="5AACB2DD">
      <w:pPr>
        <w:spacing w:line="360" w:lineRule="auto"/>
        <w:rPr>
          <w:rFonts w:ascii="仿宋" w:hAnsi="仿宋" w:eastAsia="仿宋" w:cs="仿宋"/>
          <w:color w:val="auto"/>
          <w:sz w:val="28"/>
          <w:highlight w:val="none"/>
        </w:rPr>
      </w:pPr>
      <w:r>
        <w:rPr>
          <w:rFonts w:hint="eastAsia" w:ascii="仿宋" w:hAnsi="仿宋" w:eastAsia="仿宋" w:cs="仿宋"/>
          <w:b/>
          <w:color w:val="auto"/>
          <w:highlight w:val="none"/>
        </w:rPr>
        <w:t>注：符合条件的监狱企业在参加政府采购活动时，应当按《财政部司法部关于政府采购支持监狱企业发展有关问题的通知》（财库[2014]68号）提供规定的《监狱企业证明文件》，并对声明的真实性负责。</w:t>
      </w:r>
    </w:p>
    <w:p w14:paraId="16337CE1">
      <w:pPr>
        <w:spacing w:line="360" w:lineRule="auto"/>
        <w:rPr>
          <w:rFonts w:ascii="仿宋" w:hAnsi="仿宋" w:eastAsia="仿宋" w:cs="仿宋"/>
          <w:color w:val="auto"/>
          <w:highlight w:val="none"/>
        </w:rPr>
      </w:pPr>
    </w:p>
    <w:p w14:paraId="314EEC2A">
      <w:pPr>
        <w:spacing w:line="360" w:lineRule="auto"/>
        <w:ind w:firstLine="480" w:firstLineChars="200"/>
        <w:rPr>
          <w:rFonts w:ascii="仿宋" w:hAnsi="仿宋" w:eastAsia="仿宋" w:cs="仿宋"/>
          <w:color w:val="auto"/>
          <w:highlight w:val="none"/>
          <w:u w:val="single"/>
        </w:rPr>
      </w:pPr>
      <w:r>
        <w:rPr>
          <w:rFonts w:hint="eastAsia" w:ascii="仿宋" w:hAnsi="仿宋" w:cs="仿宋"/>
          <w:color w:val="auto"/>
          <w:highlight w:val="none"/>
          <w:lang w:eastAsia="zh-CN"/>
        </w:rPr>
        <w:t>供应商</w:t>
      </w:r>
      <w:r>
        <w:rPr>
          <w:rFonts w:hint="eastAsia" w:ascii="仿宋" w:hAnsi="仿宋" w:eastAsia="仿宋" w:cs="仿宋"/>
          <w:color w:val="auto"/>
          <w:highlight w:val="none"/>
        </w:rPr>
        <w:t>（电子公章）：</w:t>
      </w:r>
      <w:r>
        <w:rPr>
          <w:rFonts w:hint="eastAsia" w:ascii="仿宋" w:hAnsi="仿宋" w:eastAsia="仿宋" w:cs="仿宋"/>
          <w:color w:val="auto"/>
          <w:highlight w:val="none"/>
          <w:u w:val="single"/>
        </w:rPr>
        <w:t xml:space="preserve">                        </w:t>
      </w:r>
    </w:p>
    <w:p w14:paraId="3D018209">
      <w:pPr>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法定代表人或委托代理人（电子签章）：</w:t>
      </w:r>
      <w:r>
        <w:rPr>
          <w:rFonts w:hint="eastAsia" w:ascii="仿宋" w:hAnsi="仿宋" w:eastAsia="仿宋" w:cs="仿宋"/>
          <w:color w:val="auto"/>
          <w:highlight w:val="none"/>
          <w:u w:val="single"/>
        </w:rPr>
        <w:t xml:space="preserve">          </w:t>
      </w:r>
    </w:p>
    <w:p w14:paraId="7D66166C">
      <w:pPr>
        <w:spacing w:line="360" w:lineRule="auto"/>
        <w:ind w:firstLine="480" w:firstLineChars="200"/>
        <w:rPr>
          <w:rFonts w:ascii="仿宋" w:hAnsi="仿宋" w:eastAsia="仿宋" w:cs="仿宋"/>
          <w:color w:val="auto"/>
          <w:highlight w:val="none"/>
          <w:u w:val="single"/>
        </w:rPr>
      </w:pPr>
      <w:r>
        <w:rPr>
          <w:rFonts w:hint="eastAsia" w:ascii="仿宋" w:hAnsi="仿宋" w:eastAsia="仿宋" w:cs="仿宋"/>
          <w:bCs/>
          <w:color w:val="auto"/>
          <w:highlight w:val="none"/>
        </w:rPr>
        <w:t>日期：</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年</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月</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日</w:t>
      </w:r>
    </w:p>
    <w:p w14:paraId="1ADF429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46C30ED">
      <w:pPr>
        <w:pageBreakBefore w:val="0"/>
        <w:wordWrap/>
        <w:overflowPunct/>
        <w:topLinePunct w:val="0"/>
        <w:bidi w:val="0"/>
        <w:spacing w:line="360" w:lineRule="auto"/>
        <w:rPr>
          <w:rFonts w:hint="eastAsia" w:ascii="仿宋" w:hAnsi="仿宋" w:eastAsia="仿宋" w:cs="仿宋"/>
          <w:color w:val="auto"/>
          <w:highlight w:val="none"/>
        </w:rPr>
      </w:pPr>
    </w:p>
    <w:bookmarkEnd w:id="391"/>
    <w:bookmarkEnd w:id="392"/>
    <w:bookmarkEnd w:id="393"/>
    <w:bookmarkEnd w:id="394"/>
    <w:bookmarkEnd w:id="395"/>
    <w:bookmarkEnd w:id="414"/>
    <w:bookmarkEnd w:id="415"/>
    <w:bookmarkEnd w:id="416"/>
    <w:p w14:paraId="3AA0B8C8">
      <w:pPr>
        <w:pStyle w:val="2"/>
        <w:pageBreakBefore w:val="0"/>
        <w:numPr>
          <w:ilvl w:val="0"/>
          <w:numId w:val="6"/>
        </w:numPr>
        <w:wordWrap/>
        <w:overflowPunct/>
        <w:topLinePunct w:val="0"/>
        <w:bidi w:val="0"/>
        <w:spacing w:line="360" w:lineRule="auto"/>
        <w:jc w:val="center"/>
        <w:rPr>
          <w:rFonts w:hint="eastAsia" w:ascii="仿宋" w:hAnsi="仿宋" w:eastAsia="仿宋" w:cs="仿宋"/>
          <w:color w:val="auto"/>
          <w:sz w:val="32"/>
          <w:szCs w:val="32"/>
          <w:highlight w:val="none"/>
        </w:rPr>
      </w:pPr>
      <w:bookmarkStart w:id="433" w:name="_Toc364392659"/>
      <w:bookmarkStart w:id="434" w:name="_Toc231871465"/>
      <w:bookmarkStart w:id="435" w:name="_Toc327881157"/>
      <w:bookmarkStart w:id="436" w:name="_Toc482189277"/>
      <w:bookmarkStart w:id="437" w:name="_Toc86124092"/>
      <w:r>
        <w:rPr>
          <w:rFonts w:hint="eastAsia" w:ascii="仿宋" w:hAnsi="仿宋" w:eastAsia="仿宋" w:cs="仿宋"/>
          <w:color w:val="auto"/>
          <w:sz w:val="32"/>
          <w:szCs w:val="32"/>
          <w:highlight w:val="none"/>
        </w:rPr>
        <w:t xml:space="preserve"> </w:t>
      </w:r>
      <w:bookmarkStart w:id="438" w:name="_Toc26378"/>
      <w:r>
        <w:rPr>
          <w:rFonts w:hint="eastAsia" w:ascii="仿宋" w:hAnsi="仿宋" w:eastAsia="仿宋" w:cs="仿宋"/>
          <w:color w:val="auto"/>
          <w:sz w:val="32"/>
          <w:szCs w:val="32"/>
          <w:highlight w:val="none"/>
        </w:rPr>
        <w:t>采购需求</w:t>
      </w:r>
      <w:bookmarkEnd w:id="438"/>
    </w:p>
    <w:p w14:paraId="7798BE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一、项目基本概况</w:t>
      </w:r>
    </w:p>
    <w:p w14:paraId="738B2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1.项目名称：《你好，再见！》丽江纪综艺纪板块项目</w:t>
      </w:r>
    </w:p>
    <w:p w14:paraId="032EE2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项目背景与采购目的：为深入推进丽江市、玉龙县文旅品牌推广、城市形象塑造及招商引资宣传工作，挖掘展示丽江地域文化、人文特色、优质文旅资源与特色产业场景，通过人物纪实综艺形式讲好丽江故事、传播丽江城市魅力，提升区域文旅知名度、美誉度与招商影响力。本次采购综艺纪板块人物内容策划、拍摄制作、成片交付及配套宣传推广专业服务。</w:t>
      </w:r>
    </w:p>
    <w:p w14:paraId="61D817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3.采购方式：竞争性磋商</w:t>
      </w:r>
    </w:p>
    <w:p w14:paraId="7E9D36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4.服务周期：6个月，具体拍摄、交付计划以双方书面确认文件为准；</w:t>
      </w:r>
    </w:p>
    <w:p w14:paraId="0120C2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本项目为人物纪实综艺内容全流程制作及宣推配套服务，供应商需全程负责项目整体策划、人物选题落地</w:t>
      </w:r>
    </w:p>
    <w:p w14:paraId="7BC2A5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（一）内容策划与统筹</w:t>
      </w:r>
    </w:p>
    <w:p w14:paraId="226119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围绕丽江地域文化、本土人文、文旅资源、特色产业、标杆人物、城市发展、招商引资等核心方向，完成整体节目方案、单个人物拍摄策划方案、执行排期、拍摄脚本统筹等全套策划工作，贴合甲方文旅宣传与招商推广核心需求，确保内容正向、贴合丽江城市定位。</w:t>
      </w:r>
    </w:p>
    <w:p w14:paraId="4A73CB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（二）拍摄制作服务</w:t>
      </w:r>
    </w:p>
    <w:p w14:paraId="4F49B3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全程负责项目导演执行、现场摄录、素材采集、人物访谈录制、实景拍摄、画面取景等全流程拍摄工作，保障拍摄画面、收音、素材质量达标，完整呈现人物故事、丽江文旅风貌与产业特色。</w:t>
      </w:r>
    </w:p>
    <w:p w14:paraId="1A3C03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（三）后期包装制作</w:t>
      </w:r>
    </w:p>
    <w:p w14:paraId="5ACBE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完成全部拍摄素材的剪辑、精修、调色、字幕制作、配乐适配、特效包装、成片合成、审片修改等后期工作，严格遵守广电播出标准与意识形态审核要求，输出合规可播的节目成片。</w:t>
      </w:r>
    </w:p>
    <w:p w14:paraId="204B38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（四）播出与宣传推广配套服务</w:t>
      </w:r>
    </w:p>
    <w:p w14:paraId="5AEED1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负责节目在省</w:t>
      </w:r>
      <w:r>
        <w:rPr>
          <w:rFonts w:hint="eastAsia" w:ascii="仿宋" w:hAnsi="仿宋" w:eastAsia="仿宋" w:cs="仿宋"/>
          <w:color w:val="auto"/>
          <w:sz w:val="24"/>
          <w:szCs w:val="24"/>
          <w:highlight w:val="none"/>
          <w:lang w:val="en-US" w:eastAsia="zh-CN"/>
        </w:rPr>
        <w:t>级卫视频道平台</w:t>
      </w:r>
      <w:r>
        <w:rPr>
          <w:rFonts w:hint="eastAsia" w:ascii="仿宋" w:hAnsi="仿宋" w:eastAsia="仿宋" w:cs="仿宋"/>
          <w:color w:val="auto"/>
          <w:sz w:val="24"/>
          <w:szCs w:val="24"/>
          <w:highlight w:val="none"/>
          <w:lang w:val="en-US" w:eastAsia="zh-CN"/>
        </w:rPr>
        <w:t>播出及配套宣推，统筹节目排期、上线发布、传播推广，同步留存播出证明、宣推截图等全套执行资料。</w:t>
      </w:r>
    </w:p>
    <w:p w14:paraId="150A71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（五）项目配套服务</w:t>
      </w:r>
    </w:p>
    <w:p w14:paraId="11672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全程配合甲方完成项目审核、阶段性验收、资料整理、招商宣传适配、舆情把控、内容修改优化等配套工作，保障项目合规有序落地。</w:t>
      </w:r>
    </w:p>
    <w:p w14:paraId="7F2B46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三、项目量化产出标准</w:t>
      </w:r>
    </w:p>
    <w:p w14:paraId="309A79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本项目按实际验收合格人物数量据实结算，核心产出量化要求如下：</w:t>
      </w:r>
    </w:p>
    <w:p w14:paraId="7C4A3D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基础拍摄数量：原则上不少于20位本土人物内容拍摄制作，最终数量以双方根据项目推进及宣传需求确认、甲方验收合格数量为准。</w:t>
      </w:r>
    </w:p>
    <w:p w14:paraId="5059C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单条人物内容时长：单个人物有效成片时长原则上不低于10分钟。</w:t>
      </w:r>
    </w:p>
    <w:p w14:paraId="1E1A7A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卫视播出成片规格：每集卫视播出节目由2个人物内容整合制作，单集有效播出时长不低于25分钟。</w:t>
      </w:r>
    </w:p>
    <w:p w14:paraId="360639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新媒体播出规格：新媒体端单条内容以单个人物为核心，时长可根据内容完整性、节目结构、平台审核要求合理优化调整。</w:t>
      </w:r>
    </w:p>
    <w:p w14:paraId="721012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四、制作质量与交付技术标准</w:t>
      </w:r>
    </w:p>
    <w:p w14:paraId="2739D1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（一）画质与音视频标准</w:t>
      </w:r>
    </w:p>
    <w:p w14:paraId="4C8F70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成片分辨率不低于1920×1080，画面清晰稳定、无抖动、无模糊、无过度曝光或暗角；</w:t>
      </w:r>
    </w:p>
    <w:p w14:paraId="25A0A9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人声收音清晰、无杂音、无噪音、无断音，音效、配乐适配画面内容；</w:t>
      </w:r>
    </w:p>
    <w:p w14:paraId="75077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字幕完整、准确、规范、无错别字，字体格式统一，符合广电播出规范；</w:t>
      </w:r>
    </w:p>
    <w:p w14:paraId="187BE2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剪辑逻辑流畅、叙事完整、节奏合理，画面衔接自然。</w:t>
      </w:r>
    </w:p>
    <w:p w14:paraId="2D88B3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（二）内容合规标准</w:t>
      </w:r>
    </w:p>
    <w:p w14:paraId="207EAB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内容导向积极正向，符合意识形态管理要求、文旅宣传规范及广电播出审核标准；</w:t>
      </w:r>
    </w:p>
    <w:p w14:paraId="00E3B8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无低俗、违规、负面敏感、虚假不实内容，无违背公序良俗的画面与文案；</w:t>
      </w:r>
    </w:p>
    <w:p w14:paraId="0DCFBE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所有配乐、素材、画面、文案均合法合规，无版权争议、无侵权风险；</w:t>
      </w:r>
    </w:p>
    <w:p w14:paraId="2FE568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完整保护拍摄对象肖像权、名誉权等合法权益，无侵权内容。</w:t>
      </w:r>
    </w:p>
    <w:p w14:paraId="68B51D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（三）交付成果要求</w:t>
      </w:r>
    </w:p>
    <w:p w14:paraId="07E0D3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需按阶段提交全套验收资料，包含但不限于：阶段性策划方案、人物成片成品文件、项目素材资料、宣推链接截图、卫视及新媒体播出排期证明、修改记录、验收台账等完整资料，确保资料齐全、可追溯、可验收。</w:t>
      </w:r>
    </w:p>
    <w:p w14:paraId="116A97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（四）修改服务标准</w:t>
      </w:r>
    </w:p>
    <w:p w14:paraId="19352D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针对不改变原有策划方向、人物定位、节目结构的合理修改需求，每批次成果提供不超过2轮免费修改；若因甲方变更方案、新增拍摄内容、重拍、新增需求等产生的额外工作，双方另行协商费用及工期。</w:t>
      </w:r>
    </w:p>
    <w:p w14:paraId="59D1EF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五、计费标准与结算方式</w:t>
      </w:r>
    </w:p>
    <w:p w14:paraId="3EBCFA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（一）固定计费单价（据实结算）</w:t>
      </w:r>
    </w:p>
    <w:p w14:paraId="687AD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完成20人及以内人物拍摄、制作、宣推全流程服务：90000元/人（含税）；</w:t>
      </w:r>
    </w:p>
    <w:p w14:paraId="3CEB64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超出20人的新增人物全流程服务：80000元/人（含税）。</w:t>
      </w:r>
    </w:p>
    <w:p w14:paraId="38EE8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注：以上单价为全包价，包含项目策划、人员、设备、拍摄、后期制作、包装、宣推配合、差旅、税费、素材、成品交付等完成本项目全部工作的所有费用，无隐形收费。</w:t>
      </w:r>
    </w:p>
    <w:p w14:paraId="4548DF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（二）付款方式</w:t>
      </w:r>
    </w:p>
    <w:p w14:paraId="44E453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首期预付款：供应商提交的具体策划执行方案经甲方审核通过后7个工作日内，支付合同金额的50%。</w:t>
      </w:r>
    </w:p>
    <w:p w14:paraId="65C9FF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阶段性结算：供应商每完成10个人物内容并提交全套成果，甲方10个工作日内完成审核验收，验收合格后甲方支付合同金额的30%；后续每完成10人成果并验收合格后，7个工作日内据实支付对应服务费。</w:t>
      </w:r>
    </w:p>
    <w:p w14:paraId="706328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最终结算：项目全部完成后，双方根据最终验收合格的人物总数量统一核算总费用，据实结算。</w:t>
      </w:r>
    </w:p>
    <w:p w14:paraId="1701F5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 </w:t>
      </w:r>
      <w:r>
        <w:rPr>
          <w:rFonts w:hint="eastAsia" w:ascii="仿宋" w:hAnsi="仿宋" w:eastAsia="仿宋" w:cs="仿宋"/>
          <w:color w:val="auto"/>
          <w:sz w:val="24"/>
          <w:szCs w:val="24"/>
          <w:highlight w:val="none"/>
          <w:lang w:val="en-US" w:eastAsia="zh-CN"/>
        </w:rPr>
        <w:t>付款前提：验收合格后，供应商应当及时开具合规发票；供应商未按约定提供发票的，采购人可相应顺延付款期限。</w:t>
      </w:r>
    </w:p>
    <w:p w14:paraId="62CC55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 验收默认规则：甲方收到阶段性成果后10个工作日内未提出书面异议的，视为自动验收合格，付款期限自审核期满次日起计算。</w:t>
      </w:r>
    </w:p>
    <w:p w14:paraId="2C1135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七、播出与宣传推广要求</w:t>
      </w:r>
    </w:p>
    <w:p w14:paraId="032DC1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播出平台：必须在江苏卫视及江苏广电官方新媒体矩阵上线播出，确保卫视端+新媒体端双渠道传播；</w:t>
      </w:r>
    </w:p>
    <w:p w14:paraId="19392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播出统筹：供应商根据节目审核、频道排期、平台规则统筹播出档期、形式及宣传计划，保障节目合规上线；</w:t>
      </w:r>
    </w:p>
    <w:p w14:paraId="491FFD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免费服务范围：本项目约定的卫视播出、官方新媒体平台常规宣推无需甲方额外付费；甲方如需投流推广、广告采买、线下活动、定制物料、二次剪辑等增值服务，双方另行协商费用；</w:t>
      </w:r>
    </w:p>
    <w:p w14:paraId="242779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风险免责：因政策调整、平台排期变动、内容审核、不可抗力、甲方配合滞后等非供应商原因导致播出延期、调整或取消的，不视为供应商违约。</w:t>
      </w:r>
    </w:p>
    <w:p w14:paraId="3FEA50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八、知识产权与成果归属</w:t>
      </w:r>
    </w:p>
    <w:p w14:paraId="7BCF59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本项目所有成片、拍摄素材、宣传物料、项目成果的全部知识产权归采购方所有；</w:t>
      </w:r>
    </w:p>
    <w:p w14:paraId="35E50E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供应商享有项目署名权，可将项目成果用于内部归档、案例展示、业务宣传、行业交流、奖项申报等非商业用途，不得用于商业盈利；</w:t>
      </w:r>
    </w:p>
    <w:p w14:paraId="57748D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双方各自拥有合作前自有知识产权，未经书面许可不得擅自使用对方在先知识产权；</w:t>
      </w:r>
    </w:p>
    <w:p w14:paraId="28C245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因供应商制作内容引发的版权、肖像权、名誉权等侵权纠纷，由供应商全权承担责任；因甲方提供素材、授权资料引发的侵权问题，由甲方承担责任。</w:t>
      </w:r>
    </w:p>
    <w:p w14:paraId="11F2BD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九、验收标准与流程</w:t>
      </w:r>
    </w:p>
    <w:p w14:paraId="3808A1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验收依据：以本采购需求、双方确认的策划方案、制作质量标准、交付要求为唯一验收依据；</w:t>
      </w:r>
    </w:p>
    <w:p w14:paraId="4820AD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阶段性验收：供应商每完成10人内容制作并提交成果，甲方10个工作日内完成审核，一次性出具书面修改意见，逾期无异议视为验收合格；</w:t>
      </w:r>
    </w:p>
    <w:p w14:paraId="208ED3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修改复核：供应商完成合理修改后重新提交，甲方3个工作日内完成复核，逾期无异议视为复核通过；</w:t>
      </w:r>
    </w:p>
    <w:p w14:paraId="509001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超额需求验收：涉及新增拍摄、重拍、新增渠道、升级规格等超出本需求范围的内容，另行协商验收标准及费用。</w:t>
      </w:r>
    </w:p>
    <w:p w14:paraId="13877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十、商务与违约要求</w:t>
      </w:r>
    </w:p>
    <w:p w14:paraId="0142FE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（一）通用商务要求</w:t>
      </w:r>
    </w:p>
    <w:p w14:paraId="6DE836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供应商需具备综艺内容策划、影视拍摄制作、广电平台宣推的完整执行能力，具备相关项目服务经验；</w:t>
      </w:r>
    </w:p>
    <w:p w14:paraId="2DDBB9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全程严格遵守保密约定，不得泄露项目资料、未播出内容、甲方商业及工作机密，保密义务长期有效；</w:t>
      </w:r>
    </w:p>
    <w:p w14:paraId="7E7510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项目合作产生的招商及各类相关收入，全部归甲方所有，供应商无分配权。</w:t>
      </w:r>
    </w:p>
    <w:p w14:paraId="5BF771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（二）违约责任</w:t>
      </w:r>
    </w:p>
    <w:p w14:paraId="5B74E9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甲方逾期付款的，每逾期一日按应付未付款项万分之三支付违约金，逾期超30日，供应商有权暂停项目或解除合同并追偿损失；</w:t>
      </w:r>
    </w:p>
    <w:p w14:paraId="379CB9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供应商无正当理由逾期交付、成果质量不达标且拒不整改的，甲方有权要求限期整改，造成损失的需承担赔偿责任；</w:t>
      </w:r>
    </w:p>
    <w:p w14:paraId="106A24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因甲方延迟提供资源、延迟审核、延迟付款等原因造成项目延期、成本增加的，供应商不承担违约责任，有权顺延工期并追偿损失；</w:t>
      </w:r>
    </w:p>
    <w:p w14:paraId="2121EC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 平台排期、传播流量、招商效果等商业风险，不视为供应商违约。</w:t>
      </w:r>
    </w:p>
    <w:p w14:paraId="5C1455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十一、不可抗力与争议解决</w:t>
      </w:r>
    </w:p>
    <w:p w14:paraId="4C21D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地震、洪涝、疫情、政策调整、平台规则变更等不可抗力因素造成项目无法按期执行的，双方互不追责，协商调整项目执行方案；</w:t>
      </w:r>
    </w:p>
    <w:p w14:paraId="37CD55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项目合作产生的争议，双方优先友好协商，协商不成的，向甲方所在地人民法院提起诉讼，维权产生的律师费、诉讼费、保全费等全部费用由败诉方承担。</w:t>
      </w:r>
    </w:p>
    <w:p w14:paraId="3624CC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十二、其他说明</w:t>
      </w:r>
    </w:p>
    <w:p w14:paraId="7764CA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 本采购需求为项目采购、履约、验收、结算的唯一依据，后续合同、补充协议不得与本需求核心条款冲突；</w:t>
      </w:r>
    </w:p>
    <w:p w14:paraId="12C3A8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 本项目所有未尽事宜，由双方书面补充确认，补充文件与本需求具有同等效力；</w:t>
      </w:r>
    </w:p>
    <w:p w14:paraId="7F39D2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 本项目据实结算，无固定总预算，最终金额以实际验收合格人物数量及约定单价核算为准。</w:t>
      </w:r>
    </w:p>
    <w:p w14:paraId="615423F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901DE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p>
    <w:p w14:paraId="39B20733">
      <w:pPr>
        <w:bidi w:val="0"/>
        <w:rPr>
          <w:rFonts w:hint="eastAsia" w:ascii="仿宋" w:hAnsi="仿宋" w:eastAsia="仿宋" w:cs="仿宋"/>
          <w:color w:val="auto"/>
          <w:sz w:val="24"/>
          <w:szCs w:val="24"/>
          <w:highlight w:val="none"/>
        </w:rPr>
      </w:pPr>
    </w:p>
    <w:bookmarkEnd w:id="433"/>
    <w:bookmarkEnd w:id="434"/>
    <w:bookmarkEnd w:id="435"/>
    <w:bookmarkEnd w:id="436"/>
    <w:p w14:paraId="5FD2BD47">
      <w:pPr>
        <w:pStyle w:val="2"/>
        <w:pageBreakBefore w:val="0"/>
        <w:wordWrap/>
        <w:overflowPunct/>
        <w:topLinePunct w:val="0"/>
        <w:bidi w:val="0"/>
        <w:spacing w:line="360" w:lineRule="auto"/>
        <w:jc w:val="center"/>
        <w:rPr>
          <w:rFonts w:hint="eastAsia" w:ascii="仿宋" w:hAnsi="仿宋" w:eastAsia="仿宋" w:cs="仿宋"/>
          <w:color w:val="auto"/>
          <w:sz w:val="32"/>
          <w:szCs w:val="32"/>
          <w:highlight w:val="none"/>
        </w:rPr>
      </w:pPr>
      <w:bookmarkStart w:id="439" w:name="_Toc7999"/>
      <w:r>
        <w:rPr>
          <w:rFonts w:hint="eastAsia" w:ascii="仿宋" w:hAnsi="仿宋" w:eastAsia="仿宋" w:cs="仿宋"/>
          <w:color w:val="auto"/>
          <w:sz w:val="32"/>
          <w:szCs w:val="32"/>
          <w:highlight w:val="none"/>
        </w:rPr>
        <w:t>第六章  磋商程序和方法</w:t>
      </w:r>
      <w:bookmarkEnd w:id="439"/>
    </w:p>
    <w:bookmarkEnd w:id="437"/>
    <w:p w14:paraId="6911A6A5">
      <w:pPr>
        <w:pStyle w:val="3"/>
        <w:keepNext/>
        <w:keepLines/>
        <w:pageBreakBefore w:val="0"/>
        <w:widowControl w:val="0"/>
        <w:kinsoku/>
        <w:wordWrap/>
        <w:overflowPunct/>
        <w:topLinePunct w:val="0"/>
        <w:autoSpaceDE/>
        <w:autoSpaceDN/>
        <w:bidi w:val="0"/>
        <w:adjustRightInd/>
        <w:snapToGrid/>
        <w:spacing w:before="0" w:after="0" w:line="360" w:lineRule="auto"/>
        <w:ind w:left="0"/>
        <w:textAlignment w:val="auto"/>
        <w:rPr>
          <w:rFonts w:hint="eastAsia" w:ascii="仿宋" w:hAnsi="仿宋" w:eastAsia="仿宋" w:cs="仿宋"/>
          <w:color w:val="auto"/>
          <w:szCs w:val="28"/>
          <w:highlight w:val="none"/>
          <w:lang w:eastAsia="zh-CN"/>
        </w:rPr>
      </w:pPr>
      <w:bookmarkStart w:id="440" w:name="_Toc16602"/>
      <w:r>
        <w:rPr>
          <w:rFonts w:hint="eastAsia" w:ascii="仿宋" w:hAnsi="仿宋" w:eastAsia="仿宋" w:cs="仿宋"/>
          <w:color w:val="auto"/>
          <w:szCs w:val="28"/>
          <w:highlight w:val="none"/>
          <w:lang w:eastAsia="zh-CN"/>
        </w:rPr>
        <w:t>评审方法前附表</w:t>
      </w:r>
      <w:bookmarkEnd w:id="440"/>
    </w:p>
    <w:tbl>
      <w:tblPr>
        <w:tblStyle w:val="38"/>
        <w:tblW w:w="10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777"/>
        <w:gridCol w:w="338"/>
        <w:gridCol w:w="645"/>
        <w:gridCol w:w="676"/>
        <w:gridCol w:w="1354"/>
        <w:gridCol w:w="5295"/>
      </w:tblGrid>
      <w:tr w14:paraId="50166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593" w:type="dxa"/>
            <w:gridSpan w:val="2"/>
            <w:vAlign w:val="center"/>
          </w:tcPr>
          <w:p w14:paraId="049AA97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条款号</w:t>
            </w:r>
          </w:p>
        </w:tc>
        <w:tc>
          <w:tcPr>
            <w:tcW w:w="1659" w:type="dxa"/>
            <w:gridSpan w:val="3"/>
            <w:vAlign w:val="center"/>
          </w:tcPr>
          <w:p w14:paraId="2374FCC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评审内容</w:t>
            </w:r>
          </w:p>
        </w:tc>
        <w:tc>
          <w:tcPr>
            <w:tcW w:w="6649" w:type="dxa"/>
            <w:gridSpan w:val="2"/>
            <w:vAlign w:val="center"/>
          </w:tcPr>
          <w:p w14:paraId="14A492A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评审标准</w:t>
            </w:r>
          </w:p>
        </w:tc>
      </w:tr>
      <w:tr w14:paraId="1767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06D539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2.1.1</w:t>
            </w:r>
          </w:p>
        </w:tc>
        <w:tc>
          <w:tcPr>
            <w:tcW w:w="1777" w:type="dxa"/>
            <w:vAlign w:val="center"/>
          </w:tcPr>
          <w:p w14:paraId="3DC5CDD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资格评审标准</w:t>
            </w:r>
          </w:p>
        </w:tc>
        <w:tc>
          <w:tcPr>
            <w:tcW w:w="1659" w:type="dxa"/>
            <w:gridSpan w:val="3"/>
            <w:vAlign w:val="center"/>
          </w:tcPr>
          <w:p w14:paraId="2CF3FF3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资格条件</w:t>
            </w:r>
          </w:p>
        </w:tc>
        <w:tc>
          <w:tcPr>
            <w:tcW w:w="6649" w:type="dxa"/>
            <w:gridSpan w:val="2"/>
            <w:vAlign w:val="center"/>
          </w:tcPr>
          <w:p w14:paraId="0D7869E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符合第二章“供应商须知”第4项规定。</w:t>
            </w:r>
          </w:p>
        </w:tc>
      </w:tr>
      <w:tr w14:paraId="2AAC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1D32E7B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p>
        </w:tc>
        <w:tc>
          <w:tcPr>
            <w:tcW w:w="1777" w:type="dxa"/>
            <w:vMerge w:val="restart"/>
            <w:vAlign w:val="center"/>
          </w:tcPr>
          <w:p w14:paraId="7F5A93E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符合性评审标准</w:t>
            </w:r>
          </w:p>
        </w:tc>
        <w:tc>
          <w:tcPr>
            <w:tcW w:w="1659" w:type="dxa"/>
            <w:gridSpan w:val="3"/>
            <w:vAlign w:val="center"/>
          </w:tcPr>
          <w:p w14:paraId="2F14BC8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报价一览表</w:t>
            </w:r>
          </w:p>
        </w:tc>
        <w:tc>
          <w:tcPr>
            <w:tcW w:w="6649" w:type="dxa"/>
            <w:gridSpan w:val="2"/>
            <w:vAlign w:val="center"/>
          </w:tcPr>
          <w:p w14:paraId="6CFFEA3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报价未超过采购预算</w:t>
            </w:r>
            <w:r>
              <w:rPr>
                <w:rFonts w:hint="eastAsia" w:ascii="仿宋" w:hAnsi="仿宋" w:eastAsia="仿宋" w:cs="仿宋"/>
                <w:color w:val="auto"/>
                <w:sz w:val="24"/>
                <w:highlight w:val="none"/>
                <w:lang w:val="en-US" w:eastAsia="zh-CN"/>
              </w:rPr>
              <w:t>限价并符合竞争性磋商文件要求</w:t>
            </w:r>
            <w:r>
              <w:rPr>
                <w:rFonts w:hint="eastAsia" w:ascii="仿宋" w:hAnsi="仿宋" w:eastAsia="仿宋" w:cs="仿宋"/>
                <w:color w:val="auto"/>
                <w:sz w:val="24"/>
                <w:highlight w:val="none"/>
              </w:rPr>
              <w:t>。</w:t>
            </w:r>
          </w:p>
        </w:tc>
      </w:tr>
      <w:tr w14:paraId="45A6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CD2AB4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4B87FF8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3E4C12D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文件签署</w:t>
            </w:r>
          </w:p>
        </w:tc>
        <w:tc>
          <w:tcPr>
            <w:tcW w:w="6649" w:type="dxa"/>
            <w:gridSpan w:val="2"/>
            <w:vAlign w:val="center"/>
          </w:tcPr>
          <w:p w14:paraId="1607FB6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w:t>
            </w:r>
            <w:r>
              <w:rPr>
                <w:rFonts w:hint="eastAsia" w:ascii="仿宋" w:hAnsi="仿宋" w:eastAsia="仿宋" w:cs="仿宋"/>
                <w:color w:val="auto"/>
                <w:sz w:val="24"/>
                <w:highlight w:val="none"/>
                <w:lang w:eastAsia="zh-CN"/>
              </w:rPr>
              <w:t>竞争性磋商文件</w:t>
            </w:r>
            <w:r>
              <w:rPr>
                <w:rFonts w:hint="eastAsia" w:ascii="仿宋" w:hAnsi="仿宋" w:eastAsia="仿宋" w:cs="仿宋"/>
                <w:color w:val="auto"/>
                <w:sz w:val="24"/>
                <w:highlight w:val="none"/>
              </w:rPr>
              <w:t>规定的格式及内容，有法定代表人或其委托代理人电子签章</w:t>
            </w:r>
            <w:r>
              <w:rPr>
                <w:rFonts w:hint="eastAsia" w:ascii="仿宋" w:hAnsi="仿宋" w:eastAsia="仿宋" w:cs="仿宋"/>
                <w:color w:val="auto"/>
                <w:sz w:val="24"/>
                <w:highlight w:val="none"/>
                <w:lang w:val="en-US" w:eastAsia="zh-CN"/>
              </w:rPr>
              <w:t>或签字</w:t>
            </w:r>
            <w:r>
              <w:rPr>
                <w:rFonts w:hint="eastAsia" w:ascii="仿宋" w:hAnsi="仿宋" w:eastAsia="仿宋" w:cs="仿宋"/>
                <w:color w:val="auto"/>
                <w:sz w:val="24"/>
                <w:highlight w:val="none"/>
              </w:rPr>
              <w:t>，并</w:t>
            </w:r>
            <w:r>
              <w:rPr>
                <w:rFonts w:hint="eastAsia" w:ascii="仿宋" w:hAnsi="仿宋" w:eastAsia="仿宋" w:cs="仿宋"/>
                <w:color w:val="auto"/>
                <w:sz w:val="24"/>
                <w:highlight w:val="none"/>
                <w:lang w:val="en-US" w:eastAsia="zh-CN"/>
              </w:rPr>
              <w:t>有</w:t>
            </w:r>
            <w:r>
              <w:rPr>
                <w:rFonts w:hint="eastAsia" w:ascii="仿宋" w:hAnsi="仿宋" w:eastAsia="仿宋" w:cs="仿宋"/>
                <w:color w:val="auto"/>
                <w:sz w:val="24"/>
                <w:highlight w:val="none"/>
              </w:rPr>
              <w:t>单位</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tc>
      </w:tr>
      <w:tr w14:paraId="2615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3CAF74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2D7D794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23E822A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授权书</w:t>
            </w:r>
          </w:p>
        </w:tc>
        <w:tc>
          <w:tcPr>
            <w:tcW w:w="6649" w:type="dxa"/>
            <w:gridSpan w:val="2"/>
            <w:vAlign w:val="center"/>
          </w:tcPr>
          <w:p w14:paraId="3B19D9A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法定代表人</w:t>
            </w: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，有</w:t>
            </w:r>
            <w:r>
              <w:rPr>
                <w:rFonts w:hint="eastAsia" w:ascii="仿宋" w:hAnsi="仿宋" w:eastAsia="仿宋" w:cs="仿宋"/>
                <w:color w:val="auto"/>
                <w:sz w:val="24"/>
                <w:highlight w:val="none"/>
                <w:lang w:eastAsia="zh-CN"/>
              </w:rPr>
              <w:t>法定代表人</w:t>
            </w:r>
            <w:r>
              <w:rPr>
                <w:rFonts w:hint="eastAsia" w:ascii="仿宋" w:hAnsi="仿宋" w:eastAsia="仿宋" w:cs="仿宋"/>
                <w:color w:val="auto"/>
                <w:sz w:val="24"/>
                <w:highlight w:val="none"/>
              </w:rPr>
              <w:t>授权书。</w:t>
            </w:r>
          </w:p>
        </w:tc>
      </w:tr>
      <w:tr w14:paraId="7083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682D60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16EAD89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63AC9E7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有效期</w:t>
            </w:r>
          </w:p>
        </w:tc>
        <w:tc>
          <w:tcPr>
            <w:tcW w:w="6649" w:type="dxa"/>
            <w:gridSpan w:val="2"/>
            <w:vAlign w:val="center"/>
          </w:tcPr>
          <w:p w14:paraId="6713279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符合</w:t>
            </w:r>
            <w:r>
              <w:rPr>
                <w:rFonts w:hint="eastAsia" w:ascii="仿宋" w:hAnsi="仿宋" w:eastAsia="仿宋" w:cs="仿宋"/>
                <w:color w:val="auto"/>
                <w:sz w:val="24"/>
                <w:highlight w:val="none"/>
                <w:lang w:eastAsia="zh-CN"/>
              </w:rPr>
              <w:t>竞争性磋商文件</w:t>
            </w:r>
            <w:r>
              <w:rPr>
                <w:rFonts w:hint="eastAsia" w:ascii="仿宋" w:hAnsi="仿宋" w:eastAsia="仿宋" w:cs="仿宋"/>
                <w:color w:val="auto"/>
                <w:sz w:val="24"/>
                <w:highlight w:val="none"/>
              </w:rPr>
              <w:t>第二章“</w:t>
            </w: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须知前附表”第</w:t>
            </w: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.1 款规定</w:t>
            </w:r>
            <w:r>
              <w:rPr>
                <w:rFonts w:hint="eastAsia" w:ascii="仿宋" w:hAnsi="仿宋" w:eastAsia="仿宋" w:cs="仿宋"/>
                <w:color w:val="auto"/>
                <w:sz w:val="24"/>
                <w:highlight w:val="none"/>
                <w:lang w:eastAsia="zh-CN"/>
              </w:rPr>
              <w:t>。</w:t>
            </w:r>
          </w:p>
        </w:tc>
      </w:tr>
      <w:tr w14:paraId="08CB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4EE8A7F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187D67A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4229131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报价</w:t>
            </w:r>
          </w:p>
        </w:tc>
        <w:tc>
          <w:tcPr>
            <w:tcW w:w="6649" w:type="dxa"/>
            <w:gridSpan w:val="2"/>
            <w:vAlign w:val="center"/>
          </w:tcPr>
          <w:p w14:paraId="449579F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只有一个有效报价（即一个有效</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方案），未出现多个报价。</w:t>
            </w:r>
          </w:p>
        </w:tc>
      </w:tr>
      <w:tr w14:paraId="4084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0F3F42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3D7400F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58D0B28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合同履行期限</w:t>
            </w:r>
          </w:p>
        </w:tc>
        <w:tc>
          <w:tcPr>
            <w:tcW w:w="6649" w:type="dxa"/>
            <w:gridSpan w:val="2"/>
            <w:vAlign w:val="center"/>
          </w:tcPr>
          <w:p w14:paraId="0A27359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满足</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文件要求</w:t>
            </w:r>
            <w:r>
              <w:rPr>
                <w:rFonts w:hint="eastAsia" w:ascii="仿宋" w:hAnsi="仿宋" w:eastAsia="仿宋" w:cs="仿宋"/>
                <w:color w:val="auto"/>
                <w:sz w:val="24"/>
                <w:highlight w:val="none"/>
                <w:lang w:eastAsia="zh-CN"/>
              </w:rPr>
              <w:t>。</w:t>
            </w:r>
          </w:p>
        </w:tc>
      </w:tr>
      <w:tr w14:paraId="60CA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0A85A2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37D55AF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18CA271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采购人不能接受的条款</w:t>
            </w:r>
          </w:p>
        </w:tc>
        <w:tc>
          <w:tcPr>
            <w:tcW w:w="6649" w:type="dxa"/>
            <w:gridSpan w:val="2"/>
            <w:vAlign w:val="center"/>
          </w:tcPr>
          <w:p w14:paraId="343CBCD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没有采购人不能接受的条件。</w:t>
            </w:r>
          </w:p>
        </w:tc>
      </w:tr>
      <w:tr w14:paraId="191E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A6DE27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25755F4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659" w:type="dxa"/>
            <w:gridSpan w:val="3"/>
            <w:vAlign w:val="center"/>
          </w:tcPr>
          <w:p w14:paraId="1477C14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实质性要求</w:t>
            </w:r>
          </w:p>
        </w:tc>
        <w:tc>
          <w:tcPr>
            <w:tcW w:w="6649" w:type="dxa"/>
            <w:gridSpan w:val="2"/>
            <w:vAlign w:val="center"/>
          </w:tcPr>
          <w:p w14:paraId="18307E6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未出现不符合</w:t>
            </w:r>
            <w:r>
              <w:rPr>
                <w:rFonts w:hint="eastAsia" w:ascii="仿宋" w:hAnsi="仿宋" w:eastAsia="仿宋" w:cs="仿宋"/>
                <w:color w:val="auto"/>
                <w:sz w:val="24"/>
                <w:highlight w:val="none"/>
                <w:lang w:eastAsia="zh-CN"/>
              </w:rPr>
              <w:t>法律法规和</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文件中规定的实质性要求。</w:t>
            </w:r>
          </w:p>
        </w:tc>
      </w:tr>
      <w:tr w14:paraId="7E21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3B7D604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1777" w:type="dxa"/>
            <w:vMerge w:val="restart"/>
            <w:vAlign w:val="center"/>
          </w:tcPr>
          <w:p w14:paraId="146E93A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详细评审标准</w:t>
            </w:r>
          </w:p>
        </w:tc>
        <w:tc>
          <w:tcPr>
            <w:tcW w:w="338" w:type="dxa"/>
            <w:vAlign w:val="center"/>
          </w:tcPr>
          <w:p w14:paraId="5B91E9B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645" w:type="dxa"/>
            <w:vAlign w:val="center"/>
          </w:tcPr>
          <w:p w14:paraId="7728358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评审总得分</w:t>
            </w:r>
          </w:p>
        </w:tc>
        <w:tc>
          <w:tcPr>
            <w:tcW w:w="676" w:type="dxa"/>
            <w:vAlign w:val="center"/>
          </w:tcPr>
          <w:p w14:paraId="15D7609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100</w:t>
            </w:r>
          </w:p>
        </w:tc>
        <w:tc>
          <w:tcPr>
            <w:tcW w:w="6649" w:type="dxa"/>
            <w:gridSpan w:val="2"/>
            <w:vAlign w:val="center"/>
          </w:tcPr>
          <w:p w14:paraId="02D92E7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供应商的评审总得分满分100分，</w:t>
            </w:r>
          </w:p>
          <w:p w14:paraId="1DF77D7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供应商的评审总得分= F1+F2+F3</w:t>
            </w:r>
          </w:p>
          <w:p w14:paraId="7D82605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F1、F2、F3分别为磋商报价、技术部分、商务部分3项评分因素的汇总得分；</w:t>
            </w:r>
          </w:p>
        </w:tc>
      </w:tr>
      <w:tr w14:paraId="4DDDD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5C902FE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41B2F3F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338" w:type="dxa"/>
            <w:tcBorders>
              <w:bottom w:val="single" w:color="auto" w:sz="4" w:space="0"/>
            </w:tcBorders>
            <w:vAlign w:val="center"/>
          </w:tcPr>
          <w:p w14:paraId="13F1BCE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645" w:type="dxa"/>
            <w:tcBorders>
              <w:bottom w:val="single" w:color="auto" w:sz="4" w:space="0"/>
            </w:tcBorders>
            <w:vAlign w:val="center"/>
          </w:tcPr>
          <w:p w14:paraId="0967C10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磋商报价评分F1</w:t>
            </w:r>
          </w:p>
        </w:tc>
        <w:tc>
          <w:tcPr>
            <w:tcW w:w="676" w:type="dxa"/>
            <w:tcBorders>
              <w:bottom w:val="single" w:color="auto" w:sz="4" w:space="0"/>
            </w:tcBorders>
            <w:vAlign w:val="center"/>
          </w:tcPr>
          <w:p w14:paraId="3D7A192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满分</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6649" w:type="dxa"/>
            <w:gridSpan w:val="2"/>
            <w:tcBorders>
              <w:bottom w:val="single" w:color="auto" w:sz="4" w:space="0"/>
            </w:tcBorders>
            <w:vAlign w:val="center"/>
          </w:tcPr>
          <w:p w14:paraId="2F1ACD2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报价评分采用综合评分法低价优先计算，报价总分 10 分。报价分为两个分项，各分项满分均为 5 分。 </w:t>
            </w:r>
          </w:p>
          <w:p w14:paraId="761A50EB">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报价项1</w:t>
            </w:r>
            <w:r>
              <w:rPr>
                <w:rFonts w:hint="eastAsia" w:ascii="仿宋" w:hAnsi="仿宋" w:cs="仿宋"/>
                <w:b/>
                <w:bCs/>
                <w:color w:val="auto"/>
                <w:sz w:val="24"/>
                <w:highlight w:val="none"/>
                <w:lang w:val="en-US" w:eastAsia="zh-CN"/>
              </w:rPr>
              <w:t>(</w:t>
            </w:r>
            <w:r>
              <w:rPr>
                <w:rFonts w:hint="eastAsia" w:ascii="仿宋" w:hAnsi="仿宋" w:eastAsia="仿宋" w:cs="仿宋"/>
                <w:b/>
                <w:bCs/>
                <w:color w:val="auto"/>
                <w:sz w:val="24"/>
                <w:highlight w:val="none"/>
              </w:rPr>
              <w:t>20人及以内人员单价</w:t>
            </w:r>
            <w:r>
              <w:rPr>
                <w:rFonts w:hint="eastAsia" w:ascii="仿宋" w:hAnsi="仿宋" w:cs="仿宋"/>
                <w:b/>
                <w:bCs/>
                <w:color w:val="auto"/>
                <w:sz w:val="24"/>
                <w:highlight w:val="none"/>
                <w:lang w:val="en-US" w:eastAsia="zh-CN"/>
              </w:rPr>
              <w:t>)</w:t>
            </w:r>
            <w:r>
              <w:rPr>
                <w:rFonts w:hint="eastAsia" w:ascii="仿宋" w:hAnsi="仿宋" w:cs="仿宋"/>
                <w:color w:val="auto"/>
                <w:sz w:val="24"/>
                <w:highlight w:val="none"/>
                <w:lang w:val="en-US" w:eastAsia="zh-CN"/>
              </w:rPr>
              <w:t>:</w:t>
            </w:r>
          </w:p>
          <w:p w14:paraId="541A81B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本项磋商基准价C₁为满足磋商文件要求且该项单价最低的合格供应商的该项报价。</w:t>
            </w:r>
          </w:p>
          <w:p w14:paraId="75BEF4F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本项磋商报价得分 =（C₁÷本供应商报价项1单价）×5 </w:t>
            </w:r>
          </w:p>
          <w:p w14:paraId="63C5FC72">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报价项2</w:t>
            </w:r>
            <w:r>
              <w:rPr>
                <w:rFonts w:hint="eastAsia" w:ascii="仿宋" w:hAnsi="仿宋" w:cs="仿宋"/>
                <w:b/>
                <w:bCs/>
                <w:color w:val="auto"/>
                <w:sz w:val="24"/>
                <w:highlight w:val="none"/>
                <w:lang w:val="en-US" w:eastAsia="zh-CN"/>
              </w:rPr>
              <w:t>(</w:t>
            </w:r>
            <w:r>
              <w:rPr>
                <w:rFonts w:hint="eastAsia" w:ascii="仿宋" w:hAnsi="仿宋" w:eastAsia="仿宋" w:cs="仿宋"/>
                <w:b/>
                <w:bCs/>
                <w:color w:val="auto"/>
                <w:sz w:val="24"/>
                <w:highlight w:val="none"/>
              </w:rPr>
              <w:t>超出 20 人部分人员单价</w:t>
            </w:r>
            <w:r>
              <w:rPr>
                <w:rFonts w:hint="eastAsia" w:ascii="仿宋" w:hAnsi="仿宋" w:cs="仿宋"/>
                <w:b/>
                <w:bCs/>
                <w:color w:val="auto"/>
                <w:sz w:val="24"/>
                <w:highlight w:val="none"/>
                <w:lang w:val="en-US" w:eastAsia="zh-CN"/>
              </w:rPr>
              <w:t>):</w:t>
            </w:r>
          </w:p>
          <w:p w14:paraId="7A1A02F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本项磋商基准价 C₂为满足磋商文件要求且该项单价最低的合格供应商的该项报价。 </w:t>
            </w:r>
          </w:p>
          <w:p w14:paraId="638682C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本项磋商报价得分 =（C₂÷ 本供应商报价项2单价）×5 </w:t>
            </w:r>
          </w:p>
          <w:p w14:paraId="275C6FDE">
            <w:pPr>
              <w:keepNext w:val="0"/>
              <w:keepLines w:val="0"/>
              <w:pageBreakBefore w:val="0"/>
              <w:widowControl w:val="0"/>
              <w:numPr>
                <w:ilvl w:val="0"/>
                <w:numId w:val="7"/>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报价总得分=报价项1得分＋报价项2得分。</w:t>
            </w:r>
          </w:p>
          <w:p w14:paraId="645B094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注：1.各分项 C₁、C₂分别为对应分项经实质性审查合格供应商中的最低报价； </w:t>
            </w:r>
          </w:p>
          <w:p w14:paraId="12D4219E">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所有供应商须完整填报上述两项单价，缺项视为未实质性响应磋商文件。</w:t>
            </w:r>
          </w:p>
          <w:p w14:paraId="348B9DB0">
            <w:pPr>
              <w:keepNext w:val="0"/>
              <w:keepLines w:val="0"/>
              <w:pageBreakBefore w:val="0"/>
              <w:widowControl w:val="0"/>
              <w:numPr>
                <w:ilvl w:val="0"/>
                <w:numId w:val="8"/>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本项目针对小型和微型企业产品或残疾人福利性单位产品的价格给予</w:t>
            </w:r>
            <w:r>
              <w:rPr>
                <w:rFonts w:hint="eastAsia" w:ascii="仿宋" w:hAnsi="仿宋" w:eastAsia="仿宋" w:cs="仿宋"/>
                <w:color w:val="auto"/>
                <w:sz w:val="24"/>
                <w:highlight w:val="none"/>
                <w:lang w:eastAsia="zh-CN"/>
              </w:rPr>
              <w:t>10%</w:t>
            </w:r>
            <w:r>
              <w:rPr>
                <w:rFonts w:hint="eastAsia" w:ascii="仿宋" w:hAnsi="仿宋" w:eastAsia="仿宋" w:cs="仿宋"/>
                <w:color w:val="auto"/>
                <w:sz w:val="24"/>
                <w:highlight w:val="none"/>
              </w:rPr>
              <w:t>的扣除，用扣除后的价格参与评审，残疾人福利性单位属于小型、微型企业的，不重复享受政策。（监狱企业视同小型或微型企业）。</w:t>
            </w:r>
          </w:p>
        </w:tc>
      </w:tr>
      <w:tr w14:paraId="115E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4" w:hRule="atLeast"/>
          <w:jc w:val="center"/>
        </w:trPr>
        <w:tc>
          <w:tcPr>
            <w:tcW w:w="0" w:type="auto"/>
            <w:vMerge w:val="restart"/>
            <w:vAlign w:val="center"/>
          </w:tcPr>
          <w:p w14:paraId="38910C6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restart"/>
            <w:vAlign w:val="center"/>
          </w:tcPr>
          <w:p w14:paraId="464225B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详细评审标准</w:t>
            </w:r>
          </w:p>
        </w:tc>
        <w:tc>
          <w:tcPr>
            <w:tcW w:w="338" w:type="dxa"/>
            <w:vMerge w:val="restart"/>
            <w:vAlign w:val="center"/>
          </w:tcPr>
          <w:p w14:paraId="2890980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645" w:type="dxa"/>
            <w:vMerge w:val="restart"/>
            <w:vAlign w:val="center"/>
          </w:tcPr>
          <w:p w14:paraId="0D4C2F7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技术部分评分F2</w:t>
            </w:r>
          </w:p>
        </w:tc>
        <w:tc>
          <w:tcPr>
            <w:tcW w:w="676" w:type="dxa"/>
            <w:vMerge w:val="restart"/>
            <w:vAlign w:val="center"/>
          </w:tcPr>
          <w:p w14:paraId="32D0A06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满分</w:t>
            </w:r>
            <w:r>
              <w:rPr>
                <w:rFonts w:hint="eastAsia" w:ascii="仿宋" w:hAnsi="仿宋" w:cs="仿宋"/>
                <w:color w:val="auto"/>
                <w:sz w:val="24"/>
                <w:highlight w:val="none"/>
                <w:lang w:val="en-US" w:eastAsia="zh-CN"/>
              </w:rPr>
              <w:t>68</w:t>
            </w:r>
            <w:r>
              <w:rPr>
                <w:rFonts w:hint="eastAsia" w:ascii="仿宋" w:hAnsi="仿宋" w:eastAsia="仿宋" w:cs="仿宋"/>
                <w:color w:val="auto"/>
                <w:sz w:val="24"/>
                <w:highlight w:val="none"/>
              </w:rPr>
              <w:t>分</w:t>
            </w:r>
          </w:p>
        </w:tc>
        <w:tc>
          <w:tcPr>
            <w:tcW w:w="1354" w:type="dxa"/>
            <w:vAlign w:val="center"/>
          </w:tcPr>
          <w:p w14:paraId="479B6BE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1.项目理解需求分析评审（满分1</w:t>
            </w: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分）</w:t>
            </w:r>
          </w:p>
        </w:tc>
        <w:tc>
          <w:tcPr>
            <w:tcW w:w="5295" w:type="dxa"/>
            <w:vAlign w:val="center"/>
          </w:tcPr>
          <w:p w14:paraId="63E6358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评审内容</w:t>
            </w:r>
          </w:p>
          <w:p w14:paraId="38F5A8C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（一）项目背景、采购需求（</w:t>
            </w:r>
            <w:r>
              <w:rPr>
                <w:rFonts w:hint="eastAsia" w:ascii="仿宋" w:hAnsi="仿宋" w:cs="仿宋"/>
                <w:b/>
                <w:bCs/>
                <w:color w:val="auto"/>
                <w:sz w:val="24"/>
                <w:highlight w:val="none"/>
                <w:lang w:val="en-US" w:eastAsia="zh-CN"/>
              </w:rPr>
              <w:t>4</w:t>
            </w:r>
            <w:r>
              <w:rPr>
                <w:rFonts w:hint="eastAsia" w:ascii="仿宋" w:hAnsi="仿宋" w:eastAsia="仿宋" w:cs="仿宋"/>
                <w:b/>
                <w:bCs/>
                <w:color w:val="auto"/>
                <w:sz w:val="24"/>
                <w:highlight w:val="none"/>
                <w:lang w:val="en-US" w:eastAsia="zh-CN"/>
              </w:rPr>
              <w:t>分）</w:t>
            </w:r>
          </w:p>
          <w:p w14:paraId="1879B8E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全面梳理本项目核心背景、采购范围及采购要求，</w:t>
            </w:r>
            <w:r>
              <w:rPr>
                <w:rFonts w:hint="eastAsia" w:ascii="仿宋" w:hAnsi="仿宋" w:eastAsia="仿宋" w:cs="仿宋"/>
                <w:color w:val="auto"/>
                <w:highlight w:val="none"/>
              </w:rPr>
              <w:t>对本地文旅资源的特色、优势、短板分析透彻</w:t>
            </w:r>
            <w:r>
              <w:rPr>
                <w:rFonts w:hint="eastAsia" w:ascii="仿宋" w:hAnsi="仿宋" w:cs="仿宋"/>
                <w:color w:val="auto"/>
                <w:sz w:val="24"/>
                <w:highlight w:val="none"/>
                <w:lang w:val="en-US" w:eastAsia="zh-CN"/>
              </w:rPr>
              <w:t>，</w:t>
            </w:r>
            <w:r>
              <w:rPr>
                <w:rFonts w:hint="eastAsia" w:ascii="仿宋" w:hAnsi="仿宋" w:eastAsia="仿宋" w:cs="仿宋"/>
                <w:color w:val="auto"/>
                <w:sz w:val="24"/>
                <w:highlight w:val="none"/>
                <w:lang w:val="en-US" w:eastAsia="zh-CN"/>
              </w:rPr>
              <w:t>贴合项目实际情况，表述专业、逻辑清晰。</w:t>
            </w:r>
          </w:p>
          <w:p w14:paraId="4DC0FBE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（二）项目实施潜在问题分析（</w:t>
            </w:r>
            <w:r>
              <w:rPr>
                <w:rFonts w:hint="eastAsia" w:ascii="仿宋" w:hAnsi="仿宋" w:cs="仿宋"/>
                <w:b/>
                <w:bCs/>
                <w:color w:val="auto"/>
                <w:sz w:val="24"/>
                <w:highlight w:val="none"/>
                <w:lang w:val="en-US" w:eastAsia="zh-CN"/>
              </w:rPr>
              <w:t>4</w:t>
            </w:r>
            <w:r>
              <w:rPr>
                <w:rFonts w:hint="eastAsia" w:ascii="仿宋" w:hAnsi="仿宋" w:eastAsia="仿宋" w:cs="仿宋"/>
                <w:b/>
                <w:bCs/>
                <w:color w:val="auto"/>
                <w:sz w:val="24"/>
                <w:highlight w:val="none"/>
                <w:lang w:val="en-US" w:eastAsia="zh-CN"/>
              </w:rPr>
              <w:t>分）</w:t>
            </w:r>
          </w:p>
          <w:p w14:paraId="7BF21EA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全面覆盖制度机制、资源配置、利益驱动、观念认知、能力水平等各实施环节，精准识别各类关键潜在问题，无遗漏；对问题成因的分析全面、科学、贴合项目实际。</w:t>
            </w:r>
          </w:p>
          <w:p w14:paraId="4C41481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（三）项目解决方案（</w:t>
            </w:r>
            <w:r>
              <w:rPr>
                <w:rFonts w:hint="eastAsia" w:ascii="仿宋" w:hAnsi="仿宋" w:cs="仿宋"/>
                <w:b/>
                <w:bCs/>
                <w:color w:val="auto"/>
                <w:sz w:val="24"/>
                <w:highlight w:val="none"/>
                <w:lang w:val="en-US" w:eastAsia="zh-CN"/>
              </w:rPr>
              <w:t>4</w:t>
            </w:r>
            <w:r>
              <w:rPr>
                <w:rFonts w:hint="eastAsia" w:ascii="仿宋" w:hAnsi="仿宋" w:eastAsia="仿宋" w:cs="仿宋"/>
                <w:b/>
                <w:bCs/>
                <w:color w:val="auto"/>
                <w:sz w:val="24"/>
                <w:highlight w:val="none"/>
                <w:lang w:val="en-US" w:eastAsia="zh-CN"/>
              </w:rPr>
              <w:t>分）</w:t>
            </w:r>
          </w:p>
          <w:p w14:paraId="76F0965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针对项目实施痛点制定详细、具体、可落地的应对措施；能针对每个重难点提出具有可操作性的应对思路或解决方案，方案需体现具体措施、责任主体、时间节点等要素，重难点排序合理、层次清晰，能体现对项目整体把控能力。</w:t>
            </w:r>
          </w:p>
          <w:p w14:paraId="63C1EE6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评审说明</w:t>
            </w:r>
          </w:p>
          <w:p w14:paraId="4D92EF3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本项满分1</w:t>
            </w: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分，设3个子项，单项分值</w:t>
            </w: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lang w:val="en-US" w:eastAsia="zh-CN"/>
              </w:rPr>
              <w:t>分。任意子项内容缺失的，扣</w:t>
            </w: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lang w:val="en-US" w:eastAsia="zh-CN"/>
              </w:rPr>
              <w:t>分；各子项存在内容不完整、存在缺陷、与项目不匹配问题的，每处扣</w:t>
            </w: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分，单项最高扣</w:t>
            </w: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lang w:val="en-US" w:eastAsia="zh-CN"/>
              </w:rPr>
              <w:t>分，扣完本项分值为止。</w:t>
            </w:r>
          </w:p>
          <w:p w14:paraId="1CE94FB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注：本评分细则中，内容不完整、存在缺陷、与项目不匹配定义：非针对本项目定制、不符合项目特性、缺失关键内容及关键节点、套用通用/其他项目方案、内容前后矛盾、引用规范标准错误、脱离项目实际需求、不利于项目落地实施、方案不具备可实现性等任一情形。</w:t>
            </w:r>
          </w:p>
        </w:tc>
      </w:tr>
      <w:tr w14:paraId="08A5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6ABAE08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29C53D6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338" w:type="dxa"/>
            <w:vMerge w:val="continue"/>
            <w:vAlign w:val="center"/>
          </w:tcPr>
          <w:p w14:paraId="1542EDE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45" w:type="dxa"/>
            <w:vMerge w:val="continue"/>
            <w:vAlign w:val="center"/>
          </w:tcPr>
          <w:p w14:paraId="5238159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76" w:type="dxa"/>
            <w:vMerge w:val="continue"/>
            <w:vAlign w:val="center"/>
          </w:tcPr>
          <w:p w14:paraId="7EA78AF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1354" w:type="dxa"/>
            <w:vAlign w:val="center"/>
          </w:tcPr>
          <w:p w14:paraId="7A949741">
            <w:pPr>
              <w:snapToGrid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项目实施方案</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满分</w:t>
            </w:r>
            <w:r>
              <w:rPr>
                <w:rFonts w:hint="eastAsia" w:ascii="仿宋" w:hAnsi="仿宋" w:cs="仿宋"/>
                <w:color w:val="auto"/>
                <w:sz w:val="24"/>
                <w:highlight w:val="none"/>
                <w:lang w:val="en-US" w:eastAsia="zh-CN"/>
              </w:rPr>
              <w:t>50</w:t>
            </w:r>
            <w:r>
              <w:rPr>
                <w:rFonts w:hint="eastAsia" w:ascii="仿宋" w:hAnsi="仿宋" w:eastAsia="仿宋" w:cs="仿宋"/>
                <w:color w:val="auto"/>
                <w:sz w:val="24"/>
                <w:highlight w:val="none"/>
                <w:lang w:val="en-US" w:eastAsia="zh-CN"/>
              </w:rPr>
              <w:t>分</w:t>
            </w:r>
            <w:r>
              <w:rPr>
                <w:rFonts w:hint="eastAsia" w:ascii="仿宋" w:hAnsi="仿宋" w:eastAsia="仿宋" w:cs="仿宋"/>
                <w:color w:val="auto"/>
                <w:sz w:val="24"/>
                <w:highlight w:val="none"/>
                <w:lang w:eastAsia="zh-CN"/>
              </w:rPr>
              <w:t>）</w:t>
            </w:r>
          </w:p>
        </w:tc>
        <w:tc>
          <w:tcPr>
            <w:tcW w:w="5295" w:type="dxa"/>
            <w:shd w:val="clear" w:color="auto" w:fill="auto"/>
            <w:vAlign w:val="center"/>
          </w:tcPr>
          <w:p w14:paraId="4F26515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评审内容</w:t>
            </w:r>
          </w:p>
          <w:p w14:paraId="7EBC5E81">
            <w:pPr>
              <w:pStyle w:val="36"/>
              <w:keepNext w:val="0"/>
              <w:keepLines w:val="0"/>
              <w:pageBreakBefore w:val="0"/>
              <w:widowControl w:val="0"/>
              <w:numPr>
                <w:ilvl w:val="0"/>
                <w:numId w:val="9"/>
              </w:numPr>
              <w:kinsoku/>
              <w:wordWrap/>
              <w:overflowPunct/>
              <w:topLinePunct w:val="0"/>
              <w:autoSpaceDE/>
              <w:autoSpaceDN/>
              <w:bidi w:val="0"/>
              <w:adjustRightInd/>
              <w:snapToGrid/>
              <w:spacing w:beforeLines="0"/>
              <w:ind w:leftChars="0" w:firstLine="0" w:firstLineChars="0"/>
              <w:textAlignment w:val="auto"/>
              <w:rPr>
                <w:rFonts w:hint="eastAsia" w:ascii="仿宋" w:hAnsi="仿宋" w:eastAsia="仿宋" w:cs="仿宋"/>
                <w:b/>
                <w:bCs/>
                <w:i w:val="0"/>
                <w:iCs w:val="0"/>
                <w:caps w:val="0"/>
                <w:color w:val="auto"/>
                <w:spacing w:val="0"/>
                <w:sz w:val="22"/>
                <w:szCs w:val="22"/>
                <w:highlight w:val="none"/>
                <w:shd w:val="clear" w:fill="FFFFFF"/>
              </w:rPr>
            </w:pPr>
            <w:r>
              <w:rPr>
                <w:rFonts w:hint="eastAsia" w:ascii="仿宋" w:hAnsi="仿宋" w:eastAsia="仿宋" w:cs="仿宋"/>
                <w:b/>
                <w:bCs/>
                <w:i w:val="0"/>
                <w:iCs w:val="0"/>
                <w:caps w:val="0"/>
                <w:color w:val="auto"/>
                <w:spacing w:val="0"/>
                <w:sz w:val="22"/>
                <w:szCs w:val="22"/>
                <w:highlight w:val="none"/>
                <w:shd w:val="clear" w:fill="FFFFFF"/>
              </w:rPr>
              <w:t>内容策划与统筹能力（</w:t>
            </w:r>
            <w:r>
              <w:rPr>
                <w:rFonts w:hint="eastAsia" w:ascii="仿宋" w:hAnsi="仿宋" w:eastAsia="仿宋" w:cs="仿宋"/>
                <w:b/>
                <w:bCs/>
                <w:i w:val="0"/>
                <w:iCs w:val="0"/>
                <w:caps w:val="0"/>
                <w:color w:val="auto"/>
                <w:spacing w:val="0"/>
                <w:sz w:val="22"/>
                <w:szCs w:val="22"/>
                <w:highlight w:val="none"/>
                <w:shd w:val="clear" w:fill="FFFFFF"/>
                <w:lang w:val="en-US" w:eastAsia="zh-CN"/>
              </w:rPr>
              <w:t>10</w:t>
            </w:r>
            <w:r>
              <w:rPr>
                <w:rFonts w:hint="eastAsia" w:ascii="仿宋" w:hAnsi="仿宋" w:eastAsia="仿宋" w:cs="仿宋"/>
                <w:b/>
                <w:bCs/>
                <w:i w:val="0"/>
                <w:iCs w:val="0"/>
                <w:caps w:val="0"/>
                <w:color w:val="auto"/>
                <w:spacing w:val="0"/>
                <w:sz w:val="22"/>
                <w:szCs w:val="22"/>
                <w:highlight w:val="none"/>
                <w:shd w:val="clear" w:fill="FFFFFF"/>
              </w:rPr>
              <w:t>分）</w:t>
            </w:r>
          </w:p>
          <w:p w14:paraId="39A0BE43">
            <w:pPr>
              <w:pStyle w:val="36"/>
              <w:keepNext w:val="0"/>
              <w:keepLines w:val="0"/>
              <w:pageBreakBefore w:val="0"/>
              <w:widowControl w:val="0"/>
              <w:numPr>
                <w:ilvl w:val="0"/>
                <w:numId w:val="0"/>
              </w:numPr>
              <w:kinsoku/>
              <w:wordWrap/>
              <w:overflowPunct/>
              <w:topLinePunct w:val="0"/>
              <w:autoSpaceDE/>
              <w:autoSpaceDN/>
              <w:bidi w:val="0"/>
              <w:adjustRightInd/>
              <w:snapToGrid/>
              <w:spacing w:beforeLines="0"/>
              <w:ind w:leftChars="0"/>
              <w:textAlignment w:val="auto"/>
              <w:rPr>
                <w:rFonts w:hint="default" w:ascii="仿宋" w:hAnsi="仿宋" w:eastAsia="仿宋" w:cs="仿宋"/>
                <w:b w:val="0"/>
                <w:bCs w:val="0"/>
                <w:i w:val="0"/>
                <w:iCs w:val="0"/>
                <w:caps w:val="0"/>
                <w:color w:val="auto"/>
                <w:spacing w:val="0"/>
                <w:sz w:val="22"/>
                <w:szCs w:val="22"/>
                <w:highlight w:val="none"/>
                <w:shd w:val="clear" w:fill="FFFFFF"/>
                <w:lang w:val="en-US" w:eastAsia="zh-CN"/>
              </w:rPr>
            </w:pPr>
            <w:r>
              <w:rPr>
                <w:rFonts w:hint="eastAsia" w:ascii="仿宋" w:hAnsi="仿宋" w:eastAsia="仿宋" w:cs="仿宋"/>
                <w:b w:val="0"/>
                <w:bCs w:val="0"/>
                <w:i w:val="0"/>
                <w:iCs w:val="0"/>
                <w:caps w:val="0"/>
                <w:color w:val="auto"/>
                <w:spacing w:val="0"/>
                <w:sz w:val="22"/>
                <w:szCs w:val="22"/>
                <w:highlight w:val="none"/>
                <w:shd w:val="clear" w:fill="FFFFFF"/>
              </w:rPr>
              <w:t>整体节目方案紧密贴合丽江城市定位与招商宣传需求，人物群像设计多元，叙事主线清晰、情感共鸣强</w:t>
            </w:r>
            <w:r>
              <w:rPr>
                <w:rFonts w:hint="eastAsia" w:ascii="仿宋" w:hAnsi="仿宋" w:eastAsia="仿宋" w:cs="仿宋"/>
                <w:b w:val="0"/>
                <w:bCs w:val="0"/>
                <w:i w:val="0"/>
                <w:iCs w:val="0"/>
                <w:caps w:val="0"/>
                <w:color w:val="auto"/>
                <w:spacing w:val="0"/>
                <w:sz w:val="22"/>
                <w:szCs w:val="22"/>
                <w:highlight w:val="none"/>
                <w:shd w:val="clear" w:fill="FFFFFF"/>
                <w:lang w:val="en-US" w:eastAsia="zh-CN"/>
              </w:rPr>
              <w:t>;人物拍摄策划精良，人物选取极具代表性或反差感，故事化叙事手法新颖，实景拍摄与外景取景设计极具美感与传播力;执行排期与统筹科学严谨，细化到周/日计划，明确各阶段交付节点、审核预留时间、播出倒推时间;</w:t>
            </w:r>
          </w:p>
          <w:p w14:paraId="67EDF7F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（二）拍摄制作专业能力（1</w:t>
            </w:r>
            <w:r>
              <w:rPr>
                <w:rFonts w:hint="eastAsia" w:ascii="仿宋" w:hAnsi="仿宋" w:cs="仿宋"/>
                <w:b/>
                <w:bCs/>
                <w:color w:val="auto"/>
                <w:sz w:val="24"/>
                <w:highlight w:val="none"/>
                <w:lang w:val="en-US" w:eastAsia="zh-CN"/>
              </w:rPr>
              <w:t>0</w:t>
            </w:r>
            <w:r>
              <w:rPr>
                <w:rFonts w:hint="eastAsia" w:ascii="仿宋" w:hAnsi="仿宋" w:eastAsia="仿宋" w:cs="仿宋"/>
                <w:b/>
                <w:bCs/>
                <w:color w:val="auto"/>
                <w:sz w:val="24"/>
                <w:highlight w:val="none"/>
                <w:lang w:val="en-US" w:eastAsia="zh-CN"/>
              </w:rPr>
              <w:t>分）</w:t>
            </w:r>
          </w:p>
          <w:p w14:paraId="6063DE8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导演与摄制团队配置</w:t>
            </w:r>
            <w:r>
              <w:rPr>
                <w:rFonts w:hint="eastAsia" w:ascii="仿宋" w:hAnsi="仿宋" w:cs="仿宋"/>
                <w:b w:val="0"/>
                <w:bCs w:val="0"/>
                <w:color w:val="auto"/>
                <w:sz w:val="24"/>
                <w:highlight w:val="none"/>
                <w:lang w:val="en-US" w:eastAsia="zh-CN"/>
              </w:rPr>
              <w:t>:</w:t>
            </w:r>
            <w:r>
              <w:rPr>
                <w:rFonts w:hint="eastAsia" w:ascii="仿宋" w:hAnsi="仿宋" w:eastAsia="仿宋" w:cs="仿宋"/>
                <w:b w:val="0"/>
                <w:bCs w:val="0"/>
                <w:color w:val="auto"/>
                <w:sz w:val="24"/>
                <w:highlight w:val="none"/>
                <w:lang w:val="en-US" w:eastAsia="zh-CN"/>
              </w:rPr>
              <w:t>提供拟投入的核心导演、摄影、录音、灯光等人员简历及过往同类作品案例,团队配置豪华，</w:t>
            </w:r>
            <w:r>
              <w:rPr>
                <w:rFonts w:hint="eastAsia" w:ascii="仿宋" w:hAnsi="仿宋" w:eastAsia="仿宋" w:cs="仿宋"/>
                <w:b w:val="0"/>
                <w:bCs w:val="0"/>
                <w:color w:val="auto"/>
                <w:sz w:val="24"/>
                <w:highlight w:val="none"/>
                <w:lang w:val="en-US" w:eastAsia="zh-CN"/>
              </w:rPr>
              <w:t>导演有人物纪实类节目执导经验，摄制团队具备大型外景真人秀实操经历，设备清单（4K摄影机、专业收音、航拍等）齐全</w:t>
            </w:r>
            <w:r>
              <w:rPr>
                <w:rFonts w:hint="eastAsia" w:ascii="仿宋" w:hAnsi="仿宋" w:cs="仿宋"/>
                <w:b w:val="0"/>
                <w:bCs w:val="0"/>
                <w:color w:val="auto"/>
                <w:sz w:val="24"/>
                <w:highlight w:val="none"/>
                <w:lang w:val="en-US" w:eastAsia="zh-CN"/>
              </w:rPr>
              <w:t>，须提供负责人社保证明及作品署名截图/合同证明或相关证明材料</w:t>
            </w:r>
            <w:r>
              <w:rPr>
                <w:rFonts w:hint="eastAsia" w:ascii="仿宋" w:hAnsi="仿宋" w:eastAsia="仿宋" w:cs="仿宋"/>
                <w:b w:val="0"/>
                <w:bCs w:val="0"/>
                <w:color w:val="auto"/>
                <w:sz w:val="24"/>
                <w:highlight w:val="none"/>
                <w:lang w:val="en-US" w:eastAsia="zh-CN"/>
              </w:rPr>
              <w:t>;</w:t>
            </w:r>
          </w:p>
          <w:p w14:paraId="1ED75CA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实景拍摄与取景方案:取景地选择极具巧思（如雪山、古镇、田野、工坊、市集等），能通过画面语言深度赋能人物故事，画面风格统一且具备电影级质感构想</w:t>
            </w:r>
            <w:r>
              <w:rPr>
                <w:rFonts w:hint="eastAsia" w:ascii="仿宋" w:hAnsi="仿宋" w:cs="仿宋"/>
                <w:b w:val="0"/>
                <w:bCs w:val="0"/>
                <w:color w:val="auto"/>
                <w:sz w:val="24"/>
                <w:highlight w:val="none"/>
                <w:lang w:val="en-US" w:eastAsia="zh-CN"/>
              </w:rPr>
              <w:t>;</w:t>
            </w:r>
          </w:p>
          <w:p w14:paraId="75E8CDCD">
            <w:pPr>
              <w:keepNext w:val="0"/>
              <w:keepLines w:val="0"/>
              <w:pageBreakBefore w:val="0"/>
              <w:widowControl w:val="0"/>
              <w:numPr>
                <w:ilvl w:val="0"/>
                <w:numId w:val="1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后期制作与技术标准</w:t>
            </w:r>
            <w:r>
              <w:rPr>
                <w:rFonts w:hint="eastAsia" w:ascii="仿宋" w:hAnsi="仿宋" w:cs="仿宋"/>
                <w:b/>
                <w:bCs/>
                <w:color w:val="auto"/>
                <w:sz w:val="24"/>
                <w:highlight w:val="none"/>
                <w:lang w:val="en-US" w:eastAsia="zh-CN"/>
              </w:rPr>
              <w:t>（10分）</w:t>
            </w:r>
          </w:p>
          <w:p w14:paraId="1317E71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cs="仿宋"/>
                <w:b w:val="0"/>
                <w:bCs w:val="0"/>
                <w:color w:val="auto"/>
                <w:sz w:val="24"/>
                <w:highlight w:val="none"/>
                <w:lang w:val="en-US" w:eastAsia="zh-CN"/>
              </w:rPr>
            </w:pPr>
            <w:r>
              <w:rPr>
                <w:rFonts w:hint="eastAsia" w:ascii="仿宋" w:hAnsi="仿宋" w:cs="仿宋"/>
                <w:b w:val="0"/>
                <w:bCs w:val="0"/>
                <w:color w:val="auto"/>
                <w:sz w:val="24"/>
                <w:highlight w:val="none"/>
                <w:lang w:val="en-US" w:eastAsia="zh-CN"/>
              </w:rPr>
              <w:t>后期包装与成片质量：</w:t>
            </w:r>
            <w:r>
              <w:rPr>
                <w:rFonts w:hint="eastAsia" w:ascii="仿宋" w:hAnsi="仿宋" w:cs="仿宋"/>
                <w:b w:val="0"/>
                <w:bCs w:val="0"/>
                <w:color w:val="auto"/>
                <w:sz w:val="24"/>
                <w:highlight w:val="none"/>
                <w:lang w:val="en-US" w:eastAsia="zh-CN"/>
              </w:rPr>
              <w:t>可</w:t>
            </w:r>
            <w:r>
              <w:rPr>
                <w:rFonts w:hint="default" w:ascii="仿宋" w:hAnsi="仿宋" w:eastAsia="仿宋" w:cs="仿宋"/>
                <w:b w:val="0"/>
                <w:bCs w:val="0"/>
                <w:color w:val="auto"/>
                <w:sz w:val="24"/>
                <w:highlight w:val="none"/>
                <w:lang w:val="en-US" w:eastAsia="zh-CN"/>
              </w:rPr>
              <w:t>提供1份过往同类作品或样片的后期制作展示（含剪辑节奏、调色风格、字幕包装、配乐）</w:t>
            </w:r>
            <w:r>
              <w:rPr>
                <w:rFonts w:hint="eastAsia" w:ascii="仿宋" w:hAnsi="仿宋" w:cs="仿宋"/>
                <w:b w:val="0"/>
                <w:bCs w:val="0"/>
                <w:color w:val="auto"/>
                <w:sz w:val="24"/>
                <w:highlight w:val="none"/>
                <w:lang w:val="en-US" w:eastAsia="zh-CN"/>
              </w:rPr>
              <w:t>，剪辑节奏精准，调色具有高级电影感或鲜明风格，字幕包装精美，配乐及音效极具感染力；</w:t>
            </w:r>
          </w:p>
          <w:p w14:paraId="041934D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default" w:ascii="仿宋" w:hAnsi="仿宋" w:cs="仿宋"/>
                <w:b w:val="0"/>
                <w:bCs w:val="0"/>
                <w:color w:val="auto"/>
                <w:sz w:val="24"/>
                <w:highlight w:val="none"/>
                <w:lang w:val="en-US" w:eastAsia="zh-CN"/>
              </w:rPr>
            </w:pPr>
            <w:r>
              <w:rPr>
                <w:rFonts w:hint="default" w:ascii="仿宋" w:hAnsi="仿宋" w:cs="仿宋"/>
                <w:b w:val="0"/>
                <w:bCs w:val="0"/>
                <w:color w:val="auto"/>
                <w:sz w:val="24"/>
                <w:highlight w:val="none"/>
                <w:lang w:val="en-US" w:eastAsia="zh-CN"/>
              </w:rPr>
              <w:t>内容合规与版权保障</w:t>
            </w:r>
            <w:r>
              <w:rPr>
                <w:rFonts w:hint="eastAsia" w:ascii="仿宋" w:hAnsi="仿宋" w:cs="仿宋"/>
                <w:b w:val="0"/>
                <w:bCs w:val="0"/>
                <w:color w:val="auto"/>
                <w:sz w:val="24"/>
                <w:highlight w:val="none"/>
                <w:lang w:val="en-US" w:eastAsia="zh-CN"/>
              </w:rPr>
              <w:t>：</w:t>
            </w:r>
            <w:r>
              <w:rPr>
                <w:rFonts w:hint="default" w:ascii="仿宋" w:hAnsi="仿宋" w:cs="仿宋"/>
                <w:b w:val="0"/>
                <w:bCs w:val="0"/>
                <w:color w:val="auto"/>
                <w:sz w:val="24"/>
                <w:highlight w:val="none"/>
                <w:lang w:val="en-US" w:eastAsia="zh-CN"/>
              </w:rPr>
              <w:t>提供确保内容合规、版权无风险的承诺函及具体保障措施（含配乐、字体、素材来源清单、肖像权授权模板等）</w:t>
            </w:r>
          </w:p>
          <w:p w14:paraId="437F56F6">
            <w:pPr>
              <w:keepNext w:val="0"/>
              <w:keepLines w:val="0"/>
              <w:pageBreakBefore w:val="0"/>
              <w:widowControl w:val="0"/>
              <w:numPr>
                <w:ilvl w:val="0"/>
                <w:numId w:val="1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t>播出与宣传推广能力</w:t>
            </w:r>
            <w:r>
              <w:rPr>
                <w:rFonts w:hint="eastAsia" w:ascii="仿宋" w:hAnsi="仿宋" w:cs="仿宋"/>
                <w:b/>
                <w:bCs/>
                <w:color w:val="auto"/>
                <w:sz w:val="24"/>
                <w:highlight w:val="none"/>
                <w:lang w:val="en-US" w:eastAsia="zh-CN"/>
              </w:rPr>
              <w:t>（10分）</w:t>
            </w:r>
          </w:p>
          <w:p w14:paraId="11946EB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cs="仿宋"/>
                <w:b w:val="0"/>
                <w:bCs w:val="0"/>
                <w:color w:val="auto"/>
                <w:sz w:val="24"/>
                <w:highlight w:val="none"/>
                <w:lang w:val="en-US" w:eastAsia="zh-CN"/>
              </w:rPr>
            </w:pPr>
            <w:r>
              <w:rPr>
                <w:rFonts w:hint="default" w:ascii="仿宋" w:hAnsi="仿宋" w:cs="仿宋"/>
                <w:b w:val="0"/>
                <w:bCs w:val="0"/>
                <w:color w:val="auto"/>
                <w:sz w:val="24"/>
                <w:highlight w:val="none"/>
                <w:lang w:val="en-US" w:eastAsia="zh-CN"/>
              </w:rPr>
              <w:t>宣推方案详细周密，包含多轮次预热、爆发期、长尾期传播节奏，设计有爆点话题和跨平台联动策略，</w:t>
            </w:r>
            <w:r>
              <w:rPr>
                <w:rFonts w:hint="default" w:ascii="仿宋" w:hAnsi="仿宋" w:cs="仿宋"/>
                <w:b w:val="0"/>
                <w:bCs w:val="0"/>
                <w:color w:val="auto"/>
                <w:sz w:val="24"/>
                <w:highlight w:val="none"/>
                <w:lang w:val="en-US" w:eastAsia="zh-CN"/>
              </w:rPr>
              <w:t>且能提供以往宣推数据效果截图</w:t>
            </w:r>
            <w:r>
              <w:rPr>
                <w:rFonts w:hint="eastAsia" w:ascii="仿宋" w:hAnsi="仿宋" w:cs="仿宋"/>
                <w:b w:val="0"/>
                <w:bCs w:val="0"/>
                <w:color w:val="auto"/>
                <w:sz w:val="24"/>
                <w:highlight w:val="none"/>
                <w:lang w:val="en-US" w:eastAsia="zh-CN"/>
              </w:rPr>
              <w:t>；有丰富的省级卫视播出案例，排期预案完善，能承诺配合卫视审核快速修改响应；</w:t>
            </w:r>
          </w:p>
          <w:p w14:paraId="6FE1F665">
            <w:pPr>
              <w:keepNext w:val="0"/>
              <w:keepLines w:val="0"/>
              <w:pageBreakBefore w:val="0"/>
              <w:widowControl w:val="0"/>
              <w:numPr>
                <w:ilvl w:val="0"/>
                <w:numId w:val="11"/>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cs="仿宋"/>
                <w:b/>
                <w:bCs/>
                <w:color w:val="auto"/>
                <w:sz w:val="24"/>
                <w:highlight w:val="none"/>
                <w:lang w:val="en-US" w:eastAsia="zh-CN"/>
              </w:rPr>
            </w:pPr>
            <w:r>
              <w:rPr>
                <w:rFonts w:hint="eastAsia" w:ascii="仿宋" w:hAnsi="仿宋" w:cs="仿宋"/>
                <w:b/>
                <w:bCs/>
                <w:color w:val="auto"/>
                <w:sz w:val="24"/>
                <w:highlight w:val="none"/>
                <w:lang w:val="en-US" w:eastAsia="zh-CN"/>
              </w:rPr>
              <w:t>编辑审核方案(10分）</w:t>
            </w:r>
          </w:p>
          <w:p w14:paraId="0091D35F">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right="0" w:rightChars="0"/>
              <w:jc w:val="left"/>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color w:val="auto"/>
                <w:highlight w:val="none"/>
              </w:rPr>
              <w:t>流程完整且规范，各环节责任到人、记录清晰</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内容质量极高，无任何错误，逻辑严谨，可读性强</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审核内容全面，对各方面把控严格</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推广策略针对性强，目标明确，渠道与方式选择恰当，时间节点合理</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内容来源标注规范统一，位置明显，信息准确完整</w:t>
            </w:r>
            <w:r>
              <w:rPr>
                <w:rFonts w:hint="eastAsia" w:ascii="仿宋" w:hAnsi="仿宋" w:cs="仿宋"/>
                <w:color w:val="auto"/>
                <w:highlight w:val="none"/>
                <w:lang w:eastAsia="zh-CN"/>
              </w:rPr>
              <w:t>；</w:t>
            </w:r>
          </w:p>
          <w:p w14:paraId="6D0875A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评审说明</w:t>
            </w:r>
          </w:p>
          <w:p w14:paraId="283F41A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本项满分</w:t>
            </w:r>
            <w:r>
              <w:rPr>
                <w:rFonts w:hint="eastAsia" w:ascii="仿宋" w:hAnsi="仿宋" w:cs="仿宋"/>
                <w:color w:val="auto"/>
                <w:sz w:val="24"/>
                <w:highlight w:val="none"/>
                <w:lang w:val="en-US" w:eastAsia="zh-CN"/>
              </w:rPr>
              <w:t>50</w:t>
            </w:r>
            <w:r>
              <w:rPr>
                <w:rFonts w:hint="eastAsia" w:ascii="仿宋" w:hAnsi="仿宋" w:eastAsia="仿宋" w:cs="仿宋"/>
                <w:color w:val="auto"/>
                <w:sz w:val="24"/>
                <w:highlight w:val="none"/>
                <w:lang w:val="en-US" w:eastAsia="zh-CN"/>
              </w:rPr>
              <w:t>分，设</w:t>
            </w:r>
            <w:r>
              <w:rPr>
                <w:rFonts w:hint="eastAsia" w:ascii="仿宋" w:hAnsi="仿宋" w:cs="仿宋"/>
                <w:color w:val="auto"/>
                <w:sz w:val="24"/>
                <w:highlight w:val="none"/>
                <w:lang w:val="en-US" w:eastAsia="zh-CN"/>
              </w:rPr>
              <w:t>5</w:t>
            </w:r>
            <w:r>
              <w:rPr>
                <w:rFonts w:hint="eastAsia" w:ascii="仿宋" w:hAnsi="仿宋" w:eastAsia="仿宋" w:cs="仿宋"/>
                <w:color w:val="auto"/>
                <w:sz w:val="24"/>
                <w:highlight w:val="none"/>
                <w:lang w:val="en-US" w:eastAsia="zh-CN"/>
              </w:rPr>
              <w:t>个子项，单项分值</w:t>
            </w:r>
            <w:r>
              <w:rPr>
                <w:rFonts w:hint="eastAsia" w:ascii="仿宋" w:hAnsi="仿宋" w:cs="仿宋"/>
                <w:color w:val="auto"/>
                <w:sz w:val="24"/>
                <w:highlight w:val="none"/>
                <w:lang w:val="en-US" w:eastAsia="zh-CN"/>
              </w:rPr>
              <w:t>10</w:t>
            </w:r>
            <w:r>
              <w:rPr>
                <w:rFonts w:hint="eastAsia" w:ascii="仿宋" w:hAnsi="仿宋" w:eastAsia="仿宋" w:cs="仿宋"/>
                <w:color w:val="auto"/>
                <w:sz w:val="24"/>
                <w:highlight w:val="none"/>
                <w:lang w:val="en-US" w:eastAsia="zh-CN"/>
              </w:rPr>
              <w:t>分。任意子项内容缺失的，扣</w:t>
            </w:r>
            <w:r>
              <w:rPr>
                <w:rFonts w:hint="eastAsia" w:ascii="仿宋" w:hAnsi="仿宋" w:cs="仿宋"/>
                <w:color w:val="auto"/>
                <w:sz w:val="24"/>
                <w:highlight w:val="none"/>
                <w:lang w:val="en-US" w:eastAsia="zh-CN"/>
              </w:rPr>
              <w:t>10</w:t>
            </w:r>
            <w:r>
              <w:rPr>
                <w:rFonts w:hint="eastAsia" w:ascii="仿宋" w:hAnsi="仿宋" w:eastAsia="仿宋" w:cs="仿宋"/>
                <w:color w:val="auto"/>
                <w:sz w:val="24"/>
                <w:highlight w:val="none"/>
                <w:lang w:val="en-US" w:eastAsia="zh-CN"/>
              </w:rPr>
              <w:t>分；各子项存在内容不完整、存在缺陷、与项目不匹配问题的，每处扣</w:t>
            </w: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分，单项最高扣</w:t>
            </w:r>
            <w:r>
              <w:rPr>
                <w:rFonts w:hint="eastAsia" w:ascii="仿宋" w:hAnsi="仿宋" w:cs="仿宋"/>
                <w:color w:val="auto"/>
                <w:sz w:val="24"/>
                <w:highlight w:val="none"/>
                <w:lang w:val="en-US" w:eastAsia="zh-CN"/>
              </w:rPr>
              <w:t>10</w:t>
            </w:r>
            <w:r>
              <w:rPr>
                <w:rFonts w:hint="eastAsia" w:ascii="仿宋" w:hAnsi="仿宋" w:eastAsia="仿宋" w:cs="仿宋"/>
                <w:color w:val="auto"/>
                <w:sz w:val="24"/>
                <w:highlight w:val="none"/>
                <w:lang w:val="en-US" w:eastAsia="zh-CN"/>
              </w:rPr>
              <w:t>分，扣完本项分值为止。</w:t>
            </w:r>
          </w:p>
          <w:p w14:paraId="0F013CA4">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注：本评分细则中，内容不完整、存在缺陷、与项目不匹配定义：非针对本项目定制、不符合项目特性、缺失关键内容及关键节点、套用通用/其他项目方案、内容前后矛盾、引用规范标准错误、脱离项目实际需求、不利于项目落地实施、方案不具备可实现性等任一情形。</w:t>
            </w:r>
          </w:p>
        </w:tc>
      </w:tr>
      <w:tr w14:paraId="2DDC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E79BE0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544D4B9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338" w:type="dxa"/>
            <w:vMerge w:val="continue"/>
            <w:vAlign w:val="center"/>
          </w:tcPr>
          <w:p w14:paraId="1EAD1861">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45" w:type="dxa"/>
            <w:vMerge w:val="continue"/>
            <w:vAlign w:val="center"/>
          </w:tcPr>
          <w:p w14:paraId="11C41D2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76" w:type="dxa"/>
            <w:vMerge w:val="continue"/>
            <w:vAlign w:val="center"/>
          </w:tcPr>
          <w:p w14:paraId="4F9358B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1354" w:type="dxa"/>
            <w:vAlign w:val="center"/>
          </w:tcPr>
          <w:p w14:paraId="1B9D6F5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3.项目服务与配合能力（6分）</w:t>
            </w:r>
          </w:p>
        </w:tc>
        <w:tc>
          <w:tcPr>
            <w:tcW w:w="5295" w:type="dxa"/>
            <w:vAlign w:val="center"/>
          </w:tcPr>
          <w:p w14:paraId="528CBC0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评审内容</w:t>
            </w:r>
          </w:p>
          <w:p w14:paraId="49447E2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cs="仿宋"/>
                <w:b/>
                <w:bCs/>
                <w:color w:val="auto"/>
                <w:sz w:val="24"/>
                <w:highlight w:val="none"/>
                <w:lang w:val="en-US" w:eastAsia="zh-CN"/>
              </w:rPr>
              <w:t>（一）</w:t>
            </w:r>
            <w:r>
              <w:rPr>
                <w:rFonts w:hint="eastAsia" w:ascii="仿宋" w:hAnsi="仿宋" w:eastAsia="仿宋" w:cs="仿宋"/>
                <w:b/>
                <w:bCs/>
                <w:color w:val="auto"/>
                <w:sz w:val="24"/>
                <w:highlight w:val="none"/>
                <w:lang w:val="en-US" w:eastAsia="zh-CN"/>
              </w:rPr>
              <w:t>修改服务与响应承诺（</w:t>
            </w:r>
            <w:r>
              <w:rPr>
                <w:rFonts w:hint="eastAsia" w:ascii="仿宋" w:hAnsi="仿宋" w:cs="仿宋"/>
                <w:b/>
                <w:bCs/>
                <w:color w:val="auto"/>
                <w:sz w:val="24"/>
                <w:highlight w:val="none"/>
                <w:lang w:val="en-US" w:eastAsia="zh-CN"/>
              </w:rPr>
              <w:t>3分</w:t>
            </w:r>
            <w:r>
              <w:rPr>
                <w:rFonts w:hint="eastAsia" w:ascii="仿宋" w:hAnsi="仿宋" w:eastAsia="仿宋" w:cs="仿宋"/>
                <w:b/>
                <w:bCs/>
                <w:color w:val="auto"/>
                <w:sz w:val="24"/>
                <w:highlight w:val="none"/>
                <w:lang w:val="en-US" w:eastAsia="zh-CN"/>
              </w:rPr>
              <w:t>）</w:t>
            </w:r>
          </w:p>
          <w:p w14:paraId="7110D86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提供修改服务承诺（如免费修改次数、响应时效、加急预案），承诺具体、详细；</w:t>
            </w:r>
          </w:p>
          <w:p w14:paraId="29E0AFD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cs="仿宋"/>
                <w:b/>
                <w:bCs/>
                <w:color w:val="auto"/>
                <w:sz w:val="24"/>
                <w:highlight w:val="none"/>
                <w:lang w:val="en-US" w:eastAsia="zh-CN"/>
              </w:rPr>
              <w:t>（二）</w:t>
            </w:r>
            <w:r>
              <w:rPr>
                <w:rFonts w:hint="eastAsia" w:ascii="仿宋" w:hAnsi="仿宋" w:eastAsia="仿宋" w:cs="仿宋"/>
                <w:b/>
                <w:bCs/>
                <w:color w:val="auto"/>
                <w:sz w:val="24"/>
                <w:highlight w:val="none"/>
                <w:lang w:val="en-US" w:eastAsia="zh-CN"/>
              </w:rPr>
              <w:t>项目验收与资料交付</w:t>
            </w:r>
            <w:r>
              <w:rPr>
                <w:rFonts w:hint="eastAsia" w:ascii="仿宋" w:hAnsi="仿宋" w:cs="仿宋"/>
                <w:b/>
                <w:bCs/>
                <w:color w:val="auto"/>
                <w:sz w:val="24"/>
                <w:highlight w:val="none"/>
                <w:lang w:val="en-US" w:eastAsia="zh-CN"/>
              </w:rPr>
              <w:t>（3分）</w:t>
            </w:r>
          </w:p>
          <w:p w14:paraId="70D5562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验收流程清晰严谨，提供全套验收资料模板（含验收台账、修改记录单、播出证明汇总表等），能实现全流程可追溯管理</w:t>
            </w:r>
            <w:r>
              <w:rPr>
                <w:rFonts w:hint="eastAsia" w:ascii="仿宋" w:hAnsi="仿宋" w:cs="仿宋"/>
                <w:color w:val="auto"/>
                <w:sz w:val="24"/>
                <w:highlight w:val="none"/>
                <w:lang w:val="en-US" w:eastAsia="zh-CN"/>
              </w:rPr>
              <w:t>；</w:t>
            </w:r>
          </w:p>
          <w:p w14:paraId="00A367B6">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评审说明</w:t>
            </w:r>
          </w:p>
          <w:p w14:paraId="58A0B7A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本项满分</w:t>
            </w:r>
            <w:r>
              <w:rPr>
                <w:rFonts w:hint="eastAsia" w:ascii="仿宋" w:hAnsi="仿宋" w:cs="仿宋"/>
                <w:color w:val="auto"/>
                <w:sz w:val="24"/>
                <w:highlight w:val="none"/>
                <w:lang w:val="en-US" w:eastAsia="zh-CN"/>
              </w:rPr>
              <w:t>6</w:t>
            </w:r>
            <w:r>
              <w:rPr>
                <w:rFonts w:hint="eastAsia" w:ascii="仿宋" w:hAnsi="仿宋" w:eastAsia="仿宋" w:cs="仿宋"/>
                <w:color w:val="auto"/>
                <w:sz w:val="24"/>
                <w:highlight w:val="none"/>
                <w:lang w:val="en-US" w:eastAsia="zh-CN"/>
              </w:rPr>
              <w:t>分，设</w:t>
            </w: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个子项，单项分值</w:t>
            </w:r>
            <w:r>
              <w:rPr>
                <w:rFonts w:hint="eastAsia" w:ascii="仿宋" w:hAnsi="仿宋" w:cs="仿宋"/>
                <w:color w:val="auto"/>
                <w:sz w:val="24"/>
                <w:highlight w:val="none"/>
                <w:lang w:val="en-US" w:eastAsia="zh-CN"/>
              </w:rPr>
              <w:t>6</w:t>
            </w:r>
            <w:r>
              <w:rPr>
                <w:rFonts w:hint="eastAsia" w:ascii="仿宋" w:hAnsi="仿宋" w:eastAsia="仿宋" w:cs="仿宋"/>
                <w:color w:val="auto"/>
                <w:sz w:val="24"/>
                <w:highlight w:val="none"/>
                <w:lang w:val="en-US" w:eastAsia="zh-CN"/>
              </w:rPr>
              <w:t>分。任意子项内容缺失的，扣</w:t>
            </w: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分；各子项存在内容不完整、存在缺陷、与项目不匹配问题的，每处扣</w:t>
            </w: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val="en-US" w:eastAsia="zh-CN"/>
              </w:rPr>
              <w:t>分，单项最高扣</w:t>
            </w: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分，扣完本项分值为止。</w:t>
            </w:r>
          </w:p>
          <w:p w14:paraId="4FAADAD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注：本评分细则中，内容不完整、存在缺陷、与项目不匹配定义：非针对本项目定制、不符合项目特性、缺失关键内容及关键节点、套用通用/其他项目方案、内容前后矛盾、引用规范标准错误、脱离项目实际需求、不利于项目落地实施、方案不具备可实现性等任一情形。</w:t>
            </w:r>
          </w:p>
        </w:tc>
      </w:tr>
      <w:tr w14:paraId="6B2A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5028D74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6DD84ED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338" w:type="dxa"/>
            <w:vMerge w:val="restart"/>
            <w:vAlign w:val="center"/>
          </w:tcPr>
          <w:p w14:paraId="1F97E69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645" w:type="dxa"/>
            <w:vMerge w:val="restart"/>
            <w:vAlign w:val="center"/>
          </w:tcPr>
          <w:p w14:paraId="4B4A67C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商务部分评分F3</w:t>
            </w:r>
          </w:p>
        </w:tc>
        <w:tc>
          <w:tcPr>
            <w:tcW w:w="676" w:type="dxa"/>
            <w:vMerge w:val="restart"/>
            <w:vAlign w:val="center"/>
          </w:tcPr>
          <w:p w14:paraId="7F589B2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满分</w:t>
            </w:r>
            <w:r>
              <w:rPr>
                <w:rFonts w:hint="eastAsia" w:ascii="仿宋" w:hAnsi="仿宋" w:cs="仿宋"/>
                <w:color w:val="auto"/>
                <w:sz w:val="24"/>
                <w:highlight w:val="none"/>
                <w:lang w:val="en-US" w:eastAsia="zh-CN"/>
              </w:rPr>
              <w:t>22</w:t>
            </w:r>
            <w:r>
              <w:rPr>
                <w:rFonts w:hint="eastAsia" w:ascii="仿宋" w:hAnsi="仿宋" w:eastAsia="仿宋" w:cs="仿宋"/>
                <w:color w:val="auto"/>
                <w:sz w:val="24"/>
                <w:highlight w:val="none"/>
              </w:rPr>
              <w:t>分</w:t>
            </w:r>
          </w:p>
        </w:tc>
        <w:tc>
          <w:tcPr>
            <w:tcW w:w="1354" w:type="dxa"/>
            <w:vAlign w:val="center"/>
          </w:tcPr>
          <w:p w14:paraId="59570CB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highlight w:val="none"/>
              </w:rPr>
              <w:t>售后及</w:t>
            </w:r>
            <w:r>
              <w:rPr>
                <w:rFonts w:ascii="仿宋" w:hAnsi="仿宋" w:eastAsia="仿宋" w:cs="仿宋"/>
                <w:color w:val="auto"/>
                <w:highlight w:val="none"/>
              </w:rPr>
              <w:t>应急方案</w:t>
            </w:r>
            <w:r>
              <w:rPr>
                <w:rFonts w:hint="eastAsia" w:ascii="仿宋" w:hAnsi="仿宋" w:eastAsia="仿宋" w:cs="仿宋"/>
                <w:color w:val="auto"/>
                <w:sz w:val="24"/>
                <w:highlight w:val="none"/>
                <w:lang w:val="en-US" w:eastAsia="zh-CN"/>
              </w:rPr>
              <w:t>（满分1</w:t>
            </w: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分）</w:t>
            </w:r>
          </w:p>
        </w:tc>
        <w:tc>
          <w:tcPr>
            <w:tcW w:w="5295" w:type="dxa"/>
            <w:vAlign w:val="center"/>
          </w:tcPr>
          <w:p w14:paraId="7951B61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cs="仿宋"/>
                <w:b/>
                <w:bCs/>
                <w:color w:val="auto"/>
                <w:sz w:val="24"/>
                <w:highlight w:val="none"/>
                <w:lang w:val="en-US" w:eastAsia="zh-CN"/>
              </w:rPr>
            </w:pPr>
            <w:r>
              <w:rPr>
                <w:rFonts w:hint="eastAsia" w:ascii="仿宋" w:hAnsi="仿宋" w:cs="仿宋"/>
                <w:b/>
                <w:bCs/>
                <w:color w:val="auto"/>
                <w:sz w:val="24"/>
                <w:highlight w:val="none"/>
                <w:lang w:val="en-US" w:eastAsia="zh-CN"/>
              </w:rPr>
              <w:t>评审内容：</w:t>
            </w:r>
          </w:p>
          <w:p w14:paraId="7D2D262F">
            <w:pPr>
              <w:keepNext w:val="0"/>
              <w:keepLines w:val="0"/>
              <w:pageBreakBefore w:val="0"/>
              <w:widowControl w:val="0"/>
              <w:numPr>
                <w:ilvl w:val="0"/>
                <w:numId w:val="1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响应时间</w:t>
            </w:r>
            <w:r>
              <w:rPr>
                <w:rFonts w:hint="eastAsia" w:ascii="仿宋" w:hAnsi="仿宋" w:cs="仿宋"/>
                <w:b/>
                <w:bCs/>
                <w:color w:val="auto"/>
                <w:highlight w:val="none"/>
                <w:lang w:eastAsia="zh-CN"/>
              </w:rPr>
              <w:t>（</w:t>
            </w:r>
            <w:r>
              <w:rPr>
                <w:rFonts w:hint="eastAsia" w:ascii="仿宋" w:hAnsi="仿宋" w:cs="仿宋"/>
                <w:b/>
                <w:bCs/>
                <w:color w:val="auto"/>
                <w:highlight w:val="none"/>
                <w:lang w:val="en-US" w:eastAsia="zh-CN"/>
              </w:rPr>
              <w:t>3分</w:t>
            </w:r>
            <w:r>
              <w:rPr>
                <w:rFonts w:hint="eastAsia" w:ascii="仿宋" w:hAnsi="仿宋" w:cs="仿宋"/>
                <w:b/>
                <w:bCs/>
                <w:color w:val="auto"/>
                <w:highlight w:val="none"/>
                <w:lang w:eastAsia="zh-CN"/>
              </w:rPr>
              <w:t>）</w:t>
            </w:r>
          </w:p>
          <w:p w14:paraId="15CCC73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响应时间划分清晰、具体，符合各类突发情况的处置时效要求，责任主体明确，具备完善的延误补救和追责机制</w:t>
            </w:r>
            <w:r>
              <w:rPr>
                <w:rFonts w:hint="eastAsia" w:ascii="仿宋" w:hAnsi="仿宋" w:cs="仿宋"/>
                <w:color w:val="auto"/>
                <w:highlight w:val="none"/>
                <w:lang w:eastAsia="zh-CN"/>
              </w:rPr>
              <w:t>；</w:t>
            </w:r>
          </w:p>
          <w:p w14:paraId="3193E83E">
            <w:pPr>
              <w:keepNext w:val="0"/>
              <w:keepLines w:val="0"/>
              <w:pageBreakBefore w:val="0"/>
              <w:widowControl w:val="0"/>
              <w:numPr>
                <w:ilvl w:val="0"/>
                <w:numId w:val="12"/>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highlight w:val="none"/>
              </w:rPr>
            </w:pPr>
            <w:r>
              <w:rPr>
                <w:rFonts w:hint="eastAsia" w:ascii="仿宋" w:hAnsi="仿宋" w:eastAsia="仿宋" w:cs="仿宋"/>
                <w:b/>
                <w:bCs/>
                <w:color w:val="auto"/>
                <w:highlight w:val="none"/>
              </w:rPr>
              <w:t>响应方式及响应人员</w:t>
            </w:r>
            <w:r>
              <w:rPr>
                <w:rFonts w:hint="eastAsia" w:ascii="仿宋" w:hAnsi="仿宋" w:cs="仿宋"/>
                <w:b/>
                <w:bCs/>
                <w:color w:val="auto"/>
                <w:highlight w:val="none"/>
                <w:lang w:eastAsia="zh-CN"/>
              </w:rPr>
              <w:t>（</w:t>
            </w:r>
            <w:r>
              <w:rPr>
                <w:rFonts w:hint="eastAsia" w:ascii="仿宋" w:hAnsi="仿宋" w:cs="仿宋"/>
                <w:b/>
                <w:bCs/>
                <w:color w:val="auto"/>
                <w:highlight w:val="none"/>
                <w:lang w:val="en-US" w:eastAsia="zh-CN"/>
              </w:rPr>
              <w:t>3分</w:t>
            </w:r>
            <w:r>
              <w:rPr>
                <w:rFonts w:hint="eastAsia" w:ascii="仿宋" w:hAnsi="仿宋" w:cs="仿宋"/>
                <w:b/>
                <w:bCs/>
                <w:color w:val="auto"/>
                <w:highlight w:val="none"/>
                <w:lang w:eastAsia="zh-CN"/>
              </w:rPr>
              <w:t>）</w:t>
            </w:r>
          </w:p>
          <w:p w14:paraId="11A327A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响应方式多样且针对性强，操作流程规范详细，人员配置科学合理，职责分工明确，人员调配机制高效</w:t>
            </w:r>
            <w:r>
              <w:rPr>
                <w:rFonts w:hint="eastAsia" w:ascii="仿宋" w:hAnsi="仿宋" w:cs="仿宋"/>
                <w:color w:val="auto"/>
                <w:highlight w:val="none"/>
                <w:lang w:eastAsia="zh-CN"/>
              </w:rPr>
              <w:t>；</w:t>
            </w:r>
          </w:p>
          <w:p w14:paraId="40BEFBB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b/>
                <w:bCs/>
                <w:color w:val="auto"/>
                <w:highlight w:val="none"/>
              </w:rPr>
            </w:pPr>
            <w:r>
              <w:rPr>
                <w:rFonts w:hint="eastAsia" w:ascii="仿宋" w:hAnsi="仿宋" w:cs="仿宋"/>
                <w:b/>
                <w:bCs/>
                <w:color w:val="auto"/>
                <w:highlight w:val="none"/>
                <w:lang w:eastAsia="zh-CN"/>
              </w:rPr>
              <w:t>（</w:t>
            </w:r>
            <w:r>
              <w:rPr>
                <w:rFonts w:hint="eastAsia" w:ascii="仿宋" w:hAnsi="仿宋" w:cs="仿宋"/>
                <w:b/>
                <w:bCs/>
                <w:color w:val="auto"/>
                <w:highlight w:val="none"/>
                <w:lang w:val="en-US" w:eastAsia="zh-CN"/>
              </w:rPr>
              <w:t>三</w:t>
            </w:r>
            <w:r>
              <w:rPr>
                <w:rFonts w:hint="eastAsia" w:ascii="仿宋" w:hAnsi="仿宋" w:cs="仿宋"/>
                <w:b/>
                <w:bCs/>
                <w:color w:val="auto"/>
                <w:highlight w:val="none"/>
                <w:lang w:eastAsia="zh-CN"/>
              </w:rPr>
              <w:t>）</w:t>
            </w:r>
            <w:r>
              <w:rPr>
                <w:rFonts w:hint="eastAsia" w:ascii="仿宋" w:hAnsi="仿宋" w:eastAsia="仿宋" w:cs="仿宋"/>
                <w:b/>
                <w:bCs/>
                <w:color w:val="auto"/>
                <w:highlight w:val="none"/>
              </w:rPr>
              <w:t>应急处置方案</w:t>
            </w:r>
            <w:r>
              <w:rPr>
                <w:rFonts w:hint="eastAsia" w:ascii="仿宋" w:hAnsi="仿宋" w:cs="仿宋"/>
                <w:b/>
                <w:bCs/>
                <w:color w:val="auto"/>
                <w:highlight w:val="none"/>
                <w:lang w:eastAsia="zh-CN"/>
              </w:rPr>
              <w:t>（</w:t>
            </w:r>
            <w:r>
              <w:rPr>
                <w:rFonts w:hint="eastAsia" w:ascii="仿宋" w:hAnsi="仿宋" w:cs="仿宋"/>
                <w:b/>
                <w:bCs/>
                <w:color w:val="auto"/>
                <w:highlight w:val="none"/>
                <w:lang w:val="en-US" w:eastAsia="zh-CN"/>
              </w:rPr>
              <w:t>3分</w:t>
            </w:r>
            <w:r>
              <w:rPr>
                <w:rFonts w:hint="eastAsia" w:ascii="仿宋" w:hAnsi="仿宋" w:cs="仿宋"/>
                <w:b/>
                <w:bCs/>
                <w:color w:val="auto"/>
                <w:highlight w:val="none"/>
                <w:lang w:eastAsia="zh-CN"/>
              </w:rPr>
              <w:t>）</w:t>
            </w:r>
          </w:p>
          <w:p w14:paraId="3E8DDCB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天气、场地、人员变化</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针对拍摄过程中可能出现的天气变化、设备故障、人员变动等风险，制定了具体、可行的应对预案，降低项目延误风险等</w:t>
            </w:r>
            <w:r>
              <w:rPr>
                <w:rFonts w:hint="eastAsia" w:ascii="仿宋" w:hAnsi="仿宋" w:cs="仿宋"/>
                <w:color w:val="auto"/>
                <w:highlight w:val="none"/>
                <w:lang w:eastAsia="zh-CN"/>
              </w:rPr>
              <w:t>；</w:t>
            </w:r>
          </w:p>
          <w:p w14:paraId="5F01733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b/>
                <w:bCs/>
                <w:color w:val="auto"/>
                <w:highlight w:val="none"/>
              </w:rPr>
            </w:pPr>
            <w:r>
              <w:rPr>
                <w:rFonts w:hint="eastAsia" w:ascii="仿宋" w:hAnsi="仿宋" w:cs="仿宋"/>
                <w:b/>
                <w:bCs/>
                <w:color w:val="auto"/>
                <w:highlight w:val="none"/>
                <w:lang w:eastAsia="zh-CN"/>
              </w:rPr>
              <w:t>（</w:t>
            </w:r>
            <w:r>
              <w:rPr>
                <w:rFonts w:hint="eastAsia" w:ascii="仿宋" w:hAnsi="仿宋" w:cs="仿宋"/>
                <w:b/>
                <w:bCs/>
                <w:color w:val="auto"/>
                <w:highlight w:val="none"/>
                <w:lang w:val="en-US" w:eastAsia="zh-CN"/>
              </w:rPr>
              <w:t>四</w:t>
            </w:r>
            <w:r>
              <w:rPr>
                <w:rFonts w:hint="eastAsia" w:ascii="仿宋" w:hAnsi="仿宋" w:cs="仿宋"/>
                <w:b/>
                <w:bCs/>
                <w:color w:val="auto"/>
                <w:highlight w:val="none"/>
                <w:lang w:eastAsia="zh-CN"/>
              </w:rPr>
              <w:t>）</w:t>
            </w:r>
            <w:r>
              <w:rPr>
                <w:rFonts w:hint="eastAsia" w:ascii="仿宋" w:hAnsi="仿宋" w:eastAsia="仿宋" w:cs="仿宋"/>
                <w:b/>
                <w:bCs/>
                <w:color w:val="auto"/>
                <w:highlight w:val="none"/>
              </w:rPr>
              <w:t>对相关舆情处置方案</w:t>
            </w:r>
            <w:r>
              <w:rPr>
                <w:rFonts w:hint="eastAsia" w:ascii="仿宋" w:hAnsi="仿宋" w:cs="仿宋"/>
                <w:b/>
                <w:bCs/>
                <w:color w:val="auto"/>
                <w:highlight w:val="none"/>
                <w:lang w:eastAsia="zh-CN"/>
              </w:rPr>
              <w:t>（</w:t>
            </w:r>
            <w:r>
              <w:rPr>
                <w:rFonts w:hint="eastAsia" w:ascii="仿宋" w:hAnsi="仿宋" w:cs="仿宋"/>
                <w:b/>
                <w:bCs/>
                <w:color w:val="auto"/>
                <w:highlight w:val="none"/>
                <w:lang w:val="en-US" w:eastAsia="zh-CN"/>
              </w:rPr>
              <w:t>3分</w:t>
            </w:r>
            <w:r>
              <w:rPr>
                <w:rFonts w:hint="eastAsia" w:ascii="仿宋" w:hAnsi="仿宋" w:cs="仿宋"/>
                <w:b/>
                <w:bCs/>
                <w:color w:val="auto"/>
                <w:highlight w:val="none"/>
                <w:lang w:eastAsia="zh-CN"/>
              </w:rPr>
              <w:t>）</w:t>
            </w:r>
          </w:p>
          <w:p w14:paraId="2E5A9B4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舆情处置目标清晰，机制完善，分类科学，流程规范，措施有效</w:t>
            </w:r>
            <w:r>
              <w:rPr>
                <w:rFonts w:hint="eastAsia" w:ascii="仿宋" w:hAnsi="仿宋" w:cs="仿宋"/>
                <w:color w:val="auto"/>
                <w:highlight w:val="none"/>
                <w:lang w:eastAsia="zh-CN"/>
              </w:rPr>
              <w:t>；</w:t>
            </w:r>
          </w:p>
          <w:p w14:paraId="5F55473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评审说明</w:t>
            </w:r>
          </w:p>
          <w:p w14:paraId="721B43B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本项满分</w:t>
            </w:r>
            <w:r>
              <w:rPr>
                <w:rFonts w:hint="eastAsia" w:ascii="仿宋" w:hAnsi="仿宋" w:cs="仿宋"/>
                <w:color w:val="auto"/>
                <w:sz w:val="24"/>
                <w:highlight w:val="none"/>
                <w:lang w:val="en-US" w:eastAsia="zh-CN"/>
              </w:rPr>
              <w:t>12</w:t>
            </w:r>
            <w:r>
              <w:rPr>
                <w:rFonts w:hint="eastAsia" w:ascii="仿宋" w:hAnsi="仿宋" w:eastAsia="仿宋" w:cs="仿宋"/>
                <w:color w:val="auto"/>
                <w:sz w:val="24"/>
                <w:highlight w:val="none"/>
                <w:lang w:val="en-US" w:eastAsia="zh-CN"/>
              </w:rPr>
              <w:t>分，设</w:t>
            </w: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lang w:val="en-US" w:eastAsia="zh-CN"/>
              </w:rPr>
              <w:t>个子项，单项分值</w:t>
            </w: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分。任意子项内容缺失的，扣</w:t>
            </w: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分；各子项存在内容不完整、存在缺陷、与项目不匹配问题的，每处扣</w:t>
            </w: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val="en-US" w:eastAsia="zh-CN"/>
              </w:rPr>
              <w:t>分，单项最高扣</w:t>
            </w: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分，扣完本项分值为止。</w:t>
            </w:r>
          </w:p>
          <w:p w14:paraId="2A39FE6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宋体" w:cs="仿宋"/>
                <w:color w:val="auto"/>
                <w:sz w:val="24"/>
                <w:highlight w:val="none"/>
                <w:lang w:val="en-US" w:eastAsia="zh-CN"/>
              </w:rPr>
            </w:pPr>
            <w:r>
              <w:rPr>
                <w:rFonts w:hint="eastAsia" w:ascii="仿宋" w:hAnsi="仿宋" w:eastAsia="仿宋" w:cs="仿宋"/>
                <w:color w:val="auto"/>
                <w:sz w:val="24"/>
                <w:highlight w:val="none"/>
                <w:lang w:val="en-US" w:eastAsia="zh-CN"/>
              </w:rPr>
              <w:t>注：本评分细则中，内容不完整、存在缺陷、与项目不匹配定义：非针对本项目定制、不符合项目特性、缺失关键内容及关键节点、套用通用/其他项目方案、内容前后矛盾、引用规范标准错误、脱离项目实际需求、不利于项目落地实施、方案不具备可实现性等任一情形。</w:t>
            </w:r>
          </w:p>
        </w:tc>
      </w:tr>
      <w:tr w14:paraId="23334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8FB695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247356A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338" w:type="dxa"/>
            <w:vMerge w:val="continue"/>
            <w:vAlign w:val="center"/>
          </w:tcPr>
          <w:p w14:paraId="16C259B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45" w:type="dxa"/>
            <w:vMerge w:val="continue"/>
            <w:vAlign w:val="center"/>
          </w:tcPr>
          <w:p w14:paraId="1166728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76" w:type="dxa"/>
            <w:vMerge w:val="continue"/>
            <w:vAlign w:val="center"/>
          </w:tcPr>
          <w:p w14:paraId="4B3E806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1354" w:type="dxa"/>
            <w:vAlign w:val="center"/>
          </w:tcPr>
          <w:p w14:paraId="78C41D5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2.保密管理及承诺（满分6分）</w:t>
            </w:r>
          </w:p>
        </w:tc>
        <w:tc>
          <w:tcPr>
            <w:tcW w:w="5295" w:type="dxa"/>
            <w:vAlign w:val="center"/>
          </w:tcPr>
          <w:p w14:paraId="4D112187">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评审内容：</w:t>
            </w:r>
          </w:p>
          <w:p w14:paraId="11EE9302">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（一）保密管理方案（3分）</w:t>
            </w:r>
          </w:p>
          <w:p w14:paraId="7D4126C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需围绕本项目实际需求，内容全面、完整，具备可落地性和可操作性，能够有效防范本项目相关保密信息泄露风险。</w:t>
            </w:r>
          </w:p>
          <w:p w14:paraId="3AFB76E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（二）保密承诺（3分）</w:t>
            </w:r>
          </w:p>
          <w:p w14:paraId="5685308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需针对本项目专属制定，内容全面、完整，配套的保密措施具体、完善，切实可行，</w:t>
            </w:r>
            <w:r>
              <w:rPr>
                <w:rFonts w:hint="eastAsia" w:ascii="仿宋" w:hAnsi="仿宋" w:eastAsia="仿宋" w:cs="仿宋"/>
                <w:color w:val="auto"/>
                <w:sz w:val="24"/>
                <w:highlight w:val="none"/>
                <w:lang w:val="en-US" w:eastAsia="zh-CN"/>
              </w:rPr>
              <w:t>能够保障保密承诺落地执行。</w:t>
            </w:r>
          </w:p>
          <w:p w14:paraId="124224D4">
            <w:pPr>
              <w:pStyle w:val="94"/>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val="0"/>
              <w:spacing w:before="0" w:after="0" w:line="360" w:lineRule="auto"/>
              <w:ind w:left="0" w:leftChars="0" w:right="0" w:rightChars="0" w:firstLine="0" w:firstLineChars="0"/>
              <w:jc w:val="left"/>
              <w:textAlignment w:val="auto"/>
              <w:rPr>
                <w:rFonts w:hint="eastAsia" w:ascii="仿宋" w:hAnsi="仿宋" w:eastAsia="仿宋" w:cs="仿宋"/>
                <w:color w:val="auto"/>
                <w:sz w:val="24"/>
                <w:szCs w:val="24"/>
                <w:highlight w:val="none"/>
                <w:lang w:val="en-US" w:eastAsia="zh-CN"/>
              </w:rPr>
            </w:pPr>
            <w:bookmarkStart w:id="441" w:name="_Toc27280"/>
            <w:bookmarkStart w:id="442" w:name="_Toc3904"/>
            <w:bookmarkStart w:id="443" w:name="_Toc15155"/>
            <w:bookmarkStart w:id="444" w:name="_Toc29962"/>
            <w:r>
              <w:rPr>
                <w:rFonts w:hint="eastAsia" w:ascii="仿宋" w:hAnsi="仿宋" w:eastAsia="仿宋" w:cs="仿宋"/>
                <w:b/>
                <w:bCs/>
                <w:color w:val="auto"/>
                <w:sz w:val="24"/>
                <w:szCs w:val="24"/>
                <w:highlight w:val="none"/>
                <w:lang w:val="en-US" w:eastAsia="zh-CN"/>
              </w:rPr>
              <w:t>评审说明：</w:t>
            </w:r>
            <w:r>
              <w:rPr>
                <w:rFonts w:hint="eastAsia" w:ascii="仿宋" w:hAnsi="仿宋" w:eastAsia="仿宋" w:cs="仿宋"/>
                <w:color w:val="auto"/>
                <w:sz w:val="24"/>
                <w:szCs w:val="24"/>
                <w:highlight w:val="none"/>
                <w:lang w:val="en-US" w:eastAsia="zh-CN"/>
              </w:rPr>
              <w:t>本项满分6分，下设2项评审子项，每项3分；每缺少1项子项内容扣3分，每项子项存在内容不完整、缺陷、与项目不匹配情形的，每处扣1分，单项最多扣3分，扣完本项分值为止。</w:t>
            </w:r>
            <w:bookmarkEnd w:id="441"/>
            <w:bookmarkEnd w:id="442"/>
            <w:bookmarkEnd w:id="443"/>
            <w:bookmarkEnd w:id="444"/>
          </w:p>
          <w:p w14:paraId="50EFFF1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注：</w:t>
            </w:r>
            <w:r>
              <w:rPr>
                <w:rFonts w:hint="eastAsia" w:ascii="仿宋" w:hAnsi="仿宋" w:eastAsia="仿宋" w:cs="仿宋"/>
                <w:color w:val="auto"/>
                <w:sz w:val="24"/>
                <w:szCs w:val="24"/>
                <w:highlight w:val="none"/>
                <w:lang w:val="en-US" w:eastAsia="zh-CN"/>
              </w:rPr>
              <w:t>内容不完整、缺陷、与项目不匹配情形</w:t>
            </w:r>
            <w:r>
              <w:rPr>
                <w:rFonts w:hint="eastAsia" w:ascii="仿宋" w:hAnsi="仿宋" w:eastAsia="仿宋" w:cs="仿宋"/>
                <w:color w:val="auto"/>
                <w:sz w:val="24"/>
                <w:highlight w:val="none"/>
              </w:rPr>
              <w:t>是指非专门针对本项目或不适用项目特性的情形、内容不完整或缺少关键节点、套用其他项目方案、内容前后矛盾、涉及的规范及标准错误、</w:t>
            </w:r>
            <w:r>
              <w:rPr>
                <w:rFonts w:hint="eastAsia" w:ascii="仿宋" w:hAnsi="仿宋" w:eastAsia="仿宋" w:cs="仿宋"/>
                <w:color w:val="auto"/>
                <w:sz w:val="24"/>
                <w:highlight w:val="none"/>
                <w:lang w:eastAsia="zh-CN"/>
              </w:rPr>
              <w:t>不贴合项目实际需求、</w:t>
            </w:r>
            <w:r>
              <w:rPr>
                <w:rFonts w:hint="eastAsia" w:ascii="仿宋" w:hAnsi="仿宋" w:eastAsia="仿宋" w:cs="仿宋"/>
                <w:color w:val="auto"/>
                <w:sz w:val="24"/>
                <w:highlight w:val="none"/>
              </w:rPr>
              <w:t>不利于项目实施、不可能实现的情形等任意一种情形。</w:t>
            </w:r>
          </w:p>
        </w:tc>
      </w:tr>
      <w:tr w14:paraId="32A5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6" w:type="dxa"/>
            <w:vMerge w:val="continue"/>
            <w:vAlign w:val="center"/>
          </w:tcPr>
          <w:p w14:paraId="0EAA2D8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1777" w:type="dxa"/>
            <w:vMerge w:val="continue"/>
            <w:vAlign w:val="center"/>
          </w:tcPr>
          <w:p w14:paraId="46F64F3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eastAsia" w:ascii="仿宋" w:hAnsi="仿宋" w:eastAsia="仿宋" w:cs="仿宋"/>
                <w:color w:val="auto"/>
                <w:sz w:val="24"/>
                <w:highlight w:val="none"/>
              </w:rPr>
            </w:pPr>
          </w:p>
        </w:tc>
        <w:tc>
          <w:tcPr>
            <w:tcW w:w="338" w:type="dxa"/>
            <w:vMerge w:val="continue"/>
            <w:vAlign w:val="center"/>
          </w:tcPr>
          <w:p w14:paraId="4FCFA4EB">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45" w:type="dxa"/>
            <w:vMerge w:val="continue"/>
            <w:vAlign w:val="center"/>
          </w:tcPr>
          <w:p w14:paraId="7144631D">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676" w:type="dxa"/>
            <w:vMerge w:val="continue"/>
            <w:vAlign w:val="center"/>
          </w:tcPr>
          <w:p w14:paraId="4FABA6E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p>
        </w:tc>
        <w:tc>
          <w:tcPr>
            <w:tcW w:w="1354" w:type="dxa"/>
            <w:vAlign w:val="center"/>
          </w:tcPr>
          <w:p w14:paraId="2C2CB5E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类似业绩评审（</w:t>
            </w:r>
            <w:r>
              <w:rPr>
                <w:rFonts w:hint="eastAsia" w:ascii="仿宋" w:hAnsi="仿宋" w:eastAsia="仿宋" w:cs="仿宋"/>
                <w:color w:val="auto"/>
                <w:sz w:val="24"/>
                <w:highlight w:val="none"/>
                <w:lang w:val="en-US" w:eastAsia="zh-CN"/>
              </w:rPr>
              <w:t>满分</w:t>
            </w: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rPr>
              <w:t>分）</w:t>
            </w:r>
          </w:p>
        </w:tc>
        <w:tc>
          <w:tcPr>
            <w:tcW w:w="5295" w:type="dxa"/>
            <w:vAlign w:val="center"/>
          </w:tcPr>
          <w:p w14:paraId="745078E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lang w:val="en-US" w:eastAsia="zh-CN"/>
              </w:rPr>
              <w:t>2023</w:t>
            </w:r>
            <w:r>
              <w:rPr>
                <w:rFonts w:hint="eastAsia" w:ascii="仿宋" w:hAnsi="仿宋" w:eastAsia="仿宋" w:cs="仿宋"/>
                <w:color w:val="auto"/>
                <w:sz w:val="24"/>
                <w:highlight w:val="none"/>
              </w:rPr>
              <w:t>年1月1日至响应文件</w:t>
            </w:r>
            <w:r>
              <w:rPr>
                <w:rFonts w:hint="eastAsia" w:ascii="仿宋" w:hAnsi="仿宋" w:eastAsia="仿宋" w:cs="仿宋"/>
                <w:color w:val="auto"/>
                <w:sz w:val="24"/>
                <w:highlight w:val="none"/>
                <w:lang w:val="en-US" w:eastAsia="zh-CN"/>
              </w:rPr>
              <w:t>提交</w:t>
            </w:r>
            <w:r>
              <w:rPr>
                <w:rFonts w:hint="eastAsia" w:ascii="仿宋" w:hAnsi="仿宋" w:eastAsia="仿宋" w:cs="仿宋"/>
                <w:color w:val="auto"/>
                <w:sz w:val="24"/>
                <w:highlight w:val="none"/>
              </w:rPr>
              <w:t>截止时间，每承担过1个</w:t>
            </w:r>
            <w:r>
              <w:rPr>
                <w:rFonts w:hint="eastAsia" w:ascii="仿宋" w:hAnsi="仿宋" w:eastAsia="仿宋" w:cs="仿宋"/>
                <w:color w:val="auto"/>
                <w:sz w:val="24"/>
                <w:highlight w:val="none"/>
                <w:lang w:val="en-US" w:eastAsia="zh-CN"/>
              </w:rPr>
              <w:t>类似</w:t>
            </w:r>
            <w:r>
              <w:rPr>
                <w:rFonts w:hint="eastAsia" w:ascii="仿宋" w:hAnsi="仿宋" w:eastAsia="仿宋" w:cs="仿宋"/>
                <w:color w:val="auto"/>
                <w:sz w:val="24"/>
                <w:highlight w:val="none"/>
              </w:rPr>
              <w:t>项目业绩的</w:t>
            </w:r>
            <w:r>
              <w:rPr>
                <w:rFonts w:hint="eastAsia" w:ascii="仿宋" w:hAnsi="仿宋" w:eastAsia="仿宋" w:cs="仿宋"/>
                <w:color w:val="auto"/>
                <w:sz w:val="24"/>
                <w:highlight w:val="none"/>
                <w:lang w:val="en-US" w:eastAsia="zh-CN"/>
              </w:rPr>
              <w:t>得1分，满分</w:t>
            </w: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rPr>
              <w:t>分。</w:t>
            </w:r>
          </w:p>
          <w:p w14:paraId="67DE1CB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注：应提供</w:t>
            </w:r>
            <w:r>
              <w:rPr>
                <w:rFonts w:hint="eastAsia" w:ascii="仿宋" w:hAnsi="仿宋" w:eastAsia="仿宋" w:cs="仿宋"/>
                <w:color w:val="auto"/>
                <w:sz w:val="24"/>
                <w:highlight w:val="none"/>
                <w:lang w:val="en-US" w:eastAsia="zh-CN"/>
              </w:rPr>
              <w:t>中标</w:t>
            </w:r>
            <w:r>
              <w:rPr>
                <w:rFonts w:hint="eastAsia" w:ascii="仿宋" w:hAnsi="仿宋" w:eastAsia="仿宋" w:cs="仿宋"/>
                <w:color w:val="auto"/>
                <w:sz w:val="24"/>
                <w:highlight w:val="none"/>
              </w:rPr>
              <w:t>（成交）通知书或合同或成果报告的扫描件或复印件。所提供的案例证明不能指向供应商或未按要求提供的视为无效，则该项不得分。</w:t>
            </w:r>
          </w:p>
        </w:tc>
      </w:tr>
    </w:tbl>
    <w:p w14:paraId="73DDFBC4">
      <w:pPr>
        <w:rPr>
          <w:rFonts w:hint="eastAsia" w:ascii="仿宋" w:hAnsi="仿宋" w:eastAsia="仿宋" w:cs="仿宋"/>
          <w:color w:val="auto"/>
          <w:szCs w:val="28"/>
          <w:highlight w:val="none"/>
          <w:lang w:eastAsia="zh-CN"/>
        </w:rPr>
      </w:pPr>
      <w:bookmarkStart w:id="445" w:name="_Toc86124094"/>
      <w:bookmarkStart w:id="446" w:name="_Toc347849269"/>
      <w:bookmarkStart w:id="447" w:name="_Toc8382352"/>
      <w:bookmarkStart w:id="448" w:name="_Toc378499750"/>
      <w:bookmarkStart w:id="449" w:name="_Toc5932"/>
      <w:bookmarkStart w:id="450" w:name="_Toc13915"/>
      <w:bookmarkStart w:id="451" w:name="_Toc511457566"/>
      <w:bookmarkStart w:id="452" w:name="_Toc10320898"/>
      <w:bookmarkStart w:id="453" w:name="_Toc3378814"/>
      <w:r>
        <w:rPr>
          <w:rFonts w:hint="eastAsia" w:ascii="仿宋" w:hAnsi="仿宋" w:eastAsia="仿宋" w:cs="仿宋"/>
          <w:color w:val="auto"/>
          <w:szCs w:val="28"/>
          <w:highlight w:val="none"/>
          <w:lang w:eastAsia="zh-CN"/>
        </w:rPr>
        <w:br w:type="page"/>
      </w:r>
    </w:p>
    <w:p w14:paraId="0F8FF47E">
      <w:pPr>
        <w:pStyle w:val="3"/>
        <w:keepNext/>
        <w:keepLines/>
        <w:pageBreakBefore w:val="0"/>
        <w:widowControl w:val="0"/>
        <w:kinsoku/>
        <w:wordWrap/>
        <w:overflowPunct/>
        <w:topLinePunct w:val="0"/>
        <w:autoSpaceDE/>
        <w:autoSpaceDN/>
        <w:bidi w:val="0"/>
        <w:adjustRightInd/>
        <w:snapToGrid/>
        <w:spacing w:before="0" w:after="0" w:line="360" w:lineRule="auto"/>
        <w:ind w:left="0"/>
        <w:textAlignment w:val="auto"/>
        <w:rPr>
          <w:rFonts w:hint="eastAsia" w:ascii="仿宋" w:hAnsi="仿宋" w:eastAsia="仿宋" w:cs="仿宋"/>
          <w:color w:val="auto"/>
          <w:szCs w:val="28"/>
          <w:highlight w:val="none"/>
          <w:lang w:eastAsia="zh-CN"/>
        </w:rPr>
      </w:pPr>
      <w:bookmarkStart w:id="454" w:name="_Toc26212"/>
      <w:r>
        <w:rPr>
          <w:rFonts w:hint="eastAsia" w:ascii="仿宋" w:hAnsi="仿宋" w:eastAsia="仿宋" w:cs="仿宋"/>
          <w:color w:val="auto"/>
          <w:szCs w:val="28"/>
          <w:highlight w:val="none"/>
          <w:lang w:eastAsia="zh-CN"/>
        </w:rPr>
        <w:t>一、</w:t>
      </w:r>
      <w:bookmarkEnd w:id="445"/>
      <w:r>
        <w:rPr>
          <w:rFonts w:hint="eastAsia" w:ascii="仿宋" w:hAnsi="仿宋" w:eastAsia="仿宋" w:cs="仿宋"/>
          <w:color w:val="auto"/>
          <w:szCs w:val="28"/>
          <w:highlight w:val="none"/>
          <w:lang w:eastAsia="zh-CN"/>
        </w:rPr>
        <w:t>磋商方法</w:t>
      </w:r>
      <w:bookmarkEnd w:id="446"/>
      <w:bookmarkEnd w:id="447"/>
      <w:bookmarkEnd w:id="448"/>
      <w:bookmarkEnd w:id="449"/>
      <w:bookmarkEnd w:id="450"/>
      <w:bookmarkEnd w:id="451"/>
      <w:bookmarkEnd w:id="452"/>
      <w:bookmarkEnd w:id="453"/>
      <w:bookmarkEnd w:id="454"/>
    </w:p>
    <w:p w14:paraId="03E46330">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rPr>
      </w:pPr>
      <w:bookmarkStart w:id="455" w:name="_Toc7620"/>
      <w:r>
        <w:rPr>
          <w:rFonts w:hint="eastAsia" w:ascii="仿宋" w:hAnsi="仿宋" w:cs="仿宋"/>
          <w:color w:val="auto"/>
          <w:highlight w:val="none"/>
          <w:lang w:val="en-US" w:eastAsia="zh-CN"/>
        </w:rPr>
        <w:t>（一）</w:t>
      </w:r>
      <w:r>
        <w:rPr>
          <w:rFonts w:hint="eastAsia" w:ascii="仿宋" w:hAnsi="仿宋" w:eastAsia="仿宋" w:cs="仿宋"/>
          <w:color w:val="auto"/>
          <w:highlight w:val="none"/>
          <w:lang w:val="en-US" w:eastAsia="zh-CN"/>
        </w:rPr>
        <w:t>评审原则</w:t>
      </w:r>
      <w:bookmarkEnd w:id="455"/>
    </w:p>
    <w:p w14:paraId="79200DC0">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成员应当按照客观、公正、审慎的原则，根据磋商文件规定的评审程序、评审方法和评审标准进行独立评审。未实质性响应竞争性磋商文件的响应文件按无效响应处理，磋商小组将告知提交响应文件的供应商，供应商不得再继续参加磋商。</w:t>
      </w:r>
    </w:p>
    <w:p w14:paraId="4E2C6264">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456" w:name="_Toc30157"/>
      <w:bookmarkStart w:id="457" w:name="_Toc3378815"/>
      <w:bookmarkStart w:id="458" w:name="_Toc511457567"/>
      <w:bookmarkStart w:id="459" w:name="_Toc347849270"/>
      <w:bookmarkStart w:id="460" w:name="_Toc28416"/>
      <w:bookmarkStart w:id="461" w:name="_Toc10320899"/>
      <w:bookmarkStart w:id="462" w:name="_Toc8382353"/>
      <w:bookmarkStart w:id="463" w:name="_Toc86124095"/>
      <w:bookmarkStart w:id="464" w:name="_Toc14070"/>
      <w:bookmarkStart w:id="465" w:name="_Toc378499751"/>
      <w:r>
        <w:rPr>
          <w:rFonts w:hint="eastAsia" w:ascii="仿宋" w:hAnsi="仿宋" w:cs="仿宋"/>
          <w:color w:val="auto"/>
          <w:highlight w:val="none"/>
          <w:lang w:val="en-US" w:eastAsia="zh-CN"/>
        </w:rPr>
        <w:t>（二）</w:t>
      </w:r>
      <w:r>
        <w:rPr>
          <w:rFonts w:hint="eastAsia" w:ascii="仿宋" w:hAnsi="仿宋" w:eastAsia="仿宋" w:cs="仿宋"/>
          <w:color w:val="auto"/>
          <w:highlight w:val="none"/>
          <w:lang w:val="en-US" w:eastAsia="zh-CN"/>
        </w:rPr>
        <w:t>评审方法</w:t>
      </w:r>
      <w:bookmarkEnd w:id="456"/>
    </w:p>
    <w:p w14:paraId="76EC8CD7">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综合评分法，是指响应文件满足磋商文件全部实质性要求且按评审因素的量化指标评审得分最高的供应商为成交候选</w:t>
      </w:r>
      <w:r>
        <w:rPr>
          <w:rFonts w:hint="eastAsia" w:ascii="仿宋" w:hAnsi="仿宋" w:eastAsia="仿宋" w:cs="仿宋"/>
          <w:color w:val="auto"/>
          <w:sz w:val="24"/>
          <w:szCs w:val="22"/>
          <w:highlight w:val="none"/>
          <w:lang w:val="en-US" w:eastAsia="zh-CN"/>
        </w:rPr>
        <w:t>人</w:t>
      </w:r>
      <w:r>
        <w:rPr>
          <w:rFonts w:hint="eastAsia" w:ascii="仿宋" w:hAnsi="仿宋" w:eastAsia="仿宋" w:cs="仿宋"/>
          <w:color w:val="auto"/>
          <w:sz w:val="24"/>
          <w:szCs w:val="22"/>
          <w:highlight w:val="none"/>
        </w:rPr>
        <w:t>的评审方法。</w:t>
      </w:r>
    </w:p>
    <w:p w14:paraId="6A6B8B38">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466" w:name="_Toc20970"/>
      <w:r>
        <w:rPr>
          <w:rFonts w:hint="eastAsia" w:ascii="仿宋" w:hAnsi="仿宋" w:cs="仿宋"/>
          <w:color w:val="auto"/>
          <w:highlight w:val="none"/>
          <w:lang w:val="en-US" w:eastAsia="zh-CN"/>
        </w:rPr>
        <w:t>（三）</w:t>
      </w:r>
      <w:r>
        <w:rPr>
          <w:rFonts w:hint="eastAsia" w:ascii="仿宋" w:hAnsi="仿宋" w:eastAsia="仿宋" w:cs="仿宋"/>
          <w:color w:val="auto"/>
          <w:highlight w:val="none"/>
          <w:lang w:val="en-US" w:eastAsia="zh-CN"/>
        </w:rPr>
        <w:t>关于中小企业</w:t>
      </w:r>
      <w:bookmarkEnd w:id="466"/>
    </w:p>
    <w:p w14:paraId="2CF57148">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1.</w:t>
      </w:r>
      <w:r>
        <w:rPr>
          <w:rFonts w:hint="eastAsia" w:ascii="仿宋" w:hAnsi="仿宋" w:eastAsia="仿宋" w:cs="仿宋"/>
          <w:color w:val="auto"/>
          <w:sz w:val="24"/>
          <w:szCs w:val="22"/>
          <w:highlight w:val="none"/>
        </w:rPr>
        <w:t>根据《政府采购促进中小企业发展管理办法》（财库〔20</w:t>
      </w:r>
      <w:r>
        <w:rPr>
          <w:rFonts w:hint="eastAsia" w:ascii="仿宋" w:hAnsi="仿宋" w:eastAsia="仿宋" w:cs="仿宋"/>
          <w:color w:val="auto"/>
          <w:sz w:val="24"/>
          <w:szCs w:val="22"/>
          <w:highlight w:val="none"/>
          <w:lang w:val="en-US" w:eastAsia="zh-CN"/>
        </w:rPr>
        <w:t>20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46</w:t>
      </w:r>
      <w:r>
        <w:rPr>
          <w:rFonts w:hint="eastAsia" w:ascii="仿宋" w:hAnsi="仿宋" w:eastAsia="仿宋" w:cs="仿宋"/>
          <w:color w:val="auto"/>
          <w:sz w:val="24"/>
          <w:szCs w:val="22"/>
          <w:highlight w:val="none"/>
        </w:rPr>
        <w:t>号）</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在政府采购活动中，</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提供</w:t>
      </w:r>
      <w:r>
        <w:rPr>
          <w:rFonts w:hint="eastAsia" w:ascii="仿宋" w:hAnsi="仿宋" w:eastAsia="仿宋" w:cs="仿宋"/>
          <w:color w:val="auto"/>
          <w:sz w:val="24"/>
          <w:szCs w:val="22"/>
          <w:highlight w:val="none"/>
          <w:lang w:val="en-US" w:eastAsia="zh-CN"/>
        </w:rPr>
        <w:t>的服务</w:t>
      </w:r>
      <w:r>
        <w:rPr>
          <w:rFonts w:hint="eastAsia" w:ascii="仿宋" w:hAnsi="仿宋" w:eastAsia="仿宋" w:cs="仿宋"/>
          <w:color w:val="auto"/>
          <w:sz w:val="24"/>
          <w:szCs w:val="22"/>
          <w:highlight w:val="none"/>
        </w:rPr>
        <w:t>符合下列情形的，享受中小企业扶持政策：</w:t>
      </w:r>
    </w:p>
    <w:p w14:paraId="368103D6">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cs="Calibri"/>
          <w:color w:val="auto"/>
          <w:sz w:val="24"/>
          <w:szCs w:val="22"/>
          <w:highlight w:val="none"/>
          <w:lang w:val="en-US" w:eastAsia="zh-CN"/>
        </w:rPr>
        <w:t>（1）</w:t>
      </w:r>
      <w:r>
        <w:rPr>
          <w:rFonts w:hint="eastAsia" w:ascii="仿宋" w:hAnsi="仿宋" w:eastAsia="仿宋" w:cs="仿宋"/>
          <w:color w:val="auto"/>
          <w:sz w:val="24"/>
          <w:szCs w:val="22"/>
          <w:highlight w:val="none"/>
        </w:rPr>
        <w:t>在货物采购项目中，货物由中小企业制造，即货物由中小企业生产且使用该中小企业商号或者注册商标；</w:t>
      </w:r>
    </w:p>
    <w:p w14:paraId="2D5E6F89">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cs="Calibri"/>
          <w:color w:val="auto"/>
          <w:sz w:val="24"/>
          <w:szCs w:val="22"/>
          <w:highlight w:val="none"/>
          <w:lang w:eastAsia="zh-CN"/>
        </w:rPr>
        <w:t>（</w:t>
      </w:r>
      <w:r>
        <w:rPr>
          <w:rFonts w:hint="eastAsia" w:cs="Calibri"/>
          <w:color w:val="auto"/>
          <w:sz w:val="24"/>
          <w:szCs w:val="22"/>
          <w:highlight w:val="none"/>
          <w:lang w:val="en-US" w:eastAsia="zh-CN"/>
        </w:rPr>
        <w:t>2</w:t>
      </w:r>
      <w:r>
        <w:rPr>
          <w:rFonts w:hint="eastAsia" w:cs="Calibri"/>
          <w:color w:val="auto"/>
          <w:sz w:val="24"/>
          <w:szCs w:val="22"/>
          <w:highlight w:val="none"/>
          <w:lang w:eastAsia="zh-CN"/>
        </w:rPr>
        <w:t>）</w:t>
      </w:r>
      <w:r>
        <w:rPr>
          <w:rFonts w:hint="eastAsia" w:ascii="仿宋" w:hAnsi="仿宋" w:eastAsia="仿宋" w:cs="仿宋"/>
          <w:color w:val="auto"/>
          <w:sz w:val="24"/>
          <w:szCs w:val="22"/>
          <w:highlight w:val="none"/>
        </w:rPr>
        <w:t>在工程采购项目中，工程由中小企业承建，即工程施工单位为中小企业；</w:t>
      </w:r>
    </w:p>
    <w:p w14:paraId="4997415A">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cs="Calibri"/>
          <w:color w:val="auto"/>
          <w:sz w:val="24"/>
          <w:szCs w:val="22"/>
          <w:highlight w:val="none"/>
          <w:lang w:eastAsia="zh-CN"/>
        </w:rPr>
        <w:t>（</w:t>
      </w:r>
      <w:r>
        <w:rPr>
          <w:rFonts w:hint="eastAsia" w:cs="Calibri"/>
          <w:color w:val="auto"/>
          <w:sz w:val="24"/>
          <w:szCs w:val="22"/>
          <w:highlight w:val="none"/>
          <w:lang w:val="en-US" w:eastAsia="zh-CN"/>
        </w:rPr>
        <w:t>3</w:t>
      </w:r>
      <w:r>
        <w:rPr>
          <w:rFonts w:hint="eastAsia" w:cs="Calibri"/>
          <w:color w:val="auto"/>
          <w:sz w:val="24"/>
          <w:szCs w:val="22"/>
          <w:highlight w:val="none"/>
          <w:lang w:eastAsia="zh-CN"/>
        </w:rPr>
        <w:t>）</w:t>
      </w:r>
      <w:r>
        <w:rPr>
          <w:rFonts w:hint="eastAsia" w:ascii="仿宋" w:hAnsi="仿宋" w:eastAsia="仿宋" w:cs="仿宋"/>
          <w:color w:val="auto"/>
          <w:sz w:val="24"/>
          <w:szCs w:val="22"/>
          <w:highlight w:val="none"/>
        </w:rPr>
        <w:t>在服务采购项目中，服务由中小企业承接，即提供服务的人员为中小企业依照《中华人民共和国劳动合同法》订立劳动合同的从业人员。</w:t>
      </w:r>
    </w:p>
    <w:p w14:paraId="3C865F12">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以联合体形式参加政府采购活动，联合体各方均为中小企业的，联合体视同中小企业。其中，联合体各方均为小微企业的，联合体视同小微企业。</w:t>
      </w:r>
    </w:p>
    <w:p w14:paraId="6D84B125">
      <w:pPr>
        <w:pageBreakBefore w:val="0"/>
        <w:shd w:val="clear"/>
        <w:wordWrap/>
        <w:overflowPunct/>
        <w:topLinePunct w:val="0"/>
        <w:bidi w:val="0"/>
        <w:spacing w:line="360" w:lineRule="auto"/>
        <w:ind w:firstLine="480" w:firstLineChars="200"/>
        <w:rPr>
          <w:rFonts w:hint="eastAsia" w:ascii="仿宋" w:hAnsi="仿宋" w:eastAsia="仿宋" w:cs="仿宋"/>
          <w:b/>
          <w:bCs/>
          <w:color w:val="auto"/>
          <w:sz w:val="24"/>
          <w:szCs w:val="22"/>
          <w:highlight w:val="none"/>
          <w:lang w:eastAsia="zh-CN"/>
        </w:rPr>
      </w:pPr>
      <w:r>
        <w:rPr>
          <w:rFonts w:hint="eastAsia" w:ascii="仿宋" w:hAnsi="仿宋" w:cs="仿宋"/>
          <w:color w:val="auto"/>
          <w:sz w:val="24"/>
          <w:szCs w:val="22"/>
          <w:highlight w:val="none"/>
          <w:lang w:val="en-US" w:eastAsia="zh-CN"/>
        </w:rPr>
        <w:t>2.</w:t>
      </w:r>
      <w:r>
        <w:rPr>
          <w:rFonts w:hint="eastAsia" w:ascii="仿宋" w:hAnsi="仿宋" w:eastAsia="仿宋" w:cs="仿宋"/>
          <w:color w:val="auto"/>
          <w:sz w:val="24"/>
          <w:szCs w:val="22"/>
          <w:highlight w:val="none"/>
        </w:rPr>
        <w:t>中小企业参加政府采购活动，中小企业应当按照《政府采购促进中小企业发展管理办法》（财库〔20</w:t>
      </w:r>
      <w:r>
        <w:rPr>
          <w:rFonts w:hint="eastAsia" w:ascii="仿宋" w:hAnsi="仿宋" w:eastAsia="仿宋" w:cs="仿宋"/>
          <w:color w:val="auto"/>
          <w:sz w:val="24"/>
          <w:szCs w:val="22"/>
          <w:highlight w:val="none"/>
          <w:lang w:val="en-US" w:eastAsia="zh-CN"/>
        </w:rPr>
        <w:t>20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46</w:t>
      </w:r>
      <w:r>
        <w:rPr>
          <w:rFonts w:hint="eastAsia" w:ascii="仿宋" w:hAnsi="仿宋" w:eastAsia="仿宋" w:cs="仿宋"/>
          <w:color w:val="auto"/>
          <w:sz w:val="24"/>
          <w:szCs w:val="22"/>
          <w:highlight w:val="none"/>
        </w:rPr>
        <w:t>号）规定和《中小企业划型标准规定》（工信部联企业〔2011〕300号），如实填写并提交《中小企业声明函》</w:t>
      </w:r>
      <w:r>
        <w:rPr>
          <w:rFonts w:hint="eastAsia" w:ascii="仿宋" w:hAnsi="仿宋" w:eastAsia="仿宋" w:cs="仿宋"/>
          <w:color w:val="auto"/>
          <w:sz w:val="24"/>
          <w:szCs w:val="22"/>
          <w:highlight w:val="none"/>
          <w:lang w:eastAsia="zh-CN"/>
        </w:rPr>
        <w:t>。</w:t>
      </w:r>
      <w:r>
        <w:rPr>
          <w:rFonts w:hint="eastAsia" w:ascii="仿宋" w:hAnsi="仿宋" w:eastAsia="仿宋" w:cs="仿宋"/>
          <w:b/>
          <w:bCs/>
          <w:color w:val="auto"/>
          <w:sz w:val="24"/>
          <w:szCs w:val="22"/>
          <w:highlight w:val="none"/>
          <w:lang w:eastAsia="zh-CN"/>
        </w:rPr>
        <w:t>中小企业对其声明内容的真实性负责，声明函内容不实的，属于提供虚假材料谋取成交、成交，依照《中华人民共和国政府采购法》等国家有关规定追究相应责任。</w:t>
      </w:r>
    </w:p>
    <w:p w14:paraId="643C1F47">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3.</w:t>
      </w:r>
      <w:r>
        <w:rPr>
          <w:rFonts w:hint="eastAsia" w:ascii="仿宋" w:hAnsi="仿宋" w:eastAsia="仿宋" w:cs="仿宋"/>
          <w:color w:val="auto"/>
          <w:sz w:val="24"/>
          <w:szCs w:val="22"/>
          <w:highlight w:val="none"/>
          <w:lang w:val="en-US" w:eastAsia="zh-CN"/>
        </w:rPr>
        <w:t>针对</w:t>
      </w:r>
      <w:r>
        <w:rPr>
          <w:rFonts w:hint="eastAsia" w:ascii="仿宋" w:hAnsi="仿宋" w:eastAsia="仿宋" w:cs="仿宋"/>
          <w:color w:val="auto"/>
          <w:sz w:val="24"/>
          <w:szCs w:val="22"/>
          <w:highlight w:val="none"/>
        </w:rPr>
        <w:t>未预留份额专门面向中小企业采购的采购项目，以及预留份额项目中的非预留部分采购包，采购人、采购代理机构应当对符合本办法规定的小微企业报价给予6%</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10%（工程项目为3%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5%）的扣除，用扣除后的价格参加评审。适用招标投标法的政府采购工程建设项目，采用综合评估法但未采用低价优先法计算价格分的，评标时应当在采用原报价进行评分的基础上增加其价格得分的3%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5%作为其价格分。</w:t>
      </w:r>
    </w:p>
    <w:p w14:paraId="53A4D3C8">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3%（工程项目为1%</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2%）的扣除，用扣除后的价格参加评审。适用招标投标法的政府采购工程建设项目，采用综合评估法但未采用低价优先法计算价格分的，评标时应当在采用原报价进行评分的基础上增加其价格得分的1%</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2%作为其价格分。组成联合体或者接受分包的小微企业与联合体内其他企业、分包企业之间存在直接控股、管理关系的，不享受价格扣除优惠政策。</w:t>
      </w:r>
    </w:p>
    <w:p w14:paraId="3F1D6555">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4.</w:t>
      </w:r>
      <w:r>
        <w:rPr>
          <w:rFonts w:hint="eastAsia" w:ascii="仿宋" w:hAnsi="仿宋" w:eastAsia="仿宋" w:cs="仿宋"/>
          <w:color w:val="auto"/>
          <w:sz w:val="24"/>
          <w:szCs w:val="22"/>
          <w:highlight w:val="none"/>
        </w:rPr>
        <w:t>根据《关于进一步加大政府采购支持中小企业力度的通知》财库〔2022〕19</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，调整对小微企业的价格评审优惠幅度。货物服务采购项目给予小微企业的价格扣除优惠，由财库〔2020〕46号文件规定的6%</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10%提高至10%</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20%。大中型企业与小微企业组成联合体或者大中型企业向小微企业分包的，评审优惠幅度由2%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3%提高至4%</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6%。政府采购工程的价格评审优惠按照财库〔2020〕46号文件的规定执行。</w:t>
      </w:r>
    </w:p>
    <w:p w14:paraId="5D5A0D28">
      <w:pPr>
        <w:pageBreakBefore w:val="0"/>
        <w:shd w:val="clear"/>
        <w:wordWrap/>
        <w:overflowPunct/>
        <w:topLinePunct w:val="0"/>
        <w:bidi w:val="0"/>
        <w:spacing w:line="360" w:lineRule="auto"/>
        <w:ind w:firstLine="480" w:firstLineChars="200"/>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注：（1）</w:t>
      </w:r>
      <w:r>
        <w:rPr>
          <w:rFonts w:hint="eastAsia" w:ascii="仿宋" w:hAnsi="仿宋" w:eastAsia="仿宋" w:cs="仿宋"/>
          <w:b/>
          <w:bCs/>
          <w:color w:val="auto"/>
          <w:sz w:val="24"/>
          <w:szCs w:val="22"/>
          <w:highlight w:val="none"/>
        </w:rPr>
        <w:t>本项目预留份额</w:t>
      </w:r>
      <w:r>
        <w:rPr>
          <w:rFonts w:hint="eastAsia" w:ascii="仿宋" w:hAnsi="仿宋" w:eastAsia="仿宋" w:cs="仿宋"/>
          <w:b/>
          <w:bCs/>
          <w:color w:val="auto"/>
          <w:sz w:val="24"/>
          <w:szCs w:val="22"/>
          <w:highlight w:val="none"/>
          <w:lang w:val="en-US" w:eastAsia="zh-CN"/>
        </w:rPr>
        <w:t>详见“第一章  竞争</w:t>
      </w:r>
      <w:r>
        <w:rPr>
          <w:rFonts w:hint="eastAsia" w:ascii="仿宋" w:hAnsi="仿宋" w:cs="仿宋"/>
          <w:b/>
          <w:bCs/>
          <w:color w:val="auto"/>
          <w:sz w:val="24"/>
          <w:szCs w:val="22"/>
          <w:highlight w:val="none"/>
          <w:lang w:val="en-US" w:eastAsia="zh-CN"/>
        </w:rPr>
        <w:t>性</w:t>
      </w:r>
      <w:r>
        <w:rPr>
          <w:rFonts w:hint="eastAsia" w:ascii="仿宋" w:hAnsi="仿宋" w:eastAsia="仿宋" w:cs="仿宋"/>
          <w:b/>
          <w:bCs/>
          <w:color w:val="auto"/>
          <w:sz w:val="24"/>
          <w:szCs w:val="22"/>
          <w:highlight w:val="none"/>
          <w:lang w:val="en-US" w:eastAsia="zh-CN"/>
        </w:rPr>
        <w:t>磋公告”“2.落实政府采购政策需满足的资格要求”</w:t>
      </w:r>
      <w:r>
        <w:rPr>
          <w:rFonts w:hint="eastAsia" w:ascii="仿宋" w:hAnsi="仿宋" w:eastAsia="仿宋" w:cs="仿宋"/>
          <w:b/>
          <w:bCs/>
          <w:color w:val="auto"/>
          <w:sz w:val="24"/>
          <w:szCs w:val="22"/>
          <w:highlight w:val="none"/>
        </w:rPr>
        <w:t>。</w:t>
      </w:r>
    </w:p>
    <w:p w14:paraId="32D00D5E">
      <w:pPr>
        <w:pageBreakBefore w:val="0"/>
        <w:shd w:val="clear"/>
        <w:wordWrap/>
        <w:overflowPunct/>
        <w:topLinePunct w:val="0"/>
        <w:bidi w:val="0"/>
        <w:spacing w:line="360" w:lineRule="auto"/>
        <w:ind w:firstLine="480"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lang w:val="en-US" w:eastAsia="zh-CN"/>
        </w:rPr>
        <w:t>2</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rPr>
        <w:t>价格扣除优惠幅度以评标办法中明确为准</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lang w:val="en-US" w:eastAsia="zh-CN"/>
        </w:rPr>
        <w:t>若项目已预留，则预留部分无价格扣除优惠</w:t>
      </w:r>
      <w:r>
        <w:rPr>
          <w:rFonts w:hint="eastAsia" w:ascii="仿宋" w:hAnsi="仿宋" w:eastAsia="仿宋" w:cs="仿宋"/>
          <w:b/>
          <w:bCs/>
          <w:color w:val="auto"/>
          <w:sz w:val="24"/>
          <w:szCs w:val="22"/>
          <w:highlight w:val="none"/>
          <w:lang w:eastAsia="zh-CN"/>
        </w:rPr>
        <w:t>）。</w:t>
      </w:r>
    </w:p>
    <w:p w14:paraId="7314DD62">
      <w:pPr>
        <w:pageBreakBefore w:val="0"/>
        <w:shd w:val="clear"/>
        <w:wordWrap/>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szCs w:val="22"/>
          <w:highlight w:val="none"/>
          <w:lang w:val="en-US" w:eastAsia="zh-CN"/>
        </w:rPr>
        <w:t>5.</w:t>
      </w:r>
      <w:r>
        <w:rPr>
          <w:rFonts w:hint="eastAsia" w:ascii="仿宋" w:hAnsi="仿宋" w:eastAsia="仿宋" w:cs="仿宋"/>
          <w:color w:val="auto"/>
          <w:sz w:val="24"/>
          <w:szCs w:val="22"/>
          <w:highlight w:val="none"/>
        </w:rPr>
        <w:t>依据规定享受扶持政策获得政府采购合同</w:t>
      </w:r>
      <w:r>
        <w:rPr>
          <w:rFonts w:hint="eastAsia" w:ascii="仿宋" w:hAnsi="仿宋" w:eastAsia="仿宋" w:cs="仿宋"/>
          <w:color w:val="auto"/>
          <w:sz w:val="24"/>
          <w:highlight w:val="none"/>
        </w:rPr>
        <w:t>的，小微企业不得将合同分包给大中型企业，中型企业不得将合同分包给大型企业。</w:t>
      </w:r>
    </w:p>
    <w:p w14:paraId="3E57F16B">
      <w:pPr>
        <w:pageBreakBefore w:val="0"/>
        <w:shd w:val="clear"/>
        <w:wordWrap/>
        <w:overflowPunct/>
        <w:topLinePunct w:val="0"/>
        <w:bidi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6.</w:t>
      </w:r>
      <w:r>
        <w:rPr>
          <w:rFonts w:hint="eastAsia" w:ascii="仿宋" w:hAnsi="仿宋" w:eastAsia="仿宋" w:cs="仿宋"/>
          <w:color w:val="auto"/>
          <w:sz w:val="24"/>
          <w:highlight w:val="none"/>
          <w:lang w:val="en-US" w:eastAsia="zh-CN"/>
        </w:rPr>
        <w:t>本项目政府采购合同不允许分包。</w:t>
      </w:r>
    </w:p>
    <w:p w14:paraId="3C904B6E">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467" w:name="_Toc13528"/>
      <w:r>
        <w:rPr>
          <w:rFonts w:hint="eastAsia" w:ascii="仿宋" w:hAnsi="仿宋" w:cs="仿宋"/>
          <w:color w:val="auto"/>
          <w:highlight w:val="none"/>
          <w:lang w:val="en-US" w:eastAsia="zh-CN"/>
        </w:rPr>
        <w:t>（四）</w:t>
      </w:r>
      <w:r>
        <w:rPr>
          <w:rFonts w:hint="eastAsia" w:ascii="仿宋" w:hAnsi="仿宋" w:eastAsia="仿宋" w:cs="仿宋"/>
          <w:color w:val="auto"/>
          <w:highlight w:val="none"/>
          <w:lang w:val="en-US" w:eastAsia="zh-CN"/>
        </w:rPr>
        <w:t>关于监狱企业</w:t>
      </w:r>
      <w:bookmarkEnd w:id="467"/>
    </w:p>
    <w:p w14:paraId="56272FEB">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1.</w:t>
      </w:r>
      <w:r>
        <w:rPr>
          <w:rFonts w:hint="eastAsia" w:ascii="仿宋" w:hAnsi="仿宋" w:eastAsia="仿宋" w:cs="仿宋"/>
          <w:color w:val="auto"/>
          <w:sz w:val="24"/>
          <w:szCs w:val="22"/>
          <w:highlight w:val="none"/>
        </w:rPr>
        <w:t>根据财政部《司法部关于政府采购支持监狱企业发展有关问题》的通知（财库〔2014〕68号）</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939ACBF">
      <w:pPr>
        <w:pageBreakBefore w:val="0"/>
        <w:shd w:val="clear"/>
        <w:wordWrap/>
        <w:overflowPunct/>
        <w:topLinePunct w:val="0"/>
        <w:bidi w:val="0"/>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cs="仿宋"/>
          <w:color w:val="auto"/>
          <w:sz w:val="24"/>
          <w:szCs w:val="22"/>
          <w:highlight w:val="none"/>
          <w:lang w:val="en-US" w:eastAsia="zh-CN"/>
        </w:rPr>
        <w:t>2.</w:t>
      </w:r>
      <w:r>
        <w:rPr>
          <w:rFonts w:hint="eastAsia" w:ascii="仿宋" w:hAnsi="仿宋" w:eastAsia="仿宋" w:cs="仿宋"/>
          <w:color w:val="auto"/>
          <w:sz w:val="24"/>
          <w:szCs w:val="22"/>
          <w:highlight w:val="none"/>
          <w:lang w:val="en-US" w:eastAsia="zh-CN"/>
        </w:rPr>
        <w:t>在政府采购活动中，监狱企业视同小型、微型企业，享受预留份额、评审中价格扣除等政府采购促进中小企业发展的政府采购政策。</w:t>
      </w:r>
    </w:p>
    <w:p w14:paraId="41E94D84">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468" w:name="_Toc31336"/>
      <w:r>
        <w:rPr>
          <w:rFonts w:hint="eastAsia" w:ascii="仿宋" w:hAnsi="仿宋" w:cs="仿宋"/>
          <w:color w:val="auto"/>
          <w:highlight w:val="none"/>
          <w:lang w:val="en-US" w:eastAsia="zh-CN"/>
        </w:rPr>
        <w:t>（五）</w:t>
      </w:r>
      <w:r>
        <w:rPr>
          <w:rFonts w:hint="eastAsia" w:ascii="仿宋" w:hAnsi="仿宋" w:eastAsia="仿宋" w:cs="仿宋"/>
          <w:color w:val="auto"/>
          <w:highlight w:val="none"/>
          <w:lang w:val="en-US" w:eastAsia="zh-CN"/>
        </w:rPr>
        <w:t>关于残疾人福利性单位：</w:t>
      </w:r>
      <w:bookmarkEnd w:id="468"/>
    </w:p>
    <w:p w14:paraId="064EEDE0">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1.</w:t>
      </w:r>
      <w:r>
        <w:rPr>
          <w:rFonts w:hint="eastAsia" w:ascii="仿宋" w:hAnsi="仿宋" w:eastAsia="仿宋" w:cs="仿宋"/>
          <w:color w:val="auto"/>
          <w:sz w:val="24"/>
          <w:szCs w:val="22"/>
          <w:highlight w:val="none"/>
        </w:rPr>
        <w:t>根据《三部门联合发布关于促进残疾人就业政府采购政策的通知》（财库〔2017〕141号）的规定，享受政府采购支持政策的残疾人福利性单位应当同时满足以下条件：</w:t>
      </w:r>
    </w:p>
    <w:p w14:paraId="29CDAA26">
      <w:pPr>
        <w:pageBreakBefore w:val="0"/>
        <w:shd w:val="clear"/>
        <w:wordWrap/>
        <w:overflowPunct/>
        <w:topLinePunct w:val="0"/>
        <w:bidi w:val="0"/>
        <w:spacing w:line="360" w:lineRule="auto"/>
        <w:ind w:firstLine="480" w:firstLineChars="200"/>
        <w:rPr>
          <w:rFonts w:hint="eastAsia" w:ascii="仿宋" w:hAnsi="仿宋" w:cs="仿宋"/>
          <w:color w:val="auto"/>
          <w:sz w:val="24"/>
          <w:szCs w:val="22"/>
          <w:highlight w:val="none"/>
          <w:lang w:eastAsia="zh-CN"/>
        </w:rPr>
      </w:pPr>
      <w:r>
        <w:rPr>
          <w:rFonts w:hint="eastAsia" w:cs="Calibri"/>
          <w:color w:val="auto"/>
          <w:sz w:val="24"/>
          <w:szCs w:val="22"/>
          <w:highlight w:val="none"/>
          <w:lang w:eastAsia="zh-CN"/>
        </w:rPr>
        <w:t>（</w:t>
      </w:r>
      <w:r>
        <w:rPr>
          <w:rFonts w:hint="eastAsia" w:ascii="仿宋" w:hAnsi="仿宋" w:cs="仿宋"/>
          <w:color w:val="auto"/>
          <w:sz w:val="24"/>
          <w:szCs w:val="22"/>
          <w:highlight w:val="none"/>
          <w:lang w:val="en-US" w:eastAsia="zh-CN"/>
        </w:rPr>
        <w:t>1</w:t>
      </w:r>
      <w:r>
        <w:rPr>
          <w:rFonts w:hint="eastAsia" w:ascii="仿宋" w:hAnsi="仿宋" w:cs="仿宋"/>
          <w:color w:val="auto"/>
          <w:sz w:val="24"/>
          <w:szCs w:val="22"/>
          <w:highlight w:val="none"/>
          <w:lang w:eastAsia="zh-CN"/>
        </w:rPr>
        <w:t>）安置的残疾人占本单位在职职工人数的比例不低于25%（含25%），并且安置的残疾人人数不少于10人（含10人）；</w:t>
      </w:r>
    </w:p>
    <w:p w14:paraId="4A0987F2">
      <w:pPr>
        <w:pageBreakBefore w:val="0"/>
        <w:shd w:val="clear"/>
        <w:wordWrap/>
        <w:overflowPunct/>
        <w:topLinePunct w:val="0"/>
        <w:bidi w:val="0"/>
        <w:spacing w:line="360" w:lineRule="auto"/>
        <w:ind w:firstLine="480" w:firstLineChars="200"/>
        <w:rPr>
          <w:rFonts w:hint="eastAsia" w:ascii="仿宋" w:hAnsi="仿宋" w:cs="仿宋"/>
          <w:color w:val="auto"/>
          <w:sz w:val="24"/>
          <w:szCs w:val="22"/>
          <w:highlight w:val="none"/>
          <w:lang w:eastAsia="zh-CN"/>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2</w:t>
      </w:r>
      <w:r>
        <w:rPr>
          <w:rFonts w:hint="eastAsia" w:ascii="仿宋" w:hAnsi="仿宋" w:cs="仿宋"/>
          <w:color w:val="auto"/>
          <w:sz w:val="24"/>
          <w:szCs w:val="22"/>
          <w:highlight w:val="none"/>
          <w:lang w:eastAsia="zh-CN"/>
        </w:rPr>
        <w:t>）依法与安置的每位残疾人签订了一年以上（含一年）的劳动合同或服务协议；</w:t>
      </w:r>
    </w:p>
    <w:p w14:paraId="1DF6A316">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3</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为安置的每位残疾人按月足额缴纳了基本养老保险、基本医疗保险、失业保险、工伤保险和生育保险等社会保险费；</w:t>
      </w:r>
    </w:p>
    <w:p w14:paraId="23270CF5">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4</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通过银行等金融机构向安置的每位残疾人，按月支付了不低于单位所在区县适用的经省级人民政府批准的月最低工资标准的工资；</w:t>
      </w:r>
    </w:p>
    <w:p w14:paraId="16B92F6E">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eastAsia="zh-CN"/>
        </w:rPr>
        <w:t>（</w:t>
      </w:r>
      <w:r>
        <w:rPr>
          <w:rFonts w:hint="eastAsia" w:ascii="仿宋" w:hAnsi="仿宋" w:cs="仿宋"/>
          <w:color w:val="auto"/>
          <w:sz w:val="24"/>
          <w:szCs w:val="22"/>
          <w:highlight w:val="none"/>
          <w:lang w:val="en-US" w:eastAsia="zh-CN"/>
        </w:rPr>
        <w:t>5</w:t>
      </w:r>
      <w:r>
        <w:rPr>
          <w:rFonts w:hint="eastAsia" w:ascii="仿宋" w:hAnsi="仿宋" w:cs="仿宋"/>
          <w:color w:val="auto"/>
          <w:sz w:val="24"/>
          <w:szCs w:val="22"/>
          <w:highlight w:val="none"/>
          <w:lang w:eastAsia="zh-CN"/>
        </w:rPr>
        <w:t>）</w:t>
      </w:r>
      <w:r>
        <w:rPr>
          <w:rFonts w:hint="eastAsia" w:ascii="仿宋" w:hAnsi="仿宋" w:eastAsia="仿宋" w:cs="仿宋"/>
          <w:color w:val="auto"/>
          <w:sz w:val="24"/>
          <w:szCs w:val="22"/>
          <w:highlight w:val="none"/>
        </w:rPr>
        <w:t>提供本单位制造的货物、承担的工程或者服务（以下简称产品），或者提供其他残疾人福利性单位制造的货物（不包括使用非残疾人福利性单位注册商标的货物）。</w:t>
      </w:r>
    </w:p>
    <w:p w14:paraId="7C505039">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7B21DF0">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2.</w:t>
      </w:r>
      <w:r>
        <w:rPr>
          <w:rFonts w:hint="eastAsia" w:ascii="仿宋" w:hAnsi="仿宋" w:eastAsia="仿宋" w:cs="仿宋"/>
          <w:color w:val="auto"/>
          <w:sz w:val="24"/>
          <w:szCs w:val="22"/>
          <w:highlight w:val="none"/>
        </w:rPr>
        <w:t>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9025D3A">
      <w:pPr>
        <w:pStyle w:val="3"/>
        <w:keepNext/>
        <w:keepLines/>
        <w:pageBreakBefore w:val="0"/>
        <w:widowControl w:val="0"/>
        <w:kinsoku/>
        <w:wordWrap/>
        <w:overflowPunct/>
        <w:topLinePunct w:val="0"/>
        <w:autoSpaceDE/>
        <w:autoSpaceDN/>
        <w:bidi w:val="0"/>
        <w:adjustRightInd/>
        <w:snapToGrid/>
        <w:spacing w:before="0" w:after="0" w:line="360" w:lineRule="auto"/>
        <w:ind w:left="0"/>
        <w:textAlignment w:val="auto"/>
        <w:rPr>
          <w:rFonts w:hint="eastAsia" w:ascii="仿宋" w:hAnsi="仿宋" w:eastAsia="仿宋" w:cs="仿宋"/>
          <w:color w:val="auto"/>
          <w:szCs w:val="28"/>
          <w:highlight w:val="none"/>
          <w:lang w:eastAsia="zh-CN"/>
        </w:rPr>
      </w:pPr>
      <w:bookmarkStart w:id="469" w:name="_Toc8731"/>
      <w:r>
        <w:rPr>
          <w:rFonts w:hint="eastAsia" w:ascii="仿宋" w:hAnsi="仿宋" w:eastAsia="仿宋" w:cs="仿宋"/>
          <w:color w:val="auto"/>
          <w:szCs w:val="28"/>
          <w:highlight w:val="none"/>
          <w:lang w:eastAsia="zh-CN"/>
        </w:rPr>
        <w:t>二、磋商</w:t>
      </w:r>
      <w:r>
        <w:rPr>
          <w:rFonts w:hint="eastAsia" w:ascii="仿宋" w:hAnsi="仿宋" w:eastAsia="仿宋" w:cs="仿宋"/>
          <w:color w:val="auto"/>
          <w:szCs w:val="28"/>
          <w:highlight w:val="none"/>
          <w:lang w:val="en-US" w:eastAsia="zh-CN"/>
        </w:rPr>
        <w:t>程序及</w:t>
      </w:r>
      <w:r>
        <w:rPr>
          <w:rFonts w:hint="eastAsia" w:ascii="仿宋" w:hAnsi="仿宋" w:eastAsia="仿宋" w:cs="仿宋"/>
          <w:color w:val="auto"/>
          <w:szCs w:val="28"/>
          <w:highlight w:val="none"/>
          <w:lang w:eastAsia="zh-CN"/>
        </w:rPr>
        <w:t>标准</w:t>
      </w:r>
      <w:bookmarkEnd w:id="457"/>
      <w:bookmarkEnd w:id="458"/>
      <w:bookmarkEnd w:id="459"/>
      <w:bookmarkEnd w:id="460"/>
      <w:bookmarkEnd w:id="461"/>
      <w:bookmarkEnd w:id="462"/>
      <w:bookmarkEnd w:id="463"/>
      <w:bookmarkEnd w:id="464"/>
      <w:bookmarkEnd w:id="465"/>
      <w:bookmarkEnd w:id="469"/>
    </w:p>
    <w:p w14:paraId="43D1E300">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470" w:name="_Toc347849271"/>
      <w:bookmarkStart w:id="471" w:name="_Toc329810237"/>
      <w:bookmarkStart w:id="472" w:name="_Toc511457568"/>
      <w:bookmarkStart w:id="473" w:name="_Toc48271429"/>
      <w:bookmarkStart w:id="474" w:name="_Toc8382354"/>
      <w:bookmarkStart w:id="475" w:name="_Toc86124096"/>
      <w:bookmarkStart w:id="476" w:name="_Toc482913005"/>
      <w:bookmarkStart w:id="477" w:name="_Toc3378816"/>
      <w:bookmarkStart w:id="478" w:name="_Toc10320900"/>
      <w:bookmarkStart w:id="479" w:name="_Toc498086650"/>
      <w:bookmarkStart w:id="480" w:name="_Toc378499752"/>
      <w:bookmarkStart w:id="481" w:name="_Toc388341251"/>
      <w:bookmarkStart w:id="482" w:name="_Toc191374449"/>
      <w:bookmarkStart w:id="483" w:name="_Toc529197787"/>
      <w:bookmarkStart w:id="484" w:name="_Toc14220"/>
      <w:r>
        <w:rPr>
          <w:rFonts w:hint="eastAsia" w:ascii="仿宋" w:hAnsi="仿宋" w:cs="仿宋"/>
          <w:color w:val="auto"/>
          <w:highlight w:val="none"/>
          <w:lang w:val="en-US" w:eastAsia="zh-CN"/>
        </w:rPr>
        <w:t>（一）</w:t>
      </w:r>
      <w:r>
        <w:rPr>
          <w:rFonts w:hint="eastAsia" w:ascii="仿宋" w:hAnsi="仿宋" w:eastAsia="仿宋" w:cs="仿宋"/>
          <w:color w:val="auto"/>
          <w:highlight w:val="none"/>
          <w:lang w:val="en-US" w:eastAsia="zh-CN"/>
        </w:rPr>
        <w:t>资格审查及符合性要求审查标准</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5F46C69C">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资格审查标准：</w:t>
      </w:r>
      <w:r>
        <w:rPr>
          <w:rFonts w:hint="eastAsia" w:ascii="仿宋" w:hAnsi="仿宋" w:eastAsia="仿宋" w:cs="仿宋"/>
          <w:color w:val="auto"/>
          <w:kern w:val="0"/>
          <w:sz w:val="24"/>
          <w:highlight w:val="none"/>
        </w:rPr>
        <w:t>依据法律法规和磋商文件的规定，对响应文件中的资格证明等</w:t>
      </w:r>
      <w:r>
        <w:rPr>
          <w:rFonts w:hint="eastAsia" w:ascii="仿宋" w:hAnsi="仿宋" w:eastAsia="仿宋" w:cs="仿宋"/>
          <w:color w:val="auto"/>
          <w:sz w:val="24"/>
          <w:highlight w:val="none"/>
        </w:rPr>
        <w:t>实质性要求审查标准</w:t>
      </w:r>
      <w:r>
        <w:rPr>
          <w:rFonts w:hint="eastAsia" w:ascii="仿宋" w:hAnsi="仿宋" w:eastAsia="仿宋" w:cs="仿宋"/>
          <w:color w:val="auto"/>
          <w:kern w:val="0"/>
          <w:sz w:val="24"/>
          <w:highlight w:val="none"/>
        </w:rPr>
        <w:t>进行审查，</w:t>
      </w:r>
      <w:r>
        <w:rPr>
          <w:rFonts w:hint="eastAsia" w:ascii="仿宋" w:hAnsi="仿宋" w:eastAsia="仿宋" w:cs="仿宋"/>
          <w:color w:val="auto"/>
          <w:sz w:val="24"/>
          <w:highlight w:val="none"/>
        </w:rPr>
        <w:t>见“</w:t>
      </w:r>
      <w:r>
        <w:rPr>
          <w:rFonts w:hint="eastAsia" w:ascii="仿宋" w:hAnsi="仿宋" w:eastAsia="仿宋" w:cs="仿宋"/>
          <w:b/>
          <w:color w:val="auto"/>
          <w:sz w:val="24"/>
          <w:highlight w:val="none"/>
          <w:lang w:eastAsia="zh-CN"/>
        </w:rPr>
        <w:t>评审方法前附表</w:t>
      </w:r>
      <w:r>
        <w:rPr>
          <w:rFonts w:hint="eastAsia" w:ascii="仿宋" w:hAnsi="仿宋" w:eastAsia="仿宋" w:cs="仿宋"/>
          <w:b/>
          <w:color w:val="auto"/>
          <w:sz w:val="24"/>
          <w:highlight w:val="none"/>
        </w:rPr>
        <w:t>2.1.1</w:t>
      </w:r>
      <w:r>
        <w:rPr>
          <w:rFonts w:hint="eastAsia" w:ascii="仿宋" w:hAnsi="仿宋" w:eastAsia="仿宋" w:cs="仿宋"/>
          <w:color w:val="auto"/>
          <w:sz w:val="24"/>
          <w:highlight w:val="none"/>
        </w:rPr>
        <w:t>”。</w:t>
      </w:r>
    </w:p>
    <w:p w14:paraId="7DDA4D29">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符合性审查标准：</w:t>
      </w:r>
      <w:r>
        <w:rPr>
          <w:rFonts w:hint="eastAsia" w:ascii="仿宋" w:hAnsi="仿宋" w:eastAsia="仿宋" w:cs="仿宋"/>
          <w:color w:val="auto"/>
          <w:kern w:val="0"/>
          <w:sz w:val="24"/>
          <w:highlight w:val="none"/>
        </w:rPr>
        <w:t>依据法律法规和磋商文件的规定，对响应文件中的符合性证明等</w:t>
      </w:r>
      <w:r>
        <w:rPr>
          <w:rFonts w:hint="eastAsia" w:ascii="仿宋" w:hAnsi="仿宋" w:eastAsia="仿宋" w:cs="仿宋"/>
          <w:color w:val="auto"/>
          <w:sz w:val="24"/>
          <w:highlight w:val="none"/>
        </w:rPr>
        <w:t>实质性要求审查标准</w:t>
      </w:r>
      <w:r>
        <w:rPr>
          <w:rFonts w:hint="eastAsia" w:ascii="仿宋" w:hAnsi="仿宋" w:eastAsia="仿宋" w:cs="仿宋"/>
          <w:color w:val="auto"/>
          <w:kern w:val="0"/>
          <w:sz w:val="24"/>
          <w:highlight w:val="none"/>
        </w:rPr>
        <w:t>进行审查，</w:t>
      </w:r>
      <w:r>
        <w:rPr>
          <w:rFonts w:hint="eastAsia" w:ascii="仿宋" w:hAnsi="仿宋" w:eastAsia="仿宋" w:cs="仿宋"/>
          <w:color w:val="auto"/>
          <w:sz w:val="24"/>
          <w:highlight w:val="none"/>
        </w:rPr>
        <w:t>见“</w:t>
      </w:r>
      <w:r>
        <w:rPr>
          <w:rFonts w:hint="eastAsia" w:ascii="仿宋" w:hAnsi="仿宋" w:eastAsia="仿宋" w:cs="仿宋"/>
          <w:b/>
          <w:color w:val="auto"/>
          <w:sz w:val="24"/>
          <w:highlight w:val="none"/>
          <w:lang w:eastAsia="zh-CN"/>
        </w:rPr>
        <w:t>评审方法前附表</w:t>
      </w:r>
      <w:r>
        <w:rPr>
          <w:rFonts w:hint="eastAsia" w:ascii="仿宋" w:hAnsi="仿宋" w:eastAsia="仿宋" w:cs="仿宋"/>
          <w:b/>
          <w:color w:val="auto"/>
          <w:sz w:val="24"/>
          <w:highlight w:val="none"/>
        </w:rPr>
        <w:t>2.1.2</w:t>
      </w:r>
      <w:r>
        <w:rPr>
          <w:rFonts w:hint="eastAsia" w:ascii="仿宋" w:hAnsi="仿宋" w:eastAsia="仿宋" w:cs="仿宋"/>
          <w:color w:val="auto"/>
          <w:sz w:val="24"/>
          <w:highlight w:val="none"/>
        </w:rPr>
        <w:t>”。</w:t>
      </w:r>
    </w:p>
    <w:p w14:paraId="7E767C46">
      <w:pPr>
        <w:pageBreakBefore w:val="0"/>
        <w:wordWrap/>
        <w:overflowPunct/>
        <w:topLinePunct w:val="0"/>
        <w:bidi w:val="0"/>
        <w:spacing w:line="360" w:lineRule="auto"/>
        <w:ind w:firstLine="480" w:firstLineChars="200"/>
        <w:jc w:val="left"/>
        <w:rPr>
          <w:rFonts w:hint="eastAsia" w:ascii="仿宋" w:hAnsi="仿宋" w:eastAsia="仿宋" w:cs="仿宋"/>
          <w:bCs/>
          <w:color w:val="auto"/>
          <w:sz w:val="24"/>
          <w:highlight w:val="none"/>
        </w:rPr>
      </w:pP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 xml:space="preserve"> </w:t>
      </w:r>
      <w:r>
        <w:rPr>
          <w:rFonts w:hint="eastAsia" w:ascii="仿宋" w:hAnsi="仿宋" w:eastAsia="仿宋" w:cs="仿宋"/>
          <w:bCs/>
          <w:color w:val="auto"/>
          <w:sz w:val="24"/>
          <w:highlight w:val="none"/>
        </w:rPr>
        <w:t>有一项不符合磋商标准的，不通过</w:t>
      </w:r>
      <w:r>
        <w:rPr>
          <w:rFonts w:hint="eastAsia" w:ascii="仿宋" w:hAnsi="仿宋" w:eastAsia="仿宋" w:cs="仿宋"/>
          <w:color w:val="auto"/>
          <w:sz w:val="24"/>
          <w:highlight w:val="none"/>
        </w:rPr>
        <w:t>资格审查和符合性审查</w:t>
      </w:r>
      <w:r>
        <w:rPr>
          <w:rFonts w:hint="eastAsia" w:ascii="仿宋" w:hAnsi="仿宋" w:eastAsia="仿宋" w:cs="仿宋"/>
          <w:bCs/>
          <w:color w:val="auto"/>
          <w:sz w:val="24"/>
          <w:highlight w:val="none"/>
        </w:rPr>
        <w:t>，不再参与磋商。当</w:t>
      </w:r>
      <w:r>
        <w:rPr>
          <w:rFonts w:hint="eastAsia" w:ascii="仿宋" w:hAnsi="仿宋" w:eastAsia="仿宋" w:cs="仿宋"/>
          <w:color w:val="auto"/>
          <w:sz w:val="24"/>
          <w:highlight w:val="none"/>
        </w:rPr>
        <w:t>响应磋商文件实质性要求</w:t>
      </w:r>
      <w:r>
        <w:rPr>
          <w:rFonts w:hint="eastAsia" w:ascii="仿宋" w:hAnsi="仿宋" w:eastAsia="仿宋" w:cs="仿宋"/>
          <w:bCs/>
          <w:color w:val="auto"/>
          <w:sz w:val="24"/>
          <w:highlight w:val="none"/>
        </w:rPr>
        <w:t>的供应商少于三家时，将终止本次竞争性磋商采购活动</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本竞争性磋商文件特殊规定除外</w:t>
      </w:r>
      <w:r>
        <w:rPr>
          <w:rFonts w:hint="eastAsia" w:ascii="仿宋" w:hAnsi="仿宋" w:eastAsia="仿宋" w:cs="仿宋"/>
          <w:bCs/>
          <w:color w:val="auto"/>
          <w:sz w:val="24"/>
          <w:highlight w:val="none"/>
        </w:rPr>
        <w:t>。</w:t>
      </w:r>
    </w:p>
    <w:p w14:paraId="41D1D11C">
      <w:pPr>
        <w:pStyle w:val="16"/>
        <w:pageBreakBefore w:val="0"/>
        <w:wordWrap/>
        <w:overflowPunct/>
        <w:topLinePunct w:val="0"/>
        <w:bidi w:val="0"/>
        <w:spacing w:line="360" w:lineRule="auto"/>
        <w:ind w:firstLine="480" w:firstLineChars="200"/>
        <w:rPr>
          <w:rFonts w:hint="eastAsia" w:ascii="仿宋" w:hAnsi="仿宋" w:eastAsia="仿宋" w:cs="仿宋"/>
          <w:b/>
          <w:color w:val="auto"/>
          <w:sz w:val="24"/>
          <w:highlight w:val="none"/>
        </w:rPr>
      </w:pPr>
      <w:bookmarkStart w:id="485" w:name="_Toc86124100"/>
      <w:bookmarkStart w:id="486" w:name="_Toc191374453"/>
      <w:bookmarkStart w:id="487" w:name="_Toc48271433"/>
      <w:bookmarkStart w:id="488" w:name="_Toc329810241"/>
      <w:bookmarkStart w:id="489" w:name="_Toc3378820"/>
      <w:bookmarkStart w:id="490" w:name="_Toc8382358"/>
      <w:bookmarkStart w:id="491" w:name="_Toc482913009"/>
      <w:bookmarkStart w:id="492" w:name="_Toc388341255"/>
      <w:bookmarkStart w:id="493" w:name="_Toc529197791"/>
      <w:bookmarkStart w:id="494" w:name="_Toc347849275"/>
      <w:bookmarkStart w:id="495" w:name="_Toc378499756"/>
      <w:bookmarkStart w:id="496" w:name="_Toc511457572"/>
      <w:bookmarkStart w:id="497" w:name="_Toc10320904"/>
      <w:bookmarkStart w:id="498" w:name="_Toc498086654"/>
      <w:r>
        <w:rPr>
          <w:rFonts w:hint="eastAsia" w:ascii="仿宋" w:hAnsi="仿宋" w:cs="仿宋"/>
          <w:b/>
          <w:color w:val="auto"/>
          <w:sz w:val="24"/>
          <w:highlight w:val="none"/>
          <w:lang w:eastAsia="zh-CN"/>
        </w:rPr>
        <w:t>（</w:t>
      </w:r>
      <w:r>
        <w:rPr>
          <w:rFonts w:hint="eastAsia" w:ascii="仿宋" w:hAnsi="仿宋" w:cs="仿宋"/>
          <w:b/>
          <w:color w:val="auto"/>
          <w:sz w:val="24"/>
          <w:highlight w:val="none"/>
          <w:lang w:val="en-US" w:eastAsia="zh-CN"/>
        </w:rPr>
        <w:t>二</w:t>
      </w:r>
      <w:r>
        <w:rPr>
          <w:rFonts w:hint="eastAsia" w:ascii="仿宋" w:hAnsi="仿宋" w:cs="仿宋"/>
          <w:b/>
          <w:color w:val="auto"/>
          <w:sz w:val="24"/>
          <w:highlight w:val="none"/>
          <w:lang w:eastAsia="zh-CN"/>
        </w:rPr>
        <w:t>）</w:t>
      </w:r>
      <w:r>
        <w:rPr>
          <w:rFonts w:hint="eastAsia" w:ascii="仿宋" w:hAnsi="仿宋" w:eastAsia="仿宋" w:cs="仿宋"/>
          <w:b/>
          <w:color w:val="auto"/>
          <w:sz w:val="24"/>
          <w:highlight w:val="none"/>
        </w:rPr>
        <w:t xml:space="preserve"> </w:t>
      </w:r>
      <w:bookmarkEnd w:id="485"/>
      <w:bookmarkEnd w:id="486"/>
      <w:r>
        <w:rPr>
          <w:rFonts w:hint="eastAsia" w:ascii="仿宋" w:hAnsi="仿宋" w:eastAsia="仿宋" w:cs="仿宋"/>
          <w:b/>
          <w:color w:val="auto"/>
          <w:sz w:val="24"/>
          <w:highlight w:val="none"/>
        </w:rPr>
        <w:t>磋商</w:t>
      </w:r>
      <w:bookmarkEnd w:id="487"/>
      <w:r>
        <w:rPr>
          <w:rFonts w:hint="eastAsia" w:ascii="仿宋" w:hAnsi="仿宋" w:eastAsia="仿宋" w:cs="仿宋"/>
          <w:b/>
          <w:color w:val="auto"/>
          <w:sz w:val="24"/>
          <w:highlight w:val="none"/>
        </w:rPr>
        <w:t>、比较与评价</w:t>
      </w:r>
      <w:bookmarkEnd w:id="488"/>
      <w:bookmarkEnd w:id="489"/>
      <w:bookmarkEnd w:id="490"/>
      <w:bookmarkEnd w:id="491"/>
      <w:bookmarkEnd w:id="492"/>
      <w:bookmarkEnd w:id="493"/>
      <w:bookmarkEnd w:id="494"/>
      <w:bookmarkEnd w:id="495"/>
      <w:bookmarkEnd w:id="496"/>
      <w:bookmarkEnd w:id="497"/>
      <w:bookmarkEnd w:id="498"/>
    </w:p>
    <w:p w14:paraId="03EEA9F3">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1.</w:t>
      </w:r>
      <w:r>
        <w:rPr>
          <w:rFonts w:hint="eastAsia" w:ascii="仿宋" w:hAnsi="仿宋" w:eastAsia="仿宋" w:cs="仿宋"/>
          <w:color w:val="auto"/>
          <w:sz w:val="24"/>
          <w:highlight w:val="none"/>
        </w:rPr>
        <w:t>磋商小组所有成员集中与通过资格审查的单一供应商分别进行磋商。在磋商中，磋商的任何一方不得透露与磋商有关的其他供应商的技术资料、价格、折扣和其他信息。</w:t>
      </w:r>
    </w:p>
    <w:p w14:paraId="52A08E9D">
      <w:pPr>
        <w:pageBreakBefore w:val="0"/>
        <w:wordWrap/>
        <w:overflowPunct/>
        <w:topLinePunct w:val="0"/>
        <w:bidi w:val="0"/>
        <w:adjustRightInd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2.</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磋商文件有实质性变动的，磋商小组将经采购人代表确认后，以书面形式通知所有参加磋商的供应商。但不得对涉及竞争的公平、公正性内容进行修改、变动。</w:t>
      </w:r>
    </w:p>
    <w:p w14:paraId="0C9A286A">
      <w:pPr>
        <w:pageBreakBefore w:val="0"/>
        <w:wordWrap/>
        <w:overflowPunct/>
        <w:topLinePunct w:val="0"/>
        <w:bidi w:val="0"/>
        <w:adjustRightInd w:val="0"/>
        <w:spacing w:line="360" w:lineRule="auto"/>
        <w:ind w:firstLine="480" w:firstLineChars="200"/>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3.</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为</w:t>
      </w:r>
      <w:r>
        <w:rPr>
          <w:rFonts w:hint="eastAsia" w:ascii="仿宋" w:hAnsi="仿宋" w:eastAsia="仿宋" w:cs="仿宋"/>
          <w:color w:val="auto"/>
          <w:sz w:val="24"/>
          <w:highlight w:val="none"/>
          <w:lang w:eastAsia="zh-CN"/>
        </w:rPr>
        <w:t>有助于</w:t>
      </w:r>
      <w:r>
        <w:rPr>
          <w:rFonts w:hint="eastAsia" w:ascii="仿宋" w:hAnsi="仿宋" w:eastAsia="仿宋" w:cs="仿宋"/>
          <w:color w:val="auto"/>
          <w:sz w:val="24"/>
          <w:highlight w:val="none"/>
        </w:rPr>
        <w:t>响应文件的详细审查、评价和比较，磋商小组可要求对供应商分别进行技术询问、澄清，有关要求和答复</w:t>
      </w:r>
      <w:r>
        <w:rPr>
          <w:rFonts w:hint="eastAsia" w:ascii="仿宋" w:hAnsi="仿宋" w:cs="仿宋"/>
          <w:color w:val="auto"/>
          <w:sz w:val="24"/>
          <w:highlight w:val="none"/>
          <w:lang w:eastAsia="zh-CN"/>
        </w:rPr>
        <w:t>均在</w:t>
      </w:r>
      <w:r>
        <w:rPr>
          <w:rFonts w:hint="eastAsia" w:ascii="仿宋" w:hAnsi="仿宋" w:eastAsia="仿宋" w:cs="仿宋"/>
          <w:color w:val="auto"/>
          <w:sz w:val="24"/>
          <w:highlight w:val="none"/>
          <w:lang w:val="en-US" w:eastAsia="zh-CN"/>
        </w:rPr>
        <w:t>网上</w:t>
      </w:r>
      <w:r>
        <w:rPr>
          <w:rFonts w:hint="eastAsia" w:ascii="仿宋" w:hAnsi="仿宋" w:eastAsia="仿宋" w:cs="仿宋"/>
          <w:color w:val="auto"/>
          <w:sz w:val="24"/>
          <w:highlight w:val="none"/>
        </w:rPr>
        <w:t>进行。</w:t>
      </w:r>
    </w:p>
    <w:p w14:paraId="1D9A77E8">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4.</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磋商小组对供应商提交的澄清、说明有疑问的，可以要求供应商进一步澄清、说明。磋商小</w:t>
      </w:r>
      <w:r>
        <w:rPr>
          <w:rFonts w:hint="eastAsia" w:ascii="仿宋" w:hAnsi="仿宋" w:eastAsia="仿宋" w:cs="仿宋"/>
          <w:color w:val="auto"/>
          <w:sz w:val="24"/>
          <w:highlight w:val="none"/>
          <w:lang w:eastAsia="zh-CN"/>
        </w:rPr>
        <w:t>组要</w:t>
      </w:r>
      <w:r>
        <w:rPr>
          <w:rFonts w:hint="eastAsia" w:ascii="仿宋" w:hAnsi="仿宋" w:eastAsia="仿宋" w:cs="仿宋"/>
          <w:color w:val="auto"/>
          <w:sz w:val="24"/>
          <w:highlight w:val="none"/>
        </w:rPr>
        <w:t>求供应商澄清、说明或者更正响应文件应当以书面形式作出。供应商的澄清、说明或者更正应当</w:t>
      </w:r>
      <w:r>
        <w:rPr>
          <w:rFonts w:hint="eastAsia" w:ascii="仿宋" w:hAnsi="仿宋" w:eastAsia="仿宋" w:cs="仿宋"/>
          <w:color w:val="auto"/>
          <w:sz w:val="24"/>
          <w:highlight w:val="none"/>
          <w:lang w:val="en-US" w:eastAsia="zh-CN"/>
        </w:rPr>
        <w:t>加盖供应商电子签章</w:t>
      </w:r>
      <w:r>
        <w:rPr>
          <w:rFonts w:hint="eastAsia" w:ascii="仿宋" w:hAnsi="仿宋" w:eastAsia="仿宋" w:cs="仿宋"/>
          <w:color w:val="auto"/>
          <w:sz w:val="24"/>
          <w:highlight w:val="none"/>
        </w:rPr>
        <w:t>。</w:t>
      </w:r>
    </w:p>
    <w:p w14:paraId="2A4D3AC6">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5.</w:t>
      </w:r>
      <w:r>
        <w:rPr>
          <w:rFonts w:hint="eastAsia" w:ascii="仿宋" w:hAnsi="仿宋" w:eastAsia="仿宋" w:cs="仿宋"/>
          <w:color w:val="auto"/>
          <w:sz w:val="24"/>
          <w:highlight w:val="none"/>
        </w:rPr>
        <w:t>磋商结束后，磋商小组将要求所有继续参加磋商的供应商在规定时间内提交最后报价，提交最后报价的供应商不得少于3家。</w:t>
      </w:r>
    </w:p>
    <w:p w14:paraId="2D2F2EA2">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cs="仿宋"/>
          <w:color w:val="auto"/>
          <w:sz w:val="24"/>
          <w:highlight w:val="none"/>
          <w:lang w:val="en-US" w:eastAsia="zh-CN"/>
        </w:rPr>
        <w:t>6.</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已提交响应文件的供应商，在提交最后报价之前，可以根据磋商情况退出磋商。采购人、采购代理机构应当退还退出磋商的供应商的磋商保证金。</w:t>
      </w:r>
    </w:p>
    <w:p w14:paraId="08858E6D">
      <w:pPr>
        <w:pageBreakBefore w:val="0"/>
        <w:wordWrap/>
        <w:overflowPunct/>
        <w:topLinePunct w:val="0"/>
        <w:bidi w:val="0"/>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cs="仿宋"/>
          <w:color w:val="auto"/>
          <w:sz w:val="24"/>
          <w:highlight w:val="none"/>
          <w:lang w:val="en-US" w:eastAsia="zh-CN"/>
        </w:rPr>
        <w:t>7.</w:t>
      </w:r>
      <w:r>
        <w:rPr>
          <w:rFonts w:hint="eastAsia" w:ascii="仿宋" w:hAnsi="仿宋" w:eastAsia="仿宋" w:cs="仿宋"/>
          <w:color w:val="auto"/>
          <w:sz w:val="24"/>
          <w:highlight w:val="none"/>
        </w:rPr>
        <w:t>经磋商确定最终采购需求和提交最后报价的供应商后，由磋商小组采用综合评分法对提交最后报价的供应商的响应文件和最后报价进行综合评分。</w:t>
      </w:r>
    </w:p>
    <w:p w14:paraId="20A44F43">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499" w:name="_Toc528186516"/>
      <w:bookmarkStart w:id="500" w:name="_Toc778"/>
      <w:bookmarkStart w:id="501" w:name="_Toc489197879"/>
      <w:bookmarkStart w:id="502" w:name="_Toc9004"/>
      <w:bookmarkStart w:id="503" w:name="_Toc9420"/>
      <w:bookmarkStart w:id="504" w:name="_Toc321836408"/>
      <w:bookmarkStart w:id="505" w:name="_Toc489145775"/>
      <w:bookmarkStart w:id="506" w:name="_Toc12424"/>
      <w:r>
        <w:rPr>
          <w:rFonts w:hint="eastAsia" w:ascii="仿宋" w:hAnsi="仿宋" w:cs="仿宋"/>
          <w:color w:val="auto"/>
          <w:highlight w:val="none"/>
          <w:lang w:val="en-US" w:eastAsia="zh-CN"/>
        </w:rPr>
        <w:t>（三）</w:t>
      </w:r>
      <w:r>
        <w:rPr>
          <w:rFonts w:hint="eastAsia" w:ascii="仿宋" w:hAnsi="仿宋" w:eastAsia="仿宋" w:cs="仿宋"/>
          <w:color w:val="auto"/>
          <w:highlight w:val="none"/>
          <w:lang w:val="en-US" w:eastAsia="zh-CN"/>
        </w:rPr>
        <w:t>分值构成与评审标准</w:t>
      </w:r>
      <w:bookmarkEnd w:id="499"/>
      <w:bookmarkEnd w:id="500"/>
      <w:bookmarkEnd w:id="501"/>
      <w:bookmarkEnd w:id="502"/>
      <w:bookmarkEnd w:id="503"/>
      <w:bookmarkEnd w:id="504"/>
      <w:bookmarkEnd w:id="505"/>
      <w:bookmarkEnd w:id="506"/>
    </w:p>
    <w:p w14:paraId="247F3FEA">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1.</w:t>
      </w:r>
      <w:r>
        <w:rPr>
          <w:rFonts w:hint="eastAsia" w:ascii="仿宋" w:hAnsi="仿宋" w:eastAsia="仿宋" w:cs="仿宋"/>
          <w:color w:val="auto"/>
          <w:sz w:val="24"/>
          <w:szCs w:val="22"/>
          <w:highlight w:val="none"/>
          <w:lang w:val="en-US" w:eastAsia="zh-CN"/>
        </w:rPr>
        <w:t xml:space="preserve"> </w:t>
      </w:r>
      <w:r>
        <w:rPr>
          <w:rFonts w:hint="eastAsia" w:ascii="仿宋" w:hAnsi="仿宋" w:eastAsia="仿宋" w:cs="仿宋"/>
          <w:color w:val="auto"/>
          <w:sz w:val="24"/>
          <w:szCs w:val="22"/>
          <w:highlight w:val="none"/>
        </w:rPr>
        <w:t>分值构成</w:t>
      </w:r>
    </w:p>
    <w:p w14:paraId="62873C5A">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（1）价格部分：详见《评审方法前附表》；</w:t>
      </w:r>
    </w:p>
    <w:p w14:paraId="61246C49">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（2）技术部分：详见《评审方法前附表》；</w:t>
      </w:r>
    </w:p>
    <w:p w14:paraId="47FE92EA">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（3）商务部分：详见《评审方法前附表》。</w:t>
      </w:r>
    </w:p>
    <w:p w14:paraId="364C6FAD">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2.</w:t>
      </w:r>
      <w:r>
        <w:rPr>
          <w:rFonts w:hint="eastAsia" w:ascii="仿宋" w:hAnsi="仿宋" w:eastAsia="仿宋" w:cs="仿宋"/>
          <w:color w:val="auto"/>
          <w:sz w:val="24"/>
          <w:szCs w:val="22"/>
          <w:highlight w:val="none"/>
          <w:lang w:val="en-US" w:eastAsia="zh-CN"/>
        </w:rPr>
        <w:t>评审</w:t>
      </w:r>
      <w:r>
        <w:rPr>
          <w:rFonts w:hint="eastAsia" w:ascii="仿宋" w:hAnsi="仿宋" w:eastAsia="仿宋" w:cs="仿宋"/>
          <w:color w:val="auto"/>
          <w:sz w:val="24"/>
          <w:szCs w:val="22"/>
          <w:highlight w:val="none"/>
        </w:rPr>
        <w:t>基准价计算方法：详见《</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w:t>
      </w:r>
    </w:p>
    <w:p w14:paraId="3EED171F">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3.</w:t>
      </w:r>
      <w:r>
        <w:rPr>
          <w:rFonts w:hint="eastAsia" w:ascii="仿宋" w:hAnsi="仿宋" w:eastAsia="仿宋" w:cs="仿宋"/>
          <w:color w:val="auto"/>
          <w:sz w:val="24"/>
          <w:szCs w:val="22"/>
          <w:highlight w:val="none"/>
          <w:lang w:val="en-US" w:eastAsia="zh-CN"/>
        </w:rPr>
        <w:t xml:space="preserve"> </w:t>
      </w:r>
      <w:r>
        <w:rPr>
          <w:rFonts w:hint="eastAsia" w:ascii="仿宋" w:hAnsi="仿宋" w:eastAsia="仿宋" w:cs="仿宋"/>
          <w:color w:val="auto"/>
          <w:sz w:val="24"/>
          <w:szCs w:val="22"/>
          <w:highlight w:val="none"/>
        </w:rPr>
        <w:t>评分标准</w:t>
      </w:r>
    </w:p>
    <w:p w14:paraId="0BA3E742">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按</w:t>
      </w:r>
      <w:r>
        <w:rPr>
          <w:rFonts w:hint="eastAsia" w:ascii="仿宋" w:hAnsi="仿宋" w:eastAsia="仿宋" w:cs="仿宋"/>
          <w:color w:val="auto"/>
          <w:sz w:val="24"/>
          <w:szCs w:val="22"/>
          <w:highlight w:val="none"/>
          <w:lang w:eastAsia="zh-CN"/>
        </w:rPr>
        <w:t>竞争性磋商</w:t>
      </w:r>
      <w:r>
        <w:rPr>
          <w:rFonts w:hint="eastAsia" w:ascii="仿宋" w:hAnsi="仿宋" w:eastAsia="仿宋" w:cs="仿宋"/>
          <w:color w:val="auto"/>
          <w:sz w:val="24"/>
          <w:szCs w:val="22"/>
          <w:highlight w:val="none"/>
        </w:rPr>
        <w:t>中规定的评标方法和标准，对满足</w:t>
      </w:r>
      <w:r>
        <w:rPr>
          <w:rFonts w:hint="eastAsia" w:ascii="仿宋" w:hAnsi="仿宋" w:eastAsia="仿宋" w:cs="仿宋"/>
          <w:color w:val="auto"/>
          <w:sz w:val="24"/>
          <w:szCs w:val="22"/>
          <w:highlight w:val="none"/>
          <w:lang w:eastAsia="zh-CN"/>
        </w:rPr>
        <w:t>竞争性磋商</w:t>
      </w:r>
      <w:r>
        <w:rPr>
          <w:rFonts w:hint="eastAsia" w:ascii="仿宋" w:hAnsi="仿宋" w:eastAsia="仿宋" w:cs="仿宋"/>
          <w:color w:val="auto"/>
          <w:sz w:val="24"/>
          <w:szCs w:val="22"/>
          <w:highlight w:val="none"/>
        </w:rPr>
        <w:t>实质性要求评审的</w:t>
      </w:r>
      <w:r>
        <w:rPr>
          <w:rFonts w:hint="eastAsia" w:ascii="仿宋" w:hAnsi="仿宋" w:eastAsia="仿宋" w:cs="仿宋"/>
          <w:color w:val="auto"/>
          <w:sz w:val="24"/>
          <w:szCs w:val="22"/>
          <w:highlight w:val="none"/>
          <w:lang w:val="en-US" w:eastAsia="zh-CN"/>
        </w:rPr>
        <w:t>响应</w:t>
      </w:r>
      <w:r>
        <w:rPr>
          <w:rFonts w:hint="eastAsia" w:ascii="仿宋" w:hAnsi="仿宋" w:eastAsia="仿宋" w:cs="仿宋"/>
          <w:color w:val="auto"/>
          <w:sz w:val="24"/>
          <w:szCs w:val="22"/>
          <w:highlight w:val="none"/>
        </w:rPr>
        <w:t>文件进行技术和商务评估，综合比较与评价。</w:t>
      </w:r>
    </w:p>
    <w:p w14:paraId="5D60A406">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（1）价格</w:t>
      </w:r>
      <w:r>
        <w:rPr>
          <w:rFonts w:hint="eastAsia" w:ascii="仿宋" w:hAnsi="仿宋" w:eastAsia="仿宋" w:cs="仿宋"/>
          <w:color w:val="auto"/>
          <w:sz w:val="24"/>
          <w:szCs w:val="22"/>
          <w:highlight w:val="none"/>
        </w:rPr>
        <w:t>部分评分标准：详见《</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w:t>
      </w:r>
    </w:p>
    <w:p w14:paraId="084FE2F2">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技术部分评分标准：详见《</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w:t>
      </w:r>
    </w:p>
    <w:p w14:paraId="02B7C075">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商务部分评分标准：详见《</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w:t>
      </w:r>
    </w:p>
    <w:p w14:paraId="7D667850">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lang w:val="en-US" w:eastAsia="zh-CN"/>
        </w:rPr>
      </w:pPr>
      <w:bookmarkStart w:id="507" w:name="_Toc26720"/>
      <w:bookmarkStart w:id="508" w:name="_Toc528186517"/>
      <w:bookmarkStart w:id="509" w:name="_Toc7817"/>
      <w:bookmarkStart w:id="510" w:name="_Toc7486"/>
      <w:r>
        <w:rPr>
          <w:rFonts w:hint="eastAsia" w:ascii="仿宋" w:hAnsi="仿宋" w:cs="仿宋"/>
          <w:color w:val="auto"/>
          <w:sz w:val="24"/>
          <w:szCs w:val="22"/>
          <w:highlight w:val="none"/>
          <w:lang w:val="en-US" w:eastAsia="zh-CN"/>
        </w:rPr>
        <w:t>4.</w:t>
      </w:r>
      <w:r>
        <w:rPr>
          <w:rFonts w:hint="eastAsia" w:ascii="仿宋" w:hAnsi="仿宋" w:eastAsia="仿宋" w:cs="仿宋"/>
          <w:color w:val="auto"/>
          <w:sz w:val="24"/>
          <w:szCs w:val="22"/>
          <w:highlight w:val="none"/>
          <w:lang w:val="en-US" w:eastAsia="zh-CN"/>
        </w:rPr>
        <w:t>综合比较与评价</w:t>
      </w:r>
      <w:bookmarkEnd w:id="507"/>
      <w:bookmarkEnd w:id="508"/>
      <w:bookmarkEnd w:id="509"/>
      <w:bookmarkEnd w:id="510"/>
    </w:p>
    <w:p w14:paraId="179245FF">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磋商小组</w:t>
      </w:r>
      <w:r>
        <w:rPr>
          <w:rFonts w:hint="eastAsia" w:ascii="仿宋" w:hAnsi="仿宋" w:eastAsia="仿宋" w:cs="仿宋"/>
          <w:color w:val="auto"/>
          <w:sz w:val="24"/>
          <w:szCs w:val="22"/>
          <w:highlight w:val="none"/>
        </w:rPr>
        <w:t>按本章</w:t>
      </w:r>
      <w:r>
        <w:rPr>
          <w:rFonts w:hint="eastAsia" w:ascii="仿宋" w:hAnsi="仿宋" w:eastAsia="仿宋" w:cs="仿宋"/>
          <w:color w:val="auto"/>
          <w:sz w:val="24"/>
          <w:szCs w:val="22"/>
          <w:highlight w:val="none"/>
          <w:lang w:val="en-US" w:eastAsia="zh-CN"/>
        </w:rPr>
        <w:t>2.3</w:t>
      </w:r>
      <w:r>
        <w:rPr>
          <w:rFonts w:hint="eastAsia" w:ascii="仿宋" w:hAnsi="仿宋" w:eastAsia="仿宋" w:cs="仿宋"/>
          <w:color w:val="auto"/>
          <w:sz w:val="24"/>
          <w:szCs w:val="22"/>
          <w:highlight w:val="none"/>
        </w:rPr>
        <w:t>.3规定的评分标准进行打分，并计算出</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的</w:t>
      </w:r>
      <w:r>
        <w:rPr>
          <w:rFonts w:hint="eastAsia" w:ascii="仿宋" w:hAnsi="仿宋" w:eastAsia="仿宋" w:cs="仿宋"/>
          <w:color w:val="auto"/>
          <w:sz w:val="24"/>
          <w:szCs w:val="22"/>
          <w:highlight w:val="none"/>
          <w:lang w:val="en-US" w:eastAsia="zh-CN"/>
        </w:rPr>
        <w:t>评审</w:t>
      </w:r>
      <w:r>
        <w:rPr>
          <w:rFonts w:hint="eastAsia" w:ascii="仿宋" w:hAnsi="仿宋" w:eastAsia="仿宋" w:cs="仿宋"/>
          <w:color w:val="auto"/>
          <w:sz w:val="24"/>
          <w:szCs w:val="22"/>
          <w:highlight w:val="none"/>
        </w:rPr>
        <w:t>总得分。对</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的价格分等客观评分项的评分应当一致，对其他需要借助专业知识评判的主观评分项，应当严格按照评分细则公正评分。</w:t>
      </w:r>
    </w:p>
    <w:p w14:paraId="3B55C4EF">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）按本章《</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》的规定对</w:t>
      </w:r>
      <w:r>
        <w:rPr>
          <w:rFonts w:hint="eastAsia" w:ascii="仿宋" w:hAnsi="仿宋" w:eastAsia="仿宋" w:cs="仿宋"/>
          <w:color w:val="auto"/>
          <w:sz w:val="24"/>
          <w:szCs w:val="22"/>
          <w:highlight w:val="none"/>
          <w:lang w:val="en-US" w:eastAsia="zh-CN"/>
        </w:rPr>
        <w:t>价格</w:t>
      </w:r>
      <w:r>
        <w:rPr>
          <w:rFonts w:hint="eastAsia" w:ascii="仿宋" w:hAnsi="仿宋" w:eastAsia="仿宋" w:cs="仿宋"/>
          <w:color w:val="auto"/>
          <w:sz w:val="24"/>
          <w:szCs w:val="22"/>
          <w:highlight w:val="none"/>
        </w:rPr>
        <w:t>部分评分，得分F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p>
    <w:p w14:paraId="340E2EEB">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按本章《</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》的规定对技术部分评分，得分F2；</w:t>
      </w:r>
    </w:p>
    <w:p w14:paraId="15333CC6">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）按本章《</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》的规定对商务部分评分，得分F3；</w:t>
      </w:r>
    </w:p>
    <w:p w14:paraId="5FADE682">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）按本章《</w:t>
      </w:r>
      <w:r>
        <w:rPr>
          <w:rFonts w:hint="eastAsia" w:ascii="仿宋" w:hAnsi="仿宋" w:eastAsia="仿宋" w:cs="仿宋"/>
          <w:color w:val="auto"/>
          <w:sz w:val="24"/>
          <w:szCs w:val="22"/>
          <w:highlight w:val="none"/>
          <w:lang w:eastAsia="zh-CN"/>
        </w:rPr>
        <w:t>评审方法前附表</w:t>
      </w:r>
      <w:r>
        <w:rPr>
          <w:rFonts w:hint="eastAsia" w:ascii="仿宋" w:hAnsi="仿宋" w:eastAsia="仿宋" w:cs="仿宋"/>
          <w:color w:val="auto"/>
          <w:sz w:val="24"/>
          <w:szCs w:val="22"/>
          <w:highlight w:val="none"/>
        </w:rPr>
        <w:t>》的规定计算评标总得分。</w:t>
      </w:r>
    </w:p>
    <w:p w14:paraId="09AA3711">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5.</w:t>
      </w:r>
      <w:r>
        <w:rPr>
          <w:rFonts w:hint="eastAsia" w:ascii="仿宋" w:hAnsi="仿宋" w:eastAsia="仿宋" w:cs="仿宋"/>
          <w:color w:val="auto"/>
          <w:sz w:val="24"/>
          <w:szCs w:val="22"/>
          <w:highlight w:val="none"/>
          <w:lang w:val="en-US" w:eastAsia="zh-CN"/>
        </w:rPr>
        <w:t>价格</w:t>
      </w:r>
      <w:r>
        <w:rPr>
          <w:rFonts w:hint="eastAsia" w:ascii="仿宋" w:hAnsi="仿宋" w:eastAsia="仿宋" w:cs="仿宋"/>
          <w:color w:val="auto"/>
          <w:sz w:val="24"/>
          <w:szCs w:val="22"/>
          <w:highlight w:val="none"/>
        </w:rPr>
        <w:t>部分（F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技术部分（F2）</w:t>
      </w:r>
      <w:r>
        <w:rPr>
          <w:rFonts w:hint="eastAsia" w:ascii="仿宋" w:hAnsi="仿宋" w:eastAsia="仿宋" w:cs="仿宋"/>
          <w:color w:val="auto"/>
          <w:sz w:val="24"/>
          <w:szCs w:val="22"/>
          <w:highlight w:val="none"/>
          <w:lang w:val="en-US" w:eastAsia="zh-CN"/>
        </w:rPr>
        <w:t>及</w:t>
      </w:r>
      <w:r>
        <w:rPr>
          <w:rFonts w:hint="eastAsia" w:ascii="仿宋" w:hAnsi="仿宋" w:eastAsia="仿宋" w:cs="仿宋"/>
          <w:color w:val="auto"/>
          <w:sz w:val="24"/>
          <w:szCs w:val="22"/>
          <w:highlight w:val="none"/>
        </w:rPr>
        <w:t>商务部分（F3）得分由评标委员会成员独立评分，</w:t>
      </w:r>
      <w:r>
        <w:rPr>
          <w:rFonts w:hint="eastAsia" w:ascii="仿宋" w:hAnsi="仿宋" w:eastAsia="仿宋" w:cs="仿宋"/>
          <w:color w:val="auto"/>
          <w:sz w:val="24"/>
          <w:szCs w:val="22"/>
          <w:highlight w:val="none"/>
          <w:lang w:val="en-US" w:eastAsia="zh-CN"/>
        </w:rPr>
        <w:t>供应商</w:t>
      </w:r>
      <w:r>
        <w:rPr>
          <w:rFonts w:hint="eastAsia" w:ascii="仿宋" w:hAnsi="仿宋" w:eastAsia="仿宋" w:cs="仿宋"/>
          <w:color w:val="auto"/>
          <w:sz w:val="24"/>
          <w:szCs w:val="22"/>
          <w:highlight w:val="none"/>
        </w:rPr>
        <w:t>各项评分因素得分为该项因素各</w:t>
      </w:r>
      <w:r>
        <w:rPr>
          <w:rFonts w:hint="eastAsia" w:ascii="仿宋" w:hAnsi="仿宋" w:eastAsia="仿宋" w:cs="仿宋"/>
          <w:color w:val="auto"/>
          <w:sz w:val="24"/>
          <w:szCs w:val="22"/>
          <w:highlight w:val="none"/>
          <w:lang w:val="en-US" w:eastAsia="zh-CN"/>
        </w:rPr>
        <w:t>评审专家</w:t>
      </w:r>
      <w:r>
        <w:rPr>
          <w:rFonts w:hint="eastAsia" w:ascii="仿宋" w:hAnsi="仿宋" w:eastAsia="仿宋" w:cs="仿宋"/>
          <w:color w:val="auto"/>
          <w:sz w:val="24"/>
          <w:szCs w:val="22"/>
          <w:highlight w:val="none"/>
        </w:rPr>
        <w:t>评分的算术平均值（保留小数点后两位），小数点后第三位“四舍五入”。</w:t>
      </w:r>
    </w:p>
    <w:p w14:paraId="24773545">
      <w:pPr>
        <w:pageBreakBefore w:val="0"/>
        <w:shd w:val="clear"/>
        <w:wordWrap/>
        <w:overflowPunct/>
        <w:topLinePunct w:val="0"/>
        <w:bidi w:val="0"/>
        <w:spacing w:line="360" w:lineRule="auto"/>
        <w:ind w:firstLine="480" w:firstLineChars="200"/>
        <w:rPr>
          <w:rFonts w:hint="eastAsia" w:ascii="仿宋" w:hAnsi="仿宋" w:eastAsia="仿宋" w:cs="仿宋"/>
          <w:color w:val="auto"/>
          <w:sz w:val="24"/>
          <w:szCs w:val="22"/>
          <w:highlight w:val="none"/>
        </w:rPr>
      </w:pPr>
      <w:r>
        <w:rPr>
          <w:rFonts w:hint="eastAsia" w:ascii="仿宋" w:hAnsi="仿宋" w:cs="仿宋"/>
          <w:color w:val="auto"/>
          <w:sz w:val="24"/>
          <w:szCs w:val="22"/>
          <w:highlight w:val="none"/>
          <w:lang w:val="en-US" w:eastAsia="zh-CN"/>
        </w:rPr>
        <w:t>6.</w:t>
      </w:r>
      <w:r>
        <w:rPr>
          <w:rFonts w:hint="eastAsia" w:ascii="仿宋" w:hAnsi="仿宋" w:eastAsia="仿宋" w:cs="仿宋"/>
          <w:color w:val="auto"/>
          <w:sz w:val="24"/>
          <w:szCs w:val="22"/>
          <w:highlight w:val="none"/>
          <w:lang w:val="en-US" w:eastAsia="zh-CN"/>
        </w:rPr>
        <w:t xml:space="preserve"> 磋商</w:t>
      </w:r>
      <w:r>
        <w:rPr>
          <w:rFonts w:hint="eastAsia" w:ascii="仿宋" w:hAnsi="仿宋" w:eastAsia="仿宋" w:cs="仿宋"/>
          <w:color w:val="auto"/>
          <w:sz w:val="24"/>
          <w:szCs w:val="22"/>
          <w:highlight w:val="none"/>
        </w:rPr>
        <w:t>成员要依法独立评审，并对评审意见承担个人责任。</w:t>
      </w:r>
      <w:r>
        <w:rPr>
          <w:rFonts w:hint="eastAsia" w:ascii="仿宋" w:hAnsi="仿宋" w:eastAsia="仿宋" w:cs="仿宋"/>
          <w:color w:val="auto"/>
          <w:sz w:val="24"/>
          <w:szCs w:val="22"/>
          <w:highlight w:val="none"/>
          <w:lang w:val="en-US" w:eastAsia="zh-CN"/>
        </w:rPr>
        <w:t>磋商小组</w:t>
      </w:r>
      <w:r>
        <w:rPr>
          <w:rFonts w:hint="eastAsia" w:ascii="仿宋" w:hAnsi="仿宋" w:eastAsia="仿宋" w:cs="仿宋"/>
          <w:color w:val="auto"/>
          <w:sz w:val="24"/>
          <w:szCs w:val="22"/>
          <w:highlight w:val="none"/>
        </w:rPr>
        <w:t>成员对需要共同认定的事项存在争议的，应当按照少数服从多数的原则作出结论。持不同意见的</w:t>
      </w:r>
      <w:r>
        <w:rPr>
          <w:rFonts w:hint="eastAsia" w:ascii="仿宋" w:hAnsi="仿宋" w:eastAsia="仿宋" w:cs="仿宋"/>
          <w:color w:val="auto"/>
          <w:sz w:val="24"/>
          <w:szCs w:val="22"/>
          <w:highlight w:val="none"/>
          <w:lang w:val="en-US" w:eastAsia="zh-CN"/>
        </w:rPr>
        <w:t>磋商小组成员</w:t>
      </w:r>
      <w:r>
        <w:rPr>
          <w:rFonts w:hint="eastAsia" w:ascii="仿宋" w:hAnsi="仿宋" w:eastAsia="仿宋" w:cs="仿宋"/>
          <w:color w:val="auto"/>
          <w:sz w:val="24"/>
          <w:szCs w:val="22"/>
          <w:highlight w:val="none"/>
        </w:rPr>
        <w:t>应当在</w:t>
      </w:r>
      <w:r>
        <w:rPr>
          <w:rFonts w:hint="eastAsia" w:ascii="仿宋" w:hAnsi="仿宋" w:eastAsia="仿宋" w:cs="仿宋"/>
          <w:color w:val="auto"/>
          <w:sz w:val="24"/>
          <w:szCs w:val="22"/>
          <w:highlight w:val="none"/>
          <w:lang w:val="en-US" w:eastAsia="zh-CN"/>
        </w:rPr>
        <w:t>评审报</w:t>
      </w:r>
      <w:r>
        <w:rPr>
          <w:rFonts w:hint="eastAsia" w:ascii="仿宋" w:hAnsi="仿宋" w:eastAsia="仿宋" w:cs="仿宋"/>
          <w:color w:val="auto"/>
          <w:sz w:val="24"/>
          <w:szCs w:val="22"/>
          <w:highlight w:val="none"/>
        </w:rPr>
        <w:t>告上签署不同意见及理由，否则视为同意</w:t>
      </w:r>
      <w:r>
        <w:rPr>
          <w:rFonts w:hint="eastAsia" w:ascii="仿宋" w:hAnsi="仿宋" w:eastAsia="仿宋" w:cs="仿宋"/>
          <w:color w:val="auto"/>
          <w:sz w:val="24"/>
          <w:szCs w:val="22"/>
          <w:highlight w:val="none"/>
          <w:lang w:val="en-US" w:eastAsia="zh-CN"/>
        </w:rPr>
        <w:t>评审</w:t>
      </w:r>
      <w:r>
        <w:rPr>
          <w:rFonts w:hint="eastAsia" w:ascii="仿宋" w:hAnsi="仿宋" w:eastAsia="仿宋" w:cs="仿宋"/>
          <w:color w:val="auto"/>
          <w:sz w:val="24"/>
          <w:szCs w:val="22"/>
          <w:highlight w:val="none"/>
        </w:rPr>
        <w:t>报告。</w:t>
      </w:r>
    </w:p>
    <w:p w14:paraId="66C17B70">
      <w:pPr>
        <w:pStyle w:val="4"/>
        <w:pageBreakBefore w:val="0"/>
        <w:wordWrap/>
        <w:overflowPunct/>
        <w:topLinePunct w:val="0"/>
        <w:bidi w:val="0"/>
        <w:spacing w:before="0" w:after="0" w:line="360" w:lineRule="auto"/>
        <w:ind w:firstLine="482"/>
        <w:jc w:val="both"/>
        <w:rPr>
          <w:rFonts w:hint="eastAsia" w:ascii="仿宋" w:hAnsi="仿宋" w:eastAsia="仿宋" w:cs="仿宋"/>
          <w:color w:val="auto"/>
          <w:highlight w:val="none"/>
          <w:lang w:val="en-US" w:eastAsia="zh-CN"/>
        </w:rPr>
      </w:pPr>
      <w:bookmarkStart w:id="511" w:name="_Toc347849276"/>
      <w:bookmarkStart w:id="512" w:name="_Toc8382359"/>
      <w:bookmarkStart w:id="513" w:name="_Toc498086655"/>
      <w:bookmarkStart w:id="514" w:name="_Toc511457573"/>
      <w:bookmarkStart w:id="515" w:name="_Toc529197792"/>
      <w:bookmarkStart w:id="516" w:name="_Toc388341256"/>
      <w:bookmarkStart w:id="517" w:name="_Toc329810242"/>
      <w:bookmarkStart w:id="518" w:name="_Toc3378821"/>
      <w:bookmarkStart w:id="519" w:name="_Toc482913010"/>
      <w:bookmarkStart w:id="520" w:name="_Toc378499757"/>
      <w:bookmarkStart w:id="521" w:name="_Toc10320905"/>
      <w:bookmarkStart w:id="522" w:name="_Toc15575"/>
      <w:bookmarkStart w:id="523" w:name="_Toc86124101"/>
      <w:bookmarkStart w:id="524" w:name="_Toc191374454"/>
      <w:r>
        <w:rPr>
          <w:rFonts w:hint="eastAsia" w:ascii="仿宋" w:hAnsi="仿宋" w:cs="仿宋"/>
          <w:color w:val="auto"/>
          <w:highlight w:val="none"/>
          <w:lang w:val="en-US" w:eastAsia="zh-CN"/>
        </w:rPr>
        <w:t>（四）</w:t>
      </w:r>
      <w:r>
        <w:rPr>
          <w:rFonts w:hint="eastAsia" w:ascii="仿宋" w:hAnsi="仿宋" w:eastAsia="仿宋" w:cs="仿宋"/>
          <w:color w:val="auto"/>
          <w:highlight w:val="none"/>
          <w:lang w:val="en-US" w:eastAsia="zh-CN"/>
        </w:rPr>
        <w:t>磋商结果</w:t>
      </w:r>
      <w:bookmarkEnd w:id="511"/>
      <w:bookmarkEnd w:id="512"/>
      <w:bookmarkEnd w:id="513"/>
      <w:bookmarkEnd w:id="514"/>
      <w:bookmarkEnd w:id="515"/>
      <w:bookmarkEnd w:id="516"/>
      <w:bookmarkEnd w:id="517"/>
      <w:bookmarkEnd w:id="518"/>
      <w:bookmarkEnd w:id="519"/>
      <w:bookmarkEnd w:id="520"/>
      <w:bookmarkEnd w:id="521"/>
      <w:bookmarkEnd w:id="522"/>
    </w:p>
    <w:bookmarkEnd w:id="523"/>
    <w:bookmarkEnd w:id="524"/>
    <w:p w14:paraId="40D9BF38">
      <w:pPr>
        <w:pageBreakBefore w:val="0"/>
        <w:wordWrap/>
        <w:overflowPunct/>
        <w:topLinePunct w:val="0"/>
        <w:bidi w:val="0"/>
        <w:spacing w:line="360" w:lineRule="auto"/>
        <w:ind w:firstLine="480" w:firstLineChars="200"/>
        <w:rPr>
          <w:rFonts w:hint="eastAsia" w:ascii="仿宋" w:hAnsi="仿宋" w:eastAsia="仿宋" w:cs="仿宋"/>
          <w:b/>
          <w:color w:val="auto"/>
          <w:sz w:val="24"/>
          <w:szCs w:val="20"/>
          <w:highlight w:val="none"/>
        </w:rPr>
      </w:pPr>
      <w:r>
        <w:rPr>
          <w:rFonts w:hint="eastAsia" w:ascii="仿宋" w:hAnsi="仿宋" w:eastAsia="仿宋" w:cs="仿宋"/>
          <w:color w:val="auto"/>
          <w:sz w:val="24"/>
          <w:highlight w:val="none"/>
        </w:rPr>
        <w:t>磋商小组应当从质量和服务均能满足采购文件实质性响应要求的供应商中，按照评审后总得分由高到低顺序推荐成交候选人。评审得分相同的，按照最后报价由低到高的顺序推荐。评审得分且最后报价相同的，按照技术指标优劣顺序推荐，并编写评审报告。</w:t>
      </w:r>
    </w:p>
    <w:sectPr>
      <w:footerReference r:id="rId7" w:type="first"/>
      <w:headerReference r:id="rId5" w:type="default"/>
      <w:footerReference r:id="rId6" w:type="default"/>
      <w:pgSz w:w="11906" w:h="16838"/>
      <w:pgMar w:top="1134" w:right="1134" w:bottom="1134" w:left="1247" w:header="680" w:footer="680" w:gutter="0"/>
      <w:pgNumType w:fmt="decimal"/>
      <w:cols w:space="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0"/>
    <w:family w:val="auto"/>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2435B">
    <w:pPr>
      <w:pStyle w:val="21"/>
      <w:tabs>
        <w:tab w:val="left" w:pos="7160"/>
        <w:tab w:val="clear" w:pos="8306"/>
      </w:tabs>
    </w:pPr>
    <w:r>
      <w:rPr>
        <w:rFonts w:ascii="仿宋_GB2312" w:eastAsia="仿宋_GB2312"/>
        <w:b/>
        <w:bCs/>
        <w:color w:val="000000"/>
        <w:sz w:val="32"/>
        <w:szCs w:val="32"/>
      </w:rPr>
      <w:drawing>
        <wp:inline distT="0" distB="0" distL="114300" distR="114300">
          <wp:extent cx="2715260" cy="515620"/>
          <wp:effectExtent l="0" t="0" r="8890" b="17780"/>
          <wp:docPr id="21"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蓝本全称-01"/>
                  <pic:cNvPicPr>
                    <a:picLocks noChangeAspect="1"/>
                  </pic:cNvPicPr>
                </pic:nvPicPr>
                <pic:blipFill>
                  <a:blip r:embed="rId1"/>
                  <a:stretch>
                    <a:fillRect/>
                  </a:stretch>
                </pic:blipFill>
                <pic:spPr>
                  <a:xfrm>
                    <a:off x="0" y="0"/>
                    <a:ext cx="2715260" cy="51562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9FC49">
    <w:pPr>
      <w:pStyle w:val="21"/>
      <w:tabs>
        <w:tab w:val="left" w:pos="8100"/>
        <w:tab w:val="clear" w:pos="8306"/>
      </w:tabs>
      <w:spacing w:line="240" w:lineRule="auto"/>
      <w:ind w:right="640"/>
    </w:pPr>
    <w:r>
      <w:rPr>
        <w:sz w:val="18"/>
      </w:rPr>
      <mc:AlternateContent>
        <mc:Choice Requires="wps">
          <w:drawing>
            <wp:anchor distT="0" distB="0" distL="114300" distR="114300" simplePos="0" relativeHeight="251659264" behindDoc="0" locked="0" layoutInCell="1" allowOverlap="1">
              <wp:simplePos x="0" y="0"/>
              <wp:positionH relativeFrom="margin">
                <wp:posOffset>4125595</wp:posOffset>
              </wp:positionH>
              <wp:positionV relativeFrom="paragraph">
                <wp:posOffset>140970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4AB25D">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24.85pt;margin-top:11.1pt;height:144pt;width:144pt;mso-position-horizontal-relative:margin;mso-wrap-style:none;z-index:251659264;mso-width-relative:page;mso-height-relative:page;" filled="f" stroked="f" coordsize="21600,21600" o:gfxdata="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62B+9tcAAAAKAQAADwAAAAAAAAABACAAAAAiAAAAZHJzL2Rvd25yZXYueG1s&#10;UEsBAhQAFAAAAAgAh07iQCMFE50yAgAAYwQAAA4AAAAAAAAAAQAgAAAAJgEAAGRycy9lMm9Eb2Mu&#10;eG1sUEsFBgAAAAAGAAYAWQEAAMoFAAAAAA==&#10;">
              <v:fill on="f" focussize="0,0"/>
              <v:stroke on="f" weight="0.5pt"/>
              <v:imagedata o:title=""/>
              <o:lock v:ext="edit" aspectratio="f"/>
              <v:textbox inset="0mm,0mm,0mm,0mm" style="mso-fit-shape-to-text:t;">
                <w:txbxContent>
                  <w:p w14:paraId="1B4AB25D">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ascii="仿宋_GB2312" w:eastAsia="仿宋_GB2312"/>
        <w:b/>
        <w:bCs/>
        <w:color w:val="000000"/>
        <w:sz w:val="32"/>
        <w:szCs w:val="32"/>
      </w:rPr>
      <w:drawing>
        <wp:inline distT="0" distB="0" distL="114300" distR="114300">
          <wp:extent cx="2715260" cy="515620"/>
          <wp:effectExtent l="0" t="0" r="8890" b="17780"/>
          <wp:docPr id="15"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蓝本全称-01"/>
                  <pic:cNvPicPr>
                    <a:picLocks noChangeAspect="1"/>
                  </pic:cNvPicPr>
                </pic:nvPicPr>
                <pic:blipFill>
                  <a:blip r:embed="rId1"/>
                  <a:stretch>
                    <a:fillRect/>
                  </a:stretch>
                </pic:blipFill>
                <pic:spPr>
                  <a:xfrm>
                    <a:off x="0" y="0"/>
                    <a:ext cx="2715260" cy="51562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608B0">
    <w:pPr>
      <w:pStyle w:val="21"/>
    </w:pPr>
    <w:r>
      <w:rPr>
        <w:rFonts w:ascii="仿宋_GB2312" w:eastAsia="仿宋_GB2312"/>
        <w:b/>
        <w:bCs/>
        <w:color w:val="000000"/>
        <w:sz w:val="32"/>
        <w:szCs w:val="32"/>
      </w:rPr>
      <w:drawing>
        <wp:inline distT="0" distB="0" distL="114300" distR="114300">
          <wp:extent cx="2715260" cy="515620"/>
          <wp:effectExtent l="0" t="0" r="8890" b="17780"/>
          <wp:docPr id="16"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蓝本全称-01"/>
                  <pic:cNvPicPr>
                    <a:picLocks noChangeAspect="1"/>
                  </pic:cNvPicPr>
                </pic:nvPicPr>
                <pic:blipFill>
                  <a:blip r:embed="rId1"/>
                  <a:stretch>
                    <a:fillRect/>
                  </a:stretch>
                </pic:blipFill>
                <pic:spPr>
                  <a:xfrm>
                    <a:off x="0" y="0"/>
                    <a:ext cx="2715260" cy="515620"/>
                  </a:xfrm>
                  <a:prstGeom prst="rect">
                    <a:avLst/>
                  </a:prstGeom>
                  <a:noFill/>
                  <a:ln>
                    <a:noFill/>
                  </a:ln>
                </pic:spPr>
              </pic:pic>
            </a:graphicData>
          </a:graphic>
        </wp:inline>
      </w:drawing>
    </w:r>
    <w:r>
      <w:rPr>
        <w:rFonts w:hint="eastAsia" w:ascii="仿宋_GB2312" w:eastAsia="仿宋_GB2312"/>
        <w:b/>
        <w:bCs/>
        <w:color w:val="000000"/>
        <w:sz w:val="32"/>
        <w:szCs w:val="32"/>
        <w:lang w:val="en-US" w:eastAsia="zh-CN"/>
      </w:rPr>
      <w:t xml:space="preserve">             </w:t>
    </w:r>
    <w:r>
      <w:fldChar w:fldCharType="begin"/>
    </w:r>
    <w:r>
      <w:instrText xml:space="preserve">PAGE   \* MERGEFORMAT</w:instrText>
    </w:r>
    <w:r>
      <w:fldChar w:fldCharType="separate"/>
    </w:r>
    <w:r>
      <w:rPr>
        <w:lang w:val="zh-CN"/>
      </w:rPr>
      <w:t>2</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2CDFB">
    <w:pPr>
      <w:pStyle w:val="23"/>
    </w:pPr>
    <w:r>
      <w:rPr>
        <w:rFonts w:hint="eastAsia" w:ascii="仿宋" w:hAnsi="仿宋" w:eastAsia="仿宋"/>
        <w:szCs w:val="18"/>
      </w:rPr>
      <w:t>《你好，再见！》丽江纪综艺纪板块（玉龙县）宣推项目（</w:t>
    </w:r>
    <w:r>
      <w:rPr>
        <w:rFonts w:ascii="仿宋" w:hAnsi="仿宋" w:eastAsia="仿宋"/>
        <w:szCs w:val="18"/>
      </w:rPr>
      <w:t>竞争性</w:t>
    </w:r>
    <w:r>
      <w:rPr>
        <w:rFonts w:hint="eastAsia" w:ascii="仿宋" w:hAnsi="仿宋" w:eastAsia="仿宋"/>
        <w:szCs w:val="18"/>
      </w:rPr>
      <w:t>磋商</w:t>
    </w:r>
    <w:r>
      <w:rPr>
        <w:rFonts w:ascii="仿宋" w:hAnsi="仿宋" w:eastAsia="仿宋"/>
        <w:szCs w:val="18"/>
      </w:rPr>
      <w:t>文件</w:t>
    </w:r>
    <w:r>
      <w:rPr>
        <w:rFonts w:hint="eastAsia" w:ascii="仿宋" w:hAnsi="仿宋" w:eastAsia="仿宋"/>
        <w:szCs w:val="18"/>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8D738">
    <w:pPr>
      <w:pStyle w:val="23"/>
      <w:wordWrap w:val="0"/>
      <w:rPr>
        <w:rFonts w:ascii="仿宋" w:hAnsi="仿宋" w:eastAsia="仿宋"/>
        <w:sz w:val="21"/>
        <w:szCs w:val="21"/>
      </w:rPr>
    </w:pPr>
    <w:r>
      <w:rPr>
        <w:rFonts w:hint="eastAsia" w:ascii="仿宋" w:hAnsi="仿宋" w:eastAsia="仿宋"/>
        <w:szCs w:val="18"/>
      </w:rPr>
      <w:t>《你好，再见！》丽江纪综艺纪板块（玉龙县）宣推项目（</w:t>
    </w:r>
    <w:r>
      <w:rPr>
        <w:rFonts w:ascii="仿宋" w:hAnsi="仿宋" w:eastAsia="仿宋"/>
        <w:szCs w:val="18"/>
      </w:rPr>
      <w:t>竞争性</w:t>
    </w:r>
    <w:r>
      <w:rPr>
        <w:rFonts w:hint="eastAsia" w:ascii="仿宋" w:hAnsi="仿宋" w:eastAsia="仿宋"/>
        <w:szCs w:val="18"/>
      </w:rPr>
      <w:t>磋商</w:t>
    </w:r>
    <w:r>
      <w:rPr>
        <w:rFonts w:ascii="仿宋" w:hAnsi="仿宋" w:eastAsia="仿宋"/>
        <w:szCs w:val="18"/>
      </w:rPr>
      <w:t>文件</w:t>
    </w:r>
    <w:r>
      <w:rPr>
        <w:rFonts w:hint="eastAsia" w:ascii="仿宋" w:hAnsi="仿宋" w:eastAsia="仿宋"/>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A41F4"/>
    <w:multiLevelType w:val="singleLevel"/>
    <w:tmpl w:val="845A41F4"/>
    <w:lvl w:ilvl="0" w:tentative="0">
      <w:start w:val="3"/>
      <w:numFmt w:val="chineseCounting"/>
      <w:suff w:val="nothing"/>
      <w:lvlText w:val="%1、"/>
      <w:lvlJc w:val="left"/>
      <w:rPr>
        <w:rFonts w:hint="eastAsia"/>
      </w:rPr>
    </w:lvl>
  </w:abstractNum>
  <w:abstractNum w:abstractNumId="1">
    <w:nsid w:val="8593936E"/>
    <w:multiLevelType w:val="singleLevel"/>
    <w:tmpl w:val="8593936E"/>
    <w:lvl w:ilvl="0" w:tentative="0">
      <w:start w:val="2"/>
      <w:numFmt w:val="decimal"/>
      <w:suff w:val="space"/>
      <w:lvlText w:val="%1."/>
      <w:lvlJc w:val="left"/>
    </w:lvl>
  </w:abstractNum>
  <w:abstractNum w:abstractNumId="2">
    <w:nsid w:val="AE18515E"/>
    <w:multiLevelType w:val="singleLevel"/>
    <w:tmpl w:val="AE18515E"/>
    <w:lvl w:ilvl="0" w:tentative="0">
      <w:start w:val="5"/>
      <w:numFmt w:val="chineseCounting"/>
      <w:suff w:val="nothing"/>
      <w:lvlText w:val="（%1）"/>
      <w:lvlJc w:val="left"/>
      <w:rPr>
        <w:rFonts w:hint="eastAsia"/>
      </w:rPr>
    </w:lvl>
  </w:abstractNum>
  <w:abstractNum w:abstractNumId="3">
    <w:nsid w:val="AFF0CBEB"/>
    <w:multiLevelType w:val="singleLevel"/>
    <w:tmpl w:val="AFF0CBEB"/>
    <w:lvl w:ilvl="0" w:tentative="0">
      <w:start w:val="5"/>
      <w:numFmt w:val="chineseCounting"/>
      <w:suff w:val="space"/>
      <w:lvlText w:val="第%1章"/>
      <w:lvlJc w:val="left"/>
      <w:rPr>
        <w:rFonts w:hint="eastAsia"/>
      </w:rPr>
    </w:lvl>
  </w:abstractNum>
  <w:abstractNum w:abstractNumId="4">
    <w:nsid w:val="CCB85C0E"/>
    <w:multiLevelType w:val="singleLevel"/>
    <w:tmpl w:val="CCB85C0E"/>
    <w:lvl w:ilvl="0" w:tentative="0">
      <w:start w:val="2"/>
      <w:numFmt w:val="chineseCounting"/>
      <w:suff w:val="nothing"/>
      <w:lvlText w:val="%1、"/>
      <w:lvlJc w:val="left"/>
      <w:rPr>
        <w:rFonts w:hint="eastAsia"/>
      </w:rPr>
    </w:lvl>
  </w:abstractNum>
  <w:abstractNum w:abstractNumId="5">
    <w:nsid w:val="DDBF203B"/>
    <w:multiLevelType w:val="singleLevel"/>
    <w:tmpl w:val="DDBF203B"/>
    <w:lvl w:ilvl="0" w:tentative="0">
      <w:start w:val="1"/>
      <w:numFmt w:val="chineseCounting"/>
      <w:suff w:val="nothing"/>
      <w:lvlText w:val="（%1）"/>
      <w:lvlJc w:val="left"/>
      <w:rPr>
        <w:rFonts w:hint="eastAsia"/>
      </w:rPr>
    </w:lvl>
  </w:abstractNum>
  <w:abstractNum w:abstractNumId="6">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7">
    <w:nsid w:val="00000001"/>
    <w:multiLevelType w:val="multilevel"/>
    <w:tmpl w:val="00000001"/>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pStyle w:val="51"/>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8">
    <w:nsid w:val="11EF3BBC"/>
    <w:multiLevelType w:val="multilevel"/>
    <w:tmpl w:val="11EF3BBC"/>
    <w:lvl w:ilvl="0" w:tentative="0">
      <w:start w:val="1"/>
      <w:numFmt w:val="bullet"/>
      <w:pStyle w:val="119"/>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3B382561"/>
    <w:multiLevelType w:val="singleLevel"/>
    <w:tmpl w:val="3B382561"/>
    <w:lvl w:ilvl="0" w:tentative="0">
      <w:start w:val="1"/>
      <w:numFmt w:val="chineseCounting"/>
      <w:suff w:val="nothing"/>
      <w:lvlText w:val="（%1）"/>
      <w:lvlJc w:val="left"/>
      <w:rPr>
        <w:rFonts w:hint="eastAsia"/>
      </w:rPr>
    </w:lvl>
  </w:abstractNum>
  <w:abstractNum w:abstractNumId="10">
    <w:nsid w:val="4077C92B"/>
    <w:multiLevelType w:val="singleLevel"/>
    <w:tmpl w:val="4077C92B"/>
    <w:lvl w:ilvl="0" w:tentative="0">
      <w:start w:val="1"/>
      <w:numFmt w:val="decimal"/>
      <w:suff w:val="space"/>
      <w:lvlText w:val="%1."/>
      <w:lvlJc w:val="left"/>
    </w:lvl>
  </w:abstractNum>
  <w:abstractNum w:abstractNumId="11">
    <w:nsid w:val="54148FD5"/>
    <w:multiLevelType w:val="singleLevel"/>
    <w:tmpl w:val="54148FD5"/>
    <w:lvl w:ilvl="0" w:tentative="0">
      <w:start w:val="3"/>
      <w:numFmt w:val="chineseCounting"/>
      <w:suff w:val="nothing"/>
      <w:lvlText w:val="(%1）"/>
      <w:lvlJc w:val="left"/>
      <w:rPr>
        <w:rFonts w:hint="eastAsia"/>
      </w:rPr>
    </w:lvl>
  </w:abstractNum>
  <w:num w:numId="1">
    <w:abstractNumId w:val="6"/>
  </w:num>
  <w:num w:numId="2">
    <w:abstractNumId w:val="7"/>
  </w:num>
  <w:num w:numId="3">
    <w:abstractNumId w:val="8"/>
  </w:num>
  <w:num w:numId="4">
    <w:abstractNumId w:val="4"/>
  </w:num>
  <w:num w:numId="5">
    <w:abstractNumId w:val="0"/>
  </w:num>
  <w:num w:numId="6">
    <w:abstractNumId w:val="3"/>
  </w:num>
  <w:num w:numId="7">
    <w:abstractNumId w:val="10"/>
  </w:num>
  <w:num w:numId="8">
    <w:abstractNumId w:val="1"/>
  </w:num>
  <w:num w:numId="9">
    <w:abstractNumId w:val="9"/>
  </w:num>
  <w:num w:numId="10">
    <w:abstractNumId w:val="11"/>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zMTQwODc4YTg0NmQxODA2ODMwZDFiNWY2ZDY1OGIifQ=="/>
  </w:docVars>
  <w:rsids>
    <w:rsidRoot w:val="003D21E6"/>
    <w:rsid w:val="0000042F"/>
    <w:rsid w:val="00000CC0"/>
    <w:rsid w:val="0000116D"/>
    <w:rsid w:val="000011A5"/>
    <w:rsid w:val="000017BA"/>
    <w:rsid w:val="00002616"/>
    <w:rsid w:val="00002E53"/>
    <w:rsid w:val="00002FD6"/>
    <w:rsid w:val="000032CE"/>
    <w:rsid w:val="00004AB9"/>
    <w:rsid w:val="00004D36"/>
    <w:rsid w:val="00005000"/>
    <w:rsid w:val="00005221"/>
    <w:rsid w:val="0000681C"/>
    <w:rsid w:val="00006C29"/>
    <w:rsid w:val="00007CFF"/>
    <w:rsid w:val="00010186"/>
    <w:rsid w:val="00010306"/>
    <w:rsid w:val="00010D5E"/>
    <w:rsid w:val="000123FE"/>
    <w:rsid w:val="000127A0"/>
    <w:rsid w:val="000140CE"/>
    <w:rsid w:val="000142B3"/>
    <w:rsid w:val="000154FF"/>
    <w:rsid w:val="00016A43"/>
    <w:rsid w:val="00016BB0"/>
    <w:rsid w:val="00016D12"/>
    <w:rsid w:val="00016D92"/>
    <w:rsid w:val="00017156"/>
    <w:rsid w:val="0001736B"/>
    <w:rsid w:val="00017714"/>
    <w:rsid w:val="00020730"/>
    <w:rsid w:val="000215A0"/>
    <w:rsid w:val="00021A39"/>
    <w:rsid w:val="00023090"/>
    <w:rsid w:val="00023389"/>
    <w:rsid w:val="000233E3"/>
    <w:rsid w:val="0002412B"/>
    <w:rsid w:val="000245CA"/>
    <w:rsid w:val="00024A1D"/>
    <w:rsid w:val="00024FF3"/>
    <w:rsid w:val="00025313"/>
    <w:rsid w:val="00025609"/>
    <w:rsid w:val="00027C82"/>
    <w:rsid w:val="000302B3"/>
    <w:rsid w:val="000309D9"/>
    <w:rsid w:val="0003128E"/>
    <w:rsid w:val="00031AEC"/>
    <w:rsid w:val="0003218B"/>
    <w:rsid w:val="00032D17"/>
    <w:rsid w:val="00033D25"/>
    <w:rsid w:val="0003442F"/>
    <w:rsid w:val="000351E8"/>
    <w:rsid w:val="00035233"/>
    <w:rsid w:val="000366F2"/>
    <w:rsid w:val="00040C59"/>
    <w:rsid w:val="0004167A"/>
    <w:rsid w:val="000417D8"/>
    <w:rsid w:val="0004181F"/>
    <w:rsid w:val="00041848"/>
    <w:rsid w:val="00041B1E"/>
    <w:rsid w:val="000428DA"/>
    <w:rsid w:val="00043738"/>
    <w:rsid w:val="0004387B"/>
    <w:rsid w:val="000444F5"/>
    <w:rsid w:val="00044951"/>
    <w:rsid w:val="00044FF8"/>
    <w:rsid w:val="000456E5"/>
    <w:rsid w:val="000459F0"/>
    <w:rsid w:val="000465E9"/>
    <w:rsid w:val="0004673B"/>
    <w:rsid w:val="00047281"/>
    <w:rsid w:val="00047DE9"/>
    <w:rsid w:val="00051100"/>
    <w:rsid w:val="000517A2"/>
    <w:rsid w:val="00051C8D"/>
    <w:rsid w:val="0005311F"/>
    <w:rsid w:val="000538F0"/>
    <w:rsid w:val="00053ADE"/>
    <w:rsid w:val="000541A9"/>
    <w:rsid w:val="00056480"/>
    <w:rsid w:val="00056C02"/>
    <w:rsid w:val="000579E9"/>
    <w:rsid w:val="00057B79"/>
    <w:rsid w:val="00060629"/>
    <w:rsid w:val="0006178D"/>
    <w:rsid w:val="000625C0"/>
    <w:rsid w:val="00063DC8"/>
    <w:rsid w:val="00064067"/>
    <w:rsid w:val="00065DAD"/>
    <w:rsid w:val="00066136"/>
    <w:rsid w:val="0006690F"/>
    <w:rsid w:val="0007058D"/>
    <w:rsid w:val="000708E5"/>
    <w:rsid w:val="00070A04"/>
    <w:rsid w:val="00070BF6"/>
    <w:rsid w:val="00073C4E"/>
    <w:rsid w:val="00073E7C"/>
    <w:rsid w:val="00075032"/>
    <w:rsid w:val="00076E73"/>
    <w:rsid w:val="00080182"/>
    <w:rsid w:val="000805BC"/>
    <w:rsid w:val="00080C7B"/>
    <w:rsid w:val="00081F31"/>
    <w:rsid w:val="00082499"/>
    <w:rsid w:val="00082B74"/>
    <w:rsid w:val="000838EE"/>
    <w:rsid w:val="00085ADB"/>
    <w:rsid w:val="00085CA0"/>
    <w:rsid w:val="000862F2"/>
    <w:rsid w:val="000871A3"/>
    <w:rsid w:val="00087B6C"/>
    <w:rsid w:val="00087BDC"/>
    <w:rsid w:val="000917B9"/>
    <w:rsid w:val="00091923"/>
    <w:rsid w:val="00091E15"/>
    <w:rsid w:val="00092DF5"/>
    <w:rsid w:val="00092F00"/>
    <w:rsid w:val="00093589"/>
    <w:rsid w:val="00093B6B"/>
    <w:rsid w:val="0009420B"/>
    <w:rsid w:val="000942E6"/>
    <w:rsid w:val="0009442C"/>
    <w:rsid w:val="00094CE8"/>
    <w:rsid w:val="00094D27"/>
    <w:rsid w:val="00094E63"/>
    <w:rsid w:val="00095F2E"/>
    <w:rsid w:val="00096AA4"/>
    <w:rsid w:val="00097296"/>
    <w:rsid w:val="00097628"/>
    <w:rsid w:val="00097AF0"/>
    <w:rsid w:val="000A11DD"/>
    <w:rsid w:val="000A144D"/>
    <w:rsid w:val="000A17C4"/>
    <w:rsid w:val="000A1DB7"/>
    <w:rsid w:val="000A26F6"/>
    <w:rsid w:val="000A313E"/>
    <w:rsid w:val="000A33DF"/>
    <w:rsid w:val="000A3634"/>
    <w:rsid w:val="000A36D9"/>
    <w:rsid w:val="000A3858"/>
    <w:rsid w:val="000A3A9B"/>
    <w:rsid w:val="000A3BFB"/>
    <w:rsid w:val="000A5163"/>
    <w:rsid w:val="000A55CC"/>
    <w:rsid w:val="000A5A9D"/>
    <w:rsid w:val="000A61F4"/>
    <w:rsid w:val="000A64D7"/>
    <w:rsid w:val="000A6DA5"/>
    <w:rsid w:val="000A6E16"/>
    <w:rsid w:val="000A6E88"/>
    <w:rsid w:val="000A752C"/>
    <w:rsid w:val="000A7F64"/>
    <w:rsid w:val="000B0A65"/>
    <w:rsid w:val="000B1042"/>
    <w:rsid w:val="000B3859"/>
    <w:rsid w:val="000B38E5"/>
    <w:rsid w:val="000B3932"/>
    <w:rsid w:val="000B3938"/>
    <w:rsid w:val="000B3C86"/>
    <w:rsid w:val="000B3F26"/>
    <w:rsid w:val="000B45CB"/>
    <w:rsid w:val="000B494A"/>
    <w:rsid w:val="000B6603"/>
    <w:rsid w:val="000B719A"/>
    <w:rsid w:val="000B7F3A"/>
    <w:rsid w:val="000C0A67"/>
    <w:rsid w:val="000C0AB7"/>
    <w:rsid w:val="000C0D24"/>
    <w:rsid w:val="000C24FF"/>
    <w:rsid w:val="000C25FF"/>
    <w:rsid w:val="000C2A5E"/>
    <w:rsid w:val="000C4499"/>
    <w:rsid w:val="000C451E"/>
    <w:rsid w:val="000C56D6"/>
    <w:rsid w:val="000C5C45"/>
    <w:rsid w:val="000C737E"/>
    <w:rsid w:val="000C7493"/>
    <w:rsid w:val="000C7DDB"/>
    <w:rsid w:val="000D01A9"/>
    <w:rsid w:val="000D0334"/>
    <w:rsid w:val="000D09F0"/>
    <w:rsid w:val="000D150F"/>
    <w:rsid w:val="000D1920"/>
    <w:rsid w:val="000D296A"/>
    <w:rsid w:val="000D2BBD"/>
    <w:rsid w:val="000D3270"/>
    <w:rsid w:val="000D364C"/>
    <w:rsid w:val="000D3B55"/>
    <w:rsid w:val="000D4075"/>
    <w:rsid w:val="000D4E90"/>
    <w:rsid w:val="000D5346"/>
    <w:rsid w:val="000D5731"/>
    <w:rsid w:val="000D6A9F"/>
    <w:rsid w:val="000D6C0B"/>
    <w:rsid w:val="000D6DE6"/>
    <w:rsid w:val="000E02D4"/>
    <w:rsid w:val="000E062D"/>
    <w:rsid w:val="000E1576"/>
    <w:rsid w:val="000E1AA6"/>
    <w:rsid w:val="000E1CFD"/>
    <w:rsid w:val="000E27FE"/>
    <w:rsid w:val="000E3466"/>
    <w:rsid w:val="000E52B3"/>
    <w:rsid w:val="000E6758"/>
    <w:rsid w:val="000F129D"/>
    <w:rsid w:val="000F1B34"/>
    <w:rsid w:val="000F1CD8"/>
    <w:rsid w:val="000F1EC4"/>
    <w:rsid w:val="000F320F"/>
    <w:rsid w:val="000F3379"/>
    <w:rsid w:val="000F38C0"/>
    <w:rsid w:val="000F3E28"/>
    <w:rsid w:val="000F4297"/>
    <w:rsid w:val="000F476E"/>
    <w:rsid w:val="000F4A7D"/>
    <w:rsid w:val="000F4F32"/>
    <w:rsid w:val="000F69EA"/>
    <w:rsid w:val="000F6A8F"/>
    <w:rsid w:val="000F6E7E"/>
    <w:rsid w:val="000F7087"/>
    <w:rsid w:val="000F7298"/>
    <w:rsid w:val="000F7AE7"/>
    <w:rsid w:val="001009CD"/>
    <w:rsid w:val="00100EF7"/>
    <w:rsid w:val="00101C03"/>
    <w:rsid w:val="00102887"/>
    <w:rsid w:val="00102ECB"/>
    <w:rsid w:val="001038A9"/>
    <w:rsid w:val="001048E2"/>
    <w:rsid w:val="0010491E"/>
    <w:rsid w:val="00104FAD"/>
    <w:rsid w:val="001053B1"/>
    <w:rsid w:val="001053F6"/>
    <w:rsid w:val="001054C6"/>
    <w:rsid w:val="00105579"/>
    <w:rsid w:val="001057F4"/>
    <w:rsid w:val="00105BC2"/>
    <w:rsid w:val="00105CFC"/>
    <w:rsid w:val="001063AD"/>
    <w:rsid w:val="001066EC"/>
    <w:rsid w:val="001069AD"/>
    <w:rsid w:val="00106B4A"/>
    <w:rsid w:val="00110247"/>
    <w:rsid w:val="00110EDC"/>
    <w:rsid w:val="00110F8E"/>
    <w:rsid w:val="001115DD"/>
    <w:rsid w:val="00111848"/>
    <w:rsid w:val="00111C79"/>
    <w:rsid w:val="001124EC"/>
    <w:rsid w:val="00113BE8"/>
    <w:rsid w:val="00113DBA"/>
    <w:rsid w:val="00113E19"/>
    <w:rsid w:val="00114715"/>
    <w:rsid w:val="001151A9"/>
    <w:rsid w:val="00115A50"/>
    <w:rsid w:val="001169E3"/>
    <w:rsid w:val="00117131"/>
    <w:rsid w:val="00117DBA"/>
    <w:rsid w:val="0012106C"/>
    <w:rsid w:val="00121335"/>
    <w:rsid w:val="00121621"/>
    <w:rsid w:val="001216BB"/>
    <w:rsid w:val="00122E72"/>
    <w:rsid w:val="001232B3"/>
    <w:rsid w:val="001234DF"/>
    <w:rsid w:val="001236C4"/>
    <w:rsid w:val="00123902"/>
    <w:rsid w:val="00123E27"/>
    <w:rsid w:val="00125039"/>
    <w:rsid w:val="00125E0E"/>
    <w:rsid w:val="0012645D"/>
    <w:rsid w:val="001269CB"/>
    <w:rsid w:val="00130523"/>
    <w:rsid w:val="0013130E"/>
    <w:rsid w:val="00131F98"/>
    <w:rsid w:val="0013200A"/>
    <w:rsid w:val="001337F4"/>
    <w:rsid w:val="001342E9"/>
    <w:rsid w:val="00134D54"/>
    <w:rsid w:val="0013521A"/>
    <w:rsid w:val="00135EF6"/>
    <w:rsid w:val="00136937"/>
    <w:rsid w:val="00136D04"/>
    <w:rsid w:val="001376D4"/>
    <w:rsid w:val="00140AA0"/>
    <w:rsid w:val="001412B3"/>
    <w:rsid w:val="001422E3"/>
    <w:rsid w:val="001425C4"/>
    <w:rsid w:val="001437EB"/>
    <w:rsid w:val="001446BA"/>
    <w:rsid w:val="00144AEA"/>
    <w:rsid w:val="001453D1"/>
    <w:rsid w:val="0014573F"/>
    <w:rsid w:val="0014581D"/>
    <w:rsid w:val="00145B48"/>
    <w:rsid w:val="00146208"/>
    <w:rsid w:val="0014763A"/>
    <w:rsid w:val="00150580"/>
    <w:rsid w:val="001507C1"/>
    <w:rsid w:val="00150EB7"/>
    <w:rsid w:val="00151AD1"/>
    <w:rsid w:val="001525C4"/>
    <w:rsid w:val="00152627"/>
    <w:rsid w:val="00153451"/>
    <w:rsid w:val="001538BC"/>
    <w:rsid w:val="00153F63"/>
    <w:rsid w:val="001540C2"/>
    <w:rsid w:val="00154423"/>
    <w:rsid w:val="00154EC9"/>
    <w:rsid w:val="00154F41"/>
    <w:rsid w:val="00155213"/>
    <w:rsid w:val="00156275"/>
    <w:rsid w:val="0015704B"/>
    <w:rsid w:val="00160230"/>
    <w:rsid w:val="00161BC9"/>
    <w:rsid w:val="0016299F"/>
    <w:rsid w:val="00163005"/>
    <w:rsid w:val="001633E3"/>
    <w:rsid w:val="00163BDF"/>
    <w:rsid w:val="001648A9"/>
    <w:rsid w:val="0016566C"/>
    <w:rsid w:val="00165E09"/>
    <w:rsid w:val="0016621B"/>
    <w:rsid w:val="001664F7"/>
    <w:rsid w:val="001704B3"/>
    <w:rsid w:val="0017052C"/>
    <w:rsid w:val="001706B8"/>
    <w:rsid w:val="00170D37"/>
    <w:rsid w:val="00170EA0"/>
    <w:rsid w:val="00171061"/>
    <w:rsid w:val="00171E12"/>
    <w:rsid w:val="00172A1A"/>
    <w:rsid w:val="00172A8E"/>
    <w:rsid w:val="0017306D"/>
    <w:rsid w:val="00173846"/>
    <w:rsid w:val="00173CBA"/>
    <w:rsid w:val="00173DF3"/>
    <w:rsid w:val="00174A59"/>
    <w:rsid w:val="00174E04"/>
    <w:rsid w:val="00174F8E"/>
    <w:rsid w:val="0017573E"/>
    <w:rsid w:val="00176B7E"/>
    <w:rsid w:val="00177A44"/>
    <w:rsid w:val="001806DE"/>
    <w:rsid w:val="00180C34"/>
    <w:rsid w:val="001810BE"/>
    <w:rsid w:val="00181983"/>
    <w:rsid w:val="001819CC"/>
    <w:rsid w:val="00181B25"/>
    <w:rsid w:val="001820D6"/>
    <w:rsid w:val="00182179"/>
    <w:rsid w:val="00182248"/>
    <w:rsid w:val="001822C9"/>
    <w:rsid w:val="00182A0D"/>
    <w:rsid w:val="00182B95"/>
    <w:rsid w:val="00183C43"/>
    <w:rsid w:val="0018428A"/>
    <w:rsid w:val="001847DA"/>
    <w:rsid w:val="00186B97"/>
    <w:rsid w:val="00187A81"/>
    <w:rsid w:val="00190079"/>
    <w:rsid w:val="00192246"/>
    <w:rsid w:val="00193BB8"/>
    <w:rsid w:val="0019538D"/>
    <w:rsid w:val="00195B25"/>
    <w:rsid w:val="00196258"/>
    <w:rsid w:val="001968EA"/>
    <w:rsid w:val="00196FB7"/>
    <w:rsid w:val="001972F3"/>
    <w:rsid w:val="001976C5"/>
    <w:rsid w:val="00197AE6"/>
    <w:rsid w:val="00197E56"/>
    <w:rsid w:val="001A0364"/>
    <w:rsid w:val="001A2532"/>
    <w:rsid w:val="001A2FCA"/>
    <w:rsid w:val="001A42A1"/>
    <w:rsid w:val="001A43AB"/>
    <w:rsid w:val="001A5449"/>
    <w:rsid w:val="001A5CAB"/>
    <w:rsid w:val="001A5CB2"/>
    <w:rsid w:val="001A5E04"/>
    <w:rsid w:val="001A6034"/>
    <w:rsid w:val="001A683F"/>
    <w:rsid w:val="001A6F65"/>
    <w:rsid w:val="001A7399"/>
    <w:rsid w:val="001A7CFD"/>
    <w:rsid w:val="001B0101"/>
    <w:rsid w:val="001B04A7"/>
    <w:rsid w:val="001B07F9"/>
    <w:rsid w:val="001B0B5D"/>
    <w:rsid w:val="001B0C84"/>
    <w:rsid w:val="001B1061"/>
    <w:rsid w:val="001B1CBD"/>
    <w:rsid w:val="001B284F"/>
    <w:rsid w:val="001B2BAF"/>
    <w:rsid w:val="001B2D78"/>
    <w:rsid w:val="001B2E86"/>
    <w:rsid w:val="001B2ED9"/>
    <w:rsid w:val="001B58F0"/>
    <w:rsid w:val="001B5D1F"/>
    <w:rsid w:val="001B60EA"/>
    <w:rsid w:val="001B61CC"/>
    <w:rsid w:val="001B63EA"/>
    <w:rsid w:val="001B6429"/>
    <w:rsid w:val="001B721C"/>
    <w:rsid w:val="001B7A87"/>
    <w:rsid w:val="001C06EC"/>
    <w:rsid w:val="001C0B44"/>
    <w:rsid w:val="001C0DC2"/>
    <w:rsid w:val="001C1D1D"/>
    <w:rsid w:val="001C26BE"/>
    <w:rsid w:val="001C2FBC"/>
    <w:rsid w:val="001C3958"/>
    <w:rsid w:val="001C44B6"/>
    <w:rsid w:val="001C47A4"/>
    <w:rsid w:val="001C4816"/>
    <w:rsid w:val="001C4E88"/>
    <w:rsid w:val="001C4F94"/>
    <w:rsid w:val="001C5201"/>
    <w:rsid w:val="001C5404"/>
    <w:rsid w:val="001C592D"/>
    <w:rsid w:val="001C5DF2"/>
    <w:rsid w:val="001C68FB"/>
    <w:rsid w:val="001C6BCF"/>
    <w:rsid w:val="001C6C52"/>
    <w:rsid w:val="001C7AFB"/>
    <w:rsid w:val="001D05A5"/>
    <w:rsid w:val="001D20E7"/>
    <w:rsid w:val="001D24FB"/>
    <w:rsid w:val="001D2612"/>
    <w:rsid w:val="001D2B4E"/>
    <w:rsid w:val="001D3688"/>
    <w:rsid w:val="001D37A7"/>
    <w:rsid w:val="001D4278"/>
    <w:rsid w:val="001D491F"/>
    <w:rsid w:val="001D5339"/>
    <w:rsid w:val="001D5413"/>
    <w:rsid w:val="001D5E1E"/>
    <w:rsid w:val="001D5EA9"/>
    <w:rsid w:val="001D5F9B"/>
    <w:rsid w:val="001D6A54"/>
    <w:rsid w:val="001D73C9"/>
    <w:rsid w:val="001D798E"/>
    <w:rsid w:val="001E1512"/>
    <w:rsid w:val="001E38B8"/>
    <w:rsid w:val="001E4FDB"/>
    <w:rsid w:val="001E55C1"/>
    <w:rsid w:val="001E598C"/>
    <w:rsid w:val="001E5FB1"/>
    <w:rsid w:val="001E638D"/>
    <w:rsid w:val="001E6948"/>
    <w:rsid w:val="001F0AA7"/>
    <w:rsid w:val="001F2878"/>
    <w:rsid w:val="001F3791"/>
    <w:rsid w:val="001F3F8C"/>
    <w:rsid w:val="001F4775"/>
    <w:rsid w:val="001F519C"/>
    <w:rsid w:val="001F53B5"/>
    <w:rsid w:val="002008BE"/>
    <w:rsid w:val="00200C5D"/>
    <w:rsid w:val="00201019"/>
    <w:rsid w:val="002011E3"/>
    <w:rsid w:val="00201326"/>
    <w:rsid w:val="00201388"/>
    <w:rsid w:val="002018F2"/>
    <w:rsid w:val="00201C33"/>
    <w:rsid w:val="002022C3"/>
    <w:rsid w:val="00204A98"/>
    <w:rsid w:val="00204AF3"/>
    <w:rsid w:val="00205A72"/>
    <w:rsid w:val="0020640C"/>
    <w:rsid w:val="0020671C"/>
    <w:rsid w:val="00206D03"/>
    <w:rsid w:val="002073F0"/>
    <w:rsid w:val="002078E2"/>
    <w:rsid w:val="00207F87"/>
    <w:rsid w:val="00210C90"/>
    <w:rsid w:val="00211301"/>
    <w:rsid w:val="00211602"/>
    <w:rsid w:val="002122D2"/>
    <w:rsid w:val="0021398B"/>
    <w:rsid w:val="002140BC"/>
    <w:rsid w:val="00214117"/>
    <w:rsid w:val="002145B9"/>
    <w:rsid w:val="002159B0"/>
    <w:rsid w:val="0021639C"/>
    <w:rsid w:val="00216942"/>
    <w:rsid w:val="002175F3"/>
    <w:rsid w:val="00217A36"/>
    <w:rsid w:val="00217E61"/>
    <w:rsid w:val="00217FDE"/>
    <w:rsid w:val="00220A44"/>
    <w:rsid w:val="00220DF6"/>
    <w:rsid w:val="00222CB9"/>
    <w:rsid w:val="00222E6B"/>
    <w:rsid w:val="0022315B"/>
    <w:rsid w:val="0022411A"/>
    <w:rsid w:val="0022454F"/>
    <w:rsid w:val="00224993"/>
    <w:rsid w:val="00224D26"/>
    <w:rsid w:val="00225BBD"/>
    <w:rsid w:val="0022632D"/>
    <w:rsid w:val="002275BE"/>
    <w:rsid w:val="00227FDB"/>
    <w:rsid w:val="00230A19"/>
    <w:rsid w:val="00230D28"/>
    <w:rsid w:val="00231256"/>
    <w:rsid w:val="00231E22"/>
    <w:rsid w:val="00232076"/>
    <w:rsid w:val="0023239E"/>
    <w:rsid w:val="00232658"/>
    <w:rsid w:val="00232C63"/>
    <w:rsid w:val="00232C82"/>
    <w:rsid w:val="0023384D"/>
    <w:rsid w:val="002340B4"/>
    <w:rsid w:val="00234B1F"/>
    <w:rsid w:val="00235345"/>
    <w:rsid w:val="0023548C"/>
    <w:rsid w:val="00235585"/>
    <w:rsid w:val="00235A58"/>
    <w:rsid w:val="00235C3F"/>
    <w:rsid w:val="00236013"/>
    <w:rsid w:val="002360EC"/>
    <w:rsid w:val="00237093"/>
    <w:rsid w:val="00237157"/>
    <w:rsid w:val="0024046B"/>
    <w:rsid w:val="00240D27"/>
    <w:rsid w:val="0024107D"/>
    <w:rsid w:val="002412DB"/>
    <w:rsid w:val="002420ED"/>
    <w:rsid w:val="0024231B"/>
    <w:rsid w:val="0024279B"/>
    <w:rsid w:val="00242CFD"/>
    <w:rsid w:val="002438D2"/>
    <w:rsid w:val="00243D1D"/>
    <w:rsid w:val="002441AD"/>
    <w:rsid w:val="00244520"/>
    <w:rsid w:val="00244AEE"/>
    <w:rsid w:val="00244B91"/>
    <w:rsid w:val="00245017"/>
    <w:rsid w:val="00245981"/>
    <w:rsid w:val="0024645D"/>
    <w:rsid w:val="00246CF2"/>
    <w:rsid w:val="00247E38"/>
    <w:rsid w:val="00250139"/>
    <w:rsid w:val="002508E5"/>
    <w:rsid w:val="00250C3E"/>
    <w:rsid w:val="002536AA"/>
    <w:rsid w:val="002538B1"/>
    <w:rsid w:val="002543C7"/>
    <w:rsid w:val="00254CE6"/>
    <w:rsid w:val="00255342"/>
    <w:rsid w:val="00255470"/>
    <w:rsid w:val="002574BB"/>
    <w:rsid w:val="00262B94"/>
    <w:rsid w:val="00262C57"/>
    <w:rsid w:val="00262D58"/>
    <w:rsid w:val="00263059"/>
    <w:rsid w:val="00263A37"/>
    <w:rsid w:val="002646ED"/>
    <w:rsid w:val="00264D62"/>
    <w:rsid w:val="00264E62"/>
    <w:rsid w:val="0026570B"/>
    <w:rsid w:val="00265E70"/>
    <w:rsid w:val="00266889"/>
    <w:rsid w:val="0026691C"/>
    <w:rsid w:val="00266A53"/>
    <w:rsid w:val="00266E2A"/>
    <w:rsid w:val="00267366"/>
    <w:rsid w:val="0026760B"/>
    <w:rsid w:val="00267B61"/>
    <w:rsid w:val="00270997"/>
    <w:rsid w:val="0027135C"/>
    <w:rsid w:val="002718C5"/>
    <w:rsid w:val="002718D4"/>
    <w:rsid w:val="00271913"/>
    <w:rsid w:val="00273BB5"/>
    <w:rsid w:val="00273F45"/>
    <w:rsid w:val="002742AC"/>
    <w:rsid w:val="002742DF"/>
    <w:rsid w:val="00274673"/>
    <w:rsid w:val="0027495B"/>
    <w:rsid w:val="00275025"/>
    <w:rsid w:val="002751EF"/>
    <w:rsid w:val="002758AA"/>
    <w:rsid w:val="002763A7"/>
    <w:rsid w:val="00277A98"/>
    <w:rsid w:val="00277E15"/>
    <w:rsid w:val="002802B7"/>
    <w:rsid w:val="00280541"/>
    <w:rsid w:val="00280738"/>
    <w:rsid w:val="00280D1D"/>
    <w:rsid w:val="00280F5E"/>
    <w:rsid w:val="00281A58"/>
    <w:rsid w:val="00281CF9"/>
    <w:rsid w:val="0028205E"/>
    <w:rsid w:val="002822B6"/>
    <w:rsid w:val="00282BE6"/>
    <w:rsid w:val="00283C75"/>
    <w:rsid w:val="00284C59"/>
    <w:rsid w:val="002857C4"/>
    <w:rsid w:val="00285876"/>
    <w:rsid w:val="002858E9"/>
    <w:rsid w:val="00286AA7"/>
    <w:rsid w:val="00286F20"/>
    <w:rsid w:val="00286F59"/>
    <w:rsid w:val="0028735E"/>
    <w:rsid w:val="0028779C"/>
    <w:rsid w:val="00287844"/>
    <w:rsid w:val="002878C9"/>
    <w:rsid w:val="002879D9"/>
    <w:rsid w:val="00287AC7"/>
    <w:rsid w:val="00290410"/>
    <w:rsid w:val="00290473"/>
    <w:rsid w:val="00290C2F"/>
    <w:rsid w:val="00291C65"/>
    <w:rsid w:val="0029220E"/>
    <w:rsid w:val="00292AA4"/>
    <w:rsid w:val="002930CE"/>
    <w:rsid w:val="00294C01"/>
    <w:rsid w:val="002955A6"/>
    <w:rsid w:val="00295B6A"/>
    <w:rsid w:val="00296C05"/>
    <w:rsid w:val="00296D82"/>
    <w:rsid w:val="00296EDA"/>
    <w:rsid w:val="00297742"/>
    <w:rsid w:val="002979A6"/>
    <w:rsid w:val="00297C53"/>
    <w:rsid w:val="002A054C"/>
    <w:rsid w:val="002A19D0"/>
    <w:rsid w:val="002A2023"/>
    <w:rsid w:val="002A3CBB"/>
    <w:rsid w:val="002A4329"/>
    <w:rsid w:val="002A4995"/>
    <w:rsid w:val="002A4A15"/>
    <w:rsid w:val="002A4BDF"/>
    <w:rsid w:val="002A50E9"/>
    <w:rsid w:val="002A534F"/>
    <w:rsid w:val="002A54A1"/>
    <w:rsid w:val="002A556B"/>
    <w:rsid w:val="002A6023"/>
    <w:rsid w:val="002A63BC"/>
    <w:rsid w:val="002A6D65"/>
    <w:rsid w:val="002B1AF6"/>
    <w:rsid w:val="002B1BB3"/>
    <w:rsid w:val="002B1E12"/>
    <w:rsid w:val="002B2148"/>
    <w:rsid w:val="002B2312"/>
    <w:rsid w:val="002B24E5"/>
    <w:rsid w:val="002B2E95"/>
    <w:rsid w:val="002B3606"/>
    <w:rsid w:val="002B3B94"/>
    <w:rsid w:val="002B4A55"/>
    <w:rsid w:val="002B511F"/>
    <w:rsid w:val="002B58E4"/>
    <w:rsid w:val="002B6357"/>
    <w:rsid w:val="002B64D3"/>
    <w:rsid w:val="002B70D2"/>
    <w:rsid w:val="002C0F85"/>
    <w:rsid w:val="002C12FE"/>
    <w:rsid w:val="002C19D0"/>
    <w:rsid w:val="002C2001"/>
    <w:rsid w:val="002C3556"/>
    <w:rsid w:val="002C37F3"/>
    <w:rsid w:val="002C3E05"/>
    <w:rsid w:val="002C3EBC"/>
    <w:rsid w:val="002C411A"/>
    <w:rsid w:val="002C461C"/>
    <w:rsid w:val="002C4EB6"/>
    <w:rsid w:val="002C62FD"/>
    <w:rsid w:val="002C6307"/>
    <w:rsid w:val="002C667E"/>
    <w:rsid w:val="002C6E53"/>
    <w:rsid w:val="002C7011"/>
    <w:rsid w:val="002D1215"/>
    <w:rsid w:val="002D12CE"/>
    <w:rsid w:val="002D1388"/>
    <w:rsid w:val="002D18B0"/>
    <w:rsid w:val="002D1F70"/>
    <w:rsid w:val="002D1F91"/>
    <w:rsid w:val="002D26C7"/>
    <w:rsid w:val="002D2F8E"/>
    <w:rsid w:val="002D3497"/>
    <w:rsid w:val="002D356E"/>
    <w:rsid w:val="002D3635"/>
    <w:rsid w:val="002D3DB4"/>
    <w:rsid w:val="002D4458"/>
    <w:rsid w:val="002D4512"/>
    <w:rsid w:val="002D4A40"/>
    <w:rsid w:val="002D4CE0"/>
    <w:rsid w:val="002D5860"/>
    <w:rsid w:val="002D5976"/>
    <w:rsid w:val="002D5EE9"/>
    <w:rsid w:val="002D5EF5"/>
    <w:rsid w:val="002D64D8"/>
    <w:rsid w:val="002D69AD"/>
    <w:rsid w:val="002D7030"/>
    <w:rsid w:val="002D7778"/>
    <w:rsid w:val="002D7EA5"/>
    <w:rsid w:val="002D7F45"/>
    <w:rsid w:val="002E11D9"/>
    <w:rsid w:val="002E12DE"/>
    <w:rsid w:val="002E134F"/>
    <w:rsid w:val="002E1A1F"/>
    <w:rsid w:val="002E1ED2"/>
    <w:rsid w:val="002E2B02"/>
    <w:rsid w:val="002E2DEF"/>
    <w:rsid w:val="002E3273"/>
    <w:rsid w:val="002E36C2"/>
    <w:rsid w:val="002E3F98"/>
    <w:rsid w:val="002E43D2"/>
    <w:rsid w:val="002E4A44"/>
    <w:rsid w:val="002E4B1B"/>
    <w:rsid w:val="002E7023"/>
    <w:rsid w:val="002E7126"/>
    <w:rsid w:val="002E73A8"/>
    <w:rsid w:val="002E7F1E"/>
    <w:rsid w:val="002E7FE4"/>
    <w:rsid w:val="002F01D3"/>
    <w:rsid w:val="002F0BE7"/>
    <w:rsid w:val="002F0F10"/>
    <w:rsid w:val="002F1CE2"/>
    <w:rsid w:val="002F2E5C"/>
    <w:rsid w:val="002F2F5C"/>
    <w:rsid w:val="002F3A89"/>
    <w:rsid w:val="002F422B"/>
    <w:rsid w:val="002F435B"/>
    <w:rsid w:val="002F7EB9"/>
    <w:rsid w:val="00301393"/>
    <w:rsid w:val="00301EA7"/>
    <w:rsid w:val="003025E6"/>
    <w:rsid w:val="00302F0A"/>
    <w:rsid w:val="0030314F"/>
    <w:rsid w:val="00303769"/>
    <w:rsid w:val="00303BD3"/>
    <w:rsid w:val="0030417F"/>
    <w:rsid w:val="0030447E"/>
    <w:rsid w:val="0030496D"/>
    <w:rsid w:val="0030585D"/>
    <w:rsid w:val="00305B88"/>
    <w:rsid w:val="00305C3D"/>
    <w:rsid w:val="00306844"/>
    <w:rsid w:val="00306BCB"/>
    <w:rsid w:val="00306C23"/>
    <w:rsid w:val="00307FBD"/>
    <w:rsid w:val="00310340"/>
    <w:rsid w:val="0031121A"/>
    <w:rsid w:val="00311D0B"/>
    <w:rsid w:val="00311E9F"/>
    <w:rsid w:val="0031250D"/>
    <w:rsid w:val="00312BD0"/>
    <w:rsid w:val="0031326A"/>
    <w:rsid w:val="00313279"/>
    <w:rsid w:val="0031411F"/>
    <w:rsid w:val="003153F5"/>
    <w:rsid w:val="00315482"/>
    <w:rsid w:val="003154CB"/>
    <w:rsid w:val="0031608B"/>
    <w:rsid w:val="0032151E"/>
    <w:rsid w:val="003215DF"/>
    <w:rsid w:val="00321965"/>
    <w:rsid w:val="003227A2"/>
    <w:rsid w:val="0032292B"/>
    <w:rsid w:val="00323C9A"/>
    <w:rsid w:val="00324D87"/>
    <w:rsid w:val="00324EF4"/>
    <w:rsid w:val="0032545A"/>
    <w:rsid w:val="00326506"/>
    <w:rsid w:val="00326CB4"/>
    <w:rsid w:val="0032701A"/>
    <w:rsid w:val="00327B2A"/>
    <w:rsid w:val="00330319"/>
    <w:rsid w:val="0033055C"/>
    <w:rsid w:val="0033060A"/>
    <w:rsid w:val="00330A77"/>
    <w:rsid w:val="00330F33"/>
    <w:rsid w:val="00330FA1"/>
    <w:rsid w:val="00332BAA"/>
    <w:rsid w:val="00332CE4"/>
    <w:rsid w:val="00332F9D"/>
    <w:rsid w:val="00333979"/>
    <w:rsid w:val="0033453A"/>
    <w:rsid w:val="003346FB"/>
    <w:rsid w:val="00334A59"/>
    <w:rsid w:val="00334C5C"/>
    <w:rsid w:val="00334DF4"/>
    <w:rsid w:val="003355DB"/>
    <w:rsid w:val="003359B7"/>
    <w:rsid w:val="003359D0"/>
    <w:rsid w:val="00335D9E"/>
    <w:rsid w:val="003360D5"/>
    <w:rsid w:val="00340101"/>
    <w:rsid w:val="00341E47"/>
    <w:rsid w:val="00341FA6"/>
    <w:rsid w:val="00342CDA"/>
    <w:rsid w:val="00343480"/>
    <w:rsid w:val="00343DFA"/>
    <w:rsid w:val="0034432F"/>
    <w:rsid w:val="00345828"/>
    <w:rsid w:val="00346264"/>
    <w:rsid w:val="00347CD7"/>
    <w:rsid w:val="00350298"/>
    <w:rsid w:val="00350640"/>
    <w:rsid w:val="00350AE6"/>
    <w:rsid w:val="00350B77"/>
    <w:rsid w:val="00350C5E"/>
    <w:rsid w:val="00351858"/>
    <w:rsid w:val="00351BC6"/>
    <w:rsid w:val="00352462"/>
    <w:rsid w:val="0035271E"/>
    <w:rsid w:val="00352E0B"/>
    <w:rsid w:val="00352E38"/>
    <w:rsid w:val="0035360A"/>
    <w:rsid w:val="003542DB"/>
    <w:rsid w:val="00354397"/>
    <w:rsid w:val="00354680"/>
    <w:rsid w:val="00354B56"/>
    <w:rsid w:val="00356675"/>
    <w:rsid w:val="003572CE"/>
    <w:rsid w:val="00361204"/>
    <w:rsid w:val="00361A2F"/>
    <w:rsid w:val="00362C10"/>
    <w:rsid w:val="003630D8"/>
    <w:rsid w:val="003635E9"/>
    <w:rsid w:val="003640D7"/>
    <w:rsid w:val="0036480C"/>
    <w:rsid w:val="00364E33"/>
    <w:rsid w:val="0036500E"/>
    <w:rsid w:val="0036516B"/>
    <w:rsid w:val="003654F9"/>
    <w:rsid w:val="00365B59"/>
    <w:rsid w:val="00365D2D"/>
    <w:rsid w:val="00365DB1"/>
    <w:rsid w:val="0036631E"/>
    <w:rsid w:val="00366BBA"/>
    <w:rsid w:val="00366D32"/>
    <w:rsid w:val="0037059C"/>
    <w:rsid w:val="00370EDB"/>
    <w:rsid w:val="00370F40"/>
    <w:rsid w:val="00371454"/>
    <w:rsid w:val="003716DA"/>
    <w:rsid w:val="00374B29"/>
    <w:rsid w:val="003754C5"/>
    <w:rsid w:val="00375B75"/>
    <w:rsid w:val="00375EEB"/>
    <w:rsid w:val="0037711E"/>
    <w:rsid w:val="00377216"/>
    <w:rsid w:val="003772B9"/>
    <w:rsid w:val="003775A0"/>
    <w:rsid w:val="00377FDA"/>
    <w:rsid w:val="00380826"/>
    <w:rsid w:val="00380F59"/>
    <w:rsid w:val="00382387"/>
    <w:rsid w:val="0038291A"/>
    <w:rsid w:val="0038375B"/>
    <w:rsid w:val="00384028"/>
    <w:rsid w:val="003845BE"/>
    <w:rsid w:val="00384BA3"/>
    <w:rsid w:val="00387E0C"/>
    <w:rsid w:val="00390711"/>
    <w:rsid w:val="003910F7"/>
    <w:rsid w:val="0039150B"/>
    <w:rsid w:val="00391D25"/>
    <w:rsid w:val="00391F5C"/>
    <w:rsid w:val="00391F7D"/>
    <w:rsid w:val="00392416"/>
    <w:rsid w:val="003931AC"/>
    <w:rsid w:val="00393373"/>
    <w:rsid w:val="00393EDE"/>
    <w:rsid w:val="00394474"/>
    <w:rsid w:val="00394BD9"/>
    <w:rsid w:val="00394E1E"/>
    <w:rsid w:val="00396C93"/>
    <w:rsid w:val="00396F6B"/>
    <w:rsid w:val="00397715"/>
    <w:rsid w:val="00397817"/>
    <w:rsid w:val="003A049B"/>
    <w:rsid w:val="003A0D32"/>
    <w:rsid w:val="003A1163"/>
    <w:rsid w:val="003A1A4D"/>
    <w:rsid w:val="003A1F29"/>
    <w:rsid w:val="003A2C06"/>
    <w:rsid w:val="003A2FD0"/>
    <w:rsid w:val="003A4173"/>
    <w:rsid w:val="003A428E"/>
    <w:rsid w:val="003A5803"/>
    <w:rsid w:val="003A5AA6"/>
    <w:rsid w:val="003A5D37"/>
    <w:rsid w:val="003A5D38"/>
    <w:rsid w:val="003A65CE"/>
    <w:rsid w:val="003A66F4"/>
    <w:rsid w:val="003A6E11"/>
    <w:rsid w:val="003A6E46"/>
    <w:rsid w:val="003A748A"/>
    <w:rsid w:val="003A78F7"/>
    <w:rsid w:val="003B2065"/>
    <w:rsid w:val="003B2273"/>
    <w:rsid w:val="003B26F9"/>
    <w:rsid w:val="003B34C7"/>
    <w:rsid w:val="003B3EB9"/>
    <w:rsid w:val="003B627F"/>
    <w:rsid w:val="003B7166"/>
    <w:rsid w:val="003B7428"/>
    <w:rsid w:val="003B7A01"/>
    <w:rsid w:val="003B7D8C"/>
    <w:rsid w:val="003B7F2B"/>
    <w:rsid w:val="003C1E4A"/>
    <w:rsid w:val="003C29EF"/>
    <w:rsid w:val="003C437E"/>
    <w:rsid w:val="003C43EE"/>
    <w:rsid w:val="003C4414"/>
    <w:rsid w:val="003C4633"/>
    <w:rsid w:val="003C4CF2"/>
    <w:rsid w:val="003C4D08"/>
    <w:rsid w:val="003C4F05"/>
    <w:rsid w:val="003C6BA6"/>
    <w:rsid w:val="003C7176"/>
    <w:rsid w:val="003D05DE"/>
    <w:rsid w:val="003D08F2"/>
    <w:rsid w:val="003D1B14"/>
    <w:rsid w:val="003D1C3A"/>
    <w:rsid w:val="003D21E6"/>
    <w:rsid w:val="003D2817"/>
    <w:rsid w:val="003D35F3"/>
    <w:rsid w:val="003D4D58"/>
    <w:rsid w:val="003D604D"/>
    <w:rsid w:val="003D6150"/>
    <w:rsid w:val="003D6D7E"/>
    <w:rsid w:val="003D711C"/>
    <w:rsid w:val="003D71E9"/>
    <w:rsid w:val="003D725E"/>
    <w:rsid w:val="003D742C"/>
    <w:rsid w:val="003D7540"/>
    <w:rsid w:val="003D7A52"/>
    <w:rsid w:val="003E0618"/>
    <w:rsid w:val="003E080B"/>
    <w:rsid w:val="003E0C08"/>
    <w:rsid w:val="003E18F5"/>
    <w:rsid w:val="003E1CF7"/>
    <w:rsid w:val="003E23AA"/>
    <w:rsid w:val="003E2483"/>
    <w:rsid w:val="003E2532"/>
    <w:rsid w:val="003E28B3"/>
    <w:rsid w:val="003E33FB"/>
    <w:rsid w:val="003E3FC6"/>
    <w:rsid w:val="003E536D"/>
    <w:rsid w:val="003E6149"/>
    <w:rsid w:val="003E6CC4"/>
    <w:rsid w:val="003E6DA3"/>
    <w:rsid w:val="003E72FF"/>
    <w:rsid w:val="003E7803"/>
    <w:rsid w:val="003E7FBE"/>
    <w:rsid w:val="003F14B2"/>
    <w:rsid w:val="003F2081"/>
    <w:rsid w:val="003F216B"/>
    <w:rsid w:val="003F3E86"/>
    <w:rsid w:val="003F421F"/>
    <w:rsid w:val="003F44C4"/>
    <w:rsid w:val="003F496C"/>
    <w:rsid w:val="003F4ADF"/>
    <w:rsid w:val="003F5260"/>
    <w:rsid w:val="003F5FD7"/>
    <w:rsid w:val="003F622D"/>
    <w:rsid w:val="003F64AF"/>
    <w:rsid w:val="00400333"/>
    <w:rsid w:val="0040115E"/>
    <w:rsid w:val="00401DE6"/>
    <w:rsid w:val="00402E06"/>
    <w:rsid w:val="00403BDD"/>
    <w:rsid w:val="00403DDB"/>
    <w:rsid w:val="00404434"/>
    <w:rsid w:val="00404EA7"/>
    <w:rsid w:val="004050B4"/>
    <w:rsid w:val="00405731"/>
    <w:rsid w:val="00405B60"/>
    <w:rsid w:val="004064B8"/>
    <w:rsid w:val="00406C48"/>
    <w:rsid w:val="0040709C"/>
    <w:rsid w:val="00407CF9"/>
    <w:rsid w:val="00410F29"/>
    <w:rsid w:val="00410F75"/>
    <w:rsid w:val="004117EC"/>
    <w:rsid w:val="004120D2"/>
    <w:rsid w:val="00412F22"/>
    <w:rsid w:val="0041393A"/>
    <w:rsid w:val="0041402F"/>
    <w:rsid w:val="00414D5B"/>
    <w:rsid w:val="00415108"/>
    <w:rsid w:val="0041573C"/>
    <w:rsid w:val="0041614D"/>
    <w:rsid w:val="0041699C"/>
    <w:rsid w:val="004200DB"/>
    <w:rsid w:val="00420337"/>
    <w:rsid w:val="00420747"/>
    <w:rsid w:val="00421051"/>
    <w:rsid w:val="00421100"/>
    <w:rsid w:val="004219EA"/>
    <w:rsid w:val="00421BE6"/>
    <w:rsid w:val="00422FA2"/>
    <w:rsid w:val="00423158"/>
    <w:rsid w:val="00424515"/>
    <w:rsid w:val="004246C9"/>
    <w:rsid w:val="00424A39"/>
    <w:rsid w:val="00426566"/>
    <w:rsid w:val="00426816"/>
    <w:rsid w:val="0042695F"/>
    <w:rsid w:val="004273F6"/>
    <w:rsid w:val="00427ECE"/>
    <w:rsid w:val="00430CE7"/>
    <w:rsid w:val="00432805"/>
    <w:rsid w:val="00432DFF"/>
    <w:rsid w:val="00433151"/>
    <w:rsid w:val="00433BC2"/>
    <w:rsid w:val="00434382"/>
    <w:rsid w:val="00434914"/>
    <w:rsid w:val="004354A9"/>
    <w:rsid w:val="0044010C"/>
    <w:rsid w:val="00441858"/>
    <w:rsid w:val="00441CEB"/>
    <w:rsid w:val="00442EC9"/>
    <w:rsid w:val="00443A7D"/>
    <w:rsid w:val="00443D64"/>
    <w:rsid w:val="004444BB"/>
    <w:rsid w:val="004445B2"/>
    <w:rsid w:val="004448EE"/>
    <w:rsid w:val="00444E46"/>
    <w:rsid w:val="004454F4"/>
    <w:rsid w:val="004460AD"/>
    <w:rsid w:val="004463AB"/>
    <w:rsid w:val="00446C24"/>
    <w:rsid w:val="00446E5B"/>
    <w:rsid w:val="00447D9B"/>
    <w:rsid w:val="004504C4"/>
    <w:rsid w:val="004505FF"/>
    <w:rsid w:val="0045099B"/>
    <w:rsid w:val="00450A7C"/>
    <w:rsid w:val="00450B01"/>
    <w:rsid w:val="00450D86"/>
    <w:rsid w:val="004518B6"/>
    <w:rsid w:val="004529CD"/>
    <w:rsid w:val="00452E71"/>
    <w:rsid w:val="004535E3"/>
    <w:rsid w:val="00453DBF"/>
    <w:rsid w:val="004545CE"/>
    <w:rsid w:val="0045480C"/>
    <w:rsid w:val="00454AE8"/>
    <w:rsid w:val="00454CA7"/>
    <w:rsid w:val="00454D43"/>
    <w:rsid w:val="00456A1C"/>
    <w:rsid w:val="0045737F"/>
    <w:rsid w:val="004574F4"/>
    <w:rsid w:val="00457EDB"/>
    <w:rsid w:val="0046015A"/>
    <w:rsid w:val="004607C3"/>
    <w:rsid w:val="00460844"/>
    <w:rsid w:val="004620DA"/>
    <w:rsid w:val="0046214C"/>
    <w:rsid w:val="004631CC"/>
    <w:rsid w:val="00463ABA"/>
    <w:rsid w:val="0046491A"/>
    <w:rsid w:val="004649C5"/>
    <w:rsid w:val="00464BD2"/>
    <w:rsid w:val="0046503D"/>
    <w:rsid w:val="00465FE7"/>
    <w:rsid w:val="0046630D"/>
    <w:rsid w:val="004666BD"/>
    <w:rsid w:val="00466968"/>
    <w:rsid w:val="00471170"/>
    <w:rsid w:val="004726A1"/>
    <w:rsid w:val="00472992"/>
    <w:rsid w:val="004732D9"/>
    <w:rsid w:val="004737F1"/>
    <w:rsid w:val="00474080"/>
    <w:rsid w:val="004743B6"/>
    <w:rsid w:val="0047472C"/>
    <w:rsid w:val="004747F6"/>
    <w:rsid w:val="00475E06"/>
    <w:rsid w:val="00475FF3"/>
    <w:rsid w:val="004768FC"/>
    <w:rsid w:val="00476E33"/>
    <w:rsid w:val="00476F97"/>
    <w:rsid w:val="004801CC"/>
    <w:rsid w:val="00480836"/>
    <w:rsid w:val="004813C0"/>
    <w:rsid w:val="00483D52"/>
    <w:rsid w:val="00483E08"/>
    <w:rsid w:val="00483FAE"/>
    <w:rsid w:val="00483FFD"/>
    <w:rsid w:val="00484683"/>
    <w:rsid w:val="00484764"/>
    <w:rsid w:val="004849B4"/>
    <w:rsid w:val="00484C3B"/>
    <w:rsid w:val="00485449"/>
    <w:rsid w:val="0048550B"/>
    <w:rsid w:val="004856A1"/>
    <w:rsid w:val="00486B64"/>
    <w:rsid w:val="00487069"/>
    <w:rsid w:val="0049012D"/>
    <w:rsid w:val="004905E5"/>
    <w:rsid w:val="00490F6E"/>
    <w:rsid w:val="0049237C"/>
    <w:rsid w:val="004927D9"/>
    <w:rsid w:val="004927F1"/>
    <w:rsid w:val="00492E06"/>
    <w:rsid w:val="00493D91"/>
    <w:rsid w:val="00493E5A"/>
    <w:rsid w:val="00493F7E"/>
    <w:rsid w:val="00494005"/>
    <w:rsid w:val="00494A85"/>
    <w:rsid w:val="00494D7A"/>
    <w:rsid w:val="004950E7"/>
    <w:rsid w:val="004958D8"/>
    <w:rsid w:val="004963A5"/>
    <w:rsid w:val="00496431"/>
    <w:rsid w:val="004964B6"/>
    <w:rsid w:val="004966F2"/>
    <w:rsid w:val="004967E1"/>
    <w:rsid w:val="00497BDD"/>
    <w:rsid w:val="00497F19"/>
    <w:rsid w:val="004A027A"/>
    <w:rsid w:val="004A16EC"/>
    <w:rsid w:val="004A1A71"/>
    <w:rsid w:val="004A1D61"/>
    <w:rsid w:val="004A2CE1"/>
    <w:rsid w:val="004A3673"/>
    <w:rsid w:val="004A4048"/>
    <w:rsid w:val="004A5622"/>
    <w:rsid w:val="004A59AD"/>
    <w:rsid w:val="004A5C80"/>
    <w:rsid w:val="004A5EAE"/>
    <w:rsid w:val="004A5EEF"/>
    <w:rsid w:val="004A6146"/>
    <w:rsid w:val="004A6155"/>
    <w:rsid w:val="004A64B8"/>
    <w:rsid w:val="004A6877"/>
    <w:rsid w:val="004A776D"/>
    <w:rsid w:val="004A7F70"/>
    <w:rsid w:val="004B06F0"/>
    <w:rsid w:val="004B09C7"/>
    <w:rsid w:val="004B0D50"/>
    <w:rsid w:val="004B1208"/>
    <w:rsid w:val="004B138A"/>
    <w:rsid w:val="004B2E37"/>
    <w:rsid w:val="004B32D8"/>
    <w:rsid w:val="004B3BF5"/>
    <w:rsid w:val="004B42AA"/>
    <w:rsid w:val="004B597E"/>
    <w:rsid w:val="004B62B2"/>
    <w:rsid w:val="004B62E2"/>
    <w:rsid w:val="004B6757"/>
    <w:rsid w:val="004B6A99"/>
    <w:rsid w:val="004B6C2E"/>
    <w:rsid w:val="004B7970"/>
    <w:rsid w:val="004B7AFF"/>
    <w:rsid w:val="004B7F0D"/>
    <w:rsid w:val="004C095E"/>
    <w:rsid w:val="004C0E20"/>
    <w:rsid w:val="004C1238"/>
    <w:rsid w:val="004C1611"/>
    <w:rsid w:val="004C1692"/>
    <w:rsid w:val="004C18C7"/>
    <w:rsid w:val="004C1A40"/>
    <w:rsid w:val="004C1F4E"/>
    <w:rsid w:val="004C2078"/>
    <w:rsid w:val="004C3384"/>
    <w:rsid w:val="004C371A"/>
    <w:rsid w:val="004C3C87"/>
    <w:rsid w:val="004C41B7"/>
    <w:rsid w:val="004C433D"/>
    <w:rsid w:val="004C5C3C"/>
    <w:rsid w:val="004C6BFA"/>
    <w:rsid w:val="004C75BB"/>
    <w:rsid w:val="004D03FD"/>
    <w:rsid w:val="004D17CC"/>
    <w:rsid w:val="004D1A02"/>
    <w:rsid w:val="004D1E17"/>
    <w:rsid w:val="004D2F0B"/>
    <w:rsid w:val="004D3372"/>
    <w:rsid w:val="004D3500"/>
    <w:rsid w:val="004D3E4C"/>
    <w:rsid w:val="004D4236"/>
    <w:rsid w:val="004D4826"/>
    <w:rsid w:val="004D4ECE"/>
    <w:rsid w:val="004D51E0"/>
    <w:rsid w:val="004D62FC"/>
    <w:rsid w:val="004D6499"/>
    <w:rsid w:val="004D6F4C"/>
    <w:rsid w:val="004E114F"/>
    <w:rsid w:val="004E1342"/>
    <w:rsid w:val="004E1910"/>
    <w:rsid w:val="004E1F94"/>
    <w:rsid w:val="004E32DF"/>
    <w:rsid w:val="004E3868"/>
    <w:rsid w:val="004E3BCF"/>
    <w:rsid w:val="004E3C26"/>
    <w:rsid w:val="004E411D"/>
    <w:rsid w:val="004E6B49"/>
    <w:rsid w:val="004E7E36"/>
    <w:rsid w:val="004F0A89"/>
    <w:rsid w:val="004F14CF"/>
    <w:rsid w:val="004F2263"/>
    <w:rsid w:val="004F25B1"/>
    <w:rsid w:val="004F31F0"/>
    <w:rsid w:val="004F482C"/>
    <w:rsid w:val="004F5278"/>
    <w:rsid w:val="004F5F73"/>
    <w:rsid w:val="004F68F1"/>
    <w:rsid w:val="004F6C37"/>
    <w:rsid w:val="004F6E40"/>
    <w:rsid w:val="004F74FC"/>
    <w:rsid w:val="004F77DC"/>
    <w:rsid w:val="00500253"/>
    <w:rsid w:val="00500D5F"/>
    <w:rsid w:val="005010D4"/>
    <w:rsid w:val="00502095"/>
    <w:rsid w:val="00502376"/>
    <w:rsid w:val="005023F2"/>
    <w:rsid w:val="00502BDC"/>
    <w:rsid w:val="00502E9D"/>
    <w:rsid w:val="00504101"/>
    <w:rsid w:val="005050F2"/>
    <w:rsid w:val="00505272"/>
    <w:rsid w:val="00505454"/>
    <w:rsid w:val="005055B3"/>
    <w:rsid w:val="00505A8B"/>
    <w:rsid w:val="00505B8B"/>
    <w:rsid w:val="00505C5E"/>
    <w:rsid w:val="0050629B"/>
    <w:rsid w:val="0050636B"/>
    <w:rsid w:val="005064CE"/>
    <w:rsid w:val="00506840"/>
    <w:rsid w:val="00506C77"/>
    <w:rsid w:val="00506D3E"/>
    <w:rsid w:val="00506D6C"/>
    <w:rsid w:val="005078D2"/>
    <w:rsid w:val="005105D0"/>
    <w:rsid w:val="00510934"/>
    <w:rsid w:val="005117A7"/>
    <w:rsid w:val="005119C3"/>
    <w:rsid w:val="00511DA9"/>
    <w:rsid w:val="00512712"/>
    <w:rsid w:val="005129CE"/>
    <w:rsid w:val="00512D45"/>
    <w:rsid w:val="00513BFE"/>
    <w:rsid w:val="00514285"/>
    <w:rsid w:val="005155A9"/>
    <w:rsid w:val="00515C7B"/>
    <w:rsid w:val="005205EA"/>
    <w:rsid w:val="00520A14"/>
    <w:rsid w:val="00520AD8"/>
    <w:rsid w:val="00520E3C"/>
    <w:rsid w:val="00521726"/>
    <w:rsid w:val="00522740"/>
    <w:rsid w:val="00522A17"/>
    <w:rsid w:val="00522A30"/>
    <w:rsid w:val="00522DEE"/>
    <w:rsid w:val="00523410"/>
    <w:rsid w:val="00523F38"/>
    <w:rsid w:val="00524710"/>
    <w:rsid w:val="00524998"/>
    <w:rsid w:val="00525556"/>
    <w:rsid w:val="0052580B"/>
    <w:rsid w:val="00525B21"/>
    <w:rsid w:val="00525C19"/>
    <w:rsid w:val="0052620B"/>
    <w:rsid w:val="00526539"/>
    <w:rsid w:val="00526A1E"/>
    <w:rsid w:val="005279EF"/>
    <w:rsid w:val="00530F9F"/>
    <w:rsid w:val="00530FBC"/>
    <w:rsid w:val="00531233"/>
    <w:rsid w:val="00531517"/>
    <w:rsid w:val="00532552"/>
    <w:rsid w:val="005328C8"/>
    <w:rsid w:val="005339C1"/>
    <w:rsid w:val="00533D1A"/>
    <w:rsid w:val="005344E7"/>
    <w:rsid w:val="005347FD"/>
    <w:rsid w:val="005349F1"/>
    <w:rsid w:val="00535089"/>
    <w:rsid w:val="0053563D"/>
    <w:rsid w:val="00536A41"/>
    <w:rsid w:val="00536E47"/>
    <w:rsid w:val="0053708E"/>
    <w:rsid w:val="005378D2"/>
    <w:rsid w:val="00537CA1"/>
    <w:rsid w:val="00537FF6"/>
    <w:rsid w:val="0054046D"/>
    <w:rsid w:val="005406D4"/>
    <w:rsid w:val="005408C8"/>
    <w:rsid w:val="00540A88"/>
    <w:rsid w:val="005414BE"/>
    <w:rsid w:val="0054164B"/>
    <w:rsid w:val="0054296A"/>
    <w:rsid w:val="00542BA6"/>
    <w:rsid w:val="0054326B"/>
    <w:rsid w:val="005436C3"/>
    <w:rsid w:val="00543A80"/>
    <w:rsid w:val="00543AA8"/>
    <w:rsid w:val="00543C3F"/>
    <w:rsid w:val="005453E3"/>
    <w:rsid w:val="0054578A"/>
    <w:rsid w:val="00545A27"/>
    <w:rsid w:val="00545AEC"/>
    <w:rsid w:val="00546041"/>
    <w:rsid w:val="00546541"/>
    <w:rsid w:val="00547A38"/>
    <w:rsid w:val="0055005E"/>
    <w:rsid w:val="00550BB3"/>
    <w:rsid w:val="00550F2B"/>
    <w:rsid w:val="005515DC"/>
    <w:rsid w:val="0055266B"/>
    <w:rsid w:val="00552864"/>
    <w:rsid w:val="00552973"/>
    <w:rsid w:val="00552F01"/>
    <w:rsid w:val="0055321F"/>
    <w:rsid w:val="00554AF7"/>
    <w:rsid w:val="00554D72"/>
    <w:rsid w:val="0055669F"/>
    <w:rsid w:val="00556C89"/>
    <w:rsid w:val="005570D9"/>
    <w:rsid w:val="00557669"/>
    <w:rsid w:val="005576F9"/>
    <w:rsid w:val="00557EEB"/>
    <w:rsid w:val="00557FEF"/>
    <w:rsid w:val="00560D40"/>
    <w:rsid w:val="00560E6E"/>
    <w:rsid w:val="005610C2"/>
    <w:rsid w:val="00561B94"/>
    <w:rsid w:val="005625D4"/>
    <w:rsid w:val="00562A1C"/>
    <w:rsid w:val="005639CA"/>
    <w:rsid w:val="00564410"/>
    <w:rsid w:val="00566264"/>
    <w:rsid w:val="00567C94"/>
    <w:rsid w:val="00570A1C"/>
    <w:rsid w:val="00570DD0"/>
    <w:rsid w:val="00570F3A"/>
    <w:rsid w:val="005716ED"/>
    <w:rsid w:val="00571B52"/>
    <w:rsid w:val="00572225"/>
    <w:rsid w:val="0057306D"/>
    <w:rsid w:val="005737C0"/>
    <w:rsid w:val="005742F2"/>
    <w:rsid w:val="005748E8"/>
    <w:rsid w:val="005759C9"/>
    <w:rsid w:val="00576B03"/>
    <w:rsid w:val="00577688"/>
    <w:rsid w:val="00577ED3"/>
    <w:rsid w:val="0058086B"/>
    <w:rsid w:val="00580F10"/>
    <w:rsid w:val="00580F75"/>
    <w:rsid w:val="00580FC1"/>
    <w:rsid w:val="0058194C"/>
    <w:rsid w:val="00581D27"/>
    <w:rsid w:val="00582057"/>
    <w:rsid w:val="0058238D"/>
    <w:rsid w:val="00582C78"/>
    <w:rsid w:val="0058317C"/>
    <w:rsid w:val="00583488"/>
    <w:rsid w:val="0058355F"/>
    <w:rsid w:val="00583B43"/>
    <w:rsid w:val="00584350"/>
    <w:rsid w:val="00584366"/>
    <w:rsid w:val="00584570"/>
    <w:rsid w:val="00584B05"/>
    <w:rsid w:val="0058587B"/>
    <w:rsid w:val="00585AE3"/>
    <w:rsid w:val="005863B9"/>
    <w:rsid w:val="005868DC"/>
    <w:rsid w:val="00587053"/>
    <w:rsid w:val="0058752C"/>
    <w:rsid w:val="0058775C"/>
    <w:rsid w:val="00587AAB"/>
    <w:rsid w:val="0059012D"/>
    <w:rsid w:val="005906B5"/>
    <w:rsid w:val="005923F4"/>
    <w:rsid w:val="0059260A"/>
    <w:rsid w:val="00593254"/>
    <w:rsid w:val="00593471"/>
    <w:rsid w:val="00594268"/>
    <w:rsid w:val="0059457C"/>
    <w:rsid w:val="00594D08"/>
    <w:rsid w:val="005A0668"/>
    <w:rsid w:val="005A1CEE"/>
    <w:rsid w:val="005A1EF1"/>
    <w:rsid w:val="005A2CD8"/>
    <w:rsid w:val="005A351D"/>
    <w:rsid w:val="005A53FC"/>
    <w:rsid w:val="005A543F"/>
    <w:rsid w:val="005A6D24"/>
    <w:rsid w:val="005A6E4C"/>
    <w:rsid w:val="005A71B4"/>
    <w:rsid w:val="005A7672"/>
    <w:rsid w:val="005B006B"/>
    <w:rsid w:val="005B00AE"/>
    <w:rsid w:val="005B01D6"/>
    <w:rsid w:val="005B0A6D"/>
    <w:rsid w:val="005B274F"/>
    <w:rsid w:val="005B2FED"/>
    <w:rsid w:val="005B37CA"/>
    <w:rsid w:val="005B4852"/>
    <w:rsid w:val="005B55A2"/>
    <w:rsid w:val="005B5A6F"/>
    <w:rsid w:val="005B5B00"/>
    <w:rsid w:val="005B5BC1"/>
    <w:rsid w:val="005B68F8"/>
    <w:rsid w:val="005B6CBB"/>
    <w:rsid w:val="005B6E8A"/>
    <w:rsid w:val="005B7FD2"/>
    <w:rsid w:val="005C003C"/>
    <w:rsid w:val="005C1EA5"/>
    <w:rsid w:val="005C2580"/>
    <w:rsid w:val="005C5690"/>
    <w:rsid w:val="005C5854"/>
    <w:rsid w:val="005C5BB1"/>
    <w:rsid w:val="005C6324"/>
    <w:rsid w:val="005C6478"/>
    <w:rsid w:val="005C7A5E"/>
    <w:rsid w:val="005D02D1"/>
    <w:rsid w:val="005D190E"/>
    <w:rsid w:val="005D2521"/>
    <w:rsid w:val="005D25FB"/>
    <w:rsid w:val="005D3C0F"/>
    <w:rsid w:val="005D3C84"/>
    <w:rsid w:val="005D4A1F"/>
    <w:rsid w:val="005D52C8"/>
    <w:rsid w:val="005D53D3"/>
    <w:rsid w:val="005D549E"/>
    <w:rsid w:val="005D5B6F"/>
    <w:rsid w:val="005D6D0F"/>
    <w:rsid w:val="005D7DAC"/>
    <w:rsid w:val="005D7F26"/>
    <w:rsid w:val="005E0CB5"/>
    <w:rsid w:val="005E0DBD"/>
    <w:rsid w:val="005E2A59"/>
    <w:rsid w:val="005E2DEF"/>
    <w:rsid w:val="005E48B9"/>
    <w:rsid w:val="005E4A59"/>
    <w:rsid w:val="005E4BAA"/>
    <w:rsid w:val="005E5B0F"/>
    <w:rsid w:val="005E6392"/>
    <w:rsid w:val="005E6A6F"/>
    <w:rsid w:val="005E7505"/>
    <w:rsid w:val="005F1F36"/>
    <w:rsid w:val="005F3D16"/>
    <w:rsid w:val="005F4B17"/>
    <w:rsid w:val="005F4FDD"/>
    <w:rsid w:val="005F593A"/>
    <w:rsid w:val="005F59FC"/>
    <w:rsid w:val="005F67F7"/>
    <w:rsid w:val="005F71B6"/>
    <w:rsid w:val="005F763E"/>
    <w:rsid w:val="005F797D"/>
    <w:rsid w:val="006012FA"/>
    <w:rsid w:val="006018E5"/>
    <w:rsid w:val="00601A79"/>
    <w:rsid w:val="00601F77"/>
    <w:rsid w:val="0060234E"/>
    <w:rsid w:val="00602ED4"/>
    <w:rsid w:val="006033CC"/>
    <w:rsid w:val="00603905"/>
    <w:rsid w:val="00603EF8"/>
    <w:rsid w:val="0060459C"/>
    <w:rsid w:val="00605606"/>
    <w:rsid w:val="0060627D"/>
    <w:rsid w:val="006067A7"/>
    <w:rsid w:val="00607696"/>
    <w:rsid w:val="00607E4D"/>
    <w:rsid w:val="00610611"/>
    <w:rsid w:val="00610962"/>
    <w:rsid w:val="00610DB1"/>
    <w:rsid w:val="00611585"/>
    <w:rsid w:val="00611646"/>
    <w:rsid w:val="006116D6"/>
    <w:rsid w:val="006117E8"/>
    <w:rsid w:val="00611878"/>
    <w:rsid w:val="00611B08"/>
    <w:rsid w:val="00611B67"/>
    <w:rsid w:val="00612EB2"/>
    <w:rsid w:val="00613D55"/>
    <w:rsid w:val="006140A8"/>
    <w:rsid w:val="00615DAA"/>
    <w:rsid w:val="006162D7"/>
    <w:rsid w:val="00617B41"/>
    <w:rsid w:val="00620B37"/>
    <w:rsid w:val="00620DC5"/>
    <w:rsid w:val="00621048"/>
    <w:rsid w:val="00621673"/>
    <w:rsid w:val="006218B0"/>
    <w:rsid w:val="00621FE5"/>
    <w:rsid w:val="00622122"/>
    <w:rsid w:val="006222C3"/>
    <w:rsid w:val="0062275F"/>
    <w:rsid w:val="00622C0B"/>
    <w:rsid w:val="00623D0B"/>
    <w:rsid w:val="0062421F"/>
    <w:rsid w:val="00624400"/>
    <w:rsid w:val="006251C5"/>
    <w:rsid w:val="0062531F"/>
    <w:rsid w:val="006262E1"/>
    <w:rsid w:val="0062681D"/>
    <w:rsid w:val="00627FEA"/>
    <w:rsid w:val="00630B77"/>
    <w:rsid w:val="00630D19"/>
    <w:rsid w:val="00630E31"/>
    <w:rsid w:val="006310CF"/>
    <w:rsid w:val="00631240"/>
    <w:rsid w:val="006312BC"/>
    <w:rsid w:val="00631ED1"/>
    <w:rsid w:val="00632219"/>
    <w:rsid w:val="006333C8"/>
    <w:rsid w:val="00633693"/>
    <w:rsid w:val="00633C07"/>
    <w:rsid w:val="00633C29"/>
    <w:rsid w:val="00633E45"/>
    <w:rsid w:val="0063429B"/>
    <w:rsid w:val="00634867"/>
    <w:rsid w:val="00634D7C"/>
    <w:rsid w:val="006357E4"/>
    <w:rsid w:val="00635AEB"/>
    <w:rsid w:val="00637893"/>
    <w:rsid w:val="00640592"/>
    <w:rsid w:val="006421E8"/>
    <w:rsid w:val="00642C86"/>
    <w:rsid w:val="00643492"/>
    <w:rsid w:val="006437B3"/>
    <w:rsid w:val="00644136"/>
    <w:rsid w:val="00644807"/>
    <w:rsid w:val="00646F68"/>
    <w:rsid w:val="00647694"/>
    <w:rsid w:val="00651DE5"/>
    <w:rsid w:val="006523B8"/>
    <w:rsid w:val="006525B9"/>
    <w:rsid w:val="00652A04"/>
    <w:rsid w:val="00652BC6"/>
    <w:rsid w:val="0065442C"/>
    <w:rsid w:val="00654CF3"/>
    <w:rsid w:val="00655B57"/>
    <w:rsid w:val="00655DF9"/>
    <w:rsid w:val="006560F0"/>
    <w:rsid w:val="00656BDC"/>
    <w:rsid w:val="006573D9"/>
    <w:rsid w:val="006575E8"/>
    <w:rsid w:val="006579FD"/>
    <w:rsid w:val="00657AB1"/>
    <w:rsid w:val="00660004"/>
    <w:rsid w:val="00661102"/>
    <w:rsid w:val="0066127E"/>
    <w:rsid w:val="00661844"/>
    <w:rsid w:val="00662DF1"/>
    <w:rsid w:val="006633BF"/>
    <w:rsid w:val="00663661"/>
    <w:rsid w:val="00663C80"/>
    <w:rsid w:val="006648AC"/>
    <w:rsid w:val="00664A56"/>
    <w:rsid w:val="00665EC5"/>
    <w:rsid w:val="00666297"/>
    <w:rsid w:val="006666D1"/>
    <w:rsid w:val="00666F85"/>
    <w:rsid w:val="00670A36"/>
    <w:rsid w:val="00670EE7"/>
    <w:rsid w:val="006733A7"/>
    <w:rsid w:val="00673B6B"/>
    <w:rsid w:val="00673D12"/>
    <w:rsid w:val="00673F60"/>
    <w:rsid w:val="006742B3"/>
    <w:rsid w:val="0067487B"/>
    <w:rsid w:val="00674B73"/>
    <w:rsid w:val="00674CF2"/>
    <w:rsid w:val="00675B1F"/>
    <w:rsid w:val="00676FE8"/>
    <w:rsid w:val="00677055"/>
    <w:rsid w:val="00677988"/>
    <w:rsid w:val="006804E9"/>
    <w:rsid w:val="00680DB1"/>
    <w:rsid w:val="00681561"/>
    <w:rsid w:val="00682291"/>
    <w:rsid w:val="00682308"/>
    <w:rsid w:val="006824A1"/>
    <w:rsid w:val="00682523"/>
    <w:rsid w:val="00682D97"/>
    <w:rsid w:val="00683254"/>
    <w:rsid w:val="0068345F"/>
    <w:rsid w:val="00683491"/>
    <w:rsid w:val="0068428B"/>
    <w:rsid w:val="00685427"/>
    <w:rsid w:val="0068547B"/>
    <w:rsid w:val="0068548A"/>
    <w:rsid w:val="00687B45"/>
    <w:rsid w:val="0069009C"/>
    <w:rsid w:val="006904D7"/>
    <w:rsid w:val="006908E2"/>
    <w:rsid w:val="00690FA8"/>
    <w:rsid w:val="00691EA2"/>
    <w:rsid w:val="00691F70"/>
    <w:rsid w:val="0069289A"/>
    <w:rsid w:val="00693CAD"/>
    <w:rsid w:val="0069409F"/>
    <w:rsid w:val="006959FA"/>
    <w:rsid w:val="00695A72"/>
    <w:rsid w:val="00695B69"/>
    <w:rsid w:val="0069616F"/>
    <w:rsid w:val="00697C86"/>
    <w:rsid w:val="00697D65"/>
    <w:rsid w:val="00697E9D"/>
    <w:rsid w:val="006A1766"/>
    <w:rsid w:val="006A2270"/>
    <w:rsid w:val="006A2F2C"/>
    <w:rsid w:val="006A349F"/>
    <w:rsid w:val="006A382E"/>
    <w:rsid w:val="006A3CDC"/>
    <w:rsid w:val="006A4A39"/>
    <w:rsid w:val="006A7C3D"/>
    <w:rsid w:val="006B09AC"/>
    <w:rsid w:val="006B0F6B"/>
    <w:rsid w:val="006B17CB"/>
    <w:rsid w:val="006B2E26"/>
    <w:rsid w:val="006B3256"/>
    <w:rsid w:val="006B341D"/>
    <w:rsid w:val="006B3656"/>
    <w:rsid w:val="006B37BF"/>
    <w:rsid w:val="006B4046"/>
    <w:rsid w:val="006B47F4"/>
    <w:rsid w:val="006B5E60"/>
    <w:rsid w:val="006C0128"/>
    <w:rsid w:val="006C0F10"/>
    <w:rsid w:val="006C3105"/>
    <w:rsid w:val="006C334D"/>
    <w:rsid w:val="006C35CC"/>
    <w:rsid w:val="006C4F32"/>
    <w:rsid w:val="006C4FA6"/>
    <w:rsid w:val="006C51F7"/>
    <w:rsid w:val="006C5791"/>
    <w:rsid w:val="006C6D55"/>
    <w:rsid w:val="006C788B"/>
    <w:rsid w:val="006C7B7F"/>
    <w:rsid w:val="006D0E1D"/>
    <w:rsid w:val="006D1027"/>
    <w:rsid w:val="006D2C2F"/>
    <w:rsid w:val="006D3034"/>
    <w:rsid w:val="006D39B4"/>
    <w:rsid w:val="006D3F14"/>
    <w:rsid w:val="006D40C0"/>
    <w:rsid w:val="006D4796"/>
    <w:rsid w:val="006D484B"/>
    <w:rsid w:val="006D4AA5"/>
    <w:rsid w:val="006D61E8"/>
    <w:rsid w:val="006D6ACD"/>
    <w:rsid w:val="006D6C55"/>
    <w:rsid w:val="006D74A4"/>
    <w:rsid w:val="006E068A"/>
    <w:rsid w:val="006E10DD"/>
    <w:rsid w:val="006E138B"/>
    <w:rsid w:val="006E14B3"/>
    <w:rsid w:val="006E19F3"/>
    <w:rsid w:val="006E205E"/>
    <w:rsid w:val="006E23A2"/>
    <w:rsid w:val="006E2ACB"/>
    <w:rsid w:val="006E2C36"/>
    <w:rsid w:val="006E458F"/>
    <w:rsid w:val="006E4B5A"/>
    <w:rsid w:val="006E4CEE"/>
    <w:rsid w:val="006E5053"/>
    <w:rsid w:val="006E5CEA"/>
    <w:rsid w:val="006E5E03"/>
    <w:rsid w:val="006E6BF8"/>
    <w:rsid w:val="006F07F9"/>
    <w:rsid w:val="006F1E61"/>
    <w:rsid w:val="006F2941"/>
    <w:rsid w:val="006F3EF0"/>
    <w:rsid w:val="006F404E"/>
    <w:rsid w:val="006F4EF5"/>
    <w:rsid w:val="006F6569"/>
    <w:rsid w:val="006F743F"/>
    <w:rsid w:val="006F7497"/>
    <w:rsid w:val="006F764C"/>
    <w:rsid w:val="006F792D"/>
    <w:rsid w:val="007004A4"/>
    <w:rsid w:val="00700822"/>
    <w:rsid w:val="007010EF"/>
    <w:rsid w:val="00701E45"/>
    <w:rsid w:val="00702609"/>
    <w:rsid w:val="00702B0E"/>
    <w:rsid w:val="00703907"/>
    <w:rsid w:val="007046BC"/>
    <w:rsid w:val="00704968"/>
    <w:rsid w:val="00704C30"/>
    <w:rsid w:val="00705C86"/>
    <w:rsid w:val="0070669B"/>
    <w:rsid w:val="0070776A"/>
    <w:rsid w:val="00707875"/>
    <w:rsid w:val="00707E77"/>
    <w:rsid w:val="00710105"/>
    <w:rsid w:val="0071116F"/>
    <w:rsid w:val="0071184B"/>
    <w:rsid w:val="0071224C"/>
    <w:rsid w:val="007123A1"/>
    <w:rsid w:val="007126A4"/>
    <w:rsid w:val="00712CA8"/>
    <w:rsid w:val="007130D7"/>
    <w:rsid w:val="00713676"/>
    <w:rsid w:val="00713797"/>
    <w:rsid w:val="00714D3D"/>
    <w:rsid w:val="00714DE4"/>
    <w:rsid w:val="00715DD1"/>
    <w:rsid w:val="00715EE4"/>
    <w:rsid w:val="00716A20"/>
    <w:rsid w:val="00716EC7"/>
    <w:rsid w:val="00717018"/>
    <w:rsid w:val="00717191"/>
    <w:rsid w:val="0071768C"/>
    <w:rsid w:val="007176B8"/>
    <w:rsid w:val="007202CB"/>
    <w:rsid w:val="00720A83"/>
    <w:rsid w:val="007213B2"/>
    <w:rsid w:val="00721F31"/>
    <w:rsid w:val="0072204C"/>
    <w:rsid w:val="00722674"/>
    <w:rsid w:val="007229CA"/>
    <w:rsid w:val="00722A2C"/>
    <w:rsid w:val="0072383F"/>
    <w:rsid w:val="007243D1"/>
    <w:rsid w:val="00724846"/>
    <w:rsid w:val="007267CA"/>
    <w:rsid w:val="00726D42"/>
    <w:rsid w:val="0072743A"/>
    <w:rsid w:val="00727B52"/>
    <w:rsid w:val="007309F0"/>
    <w:rsid w:val="00731065"/>
    <w:rsid w:val="00731A6E"/>
    <w:rsid w:val="0073201A"/>
    <w:rsid w:val="007321F8"/>
    <w:rsid w:val="007323BE"/>
    <w:rsid w:val="00732C05"/>
    <w:rsid w:val="00733196"/>
    <w:rsid w:val="007338E1"/>
    <w:rsid w:val="00734521"/>
    <w:rsid w:val="007347E1"/>
    <w:rsid w:val="007349A7"/>
    <w:rsid w:val="00734A68"/>
    <w:rsid w:val="007350B7"/>
    <w:rsid w:val="00735A97"/>
    <w:rsid w:val="00736033"/>
    <w:rsid w:val="0073607F"/>
    <w:rsid w:val="007366C0"/>
    <w:rsid w:val="0073732B"/>
    <w:rsid w:val="00737566"/>
    <w:rsid w:val="00737AA3"/>
    <w:rsid w:val="00741F84"/>
    <w:rsid w:val="007439A5"/>
    <w:rsid w:val="00744522"/>
    <w:rsid w:val="0074592D"/>
    <w:rsid w:val="00745E80"/>
    <w:rsid w:val="00745EC9"/>
    <w:rsid w:val="00746D1F"/>
    <w:rsid w:val="007472C3"/>
    <w:rsid w:val="00747542"/>
    <w:rsid w:val="00747574"/>
    <w:rsid w:val="00747A97"/>
    <w:rsid w:val="00750366"/>
    <w:rsid w:val="007506D4"/>
    <w:rsid w:val="0075126B"/>
    <w:rsid w:val="00751625"/>
    <w:rsid w:val="00751E4F"/>
    <w:rsid w:val="00752AC2"/>
    <w:rsid w:val="00753B21"/>
    <w:rsid w:val="00753FDE"/>
    <w:rsid w:val="00755521"/>
    <w:rsid w:val="0075587E"/>
    <w:rsid w:val="00755C51"/>
    <w:rsid w:val="007577E3"/>
    <w:rsid w:val="00761EB8"/>
    <w:rsid w:val="0076240E"/>
    <w:rsid w:val="00763433"/>
    <w:rsid w:val="00763490"/>
    <w:rsid w:val="007642B6"/>
    <w:rsid w:val="00766218"/>
    <w:rsid w:val="007664B5"/>
    <w:rsid w:val="00766CEA"/>
    <w:rsid w:val="007677BD"/>
    <w:rsid w:val="0076793B"/>
    <w:rsid w:val="00770125"/>
    <w:rsid w:val="007718D4"/>
    <w:rsid w:val="00771BE3"/>
    <w:rsid w:val="00771FB4"/>
    <w:rsid w:val="007744B3"/>
    <w:rsid w:val="0077460B"/>
    <w:rsid w:val="007751E7"/>
    <w:rsid w:val="00775255"/>
    <w:rsid w:val="00775863"/>
    <w:rsid w:val="00775C34"/>
    <w:rsid w:val="00775FF1"/>
    <w:rsid w:val="0077685F"/>
    <w:rsid w:val="007806D4"/>
    <w:rsid w:val="00780814"/>
    <w:rsid w:val="00780B8F"/>
    <w:rsid w:val="00780C7F"/>
    <w:rsid w:val="00782BA7"/>
    <w:rsid w:val="00782BBD"/>
    <w:rsid w:val="00783330"/>
    <w:rsid w:val="007836E0"/>
    <w:rsid w:val="00783DCD"/>
    <w:rsid w:val="00785555"/>
    <w:rsid w:val="0078615E"/>
    <w:rsid w:val="0078682C"/>
    <w:rsid w:val="00787023"/>
    <w:rsid w:val="0078723E"/>
    <w:rsid w:val="00787618"/>
    <w:rsid w:val="00787F59"/>
    <w:rsid w:val="00790030"/>
    <w:rsid w:val="00790C25"/>
    <w:rsid w:val="00791049"/>
    <w:rsid w:val="00792010"/>
    <w:rsid w:val="00792039"/>
    <w:rsid w:val="007920DA"/>
    <w:rsid w:val="00792B8F"/>
    <w:rsid w:val="0079327B"/>
    <w:rsid w:val="0079349A"/>
    <w:rsid w:val="00793672"/>
    <w:rsid w:val="00793746"/>
    <w:rsid w:val="00794D3D"/>
    <w:rsid w:val="007956B3"/>
    <w:rsid w:val="00795822"/>
    <w:rsid w:val="0079633E"/>
    <w:rsid w:val="00796DC7"/>
    <w:rsid w:val="007A066A"/>
    <w:rsid w:val="007A0A3B"/>
    <w:rsid w:val="007A0D8D"/>
    <w:rsid w:val="007A101A"/>
    <w:rsid w:val="007A174B"/>
    <w:rsid w:val="007A2946"/>
    <w:rsid w:val="007A2FF0"/>
    <w:rsid w:val="007A411F"/>
    <w:rsid w:val="007A434F"/>
    <w:rsid w:val="007A48EF"/>
    <w:rsid w:val="007A4FFD"/>
    <w:rsid w:val="007A540C"/>
    <w:rsid w:val="007A6084"/>
    <w:rsid w:val="007A6389"/>
    <w:rsid w:val="007A6FD8"/>
    <w:rsid w:val="007A78E8"/>
    <w:rsid w:val="007A79E0"/>
    <w:rsid w:val="007B0A6C"/>
    <w:rsid w:val="007B2197"/>
    <w:rsid w:val="007B26F1"/>
    <w:rsid w:val="007B2A35"/>
    <w:rsid w:val="007B2C19"/>
    <w:rsid w:val="007B2FFF"/>
    <w:rsid w:val="007B4B43"/>
    <w:rsid w:val="007B4E67"/>
    <w:rsid w:val="007B518B"/>
    <w:rsid w:val="007B6263"/>
    <w:rsid w:val="007B6BA3"/>
    <w:rsid w:val="007B76A0"/>
    <w:rsid w:val="007B7838"/>
    <w:rsid w:val="007B792D"/>
    <w:rsid w:val="007B7AAE"/>
    <w:rsid w:val="007B7C62"/>
    <w:rsid w:val="007C176F"/>
    <w:rsid w:val="007C185F"/>
    <w:rsid w:val="007C1F71"/>
    <w:rsid w:val="007C21E8"/>
    <w:rsid w:val="007C237F"/>
    <w:rsid w:val="007C28A5"/>
    <w:rsid w:val="007C28E8"/>
    <w:rsid w:val="007C411F"/>
    <w:rsid w:val="007C5463"/>
    <w:rsid w:val="007C5619"/>
    <w:rsid w:val="007C56A3"/>
    <w:rsid w:val="007C5F1D"/>
    <w:rsid w:val="007C6692"/>
    <w:rsid w:val="007C67DB"/>
    <w:rsid w:val="007C786F"/>
    <w:rsid w:val="007D1565"/>
    <w:rsid w:val="007D1954"/>
    <w:rsid w:val="007D196A"/>
    <w:rsid w:val="007D199C"/>
    <w:rsid w:val="007D2EBD"/>
    <w:rsid w:val="007D31CC"/>
    <w:rsid w:val="007D3509"/>
    <w:rsid w:val="007D4A86"/>
    <w:rsid w:val="007D5301"/>
    <w:rsid w:val="007D5CC5"/>
    <w:rsid w:val="007D616F"/>
    <w:rsid w:val="007D7F71"/>
    <w:rsid w:val="007E015B"/>
    <w:rsid w:val="007E017A"/>
    <w:rsid w:val="007E088D"/>
    <w:rsid w:val="007E0FD5"/>
    <w:rsid w:val="007E151B"/>
    <w:rsid w:val="007E21B4"/>
    <w:rsid w:val="007E243F"/>
    <w:rsid w:val="007E336F"/>
    <w:rsid w:val="007E5E8A"/>
    <w:rsid w:val="007E688E"/>
    <w:rsid w:val="007E6B2B"/>
    <w:rsid w:val="007E71B9"/>
    <w:rsid w:val="007E7314"/>
    <w:rsid w:val="007E782F"/>
    <w:rsid w:val="007E7B36"/>
    <w:rsid w:val="007E7DB6"/>
    <w:rsid w:val="007F0879"/>
    <w:rsid w:val="007F17D7"/>
    <w:rsid w:val="007F18FE"/>
    <w:rsid w:val="007F3FE1"/>
    <w:rsid w:val="007F5A8E"/>
    <w:rsid w:val="007F6735"/>
    <w:rsid w:val="007F71BF"/>
    <w:rsid w:val="00800320"/>
    <w:rsid w:val="00800BBC"/>
    <w:rsid w:val="008016C0"/>
    <w:rsid w:val="008027FD"/>
    <w:rsid w:val="00802AED"/>
    <w:rsid w:val="0080300E"/>
    <w:rsid w:val="00803206"/>
    <w:rsid w:val="008037B9"/>
    <w:rsid w:val="00803A1E"/>
    <w:rsid w:val="00804400"/>
    <w:rsid w:val="00804495"/>
    <w:rsid w:val="00805282"/>
    <w:rsid w:val="008059D6"/>
    <w:rsid w:val="00805E3A"/>
    <w:rsid w:val="00806388"/>
    <w:rsid w:val="008101DB"/>
    <w:rsid w:val="0081063F"/>
    <w:rsid w:val="008115FA"/>
    <w:rsid w:val="0081196E"/>
    <w:rsid w:val="0081370A"/>
    <w:rsid w:val="0081379B"/>
    <w:rsid w:val="00814268"/>
    <w:rsid w:val="00814A23"/>
    <w:rsid w:val="00814E53"/>
    <w:rsid w:val="00815089"/>
    <w:rsid w:val="008153E2"/>
    <w:rsid w:val="00815FB5"/>
    <w:rsid w:val="00816F25"/>
    <w:rsid w:val="0081716E"/>
    <w:rsid w:val="008174E3"/>
    <w:rsid w:val="008210B0"/>
    <w:rsid w:val="00821D73"/>
    <w:rsid w:val="00821E8C"/>
    <w:rsid w:val="00821E8D"/>
    <w:rsid w:val="008228E9"/>
    <w:rsid w:val="00822A0B"/>
    <w:rsid w:val="008237AE"/>
    <w:rsid w:val="00823BDC"/>
    <w:rsid w:val="008243B0"/>
    <w:rsid w:val="00824C0A"/>
    <w:rsid w:val="00824EC3"/>
    <w:rsid w:val="008250A2"/>
    <w:rsid w:val="00825984"/>
    <w:rsid w:val="0082611F"/>
    <w:rsid w:val="0082619B"/>
    <w:rsid w:val="00826B4A"/>
    <w:rsid w:val="00826E1A"/>
    <w:rsid w:val="00827291"/>
    <w:rsid w:val="00827B9B"/>
    <w:rsid w:val="00827DF3"/>
    <w:rsid w:val="0083086B"/>
    <w:rsid w:val="00831023"/>
    <w:rsid w:val="00831E9B"/>
    <w:rsid w:val="0083233D"/>
    <w:rsid w:val="00832592"/>
    <w:rsid w:val="0083289C"/>
    <w:rsid w:val="00835204"/>
    <w:rsid w:val="00837261"/>
    <w:rsid w:val="00840DDD"/>
    <w:rsid w:val="00841002"/>
    <w:rsid w:val="008412A8"/>
    <w:rsid w:val="008423BF"/>
    <w:rsid w:val="00843DEF"/>
    <w:rsid w:val="0084407B"/>
    <w:rsid w:val="00844952"/>
    <w:rsid w:val="00844F8F"/>
    <w:rsid w:val="00845279"/>
    <w:rsid w:val="00845E2C"/>
    <w:rsid w:val="008468B1"/>
    <w:rsid w:val="00846AFE"/>
    <w:rsid w:val="00847DDD"/>
    <w:rsid w:val="00850308"/>
    <w:rsid w:val="00850677"/>
    <w:rsid w:val="00852349"/>
    <w:rsid w:val="00852677"/>
    <w:rsid w:val="008529D8"/>
    <w:rsid w:val="00853BEC"/>
    <w:rsid w:val="00853D7E"/>
    <w:rsid w:val="00854E31"/>
    <w:rsid w:val="00855195"/>
    <w:rsid w:val="008552A2"/>
    <w:rsid w:val="00855F31"/>
    <w:rsid w:val="008578DE"/>
    <w:rsid w:val="0086010E"/>
    <w:rsid w:val="00860922"/>
    <w:rsid w:val="0086095B"/>
    <w:rsid w:val="00860EC2"/>
    <w:rsid w:val="008615B8"/>
    <w:rsid w:val="00861699"/>
    <w:rsid w:val="00861F81"/>
    <w:rsid w:val="0086235C"/>
    <w:rsid w:val="008623B8"/>
    <w:rsid w:val="008629A3"/>
    <w:rsid w:val="00863349"/>
    <w:rsid w:val="00864394"/>
    <w:rsid w:val="008648A1"/>
    <w:rsid w:val="008655DA"/>
    <w:rsid w:val="0086566E"/>
    <w:rsid w:val="008675F2"/>
    <w:rsid w:val="00867734"/>
    <w:rsid w:val="00867E5D"/>
    <w:rsid w:val="008707B0"/>
    <w:rsid w:val="00871D36"/>
    <w:rsid w:val="008734AD"/>
    <w:rsid w:val="0087388D"/>
    <w:rsid w:val="00873EFB"/>
    <w:rsid w:val="0087402E"/>
    <w:rsid w:val="00874B63"/>
    <w:rsid w:val="00875270"/>
    <w:rsid w:val="00875277"/>
    <w:rsid w:val="008758EB"/>
    <w:rsid w:val="0087593A"/>
    <w:rsid w:val="00875BC5"/>
    <w:rsid w:val="008766CD"/>
    <w:rsid w:val="0087734C"/>
    <w:rsid w:val="00877984"/>
    <w:rsid w:val="008801AE"/>
    <w:rsid w:val="008801C6"/>
    <w:rsid w:val="0088048F"/>
    <w:rsid w:val="00880DFF"/>
    <w:rsid w:val="00880E26"/>
    <w:rsid w:val="00880F0D"/>
    <w:rsid w:val="00883063"/>
    <w:rsid w:val="0088379A"/>
    <w:rsid w:val="008864C8"/>
    <w:rsid w:val="00886600"/>
    <w:rsid w:val="00886962"/>
    <w:rsid w:val="00887969"/>
    <w:rsid w:val="00887A67"/>
    <w:rsid w:val="008905CA"/>
    <w:rsid w:val="008908DC"/>
    <w:rsid w:val="0089130A"/>
    <w:rsid w:val="00893EE5"/>
    <w:rsid w:val="008942F0"/>
    <w:rsid w:val="0089563C"/>
    <w:rsid w:val="0089607D"/>
    <w:rsid w:val="00896551"/>
    <w:rsid w:val="00896B93"/>
    <w:rsid w:val="00896E3F"/>
    <w:rsid w:val="00896FA1"/>
    <w:rsid w:val="008971A5"/>
    <w:rsid w:val="00897BCB"/>
    <w:rsid w:val="00897F77"/>
    <w:rsid w:val="008A15CE"/>
    <w:rsid w:val="008A1971"/>
    <w:rsid w:val="008A2159"/>
    <w:rsid w:val="008A353A"/>
    <w:rsid w:val="008A4538"/>
    <w:rsid w:val="008A4563"/>
    <w:rsid w:val="008A45F0"/>
    <w:rsid w:val="008A466F"/>
    <w:rsid w:val="008A487A"/>
    <w:rsid w:val="008A5570"/>
    <w:rsid w:val="008A6376"/>
    <w:rsid w:val="008A6831"/>
    <w:rsid w:val="008A7633"/>
    <w:rsid w:val="008A7C90"/>
    <w:rsid w:val="008B0B4A"/>
    <w:rsid w:val="008B0D0B"/>
    <w:rsid w:val="008B1968"/>
    <w:rsid w:val="008B1E20"/>
    <w:rsid w:val="008B2B4E"/>
    <w:rsid w:val="008B38F8"/>
    <w:rsid w:val="008B3F82"/>
    <w:rsid w:val="008B40D9"/>
    <w:rsid w:val="008B41D8"/>
    <w:rsid w:val="008B4A5B"/>
    <w:rsid w:val="008B4EF6"/>
    <w:rsid w:val="008B54CE"/>
    <w:rsid w:val="008B560B"/>
    <w:rsid w:val="008B56FA"/>
    <w:rsid w:val="008B6A78"/>
    <w:rsid w:val="008B6AB8"/>
    <w:rsid w:val="008B6B63"/>
    <w:rsid w:val="008B6F79"/>
    <w:rsid w:val="008B7036"/>
    <w:rsid w:val="008B7089"/>
    <w:rsid w:val="008B7E21"/>
    <w:rsid w:val="008C0145"/>
    <w:rsid w:val="008C0936"/>
    <w:rsid w:val="008C1738"/>
    <w:rsid w:val="008C188E"/>
    <w:rsid w:val="008C1A97"/>
    <w:rsid w:val="008C1BF8"/>
    <w:rsid w:val="008C201E"/>
    <w:rsid w:val="008C2193"/>
    <w:rsid w:val="008C240F"/>
    <w:rsid w:val="008C3583"/>
    <w:rsid w:val="008C3A2B"/>
    <w:rsid w:val="008C4066"/>
    <w:rsid w:val="008C4100"/>
    <w:rsid w:val="008C6A4B"/>
    <w:rsid w:val="008C79E3"/>
    <w:rsid w:val="008C7FC0"/>
    <w:rsid w:val="008D05C4"/>
    <w:rsid w:val="008D0D92"/>
    <w:rsid w:val="008D0E5A"/>
    <w:rsid w:val="008D1690"/>
    <w:rsid w:val="008D2BC8"/>
    <w:rsid w:val="008D2F68"/>
    <w:rsid w:val="008D30A6"/>
    <w:rsid w:val="008D367A"/>
    <w:rsid w:val="008D51F8"/>
    <w:rsid w:val="008D5732"/>
    <w:rsid w:val="008D5CB3"/>
    <w:rsid w:val="008D5F5F"/>
    <w:rsid w:val="008D6005"/>
    <w:rsid w:val="008D613F"/>
    <w:rsid w:val="008D674F"/>
    <w:rsid w:val="008D7B2F"/>
    <w:rsid w:val="008D7F33"/>
    <w:rsid w:val="008D7F7C"/>
    <w:rsid w:val="008E0536"/>
    <w:rsid w:val="008E05EC"/>
    <w:rsid w:val="008E15BD"/>
    <w:rsid w:val="008E1D6B"/>
    <w:rsid w:val="008E1DB2"/>
    <w:rsid w:val="008E3396"/>
    <w:rsid w:val="008E36EF"/>
    <w:rsid w:val="008E41DE"/>
    <w:rsid w:val="008E4C77"/>
    <w:rsid w:val="008E64B3"/>
    <w:rsid w:val="008E7CF2"/>
    <w:rsid w:val="008F01E4"/>
    <w:rsid w:val="008F094C"/>
    <w:rsid w:val="008F1FC9"/>
    <w:rsid w:val="008F319E"/>
    <w:rsid w:val="008F3450"/>
    <w:rsid w:val="008F3BC0"/>
    <w:rsid w:val="008F45C6"/>
    <w:rsid w:val="008F4642"/>
    <w:rsid w:val="008F4A16"/>
    <w:rsid w:val="008F4D02"/>
    <w:rsid w:val="008F4D96"/>
    <w:rsid w:val="008F4E0B"/>
    <w:rsid w:val="008F552F"/>
    <w:rsid w:val="008F5C8F"/>
    <w:rsid w:val="008F5EEE"/>
    <w:rsid w:val="008F6DE7"/>
    <w:rsid w:val="008F7128"/>
    <w:rsid w:val="008F7315"/>
    <w:rsid w:val="008F7547"/>
    <w:rsid w:val="008F75CC"/>
    <w:rsid w:val="009001C4"/>
    <w:rsid w:val="0090175C"/>
    <w:rsid w:val="0090198D"/>
    <w:rsid w:val="00901A08"/>
    <w:rsid w:val="009030B0"/>
    <w:rsid w:val="00903F6B"/>
    <w:rsid w:val="00904199"/>
    <w:rsid w:val="00904700"/>
    <w:rsid w:val="00905323"/>
    <w:rsid w:val="009056D1"/>
    <w:rsid w:val="00905902"/>
    <w:rsid w:val="00905EBE"/>
    <w:rsid w:val="00906E0A"/>
    <w:rsid w:val="00906F8F"/>
    <w:rsid w:val="009070D5"/>
    <w:rsid w:val="0090785C"/>
    <w:rsid w:val="009102E1"/>
    <w:rsid w:val="009105B7"/>
    <w:rsid w:val="00910EB8"/>
    <w:rsid w:val="0091199B"/>
    <w:rsid w:val="00912146"/>
    <w:rsid w:val="0091265C"/>
    <w:rsid w:val="00912ABC"/>
    <w:rsid w:val="00912D7E"/>
    <w:rsid w:val="00913532"/>
    <w:rsid w:val="00913B93"/>
    <w:rsid w:val="0091653F"/>
    <w:rsid w:val="00916607"/>
    <w:rsid w:val="00916892"/>
    <w:rsid w:val="0091763C"/>
    <w:rsid w:val="00917CBF"/>
    <w:rsid w:val="00917FBC"/>
    <w:rsid w:val="00921401"/>
    <w:rsid w:val="0092194F"/>
    <w:rsid w:val="009228FF"/>
    <w:rsid w:val="00923083"/>
    <w:rsid w:val="00923236"/>
    <w:rsid w:val="00925169"/>
    <w:rsid w:val="00925A3D"/>
    <w:rsid w:val="00925DDF"/>
    <w:rsid w:val="00925EA0"/>
    <w:rsid w:val="00925ECC"/>
    <w:rsid w:val="0092697C"/>
    <w:rsid w:val="0092707F"/>
    <w:rsid w:val="00927260"/>
    <w:rsid w:val="00927DAB"/>
    <w:rsid w:val="0093007B"/>
    <w:rsid w:val="00930280"/>
    <w:rsid w:val="00930EC9"/>
    <w:rsid w:val="00931691"/>
    <w:rsid w:val="00931E8B"/>
    <w:rsid w:val="00932DD5"/>
    <w:rsid w:val="00933138"/>
    <w:rsid w:val="00933198"/>
    <w:rsid w:val="00936A71"/>
    <w:rsid w:val="00937B19"/>
    <w:rsid w:val="00940189"/>
    <w:rsid w:val="00941525"/>
    <w:rsid w:val="00943783"/>
    <w:rsid w:val="00944E78"/>
    <w:rsid w:val="0094557C"/>
    <w:rsid w:val="0094561E"/>
    <w:rsid w:val="00945B03"/>
    <w:rsid w:val="009465DD"/>
    <w:rsid w:val="00946742"/>
    <w:rsid w:val="0094708B"/>
    <w:rsid w:val="009501EF"/>
    <w:rsid w:val="0095082B"/>
    <w:rsid w:val="00950A09"/>
    <w:rsid w:val="009513DD"/>
    <w:rsid w:val="009515F3"/>
    <w:rsid w:val="00952367"/>
    <w:rsid w:val="0095278D"/>
    <w:rsid w:val="009538BE"/>
    <w:rsid w:val="00954236"/>
    <w:rsid w:val="009575FC"/>
    <w:rsid w:val="00957755"/>
    <w:rsid w:val="00957B88"/>
    <w:rsid w:val="00957C51"/>
    <w:rsid w:val="00960C44"/>
    <w:rsid w:val="009618D0"/>
    <w:rsid w:val="00963D26"/>
    <w:rsid w:val="00963F88"/>
    <w:rsid w:val="00964842"/>
    <w:rsid w:val="00964888"/>
    <w:rsid w:val="0096508F"/>
    <w:rsid w:val="00965996"/>
    <w:rsid w:val="0096635D"/>
    <w:rsid w:val="009667B2"/>
    <w:rsid w:val="009668A8"/>
    <w:rsid w:val="00966958"/>
    <w:rsid w:val="00967957"/>
    <w:rsid w:val="00967D45"/>
    <w:rsid w:val="00970E17"/>
    <w:rsid w:val="00970FB4"/>
    <w:rsid w:val="00970FDE"/>
    <w:rsid w:val="00971AC2"/>
    <w:rsid w:val="00973469"/>
    <w:rsid w:val="00974500"/>
    <w:rsid w:val="009746C0"/>
    <w:rsid w:val="009748D7"/>
    <w:rsid w:val="00974F10"/>
    <w:rsid w:val="00975896"/>
    <w:rsid w:val="009767AF"/>
    <w:rsid w:val="00977538"/>
    <w:rsid w:val="00977755"/>
    <w:rsid w:val="00977F61"/>
    <w:rsid w:val="009800B4"/>
    <w:rsid w:val="00980F86"/>
    <w:rsid w:val="00981AAD"/>
    <w:rsid w:val="009825CB"/>
    <w:rsid w:val="00982E07"/>
    <w:rsid w:val="009845F4"/>
    <w:rsid w:val="00985D2E"/>
    <w:rsid w:val="00986247"/>
    <w:rsid w:val="009867E8"/>
    <w:rsid w:val="00986C7A"/>
    <w:rsid w:val="00986CFA"/>
    <w:rsid w:val="00987647"/>
    <w:rsid w:val="00987FB4"/>
    <w:rsid w:val="009904D3"/>
    <w:rsid w:val="00991389"/>
    <w:rsid w:val="00991B36"/>
    <w:rsid w:val="00991C41"/>
    <w:rsid w:val="00991DCE"/>
    <w:rsid w:val="00991FFF"/>
    <w:rsid w:val="0099259B"/>
    <w:rsid w:val="0099298A"/>
    <w:rsid w:val="009930C0"/>
    <w:rsid w:val="0099320B"/>
    <w:rsid w:val="00993504"/>
    <w:rsid w:val="00993CFA"/>
    <w:rsid w:val="00993FCB"/>
    <w:rsid w:val="009953D1"/>
    <w:rsid w:val="009954F8"/>
    <w:rsid w:val="00995CD9"/>
    <w:rsid w:val="00997C07"/>
    <w:rsid w:val="00997CD2"/>
    <w:rsid w:val="009A025B"/>
    <w:rsid w:val="009A0A1B"/>
    <w:rsid w:val="009A11AC"/>
    <w:rsid w:val="009A120C"/>
    <w:rsid w:val="009A248C"/>
    <w:rsid w:val="009A25E0"/>
    <w:rsid w:val="009A3A5A"/>
    <w:rsid w:val="009A584A"/>
    <w:rsid w:val="009A5EA5"/>
    <w:rsid w:val="009A72F2"/>
    <w:rsid w:val="009A7DEE"/>
    <w:rsid w:val="009B1E16"/>
    <w:rsid w:val="009B256A"/>
    <w:rsid w:val="009B4177"/>
    <w:rsid w:val="009B4541"/>
    <w:rsid w:val="009B4D8B"/>
    <w:rsid w:val="009B5067"/>
    <w:rsid w:val="009B5696"/>
    <w:rsid w:val="009B5B21"/>
    <w:rsid w:val="009B645F"/>
    <w:rsid w:val="009B6AC3"/>
    <w:rsid w:val="009B6DCE"/>
    <w:rsid w:val="009B6EED"/>
    <w:rsid w:val="009B6F2A"/>
    <w:rsid w:val="009B7051"/>
    <w:rsid w:val="009B7B8F"/>
    <w:rsid w:val="009C03D8"/>
    <w:rsid w:val="009C0CC1"/>
    <w:rsid w:val="009C0E96"/>
    <w:rsid w:val="009C26D9"/>
    <w:rsid w:val="009C2EA8"/>
    <w:rsid w:val="009C322B"/>
    <w:rsid w:val="009C3432"/>
    <w:rsid w:val="009C4491"/>
    <w:rsid w:val="009C5179"/>
    <w:rsid w:val="009C55B9"/>
    <w:rsid w:val="009C5872"/>
    <w:rsid w:val="009C5883"/>
    <w:rsid w:val="009C60D1"/>
    <w:rsid w:val="009C6224"/>
    <w:rsid w:val="009C7549"/>
    <w:rsid w:val="009C7A14"/>
    <w:rsid w:val="009D0A3B"/>
    <w:rsid w:val="009D1836"/>
    <w:rsid w:val="009D2427"/>
    <w:rsid w:val="009D3A82"/>
    <w:rsid w:val="009D49C0"/>
    <w:rsid w:val="009D4FF4"/>
    <w:rsid w:val="009D6100"/>
    <w:rsid w:val="009D71BC"/>
    <w:rsid w:val="009D757C"/>
    <w:rsid w:val="009E05F9"/>
    <w:rsid w:val="009E0F4D"/>
    <w:rsid w:val="009E0FF4"/>
    <w:rsid w:val="009E1B97"/>
    <w:rsid w:val="009E1E2A"/>
    <w:rsid w:val="009E218E"/>
    <w:rsid w:val="009E2525"/>
    <w:rsid w:val="009E262A"/>
    <w:rsid w:val="009E389B"/>
    <w:rsid w:val="009E459B"/>
    <w:rsid w:val="009E472D"/>
    <w:rsid w:val="009E571E"/>
    <w:rsid w:val="009E7C93"/>
    <w:rsid w:val="009E7DE8"/>
    <w:rsid w:val="009F01F3"/>
    <w:rsid w:val="009F0CED"/>
    <w:rsid w:val="009F1303"/>
    <w:rsid w:val="009F248E"/>
    <w:rsid w:val="009F2B25"/>
    <w:rsid w:val="009F3880"/>
    <w:rsid w:val="009F3FFC"/>
    <w:rsid w:val="009F48C9"/>
    <w:rsid w:val="009F496C"/>
    <w:rsid w:val="009F5697"/>
    <w:rsid w:val="009F58C7"/>
    <w:rsid w:val="009F6A0D"/>
    <w:rsid w:val="009F73B3"/>
    <w:rsid w:val="009F7668"/>
    <w:rsid w:val="00A00C32"/>
    <w:rsid w:val="00A015E7"/>
    <w:rsid w:val="00A01E77"/>
    <w:rsid w:val="00A02D1E"/>
    <w:rsid w:val="00A038E5"/>
    <w:rsid w:val="00A050BD"/>
    <w:rsid w:val="00A0607E"/>
    <w:rsid w:val="00A0714F"/>
    <w:rsid w:val="00A10639"/>
    <w:rsid w:val="00A1086C"/>
    <w:rsid w:val="00A126F7"/>
    <w:rsid w:val="00A12EAE"/>
    <w:rsid w:val="00A1336E"/>
    <w:rsid w:val="00A13AE1"/>
    <w:rsid w:val="00A13C90"/>
    <w:rsid w:val="00A13E07"/>
    <w:rsid w:val="00A1461C"/>
    <w:rsid w:val="00A14621"/>
    <w:rsid w:val="00A15374"/>
    <w:rsid w:val="00A1538C"/>
    <w:rsid w:val="00A157E5"/>
    <w:rsid w:val="00A17416"/>
    <w:rsid w:val="00A17BF6"/>
    <w:rsid w:val="00A2092B"/>
    <w:rsid w:val="00A20C13"/>
    <w:rsid w:val="00A21386"/>
    <w:rsid w:val="00A22FBC"/>
    <w:rsid w:val="00A22FE8"/>
    <w:rsid w:val="00A23505"/>
    <w:rsid w:val="00A2365A"/>
    <w:rsid w:val="00A23B09"/>
    <w:rsid w:val="00A25273"/>
    <w:rsid w:val="00A25403"/>
    <w:rsid w:val="00A258C3"/>
    <w:rsid w:val="00A2652B"/>
    <w:rsid w:val="00A26787"/>
    <w:rsid w:val="00A27BDB"/>
    <w:rsid w:val="00A3059D"/>
    <w:rsid w:val="00A30B87"/>
    <w:rsid w:val="00A32808"/>
    <w:rsid w:val="00A32C12"/>
    <w:rsid w:val="00A32DD5"/>
    <w:rsid w:val="00A3379C"/>
    <w:rsid w:val="00A33A93"/>
    <w:rsid w:val="00A347BE"/>
    <w:rsid w:val="00A34F7F"/>
    <w:rsid w:val="00A3557C"/>
    <w:rsid w:val="00A35F48"/>
    <w:rsid w:val="00A36771"/>
    <w:rsid w:val="00A376CC"/>
    <w:rsid w:val="00A40269"/>
    <w:rsid w:val="00A41121"/>
    <w:rsid w:val="00A4140A"/>
    <w:rsid w:val="00A421E5"/>
    <w:rsid w:val="00A42226"/>
    <w:rsid w:val="00A42A39"/>
    <w:rsid w:val="00A434DB"/>
    <w:rsid w:val="00A43F2F"/>
    <w:rsid w:val="00A44513"/>
    <w:rsid w:val="00A46200"/>
    <w:rsid w:val="00A46EE2"/>
    <w:rsid w:val="00A47376"/>
    <w:rsid w:val="00A4765A"/>
    <w:rsid w:val="00A5181F"/>
    <w:rsid w:val="00A52627"/>
    <w:rsid w:val="00A527CF"/>
    <w:rsid w:val="00A52D44"/>
    <w:rsid w:val="00A54000"/>
    <w:rsid w:val="00A542DC"/>
    <w:rsid w:val="00A544B7"/>
    <w:rsid w:val="00A547E0"/>
    <w:rsid w:val="00A54EC4"/>
    <w:rsid w:val="00A554B6"/>
    <w:rsid w:val="00A55DC7"/>
    <w:rsid w:val="00A55EB5"/>
    <w:rsid w:val="00A56C45"/>
    <w:rsid w:val="00A56E26"/>
    <w:rsid w:val="00A575E5"/>
    <w:rsid w:val="00A57C6D"/>
    <w:rsid w:val="00A57F7E"/>
    <w:rsid w:val="00A60578"/>
    <w:rsid w:val="00A6098D"/>
    <w:rsid w:val="00A60FB3"/>
    <w:rsid w:val="00A624E3"/>
    <w:rsid w:val="00A626ED"/>
    <w:rsid w:val="00A62836"/>
    <w:rsid w:val="00A632D6"/>
    <w:rsid w:val="00A633B1"/>
    <w:rsid w:val="00A63457"/>
    <w:rsid w:val="00A63E09"/>
    <w:rsid w:val="00A6426D"/>
    <w:rsid w:val="00A642A2"/>
    <w:rsid w:val="00A6449C"/>
    <w:rsid w:val="00A64A08"/>
    <w:rsid w:val="00A64F76"/>
    <w:rsid w:val="00A659BD"/>
    <w:rsid w:val="00A66129"/>
    <w:rsid w:val="00A66183"/>
    <w:rsid w:val="00A679FD"/>
    <w:rsid w:val="00A67C3C"/>
    <w:rsid w:val="00A67FFD"/>
    <w:rsid w:val="00A7290C"/>
    <w:rsid w:val="00A742D6"/>
    <w:rsid w:val="00A74BFF"/>
    <w:rsid w:val="00A75286"/>
    <w:rsid w:val="00A760F0"/>
    <w:rsid w:val="00A7642B"/>
    <w:rsid w:val="00A7675C"/>
    <w:rsid w:val="00A76A0A"/>
    <w:rsid w:val="00A77543"/>
    <w:rsid w:val="00A80059"/>
    <w:rsid w:val="00A805F1"/>
    <w:rsid w:val="00A8125E"/>
    <w:rsid w:val="00A81E12"/>
    <w:rsid w:val="00A83583"/>
    <w:rsid w:val="00A8358E"/>
    <w:rsid w:val="00A84068"/>
    <w:rsid w:val="00A84657"/>
    <w:rsid w:val="00A8556E"/>
    <w:rsid w:val="00A85D9E"/>
    <w:rsid w:val="00A85DE9"/>
    <w:rsid w:val="00A872B9"/>
    <w:rsid w:val="00A876EB"/>
    <w:rsid w:val="00A91CD3"/>
    <w:rsid w:val="00A9234F"/>
    <w:rsid w:val="00A92352"/>
    <w:rsid w:val="00A92F1A"/>
    <w:rsid w:val="00A933D9"/>
    <w:rsid w:val="00A93A5C"/>
    <w:rsid w:val="00A941A6"/>
    <w:rsid w:val="00A94A1A"/>
    <w:rsid w:val="00A95462"/>
    <w:rsid w:val="00A956E8"/>
    <w:rsid w:val="00A95893"/>
    <w:rsid w:val="00A95BA5"/>
    <w:rsid w:val="00A95FA3"/>
    <w:rsid w:val="00A96712"/>
    <w:rsid w:val="00A9693E"/>
    <w:rsid w:val="00A96CAA"/>
    <w:rsid w:val="00A975AF"/>
    <w:rsid w:val="00A97B8B"/>
    <w:rsid w:val="00AA0D14"/>
    <w:rsid w:val="00AA4140"/>
    <w:rsid w:val="00AA48A3"/>
    <w:rsid w:val="00AA4A35"/>
    <w:rsid w:val="00AA56FD"/>
    <w:rsid w:val="00AA5AB3"/>
    <w:rsid w:val="00AA68DA"/>
    <w:rsid w:val="00AA7258"/>
    <w:rsid w:val="00AA78A7"/>
    <w:rsid w:val="00AA7C97"/>
    <w:rsid w:val="00AB2B50"/>
    <w:rsid w:val="00AB3814"/>
    <w:rsid w:val="00AB390A"/>
    <w:rsid w:val="00AB3BC8"/>
    <w:rsid w:val="00AB4765"/>
    <w:rsid w:val="00AB4D59"/>
    <w:rsid w:val="00AB6593"/>
    <w:rsid w:val="00AB72C4"/>
    <w:rsid w:val="00AB77D4"/>
    <w:rsid w:val="00AC0718"/>
    <w:rsid w:val="00AC09D0"/>
    <w:rsid w:val="00AC0BF2"/>
    <w:rsid w:val="00AC0D99"/>
    <w:rsid w:val="00AC1148"/>
    <w:rsid w:val="00AC2433"/>
    <w:rsid w:val="00AC265E"/>
    <w:rsid w:val="00AC2C55"/>
    <w:rsid w:val="00AC34B9"/>
    <w:rsid w:val="00AC4CCC"/>
    <w:rsid w:val="00AC65E6"/>
    <w:rsid w:val="00AC680E"/>
    <w:rsid w:val="00AD000B"/>
    <w:rsid w:val="00AD0DF2"/>
    <w:rsid w:val="00AD12F5"/>
    <w:rsid w:val="00AD1EE8"/>
    <w:rsid w:val="00AD1F97"/>
    <w:rsid w:val="00AD2C93"/>
    <w:rsid w:val="00AD3F94"/>
    <w:rsid w:val="00AD4737"/>
    <w:rsid w:val="00AD533F"/>
    <w:rsid w:val="00AD55C0"/>
    <w:rsid w:val="00AD5A04"/>
    <w:rsid w:val="00AD6184"/>
    <w:rsid w:val="00AD6794"/>
    <w:rsid w:val="00AD778B"/>
    <w:rsid w:val="00AE01FE"/>
    <w:rsid w:val="00AE0278"/>
    <w:rsid w:val="00AE06CC"/>
    <w:rsid w:val="00AE06E3"/>
    <w:rsid w:val="00AE1F6C"/>
    <w:rsid w:val="00AE21DF"/>
    <w:rsid w:val="00AE21E0"/>
    <w:rsid w:val="00AE315A"/>
    <w:rsid w:val="00AE3774"/>
    <w:rsid w:val="00AE37B0"/>
    <w:rsid w:val="00AE37FB"/>
    <w:rsid w:val="00AE4088"/>
    <w:rsid w:val="00AE4D8F"/>
    <w:rsid w:val="00AE55C2"/>
    <w:rsid w:val="00AE5B7F"/>
    <w:rsid w:val="00AE5D4F"/>
    <w:rsid w:val="00AE624C"/>
    <w:rsid w:val="00AE6E27"/>
    <w:rsid w:val="00AE7A1F"/>
    <w:rsid w:val="00AF0152"/>
    <w:rsid w:val="00AF03BE"/>
    <w:rsid w:val="00AF0A86"/>
    <w:rsid w:val="00AF1B27"/>
    <w:rsid w:val="00AF1E47"/>
    <w:rsid w:val="00AF211C"/>
    <w:rsid w:val="00AF2959"/>
    <w:rsid w:val="00AF2C5E"/>
    <w:rsid w:val="00AF48C8"/>
    <w:rsid w:val="00AF5512"/>
    <w:rsid w:val="00AF55EE"/>
    <w:rsid w:val="00AF64B7"/>
    <w:rsid w:val="00AF6B65"/>
    <w:rsid w:val="00B000DA"/>
    <w:rsid w:val="00B000DF"/>
    <w:rsid w:val="00B00737"/>
    <w:rsid w:val="00B012DD"/>
    <w:rsid w:val="00B01369"/>
    <w:rsid w:val="00B0180E"/>
    <w:rsid w:val="00B027E3"/>
    <w:rsid w:val="00B049F9"/>
    <w:rsid w:val="00B04AB1"/>
    <w:rsid w:val="00B05323"/>
    <w:rsid w:val="00B0581B"/>
    <w:rsid w:val="00B05C64"/>
    <w:rsid w:val="00B064A5"/>
    <w:rsid w:val="00B06CBF"/>
    <w:rsid w:val="00B06D0F"/>
    <w:rsid w:val="00B06DF3"/>
    <w:rsid w:val="00B077BE"/>
    <w:rsid w:val="00B1022E"/>
    <w:rsid w:val="00B10995"/>
    <w:rsid w:val="00B1135A"/>
    <w:rsid w:val="00B11FEB"/>
    <w:rsid w:val="00B11FFE"/>
    <w:rsid w:val="00B12D8B"/>
    <w:rsid w:val="00B13154"/>
    <w:rsid w:val="00B13BB0"/>
    <w:rsid w:val="00B13DFB"/>
    <w:rsid w:val="00B14316"/>
    <w:rsid w:val="00B156CB"/>
    <w:rsid w:val="00B1585C"/>
    <w:rsid w:val="00B16B93"/>
    <w:rsid w:val="00B17A69"/>
    <w:rsid w:val="00B205C8"/>
    <w:rsid w:val="00B218DD"/>
    <w:rsid w:val="00B21A17"/>
    <w:rsid w:val="00B21A31"/>
    <w:rsid w:val="00B21E5C"/>
    <w:rsid w:val="00B225E6"/>
    <w:rsid w:val="00B22E4A"/>
    <w:rsid w:val="00B23F06"/>
    <w:rsid w:val="00B2564C"/>
    <w:rsid w:val="00B259A9"/>
    <w:rsid w:val="00B261A9"/>
    <w:rsid w:val="00B2641C"/>
    <w:rsid w:val="00B267E0"/>
    <w:rsid w:val="00B26C88"/>
    <w:rsid w:val="00B26FDB"/>
    <w:rsid w:val="00B272AA"/>
    <w:rsid w:val="00B27BD9"/>
    <w:rsid w:val="00B30FA0"/>
    <w:rsid w:val="00B30FB8"/>
    <w:rsid w:val="00B31564"/>
    <w:rsid w:val="00B31E2B"/>
    <w:rsid w:val="00B31EE5"/>
    <w:rsid w:val="00B320D0"/>
    <w:rsid w:val="00B325B5"/>
    <w:rsid w:val="00B32776"/>
    <w:rsid w:val="00B32D0F"/>
    <w:rsid w:val="00B330DF"/>
    <w:rsid w:val="00B3357D"/>
    <w:rsid w:val="00B33699"/>
    <w:rsid w:val="00B33FD9"/>
    <w:rsid w:val="00B3613D"/>
    <w:rsid w:val="00B3659A"/>
    <w:rsid w:val="00B3704A"/>
    <w:rsid w:val="00B37072"/>
    <w:rsid w:val="00B37EC2"/>
    <w:rsid w:val="00B40527"/>
    <w:rsid w:val="00B415C3"/>
    <w:rsid w:val="00B415F0"/>
    <w:rsid w:val="00B4165E"/>
    <w:rsid w:val="00B41D9E"/>
    <w:rsid w:val="00B423A4"/>
    <w:rsid w:val="00B42439"/>
    <w:rsid w:val="00B42F3D"/>
    <w:rsid w:val="00B43183"/>
    <w:rsid w:val="00B43DA2"/>
    <w:rsid w:val="00B45770"/>
    <w:rsid w:val="00B45FA1"/>
    <w:rsid w:val="00B46052"/>
    <w:rsid w:val="00B46088"/>
    <w:rsid w:val="00B46374"/>
    <w:rsid w:val="00B46AB7"/>
    <w:rsid w:val="00B46BB7"/>
    <w:rsid w:val="00B4776A"/>
    <w:rsid w:val="00B477FC"/>
    <w:rsid w:val="00B479EE"/>
    <w:rsid w:val="00B513D5"/>
    <w:rsid w:val="00B52287"/>
    <w:rsid w:val="00B55263"/>
    <w:rsid w:val="00B55577"/>
    <w:rsid w:val="00B569E7"/>
    <w:rsid w:val="00B570F6"/>
    <w:rsid w:val="00B5763F"/>
    <w:rsid w:val="00B57B81"/>
    <w:rsid w:val="00B57FB6"/>
    <w:rsid w:val="00B60045"/>
    <w:rsid w:val="00B6022A"/>
    <w:rsid w:val="00B60A47"/>
    <w:rsid w:val="00B615FD"/>
    <w:rsid w:val="00B61CF5"/>
    <w:rsid w:val="00B62E81"/>
    <w:rsid w:val="00B63F7C"/>
    <w:rsid w:val="00B65DFA"/>
    <w:rsid w:val="00B65F5F"/>
    <w:rsid w:val="00B6668F"/>
    <w:rsid w:val="00B670D4"/>
    <w:rsid w:val="00B672D6"/>
    <w:rsid w:val="00B705B1"/>
    <w:rsid w:val="00B7074D"/>
    <w:rsid w:val="00B70967"/>
    <w:rsid w:val="00B70B96"/>
    <w:rsid w:val="00B717B4"/>
    <w:rsid w:val="00B7188C"/>
    <w:rsid w:val="00B719A7"/>
    <w:rsid w:val="00B73360"/>
    <w:rsid w:val="00B73513"/>
    <w:rsid w:val="00B7416D"/>
    <w:rsid w:val="00B74E6D"/>
    <w:rsid w:val="00B754AD"/>
    <w:rsid w:val="00B758EB"/>
    <w:rsid w:val="00B8015F"/>
    <w:rsid w:val="00B80E85"/>
    <w:rsid w:val="00B80F6E"/>
    <w:rsid w:val="00B81A96"/>
    <w:rsid w:val="00B8256C"/>
    <w:rsid w:val="00B829F2"/>
    <w:rsid w:val="00B83CB9"/>
    <w:rsid w:val="00B84184"/>
    <w:rsid w:val="00B84500"/>
    <w:rsid w:val="00B85DFA"/>
    <w:rsid w:val="00B8627F"/>
    <w:rsid w:val="00B8716F"/>
    <w:rsid w:val="00B875F5"/>
    <w:rsid w:val="00B9055D"/>
    <w:rsid w:val="00B9075F"/>
    <w:rsid w:val="00B90DCB"/>
    <w:rsid w:val="00B910A7"/>
    <w:rsid w:val="00B912C4"/>
    <w:rsid w:val="00B913C0"/>
    <w:rsid w:val="00B91ABC"/>
    <w:rsid w:val="00B92CD3"/>
    <w:rsid w:val="00B93654"/>
    <w:rsid w:val="00B939D1"/>
    <w:rsid w:val="00B93C09"/>
    <w:rsid w:val="00B9421F"/>
    <w:rsid w:val="00B947C3"/>
    <w:rsid w:val="00B94B3A"/>
    <w:rsid w:val="00B956DB"/>
    <w:rsid w:val="00B958C9"/>
    <w:rsid w:val="00B95F87"/>
    <w:rsid w:val="00B96063"/>
    <w:rsid w:val="00B96592"/>
    <w:rsid w:val="00B96CCE"/>
    <w:rsid w:val="00B972CA"/>
    <w:rsid w:val="00B97790"/>
    <w:rsid w:val="00B978EC"/>
    <w:rsid w:val="00BA11B0"/>
    <w:rsid w:val="00BA18C7"/>
    <w:rsid w:val="00BA18E8"/>
    <w:rsid w:val="00BA2A69"/>
    <w:rsid w:val="00BA372A"/>
    <w:rsid w:val="00BA3977"/>
    <w:rsid w:val="00BA3E3E"/>
    <w:rsid w:val="00BA4021"/>
    <w:rsid w:val="00BA4046"/>
    <w:rsid w:val="00BA4632"/>
    <w:rsid w:val="00BA61F3"/>
    <w:rsid w:val="00BA75A6"/>
    <w:rsid w:val="00BA7F5C"/>
    <w:rsid w:val="00BB0619"/>
    <w:rsid w:val="00BB09B4"/>
    <w:rsid w:val="00BB1892"/>
    <w:rsid w:val="00BB1AD0"/>
    <w:rsid w:val="00BB26A6"/>
    <w:rsid w:val="00BB32BB"/>
    <w:rsid w:val="00BB44DD"/>
    <w:rsid w:val="00BB53C7"/>
    <w:rsid w:val="00BB5ACA"/>
    <w:rsid w:val="00BB60F6"/>
    <w:rsid w:val="00BB681F"/>
    <w:rsid w:val="00BB6DF5"/>
    <w:rsid w:val="00BC1527"/>
    <w:rsid w:val="00BC16B9"/>
    <w:rsid w:val="00BC28C1"/>
    <w:rsid w:val="00BC2DCF"/>
    <w:rsid w:val="00BC355A"/>
    <w:rsid w:val="00BC3625"/>
    <w:rsid w:val="00BC44C3"/>
    <w:rsid w:val="00BC5EC1"/>
    <w:rsid w:val="00BC704A"/>
    <w:rsid w:val="00BC7753"/>
    <w:rsid w:val="00BD0C9E"/>
    <w:rsid w:val="00BD1AD2"/>
    <w:rsid w:val="00BD3BB5"/>
    <w:rsid w:val="00BD4BFC"/>
    <w:rsid w:val="00BD5498"/>
    <w:rsid w:val="00BD5A00"/>
    <w:rsid w:val="00BD6908"/>
    <w:rsid w:val="00BE02CC"/>
    <w:rsid w:val="00BE03BE"/>
    <w:rsid w:val="00BE0F82"/>
    <w:rsid w:val="00BE10E1"/>
    <w:rsid w:val="00BE1641"/>
    <w:rsid w:val="00BE1E86"/>
    <w:rsid w:val="00BE31DC"/>
    <w:rsid w:val="00BE373E"/>
    <w:rsid w:val="00BE37BC"/>
    <w:rsid w:val="00BE5399"/>
    <w:rsid w:val="00BE594B"/>
    <w:rsid w:val="00BE59B9"/>
    <w:rsid w:val="00BE6623"/>
    <w:rsid w:val="00BE6E31"/>
    <w:rsid w:val="00BF06D1"/>
    <w:rsid w:val="00BF3247"/>
    <w:rsid w:val="00BF3450"/>
    <w:rsid w:val="00BF345C"/>
    <w:rsid w:val="00BF4100"/>
    <w:rsid w:val="00BF513A"/>
    <w:rsid w:val="00BF5506"/>
    <w:rsid w:val="00BF55E2"/>
    <w:rsid w:val="00BF61E8"/>
    <w:rsid w:val="00BF7485"/>
    <w:rsid w:val="00BF7ADC"/>
    <w:rsid w:val="00C000DF"/>
    <w:rsid w:val="00C0035F"/>
    <w:rsid w:val="00C0106D"/>
    <w:rsid w:val="00C03021"/>
    <w:rsid w:val="00C03BEF"/>
    <w:rsid w:val="00C03C01"/>
    <w:rsid w:val="00C03F28"/>
    <w:rsid w:val="00C04986"/>
    <w:rsid w:val="00C05B1F"/>
    <w:rsid w:val="00C06648"/>
    <w:rsid w:val="00C068A7"/>
    <w:rsid w:val="00C0747F"/>
    <w:rsid w:val="00C1015D"/>
    <w:rsid w:val="00C10425"/>
    <w:rsid w:val="00C109EF"/>
    <w:rsid w:val="00C10BDC"/>
    <w:rsid w:val="00C1104B"/>
    <w:rsid w:val="00C110FA"/>
    <w:rsid w:val="00C115C4"/>
    <w:rsid w:val="00C129F1"/>
    <w:rsid w:val="00C1373A"/>
    <w:rsid w:val="00C1394A"/>
    <w:rsid w:val="00C153C4"/>
    <w:rsid w:val="00C15DE8"/>
    <w:rsid w:val="00C17E67"/>
    <w:rsid w:val="00C20AF7"/>
    <w:rsid w:val="00C20D4F"/>
    <w:rsid w:val="00C20F68"/>
    <w:rsid w:val="00C21123"/>
    <w:rsid w:val="00C218FD"/>
    <w:rsid w:val="00C225BC"/>
    <w:rsid w:val="00C22B44"/>
    <w:rsid w:val="00C23055"/>
    <w:rsid w:val="00C2355A"/>
    <w:rsid w:val="00C23E15"/>
    <w:rsid w:val="00C24A4A"/>
    <w:rsid w:val="00C24AD1"/>
    <w:rsid w:val="00C24B43"/>
    <w:rsid w:val="00C251DA"/>
    <w:rsid w:val="00C25774"/>
    <w:rsid w:val="00C26812"/>
    <w:rsid w:val="00C26FB6"/>
    <w:rsid w:val="00C27515"/>
    <w:rsid w:val="00C321A1"/>
    <w:rsid w:val="00C3267F"/>
    <w:rsid w:val="00C32B56"/>
    <w:rsid w:val="00C331B8"/>
    <w:rsid w:val="00C34304"/>
    <w:rsid w:val="00C34998"/>
    <w:rsid w:val="00C34DCF"/>
    <w:rsid w:val="00C35BDE"/>
    <w:rsid w:val="00C36EED"/>
    <w:rsid w:val="00C4096C"/>
    <w:rsid w:val="00C41523"/>
    <w:rsid w:val="00C41664"/>
    <w:rsid w:val="00C416C0"/>
    <w:rsid w:val="00C41B76"/>
    <w:rsid w:val="00C42373"/>
    <w:rsid w:val="00C432B6"/>
    <w:rsid w:val="00C43746"/>
    <w:rsid w:val="00C44400"/>
    <w:rsid w:val="00C4452A"/>
    <w:rsid w:val="00C44A26"/>
    <w:rsid w:val="00C44C59"/>
    <w:rsid w:val="00C44F1A"/>
    <w:rsid w:val="00C47293"/>
    <w:rsid w:val="00C4779F"/>
    <w:rsid w:val="00C5035B"/>
    <w:rsid w:val="00C503E8"/>
    <w:rsid w:val="00C50558"/>
    <w:rsid w:val="00C508D8"/>
    <w:rsid w:val="00C50B62"/>
    <w:rsid w:val="00C51B82"/>
    <w:rsid w:val="00C51ECA"/>
    <w:rsid w:val="00C52ADD"/>
    <w:rsid w:val="00C53886"/>
    <w:rsid w:val="00C53E49"/>
    <w:rsid w:val="00C54912"/>
    <w:rsid w:val="00C551DB"/>
    <w:rsid w:val="00C5527B"/>
    <w:rsid w:val="00C5547F"/>
    <w:rsid w:val="00C56135"/>
    <w:rsid w:val="00C564A6"/>
    <w:rsid w:val="00C605A3"/>
    <w:rsid w:val="00C605B1"/>
    <w:rsid w:val="00C608F6"/>
    <w:rsid w:val="00C60AD4"/>
    <w:rsid w:val="00C623A9"/>
    <w:rsid w:val="00C62C6D"/>
    <w:rsid w:val="00C652BA"/>
    <w:rsid w:val="00C662A4"/>
    <w:rsid w:val="00C675A6"/>
    <w:rsid w:val="00C70A32"/>
    <w:rsid w:val="00C7104A"/>
    <w:rsid w:val="00C71A51"/>
    <w:rsid w:val="00C71AA2"/>
    <w:rsid w:val="00C71FC5"/>
    <w:rsid w:val="00C72E57"/>
    <w:rsid w:val="00C7313F"/>
    <w:rsid w:val="00C73212"/>
    <w:rsid w:val="00C73BF0"/>
    <w:rsid w:val="00C74EC7"/>
    <w:rsid w:val="00C75585"/>
    <w:rsid w:val="00C769DF"/>
    <w:rsid w:val="00C772F3"/>
    <w:rsid w:val="00C77514"/>
    <w:rsid w:val="00C813CC"/>
    <w:rsid w:val="00C813E1"/>
    <w:rsid w:val="00C81C0E"/>
    <w:rsid w:val="00C828E6"/>
    <w:rsid w:val="00C83066"/>
    <w:rsid w:val="00C83A29"/>
    <w:rsid w:val="00C83D55"/>
    <w:rsid w:val="00C84698"/>
    <w:rsid w:val="00C84C08"/>
    <w:rsid w:val="00C85BC0"/>
    <w:rsid w:val="00C85C1C"/>
    <w:rsid w:val="00C85F8D"/>
    <w:rsid w:val="00C861FD"/>
    <w:rsid w:val="00C90B37"/>
    <w:rsid w:val="00C90B49"/>
    <w:rsid w:val="00C90C72"/>
    <w:rsid w:val="00C91572"/>
    <w:rsid w:val="00C92E24"/>
    <w:rsid w:val="00C93167"/>
    <w:rsid w:val="00C9378C"/>
    <w:rsid w:val="00C941D1"/>
    <w:rsid w:val="00C957B4"/>
    <w:rsid w:val="00C95BE7"/>
    <w:rsid w:val="00C96581"/>
    <w:rsid w:val="00C969C5"/>
    <w:rsid w:val="00C96DE2"/>
    <w:rsid w:val="00C96E06"/>
    <w:rsid w:val="00C972BA"/>
    <w:rsid w:val="00C977F0"/>
    <w:rsid w:val="00C97AA4"/>
    <w:rsid w:val="00CA0966"/>
    <w:rsid w:val="00CA11B5"/>
    <w:rsid w:val="00CA141D"/>
    <w:rsid w:val="00CA2D0C"/>
    <w:rsid w:val="00CA30F4"/>
    <w:rsid w:val="00CA3817"/>
    <w:rsid w:val="00CA4200"/>
    <w:rsid w:val="00CA4443"/>
    <w:rsid w:val="00CA4547"/>
    <w:rsid w:val="00CA4FA1"/>
    <w:rsid w:val="00CA5054"/>
    <w:rsid w:val="00CA559A"/>
    <w:rsid w:val="00CA5C3F"/>
    <w:rsid w:val="00CA5C71"/>
    <w:rsid w:val="00CA610A"/>
    <w:rsid w:val="00CA6268"/>
    <w:rsid w:val="00CA661F"/>
    <w:rsid w:val="00CA6C6C"/>
    <w:rsid w:val="00CB1107"/>
    <w:rsid w:val="00CB114C"/>
    <w:rsid w:val="00CB14C0"/>
    <w:rsid w:val="00CB296C"/>
    <w:rsid w:val="00CB2C01"/>
    <w:rsid w:val="00CB3671"/>
    <w:rsid w:val="00CB36EF"/>
    <w:rsid w:val="00CB3E13"/>
    <w:rsid w:val="00CB507A"/>
    <w:rsid w:val="00CB558C"/>
    <w:rsid w:val="00CB6343"/>
    <w:rsid w:val="00CB6384"/>
    <w:rsid w:val="00CB7620"/>
    <w:rsid w:val="00CC0DA2"/>
    <w:rsid w:val="00CC1295"/>
    <w:rsid w:val="00CC1BE4"/>
    <w:rsid w:val="00CC1CCC"/>
    <w:rsid w:val="00CC272D"/>
    <w:rsid w:val="00CC282F"/>
    <w:rsid w:val="00CC3815"/>
    <w:rsid w:val="00CC3C03"/>
    <w:rsid w:val="00CC3E76"/>
    <w:rsid w:val="00CC408F"/>
    <w:rsid w:val="00CC4410"/>
    <w:rsid w:val="00CC4AB7"/>
    <w:rsid w:val="00CC4F1D"/>
    <w:rsid w:val="00CC5166"/>
    <w:rsid w:val="00CC523E"/>
    <w:rsid w:val="00CC55A7"/>
    <w:rsid w:val="00CC5890"/>
    <w:rsid w:val="00CC64EE"/>
    <w:rsid w:val="00CD134E"/>
    <w:rsid w:val="00CD17F4"/>
    <w:rsid w:val="00CD1DC3"/>
    <w:rsid w:val="00CD21E5"/>
    <w:rsid w:val="00CD2F26"/>
    <w:rsid w:val="00CD3998"/>
    <w:rsid w:val="00CD4EE0"/>
    <w:rsid w:val="00CD594D"/>
    <w:rsid w:val="00CD5DB4"/>
    <w:rsid w:val="00CD675E"/>
    <w:rsid w:val="00CD74E5"/>
    <w:rsid w:val="00CE01FB"/>
    <w:rsid w:val="00CE03A0"/>
    <w:rsid w:val="00CE07D2"/>
    <w:rsid w:val="00CE0FDB"/>
    <w:rsid w:val="00CE12AE"/>
    <w:rsid w:val="00CE1478"/>
    <w:rsid w:val="00CE17B7"/>
    <w:rsid w:val="00CE1C8F"/>
    <w:rsid w:val="00CE1E53"/>
    <w:rsid w:val="00CE1F3B"/>
    <w:rsid w:val="00CE2CC6"/>
    <w:rsid w:val="00CE4F46"/>
    <w:rsid w:val="00CE5181"/>
    <w:rsid w:val="00CE540E"/>
    <w:rsid w:val="00CE57DB"/>
    <w:rsid w:val="00CE5DB2"/>
    <w:rsid w:val="00CE742F"/>
    <w:rsid w:val="00CE76D0"/>
    <w:rsid w:val="00CF0238"/>
    <w:rsid w:val="00CF0364"/>
    <w:rsid w:val="00CF11CB"/>
    <w:rsid w:val="00CF1371"/>
    <w:rsid w:val="00CF17AB"/>
    <w:rsid w:val="00CF183A"/>
    <w:rsid w:val="00CF28CA"/>
    <w:rsid w:val="00CF30A6"/>
    <w:rsid w:val="00CF40AB"/>
    <w:rsid w:val="00CF476B"/>
    <w:rsid w:val="00CF4919"/>
    <w:rsid w:val="00CF526D"/>
    <w:rsid w:val="00CF6337"/>
    <w:rsid w:val="00CF6913"/>
    <w:rsid w:val="00CF7D6A"/>
    <w:rsid w:val="00D00E05"/>
    <w:rsid w:val="00D00ED3"/>
    <w:rsid w:val="00D03078"/>
    <w:rsid w:val="00D036FC"/>
    <w:rsid w:val="00D04209"/>
    <w:rsid w:val="00D04383"/>
    <w:rsid w:val="00D04D09"/>
    <w:rsid w:val="00D058DC"/>
    <w:rsid w:val="00D06E94"/>
    <w:rsid w:val="00D070CD"/>
    <w:rsid w:val="00D07954"/>
    <w:rsid w:val="00D07E4A"/>
    <w:rsid w:val="00D100D8"/>
    <w:rsid w:val="00D1080A"/>
    <w:rsid w:val="00D10872"/>
    <w:rsid w:val="00D1117D"/>
    <w:rsid w:val="00D113C3"/>
    <w:rsid w:val="00D115B7"/>
    <w:rsid w:val="00D11BE8"/>
    <w:rsid w:val="00D124B6"/>
    <w:rsid w:val="00D12968"/>
    <w:rsid w:val="00D12E32"/>
    <w:rsid w:val="00D131D8"/>
    <w:rsid w:val="00D1346F"/>
    <w:rsid w:val="00D13E59"/>
    <w:rsid w:val="00D13E7C"/>
    <w:rsid w:val="00D14C24"/>
    <w:rsid w:val="00D154D9"/>
    <w:rsid w:val="00D167C1"/>
    <w:rsid w:val="00D1738D"/>
    <w:rsid w:val="00D20B23"/>
    <w:rsid w:val="00D21303"/>
    <w:rsid w:val="00D21314"/>
    <w:rsid w:val="00D21463"/>
    <w:rsid w:val="00D21E52"/>
    <w:rsid w:val="00D2312F"/>
    <w:rsid w:val="00D232C1"/>
    <w:rsid w:val="00D240F7"/>
    <w:rsid w:val="00D24411"/>
    <w:rsid w:val="00D2446E"/>
    <w:rsid w:val="00D25115"/>
    <w:rsid w:val="00D254B1"/>
    <w:rsid w:val="00D25538"/>
    <w:rsid w:val="00D25BC6"/>
    <w:rsid w:val="00D25C8D"/>
    <w:rsid w:val="00D265BC"/>
    <w:rsid w:val="00D30058"/>
    <w:rsid w:val="00D30445"/>
    <w:rsid w:val="00D304C5"/>
    <w:rsid w:val="00D30B06"/>
    <w:rsid w:val="00D30F55"/>
    <w:rsid w:val="00D312D3"/>
    <w:rsid w:val="00D3145A"/>
    <w:rsid w:val="00D31E1B"/>
    <w:rsid w:val="00D322BC"/>
    <w:rsid w:val="00D3245C"/>
    <w:rsid w:val="00D326B5"/>
    <w:rsid w:val="00D32CFE"/>
    <w:rsid w:val="00D330CB"/>
    <w:rsid w:val="00D33BDF"/>
    <w:rsid w:val="00D340B7"/>
    <w:rsid w:val="00D3414E"/>
    <w:rsid w:val="00D34682"/>
    <w:rsid w:val="00D34C38"/>
    <w:rsid w:val="00D34CDE"/>
    <w:rsid w:val="00D35754"/>
    <w:rsid w:val="00D3601B"/>
    <w:rsid w:val="00D3649A"/>
    <w:rsid w:val="00D3657D"/>
    <w:rsid w:val="00D36952"/>
    <w:rsid w:val="00D37DBE"/>
    <w:rsid w:val="00D37F24"/>
    <w:rsid w:val="00D40895"/>
    <w:rsid w:val="00D40938"/>
    <w:rsid w:val="00D40A8C"/>
    <w:rsid w:val="00D411CB"/>
    <w:rsid w:val="00D41365"/>
    <w:rsid w:val="00D41387"/>
    <w:rsid w:val="00D41810"/>
    <w:rsid w:val="00D42FA4"/>
    <w:rsid w:val="00D431A3"/>
    <w:rsid w:val="00D43850"/>
    <w:rsid w:val="00D43C1B"/>
    <w:rsid w:val="00D447BC"/>
    <w:rsid w:val="00D448B9"/>
    <w:rsid w:val="00D44AD0"/>
    <w:rsid w:val="00D4526D"/>
    <w:rsid w:val="00D45530"/>
    <w:rsid w:val="00D45E4D"/>
    <w:rsid w:val="00D47295"/>
    <w:rsid w:val="00D476BA"/>
    <w:rsid w:val="00D47E89"/>
    <w:rsid w:val="00D50CCF"/>
    <w:rsid w:val="00D51188"/>
    <w:rsid w:val="00D513BC"/>
    <w:rsid w:val="00D515C9"/>
    <w:rsid w:val="00D5167F"/>
    <w:rsid w:val="00D52B18"/>
    <w:rsid w:val="00D53B9A"/>
    <w:rsid w:val="00D54B27"/>
    <w:rsid w:val="00D54CC5"/>
    <w:rsid w:val="00D55473"/>
    <w:rsid w:val="00D55C3A"/>
    <w:rsid w:val="00D55DAD"/>
    <w:rsid w:val="00D56562"/>
    <w:rsid w:val="00D57006"/>
    <w:rsid w:val="00D57A16"/>
    <w:rsid w:val="00D60291"/>
    <w:rsid w:val="00D608B5"/>
    <w:rsid w:val="00D6106B"/>
    <w:rsid w:val="00D62071"/>
    <w:rsid w:val="00D62168"/>
    <w:rsid w:val="00D6280A"/>
    <w:rsid w:val="00D636F2"/>
    <w:rsid w:val="00D63CB7"/>
    <w:rsid w:val="00D642BC"/>
    <w:rsid w:val="00D672FF"/>
    <w:rsid w:val="00D6770E"/>
    <w:rsid w:val="00D7012D"/>
    <w:rsid w:val="00D70561"/>
    <w:rsid w:val="00D70B72"/>
    <w:rsid w:val="00D70CE1"/>
    <w:rsid w:val="00D70E7A"/>
    <w:rsid w:val="00D715E8"/>
    <w:rsid w:val="00D71E95"/>
    <w:rsid w:val="00D720C0"/>
    <w:rsid w:val="00D74C4B"/>
    <w:rsid w:val="00D75609"/>
    <w:rsid w:val="00D76C31"/>
    <w:rsid w:val="00D77445"/>
    <w:rsid w:val="00D77B8C"/>
    <w:rsid w:val="00D77BBE"/>
    <w:rsid w:val="00D80168"/>
    <w:rsid w:val="00D8036E"/>
    <w:rsid w:val="00D81280"/>
    <w:rsid w:val="00D817E7"/>
    <w:rsid w:val="00D81AB8"/>
    <w:rsid w:val="00D81CE0"/>
    <w:rsid w:val="00D836E1"/>
    <w:rsid w:val="00D83E74"/>
    <w:rsid w:val="00D8545F"/>
    <w:rsid w:val="00D85853"/>
    <w:rsid w:val="00D85E1C"/>
    <w:rsid w:val="00D86371"/>
    <w:rsid w:val="00D864F5"/>
    <w:rsid w:val="00D876F6"/>
    <w:rsid w:val="00D9043C"/>
    <w:rsid w:val="00D9055B"/>
    <w:rsid w:val="00D90D7F"/>
    <w:rsid w:val="00D911A3"/>
    <w:rsid w:val="00D94162"/>
    <w:rsid w:val="00D94626"/>
    <w:rsid w:val="00D95967"/>
    <w:rsid w:val="00D95FA3"/>
    <w:rsid w:val="00D96C10"/>
    <w:rsid w:val="00DA1339"/>
    <w:rsid w:val="00DA14D1"/>
    <w:rsid w:val="00DA2584"/>
    <w:rsid w:val="00DA2A17"/>
    <w:rsid w:val="00DA2BAC"/>
    <w:rsid w:val="00DA2F71"/>
    <w:rsid w:val="00DA3180"/>
    <w:rsid w:val="00DA3A56"/>
    <w:rsid w:val="00DA4084"/>
    <w:rsid w:val="00DA54C3"/>
    <w:rsid w:val="00DA5DED"/>
    <w:rsid w:val="00DA5F5B"/>
    <w:rsid w:val="00DA672E"/>
    <w:rsid w:val="00DA6DE6"/>
    <w:rsid w:val="00DA7D31"/>
    <w:rsid w:val="00DB1AB7"/>
    <w:rsid w:val="00DB24F7"/>
    <w:rsid w:val="00DB2DBE"/>
    <w:rsid w:val="00DB33C4"/>
    <w:rsid w:val="00DB3660"/>
    <w:rsid w:val="00DB5326"/>
    <w:rsid w:val="00DB53E1"/>
    <w:rsid w:val="00DB5E74"/>
    <w:rsid w:val="00DB65A8"/>
    <w:rsid w:val="00DB7032"/>
    <w:rsid w:val="00DB7236"/>
    <w:rsid w:val="00DB738A"/>
    <w:rsid w:val="00DB7FCA"/>
    <w:rsid w:val="00DC0FC1"/>
    <w:rsid w:val="00DC15D2"/>
    <w:rsid w:val="00DC216C"/>
    <w:rsid w:val="00DC3311"/>
    <w:rsid w:val="00DC568B"/>
    <w:rsid w:val="00DC5B9F"/>
    <w:rsid w:val="00DC728D"/>
    <w:rsid w:val="00DC781F"/>
    <w:rsid w:val="00DC7EBD"/>
    <w:rsid w:val="00DD059A"/>
    <w:rsid w:val="00DD07A8"/>
    <w:rsid w:val="00DD0E4A"/>
    <w:rsid w:val="00DD145E"/>
    <w:rsid w:val="00DD282B"/>
    <w:rsid w:val="00DD2EB3"/>
    <w:rsid w:val="00DD307B"/>
    <w:rsid w:val="00DD3902"/>
    <w:rsid w:val="00DD47B8"/>
    <w:rsid w:val="00DD556F"/>
    <w:rsid w:val="00DD6338"/>
    <w:rsid w:val="00DD6375"/>
    <w:rsid w:val="00DD6C93"/>
    <w:rsid w:val="00DD7D9B"/>
    <w:rsid w:val="00DE02DD"/>
    <w:rsid w:val="00DE0520"/>
    <w:rsid w:val="00DE060B"/>
    <w:rsid w:val="00DE0B41"/>
    <w:rsid w:val="00DE0D4B"/>
    <w:rsid w:val="00DE0ECF"/>
    <w:rsid w:val="00DE16AD"/>
    <w:rsid w:val="00DE1DEF"/>
    <w:rsid w:val="00DE23A6"/>
    <w:rsid w:val="00DE2665"/>
    <w:rsid w:val="00DE3579"/>
    <w:rsid w:val="00DE451E"/>
    <w:rsid w:val="00DE48A7"/>
    <w:rsid w:val="00DE49D4"/>
    <w:rsid w:val="00DE4E92"/>
    <w:rsid w:val="00DE5C9E"/>
    <w:rsid w:val="00DE6890"/>
    <w:rsid w:val="00DE6F6E"/>
    <w:rsid w:val="00DF0650"/>
    <w:rsid w:val="00DF08DA"/>
    <w:rsid w:val="00DF17F5"/>
    <w:rsid w:val="00DF1A88"/>
    <w:rsid w:val="00DF1B89"/>
    <w:rsid w:val="00DF2108"/>
    <w:rsid w:val="00DF2A6A"/>
    <w:rsid w:val="00DF2F3D"/>
    <w:rsid w:val="00DF2F84"/>
    <w:rsid w:val="00DF3358"/>
    <w:rsid w:val="00DF437C"/>
    <w:rsid w:val="00DF45C4"/>
    <w:rsid w:val="00DF4B8A"/>
    <w:rsid w:val="00DF5074"/>
    <w:rsid w:val="00DF58EB"/>
    <w:rsid w:val="00DF697D"/>
    <w:rsid w:val="00DF732B"/>
    <w:rsid w:val="00E0326F"/>
    <w:rsid w:val="00E03DDF"/>
    <w:rsid w:val="00E04328"/>
    <w:rsid w:val="00E04CDE"/>
    <w:rsid w:val="00E06F65"/>
    <w:rsid w:val="00E10AC4"/>
    <w:rsid w:val="00E10BB4"/>
    <w:rsid w:val="00E10F8F"/>
    <w:rsid w:val="00E11A3A"/>
    <w:rsid w:val="00E13DC6"/>
    <w:rsid w:val="00E13E12"/>
    <w:rsid w:val="00E13E2F"/>
    <w:rsid w:val="00E13FD9"/>
    <w:rsid w:val="00E15699"/>
    <w:rsid w:val="00E163C7"/>
    <w:rsid w:val="00E172FD"/>
    <w:rsid w:val="00E1731F"/>
    <w:rsid w:val="00E1764F"/>
    <w:rsid w:val="00E176D2"/>
    <w:rsid w:val="00E1772E"/>
    <w:rsid w:val="00E17BC7"/>
    <w:rsid w:val="00E20287"/>
    <w:rsid w:val="00E211B1"/>
    <w:rsid w:val="00E214E6"/>
    <w:rsid w:val="00E21A88"/>
    <w:rsid w:val="00E21D7E"/>
    <w:rsid w:val="00E23992"/>
    <w:rsid w:val="00E23A0C"/>
    <w:rsid w:val="00E23DBC"/>
    <w:rsid w:val="00E24C8E"/>
    <w:rsid w:val="00E25594"/>
    <w:rsid w:val="00E269B0"/>
    <w:rsid w:val="00E26AF0"/>
    <w:rsid w:val="00E279CE"/>
    <w:rsid w:val="00E27B92"/>
    <w:rsid w:val="00E30A08"/>
    <w:rsid w:val="00E30A1B"/>
    <w:rsid w:val="00E31065"/>
    <w:rsid w:val="00E3123F"/>
    <w:rsid w:val="00E31C40"/>
    <w:rsid w:val="00E34C12"/>
    <w:rsid w:val="00E35186"/>
    <w:rsid w:val="00E36AA5"/>
    <w:rsid w:val="00E37160"/>
    <w:rsid w:val="00E371BF"/>
    <w:rsid w:val="00E37681"/>
    <w:rsid w:val="00E41329"/>
    <w:rsid w:val="00E41449"/>
    <w:rsid w:val="00E415E5"/>
    <w:rsid w:val="00E418CF"/>
    <w:rsid w:val="00E41B0D"/>
    <w:rsid w:val="00E41BD4"/>
    <w:rsid w:val="00E4339C"/>
    <w:rsid w:val="00E4556D"/>
    <w:rsid w:val="00E46C61"/>
    <w:rsid w:val="00E46D0D"/>
    <w:rsid w:val="00E47230"/>
    <w:rsid w:val="00E474B8"/>
    <w:rsid w:val="00E4785B"/>
    <w:rsid w:val="00E47870"/>
    <w:rsid w:val="00E50841"/>
    <w:rsid w:val="00E50F45"/>
    <w:rsid w:val="00E5156F"/>
    <w:rsid w:val="00E51AF8"/>
    <w:rsid w:val="00E52AF3"/>
    <w:rsid w:val="00E52EF3"/>
    <w:rsid w:val="00E55F3A"/>
    <w:rsid w:val="00E564C8"/>
    <w:rsid w:val="00E566FD"/>
    <w:rsid w:val="00E56F79"/>
    <w:rsid w:val="00E57B65"/>
    <w:rsid w:val="00E60F74"/>
    <w:rsid w:val="00E6154A"/>
    <w:rsid w:val="00E61AF5"/>
    <w:rsid w:val="00E61C86"/>
    <w:rsid w:val="00E61E41"/>
    <w:rsid w:val="00E6232E"/>
    <w:rsid w:val="00E625CB"/>
    <w:rsid w:val="00E62972"/>
    <w:rsid w:val="00E63B6D"/>
    <w:rsid w:val="00E64B0A"/>
    <w:rsid w:val="00E6540C"/>
    <w:rsid w:val="00E67E45"/>
    <w:rsid w:val="00E71191"/>
    <w:rsid w:val="00E71C89"/>
    <w:rsid w:val="00E725FE"/>
    <w:rsid w:val="00E7372D"/>
    <w:rsid w:val="00E751A4"/>
    <w:rsid w:val="00E75692"/>
    <w:rsid w:val="00E75DA5"/>
    <w:rsid w:val="00E76A19"/>
    <w:rsid w:val="00E76E38"/>
    <w:rsid w:val="00E80134"/>
    <w:rsid w:val="00E80B57"/>
    <w:rsid w:val="00E81810"/>
    <w:rsid w:val="00E81B74"/>
    <w:rsid w:val="00E84575"/>
    <w:rsid w:val="00E84BC9"/>
    <w:rsid w:val="00E86E72"/>
    <w:rsid w:val="00E871D5"/>
    <w:rsid w:val="00E87565"/>
    <w:rsid w:val="00E87FB0"/>
    <w:rsid w:val="00E9011D"/>
    <w:rsid w:val="00E906CF"/>
    <w:rsid w:val="00E90FA7"/>
    <w:rsid w:val="00E91146"/>
    <w:rsid w:val="00E91157"/>
    <w:rsid w:val="00E9169A"/>
    <w:rsid w:val="00E91AD8"/>
    <w:rsid w:val="00E91F2B"/>
    <w:rsid w:val="00E91F2F"/>
    <w:rsid w:val="00E92104"/>
    <w:rsid w:val="00E93096"/>
    <w:rsid w:val="00E93287"/>
    <w:rsid w:val="00E9359D"/>
    <w:rsid w:val="00E93962"/>
    <w:rsid w:val="00E93B6A"/>
    <w:rsid w:val="00E93B7A"/>
    <w:rsid w:val="00E93B8F"/>
    <w:rsid w:val="00E9433A"/>
    <w:rsid w:val="00E94820"/>
    <w:rsid w:val="00E94977"/>
    <w:rsid w:val="00E97867"/>
    <w:rsid w:val="00E97AFF"/>
    <w:rsid w:val="00EA008A"/>
    <w:rsid w:val="00EA03D1"/>
    <w:rsid w:val="00EA0F46"/>
    <w:rsid w:val="00EA1CB3"/>
    <w:rsid w:val="00EA2485"/>
    <w:rsid w:val="00EA39E7"/>
    <w:rsid w:val="00EA3B30"/>
    <w:rsid w:val="00EA5EC1"/>
    <w:rsid w:val="00EA791E"/>
    <w:rsid w:val="00EA79CD"/>
    <w:rsid w:val="00EB01EA"/>
    <w:rsid w:val="00EB0370"/>
    <w:rsid w:val="00EB0747"/>
    <w:rsid w:val="00EB13C8"/>
    <w:rsid w:val="00EB1918"/>
    <w:rsid w:val="00EB30BB"/>
    <w:rsid w:val="00EB3A37"/>
    <w:rsid w:val="00EB3B07"/>
    <w:rsid w:val="00EB59E6"/>
    <w:rsid w:val="00EB5FFF"/>
    <w:rsid w:val="00EB61BC"/>
    <w:rsid w:val="00EB6BFD"/>
    <w:rsid w:val="00EB7157"/>
    <w:rsid w:val="00EC0158"/>
    <w:rsid w:val="00EC14C2"/>
    <w:rsid w:val="00EC1654"/>
    <w:rsid w:val="00EC260E"/>
    <w:rsid w:val="00EC2EA7"/>
    <w:rsid w:val="00EC481D"/>
    <w:rsid w:val="00EC4DCD"/>
    <w:rsid w:val="00EC4FE9"/>
    <w:rsid w:val="00EC517E"/>
    <w:rsid w:val="00EC5203"/>
    <w:rsid w:val="00EC5250"/>
    <w:rsid w:val="00EC5A35"/>
    <w:rsid w:val="00EC5FA7"/>
    <w:rsid w:val="00EC63EB"/>
    <w:rsid w:val="00EC7317"/>
    <w:rsid w:val="00EC7BE3"/>
    <w:rsid w:val="00EC7D50"/>
    <w:rsid w:val="00EC7D9B"/>
    <w:rsid w:val="00EC7F6F"/>
    <w:rsid w:val="00ED059D"/>
    <w:rsid w:val="00ED069B"/>
    <w:rsid w:val="00ED175C"/>
    <w:rsid w:val="00ED1787"/>
    <w:rsid w:val="00ED1EC0"/>
    <w:rsid w:val="00ED2053"/>
    <w:rsid w:val="00ED2323"/>
    <w:rsid w:val="00ED298D"/>
    <w:rsid w:val="00ED2B0D"/>
    <w:rsid w:val="00ED2B1C"/>
    <w:rsid w:val="00ED2D7E"/>
    <w:rsid w:val="00ED30FA"/>
    <w:rsid w:val="00ED3B41"/>
    <w:rsid w:val="00ED3B55"/>
    <w:rsid w:val="00ED3ED3"/>
    <w:rsid w:val="00ED4280"/>
    <w:rsid w:val="00ED4496"/>
    <w:rsid w:val="00ED554B"/>
    <w:rsid w:val="00ED6343"/>
    <w:rsid w:val="00ED6473"/>
    <w:rsid w:val="00ED73D8"/>
    <w:rsid w:val="00ED7AC6"/>
    <w:rsid w:val="00EE08B1"/>
    <w:rsid w:val="00EE19F5"/>
    <w:rsid w:val="00EE3A37"/>
    <w:rsid w:val="00EE3A50"/>
    <w:rsid w:val="00EE3C78"/>
    <w:rsid w:val="00EE3D71"/>
    <w:rsid w:val="00EE477D"/>
    <w:rsid w:val="00EE4A1E"/>
    <w:rsid w:val="00EE4B58"/>
    <w:rsid w:val="00EE53B0"/>
    <w:rsid w:val="00EE5D28"/>
    <w:rsid w:val="00EE5DCD"/>
    <w:rsid w:val="00EE676A"/>
    <w:rsid w:val="00EE6B20"/>
    <w:rsid w:val="00EE71C3"/>
    <w:rsid w:val="00EE7577"/>
    <w:rsid w:val="00EE7A02"/>
    <w:rsid w:val="00EE7CB1"/>
    <w:rsid w:val="00EF0021"/>
    <w:rsid w:val="00EF065A"/>
    <w:rsid w:val="00EF1EB8"/>
    <w:rsid w:val="00EF204C"/>
    <w:rsid w:val="00EF3F38"/>
    <w:rsid w:val="00EF437E"/>
    <w:rsid w:val="00EF5814"/>
    <w:rsid w:val="00EF6EE7"/>
    <w:rsid w:val="00EF6F6C"/>
    <w:rsid w:val="00EF775D"/>
    <w:rsid w:val="00F002C3"/>
    <w:rsid w:val="00F00A88"/>
    <w:rsid w:val="00F0123A"/>
    <w:rsid w:val="00F01B9B"/>
    <w:rsid w:val="00F01CF7"/>
    <w:rsid w:val="00F01F90"/>
    <w:rsid w:val="00F02107"/>
    <w:rsid w:val="00F022F5"/>
    <w:rsid w:val="00F031BE"/>
    <w:rsid w:val="00F0515A"/>
    <w:rsid w:val="00F05314"/>
    <w:rsid w:val="00F071A7"/>
    <w:rsid w:val="00F07743"/>
    <w:rsid w:val="00F078BA"/>
    <w:rsid w:val="00F10149"/>
    <w:rsid w:val="00F103EA"/>
    <w:rsid w:val="00F10BDF"/>
    <w:rsid w:val="00F10CCE"/>
    <w:rsid w:val="00F110F9"/>
    <w:rsid w:val="00F11423"/>
    <w:rsid w:val="00F11892"/>
    <w:rsid w:val="00F11AA5"/>
    <w:rsid w:val="00F12238"/>
    <w:rsid w:val="00F124DA"/>
    <w:rsid w:val="00F141B1"/>
    <w:rsid w:val="00F14F59"/>
    <w:rsid w:val="00F159A8"/>
    <w:rsid w:val="00F159F7"/>
    <w:rsid w:val="00F15E54"/>
    <w:rsid w:val="00F17099"/>
    <w:rsid w:val="00F170D1"/>
    <w:rsid w:val="00F2225F"/>
    <w:rsid w:val="00F222B3"/>
    <w:rsid w:val="00F22AE9"/>
    <w:rsid w:val="00F22CA2"/>
    <w:rsid w:val="00F22E05"/>
    <w:rsid w:val="00F22E4B"/>
    <w:rsid w:val="00F22FB1"/>
    <w:rsid w:val="00F2396D"/>
    <w:rsid w:val="00F24884"/>
    <w:rsid w:val="00F30ECB"/>
    <w:rsid w:val="00F31463"/>
    <w:rsid w:val="00F315A0"/>
    <w:rsid w:val="00F31626"/>
    <w:rsid w:val="00F31729"/>
    <w:rsid w:val="00F31FCE"/>
    <w:rsid w:val="00F32209"/>
    <w:rsid w:val="00F327EE"/>
    <w:rsid w:val="00F32C62"/>
    <w:rsid w:val="00F338B2"/>
    <w:rsid w:val="00F33C33"/>
    <w:rsid w:val="00F33ED1"/>
    <w:rsid w:val="00F34460"/>
    <w:rsid w:val="00F34953"/>
    <w:rsid w:val="00F3562D"/>
    <w:rsid w:val="00F35DC6"/>
    <w:rsid w:val="00F36EAA"/>
    <w:rsid w:val="00F374D3"/>
    <w:rsid w:val="00F37DE6"/>
    <w:rsid w:val="00F42621"/>
    <w:rsid w:val="00F42EB1"/>
    <w:rsid w:val="00F433F9"/>
    <w:rsid w:val="00F435A2"/>
    <w:rsid w:val="00F4379A"/>
    <w:rsid w:val="00F43B49"/>
    <w:rsid w:val="00F43E59"/>
    <w:rsid w:val="00F43F2F"/>
    <w:rsid w:val="00F440A5"/>
    <w:rsid w:val="00F4412C"/>
    <w:rsid w:val="00F44CEA"/>
    <w:rsid w:val="00F459B4"/>
    <w:rsid w:val="00F45E46"/>
    <w:rsid w:val="00F46596"/>
    <w:rsid w:val="00F4703A"/>
    <w:rsid w:val="00F4774C"/>
    <w:rsid w:val="00F47C63"/>
    <w:rsid w:val="00F501C9"/>
    <w:rsid w:val="00F5046C"/>
    <w:rsid w:val="00F50972"/>
    <w:rsid w:val="00F510DD"/>
    <w:rsid w:val="00F51A0D"/>
    <w:rsid w:val="00F521B0"/>
    <w:rsid w:val="00F53403"/>
    <w:rsid w:val="00F554E5"/>
    <w:rsid w:val="00F5614B"/>
    <w:rsid w:val="00F563E7"/>
    <w:rsid w:val="00F56735"/>
    <w:rsid w:val="00F56C41"/>
    <w:rsid w:val="00F576C5"/>
    <w:rsid w:val="00F57726"/>
    <w:rsid w:val="00F57CBF"/>
    <w:rsid w:val="00F600ED"/>
    <w:rsid w:val="00F60542"/>
    <w:rsid w:val="00F60C5E"/>
    <w:rsid w:val="00F61261"/>
    <w:rsid w:val="00F61868"/>
    <w:rsid w:val="00F61E61"/>
    <w:rsid w:val="00F6369F"/>
    <w:rsid w:val="00F63D17"/>
    <w:rsid w:val="00F63D9F"/>
    <w:rsid w:val="00F64C99"/>
    <w:rsid w:val="00F65409"/>
    <w:rsid w:val="00F67EC9"/>
    <w:rsid w:val="00F705F3"/>
    <w:rsid w:val="00F7096C"/>
    <w:rsid w:val="00F7099B"/>
    <w:rsid w:val="00F719FA"/>
    <w:rsid w:val="00F72130"/>
    <w:rsid w:val="00F72885"/>
    <w:rsid w:val="00F72DD1"/>
    <w:rsid w:val="00F73E87"/>
    <w:rsid w:val="00F742E0"/>
    <w:rsid w:val="00F74584"/>
    <w:rsid w:val="00F745F6"/>
    <w:rsid w:val="00F7465C"/>
    <w:rsid w:val="00F74B5E"/>
    <w:rsid w:val="00F74C1C"/>
    <w:rsid w:val="00F74FC4"/>
    <w:rsid w:val="00F77CDA"/>
    <w:rsid w:val="00F81FDE"/>
    <w:rsid w:val="00F82431"/>
    <w:rsid w:val="00F82AB3"/>
    <w:rsid w:val="00F82C04"/>
    <w:rsid w:val="00F82F6C"/>
    <w:rsid w:val="00F83B6A"/>
    <w:rsid w:val="00F8438C"/>
    <w:rsid w:val="00F84957"/>
    <w:rsid w:val="00F84ECD"/>
    <w:rsid w:val="00F86080"/>
    <w:rsid w:val="00F8638E"/>
    <w:rsid w:val="00F87076"/>
    <w:rsid w:val="00F8719E"/>
    <w:rsid w:val="00F87259"/>
    <w:rsid w:val="00F874E9"/>
    <w:rsid w:val="00F8773D"/>
    <w:rsid w:val="00F9010A"/>
    <w:rsid w:val="00F90385"/>
    <w:rsid w:val="00F9039B"/>
    <w:rsid w:val="00F90C35"/>
    <w:rsid w:val="00F90E4D"/>
    <w:rsid w:val="00F91814"/>
    <w:rsid w:val="00F91828"/>
    <w:rsid w:val="00F92154"/>
    <w:rsid w:val="00F92BB1"/>
    <w:rsid w:val="00F92CCC"/>
    <w:rsid w:val="00F92D0D"/>
    <w:rsid w:val="00F931CB"/>
    <w:rsid w:val="00F93DA8"/>
    <w:rsid w:val="00F93F29"/>
    <w:rsid w:val="00F951CC"/>
    <w:rsid w:val="00F95789"/>
    <w:rsid w:val="00F95F09"/>
    <w:rsid w:val="00F95F87"/>
    <w:rsid w:val="00F962BD"/>
    <w:rsid w:val="00F96613"/>
    <w:rsid w:val="00F96845"/>
    <w:rsid w:val="00F96982"/>
    <w:rsid w:val="00F96E68"/>
    <w:rsid w:val="00F972A9"/>
    <w:rsid w:val="00F97443"/>
    <w:rsid w:val="00F975E4"/>
    <w:rsid w:val="00F97945"/>
    <w:rsid w:val="00FA0ABF"/>
    <w:rsid w:val="00FA0B9D"/>
    <w:rsid w:val="00FA15A4"/>
    <w:rsid w:val="00FA1803"/>
    <w:rsid w:val="00FA36D1"/>
    <w:rsid w:val="00FA4BC1"/>
    <w:rsid w:val="00FA652B"/>
    <w:rsid w:val="00FA782F"/>
    <w:rsid w:val="00FA7ABB"/>
    <w:rsid w:val="00FB0216"/>
    <w:rsid w:val="00FB0843"/>
    <w:rsid w:val="00FB15E1"/>
    <w:rsid w:val="00FB1CEF"/>
    <w:rsid w:val="00FB227B"/>
    <w:rsid w:val="00FB31BA"/>
    <w:rsid w:val="00FB3A8F"/>
    <w:rsid w:val="00FB47AB"/>
    <w:rsid w:val="00FB4B4B"/>
    <w:rsid w:val="00FB4D5A"/>
    <w:rsid w:val="00FB5CD6"/>
    <w:rsid w:val="00FB5FAF"/>
    <w:rsid w:val="00FB6387"/>
    <w:rsid w:val="00FB708C"/>
    <w:rsid w:val="00FB72CA"/>
    <w:rsid w:val="00FB7A74"/>
    <w:rsid w:val="00FC191A"/>
    <w:rsid w:val="00FC202C"/>
    <w:rsid w:val="00FC2E1A"/>
    <w:rsid w:val="00FC3222"/>
    <w:rsid w:val="00FC4248"/>
    <w:rsid w:val="00FC487E"/>
    <w:rsid w:val="00FC4C15"/>
    <w:rsid w:val="00FC57BD"/>
    <w:rsid w:val="00FC610D"/>
    <w:rsid w:val="00FC6775"/>
    <w:rsid w:val="00FC6D08"/>
    <w:rsid w:val="00FC77A0"/>
    <w:rsid w:val="00FD118A"/>
    <w:rsid w:val="00FD1E08"/>
    <w:rsid w:val="00FD1E9D"/>
    <w:rsid w:val="00FD225B"/>
    <w:rsid w:val="00FD22E5"/>
    <w:rsid w:val="00FD2677"/>
    <w:rsid w:val="00FD37B7"/>
    <w:rsid w:val="00FD386C"/>
    <w:rsid w:val="00FD3A1F"/>
    <w:rsid w:val="00FD4F0C"/>
    <w:rsid w:val="00FD4FC0"/>
    <w:rsid w:val="00FD5617"/>
    <w:rsid w:val="00FD59FF"/>
    <w:rsid w:val="00FD5B1E"/>
    <w:rsid w:val="00FD62B9"/>
    <w:rsid w:val="00FD6F93"/>
    <w:rsid w:val="00FD75A3"/>
    <w:rsid w:val="00FE1A5B"/>
    <w:rsid w:val="00FE1B1D"/>
    <w:rsid w:val="00FE1DAE"/>
    <w:rsid w:val="00FE2541"/>
    <w:rsid w:val="00FE345B"/>
    <w:rsid w:val="00FE4D26"/>
    <w:rsid w:val="00FE5C5D"/>
    <w:rsid w:val="00FE5F09"/>
    <w:rsid w:val="00FE6CF7"/>
    <w:rsid w:val="00FE6F7B"/>
    <w:rsid w:val="00FE7890"/>
    <w:rsid w:val="00FE7894"/>
    <w:rsid w:val="00FE7C3B"/>
    <w:rsid w:val="00FF02AB"/>
    <w:rsid w:val="00FF02B3"/>
    <w:rsid w:val="00FF04D7"/>
    <w:rsid w:val="00FF055F"/>
    <w:rsid w:val="00FF09C9"/>
    <w:rsid w:val="00FF15F4"/>
    <w:rsid w:val="00FF1612"/>
    <w:rsid w:val="00FF3477"/>
    <w:rsid w:val="00FF3EF2"/>
    <w:rsid w:val="00FF4BA6"/>
    <w:rsid w:val="00FF532E"/>
    <w:rsid w:val="00FF661E"/>
    <w:rsid w:val="00FF78F5"/>
    <w:rsid w:val="00FF7E44"/>
    <w:rsid w:val="00FF7F4F"/>
    <w:rsid w:val="014F76A8"/>
    <w:rsid w:val="01964C25"/>
    <w:rsid w:val="01E53A5D"/>
    <w:rsid w:val="020279D7"/>
    <w:rsid w:val="023006F7"/>
    <w:rsid w:val="027529CC"/>
    <w:rsid w:val="028C2A0A"/>
    <w:rsid w:val="028D7850"/>
    <w:rsid w:val="02F06B33"/>
    <w:rsid w:val="030B6438"/>
    <w:rsid w:val="03C57B2F"/>
    <w:rsid w:val="03F340C2"/>
    <w:rsid w:val="041604E3"/>
    <w:rsid w:val="042F6CB7"/>
    <w:rsid w:val="043F1470"/>
    <w:rsid w:val="048D0AAE"/>
    <w:rsid w:val="04B254C4"/>
    <w:rsid w:val="04D15618"/>
    <w:rsid w:val="04E22CC0"/>
    <w:rsid w:val="04F20E52"/>
    <w:rsid w:val="05495E82"/>
    <w:rsid w:val="055F7BF3"/>
    <w:rsid w:val="05636F88"/>
    <w:rsid w:val="05831E63"/>
    <w:rsid w:val="05A807D7"/>
    <w:rsid w:val="06233DFF"/>
    <w:rsid w:val="064F081F"/>
    <w:rsid w:val="0670281D"/>
    <w:rsid w:val="06AD52CD"/>
    <w:rsid w:val="06D048C4"/>
    <w:rsid w:val="072815D9"/>
    <w:rsid w:val="07471B7B"/>
    <w:rsid w:val="074C74CC"/>
    <w:rsid w:val="076E7719"/>
    <w:rsid w:val="07D66B39"/>
    <w:rsid w:val="080D5AE1"/>
    <w:rsid w:val="084C467F"/>
    <w:rsid w:val="087526AC"/>
    <w:rsid w:val="08B24644"/>
    <w:rsid w:val="08F2717D"/>
    <w:rsid w:val="09676A2B"/>
    <w:rsid w:val="0A0E0BAC"/>
    <w:rsid w:val="0A5719DF"/>
    <w:rsid w:val="0A572A1C"/>
    <w:rsid w:val="0A616BEE"/>
    <w:rsid w:val="0A8B1F29"/>
    <w:rsid w:val="0A981DA7"/>
    <w:rsid w:val="0B2C3A46"/>
    <w:rsid w:val="0B3D0468"/>
    <w:rsid w:val="0C3B17B3"/>
    <w:rsid w:val="0C3F1901"/>
    <w:rsid w:val="0D165F08"/>
    <w:rsid w:val="0D6321F2"/>
    <w:rsid w:val="0D993261"/>
    <w:rsid w:val="0E4E1C93"/>
    <w:rsid w:val="0E6C79FE"/>
    <w:rsid w:val="0EE6479C"/>
    <w:rsid w:val="0EF05AD7"/>
    <w:rsid w:val="0F055B52"/>
    <w:rsid w:val="0F104A8B"/>
    <w:rsid w:val="0F4A0A31"/>
    <w:rsid w:val="0F7D32A5"/>
    <w:rsid w:val="0F8C7EA9"/>
    <w:rsid w:val="10081A3A"/>
    <w:rsid w:val="10FA7CDE"/>
    <w:rsid w:val="11022231"/>
    <w:rsid w:val="115133D4"/>
    <w:rsid w:val="12107727"/>
    <w:rsid w:val="1212349F"/>
    <w:rsid w:val="122757FD"/>
    <w:rsid w:val="12836181"/>
    <w:rsid w:val="12AF6AEB"/>
    <w:rsid w:val="130218A8"/>
    <w:rsid w:val="136E5C4B"/>
    <w:rsid w:val="13AC4B85"/>
    <w:rsid w:val="13BD0DC7"/>
    <w:rsid w:val="13CA53DB"/>
    <w:rsid w:val="13D053C0"/>
    <w:rsid w:val="13F52B51"/>
    <w:rsid w:val="14523693"/>
    <w:rsid w:val="148925AA"/>
    <w:rsid w:val="153957D6"/>
    <w:rsid w:val="154E0715"/>
    <w:rsid w:val="15557480"/>
    <w:rsid w:val="15766F10"/>
    <w:rsid w:val="15A61325"/>
    <w:rsid w:val="15E1269A"/>
    <w:rsid w:val="168559BF"/>
    <w:rsid w:val="172301FE"/>
    <w:rsid w:val="17E807F6"/>
    <w:rsid w:val="18972CC0"/>
    <w:rsid w:val="18A5112F"/>
    <w:rsid w:val="194352C2"/>
    <w:rsid w:val="1952384B"/>
    <w:rsid w:val="1A214B81"/>
    <w:rsid w:val="1A2D3EC2"/>
    <w:rsid w:val="1A3850A3"/>
    <w:rsid w:val="1A514A05"/>
    <w:rsid w:val="1A953B78"/>
    <w:rsid w:val="1A98650B"/>
    <w:rsid w:val="1ABE5A0B"/>
    <w:rsid w:val="1AD16D2A"/>
    <w:rsid w:val="1B0E6B2B"/>
    <w:rsid w:val="1B2B2AC5"/>
    <w:rsid w:val="1B2E58B3"/>
    <w:rsid w:val="1B34061F"/>
    <w:rsid w:val="1B593C69"/>
    <w:rsid w:val="1B9E5021"/>
    <w:rsid w:val="1BB015F0"/>
    <w:rsid w:val="1BCB796F"/>
    <w:rsid w:val="1BE51A2E"/>
    <w:rsid w:val="1C0074D3"/>
    <w:rsid w:val="1C5205B3"/>
    <w:rsid w:val="1C5C0BA5"/>
    <w:rsid w:val="1C687FF8"/>
    <w:rsid w:val="1C91232D"/>
    <w:rsid w:val="1CC77493"/>
    <w:rsid w:val="1D4D56C7"/>
    <w:rsid w:val="1D683B74"/>
    <w:rsid w:val="1D70551D"/>
    <w:rsid w:val="1DAA663F"/>
    <w:rsid w:val="1E2056CF"/>
    <w:rsid w:val="1E237E38"/>
    <w:rsid w:val="1E8847FC"/>
    <w:rsid w:val="1E9B1F3C"/>
    <w:rsid w:val="1EDB0A09"/>
    <w:rsid w:val="1EDB3485"/>
    <w:rsid w:val="1EF6555A"/>
    <w:rsid w:val="1F4C5AEA"/>
    <w:rsid w:val="1F6A3828"/>
    <w:rsid w:val="1F777814"/>
    <w:rsid w:val="1F812F96"/>
    <w:rsid w:val="1F85273B"/>
    <w:rsid w:val="2010341A"/>
    <w:rsid w:val="201119DB"/>
    <w:rsid w:val="204D431E"/>
    <w:rsid w:val="206479B2"/>
    <w:rsid w:val="208E0A93"/>
    <w:rsid w:val="20F51115"/>
    <w:rsid w:val="21097855"/>
    <w:rsid w:val="21256298"/>
    <w:rsid w:val="214E4457"/>
    <w:rsid w:val="224E310E"/>
    <w:rsid w:val="22804B8E"/>
    <w:rsid w:val="22AB6200"/>
    <w:rsid w:val="23474F72"/>
    <w:rsid w:val="23C64602"/>
    <w:rsid w:val="24495EB1"/>
    <w:rsid w:val="249552BC"/>
    <w:rsid w:val="24AC72A5"/>
    <w:rsid w:val="24FA4AEC"/>
    <w:rsid w:val="25052280"/>
    <w:rsid w:val="253A5714"/>
    <w:rsid w:val="2542598D"/>
    <w:rsid w:val="254D27B6"/>
    <w:rsid w:val="25735080"/>
    <w:rsid w:val="25760845"/>
    <w:rsid w:val="259919CE"/>
    <w:rsid w:val="25A22373"/>
    <w:rsid w:val="25C06E6F"/>
    <w:rsid w:val="25C52D23"/>
    <w:rsid w:val="27492722"/>
    <w:rsid w:val="276873A5"/>
    <w:rsid w:val="27BA28BF"/>
    <w:rsid w:val="28226ECB"/>
    <w:rsid w:val="282F7259"/>
    <w:rsid w:val="28400D31"/>
    <w:rsid w:val="284B48B8"/>
    <w:rsid w:val="288B10E5"/>
    <w:rsid w:val="28977BBB"/>
    <w:rsid w:val="29471828"/>
    <w:rsid w:val="298E36DF"/>
    <w:rsid w:val="29AC407B"/>
    <w:rsid w:val="29B9030C"/>
    <w:rsid w:val="29D77157"/>
    <w:rsid w:val="2A2A6164"/>
    <w:rsid w:val="2A5A4309"/>
    <w:rsid w:val="2A8940C2"/>
    <w:rsid w:val="2AA323D7"/>
    <w:rsid w:val="2AA43B67"/>
    <w:rsid w:val="2AB62CA2"/>
    <w:rsid w:val="2AD804BF"/>
    <w:rsid w:val="2AF63103"/>
    <w:rsid w:val="2B8F44FA"/>
    <w:rsid w:val="2BA52E8E"/>
    <w:rsid w:val="2BD642B1"/>
    <w:rsid w:val="2C107962"/>
    <w:rsid w:val="2C2E5B31"/>
    <w:rsid w:val="2C342BE7"/>
    <w:rsid w:val="2C8F6762"/>
    <w:rsid w:val="2CBE7C02"/>
    <w:rsid w:val="2CFB4D14"/>
    <w:rsid w:val="2D017195"/>
    <w:rsid w:val="2D0A6B45"/>
    <w:rsid w:val="2D393E39"/>
    <w:rsid w:val="2D3F27D9"/>
    <w:rsid w:val="2D543041"/>
    <w:rsid w:val="2DC570EE"/>
    <w:rsid w:val="2DFC60C9"/>
    <w:rsid w:val="2E8C7A42"/>
    <w:rsid w:val="2E9E5346"/>
    <w:rsid w:val="2F0B0759"/>
    <w:rsid w:val="2F2252A0"/>
    <w:rsid w:val="2F604FC9"/>
    <w:rsid w:val="2F6617BE"/>
    <w:rsid w:val="2F820024"/>
    <w:rsid w:val="2F96170E"/>
    <w:rsid w:val="2FD93A07"/>
    <w:rsid w:val="301F50AA"/>
    <w:rsid w:val="304D338D"/>
    <w:rsid w:val="30C15F12"/>
    <w:rsid w:val="316400FC"/>
    <w:rsid w:val="31871A9A"/>
    <w:rsid w:val="31C06AF6"/>
    <w:rsid w:val="31DC3484"/>
    <w:rsid w:val="31E13E35"/>
    <w:rsid w:val="31ED5256"/>
    <w:rsid w:val="31EE5421"/>
    <w:rsid w:val="320E4065"/>
    <w:rsid w:val="32184315"/>
    <w:rsid w:val="32716093"/>
    <w:rsid w:val="33147A98"/>
    <w:rsid w:val="33244988"/>
    <w:rsid w:val="338C0863"/>
    <w:rsid w:val="33974585"/>
    <w:rsid w:val="33B004A1"/>
    <w:rsid w:val="34107EE9"/>
    <w:rsid w:val="341C3404"/>
    <w:rsid w:val="343E00F1"/>
    <w:rsid w:val="346E65F2"/>
    <w:rsid w:val="356069F5"/>
    <w:rsid w:val="35753B2C"/>
    <w:rsid w:val="35F350CD"/>
    <w:rsid w:val="35F35E7A"/>
    <w:rsid w:val="367E33F8"/>
    <w:rsid w:val="36A70F71"/>
    <w:rsid w:val="36CE3589"/>
    <w:rsid w:val="36D17AC3"/>
    <w:rsid w:val="36DA7CE7"/>
    <w:rsid w:val="36E062B6"/>
    <w:rsid w:val="370E4F09"/>
    <w:rsid w:val="376C62F4"/>
    <w:rsid w:val="377A0728"/>
    <w:rsid w:val="3804074A"/>
    <w:rsid w:val="383A6BD5"/>
    <w:rsid w:val="38756D3C"/>
    <w:rsid w:val="387C7183"/>
    <w:rsid w:val="38B026C0"/>
    <w:rsid w:val="39035975"/>
    <w:rsid w:val="392331A3"/>
    <w:rsid w:val="39673753"/>
    <w:rsid w:val="3A1071B3"/>
    <w:rsid w:val="3A267B27"/>
    <w:rsid w:val="3A3815F3"/>
    <w:rsid w:val="3ADC087D"/>
    <w:rsid w:val="3B023801"/>
    <w:rsid w:val="3B0D368B"/>
    <w:rsid w:val="3B1532D6"/>
    <w:rsid w:val="3B317EE1"/>
    <w:rsid w:val="3BD86D7A"/>
    <w:rsid w:val="3BED05E9"/>
    <w:rsid w:val="3C6736E4"/>
    <w:rsid w:val="3C6B3628"/>
    <w:rsid w:val="3CA85AB7"/>
    <w:rsid w:val="3CE018AE"/>
    <w:rsid w:val="3CF042F7"/>
    <w:rsid w:val="3D3B7E49"/>
    <w:rsid w:val="3DAD6B0B"/>
    <w:rsid w:val="3DD80A32"/>
    <w:rsid w:val="3DDD0D98"/>
    <w:rsid w:val="3E013F5E"/>
    <w:rsid w:val="3E7149EE"/>
    <w:rsid w:val="3E9F6C63"/>
    <w:rsid w:val="3EAD7307"/>
    <w:rsid w:val="3EE031C6"/>
    <w:rsid w:val="3EE2187F"/>
    <w:rsid w:val="3F132F35"/>
    <w:rsid w:val="3F304DFF"/>
    <w:rsid w:val="3F570E36"/>
    <w:rsid w:val="3F7C3414"/>
    <w:rsid w:val="3FA74564"/>
    <w:rsid w:val="3FDA3BE4"/>
    <w:rsid w:val="40023A65"/>
    <w:rsid w:val="401F086E"/>
    <w:rsid w:val="40416A8B"/>
    <w:rsid w:val="408239D2"/>
    <w:rsid w:val="40917521"/>
    <w:rsid w:val="40D30AD6"/>
    <w:rsid w:val="41151DB4"/>
    <w:rsid w:val="41397CC1"/>
    <w:rsid w:val="416B01A1"/>
    <w:rsid w:val="41E00735"/>
    <w:rsid w:val="42424E2B"/>
    <w:rsid w:val="426C4BF8"/>
    <w:rsid w:val="42BB5981"/>
    <w:rsid w:val="42F2069C"/>
    <w:rsid w:val="430D4BC6"/>
    <w:rsid w:val="4336615C"/>
    <w:rsid w:val="43841B93"/>
    <w:rsid w:val="43AD255B"/>
    <w:rsid w:val="43DE04F7"/>
    <w:rsid w:val="44331712"/>
    <w:rsid w:val="446B4F37"/>
    <w:rsid w:val="45A53D6A"/>
    <w:rsid w:val="462760E3"/>
    <w:rsid w:val="4658661C"/>
    <w:rsid w:val="4678452E"/>
    <w:rsid w:val="46A8596C"/>
    <w:rsid w:val="46FC7C85"/>
    <w:rsid w:val="473409B4"/>
    <w:rsid w:val="473808AB"/>
    <w:rsid w:val="47422FBA"/>
    <w:rsid w:val="474F1FEE"/>
    <w:rsid w:val="4834336D"/>
    <w:rsid w:val="486D4175"/>
    <w:rsid w:val="48961F89"/>
    <w:rsid w:val="48C902AB"/>
    <w:rsid w:val="48CB6407"/>
    <w:rsid w:val="48E416B9"/>
    <w:rsid w:val="490F2CCF"/>
    <w:rsid w:val="495A725C"/>
    <w:rsid w:val="498250A9"/>
    <w:rsid w:val="49CB05CA"/>
    <w:rsid w:val="49DD7AAB"/>
    <w:rsid w:val="49F542A2"/>
    <w:rsid w:val="49FB2582"/>
    <w:rsid w:val="4A020D77"/>
    <w:rsid w:val="4A052B9E"/>
    <w:rsid w:val="4A2356DB"/>
    <w:rsid w:val="4AAE12AF"/>
    <w:rsid w:val="4AC8363A"/>
    <w:rsid w:val="4AC93408"/>
    <w:rsid w:val="4AD8621C"/>
    <w:rsid w:val="4AE57050"/>
    <w:rsid w:val="4B717E1F"/>
    <w:rsid w:val="4B7A6183"/>
    <w:rsid w:val="4BAC21D6"/>
    <w:rsid w:val="4BCE397E"/>
    <w:rsid w:val="4C6D5628"/>
    <w:rsid w:val="4CB32492"/>
    <w:rsid w:val="4D04540D"/>
    <w:rsid w:val="4D1A353C"/>
    <w:rsid w:val="4D572D96"/>
    <w:rsid w:val="4D6723AC"/>
    <w:rsid w:val="4D6D3115"/>
    <w:rsid w:val="4D7171E2"/>
    <w:rsid w:val="4DC10409"/>
    <w:rsid w:val="4DDE3A75"/>
    <w:rsid w:val="4E456FC4"/>
    <w:rsid w:val="4E6E1CA7"/>
    <w:rsid w:val="4E8863B2"/>
    <w:rsid w:val="4E937DC1"/>
    <w:rsid w:val="4ECD1107"/>
    <w:rsid w:val="4F0B2F91"/>
    <w:rsid w:val="4F3D2A98"/>
    <w:rsid w:val="4F7B76B4"/>
    <w:rsid w:val="4F9201D8"/>
    <w:rsid w:val="4FBC1860"/>
    <w:rsid w:val="4FE468E9"/>
    <w:rsid w:val="50363FE3"/>
    <w:rsid w:val="50485D02"/>
    <w:rsid w:val="50572EB5"/>
    <w:rsid w:val="507B7BAB"/>
    <w:rsid w:val="50A11543"/>
    <w:rsid w:val="50D31112"/>
    <w:rsid w:val="51261A5B"/>
    <w:rsid w:val="51636645"/>
    <w:rsid w:val="51BE352A"/>
    <w:rsid w:val="51CC217D"/>
    <w:rsid w:val="52156BFA"/>
    <w:rsid w:val="525C42C7"/>
    <w:rsid w:val="52643837"/>
    <w:rsid w:val="527B6277"/>
    <w:rsid w:val="52B823F0"/>
    <w:rsid w:val="5311775F"/>
    <w:rsid w:val="534711DC"/>
    <w:rsid w:val="5348563E"/>
    <w:rsid w:val="53490158"/>
    <w:rsid w:val="53767177"/>
    <w:rsid w:val="539C566F"/>
    <w:rsid w:val="53C87BBC"/>
    <w:rsid w:val="54576285"/>
    <w:rsid w:val="546F4523"/>
    <w:rsid w:val="54AF790F"/>
    <w:rsid w:val="54E072F6"/>
    <w:rsid w:val="551A792E"/>
    <w:rsid w:val="5533625D"/>
    <w:rsid w:val="555E5C95"/>
    <w:rsid w:val="5563037A"/>
    <w:rsid w:val="5593326D"/>
    <w:rsid w:val="56062215"/>
    <w:rsid w:val="56064A9F"/>
    <w:rsid w:val="56B45BC8"/>
    <w:rsid w:val="56C82D3E"/>
    <w:rsid w:val="56D779F9"/>
    <w:rsid w:val="570F27E4"/>
    <w:rsid w:val="572275CB"/>
    <w:rsid w:val="575A2120"/>
    <w:rsid w:val="579022A7"/>
    <w:rsid w:val="57F94268"/>
    <w:rsid w:val="58095D77"/>
    <w:rsid w:val="58174B11"/>
    <w:rsid w:val="58284A25"/>
    <w:rsid w:val="58695A29"/>
    <w:rsid w:val="58B432ED"/>
    <w:rsid w:val="58BC4630"/>
    <w:rsid w:val="595C7FB3"/>
    <w:rsid w:val="59B612BC"/>
    <w:rsid w:val="5A02503B"/>
    <w:rsid w:val="5AFB281F"/>
    <w:rsid w:val="5B085AFD"/>
    <w:rsid w:val="5B0B0058"/>
    <w:rsid w:val="5B5B7E6D"/>
    <w:rsid w:val="5BFC34FE"/>
    <w:rsid w:val="5C6A35EE"/>
    <w:rsid w:val="5C854A35"/>
    <w:rsid w:val="5C96667E"/>
    <w:rsid w:val="5C9C41D8"/>
    <w:rsid w:val="5CF83978"/>
    <w:rsid w:val="5D164F86"/>
    <w:rsid w:val="5D1D6F02"/>
    <w:rsid w:val="5D2A4873"/>
    <w:rsid w:val="5D316B8F"/>
    <w:rsid w:val="5D7E2921"/>
    <w:rsid w:val="5D817E14"/>
    <w:rsid w:val="5D86126E"/>
    <w:rsid w:val="5D9E5D27"/>
    <w:rsid w:val="5DDD718D"/>
    <w:rsid w:val="5E322A97"/>
    <w:rsid w:val="5F146E55"/>
    <w:rsid w:val="5F34081C"/>
    <w:rsid w:val="5F4259C1"/>
    <w:rsid w:val="5F6941F2"/>
    <w:rsid w:val="5F812E98"/>
    <w:rsid w:val="5F92698E"/>
    <w:rsid w:val="5FBA40AA"/>
    <w:rsid w:val="5FC64584"/>
    <w:rsid w:val="5FCA04E2"/>
    <w:rsid w:val="601D1889"/>
    <w:rsid w:val="602A3619"/>
    <w:rsid w:val="602B1F2F"/>
    <w:rsid w:val="60353708"/>
    <w:rsid w:val="61675D40"/>
    <w:rsid w:val="61772742"/>
    <w:rsid w:val="617E756E"/>
    <w:rsid w:val="61C40C9D"/>
    <w:rsid w:val="61C93A52"/>
    <w:rsid w:val="62147FB5"/>
    <w:rsid w:val="62494664"/>
    <w:rsid w:val="6317714F"/>
    <w:rsid w:val="636070CF"/>
    <w:rsid w:val="636B13F9"/>
    <w:rsid w:val="63CD07F6"/>
    <w:rsid w:val="63CF163F"/>
    <w:rsid w:val="63D40B37"/>
    <w:rsid w:val="63D7141F"/>
    <w:rsid w:val="64505FA7"/>
    <w:rsid w:val="64997CBD"/>
    <w:rsid w:val="65111E9B"/>
    <w:rsid w:val="65283A38"/>
    <w:rsid w:val="65417BEA"/>
    <w:rsid w:val="65500B0E"/>
    <w:rsid w:val="658C44B2"/>
    <w:rsid w:val="66142E21"/>
    <w:rsid w:val="663946D2"/>
    <w:rsid w:val="66813247"/>
    <w:rsid w:val="66A3429F"/>
    <w:rsid w:val="66B532F8"/>
    <w:rsid w:val="66D31CB9"/>
    <w:rsid w:val="67085273"/>
    <w:rsid w:val="67211B97"/>
    <w:rsid w:val="673762E8"/>
    <w:rsid w:val="6753700F"/>
    <w:rsid w:val="675C2B3F"/>
    <w:rsid w:val="677D408C"/>
    <w:rsid w:val="67844B63"/>
    <w:rsid w:val="67BF664E"/>
    <w:rsid w:val="67E07625"/>
    <w:rsid w:val="68DD0FD5"/>
    <w:rsid w:val="68E87592"/>
    <w:rsid w:val="69DB5AB9"/>
    <w:rsid w:val="6A090AFA"/>
    <w:rsid w:val="6ADB39C2"/>
    <w:rsid w:val="6ADF743F"/>
    <w:rsid w:val="6B080110"/>
    <w:rsid w:val="6B6C3E3E"/>
    <w:rsid w:val="6BA061FA"/>
    <w:rsid w:val="6BE920B7"/>
    <w:rsid w:val="6D25150D"/>
    <w:rsid w:val="6D4E7A9F"/>
    <w:rsid w:val="6D5E0233"/>
    <w:rsid w:val="6D5E1EBC"/>
    <w:rsid w:val="6D873F40"/>
    <w:rsid w:val="6DC85CBC"/>
    <w:rsid w:val="6E635B27"/>
    <w:rsid w:val="6ECE11AD"/>
    <w:rsid w:val="6F16213E"/>
    <w:rsid w:val="6F39047B"/>
    <w:rsid w:val="6FF034E7"/>
    <w:rsid w:val="6FF04575"/>
    <w:rsid w:val="700C044D"/>
    <w:rsid w:val="70DD702A"/>
    <w:rsid w:val="71913925"/>
    <w:rsid w:val="71EC0CCA"/>
    <w:rsid w:val="723D04F8"/>
    <w:rsid w:val="725E2293"/>
    <w:rsid w:val="726460B0"/>
    <w:rsid w:val="7277147A"/>
    <w:rsid w:val="728171C9"/>
    <w:rsid w:val="728E5BAE"/>
    <w:rsid w:val="72A3380E"/>
    <w:rsid w:val="72CA3D16"/>
    <w:rsid w:val="73075151"/>
    <w:rsid w:val="7382072A"/>
    <w:rsid w:val="73B41CC1"/>
    <w:rsid w:val="73C94AA4"/>
    <w:rsid w:val="73CC6C0A"/>
    <w:rsid w:val="73F23D32"/>
    <w:rsid w:val="73F939F9"/>
    <w:rsid w:val="73FA36B5"/>
    <w:rsid w:val="74516159"/>
    <w:rsid w:val="745E6E78"/>
    <w:rsid w:val="74A626E1"/>
    <w:rsid w:val="74B40E2C"/>
    <w:rsid w:val="74E34A25"/>
    <w:rsid w:val="75277A7B"/>
    <w:rsid w:val="755B7A6E"/>
    <w:rsid w:val="755E44EC"/>
    <w:rsid w:val="764704AE"/>
    <w:rsid w:val="766C524F"/>
    <w:rsid w:val="7699055C"/>
    <w:rsid w:val="76DB6A8C"/>
    <w:rsid w:val="76E77774"/>
    <w:rsid w:val="77075E03"/>
    <w:rsid w:val="771B27DD"/>
    <w:rsid w:val="7837532C"/>
    <w:rsid w:val="78445669"/>
    <w:rsid w:val="78777246"/>
    <w:rsid w:val="788A50E7"/>
    <w:rsid w:val="78990A0B"/>
    <w:rsid w:val="78BC62A5"/>
    <w:rsid w:val="78D51902"/>
    <w:rsid w:val="791B47C1"/>
    <w:rsid w:val="79D57CAB"/>
    <w:rsid w:val="7A6D2D01"/>
    <w:rsid w:val="7AA54621"/>
    <w:rsid w:val="7AD95486"/>
    <w:rsid w:val="7AEA3B4D"/>
    <w:rsid w:val="7B8570D2"/>
    <w:rsid w:val="7B9700F9"/>
    <w:rsid w:val="7BCA309C"/>
    <w:rsid w:val="7C93755F"/>
    <w:rsid w:val="7D3069CD"/>
    <w:rsid w:val="7DDC5706"/>
    <w:rsid w:val="7DE01469"/>
    <w:rsid w:val="7E0900CE"/>
    <w:rsid w:val="7E9B1C62"/>
    <w:rsid w:val="7EC005D6"/>
    <w:rsid w:val="7EDB2EAA"/>
    <w:rsid w:val="7EEA1BAF"/>
    <w:rsid w:val="7F381BE7"/>
    <w:rsid w:val="7F411357"/>
    <w:rsid w:val="7F8244DD"/>
    <w:rsid w:val="7F825D9F"/>
    <w:rsid w:val="7FBF3F9B"/>
    <w:rsid w:val="7FDE03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name="HTML Cite"/>
    <w:lsdException w:qFormat="1"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24"/>
      <w:szCs w:val="24"/>
      <w:lang w:val="en-US" w:eastAsia="zh-CN" w:bidi="ar-SA"/>
    </w:rPr>
  </w:style>
  <w:style w:type="paragraph" w:styleId="2">
    <w:name w:val="heading 1"/>
    <w:basedOn w:val="1"/>
    <w:next w:val="1"/>
    <w:link w:val="50"/>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76"/>
    <w:qFormat/>
    <w:uiPriority w:val="0"/>
    <w:pPr>
      <w:keepNext/>
      <w:keepLines/>
      <w:spacing w:before="120" w:after="120" w:line="360" w:lineRule="auto"/>
      <w:jc w:val="center"/>
      <w:outlineLvl w:val="1"/>
    </w:pPr>
    <w:rPr>
      <w:rFonts w:ascii="Arial" w:hAnsi="Arial" w:eastAsia="仿宋"/>
      <w:b/>
      <w:bCs/>
      <w:sz w:val="24"/>
      <w:szCs w:val="32"/>
    </w:rPr>
  </w:style>
  <w:style w:type="paragraph" w:styleId="4">
    <w:name w:val="heading 3"/>
    <w:basedOn w:val="1"/>
    <w:next w:val="1"/>
    <w:link w:val="54"/>
    <w:qFormat/>
    <w:uiPriority w:val="0"/>
    <w:pPr>
      <w:keepNext/>
      <w:keepLines/>
      <w:spacing w:before="120" w:after="120" w:line="360" w:lineRule="auto"/>
      <w:ind w:firstLine="200" w:firstLineChars="200"/>
      <w:jc w:val="center"/>
      <w:outlineLvl w:val="2"/>
    </w:pPr>
    <w:rPr>
      <w:rFonts w:ascii="宋体" w:hAnsi="宋体" w:eastAsia="仿宋"/>
      <w:b/>
      <w:bCs/>
      <w:sz w:val="24"/>
      <w:szCs w:val="32"/>
    </w:rPr>
  </w:style>
  <w:style w:type="paragraph" w:styleId="5">
    <w:name w:val="heading 4"/>
    <w:basedOn w:val="1"/>
    <w:next w:val="1"/>
    <w:link w:val="55"/>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ind w:left="1200" w:leftChars="1200"/>
    </w:pPr>
  </w:style>
  <w:style w:type="paragraph" w:styleId="8">
    <w:name w:val="Normal Indent"/>
    <w:basedOn w:val="1"/>
    <w:link w:val="63"/>
    <w:qFormat/>
    <w:uiPriority w:val="0"/>
    <w:pPr>
      <w:tabs>
        <w:tab w:val="left" w:pos="750"/>
      </w:tabs>
      <w:spacing w:beforeLines="50" w:line="300" w:lineRule="auto"/>
      <w:ind w:firstLine="200" w:firstLineChars="200"/>
    </w:pPr>
    <w:rPr>
      <w:rFonts w:ascii="宋体"/>
      <w:szCs w:val="20"/>
    </w:rPr>
  </w:style>
  <w:style w:type="paragraph" w:styleId="9">
    <w:name w:val="Document Map"/>
    <w:basedOn w:val="1"/>
    <w:qFormat/>
    <w:uiPriority w:val="0"/>
    <w:pPr>
      <w:shd w:val="clear" w:color="auto" w:fill="000080"/>
    </w:pPr>
  </w:style>
  <w:style w:type="paragraph" w:styleId="10">
    <w:name w:val="toa heading"/>
    <w:basedOn w:val="1"/>
    <w:next w:val="1"/>
    <w:unhideWhenUsed/>
    <w:qFormat/>
    <w:uiPriority w:val="99"/>
    <w:pPr>
      <w:spacing w:before="120"/>
    </w:pPr>
    <w:rPr>
      <w:rFonts w:ascii="Arial" w:hAnsi="Arial" w:cs="Arial"/>
      <w:sz w:val="24"/>
    </w:rPr>
  </w:style>
  <w:style w:type="paragraph" w:styleId="11">
    <w:name w:val="annotation text"/>
    <w:basedOn w:val="1"/>
    <w:link w:val="70"/>
    <w:semiHidden/>
    <w:qFormat/>
    <w:uiPriority w:val="0"/>
    <w:pPr>
      <w:jc w:val="left"/>
    </w:pPr>
  </w:style>
  <w:style w:type="paragraph" w:styleId="12">
    <w:name w:val="Body Text"/>
    <w:basedOn w:val="1"/>
    <w:next w:val="7"/>
    <w:qFormat/>
    <w:uiPriority w:val="0"/>
    <w:pPr>
      <w:adjustRightInd w:val="0"/>
      <w:spacing w:line="360" w:lineRule="auto"/>
    </w:pPr>
    <w:rPr>
      <w:rFonts w:ascii="宋体"/>
      <w:bCs/>
      <w:iCs/>
      <w:color w:val="FF00FF"/>
      <w:kern w:val="44"/>
      <w:sz w:val="28"/>
      <w:szCs w:val="20"/>
    </w:rPr>
  </w:style>
  <w:style w:type="paragraph" w:styleId="13">
    <w:name w:val="Body Text Indent"/>
    <w:basedOn w:val="1"/>
    <w:link w:val="74"/>
    <w:qFormat/>
    <w:uiPriority w:val="0"/>
    <w:pPr>
      <w:ind w:firstLine="200" w:firstLineChars="200"/>
      <w:jc w:val="left"/>
    </w:pPr>
    <w:rPr>
      <w:rFonts w:ascii="仿宋_GB2312" w:eastAsia="仿宋_GB2312"/>
      <w:sz w:val="28"/>
    </w:rPr>
  </w:style>
  <w:style w:type="paragraph" w:styleId="14">
    <w:name w:val="toc 5"/>
    <w:basedOn w:val="1"/>
    <w:next w:val="1"/>
    <w:qFormat/>
    <w:uiPriority w:val="39"/>
    <w:pPr>
      <w:ind w:left="800" w:leftChars="800"/>
    </w:pPr>
  </w:style>
  <w:style w:type="paragraph" w:styleId="15">
    <w:name w:val="toc 3"/>
    <w:basedOn w:val="1"/>
    <w:next w:val="1"/>
    <w:qFormat/>
    <w:uiPriority w:val="39"/>
    <w:pPr>
      <w:tabs>
        <w:tab w:val="right" w:leader="dot" w:pos="9515"/>
      </w:tabs>
      <w:ind w:left="400" w:leftChars="400"/>
    </w:pPr>
  </w:style>
  <w:style w:type="paragraph" w:styleId="16">
    <w:name w:val="Plain Text"/>
    <w:basedOn w:val="1"/>
    <w:next w:val="1"/>
    <w:link w:val="71"/>
    <w:qFormat/>
    <w:uiPriority w:val="0"/>
    <w:pPr>
      <w:autoSpaceDE w:val="0"/>
      <w:autoSpaceDN w:val="0"/>
      <w:adjustRightInd w:val="0"/>
      <w:jc w:val="left"/>
    </w:pPr>
    <w:rPr>
      <w:rFonts w:ascii="宋体"/>
      <w:kern w:val="0"/>
      <w:sz w:val="20"/>
    </w:rPr>
  </w:style>
  <w:style w:type="paragraph" w:styleId="17">
    <w:name w:val="toc 8"/>
    <w:basedOn w:val="1"/>
    <w:next w:val="1"/>
    <w:qFormat/>
    <w:uiPriority w:val="39"/>
    <w:pPr>
      <w:ind w:left="1400" w:leftChars="1400"/>
    </w:pPr>
  </w:style>
  <w:style w:type="paragraph" w:styleId="18">
    <w:name w:val="Date"/>
    <w:basedOn w:val="1"/>
    <w:next w:val="1"/>
    <w:qFormat/>
    <w:uiPriority w:val="0"/>
    <w:pPr>
      <w:ind w:left="2500" w:leftChars="2500"/>
    </w:pPr>
    <w:rPr>
      <w:rFonts w:ascii="仿宋_GB2312" w:eastAsia="仿宋_GB2312"/>
      <w:sz w:val="28"/>
    </w:rPr>
  </w:style>
  <w:style w:type="paragraph" w:styleId="19">
    <w:name w:val="Body Text Indent 2"/>
    <w:basedOn w:val="1"/>
    <w:qFormat/>
    <w:uiPriority w:val="0"/>
    <w:pPr>
      <w:spacing w:line="60" w:lineRule="auto"/>
      <w:ind w:firstLine="128" w:firstLineChars="128"/>
    </w:pPr>
    <w:rPr>
      <w:rFonts w:ascii="仿宋_GB2312" w:eastAsia="仿宋_GB2312"/>
      <w:sz w:val="28"/>
    </w:rPr>
  </w:style>
  <w:style w:type="paragraph" w:styleId="20">
    <w:name w:val="Balloon Text"/>
    <w:basedOn w:val="1"/>
    <w:link w:val="57"/>
    <w:qFormat/>
    <w:uiPriority w:val="0"/>
    <w:rPr>
      <w:sz w:val="18"/>
      <w:szCs w:val="18"/>
    </w:rPr>
  </w:style>
  <w:style w:type="paragraph" w:styleId="21">
    <w:name w:val="footer"/>
    <w:basedOn w:val="1"/>
    <w:link w:val="64"/>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2">
    <w:name w:val="envelope return"/>
    <w:basedOn w:val="1"/>
    <w:qFormat/>
    <w:uiPriority w:val="0"/>
    <w:pPr>
      <w:snapToGrid w:val="0"/>
    </w:pPr>
    <w:rPr>
      <w:rFonts w:ascii="Arial" w:hAnsi="Arial"/>
    </w:rPr>
  </w:style>
  <w:style w:type="paragraph" w:styleId="23">
    <w:name w:val="header"/>
    <w:basedOn w:val="1"/>
    <w:link w:val="56"/>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4">
    <w:name w:val="toc 1"/>
    <w:basedOn w:val="1"/>
    <w:next w:val="1"/>
    <w:qFormat/>
    <w:uiPriority w:val="39"/>
  </w:style>
  <w:style w:type="paragraph" w:styleId="25">
    <w:name w:val="toc 4"/>
    <w:basedOn w:val="1"/>
    <w:next w:val="1"/>
    <w:qFormat/>
    <w:uiPriority w:val="39"/>
    <w:pPr>
      <w:ind w:left="600" w:leftChars="600"/>
    </w:pPr>
  </w:style>
  <w:style w:type="paragraph" w:styleId="26">
    <w:name w:val="Subtitle"/>
    <w:basedOn w:val="1"/>
    <w:next w:val="1"/>
    <w:qFormat/>
    <w:uiPriority w:val="0"/>
    <w:pPr>
      <w:adjustRightInd w:val="0"/>
      <w:spacing w:after="60" w:line="360" w:lineRule="atLeast"/>
      <w:jc w:val="center"/>
      <w:textAlignment w:val="baseline"/>
    </w:pPr>
    <w:rPr>
      <w:rFonts w:ascii="Arial" w:hAnsi="Arial" w:eastAsia="黑体"/>
      <w:i/>
      <w:kern w:val="0"/>
      <w:sz w:val="24"/>
      <w:szCs w:val="20"/>
    </w:rPr>
  </w:style>
  <w:style w:type="paragraph" w:styleId="27">
    <w:name w:val="List"/>
    <w:basedOn w:val="1"/>
    <w:qFormat/>
    <w:uiPriority w:val="0"/>
    <w:pPr>
      <w:spacing w:before="25" w:after="25"/>
    </w:pPr>
    <w:rPr>
      <w:rFonts w:ascii="仿宋_GB2312" w:eastAsia="仿宋_GB2312"/>
      <w:sz w:val="24"/>
      <w:szCs w:val="20"/>
    </w:rPr>
  </w:style>
  <w:style w:type="paragraph" w:styleId="28">
    <w:name w:val="toc 6"/>
    <w:basedOn w:val="1"/>
    <w:next w:val="1"/>
    <w:qFormat/>
    <w:uiPriority w:val="39"/>
    <w:pPr>
      <w:ind w:left="1000" w:leftChars="1000"/>
    </w:pPr>
  </w:style>
  <w:style w:type="paragraph" w:styleId="29">
    <w:name w:val="Body Text Indent 3"/>
    <w:basedOn w:val="1"/>
    <w:qFormat/>
    <w:uiPriority w:val="0"/>
    <w:pPr>
      <w:spacing w:line="360" w:lineRule="auto"/>
      <w:ind w:firstLine="192" w:firstLineChars="192"/>
    </w:pPr>
    <w:rPr>
      <w:rFonts w:ascii="仿宋_GB2312" w:eastAsia="仿宋_GB2312"/>
      <w:color w:val="3366FF"/>
      <w:sz w:val="24"/>
    </w:rPr>
  </w:style>
  <w:style w:type="paragraph" w:styleId="30">
    <w:name w:val="toc 2"/>
    <w:basedOn w:val="1"/>
    <w:next w:val="1"/>
    <w:qFormat/>
    <w:uiPriority w:val="39"/>
    <w:pPr>
      <w:tabs>
        <w:tab w:val="right" w:leader="dot" w:pos="9515"/>
      </w:tabs>
      <w:ind w:left="270" w:leftChars="100" w:right="100" w:rightChars="100" w:hanging="60"/>
    </w:pPr>
  </w:style>
  <w:style w:type="paragraph" w:styleId="31">
    <w:name w:val="toc 9"/>
    <w:basedOn w:val="1"/>
    <w:next w:val="1"/>
    <w:qFormat/>
    <w:uiPriority w:val="39"/>
    <w:pPr>
      <w:ind w:left="1600" w:leftChars="1600"/>
    </w:pPr>
  </w:style>
  <w:style w:type="paragraph" w:styleId="32">
    <w:name w:val="Body Text 2"/>
    <w:basedOn w:val="1"/>
    <w:qFormat/>
    <w:uiPriority w:val="0"/>
    <w:rPr>
      <w:rFonts w:ascii="宋体"/>
      <w:sz w:val="13"/>
      <w:szCs w:val="20"/>
    </w:rPr>
  </w:style>
  <w:style w:type="paragraph" w:styleId="3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4">
    <w:name w:val="Title"/>
    <w:basedOn w:val="1"/>
    <w:next w:val="1"/>
    <w:qFormat/>
    <w:uiPriority w:val="0"/>
    <w:pPr>
      <w:spacing w:before="240" w:after="60"/>
      <w:jc w:val="center"/>
      <w:outlineLvl w:val="0"/>
    </w:pPr>
    <w:rPr>
      <w:rFonts w:ascii="Cambria" w:hAnsi="Cambria"/>
      <w:b/>
      <w:bCs/>
      <w:sz w:val="32"/>
      <w:szCs w:val="32"/>
    </w:rPr>
  </w:style>
  <w:style w:type="paragraph" w:styleId="35">
    <w:name w:val="annotation subject"/>
    <w:basedOn w:val="11"/>
    <w:next w:val="11"/>
    <w:link w:val="53"/>
    <w:qFormat/>
    <w:uiPriority w:val="0"/>
    <w:rPr>
      <w:b/>
      <w:bCs/>
    </w:rPr>
  </w:style>
  <w:style w:type="paragraph" w:styleId="36">
    <w:name w:val="Body Text First Indent"/>
    <w:basedOn w:val="12"/>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paragraph" w:styleId="37">
    <w:name w:val="Body Text First Indent 2"/>
    <w:basedOn w:val="13"/>
    <w:unhideWhenUsed/>
    <w:qFormat/>
    <w:uiPriority w:val="99"/>
    <w:pPr>
      <w:spacing w:line="360" w:lineRule="auto"/>
      <w:ind w:firstLine="420"/>
    </w:pPr>
    <w:rPr>
      <w:rFonts w:ascii="宋体"/>
      <w:sz w:val="24"/>
      <w:szCs w:val="20"/>
    </w:rPr>
  </w:style>
  <w:style w:type="table" w:styleId="39">
    <w:name w:val="Table Grid"/>
    <w:basedOn w:val="3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basedOn w:val="40"/>
    <w:qFormat/>
    <w:uiPriority w:val="22"/>
    <w:rPr>
      <w:b/>
      <w:bCs/>
    </w:rPr>
  </w:style>
  <w:style w:type="character" w:styleId="42">
    <w:name w:val="page number"/>
    <w:basedOn w:val="40"/>
    <w:qFormat/>
    <w:uiPriority w:val="0"/>
  </w:style>
  <w:style w:type="character" w:styleId="43">
    <w:name w:val="FollowedHyperlink"/>
    <w:basedOn w:val="40"/>
    <w:semiHidden/>
    <w:unhideWhenUsed/>
    <w:qFormat/>
    <w:uiPriority w:val="0"/>
    <w:rPr>
      <w:color w:val="0088CC"/>
      <w:u w:val="none"/>
    </w:rPr>
  </w:style>
  <w:style w:type="character" w:styleId="44">
    <w:name w:val="Emphasis"/>
    <w:basedOn w:val="40"/>
    <w:qFormat/>
    <w:uiPriority w:val="20"/>
    <w:rPr>
      <w:i/>
      <w:iCs/>
    </w:rPr>
  </w:style>
  <w:style w:type="character" w:styleId="45">
    <w:name w:val="Hyperlink"/>
    <w:qFormat/>
    <w:uiPriority w:val="99"/>
    <w:rPr>
      <w:color w:val="0000FF"/>
      <w:u w:val="single"/>
    </w:rPr>
  </w:style>
  <w:style w:type="character" w:styleId="46">
    <w:name w:val="HTML Code"/>
    <w:basedOn w:val="40"/>
    <w:semiHidden/>
    <w:unhideWhenUsed/>
    <w:qFormat/>
    <w:uiPriority w:val="0"/>
    <w:rPr>
      <w:rFonts w:ascii="Consolas" w:hAnsi="Consolas" w:eastAsia="Consolas" w:cs="Consolas"/>
      <w:color w:val="DD1144"/>
      <w:sz w:val="12"/>
      <w:szCs w:val="12"/>
      <w:bdr w:val="single" w:color="E1E1E8" w:sz="4" w:space="0"/>
      <w:shd w:val="clear" w:color="auto" w:fill="F7F7F9"/>
    </w:rPr>
  </w:style>
  <w:style w:type="character" w:styleId="47">
    <w:name w:val="annotation reference"/>
    <w:qFormat/>
    <w:uiPriority w:val="0"/>
    <w:rPr>
      <w:sz w:val="21"/>
      <w:szCs w:val="21"/>
    </w:rPr>
  </w:style>
  <w:style w:type="character" w:styleId="48">
    <w:name w:val="HTML Cite"/>
    <w:basedOn w:val="40"/>
    <w:semiHidden/>
    <w:unhideWhenUsed/>
    <w:qFormat/>
    <w:uiPriority w:val="0"/>
  </w:style>
  <w:style w:type="paragraph" w:customStyle="1" w:styleId="49">
    <w:name w:val="表格文字"/>
    <w:basedOn w:val="1"/>
    <w:qFormat/>
    <w:uiPriority w:val="0"/>
    <w:pPr>
      <w:spacing w:before="25" w:after="25"/>
      <w:jc w:val="left"/>
    </w:pPr>
    <w:rPr>
      <w:bCs/>
      <w:spacing w:val="10"/>
      <w:kern w:val="0"/>
      <w:sz w:val="24"/>
    </w:rPr>
  </w:style>
  <w:style w:type="character" w:customStyle="1" w:styleId="50">
    <w:name w:val="标题 1 字符"/>
    <w:link w:val="2"/>
    <w:qFormat/>
    <w:uiPriority w:val="0"/>
    <w:rPr>
      <w:rFonts w:ascii="仿宋_GB2312" w:eastAsia="仿宋_GB2312"/>
      <w:b/>
      <w:bCs/>
      <w:color w:val="000000"/>
      <w:kern w:val="0"/>
      <w:sz w:val="28"/>
      <w:szCs w:val="20"/>
    </w:rPr>
  </w:style>
  <w:style w:type="paragraph" w:customStyle="1" w:styleId="51">
    <w:name w:val="标题 5（有编号）（绿盟科技）"/>
    <w:basedOn w:val="1"/>
    <w:next w:val="52"/>
    <w:qFormat/>
    <w:uiPriority w:val="0"/>
    <w:pPr>
      <w:keepNext/>
      <w:keepLines/>
      <w:numPr>
        <w:ilvl w:val="4"/>
        <w:numId w:val="2"/>
      </w:numPr>
      <w:spacing w:before="280" w:after="156" w:line="377" w:lineRule="auto"/>
      <w:outlineLvl w:val="4"/>
    </w:pPr>
    <w:rPr>
      <w:rFonts w:ascii="Arial" w:hAnsi="Arial" w:eastAsia="黑体"/>
      <w:b/>
      <w:szCs w:val="28"/>
    </w:rPr>
  </w:style>
  <w:style w:type="paragraph" w:customStyle="1" w:styleId="52">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53">
    <w:name w:val="批注主题 字符"/>
    <w:link w:val="35"/>
    <w:qFormat/>
    <w:uiPriority w:val="0"/>
    <w:rPr>
      <w:rFonts w:eastAsia="宋体"/>
      <w:b/>
      <w:bCs/>
      <w:kern w:val="2"/>
      <w:sz w:val="21"/>
      <w:szCs w:val="24"/>
      <w:lang w:val="en-US" w:eastAsia="zh-CN" w:bidi="ar-SA"/>
    </w:rPr>
  </w:style>
  <w:style w:type="character" w:customStyle="1" w:styleId="54">
    <w:name w:val="标题 3 字符"/>
    <w:link w:val="4"/>
    <w:qFormat/>
    <w:uiPriority w:val="0"/>
    <w:rPr>
      <w:rFonts w:ascii="宋体" w:hAnsi="宋体" w:eastAsia="仿宋"/>
      <w:b/>
      <w:bCs/>
      <w:kern w:val="2"/>
      <w:sz w:val="24"/>
      <w:szCs w:val="32"/>
    </w:rPr>
  </w:style>
  <w:style w:type="character" w:customStyle="1" w:styleId="55">
    <w:name w:val="标题 4 字符"/>
    <w:link w:val="5"/>
    <w:semiHidden/>
    <w:qFormat/>
    <w:uiPriority w:val="0"/>
    <w:rPr>
      <w:rFonts w:ascii="Cambria" w:hAnsi="Cambria" w:eastAsia="宋体" w:cs="Times New Roman"/>
      <w:b/>
      <w:bCs/>
      <w:kern w:val="2"/>
      <w:sz w:val="28"/>
      <w:szCs w:val="28"/>
    </w:rPr>
  </w:style>
  <w:style w:type="character" w:customStyle="1" w:styleId="56">
    <w:name w:val="页眉 字符"/>
    <w:link w:val="23"/>
    <w:qFormat/>
    <w:uiPriority w:val="0"/>
    <w:rPr>
      <w:sz w:val="18"/>
    </w:rPr>
  </w:style>
  <w:style w:type="character" w:customStyle="1" w:styleId="57">
    <w:name w:val="批注框文本 字符"/>
    <w:link w:val="20"/>
    <w:qFormat/>
    <w:uiPriority w:val="0"/>
    <w:rPr>
      <w:kern w:val="2"/>
      <w:sz w:val="18"/>
      <w:szCs w:val="18"/>
    </w:rPr>
  </w:style>
  <w:style w:type="character" w:customStyle="1" w:styleId="58">
    <w:name w:val="页脚 字符"/>
    <w:qFormat/>
    <w:uiPriority w:val="99"/>
  </w:style>
  <w:style w:type="character" w:customStyle="1" w:styleId="59">
    <w:name w:val="141"/>
    <w:qFormat/>
    <w:uiPriority w:val="0"/>
    <w:rPr>
      <w:sz w:val="21"/>
      <w:szCs w:val="21"/>
    </w:rPr>
  </w:style>
  <w:style w:type="character" w:customStyle="1" w:styleId="60">
    <w:name w:val="纯文本 字符1"/>
    <w:semiHidden/>
    <w:qFormat/>
    <w:locked/>
    <w:uiPriority w:val="0"/>
    <w:rPr>
      <w:rFonts w:ascii="宋体" w:hAnsi="宋体"/>
      <w:szCs w:val="24"/>
    </w:rPr>
  </w:style>
  <w:style w:type="character" w:customStyle="1" w:styleId="61">
    <w:name w:val="无间隔 字符"/>
    <w:link w:val="62"/>
    <w:qFormat/>
    <w:locked/>
    <w:uiPriority w:val="1"/>
    <w:rPr>
      <w:kern w:val="2"/>
      <w:sz w:val="21"/>
      <w:szCs w:val="22"/>
      <w:lang w:val="en-US" w:eastAsia="zh-CN" w:bidi="ar-SA"/>
    </w:rPr>
  </w:style>
  <w:style w:type="paragraph" w:styleId="62">
    <w:name w:val="No Spacing"/>
    <w:link w:val="61"/>
    <w:qFormat/>
    <w:uiPriority w:val="1"/>
    <w:pPr>
      <w:widowControl w:val="0"/>
      <w:jc w:val="both"/>
    </w:pPr>
    <w:rPr>
      <w:rFonts w:ascii="Calibri" w:hAnsi="Calibri" w:eastAsia="宋体" w:cs="Times New Roman"/>
      <w:kern w:val="2"/>
      <w:sz w:val="21"/>
      <w:szCs w:val="22"/>
      <w:lang w:val="en-US" w:eastAsia="zh-CN" w:bidi="ar-SA"/>
    </w:rPr>
  </w:style>
  <w:style w:type="character" w:customStyle="1" w:styleId="63">
    <w:name w:val="正文缩进 字符"/>
    <w:link w:val="8"/>
    <w:qFormat/>
    <w:uiPriority w:val="0"/>
    <w:rPr>
      <w:rFonts w:ascii="宋体"/>
      <w:kern w:val="2"/>
      <w:sz w:val="21"/>
    </w:rPr>
  </w:style>
  <w:style w:type="character" w:customStyle="1" w:styleId="64">
    <w:name w:val="页脚 字符1"/>
    <w:link w:val="21"/>
    <w:qFormat/>
    <w:uiPriority w:val="99"/>
    <w:rPr>
      <w:sz w:val="18"/>
    </w:rPr>
  </w:style>
  <w:style w:type="character" w:customStyle="1" w:styleId="65">
    <w:name w:val="访问过的超链接1"/>
    <w:qFormat/>
    <w:uiPriority w:val="0"/>
    <w:rPr>
      <w:color w:val="800080"/>
      <w:u w:val="single"/>
    </w:rPr>
  </w:style>
  <w:style w:type="character" w:customStyle="1" w:styleId="66">
    <w:name w:val="样正文-1 Char"/>
    <w:link w:val="67"/>
    <w:qFormat/>
    <w:locked/>
    <w:uiPriority w:val="0"/>
    <w:rPr>
      <w:rFonts w:ascii="宋体" w:hAnsi="宋体" w:cs="宋体"/>
      <w:kern w:val="2"/>
      <w:sz w:val="24"/>
      <w:szCs w:val="24"/>
    </w:rPr>
  </w:style>
  <w:style w:type="paragraph" w:customStyle="1" w:styleId="67">
    <w:name w:val="样正文-1"/>
    <w:basedOn w:val="1"/>
    <w:link w:val="66"/>
    <w:qFormat/>
    <w:uiPriority w:val="0"/>
    <w:pPr>
      <w:adjustRightInd w:val="0"/>
      <w:snapToGrid w:val="0"/>
      <w:spacing w:line="500" w:lineRule="exact"/>
      <w:ind w:firstLine="200" w:firstLineChars="200"/>
    </w:pPr>
    <w:rPr>
      <w:rFonts w:ascii="宋体" w:hAnsi="宋体"/>
      <w:sz w:val="24"/>
    </w:rPr>
  </w:style>
  <w:style w:type="character" w:customStyle="1" w:styleId="68">
    <w:name w:val="grame"/>
    <w:basedOn w:val="40"/>
    <w:qFormat/>
    <w:uiPriority w:val="0"/>
  </w:style>
  <w:style w:type="character" w:customStyle="1" w:styleId="69">
    <w:name w:val="普通文字 Char Char1"/>
    <w:qFormat/>
    <w:uiPriority w:val="0"/>
    <w:rPr>
      <w:rFonts w:ascii="宋体" w:eastAsia="宋体"/>
      <w:kern w:val="2"/>
      <w:sz w:val="21"/>
      <w:lang w:val="en-US" w:eastAsia="zh-CN" w:bidi="ar-SA"/>
    </w:rPr>
  </w:style>
  <w:style w:type="character" w:customStyle="1" w:styleId="70">
    <w:name w:val="批注文字 字符"/>
    <w:link w:val="11"/>
    <w:semiHidden/>
    <w:qFormat/>
    <w:uiPriority w:val="0"/>
    <w:rPr>
      <w:rFonts w:eastAsia="宋体"/>
      <w:kern w:val="2"/>
      <w:sz w:val="21"/>
      <w:szCs w:val="24"/>
      <w:lang w:val="en-US" w:eastAsia="zh-CN" w:bidi="ar-SA"/>
    </w:rPr>
  </w:style>
  <w:style w:type="character" w:customStyle="1" w:styleId="71">
    <w:name w:val="纯文本 字符"/>
    <w:link w:val="16"/>
    <w:qFormat/>
    <w:uiPriority w:val="0"/>
    <w:rPr>
      <w:rFonts w:ascii="宋体"/>
      <w:szCs w:val="24"/>
    </w:rPr>
  </w:style>
  <w:style w:type="character" w:customStyle="1" w:styleId="72">
    <w:name w:val="列项 Char"/>
    <w:link w:val="73"/>
    <w:qFormat/>
    <w:locked/>
    <w:uiPriority w:val="0"/>
    <w:rPr>
      <w:rFonts w:ascii="宋体" w:hAnsi="宋体"/>
      <w:kern w:val="2"/>
      <w:sz w:val="24"/>
      <w:szCs w:val="24"/>
    </w:rPr>
  </w:style>
  <w:style w:type="paragraph" w:customStyle="1" w:styleId="73">
    <w:name w:val="列项"/>
    <w:basedOn w:val="1"/>
    <w:link w:val="72"/>
    <w:qFormat/>
    <w:uiPriority w:val="0"/>
    <w:pPr>
      <w:spacing w:line="500" w:lineRule="exact"/>
      <w:ind w:left="200" w:hanging="200" w:hangingChars="200"/>
    </w:pPr>
    <w:rPr>
      <w:rFonts w:ascii="宋体" w:hAnsi="宋体"/>
      <w:sz w:val="24"/>
    </w:rPr>
  </w:style>
  <w:style w:type="character" w:customStyle="1" w:styleId="74">
    <w:name w:val="正文文本缩进 字符"/>
    <w:link w:val="13"/>
    <w:qFormat/>
    <w:uiPriority w:val="0"/>
    <w:rPr>
      <w:rFonts w:ascii="仿宋_GB2312" w:eastAsia="仿宋_GB2312"/>
      <w:kern w:val="2"/>
      <w:sz w:val="28"/>
      <w:szCs w:val="24"/>
    </w:rPr>
  </w:style>
  <w:style w:type="character" w:customStyle="1" w:styleId="75">
    <w:name w:val="para1"/>
    <w:qFormat/>
    <w:uiPriority w:val="0"/>
    <w:rPr>
      <w:rFonts w:hint="default" w:ascii="Arial" w:hAnsi="Arial" w:cs="Arial"/>
      <w:sz w:val="18"/>
      <w:szCs w:val="18"/>
    </w:rPr>
  </w:style>
  <w:style w:type="character" w:customStyle="1" w:styleId="76">
    <w:name w:val="标题 2 字符"/>
    <w:link w:val="3"/>
    <w:qFormat/>
    <w:uiPriority w:val="0"/>
    <w:rPr>
      <w:rFonts w:ascii="Arial" w:hAnsi="Arial" w:eastAsia="仿宋"/>
      <w:b/>
      <w:bCs/>
      <w:kern w:val="2"/>
      <w:sz w:val="24"/>
      <w:szCs w:val="32"/>
    </w:rPr>
  </w:style>
  <w:style w:type="character" w:customStyle="1" w:styleId="77">
    <w:name w:val="apple-converted-space"/>
    <w:qFormat/>
    <w:uiPriority w:val="0"/>
  </w:style>
  <w:style w:type="paragraph" w:customStyle="1" w:styleId="78">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79">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0">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1">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82">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83">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8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85">
    <w:name w:val="p15"/>
    <w:basedOn w:val="1"/>
    <w:qFormat/>
    <w:uiPriority w:val="0"/>
    <w:pPr>
      <w:widowControl/>
      <w:spacing w:before="100" w:after="100"/>
      <w:jc w:val="left"/>
    </w:pPr>
    <w:rPr>
      <w:kern w:val="0"/>
      <w:sz w:val="24"/>
    </w:rPr>
  </w:style>
  <w:style w:type="paragraph" w:customStyle="1" w:styleId="86">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7">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88">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89">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90">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91">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2">
    <w:name w:val="Char"/>
    <w:basedOn w:val="1"/>
    <w:qFormat/>
    <w:uiPriority w:val="0"/>
  </w:style>
  <w:style w:type="paragraph" w:customStyle="1" w:styleId="93">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94">
    <w:name w:val="Default"/>
    <w:basedOn w:val="34"/>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95">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6">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7">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98">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9">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00">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1">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2">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03">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04">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05">
    <w:name w:val="Char13"/>
    <w:basedOn w:val="1"/>
    <w:qFormat/>
    <w:uiPriority w:val="0"/>
  </w:style>
  <w:style w:type="paragraph" w:customStyle="1" w:styleId="106">
    <w:name w:val="Char Char Char Char Char Char Char Char Char Char"/>
    <w:basedOn w:val="1"/>
    <w:qFormat/>
    <w:uiPriority w:val="0"/>
    <w:rPr>
      <w:rFonts w:ascii="Tahoma" w:hAnsi="Tahoma"/>
      <w:sz w:val="24"/>
      <w:szCs w:val="20"/>
    </w:rPr>
  </w:style>
  <w:style w:type="paragraph" w:styleId="107">
    <w:name w:val="List Paragraph"/>
    <w:basedOn w:val="1"/>
    <w:next w:val="1"/>
    <w:qFormat/>
    <w:uiPriority w:val="34"/>
    <w:pPr>
      <w:ind w:firstLine="420" w:firstLineChars="200"/>
    </w:pPr>
  </w:style>
  <w:style w:type="paragraph" w:customStyle="1" w:styleId="108">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9">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10">
    <w:name w:val="font8"/>
    <w:basedOn w:val="1"/>
    <w:qFormat/>
    <w:uiPriority w:val="0"/>
    <w:pPr>
      <w:widowControl/>
      <w:spacing w:before="100" w:beforeAutospacing="1" w:after="100" w:afterAutospacing="1"/>
      <w:jc w:val="left"/>
    </w:pPr>
    <w:rPr>
      <w:kern w:val="0"/>
      <w:sz w:val="20"/>
      <w:szCs w:val="20"/>
    </w:rPr>
  </w:style>
  <w:style w:type="paragraph" w:customStyle="1" w:styleId="111">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2">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13">
    <w:name w:val="表格"/>
    <w:basedOn w:val="1"/>
    <w:qFormat/>
    <w:uiPriority w:val="0"/>
    <w:pPr>
      <w:tabs>
        <w:tab w:val="left" w:pos="1200"/>
      </w:tabs>
      <w:spacing w:line="500" w:lineRule="exact"/>
      <w:jc w:val="center"/>
    </w:pPr>
    <w:rPr>
      <w:rFonts w:ascii="宋体"/>
      <w:sz w:val="24"/>
      <w:szCs w:val="18"/>
    </w:rPr>
  </w:style>
  <w:style w:type="paragraph" w:customStyle="1" w:styleId="114">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5">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16">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7">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18">
    <w:name w:val="p0"/>
    <w:basedOn w:val="1"/>
    <w:qFormat/>
    <w:uiPriority w:val="0"/>
    <w:pPr>
      <w:widowControl/>
    </w:pPr>
    <w:rPr>
      <w:kern w:val="0"/>
      <w:szCs w:val="21"/>
    </w:rPr>
  </w:style>
  <w:style w:type="paragraph" w:customStyle="1" w:styleId="119">
    <w:name w:val="Bullet_Title"/>
    <w:basedOn w:val="1"/>
    <w:qFormat/>
    <w:uiPriority w:val="0"/>
    <w:pPr>
      <w:numPr>
        <w:ilvl w:val="0"/>
        <w:numId w:val="3"/>
      </w:numPr>
      <w:spacing w:after="78" w:line="300" w:lineRule="auto"/>
    </w:pPr>
    <w:rPr>
      <w:rFonts w:ascii="Arial Narrow" w:hAnsi="Arial Narrow"/>
      <w:sz w:val="24"/>
      <w:szCs w:val="20"/>
    </w:rPr>
  </w:style>
  <w:style w:type="paragraph" w:customStyle="1" w:styleId="120">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1">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22">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23">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24">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5">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6">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7">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28">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9">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0">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1">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2">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33">
    <w:name w:val="xl23"/>
    <w:next w:val="109"/>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34">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3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Arial Unicode MS" w:hAnsi="Arial Unicode MS" w:cs="Verdana"/>
      <w:kern w:val="0"/>
      <w:sz w:val="20"/>
      <w:szCs w:val="20"/>
    </w:rPr>
  </w:style>
  <w:style w:type="table" w:customStyle="1" w:styleId="136">
    <w:name w:val="网格型1"/>
    <w:basedOn w:val="38"/>
    <w:qFormat/>
    <w:uiPriority w:val="59"/>
    <w:rPr>
      <w:rFonts w:eastAsia="微软雅黑"/>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7">
    <w:name w:val="纯文本 Char"/>
    <w:qFormat/>
    <w:uiPriority w:val="0"/>
    <w:rPr>
      <w:rFonts w:ascii="宋体" w:hAnsi="Courier New" w:eastAsia="宋体"/>
      <w:kern w:val="2"/>
      <w:sz w:val="21"/>
      <w:lang w:val="en-US" w:eastAsia="zh-CN" w:bidi="ar-SA"/>
    </w:rPr>
  </w:style>
  <w:style w:type="character" w:customStyle="1" w:styleId="138">
    <w:name w:val="正文缩进 Char"/>
    <w:qFormat/>
    <w:locked/>
    <w:uiPriority w:val="0"/>
    <w:rPr>
      <w:kern w:val="2"/>
      <w:sz w:val="21"/>
    </w:rPr>
  </w:style>
  <w:style w:type="paragraph" w:customStyle="1" w:styleId="139">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40">
    <w:name w:val="普通(网站)1"/>
    <w:basedOn w:val="1"/>
    <w:qFormat/>
    <w:uiPriority w:val="0"/>
    <w:pPr>
      <w:widowControl/>
      <w:spacing w:beforeAutospacing="1" w:afterAutospacing="1"/>
      <w:jc w:val="left"/>
    </w:pPr>
    <w:rPr>
      <w:rFonts w:hint="eastAsia" w:ascii="宋体" w:hAnsi="宋体"/>
      <w:sz w:val="24"/>
    </w:rPr>
  </w:style>
  <w:style w:type="paragraph" w:customStyle="1" w:styleId="141">
    <w:name w:val="Normal_1"/>
    <w:qFormat/>
    <w:uiPriority w:val="0"/>
    <w:rPr>
      <w:rFonts w:ascii="Times New Roman" w:hAnsi="Times New Roman" w:eastAsia="Times New Roman" w:cs="Times New Roman"/>
      <w:sz w:val="24"/>
      <w:szCs w:val="24"/>
      <w:lang w:val="en-US" w:eastAsia="zh-CN" w:bidi="ar-SA"/>
    </w:rPr>
  </w:style>
  <w:style w:type="table" w:customStyle="1" w:styleId="142">
    <w:name w:val="Table Normal"/>
    <w:unhideWhenUsed/>
    <w:qFormat/>
    <w:uiPriority w:val="0"/>
    <w:tblPr>
      <w:tblCellMar>
        <w:top w:w="0" w:type="dxa"/>
        <w:left w:w="0" w:type="dxa"/>
        <w:bottom w:w="0" w:type="dxa"/>
        <w:right w:w="0" w:type="dxa"/>
      </w:tblCellMar>
    </w:tblPr>
  </w:style>
  <w:style w:type="paragraph" w:customStyle="1" w:styleId="143">
    <w:name w:val="05正文"/>
    <w:basedOn w:val="1"/>
    <w:qFormat/>
    <w:uiPriority w:val="0"/>
    <w:pPr>
      <w:jc w:val="left"/>
    </w:pPr>
    <w:rPr>
      <w:rFonts w:ascii="宋体"/>
    </w:rPr>
  </w:style>
  <w:style w:type="paragraph" w:customStyle="1" w:styleId="144">
    <w:name w:val="Table Text"/>
    <w:basedOn w:val="1"/>
    <w:semiHidden/>
    <w:qFormat/>
    <w:uiPriority w:val="0"/>
    <w:rPr>
      <w:rFonts w:ascii="Arial" w:hAnsi="Arial" w:eastAsia="Arial" w:cs="Arial"/>
      <w:szCs w:val="21"/>
      <w:lang w:eastAsia="en-US"/>
    </w:rPr>
  </w:style>
  <w:style w:type="paragraph" w:customStyle="1" w:styleId="145">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146">
    <w:name w:val="正文（标准）"/>
    <w:basedOn w:val="1"/>
    <w:next w:val="1"/>
    <w:semiHidden/>
    <w:qFormat/>
    <w:uiPriority w:val="0"/>
    <w:pPr>
      <w:ind w:firstLine="525"/>
    </w:pPr>
    <w:rPr>
      <w:rFonts w:ascii="宋体" w:hAnsi="宋体"/>
    </w:rPr>
  </w:style>
  <w:style w:type="paragraph" w:customStyle="1" w:styleId="147">
    <w:name w:val="null3"/>
    <w:hidden/>
    <w:qFormat/>
    <w:uiPriority w:val="0"/>
    <w:rPr>
      <w:rFonts w:hint="eastAsia" w:asciiTheme="minorHAnsi" w:hAnsiTheme="minorHAnsi" w:eastAsiaTheme="minorEastAsia" w:cstheme="minorBidi"/>
      <w:lang w:val="en-US" w:eastAsia="zh-Hans"/>
    </w:rPr>
  </w:style>
  <w:style w:type="character" w:customStyle="1" w:styleId="148">
    <w:name w:val="font121"/>
    <w:basedOn w:val="40"/>
    <w:qFormat/>
    <w:uiPriority w:val="0"/>
    <w:rPr>
      <w:rFonts w:hint="default" w:ascii="方正仿宋_GBK" w:hAnsi="方正仿宋_GBK" w:eastAsia="方正仿宋_GBK" w:cs="方正仿宋_GBK"/>
      <w:b/>
      <w:bCs/>
      <w:color w:val="000000"/>
      <w:sz w:val="24"/>
      <w:szCs w:val="24"/>
      <w:u w:val="none"/>
    </w:rPr>
  </w:style>
  <w:style w:type="paragraph" w:customStyle="1" w:styleId="149">
    <w:name w:val="Normal Indent1"/>
    <w:basedOn w:val="150"/>
    <w:qFormat/>
    <w:uiPriority w:val="0"/>
    <w:pPr>
      <w:ind w:firstLine="420" w:firstLineChars="200"/>
    </w:pPr>
    <w:rPr>
      <w:rFonts w:ascii="Calibri" w:hAnsi="Calibri"/>
    </w:rPr>
  </w:style>
  <w:style w:type="paragraph" w:customStyle="1" w:styleId="150">
    <w:name w:val="正文 New New New"/>
    <w:next w:val="14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1">
    <w:name w:val="font31"/>
    <w:basedOn w:val="40"/>
    <w:qFormat/>
    <w:uiPriority w:val="0"/>
    <w:rPr>
      <w:rFonts w:hint="eastAsia" w:ascii="宋体" w:hAnsi="宋体" w:eastAsia="宋体" w:cs="宋体"/>
      <w:b/>
      <w:color w:val="000000"/>
      <w:sz w:val="22"/>
      <w:szCs w:val="22"/>
      <w:u w:val="none"/>
    </w:rPr>
  </w:style>
  <w:style w:type="character" w:customStyle="1" w:styleId="152">
    <w:name w:val="font01"/>
    <w:basedOn w:val="40"/>
    <w:qFormat/>
    <w:uiPriority w:val="0"/>
    <w:rPr>
      <w:rFonts w:hint="eastAsia" w:ascii="宋体" w:hAnsi="宋体" w:eastAsia="宋体" w:cs="宋体"/>
      <w:color w:val="000000"/>
      <w:sz w:val="24"/>
      <w:szCs w:val="24"/>
      <w:u w:val="none"/>
    </w:rPr>
  </w:style>
  <w:style w:type="paragraph" w:customStyle="1" w:styleId="153">
    <w:name w:val="*正文"/>
    <w:basedOn w:val="1"/>
    <w:qFormat/>
    <w:uiPriority w:val="0"/>
    <w:pPr>
      <w:adjustRightInd w:val="0"/>
      <w:spacing w:before="120" w:after="120" w:line="440" w:lineRule="exact"/>
      <w:ind w:firstLine="480" w:firstLineChars="200"/>
      <w:jc w:val="both"/>
      <w:textAlignment w:val="baseline"/>
    </w:pPr>
    <w:rPr>
      <w:rFonts w:ascii="宋体" w:hAnsi="宋体" w:cs="宋体"/>
      <w:sz w:val="24"/>
      <w:szCs w:val="22"/>
    </w:rPr>
  </w:style>
  <w:style w:type="paragraph" w:customStyle="1" w:styleId="1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1bd5a315-7a29-44db-9700-136a1ce1b71d</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408CF331</paraID>
      <start>17</start>
      <end>20</end>
      <status>unmodified</status>
      <modifiedWord/>
      <trackRevisions>false</trackRevisions>
    </reviewItem>
    <reviewItem>
      <errorID>d1e5fab5-db8a-49b8-8bd5-aae410d0bcb2</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41A79382</paraID>
      <start>17</start>
      <end>20</end>
      <status>unmodified</status>
      <modifiedWord/>
      <trackRevisions>false</trackRevisions>
    </reviewItem>
    <reviewItem>
      <errorID>5a3fab72-66c6-415b-ab4b-2f40ae99c5f7</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5A350470</paraID>
      <start>22</start>
      <end>25</end>
      <status>unmodified</status>
      <modifiedWord/>
      <trackRevisions>false</trackRevisions>
    </reviewItem>
    <reviewItem>
      <errorID>e9f983bc-4416-4d86-ada4-8c9509afc8c3</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2505C31E</paraID>
      <start>17</start>
      <end>20</end>
      <status>unmodified</status>
      <modifiedWord/>
      <trackRevisions>false</trackRevisions>
    </reviewItem>
    <reviewItem>
      <errorID>26f8829e-300e-4b8c-b704-089798acde56</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5D343C03</paraID>
      <start>25</start>
      <end>28</end>
      <status>unmodified</status>
      <modifiedWord/>
      <trackRevisions>false</trackRevisions>
    </reviewItem>
    <reviewItem>
      <errorID>b6c80c93-0e26-4870-99b3-00df738d9457</errorID>
      <errorWord>（</errorWord>
      <group>L1_Punc</group>
      <groupName>标点问题</groupName>
      <ability>L2_Punc_CN</ability>
      <abilityName>标点符号问题</abilityName>
      <candidateList/>
      <explain>同一形式括号套用。</explain>
      <paraID> CD80EFE</paraID>
      <start>46</start>
      <end>47</end>
      <status>unmodified</status>
      <modifiedWord/>
      <trackRevisions>false</trackRevisions>
    </reviewItem>
    <reviewItem>
      <errorID>f2f028ef-2e02-4107-9833-5ddfd6239cad</errorID>
      <errorWord>）</errorWord>
      <group>L1_Punc</group>
      <groupName>标点问题</groupName>
      <ability>L2_Punc_CN</ability>
      <abilityName>标点符号问题</abilityName>
      <candidateList/>
      <explain>同一形式括号套用。</explain>
      <paraID> CD80EFE</paraID>
      <start>49</start>
      <end>50</end>
      <status>unmodified</status>
      <modifiedWord/>
      <trackRevisions>false</trackRevisions>
    </reviewItem>
    <reviewItem>
      <errorID>2d5330ac-3e03-48ff-ac82-d68535ffb66e</errorID>
      <errorWord>（</errorWord>
      <group>L1_Punc</group>
      <groupName>标点问题</groupName>
      <ability>L2_Punc_CN</ability>
      <abilityName>标点符号问题</abilityName>
      <candidateList/>
      <explain>同一形式括号套用。</explain>
      <paraID> CD80EFE</paraID>
      <start>75</start>
      <end>76</end>
      <status>unmodified</status>
      <modifiedWord/>
      <trackRevisions>false</trackRevisions>
    </reviewItem>
    <reviewItem>
      <errorID>b34dc16b-99ea-4bd7-91ac-7f6f0556a105</errorID>
      <errorWord>）</errorWord>
      <group>L1_Punc</group>
      <groupName>标点问题</groupName>
      <ability>L2_Punc_CN</ability>
      <abilityName>标点符号问题</abilityName>
      <candidateList/>
      <explain>同一形式括号套用。</explain>
      <paraID> CD80EFE</paraID>
      <start>78</start>
      <end>79</end>
      <status>unmodified</status>
      <modifiedWord/>
      <trackRevisions>false</trackRevisions>
    </reviewItem>
    <reviewItem>
      <errorID>9a551ade-f35a-4f7f-bdb0-b2944f31a9dc</errorID>
      <errorWord>无隐形收费</errorWord>
      <group>L1_Word</group>
      <groupName>字词问题</groupName>
      <ability>L2_Typo</ability>
      <abilityName>字词错误</abilityName>
      <candidateList>
        <item>无隐性收费</item>
      </candidateList>
      <explain/>
      <paraID> CD80EFE</paraID>
      <start>147</start>
      <end>152</end>
      <status>unmodified</status>
      <modifiedWord/>
      <trackRevisions>false</trackRevisions>
    </reviewItem>
    <reviewItem>
      <errorID>9b7b0aa8-be97-4c75-aa33-7d55b19e707e</errorID>
      <errorWord>（</errorWord>
      <group>L1_Punc</group>
      <groupName>标点问题</groupName>
      <ability>L2_Punc_CN</ability>
      <abilityName>标点符号问题</abilityName>
      <candidateList/>
      <explain>同一形式括号套用。</explain>
      <paraID>57C5460F</paraID>
      <start>46</start>
      <end>47</end>
      <status>unmodified</status>
      <modifiedWord/>
      <trackRevisions>false</trackRevisions>
    </reviewItem>
    <reviewItem>
      <errorID>7da34203-3250-40a6-905a-22def4f9d233</errorID>
      <errorWord>）</errorWord>
      <group>L1_Punc</group>
      <groupName>标点问题</groupName>
      <ability>L2_Punc_CN</ability>
      <abilityName>标点符号问题</abilityName>
      <candidateList/>
      <explain>同一形式括号套用。</explain>
      <paraID>57C5460F</paraID>
      <start>49</start>
      <end>50</end>
      <status>unmodified</status>
      <modifiedWord/>
      <trackRevisions>false</trackRevisions>
    </reviewItem>
    <reviewItem>
      <errorID>a9b50cc9-7acc-4d06-8f90-110b74a38700</errorID>
      <errorWord>（</errorWord>
      <group>L1_Punc</group>
      <groupName>标点问题</groupName>
      <ability>L2_Punc_CN</ability>
      <abilityName>标点符号问题</abilityName>
      <candidateList/>
      <explain>同一形式括号套用。</explain>
      <paraID>57C5460F</paraID>
      <start>75</start>
      <end>76</end>
      <status>unmodified</status>
      <modifiedWord/>
      <trackRevisions>false</trackRevisions>
    </reviewItem>
    <reviewItem>
      <errorID>09496b07-507e-4a99-895d-61221369f356</errorID>
      <errorWord>）</errorWord>
      <group>L1_Punc</group>
      <groupName>标点问题</groupName>
      <ability>L2_Punc_CN</ability>
      <abilityName>标点符号问题</abilityName>
      <candidateList/>
      <explain>同一形式括号套用。</explain>
      <paraID>57C5460F</paraID>
      <start>78</start>
      <end>79</end>
      <status>unmodified</status>
      <modifiedWord/>
      <trackRevisions>false</trackRevisions>
    </reviewItem>
    <reviewItem>
      <errorID>0b12a388-a2c8-4cd4-9b7a-b1c02925f7c2</errorID>
      <errorWord>无隐形收费</errorWord>
      <group>L1_Word</group>
      <groupName>字词问题</groupName>
      <ability>L2_Typo</ability>
      <abilityName>字词错误</abilityName>
      <candidateList>
        <item>无隐性收费</item>
      </candidateList>
      <explain/>
      <paraID>57C5460F</paraID>
      <start>147</start>
      <end>152</end>
      <status>unmodified</status>
      <modifiedWord/>
      <trackRevisions>false</trackRevisions>
    </reviewItem>
    <reviewItem>
      <errorID>7c9fc1af-c37a-46b3-8f78-454142859a0a</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7F45D591</paraID>
      <start>23</start>
      <end>26</end>
      <status>unmodified</status>
      <modifiedWord/>
      <trackRevisions>false</trackRevisions>
    </reviewItem>
    <reviewItem>
      <errorID>525e986f-185e-4f30-aab3-96a14577cee1</errorID>
      <errorWord>（</errorWord>
      <group>L1_Punc</group>
      <groupName>标点问题</groupName>
      <ability>L2_Punc_CN</ability>
      <abilityName>标点符号问题</abilityName>
      <candidateList/>
      <explain>同一形式括号套用。</explain>
      <paraID>38BB6E20</paraID>
      <start>155</start>
      <end>156</end>
      <status>unmodified</status>
      <modifiedWord/>
      <trackRevisions>false</trackRevisions>
    </reviewItem>
    <reviewItem>
      <errorID>bbdcd851-783d-4fbd-9372-409ff9c1a3c9</errorID>
      <errorWord>）</errorWord>
      <group>L1_Punc</group>
      <groupName>标点问题</groupName>
      <ability>L2_Punc_CN</ability>
      <abilityName>标点符号问题</abilityName>
      <candidateList/>
      <explain>同一形式括号套用。</explain>
      <paraID>38BB6E20</paraID>
      <start>172</start>
      <end>173</end>
      <status>unmodified</status>
      <modifiedWord/>
      <trackRevisions>false</trackRevisions>
    </reviewItem>
    <reviewItem>
      <errorID>163758d2-c06a-40c0-a637-c480eb7938fb</errorID>
      <errorWord>（</errorWord>
      <group>L1_Punc</group>
      <groupName>标点问题</groupName>
      <ability>L2_Punc_CN</ability>
      <abilityName>标点符号问题</abilityName>
      <candidateList/>
      <explain>同一形式括号套用。</explain>
      <paraID>773C028D</paraID>
      <start>183</start>
      <end>184</end>
      <status>unmodified</status>
      <modifiedWord/>
      <trackRevisions>false</trackRevisions>
    </reviewItem>
    <reviewItem>
      <errorID>b4e2d20d-3324-4664-8602-ac128b4f5b4f</errorID>
      <errorWord>）</errorWord>
      <group>L1_Punc</group>
      <groupName>标点问题</groupName>
      <ability>L2_Punc_CN</ability>
      <abilityName>标点符号问题</abilityName>
      <candidateList/>
      <explain>同一形式括号套用。</explain>
      <paraID>773C028D</paraID>
      <start>186</start>
      <end>187</end>
      <status>unmodified</status>
      <modifiedWord/>
      <trackRevisions>false</trackRevisions>
    </reviewItem>
    <reviewItem>
      <errorID>26c1d884-af9c-4c2a-9b24-9db0076636cc</errorID>
      <errorWord>登陆</errorWord>
      <group>L1_Word</group>
      <groupName>字词问题</groupName>
      <ability>L2_Typo</ability>
      <abilityName>字词错误</abilityName>
      <candidateList>
        <item>登录</item>
      </candidateList>
      <explain>存在发音相同字词的误用。</explain>
      <paraID> 4DA304C</paraID>
      <start>128</start>
      <end>130</end>
      <status>unmodified</status>
      <modifiedWord/>
      <trackRevisions>false</trackRevisions>
    </reviewItem>
    <reviewItem>
      <errorID>4fd1b39e-d1a9-4842-a513-5295d792a9c0</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495AFF56</paraID>
      <start>22</start>
      <end>25</end>
      <status>unmodified</status>
      <modifiedWord/>
      <trackRevisions>false</trackRevisions>
    </reviewItem>
    <reviewItem>
      <errorID>84e924db-8249-43b1-8013-89623dc21c5b</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615C9CCE</paraID>
      <start>15</start>
      <end>18</end>
      <status>unmodified</status>
      <modifiedWord/>
      <trackRevisions>false</trackRevisions>
    </reviewItem>
    <reviewItem>
      <errorID>f8696007-8c98-4bda-9ae7-a0b12c1b8f77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3F700F1</paraID>
      <start>72</start>
      <end>73</end>
      <status>unmodified</status>
      <modifiedWord/>
      <trackRevisions>false</trackRevisions>
    </reviewItem>
    <reviewItem>
      <errorID>f2730e96-91ec-42fc-9aba-1b44e7dea685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7286F593</paraID>
      <start>49</start>
      <end>50</end>
      <status>unmodified</status>
      <modifiedWord/>
      <trackRevisions>false</trackRevisions>
    </reviewItem>
    <reviewItem>
      <errorID>639cae39-9dcf-49b2-bec1-e4ef9fcd2408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5B99512</paraID>
      <start>49</start>
      <end>50</end>
      <status>unmodified</status>
      <modifiedWord/>
      <trackRevisions>false</trackRevisions>
    </reviewItem>
    <reviewItem>
      <errorID>aeaf0c85-8da5-43b0-b896-3ef801477fb6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7D02E51A</paraID>
      <start>34</start>
      <end>35</end>
      <status>unmodified</status>
      <modifiedWord/>
      <trackRevisions>false</trackRevisions>
    </reviewItem>
    <reviewItem>
      <errorID>cd975306-f92b-480f-bceb-e65521b8cca9</errorID>
      <errorWord>，</errorWord>
      <group>L1_Word</group>
      <groupName>字词问题</groupName>
      <ability>L2_Typo</ability>
      <abilityName>字词错误</abilityName>
      <candidateList>
        <item>，并</item>
      </candidateList>
      <explain/>
      <paraID>6F233CFF</paraID>
      <start>72</start>
      <end>73</end>
      <status>unmodified</status>
      <modifiedWord/>
      <trackRevisions>false</trackRevisions>
    </reviewItem>
    <reviewItem>
      <errorID>2a239aaf-6777-4278-baf5-ffac07445f71</errorID>
      <errorWord>操作合</errorWord>
      <group>L1_Word</group>
      <groupName>字词问题</groupName>
      <ability>L2_Typo</ability>
      <abilityName>字词错误</abilityName>
      <candidateList>
        <item>操作台</item>
      </candidateList>
      <explain/>
      <paraID>38EACE6D</paraID>
      <start>9</start>
      <end>12</end>
      <status>unmodified</status>
      <modifiedWord/>
      <trackRevisions>false</trackRevisions>
    </reviewItem>
    <reviewItem>
      <errorID>a605fbfc-fbb3-464f-9357-da39b4b04fee</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 42E30BE</paraID>
      <start>88</start>
      <end>91</end>
      <status>unmodified</status>
      <modifiedWord/>
      <trackRevisions>false</trackRevisions>
    </reviewItem>
    <reviewItem>
      <errorID>8f4dd214-114f-4899-a687-bb26d8e4bbb0</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71A9BE2E</paraID>
      <start>17</start>
      <end>20</end>
      <status>unmodified</status>
      <modifiedWord/>
      <trackRevisions>false</trackRevisions>
    </reviewItem>
    <reviewItem>
      <errorID>90ec1fcd-19f2-4db8-aed0-8940c394c071</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2CA44080</paraID>
      <start>22</start>
      <end>25</end>
      <status>unmodified</status>
      <modifiedWord/>
      <trackRevisions>false</trackRevisions>
    </reviewItem>
    <reviewItem>
      <errorID>ff670515-74c1-4fad-925d-2457b391486b</errorID>
      <errorWord>（</errorWord>
      <group>L1_Punc</group>
      <groupName>标点问题</groupName>
      <ability>L2_Punc_CN</ability>
      <abilityName>标点符号问题</abilityName>
      <candidateList/>
      <explain>同一形式括号套用。</explain>
      <paraID>2C1AE4AB</paraID>
      <start>152</start>
      <end>153</end>
      <status>unmodified</status>
      <modifiedWord/>
      <trackRevisions>false</trackRevisions>
    </reviewItem>
    <reviewItem>
      <errorID>98ca865e-13b9-4ad7-ad29-f3160adbcc99</errorID>
      <errorWord>）</errorWord>
      <group>L1_Punc</group>
      <groupName>标点问题</groupName>
      <ability>L2_Punc_CN</ability>
      <abilityName>标点符号问题</abilityName>
      <candidateList/>
      <explain>同一形式括号套用。</explain>
      <paraID>2C1AE4AB</paraID>
      <start>169</start>
      <end>170</end>
      <status>unmodified</status>
      <modifiedWord/>
      <trackRevisions>false</trackRevisions>
    </reviewItem>
    <reviewItem>
      <errorID>a078e326-aefe-43d3-a7ba-03fa21f5b080</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47183B11</paraID>
      <start>24</start>
      <end>27</end>
      <status>unmodified</status>
      <modifiedWord/>
      <trackRevisions>false</trackRevisions>
    </reviewItem>
    <reviewItem>
      <errorID>df6152fd-de99-4dec-a7f3-239fe5d19385</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3843ECC9</paraID>
      <start>22</start>
      <end>25</end>
      <status>unmodified</status>
      <modifiedWord/>
      <trackRevisions>false</trackRevisions>
    </reviewItem>
    <reviewItem>
      <errorID>13b1d016-dd36-4ddc-b559-9bde149d6117</errorID>
      <errorWord>（</errorWord>
      <group>L1_Punc</group>
      <groupName>标点问题</groupName>
      <ability>L2_Punc_CN</ability>
      <abilityName>标点符号问题</abilityName>
      <candidateList/>
      <explain>同一形式括号套用。</explain>
      <paraID>6C260CB5</paraID>
      <start>12</start>
      <end>13</end>
      <status>unmodified</status>
      <modifiedWord/>
      <trackRevisions>false</trackRevisions>
    </reviewItem>
    <reviewItem>
      <errorID>72d86981-3d83-4dc5-9c0f-091442f6d244</errorID>
      <errorWord>）</errorWord>
      <group>L1_Punc</group>
      <groupName>标点问题</groupName>
      <ability>L2_Punc_CN</ability>
      <abilityName>标点符号问题</abilityName>
      <candidateList/>
      <explain>同一形式括号套用。</explain>
      <paraID>6C260CB5</paraID>
      <start>15</start>
      <end>16</end>
      <status>unmodified</status>
      <modifiedWord/>
      <trackRevisions>false</trackRevisions>
    </reviewItem>
    <reviewItem>
      <errorID>0a6a0b05-60fa-41d2-8336-cfc8a6475498</errorID>
      <errorWord>（</errorWord>
      <group>L1_Punc</group>
      <groupName>标点问题</groupName>
      <ability>L2_Punc_CN</ability>
      <abilityName>标点符号问题</abilityName>
      <candidateList/>
      <explain>同一形式括号套用。</explain>
      <paraID> 83E6F07</paraID>
      <start>49</start>
      <end>50</end>
      <status>unmodified</status>
      <modifiedWord/>
      <trackRevisions>false</trackRevisions>
    </reviewItem>
    <reviewItem>
      <errorID>1ef47bf7-2ede-425a-a793-be7ce892dd0b</errorID>
      <errorWord>）</errorWord>
      <group>L1_Punc</group>
      <groupName>标点问题</groupName>
      <ability>L2_Punc_CN</ability>
      <abilityName>标点符号问题</abilityName>
      <candidateList/>
      <explain>同一形式括号套用。</explain>
      <paraID> 83E6F07</paraID>
      <start>62</start>
      <end>63</end>
      <status>unmodified</status>
      <modifiedWord/>
      <trackRevisions>false</trackRevisions>
    </reviewItem>
    <reviewItem>
      <errorID>d4122545-c05c-4a0a-b982-76dceb587893</errorID>
      <errorWord>（</errorWord>
      <group>L1_Punc</group>
      <groupName>标点问题</groupName>
      <ability>L2_Punc_CN</ability>
      <abilityName>标点符号问题</abilityName>
      <candidateList/>
      <explain>同一形式括号套用。</explain>
      <paraID>6D108E76</paraID>
      <start>45</start>
      <end>46</end>
      <status>unmodified</status>
      <modifiedWord/>
      <trackRevisions>false</trackRevisions>
    </reviewItem>
    <reviewItem>
      <errorID>cceb3d33-6088-4051-8060-83bc131a8e9f</errorID>
      <errorWord>[2014]68号</errorWord>
      <group>L1_Knowledge</group>
      <groupName>知识性问题</groupName>
      <ability>L2_Knowledge</ability>
      <abilityName>其他知识</abilityName>
      <candidateList>
        <item>〔2014〕68号</item>
      </candidateList>
      <explain>发文字号格式错误。</explain>
      <paraID>6D108E76</paraID>
      <start>48</start>
      <end>57</end>
      <status>unmodified</status>
      <modifiedWord/>
      <trackRevisions>false</trackRevisions>
    </reviewItem>
    <reviewItem>
      <errorID>9fa02c84-9cbd-4f72-9a58-4244be202906</errorID>
      <errorWord>）</errorWord>
      <group>L1_Punc</group>
      <groupName>标点问题</groupName>
      <ability>L2_Punc_CN</ability>
      <abilityName>标点符号问题</abilityName>
      <candidateList/>
      <explain>同一形式括号套用。</explain>
      <paraID>6D108E76</paraID>
      <start>57</start>
      <end>58</end>
      <status>unmodified</status>
      <modifiedWord/>
      <trackRevisions>false</trackRevisions>
    </reviewItem>
    <reviewItem>
      <errorID>7f079d3e-bdb0-44c6-ab80-6833ad5635c1</errorID>
      <errorWord>[2014]68号</errorWord>
      <group>L1_Knowledge</group>
      <groupName>知识性问题</groupName>
      <ability>L2_Knowledge</ability>
      <abilityName>其他知识</abilityName>
      <candidateList>
        <item>〔2014〕68号</item>
      </candidateList>
      <explain>发文字号格式错误。</explain>
      <paraID>5AACB2DD</paraID>
      <start>57</start>
      <end>66</end>
      <status>unmodified</status>
      <modifiedWord/>
      <trackRevisions>false</trackRevisions>
    </reviewItem>
    <reviewItem>
      <errorID>0464faab-b507-443e-bc89-e9217ed73937</errorID>
      <errorWord>玉龙县</errorWord>
      <group>L1_Knowledge</group>
      <groupName>知识性问题</groupName>
      <ability>L2_Location</ability>
      <abilityName>地名检查</abilityName>
      <candidateList>
        <item>玉龙纳西族自治县</item>
      </candidateList>
      <explain>自治区州县缩写不规范。《地名管理条例》第十八条规定，标识牌、公共平台发布的信息、各类公文证件、学习类公开出版物、地图、法律法规规定等场景范围内必须使用标准地名。</explain>
      <paraID> 32EE254</paraID>
      <start>21</start>
      <end>24</end>
      <status>unmodified</status>
      <modifiedWord/>
      <trackRevisions>false</trackRevisions>
    </reviewItem>
    <reviewItem>
      <errorID>dee40a87-b920-42aa-8740-46250d3a2e66</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25A0A996</paraID>
      <start>14</start>
      <end>17</end>
      <status>unmodified</status>
      <modifiedWord/>
      <trackRevisions>false</trackRevisions>
    </reviewItem>
    <reviewItem>
      <errorID>4cec8a7d-c9ac-4426-816f-95ea2b82bd39</errorID>
      <errorWord>无隐形收费</errorWord>
      <group>L1_Word</group>
      <groupName>字词问题</groupName>
      <ability>L2_Typo</ability>
      <abilityName>字词错误</abilityName>
      <candidateList>
        <item>无隐性收费</item>
      </candidateList>
      <explain/>
      <paraID>38EE8572</paraID>
      <start>69</start>
      <end>74</end>
      <status>unmodified</status>
      <modifiedWord/>
      <trackRevisions>false</trackRevisions>
    </reviewItem>
    <reviewItem>
      <errorID>119b8d6c-4b8f-48dd-a5de-23be9281747b</errorID>
      <errorWord>需</errorWord>
      <group>L1_Word</group>
      <groupName>字词问题</groupName>
      <ability>L2_Typo</ability>
      <abilityName>字词错误</abilityName>
      <candidateList>
        <item>须</item>
      </candidateList>
      <explain>存在发音相同字词的误用。</explain>
      <paraID>6DE8366C</paraID>
      <start>6</start>
      <end>7</end>
      <status>unmodified</status>
      <modifiedWord/>
      <trackRevisions>false</trackRevisions>
    </reviewItem>
    <reviewItem>
      <errorID>2606aa8a-457d-417a-b133-a496f60e43d0</errorID>
      <errorWord>超</errorWord>
      <group>L1_Word</group>
      <groupName>字词问题</groupName>
      <ability>L2_Typo</ability>
      <abilityName>字词错误</abilityName>
      <candidateList>
        <item>超过</item>
      </candidateList>
      <explain/>
      <paraID>5B74E901</paraID>
      <start>35</start>
      <end>36</end>
      <status>unmodified</status>
      <modifiedWord/>
      <trackRevisions>false</trackRevisions>
    </reviewItem>
    <reviewItem>
      <errorID>deff6f5d-eb75-4fd1-ac38-9389f692de6e</errorID>
      <errorWord>)</errorWord>
      <group>L1_Format</group>
      <groupName>格式问题</groupName>
      <ability>L2_HalfPunc_CN</ability>
      <abilityName>全半角问题</abilityName>
      <candidateList>
        <item>）</item>
      </candidateList>
      <explain>文本全半角错误。</explain>
      <paraID>761A50EB</paraID>
      <start>15</start>
      <end>16</end>
      <status>unmodified</status>
      <modifiedWord/>
      <trackRevisions>false</trackRevisions>
    </reviewItem>
    <reviewItem>
      <errorID>9030a6a2-b69b-48d2-9ac7-6b2b711c1c41</errorID>
      <errorWord>(</errorWord>
      <group>L1_Format</group>
      <groupName>格式问题</groupName>
      <ability>L2_HalfPunc_CN</ability>
      <abilityName>全半角问题</abilityName>
      <candidateList>
        <item>（</item>
      </candidateList>
      <explain>文本全半角错误。</explain>
      <paraID>63C5FC72</paraID>
      <start>4</start>
      <end>5</end>
      <status>unmodified</status>
      <modifiedWord/>
      <trackRevisions>false</trackRevisions>
    </reviewItem>
    <reviewItem>
      <errorID>65bcaf58-1c61-455d-9aed-062bda3f91b3</errorID>
      <errorWord>)</errorWord>
      <group>L1_Format</group>
      <groupName>格式问题</groupName>
      <ability>L2_HalfPunc_CN</ability>
      <abilityName>全半角问题</abilityName>
      <candidateList>
        <item>）</item>
      </candidateList>
      <explain>文本全半角错误。</explain>
      <paraID>63C5FC72</paraID>
      <start>18</start>
      <end>19</end>
      <status>unmodified</status>
      <modifiedWord/>
      <trackRevisions>false</trackRevisions>
    </reviewItem>
    <reviewItem>
      <errorID>5b3c01dd-abc4-4af3-a45f-fad6aaed283f</errorID>
      <errorWord>;</errorWord>
      <group>L1_Format</group>
      <groupName>格式问题</groupName>
      <ability>L2_HalfPunc_CN</ability>
      <abilityName>全半角问题</abilityName>
      <candidateList>
        <item>；</item>
      </candidateList>
      <explain>文本全半角错误。</explain>
      <paraID>39A0BE43</paraID>
      <start>45</start>
      <end>46</end>
      <status>unmodified</status>
      <modifiedWord/>
      <trackRevisions>false</trackRevisions>
    </reviewItem>
    <reviewItem>
      <errorID>d248faee-8a4f-4649-9271-5b71ca67a3d7</errorID>
      <errorWord>;</errorWord>
      <group>L1_Format</group>
      <groupName>格式问题</groupName>
      <ability>L2_HalfPunc_CN</ability>
      <abilityName>全半角问题</abilityName>
      <candidateList>
        <item>；</item>
      </candidateList>
      <explain>文本全半角错误。</explain>
      <paraID>39A0BE43</paraID>
      <start>98</start>
      <end>99</end>
      <status>unmodified</status>
      <modifiedWord/>
      <trackRevisions>false</trackRevisions>
    </reviewItem>
    <reviewItem>
      <errorID>a223b8de-c235-4522-a75f-2fdf59c5a229</errorID>
      <errorWord>;</errorWord>
      <group>L1_Format</group>
      <groupName>格式问题</groupName>
      <ability>L2_HalfPunc_CN</ability>
      <abilityName>全半角问题</abilityName>
      <candidateList>
        <item>；</item>
      </candidateList>
      <explain>文本全半角错误。</explain>
      <paraID>39A0BE43</paraID>
      <start>143</start>
      <end>144</end>
      <status>unmodified</status>
      <modifiedWord/>
      <trackRevisions>false</trackRevisions>
    </reviewItem>
    <reviewItem>
      <errorID>494433df-a8e5-4dea-88f7-c1a18cb45271</errorID>
      <errorWord>:</errorWord>
      <group>L1_Format</group>
      <groupName>格式问题</groupName>
      <ability>L2_HalfPunc_CN</ability>
      <abilityName>全半角问题</abilityName>
      <candidateList>
        <item>：</item>
      </candidateList>
      <explain>文本全半角错误。</explain>
      <paraID>6063DE85</paraID>
      <start>9</start>
      <end>10</end>
      <status>unmodified</status>
      <modifiedWord/>
      <trackRevisions>false</trackRevisions>
    </reviewItem>
    <reviewItem>
      <errorID>86f1a991-ec0a-4be8-b450-756a634c9f40</errorID>
      <errorWord>,</errorWord>
      <group>L1_Format</group>
      <groupName>格式问题</groupName>
      <ability>L2_HalfPunc_CN</ability>
      <abilityName>全半角问题</abilityName>
      <candidateList>
        <item>，</item>
      </candidateList>
      <explain>文本全半角错误。</explain>
      <paraID>6063DE85</paraID>
      <start>43</start>
      <end>44</end>
      <status>unmodified</status>
      <modifiedWord/>
      <trackRevisions>false</trackRevisions>
    </reviewItem>
    <reviewItem>
      <errorID>9711a772-34a0-4840-a85e-cbc6ac0180dd</errorID>
      <errorWord>;</errorWord>
      <group>L1_Format</group>
      <groupName>格式问题</groupName>
      <ability>L2_HalfPunc_CN</ability>
      <abilityName>全半角问题</abilityName>
      <candidateList>
        <item>；</item>
      </candidateList>
      <explain>文本全半角错误。</explain>
      <paraID>6063DE85</paraID>
      <start>136</start>
      <end>137</end>
      <status>unmodified</status>
      <modifiedWord/>
      <trackRevisions>false</trackRevisions>
    </reviewItem>
    <reviewItem>
      <errorID>8ed6a1f0-7b5f-4a52-a5e4-5dcfd279f462</errorID>
      <errorWord>:</errorWord>
      <group>L1_Format</group>
      <groupName>格式问题</groupName>
      <ability>L2_HalfPunc_CN</ability>
      <abilityName>全半角问题</abilityName>
      <candidateList>
        <item>：</item>
      </candidateList>
      <explain>文本全半角错误。</explain>
      <paraID>1ED75CAD</paraID>
      <start>9</start>
      <end>10</end>
      <status>unmodified</status>
      <modifiedWord/>
      <trackRevisions>false</trackRevisions>
    </reviewItem>
    <reviewItem>
      <errorID>d3343979-61de-44c0-9984-f719a94924b0</errorID>
      <errorWord>;</errorWord>
      <group>L1_Format</group>
      <groupName>格式问题</groupName>
      <ability>L2_HalfPunc_CN</ability>
      <abilityName>全半角问题</abilityName>
      <candidateList>
        <item>；</item>
      </candidateList>
      <explain>文本全半角错误。</explain>
      <paraID>1ED75CAD</paraID>
      <start>70</start>
      <end>71</end>
      <status>unmodified</status>
      <modifiedWord/>
      <trackRevisions>false</trackRevisions>
    </reviewItem>
    <reviewItem>
      <errorID>368cd9b1-63af-4d10-9699-ff6b70c8ccfd</errorID>
      <errorWord>(</errorWord>
      <group>L1_Format</group>
      <groupName>格式问题</groupName>
      <ability>L2_HalfPunc_CN</ability>
      <abilityName>全半角问题</abilityName>
      <candidateList>
        <item>（</item>
      </candidateList>
      <explain>文本全半角错误。</explain>
      <paraID>6FE1F665</paraID>
      <start>6</start>
      <end>7</end>
      <status>unmodified</status>
      <modifiedWord/>
      <trackRevisions>false</trackRevisions>
    </reviewItem>
    <reviewItem>
      <errorID>ab1bda1a-c9d2-4eed-b6cf-22449967f177</errorID>
      <errorWord>）对</errorWord>
      <group>L1_Word</group>
      <groupName>字词问题</groupName>
      <ability>L2_Typo</ability>
      <abilityName>字词错误</abilityName>
      <candidateList>
        <item>）</item>
      </candidateList>
      <explain/>
      <paraID>5F017335</paraID>
      <start>2</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953056-d68a-4d0e-8605-ac00dbd96da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61</Pages>
  <Words>26221</Words>
  <Characters>27781</Characters>
  <Lines>380</Lines>
  <Paragraphs>107</Paragraphs>
  <TotalTime>2</TotalTime>
  <ScaleCrop>false</ScaleCrop>
  <LinksUpToDate>false</LinksUpToDate>
  <CharactersWithSpaces>34609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2021-06-27T10:57:00Z</dcterms:created>
  <dc:creator>z</dc:creator>
  <cp:lastModifiedBy>langben</cp:lastModifiedBy>
  <cp:lastPrinted>2024-03-13T08:28:00Z</cp:lastPrinted>
  <dcterms:modified xsi:type="dcterms:W3CDTF">2026-08-31T10:09:38Z</dcterms:modified>
  <dc:title>询价书</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E3AD00165BF6444EAEAAF09D2678DF5D_13</vt:lpwstr>
  </property>
  <property fmtid="{D5CDD505-2E9C-101B-9397-08002B2CF9AE}" pid="4" name="KSOTemplateDocerSaveRecord">
    <vt:lpwstr>eyJoZGlkIjoiMTJiMWM4ODMyNDIxMzM2NGZkZmVmYTQ4MDFhMTQ4MDIiLCJ1c2VySWQiOiIzMDAyNzYzMTYifQ==</vt:lpwstr>
  </property>
</Properties>
</file>