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outlineLvl w:val="0"/>
        <w:rPr>
          <w:rFonts w:ascii="宋体" w:hAnsi="宋体" w:eastAsia="宋体"/>
          <w:b/>
          <w:sz w:val="44"/>
          <w:szCs w:val="44"/>
        </w:rPr>
      </w:pPr>
      <w:r>
        <w:rPr>
          <w:rFonts w:hint="eastAsia" w:ascii="宋体" w:hAnsi="宋体" w:eastAsia="宋体"/>
          <w:b/>
          <w:sz w:val="44"/>
          <w:szCs w:val="44"/>
        </w:rPr>
        <w:t>采购需求</w:t>
      </w:r>
    </w:p>
    <w:p>
      <w:pPr>
        <w:jc w:val="center"/>
        <w:outlineLvl w:val="0"/>
        <w:rPr>
          <w:b/>
          <w:sz w:val="24"/>
          <w:szCs w:val="24"/>
        </w:rPr>
      </w:pPr>
      <w:r>
        <w:rPr>
          <w:rFonts w:hint="eastAsia"/>
          <w:b/>
          <w:sz w:val="24"/>
          <w:szCs w:val="24"/>
        </w:rPr>
        <w:t>（仅供参考，具体以</w:t>
      </w:r>
      <w:r>
        <w:rPr>
          <w:rFonts w:hint="eastAsia"/>
          <w:b/>
          <w:sz w:val="24"/>
          <w:szCs w:val="24"/>
          <w:lang w:eastAsia="zh-CN"/>
        </w:rPr>
        <w:t>招标</w:t>
      </w:r>
      <w:r>
        <w:rPr>
          <w:b/>
          <w:sz w:val="24"/>
          <w:szCs w:val="24"/>
        </w:rPr>
        <w:t>文件为准）</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jc w:val="both"/>
        <w:textAlignment w:val="auto"/>
        <w:outlineLvl w:val="0"/>
        <w:rPr>
          <w:rFonts w:hint="eastAsia" w:ascii="宋体" w:hAnsi="宋体" w:eastAsia="宋体" w:cs="宋体"/>
          <w:b w:val="0"/>
          <w:bCs/>
          <w:sz w:val="24"/>
          <w:szCs w:val="24"/>
          <w:lang w:eastAsia="zh-CN"/>
        </w:rPr>
      </w:pPr>
      <w:r>
        <w:rPr>
          <w:rFonts w:hint="eastAsia" w:ascii="宋体" w:hAnsi="宋体" w:eastAsia="宋体" w:cs="宋体"/>
          <w:b w:val="0"/>
          <w:bCs/>
          <w:sz w:val="24"/>
          <w:szCs w:val="24"/>
          <w:lang w:val="en-US" w:eastAsia="zh-CN"/>
        </w:rPr>
        <w:t>项目预算：</w:t>
      </w:r>
      <w:r>
        <w:rPr>
          <w:rFonts w:hint="eastAsia" w:ascii="宋体" w:hAnsi="宋体" w:eastAsia="宋体" w:cs="宋体"/>
          <w:b w:val="0"/>
          <w:bCs/>
          <w:sz w:val="24"/>
          <w:szCs w:val="24"/>
          <w:lang w:eastAsia="zh-CN"/>
        </w:rPr>
        <w:t>第1包106.3万元；第2包41.704万元；第3包120万元；第4包34.3万元；第5包138.474万元；第6包234.48万元；第7包54万元；第8包1466.52万元；第9包148.83万元；第10包95.722万元；第11包71.929万元；第12包231.361万元；第13包204.68万元；第14包162.504万元；第15包240.4万元；第16包204.48万元；第17包255.775万元；第18包40.927万元；第19包72.15万元；第20包73.638万元；第21包73.8万元；第22包498.6万元；第23包1079.5万元。</w:t>
      </w:r>
    </w:p>
    <w:p>
      <w:pPr>
        <w:spacing w:line="360" w:lineRule="auto"/>
        <w:rPr>
          <w:rFonts w:hint="eastAsia" w:ascii="宋体" w:hAnsi="宋体" w:eastAsia="宋体" w:cs="宋体"/>
          <w:b/>
          <w:sz w:val="24"/>
          <w:szCs w:val="24"/>
        </w:rPr>
      </w:pPr>
      <w:r>
        <w:rPr>
          <w:rFonts w:hint="eastAsia" w:ascii="宋体" w:hAnsi="宋体" w:eastAsia="宋体" w:cs="宋体"/>
          <w:b/>
          <w:sz w:val="24"/>
          <w:szCs w:val="24"/>
        </w:rPr>
        <w:t>前注：</w:t>
      </w:r>
    </w:p>
    <w:p>
      <w:pPr>
        <w:spacing w:line="360" w:lineRule="auto"/>
        <w:ind w:firstLine="435"/>
        <w:rPr>
          <w:rFonts w:hint="eastAsia" w:ascii="宋体" w:hAnsi="宋体" w:eastAsia="宋体" w:cs="宋体"/>
          <w:sz w:val="24"/>
          <w:szCs w:val="24"/>
        </w:rPr>
      </w:pPr>
      <w:r>
        <w:rPr>
          <w:rFonts w:hint="eastAsia" w:ascii="宋体" w:hAnsi="宋体" w:eastAsia="宋体" w:cs="宋体"/>
          <w:sz w:val="24"/>
          <w:szCs w:val="24"/>
        </w:rPr>
        <w:t>1.根据《关于规范政府采购进口产品有关工作的通知》及政府采购管理部门的相关规定，下列采购需求中标注进口产品的货物均已履行相关论证手续，经核准采购进口产品，但不限制满足招标文件要求的国内产品参与竞争。未标注进口产品的货物均为拒绝采购进口产品。</w:t>
      </w:r>
    </w:p>
    <w:p>
      <w:pPr>
        <w:spacing w:line="360" w:lineRule="auto"/>
        <w:ind w:firstLine="435"/>
        <w:rPr>
          <w:rFonts w:hint="eastAsia" w:ascii="宋体" w:hAnsi="宋体" w:eastAsia="宋体" w:cs="宋体"/>
          <w:sz w:val="24"/>
          <w:szCs w:val="24"/>
        </w:rPr>
      </w:pPr>
      <w:r>
        <w:rPr>
          <w:rFonts w:hint="eastAsia" w:ascii="宋体" w:hAnsi="宋体" w:eastAsia="宋体" w:cs="宋体"/>
          <w:sz w:val="24"/>
          <w:szCs w:val="24"/>
        </w:rPr>
        <w:t>2.下列采购需求中：如属于《节能产品政府采购品目清单》中政府强制采购的节能产品，则投标人所投产品须具有市场监管总局公布的《参与实施政府采购节能产品认证机构目录》中的认证机构出具的、处于有效期内的节能产品认证证书。</w:t>
      </w:r>
    </w:p>
    <w:p>
      <w:pPr>
        <w:spacing w:line="360" w:lineRule="auto"/>
        <w:ind w:firstLine="435"/>
        <w:rPr>
          <w:rFonts w:hint="eastAsia" w:ascii="宋体" w:hAnsi="宋体" w:eastAsia="宋体" w:cs="宋体"/>
          <w:sz w:val="24"/>
          <w:szCs w:val="24"/>
        </w:rPr>
      </w:pPr>
      <w:r>
        <w:rPr>
          <w:rFonts w:hint="eastAsia" w:ascii="宋体" w:hAnsi="宋体" w:eastAsia="宋体" w:cs="宋体"/>
          <w:sz w:val="24"/>
          <w:szCs w:val="24"/>
        </w:rPr>
        <w:t>3.下列采购需求中：标注▲的产品（核心产品），投标人在投标文件《主要中标标的承诺函》中填写名称、品牌、规格、型号、数量、单价等信息。</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中标人必须确保整体通过采购人及有关主管部门验收,所发生的验收费用（包括损耗性、破坏性实验损坏的产品补充）由中标人承担；如投标人因未及时现场考察而导致的报价缺项漏项或中标后无法完工，投标人自行承担一切后果。</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5、为鼓励不同品牌的充分竞争，如某设备的某技术参数或要求属于个别品牌专有，则该技术参数及要求不具有限制性，投标人可对该参数或要求进行适当调整，且此调整须经评标委员会评审认可。</w:t>
      </w:r>
    </w:p>
    <w:p>
      <w:pPr>
        <w:spacing w:line="36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val="en-US" w:eastAsia="zh-CN"/>
        </w:rPr>
        <w:t>6</w:t>
      </w:r>
      <w:r>
        <w:rPr>
          <w:rFonts w:hint="eastAsia" w:ascii="宋体" w:hAnsi="宋体" w:eastAsia="宋体" w:cs="宋体"/>
          <w:sz w:val="24"/>
          <w:szCs w:val="24"/>
        </w:rPr>
        <w:t>、</w:t>
      </w:r>
      <w:r>
        <w:rPr>
          <w:rFonts w:hint="eastAsia" w:ascii="宋体" w:hAnsi="宋体" w:eastAsia="宋体" w:cs="宋体"/>
          <w:b/>
          <w:bCs/>
          <w:sz w:val="24"/>
          <w:szCs w:val="24"/>
        </w:rPr>
        <w:t>根据《关于规范政府采购进口产品有关工作的通知》及相关规定，本项目（货物需求一览表中标有❊号的品种，为原装进口产品）已履行相关论证手续，经核准采购进口设备。</w:t>
      </w:r>
      <w:r>
        <w:rPr>
          <w:rFonts w:hint="eastAsia" w:ascii="宋体" w:hAnsi="宋体" w:eastAsia="宋体" w:cs="宋体"/>
          <w:sz w:val="24"/>
          <w:szCs w:val="24"/>
        </w:rPr>
        <w:t>中标人在交货时必须向安徽省消防救援总队后勤装备处提供海关出具的报关单进关证明进关批号（原件）。进口装备必须配有原文说明书及与相对应的中文说明书。说明书应包括装备周期性检查及维护保养的详细说明，并提供装备操作使用和检查维护的音视频资料，否则，将不予验收。经核准采购进口设备，但不限制满足招标文件要求的国内产品参与竞争</w:t>
      </w:r>
      <w:r>
        <w:rPr>
          <w:rFonts w:hint="eastAsia" w:ascii="宋体" w:hAnsi="宋体" w:eastAsia="宋体" w:cs="宋体"/>
          <w:sz w:val="24"/>
          <w:szCs w:val="24"/>
          <w:lang w:eastAsia="zh-CN"/>
        </w:rPr>
        <w:t>。</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7</w:t>
      </w:r>
      <w:r>
        <w:rPr>
          <w:rFonts w:hint="eastAsia" w:ascii="宋体" w:hAnsi="宋体" w:eastAsia="宋体" w:cs="宋体"/>
          <w:sz w:val="24"/>
          <w:szCs w:val="24"/>
        </w:rPr>
        <w:t>、关于合同签订</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中标人在签订合同时，根据包别合同清单数量与最终使用单位（如</w:t>
      </w:r>
      <w:r>
        <w:rPr>
          <w:rFonts w:hint="eastAsia" w:ascii="宋体" w:hAnsi="宋体" w:eastAsia="宋体" w:cs="宋体"/>
          <w:sz w:val="24"/>
          <w:szCs w:val="24"/>
          <w:lang w:eastAsia="zh-CN"/>
        </w:rPr>
        <w:t>某</w:t>
      </w:r>
      <w:r>
        <w:rPr>
          <w:rFonts w:hint="eastAsia" w:ascii="宋体" w:hAnsi="宋体" w:eastAsia="宋体" w:cs="宋体"/>
          <w:sz w:val="24"/>
          <w:szCs w:val="24"/>
        </w:rPr>
        <w:t>市消防救援支队）签订合同。全部签订完成后提交安徽省政采项目管理咨询有限公司</w:t>
      </w:r>
      <w:r>
        <w:rPr>
          <w:rFonts w:hint="eastAsia" w:ascii="宋体" w:hAnsi="宋体" w:eastAsia="宋体" w:cs="宋体"/>
          <w:sz w:val="24"/>
          <w:szCs w:val="24"/>
          <w:lang w:eastAsia="zh-CN"/>
        </w:rPr>
        <w:t>办理相关</w:t>
      </w:r>
      <w:r>
        <w:rPr>
          <w:rFonts w:hint="eastAsia" w:ascii="宋体" w:hAnsi="宋体" w:eastAsia="宋体" w:cs="宋体"/>
          <w:sz w:val="24"/>
          <w:szCs w:val="24"/>
        </w:rPr>
        <w:t>见证</w:t>
      </w:r>
      <w:r>
        <w:rPr>
          <w:rFonts w:hint="eastAsia" w:ascii="宋体" w:hAnsi="宋体" w:eastAsia="宋体" w:cs="宋体"/>
          <w:sz w:val="24"/>
          <w:szCs w:val="24"/>
          <w:lang w:eastAsia="zh-CN"/>
        </w:rPr>
        <w:t>手续</w:t>
      </w:r>
      <w:r>
        <w:rPr>
          <w:rFonts w:hint="eastAsia" w:ascii="宋体" w:hAnsi="宋体" w:eastAsia="宋体" w:cs="宋体"/>
          <w:sz w:val="24"/>
          <w:szCs w:val="24"/>
        </w:rPr>
        <w:t>。</w:t>
      </w:r>
    </w:p>
    <w:p>
      <w:pPr>
        <w:spacing w:line="360" w:lineRule="auto"/>
        <w:ind w:firstLine="482" w:firstLineChars="20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8、在投标文件第六章投标文件“格式七所投货物的技术资料或样本等”中，同时提供装备名称型号、详细的技术规格书及清晰的外观照片。车辆另附设计三视图和随车器材、工具、零备件清单；进口产品提供中文对照版资料，中外文不一致的，以中文为准。上述相关证明材料如未提供或提供的不完整或提供不清晰的，按评分标准中“所投产品综合性能”中的“拟提供所投产品证明材料的完整度”进行评审。</w:t>
      </w:r>
    </w:p>
    <w:p>
      <w:pPr>
        <w:spacing w:line="360" w:lineRule="auto"/>
        <w:ind w:firstLine="482" w:firstLineChars="20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9、在投标文件第六章投标文件“格式七所投货物的技术资料或样本等”中，提供所投产品的制造厂家原版彩页、或检测报告或相关证书扫描件。进口产品须提供中文对照版资料，外文不一致的，以中文为准。相关证明材料应能够验证产品的技术参数。上述相关证明材料如未提供或提供的不完整或提供不清晰的，按评分标准中“所投产品综合性能”中的“拟提供所投产品证明材料的完整度”进行评分。</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0</w:t>
      </w:r>
      <w:r>
        <w:rPr>
          <w:rFonts w:hint="eastAsia" w:ascii="宋体" w:hAnsi="宋体" w:eastAsia="宋体" w:cs="宋体"/>
          <w:sz w:val="24"/>
          <w:szCs w:val="24"/>
        </w:rPr>
        <w:t>、关于培训及售后服务</w:t>
      </w:r>
    </w:p>
    <w:p>
      <w:pPr>
        <w:spacing w:line="360" w:lineRule="auto"/>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1）中标人在签订合同后要与最终使用单位（如某市消防救援支队）签订培训和维修保障服务协议，并根据采购人要求，负责使用前培训，并做到整个产品使用寿命期间的维修保养和技术服务保障。中标人须在货物交付后一年内向安徽省消防救援总队后勤装备处提供产品培训（通常在交付后）及售后巡检服务（通常在交付1年内）开展证明资料，须最终使用单位（如某市消防救援支队）签字盖章确认，作为履约保证金退还依据。</w:t>
      </w:r>
    </w:p>
    <w:p>
      <w:pPr>
        <w:spacing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（2）投标人对所投产品应明确售后服务时限、范围、上门服务响应时间、零配件供应周期、工时费等服务标准，并承诺保证供应且价格合理。</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（3）中标人签订合同时，签订售后服务协议，强化装备售后服务保障。</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（4）中标人交货时，须随货物提供“供货交接单和产品配置清单”，彩色打印、填写详实签字盖章后，交安徽省消防救援总队后勤装备处和仓库各1份。</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5）中标人交货时，须在所交付的产品主体，适当位置缀钉金属或塑料材质的永久性铭牌标签（织物内缀钉布质标签），标签内容包括：投标项目名称、制造商名称、产品规格型号、生产时间/批次、供应商名称、交货时间、售后联系人及通讯方式。个人防护装备产品标签除包含上述内容外，还要粘贴含“执行标准、型号规格、生产厂名称或商标、生产日期、检验合格标记、国家消防产品认证标志等”符合国家和行业相关标准项目的永久性标签。</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6）中标人交货时，要提供产品资料光盘（18份）至省消防救援总队后勤装备处。内容应包含中文使用说明书电子版（可进行编辑的WORLD或PDF版本）、产品维护保养常识及使用视频教学录像（视频采用wmv格式，进口产品要配中文解说）、产品技术参数、性能等相关文件。光盘采用安徽省消防救援总队后勤装备处统一版式：光盘壳——标准半透明DVD盒（PP材料、带膜），尺寸134*190*14mm，封面插页尺寸274*186mm；光盘——打印光盘。</w:t>
      </w:r>
    </w:p>
    <w:p>
      <w:pPr>
        <w:spacing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以上事项未提供，或提供达不到要求的，</w:t>
      </w:r>
      <w:r>
        <w:rPr>
          <w:rFonts w:hint="eastAsia" w:ascii="宋体" w:hAnsi="宋体" w:eastAsia="宋体" w:cs="宋体"/>
          <w:b/>
          <w:sz w:val="24"/>
          <w:szCs w:val="24"/>
          <w:lang w:eastAsia="zh-CN"/>
        </w:rPr>
        <w:t>采购人</w:t>
      </w:r>
      <w:r>
        <w:rPr>
          <w:rFonts w:hint="eastAsia" w:ascii="宋体" w:hAnsi="宋体" w:eastAsia="宋体" w:cs="宋体"/>
          <w:b/>
          <w:sz w:val="24"/>
          <w:szCs w:val="24"/>
        </w:rPr>
        <w:t>有权不予接收货品、不予安排验收、支付等有关事项。</w:t>
      </w:r>
    </w:p>
    <w:p>
      <w:pPr>
        <w:spacing w:line="360" w:lineRule="auto"/>
        <w:ind w:firstLine="437"/>
        <w:outlineLvl w:val="1"/>
        <w:rPr>
          <w:rFonts w:hint="eastAsia" w:ascii="宋体" w:hAnsi="宋体" w:eastAsia="宋体"/>
          <w:b/>
          <w:sz w:val="24"/>
          <w:szCs w:val="18"/>
          <w:lang w:eastAsia="zh-CN"/>
        </w:rPr>
      </w:pPr>
      <w:bookmarkStart w:id="0" w:name="_Toc10024"/>
      <w:r>
        <w:rPr>
          <w:rFonts w:hint="eastAsia" w:ascii="宋体" w:hAnsi="宋体" w:eastAsia="宋体"/>
          <w:b/>
          <w:sz w:val="24"/>
          <w:szCs w:val="18"/>
        </w:rPr>
        <w:t>一、采购需求前附表</w:t>
      </w:r>
      <w:r>
        <w:rPr>
          <w:rFonts w:hint="eastAsia" w:ascii="宋体" w:hAnsi="宋体" w:eastAsia="宋体"/>
          <w:b/>
          <w:sz w:val="24"/>
          <w:szCs w:val="18"/>
          <w:lang w:eastAsia="zh-CN"/>
        </w:rPr>
        <w:t>（第</w:t>
      </w:r>
      <w:r>
        <w:rPr>
          <w:rFonts w:hint="eastAsia" w:ascii="宋体" w:hAnsi="宋体" w:eastAsia="宋体"/>
          <w:b/>
          <w:sz w:val="24"/>
          <w:szCs w:val="18"/>
          <w:lang w:val="en-US" w:eastAsia="zh-CN"/>
        </w:rPr>
        <w:t>1-47包</w:t>
      </w:r>
      <w:r>
        <w:rPr>
          <w:rFonts w:hint="eastAsia" w:ascii="宋体" w:hAnsi="宋体" w:eastAsia="宋体"/>
          <w:b/>
          <w:sz w:val="24"/>
          <w:szCs w:val="18"/>
          <w:lang w:eastAsia="zh-CN"/>
        </w:rPr>
        <w:t>）</w:t>
      </w:r>
      <w:bookmarkEnd w:id="0"/>
    </w:p>
    <w:tbl>
      <w:tblPr>
        <w:tblStyle w:val="57"/>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7"/>
        <w:gridCol w:w="2032"/>
        <w:gridCol w:w="54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1007" w:type="dxa"/>
            <w:vAlign w:val="center"/>
          </w:tcPr>
          <w:p>
            <w:pPr>
              <w:pStyle w:val="165"/>
              <w:pBdr>
                <w:bottom w:val="none" w:color="auto" w:sz="0" w:space="0"/>
              </w:pBdr>
              <w:tabs>
                <w:tab w:val="clear" w:pos="4153"/>
                <w:tab w:val="clear" w:pos="8306"/>
              </w:tabs>
              <w:adjustRightInd/>
              <w:spacing w:line="240" w:lineRule="auto"/>
              <w:textAlignment w:val="auto"/>
              <w:rPr>
                <w:rFonts w:ascii="宋体" w:hAnsi="宋体" w:eastAsia="宋体"/>
                <w:b/>
                <w:kern w:val="2"/>
              </w:rPr>
            </w:pPr>
            <w:r>
              <w:rPr>
                <w:rFonts w:hint="eastAsia" w:ascii="宋体" w:hAnsi="宋体" w:eastAsia="宋体"/>
                <w:b/>
                <w:kern w:val="2"/>
              </w:rPr>
              <w:t>序号</w:t>
            </w:r>
          </w:p>
        </w:tc>
        <w:tc>
          <w:tcPr>
            <w:tcW w:w="2032" w:type="dxa"/>
            <w:vAlign w:val="center"/>
          </w:tcPr>
          <w:p>
            <w:pPr>
              <w:pStyle w:val="164"/>
              <w:widowControl w:val="0"/>
              <w:spacing w:before="0" w:beforeAutospacing="0" w:after="0" w:afterAutospacing="0" w:line="360" w:lineRule="auto"/>
              <w:rPr>
                <w:rFonts w:ascii="宋体" w:hAnsi="宋体" w:eastAsia="宋体"/>
                <w:bCs w:val="0"/>
                <w:sz w:val="24"/>
              </w:rPr>
            </w:pPr>
            <w:r>
              <w:rPr>
                <w:rFonts w:hint="eastAsia" w:ascii="宋体" w:hAnsi="宋体" w:eastAsia="宋体"/>
                <w:bCs w:val="0"/>
                <w:sz w:val="24"/>
              </w:rPr>
              <w:t>条款名称</w:t>
            </w:r>
          </w:p>
        </w:tc>
        <w:tc>
          <w:tcPr>
            <w:tcW w:w="5483" w:type="dxa"/>
            <w:vAlign w:val="center"/>
          </w:tcPr>
          <w:p>
            <w:pPr>
              <w:pStyle w:val="164"/>
              <w:widowControl w:val="0"/>
              <w:spacing w:before="0" w:beforeAutospacing="0" w:after="0" w:afterAutospacing="0" w:line="360" w:lineRule="auto"/>
              <w:rPr>
                <w:rFonts w:ascii="宋体" w:hAnsi="宋体" w:eastAsia="宋体"/>
                <w:bCs w:val="0"/>
                <w:sz w:val="24"/>
              </w:rPr>
            </w:pPr>
            <w:r>
              <w:rPr>
                <w:rFonts w:hint="eastAsia" w:ascii="宋体" w:hAnsi="宋体" w:eastAsia="宋体"/>
                <w:bCs w:val="0"/>
                <w:sz w:val="24"/>
              </w:rPr>
              <w:t>内容、说明与要求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1007" w:type="dxa"/>
            <w:vAlign w:val="center"/>
          </w:tcPr>
          <w:p>
            <w:pPr>
              <w:pStyle w:val="165"/>
              <w:pBdr>
                <w:bottom w:val="none" w:color="auto" w:sz="0" w:space="0"/>
              </w:pBdr>
              <w:tabs>
                <w:tab w:val="clear" w:pos="4153"/>
                <w:tab w:val="clear" w:pos="8306"/>
              </w:tabs>
              <w:adjustRightInd/>
              <w:spacing w:line="240" w:lineRule="auto"/>
              <w:textAlignment w:val="auto"/>
              <w:rPr>
                <w:rFonts w:ascii="宋体" w:hAnsi="宋体" w:eastAsia="宋体"/>
                <w:bCs/>
                <w:kern w:val="2"/>
              </w:rPr>
            </w:pPr>
            <w:r>
              <w:rPr>
                <w:rFonts w:hint="eastAsia" w:ascii="宋体" w:hAnsi="宋体" w:eastAsia="宋体"/>
                <w:bCs/>
                <w:kern w:val="2"/>
              </w:rPr>
              <w:t>1</w:t>
            </w:r>
          </w:p>
        </w:tc>
        <w:tc>
          <w:tcPr>
            <w:tcW w:w="2032" w:type="dxa"/>
            <w:vAlign w:val="center"/>
          </w:tcPr>
          <w:p>
            <w:pPr>
              <w:pStyle w:val="164"/>
              <w:widowControl w:val="0"/>
              <w:spacing w:before="0" w:beforeAutospacing="0" w:after="0" w:afterAutospacing="0" w:line="360" w:lineRule="auto"/>
              <w:rPr>
                <w:rFonts w:ascii="宋体" w:hAnsi="宋体" w:eastAsia="宋体"/>
                <w:b w:val="0"/>
                <w:sz w:val="24"/>
              </w:rPr>
            </w:pPr>
            <w:r>
              <w:rPr>
                <w:rFonts w:hint="eastAsia" w:ascii="宋体" w:hAnsi="宋体" w:eastAsia="宋体"/>
                <w:b w:val="0"/>
                <w:sz w:val="24"/>
              </w:rPr>
              <w:t>付款方式</w:t>
            </w:r>
          </w:p>
        </w:tc>
        <w:tc>
          <w:tcPr>
            <w:tcW w:w="5483" w:type="dxa"/>
            <w:vAlign w:val="center"/>
          </w:tcPr>
          <w:p>
            <w:pPr>
              <w:pStyle w:val="164"/>
              <w:widowControl w:val="0"/>
              <w:spacing w:before="0" w:beforeAutospacing="0" w:after="0" w:afterAutospacing="0" w:line="360" w:lineRule="auto"/>
              <w:jc w:val="both"/>
              <w:rPr>
                <w:rFonts w:ascii="宋体" w:hAnsi="宋体" w:eastAsia="宋体"/>
                <w:b w:val="0"/>
                <w:sz w:val="24"/>
                <w:u w:val="single"/>
              </w:rPr>
            </w:pPr>
            <w:r>
              <w:rPr>
                <w:rFonts w:hint="eastAsia" w:ascii="宋体" w:hAnsi="宋体" w:eastAsia="宋体"/>
                <w:b w:val="0"/>
                <w:sz w:val="24"/>
                <w:u w:val="single"/>
              </w:rPr>
              <w:t>合同签订后，对于大型企业，支付合同总额的80%作为预付款，对于中小微企业，支付合同总额的90%作为预付款，同时中标人需在签订合同后10个日历天内提供相同金额的预付款保函（如因保函延误提供造成预付款无法支付，影响后续款项支付的，由中标</w:t>
            </w:r>
            <w:r>
              <w:rPr>
                <w:rFonts w:hint="eastAsia" w:ascii="宋体" w:hAnsi="宋体" w:eastAsia="宋体"/>
                <w:b w:val="0"/>
                <w:sz w:val="24"/>
                <w:u w:val="single"/>
                <w:lang w:eastAsia="zh-CN"/>
              </w:rPr>
              <w:t>人</w:t>
            </w:r>
            <w:r>
              <w:rPr>
                <w:rFonts w:hint="eastAsia" w:ascii="宋体" w:hAnsi="宋体" w:eastAsia="宋体"/>
                <w:b w:val="0"/>
                <w:sz w:val="24"/>
                <w:u w:val="single"/>
              </w:rPr>
              <w:t>承担全部责任）。到货验收合格且经过审计部门结算审计后支付剩余款项。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1007" w:type="dxa"/>
            <w:vAlign w:val="center"/>
          </w:tcPr>
          <w:p>
            <w:pPr>
              <w:pStyle w:val="165"/>
              <w:pBdr>
                <w:bottom w:val="none" w:color="auto" w:sz="0" w:space="0"/>
              </w:pBdr>
              <w:tabs>
                <w:tab w:val="clear" w:pos="4153"/>
                <w:tab w:val="clear" w:pos="8306"/>
              </w:tabs>
              <w:adjustRightInd/>
              <w:spacing w:line="240" w:lineRule="auto"/>
              <w:textAlignment w:val="auto"/>
              <w:rPr>
                <w:rFonts w:ascii="宋体" w:hAnsi="宋体" w:eastAsia="宋体"/>
                <w:bCs/>
                <w:kern w:val="2"/>
              </w:rPr>
            </w:pPr>
            <w:r>
              <w:rPr>
                <w:rFonts w:hint="eastAsia" w:ascii="宋体" w:hAnsi="宋体" w:eastAsia="宋体"/>
                <w:bCs/>
                <w:kern w:val="2"/>
              </w:rPr>
              <w:t>2</w:t>
            </w:r>
          </w:p>
        </w:tc>
        <w:tc>
          <w:tcPr>
            <w:tcW w:w="2032" w:type="dxa"/>
            <w:vAlign w:val="center"/>
          </w:tcPr>
          <w:p>
            <w:pPr>
              <w:pStyle w:val="164"/>
              <w:widowControl w:val="0"/>
              <w:spacing w:before="0" w:beforeAutospacing="0" w:after="0" w:afterAutospacing="0" w:line="360" w:lineRule="auto"/>
              <w:rPr>
                <w:rFonts w:ascii="宋体" w:hAnsi="宋体" w:eastAsia="宋体"/>
                <w:b w:val="0"/>
                <w:sz w:val="24"/>
              </w:rPr>
            </w:pPr>
            <w:r>
              <w:rPr>
                <w:rFonts w:hint="eastAsia" w:ascii="宋体" w:hAnsi="宋体" w:eastAsia="宋体"/>
                <w:b w:val="0"/>
                <w:sz w:val="24"/>
              </w:rPr>
              <w:t>供货及安装地点</w:t>
            </w:r>
          </w:p>
        </w:tc>
        <w:tc>
          <w:tcPr>
            <w:tcW w:w="5483" w:type="dxa"/>
            <w:vAlign w:val="center"/>
          </w:tcPr>
          <w:p>
            <w:pPr>
              <w:pStyle w:val="164"/>
              <w:widowControl w:val="0"/>
              <w:spacing w:before="0" w:beforeAutospacing="0" w:after="0" w:afterAutospacing="0" w:line="360" w:lineRule="auto"/>
              <w:jc w:val="both"/>
              <w:rPr>
                <w:rFonts w:ascii="宋体" w:hAnsi="宋体" w:eastAsia="宋体"/>
                <w:b w:val="0"/>
                <w:sz w:val="24"/>
              </w:rPr>
            </w:pPr>
            <w:r>
              <w:rPr>
                <w:rFonts w:hint="eastAsia" w:ascii="宋体" w:hAnsi="宋体" w:eastAsia="宋体"/>
                <w:b w:val="0"/>
                <w:sz w:val="24"/>
                <w:u w:val="single"/>
              </w:rPr>
              <w:t>采购人指定地点，安徽省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1007" w:type="dxa"/>
            <w:vAlign w:val="center"/>
          </w:tcPr>
          <w:p>
            <w:pPr>
              <w:pStyle w:val="165"/>
              <w:pBdr>
                <w:bottom w:val="none" w:color="auto" w:sz="0" w:space="0"/>
              </w:pBdr>
              <w:tabs>
                <w:tab w:val="clear" w:pos="4153"/>
                <w:tab w:val="clear" w:pos="8306"/>
              </w:tabs>
              <w:adjustRightInd/>
              <w:spacing w:line="240" w:lineRule="auto"/>
              <w:textAlignment w:val="auto"/>
              <w:rPr>
                <w:rFonts w:ascii="宋体" w:hAnsi="宋体" w:eastAsia="宋体"/>
                <w:bCs/>
                <w:kern w:val="2"/>
              </w:rPr>
            </w:pPr>
            <w:r>
              <w:rPr>
                <w:rFonts w:hint="eastAsia" w:ascii="宋体" w:hAnsi="宋体" w:eastAsia="宋体"/>
                <w:bCs/>
                <w:kern w:val="2"/>
              </w:rPr>
              <w:t>3</w:t>
            </w:r>
          </w:p>
        </w:tc>
        <w:tc>
          <w:tcPr>
            <w:tcW w:w="2032" w:type="dxa"/>
            <w:vAlign w:val="center"/>
          </w:tcPr>
          <w:p>
            <w:pPr>
              <w:pStyle w:val="164"/>
              <w:widowControl w:val="0"/>
              <w:spacing w:before="0" w:beforeAutospacing="0" w:after="0" w:afterAutospacing="0" w:line="360" w:lineRule="auto"/>
              <w:rPr>
                <w:rFonts w:ascii="宋体" w:hAnsi="宋体" w:eastAsia="宋体"/>
                <w:b w:val="0"/>
                <w:sz w:val="24"/>
              </w:rPr>
            </w:pPr>
            <w:r>
              <w:rPr>
                <w:rFonts w:hint="eastAsia" w:ascii="宋体" w:hAnsi="宋体" w:eastAsia="宋体"/>
                <w:b w:val="0"/>
                <w:sz w:val="24"/>
              </w:rPr>
              <w:t>供货及安装期限</w:t>
            </w:r>
          </w:p>
        </w:tc>
        <w:tc>
          <w:tcPr>
            <w:tcW w:w="5483" w:type="dxa"/>
            <w:vAlign w:val="center"/>
          </w:tcPr>
          <w:p>
            <w:pPr>
              <w:pStyle w:val="164"/>
              <w:widowControl w:val="0"/>
              <w:spacing w:before="0" w:beforeAutospacing="0" w:after="0" w:afterAutospacing="0" w:line="360" w:lineRule="auto"/>
              <w:jc w:val="both"/>
              <w:rPr>
                <w:rFonts w:hint="eastAsia" w:ascii="宋体" w:hAnsi="宋体" w:eastAsia="宋体"/>
                <w:b w:val="0"/>
                <w:sz w:val="24"/>
              </w:rPr>
            </w:pPr>
            <w:r>
              <w:rPr>
                <w:rFonts w:hint="eastAsia" w:ascii="宋体" w:hAnsi="宋体" w:eastAsia="宋体"/>
                <w:b w:val="0"/>
                <w:sz w:val="24"/>
              </w:rPr>
              <w:t>国产货物合同签订后60日历天内；</w:t>
            </w:r>
          </w:p>
          <w:p>
            <w:pPr>
              <w:pStyle w:val="164"/>
              <w:widowControl w:val="0"/>
              <w:spacing w:before="0" w:beforeAutospacing="0" w:after="0" w:afterAutospacing="0" w:line="360" w:lineRule="auto"/>
              <w:jc w:val="both"/>
              <w:rPr>
                <w:rFonts w:ascii="宋体" w:hAnsi="宋体" w:eastAsia="宋体"/>
                <w:b w:val="0"/>
                <w:sz w:val="24"/>
              </w:rPr>
            </w:pPr>
            <w:r>
              <w:rPr>
                <w:rFonts w:hint="eastAsia" w:ascii="宋体" w:hAnsi="宋体" w:eastAsia="宋体"/>
                <w:b w:val="0"/>
                <w:sz w:val="24"/>
              </w:rPr>
              <w:t>进口货物合同签订后90日历天内。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1007" w:type="dxa"/>
            <w:vAlign w:val="center"/>
          </w:tcPr>
          <w:p>
            <w:pPr>
              <w:pStyle w:val="165"/>
              <w:pBdr>
                <w:bottom w:val="none" w:color="auto" w:sz="0" w:space="0"/>
              </w:pBdr>
              <w:tabs>
                <w:tab w:val="clear" w:pos="4153"/>
                <w:tab w:val="clear" w:pos="8306"/>
              </w:tabs>
              <w:adjustRightInd/>
              <w:spacing w:line="240" w:lineRule="auto"/>
              <w:textAlignment w:val="auto"/>
              <w:rPr>
                <w:rFonts w:ascii="宋体" w:hAnsi="宋体" w:eastAsia="宋体"/>
                <w:bCs/>
                <w:kern w:val="2"/>
              </w:rPr>
            </w:pPr>
            <w:r>
              <w:rPr>
                <w:rFonts w:hint="eastAsia" w:ascii="宋体" w:hAnsi="宋体" w:eastAsia="宋体"/>
                <w:bCs/>
                <w:kern w:val="2"/>
              </w:rPr>
              <w:t>4</w:t>
            </w:r>
          </w:p>
        </w:tc>
        <w:tc>
          <w:tcPr>
            <w:tcW w:w="2032" w:type="dxa"/>
            <w:vAlign w:val="center"/>
          </w:tcPr>
          <w:p>
            <w:pPr>
              <w:pStyle w:val="164"/>
              <w:widowControl w:val="0"/>
              <w:spacing w:before="0" w:beforeAutospacing="0" w:after="0" w:afterAutospacing="0" w:line="360" w:lineRule="auto"/>
              <w:rPr>
                <w:rFonts w:ascii="宋体" w:hAnsi="宋体" w:eastAsia="宋体"/>
                <w:b w:val="0"/>
                <w:sz w:val="24"/>
              </w:rPr>
            </w:pPr>
            <w:r>
              <w:rPr>
                <w:rFonts w:hint="eastAsia" w:ascii="宋体" w:hAnsi="宋体" w:eastAsia="宋体"/>
                <w:b w:val="0"/>
                <w:sz w:val="24"/>
              </w:rPr>
              <w:t>免费质保期</w:t>
            </w:r>
          </w:p>
        </w:tc>
        <w:tc>
          <w:tcPr>
            <w:tcW w:w="5483" w:type="dxa"/>
            <w:vAlign w:val="center"/>
          </w:tcPr>
          <w:p>
            <w:pPr>
              <w:pStyle w:val="164"/>
              <w:widowControl w:val="0"/>
              <w:spacing w:before="0" w:beforeAutospacing="0" w:after="0" w:afterAutospacing="0" w:line="360" w:lineRule="auto"/>
              <w:jc w:val="both"/>
              <w:rPr>
                <w:rFonts w:hint="eastAsia" w:ascii="宋体" w:hAnsi="宋体" w:eastAsia="宋体"/>
                <w:b w:val="0"/>
                <w:sz w:val="24"/>
                <w:lang w:eastAsia="zh-CN"/>
              </w:rPr>
            </w:pPr>
            <w:r>
              <w:rPr>
                <w:rFonts w:hint="eastAsia" w:ascii="宋体" w:hAnsi="宋体" w:eastAsia="宋体"/>
                <w:b w:val="0"/>
                <w:sz w:val="24"/>
              </w:rPr>
              <w:t>验收合格之日起3年（设计使用寿命不足3年的以实际时间为准）。</w:t>
            </w:r>
          </w:p>
        </w:tc>
      </w:tr>
    </w:tbl>
    <w:p>
      <w:pPr>
        <w:spacing w:line="360" w:lineRule="auto"/>
        <w:ind w:firstLine="437"/>
        <w:outlineLvl w:val="1"/>
        <w:rPr>
          <w:rFonts w:hint="eastAsia" w:ascii="宋体" w:hAnsi="宋体" w:eastAsia="宋体"/>
          <w:b/>
          <w:bCs/>
          <w:sz w:val="24"/>
          <w:szCs w:val="18"/>
        </w:rPr>
      </w:pPr>
      <w:bookmarkStart w:id="1" w:name="_Toc4573"/>
      <w:r>
        <w:rPr>
          <w:rFonts w:hint="eastAsia" w:ascii="宋体" w:hAnsi="宋体" w:eastAsia="宋体"/>
          <w:b/>
          <w:bCs/>
          <w:sz w:val="24"/>
          <w:szCs w:val="18"/>
        </w:rPr>
        <w:t>二、货物需求</w:t>
      </w:r>
      <w:bookmarkEnd w:id="1"/>
    </w:p>
    <w:p>
      <w:pPr>
        <w:pStyle w:val="2"/>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（1）货物指标重要性（第1包）</w:t>
      </w:r>
    </w:p>
    <w:tbl>
      <w:tblPr>
        <w:tblStyle w:val="57"/>
        <w:tblW w:w="4998"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2118"/>
        <w:gridCol w:w="1503"/>
        <w:gridCol w:w="48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jc w:val="center"/>
        </w:trPr>
        <w:tc>
          <w:tcPr>
            <w:tcW w:w="1243"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标识重要性</w:t>
            </w:r>
          </w:p>
        </w:tc>
        <w:tc>
          <w:tcPr>
            <w:tcW w:w="88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标识符号</w:t>
            </w:r>
          </w:p>
        </w:tc>
        <w:tc>
          <w:tcPr>
            <w:tcW w:w="2874"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代表意思</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0" w:hRule="atLeast"/>
          <w:jc w:val="center"/>
        </w:trPr>
        <w:tc>
          <w:tcPr>
            <w:tcW w:w="1243"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关键性指标项</w:t>
            </w:r>
          </w:p>
        </w:tc>
        <w:tc>
          <w:tcPr>
            <w:tcW w:w="882"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74"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不满足该指标项将导致投标被拒绝</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0" w:hRule="atLeast"/>
          <w:jc w:val="center"/>
        </w:trPr>
        <w:tc>
          <w:tcPr>
            <w:tcW w:w="1243"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重要指标项</w:t>
            </w:r>
          </w:p>
        </w:tc>
        <w:tc>
          <w:tcPr>
            <w:tcW w:w="882"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74"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评分项，每满足一项得3分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0" w:hRule="atLeast"/>
          <w:jc w:val="center"/>
        </w:trPr>
        <w:tc>
          <w:tcPr>
            <w:tcW w:w="1243"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一般指标项</w:t>
            </w:r>
          </w:p>
        </w:tc>
        <w:tc>
          <w:tcPr>
            <w:tcW w:w="882"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74"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评分项，每满足一项得0.25分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5000" w:type="pct"/>
            <w:gridSpan w:val="3"/>
            <w:tcBorders>
              <w:top w:val="nil"/>
              <w:left w:val="nil"/>
              <w:bottom w:val="nil"/>
              <w:right w:val="nil"/>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b/>
                <w:bCs/>
                <w:i w:val="0"/>
                <w:iCs w:val="0"/>
                <w:color w:val="000000"/>
                <w:sz w:val="24"/>
                <w:szCs w:val="24"/>
                <w:u w:val="none"/>
              </w:rPr>
              <w:t>(2)</w:t>
            </w:r>
            <w:r>
              <w:rPr>
                <w:rFonts w:hint="eastAsia" w:ascii="宋体" w:hAnsi="宋体" w:eastAsia="宋体" w:cs="宋体"/>
                <w:b/>
                <w:bCs/>
                <w:i w:val="0"/>
                <w:iCs w:val="0"/>
                <w:color w:val="000000"/>
                <w:sz w:val="24"/>
                <w:szCs w:val="24"/>
                <w:u w:val="none"/>
              </w:rPr>
              <w:tab/>
            </w:r>
            <w:r>
              <w:rPr>
                <w:rFonts w:hint="eastAsia" w:ascii="宋体" w:hAnsi="宋体" w:eastAsia="宋体" w:cs="宋体"/>
                <w:b/>
                <w:bCs/>
                <w:i w:val="0"/>
                <w:iCs w:val="0"/>
                <w:color w:val="000000"/>
                <w:sz w:val="24"/>
                <w:szCs w:val="24"/>
                <w:u w:val="none"/>
              </w:rPr>
              <w:t>货物指标重要性（第2包）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jc w:val="center"/>
        </w:trPr>
        <w:tc>
          <w:tcPr>
            <w:tcW w:w="1243"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标识重要性</w:t>
            </w:r>
          </w:p>
        </w:tc>
        <w:tc>
          <w:tcPr>
            <w:tcW w:w="88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标识符号</w:t>
            </w:r>
          </w:p>
        </w:tc>
        <w:tc>
          <w:tcPr>
            <w:tcW w:w="2874"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代表意思</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870" w:hRule="atLeast"/>
          <w:jc w:val="center"/>
        </w:trPr>
        <w:tc>
          <w:tcPr>
            <w:tcW w:w="1243"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关键性指标项</w:t>
            </w:r>
          </w:p>
        </w:tc>
        <w:tc>
          <w:tcPr>
            <w:tcW w:w="882"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74"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不满足该指标项将导致投标被拒绝</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0" w:hRule="atLeast"/>
          <w:jc w:val="center"/>
        </w:trPr>
        <w:tc>
          <w:tcPr>
            <w:tcW w:w="1243"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重要指标项</w:t>
            </w:r>
          </w:p>
        </w:tc>
        <w:tc>
          <w:tcPr>
            <w:tcW w:w="882"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74"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评分项，每满足一项得3分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0" w:hRule="atLeast"/>
          <w:jc w:val="center"/>
        </w:trPr>
        <w:tc>
          <w:tcPr>
            <w:tcW w:w="1243"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一般指标项</w:t>
            </w:r>
          </w:p>
        </w:tc>
        <w:tc>
          <w:tcPr>
            <w:tcW w:w="882"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74"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评分项，每满足一项得0.75分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5000" w:type="pct"/>
            <w:gridSpan w:val="3"/>
            <w:tcBorders>
              <w:top w:val="nil"/>
              <w:left w:val="nil"/>
              <w:bottom w:val="nil"/>
              <w:right w:val="nil"/>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(3)货物指标重要性（第3包）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jc w:val="center"/>
        </w:trPr>
        <w:tc>
          <w:tcPr>
            <w:tcW w:w="1243"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标识重要性</w:t>
            </w:r>
          </w:p>
        </w:tc>
        <w:tc>
          <w:tcPr>
            <w:tcW w:w="88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标识符号</w:t>
            </w:r>
          </w:p>
        </w:tc>
        <w:tc>
          <w:tcPr>
            <w:tcW w:w="2874"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代表意思</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870" w:hRule="atLeast"/>
          <w:jc w:val="center"/>
        </w:trPr>
        <w:tc>
          <w:tcPr>
            <w:tcW w:w="1243"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重要指标项</w:t>
            </w:r>
          </w:p>
        </w:tc>
        <w:tc>
          <w:tcPr>
            <w:tcW w:w="882"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74"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评分项，每满足一项得3分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0" w:hRule="atLeast"/>
          <w:jc w:val="center"/>
        </w:trPr>
        <w:tc>
          <w:tcPr>
            <w:tcW w:w="1243"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一般指标项</w:t>
            </w:r>
          </w:p>
        </w:tc>
        <w:tc>
          <w:tcPr>
            <w:tcW w:w="882"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74"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评分项，每满足一项得0.6分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5000" w:type="pct"/>
            <w:gridSpan w:val="3"/>
            <w:tcBorders>
              <w:top w:val="nil"/>
              <w:left w:val="nil"/>
              <w:bottom w:val="nil"/>
              <w:right w:val="nil"/>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(4)货物指标重要性（第4包）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jc w:val="center"/>
        </w:trPr>
        <w:tc>
          <w:tcPr>
            <w:tcW w:w="1243"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标识重要性</w:t>
            </w:r>
          </w:p>
        </w:tc>
        <w:tc>
          <w:tcPr>
            <w:tcW w:w="88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标识符号</w:t>
            </w:r>
          </w:p>
        </w:tc>
        <w:tc>
          <w:tcPr>
            <w:tcW w:w="2874"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代表意思</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870" w:hRule="atLeast"/>
          <w:jc w:val="center"/>
        </w:trPr>
        <w:tc>
          <w:tcPr>
            <w:tcW w:w="1243"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重要指标项</w:t>
            </w:r>
          </w:p>
        </w:tc>
        <w:tc>
          <w:tcPr>
            <w:tcW w:w="882"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74"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评分项，每满足一项得4.5分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0" w:hRule="atLeast"/>
          <w:jc w:val="center"/>
        </w:trPr>
        <w:tc>
          <w:tcPr>
            <w:tcW w:w="1243"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一般指标项</w:t>
            </w:r>
          </w:p>
        </w:tc>
        <w:tc>
          <w:tcPr>
            <w:tcW w:w="882"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74"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评分项，每满足一项得2分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5000" w:type="pct"/>
            <w:gridSpan w:val="3"/>
            <w:tcBorders>
              <w:top w:val="nil"/>
              <w:left w:val="nil"/>
              <w:bottom w:val="nil"/>
              <w:right w:val="nil"/>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(5)货物指标重要性（第5包）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jc w:val="center"/>
        </w:trPr>
        <w:tc>
          <w:tcPr>
            <w:tcW w:w="1243"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标识重要性</w:t>
            </w:r>
          </w:p>
        </w:tc>
        <w:tc>
          <w:tcPr>
            <w:tcW w:w="88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标识符号</w:t>
            </w:r>
          </w:p>
        </w:tc>
        <w:tc>
          <w:tcPr>
            <w:tcW w:w="2874"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代表意思</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870" w:hRule="atLeast"/>
          <w:jc w:val="center"/>
        </w:trPr>
        <w:tc>
          <w:tcPr>
            <w:tcW w:w="1243"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关键性指标项</w:t>
            </w:r>
          </w:p>
        </w:tc>
        <w:tc>
          <w:tcPr>
            <w:tcW w:w="882"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74"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不满足该指标项将导致投标被拒绝</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0" w:hRule="atLeast"/>
          <w:jc w:val="center"/>
        </w:trPr>
        <w:tc>
          <w:tcPr>
            <w:tcW w:w="1243"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重要指标项</w:t>
            </w:r>
          </w:p>
        </w:tc>
        <w:tc>
          <w:tcPr>
            <w:tcW w:w="882"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74"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评分项，每满足一项得3分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0" w:hRule="atLeast"/>
          <w:jc w:val="center"/>
        </w:trPr>
        <w:tc>
          <w:tcPr>
            <w:tcW w:w="1243"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一般指标项</w:t>
            </w:r>
          </w:p>
        </w:tc>
        <w:tc>
          <w:tcPr>
            <w:tcW w:w="882"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74"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评分项，每满足一项得1.5分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5000" w:type="pct"/>
            <w:gridSpan w:val="3"/>
            <w:tcBorders>
              <w:top w:val="nil"/>
              <w:left w:val="nil"/>
              <w:bottom w:val="nil"/>
              <w:right w:val="nil"/>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(6)货物指标重要性（第6包）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jc w:val="center"/>
        </w:trPr>
        <w:tc>
          <w:tcPr>
            <w:tcW w:w="1243"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标识重要性</w:t>
            </w:r>
          </w:p>
        </w:tc>
        <w:tc>
          <w:tcPr>
            <w:tcW w:w="88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标识符号</w:t>
            </w:r>
          </w:p>
        </w:tc>
        <w:tc>
          <w:tcPr>
            <w:tcW w:w="2874"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代表意思</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870" w:hRule="atLeast"/>
          <w:jc w:val="center"/>
        </w:trPr>
        <w:tc>
          <w:tcPr>
            <w:tcW w:w="1243"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关键性指标项</w:t>
            </w:r>
          </w:p>
        </w:tc>
        <w:tc>
          <w:tcPr>
            <w:tcW w:w="882"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74"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不满足该指标项将导致投标被拒绝</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0" w:hRule="atLeast"/>
          <w:jc w:val="center"/>
        </w:trPr>
        <w:tc>
          <w:tcPr>
            <w:tcW w:w="1243"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重要指标项</w:t>
            </w:r>
          </w:p>
        </w:tc>
        <w:tc>
          <w:tcPr>
            <w:tcW w:w="882"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74"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评分项，每满足一项得3分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0" w:hRule="atLeast"/>
          <w:jc w:val="center"/>
        </w:trPr>
        <w:tc>
          <w:tcPr>
            <w:tcW w:w="1243"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一般指标项</w:t>
            </w:r>
          </w:p>
        </w:tc>
        <w:tc>
          <w:tcPr>
            <w:tcW w:w="882"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74"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评分项，每满足一项得0.5分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5000" w:type="pct"/>
            <w:gridSpan w:val="3"/>
            <w:tcBorders>
              <w:top w:val="nil"/>
              <w:left w:val="nil"/>
              <w:bottom w:val="nil"/>
              <w:right w:val="nil"/>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(7)货物指标重要性（第7包）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jc w:val="center"/>
        </w:trPr>
        <w:tc>
          <w:tcPr>
            <w:tcW w:w="1243"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标识重要性</w:t>
            </w:r>
          </w:p>
        </w:tc>
        <w:tc>
          <w:tcPr>
            <w:tcW w:w="88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标识符号</w:t>
            </w:r>
          </w:p>
        </w:tc>
        <w:tc>
          <w:tcPr>
            <w:tcW w:w="2874"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代表意思</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870" w:hRule="atLeast"/>
          <w:jc w:val="center"/>
        </w:trPr>
        <w:tc>
          <w:tcPr>
            <w:tcW w:w="1243"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关键性指标项</w:t>
            </w:r>
          </w:p>
        </w:tc>
        <w:tc>
          <w:tcPr>
            <w:tcW w:w="882"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74"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不满足该指标项将导致投标被拒绝</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0" w:hRule="atLeast"/>
          <w:jc w:val="center"/>
        </w:trPr>
        <w:tc>
          <w:tcPr>
            <w:tcW w:w="1243"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重要指标项</w:t>
            </w:r>
          </w:p>
        </w:tc>
        <w:tc>
          <w:tcPr>
            <w:tcW w:w="882"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74"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评分项，每满足一项得4分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0" w:hRule="atLeast"/>
          <w:jc w:val="center"/>
        </w:trPr>
        <w:tc>
          <w:tcPr>
            <w:tcW w:w="1243"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一般指标项</w:t>
            </w:r>
          </w:p>
        </w:tc>
        <w:tc>
          <w:tcPr>
            <w:tcW w:w="882"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74"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评分项，每满足一项得1分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5000" w:type="pct"/>
            <w:gridSpan w:val="3"/>
            <w:tcBorders>
              <w:top w:val="nil"/>
              <w:left w:val="nil"/>
              <w:bottom w:val="nil"/>
              <w:right w:val="nil"/>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(8)货物指标重要性（第8包）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jc w:val="center"/>
        </w:trPr>
        <w:tc>
          <w:tcPr>
            <w:tcW w:w="1243"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标识重要性</w:t>
            </w:r>
          </w:p>
        </w:tc>
        <w:tc>
          <w:tcPr>
            <w:tcW w:w="88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标识符号</w:t>
            </w:r>
          </w:p>
        </w:tc>
        <w:tc>
          <w:tcPr>
            <w:tcW w:w="2874"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代表意思</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870" w:hRule="atLeast"/>
          <w:jc w:val="center"/>
        </w:trPr>
        <w:tc>
          <w:tcPr>
            <w:tcW w:w="1243"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关键性指标项</w:t>
            </w:r>
          </w:p>
        </w:tc>
        <w:tc>
          <w:tcPr>
            <w:tcW w:w="882"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74"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不满足该指标项将导致投标被拒绝</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0" w:hRule="atLeast"/>
          <w:jc w:val="center"/>
        </w:trPr>
        <w:tc>
          <w:tcPr>
            <w:tcW w:w="1243"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重要指标项</w:t>
            </w:r>
          </w:p>
        </w:tc>
        <w:tc>
          <w:tcPr>
            <w:tcW w:w="882"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74"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评分项，每满足一项得4分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0" w:hRule="atLeast"/>
          <w:jc w:val="center"/>
        </w:trPr>
        <w:tc>
          <w:tcPr>
            <w:tcW w:w="1243"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一般指标项</w:t>
            </w:r>
          </w:p>
        </w:tc>
        <w:tc>
          <w:tcPr>
            <w:tcW w:w="882"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74"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评分项，每满足一项得1分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9" w:hRule="atLeast"/>
          <w:jc w:val="center"/>
        </w:trPr>
        <w:tc>
          <w:tcPr>
            <w:tcW w:w="5000" w:type="pct"/>
            <w:gridSpan w:val="3"/>
            <w:tcBorders>
              <w:top w:val="nil"/>
              <w:left w:val="nil"/>
              <w:bottom w:val="nil"/>
              <w:right w:val="nil"/>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(9)货物指标重要性（第9包）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jc w:val="center"/>
        </w:trPr>
        <w:tc>
          <w:tcPr>
            <w:tcW w:w="1243"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标识重要性</w:t>
            </w:r>
          </w:p>
        </w:tc>
        <w:tc>
          <w:tcPr>
            <w:tcW w:w="88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标识符号</w:t>
            </w:r>
          </w:p>
        </w:tc>
        <w:tc>
          <w:tcPr>
            <w:tcW w:w="2874"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代表意思</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870" w:hRule="atLeast"/>
          <w:jc w:val="center"/>
        </w:trPr>
        <w:tc>
          <w:tcPr>
            <w:tcW w:w="1243"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关键性指标项</w:t>
            </w:r>
          </w:p>
        </w:tc>
        <w:tc>
          <w:tcPr>
            <w:tcW w:w="882"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74"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不满足该指标项将导致投标被拒绝</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0" w:hRule="atLeast"/>
          <w:jc w:val="center"/>
        </w:trPr>
        <w:tc>
          <w:tcPr>
            <w:tcW w:w="1243"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重要指标项</w:t>
            </w:r>
          </w:p>
        </w:tc>
        <w:tc>
          <w:tcPr>
            <w:tcW w:w="882"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74"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评分项，每满足一项得4分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0" w:hRule="atLeast"/>
          <w:jc w:val="center"/>
        </w:trPr>
        <w:tc>
          <w:tcPr>
            <w:tcW w:w="1243"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一般指标项</w:t>
            </w:r>
          </w:p>
        </w:tc>
        <w:tc>
          <w:tcPr>
            <w:tcW w:w="882"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74"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评分项，每满足一项得1分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5000" w:type="pct"/>
            <w:gridSpan w:val="3"/>
            <w:tcBorders>
              <w:top w:val="nil"/>
              <w:left w:val="nil"/>
              <w:bottom w:val="nil"/>
              <w:right w:val="nil"/>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(10)货物指标重要性（第10包）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jc w:val="center"/>
        </w:trPr>
        <w:tc>
          <w:tcPr>
            <w:tcW w:w="1243"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标识重要性</w:t>
            </w:r>
          </w:p>
        </w:tc>
        <w:tc>
          <w:tcPr>
            <w:tcW w:w="88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标识符号</w:t>
            </w:r>
          </w:p>
        </w:tc>
        <w:tc>
          <w:tcPr>
            <w:tcW w:w="2874"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代表意思</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870" w:hRule="atLeast"/>
          <w:jc w:val="center"/>
        </w:trPr>
        <w:tc>
          <w:tcPr>
            <w:tcW w:w="1243"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关键性指标项</w:t>
            </w:r>
          </w:p>
        </w:tc>
        <w:tc>
          <w:tcPr>
            <w:tcW w:w="882"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74"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不满足该指标项将导致投标被拒绝</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0" w:hRule="atLeast"/>
          <w:jc w:val="center"/>
        </w:trPr>
        <w:tc>
          <w:tcPr>
            <w:tcW w:w="1243"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重要指标项</w:t>
            </w:r>
          </w:p>
        </w:tc>
        <w:tc>
          <w:tcPr>
            <w:tcW w:w="882"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74"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评分项，每满足一项得4分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0" w:hRule="atLeast"/>
          <w:jc w:val="center"/>
        </w:trPr>
        <w:tc>
          <w:tcPr>
            <w:tcW w:w="1243"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一般指标项</w:t>
            </w:r>
          </w:p>
        </w:tc>
        <w:tc>
          <w:tcPr>
            <w:tcW w:w="882"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74"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评分项，每满足一项得1.4分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5000" w:type="pct"/>
            <w:gridSpan w:val="3"/>
            <w:tcBorders>
              <w:top w:val="nil"/>
              <w:left w:val="nil"/>
              <w:bottom w:val="nil"/>
              <w:right w:val="nil"/>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(11)货物指标重要性（第11包）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jc w:val="center"/>
        </w:trPr>
        <w:tc>
          <w:tcPr>
            <w:tcW w:w="1243"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标识重要性</w:t>
            </w:r>
          </w:p>
        </w:tc>
        <w:tc>
          <w:tcPr>
            <w:tcW w:w="88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标识符号</w:t>
            </w:r>
          </w:p>
        </w:tc>
        <w:tc>
          <w:tcPr>
            <w:tcW w:w="2874"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代表意思</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870" w:hRule="atLeast"/>
          <w:jc w:val="center"/>
        </w:trPr>
        <w:tc>
          <w:tcPr>
            <w:tcW w:w="1243"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关键性指标项</w:t>
            </w:r>
          </w:p>
        </w:tc>
        <w:tc>
          <w:tcPr>
            <w:tcW w:w="882"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74"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不满足该指标项将导致投标被拒绝</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0" w:hRule="atLeast"/>
          <w:jc w:val="center"/>
        </w:trPr>
        <w:tc>
          <w:tcPr>
            <w:tcW w:w="1243"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重要指标项</w:t>
            </w:r>
          </w:p>
        </w:tc>
        <w:tc>
          <w:tcPr>
            <w:tcW w:w="882"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74"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评分项，每满足一项得4分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0" w:hRule="atLeast"/>
          <w:jc w:val="center"/>
        </w:trPr>
        <w:tc>
          <w:tcPr>
            <w:tcW w:w="1243"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一般指标项</w:t>
            </w:r>
          </w:p>
        </w:tc>
        <w:tc>
          <w:tcPr>
            <w:tcW w:w="882"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74"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评分项，每满足一项得1.4分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5000" w:type="pct"/>
            <w:gridSpan w:val="3"/>
            <w:tcBorders>
              <w:top w:val="nil"/>
              <w:left w:val="nil"/>
              <w:bottom w:val="nil"/>
              <w:right w:val="nil"/>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(12)货物指标重要性（第12包）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jc w:val="center"/>
        </w:trPr>
        <w:tc>
          <w:tcPr>
            <w:tcW w:w="1243"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标识重要性</w:t>
            </w:r>
          </w:p>
        </w:tc>
        <w:tc>
          <w:tcPr>
            <w:tcW w:w="88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标识符号</w:t>
            </w:r>
          </w:p>
        </w:tc>
        <w:tc>
          <w:tcPr>
            <w:tcW w:w="2874"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代表意思</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870" w:hRule="atLeast"/>
          <w:jc w:val="center"/>
        </w:trPr>
        <w:tc>
          <w:tcPr>
            <w:tcW w:w="1243"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关键性指标项</w:t>
            </w:r>
          </w:p>
        </w:tc>
        <w:tc>
          <w:tcPr>
            <w:tcW w:w="882"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74"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不满足该指标项将导致投标被拒绝</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0" w:hRule="atLeast"/>
          <w:jc w:val="center"/>
        </w:trPr>
        <w:tc>
          <w:tcPr>
            <w:tcW w:w="1243"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重要指标项</w:t>
            </w:r>
          </w:p>
        </w:tc>
        <w:tc>
          <w:tcPr>
            <w:tcW w:w="882"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74"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评分项，每满足一项得3分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0" w:hRule="atLeast"/>
          <w:jc w:val="center"/>
        </w:trPr>
        <w:tc>
          <w:tcPr>
            <w:tcW w:w="1243"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一般指标项</w:t>
            </w:r>
          </w:p>
        </w:tc>
        <w:tc>
          <w:tcPr>
            <w:tcW w:w="882"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74"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评分项，每满足一项得1分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5000" w:type="pct"/>
            <w:gridSpan w:val="3"/>
            <w:tcBorders>
              <w:top w:val="nil"/>
              <w:left w:val="nil"/>
              <w:bottom w:val="nil"/>
              <w:right w:val="nil"/>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(13)货物指标重要性（第13包）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jc w:val="center"/>
        </w:trPr>
        <w:tc>
          <w:tcPr>
            <w:tcW w:w="1243"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标识重要性</w:t>
            </w:r>
          </w:p>
        </w:tc>
        <w:tc>
          <w:tcPr>
            <w:tcW w:w="88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标识符号</w:t>
            </w:r>
          </w:p>
        </w:tc>
        <w:tc>
          <w:tcPr>
            <w:tcW w:w="2874"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代表意思</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870" w:hRule="atLeast"/>
          <w:jc w:val="center"/>
        </w:trPr>
        <w:tc>
          <w:tcPr>
            <w:tcW w:w="1243"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关键性指标项</w:t>
            </w:r>
          </w:p>
        </w:tc>
        <w:tc>
          <w:tcPr>
            <w:tcW w:w="882"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74"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不满足该指标项将导致投标被拒绝</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0" w:hRule="atLeast"/>
          <w:jc w:val="center"/>
        </w:trPr>
        <w:tc>
          <w:tcPr>
            <w:tcW w:w="1243"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重要指标项</w:t>
            </w:r>
          </w:p>
        </w:tc>
        <w:tc>
          <w:tcPr>
            <w:tcW w:w="882"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74"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评分项，每满足一项得2分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0" w:hRule="atLeast"/>
          <w:jc w:val="center"/>
        </w:trPr>
        <w:tc>
          <w:tcPr>
            <w:tcW w:w="1243"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一般指标项</w:t>
            </w:r>
          </w:p>
        </w:tc>
        <w:tc>
          <w:tcPr>
            <w:tcW w:w="882"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74"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评分项，每满足一项得1分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5000" w:type="pct"/>
            <w:gridSpan w:val="3"/>
            <w:tcBorders>
              <w:top w:val="nil"/>
              <w:left w:val="nil"/>
              <w:bottom w:val="nil"/>
              <w:right w:val="nil"/>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(14)货物指标重要性（第14包）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jc w:val="center"/>
        </w:trPr>
        <w:tc>
          <w:tcPr>
            <w:tcW w:w="1243"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标识重要性</w:t>
            </w:r>
          </w:p>
        </w:tc>
        <w:tc>
          <w:tcPr>
            <w:tcW w:w="88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标识符号</w:t>
            </w:r>
          </w:p>
        </w:tc>
        <w:tc>
          <w:tcPr>
            <w:tcW w:w="2874"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代表意思</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870" w:hRule="atLeast"/>
          <w:jc w:val="center"/>
        </w:trPr>
        <w:tc>
          <w:tcPr>
            <w:tcW w:w="1243"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关键性指标项</w:t>
            </w:r>
          </w:p>
        </w:tc>
        <w:tc>
          <w:tcPr>
            <w:tcW w:w="882"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74"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不满足该指标项将导致投标被拒绝</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0" w:hRule="atLeast"/>
          <w:jc w:val="center"/>
        </w:trPr>
        <w:tc>
          <w:tcPr>
            <w:tcW w:w="1243"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重要指标项</w:t>
            </w:r>
          </w:p>
        </w:tc>
        <w:tc>
          <w:tcPr>
            <w:tcW w:w="882"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74"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评分项，每满足一项得1.5分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0" w:hRule="atLeast"/>
          <w:jc w:val="center"/>
        </w:trPr>
        <w:tc>
          <w:tcPr>
            <w:tcW w:w="1243"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一般指标项</w:t>
            </w:r>
          </w:p>
        </w:tc>
        <w:tc>
          <w:tcPr>
            <w:tcW w:w="882"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74"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评分项，每满足一项得1.05分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5000" w:type="pct"/>
            <w:gridSpan w:val="3"/>
            <w:tcBorders>
              <w:top w:val="nil"/>
              <w:left w:val="nil"/>
              <w:bottom w:val="nil"/>
              <w:right w:val="nil"/>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(15)货物指标重要性（第15包）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jc w:val="center"/>
        </w:trPr>
        <w:tc>
          <w:tcPr>
            <w:tcW w:w="1243"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标识重要性</w:t>
            </w:r>
          </w:p>
        </w:tc>
        <w:tc>
          <w:tcPr>
            <w:tcW w:w="88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标识符号</w:t>
            </w:r>
          </w:p>
        </w:tc>
        <w:tc>
          <w:tcPr>
            <w:tcW w:w="2874"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代表意思</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870" w:hRule="atLeast"/>
          <w:jc w:val="center"/>
        </w:trPr>
        <w:tc>
          <w:tcPr>
            <w:tcW w:w="1243"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关键性指标项</w:t>
            </w:r>
          </w:p>
        </w:tc>
        <w:tc>
          <w:tcPr>
            <w:tcW w:w="882"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74"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不满足该指标项将导致投标被拒绝</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0" w:hRule="atLeast"/>
          <w:jc w:val="center"/>
        </w:trPr>
        <w:tc>
          <w:tcPr>
            <w:tcW w:w="1243"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重要指标项</w:t>
            </w:r>
          </w:p>
        </w:tc>
        <w:tc>
          <w:tcPr>
            <w:tcW w:w="882"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74"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评分项，每满足一项得1.5分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0" w:hRule="atLeast"/>
          <w:jc w:val="center"/>
        </w:trPr>
        <w:tc>
          <w:tcPr>
            <w:tcW w:w="1243"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一般指标项</w:t>
            </w:r>
          </w:p>
        </w:tc>
        <w:tc>
          <w:tcPr>
            <w:tcW w:w="882"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74"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评分项，每满足一项得0.6分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5000" w:type="pct"/>
            <w:gridSpan w:val="3"/>
            <w:tcBorders>
              <w:top w:val="nil"/>
              <w:left w:val="nil"/>
              <w:bottom w:val="nil"/>
              <w:right w:val="nil"/>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(16)货物指标重要性（第16包）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jc w:val="center"/>
        </w:trPr>
        <w:tc>
          <w:tcPr>
            <w:tcW w:w="1243"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标识重要性</w:t>
            </w:r>
          </w:p>
        </w:tc>
        <w:tc>
          <w:tcPr>
            <w:tcW w:w="88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标识符号</w:t>
            </w:r>
          </w:p>
        </w:tc>
        <w:tc>
          <w:tcPr>
            <w:tcW w:w="2874"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代表意思</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870" w:hRule="atLeast"/>
          <w:jc w:val="center"/>
        </w:trPr>
        <w:tc>
          <w:tcPr>
            <w:tcW w:w="1243"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关键性指标项</w:t>
            </w:r>
          </w:p>
        </w:tc>
        <w:tc>
          <w:tcPr>
            <w:tcW w:w="882"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74"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不满足该指标项将导致投标被拒绝</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0" w:hRule="atLeast"/>
          <w:jc w:val="center"/>
        </w:trPr>
        <w:tc>
          <w:tcPr>
            <w:tcW w:w="1243"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重要指标项</w:t>
            </w:r>
          </w:p>
        </w:tc>
        <w:tc>
          <w:tcPr>
            <w:tcW w:w="882"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74"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评分项，每满足一项得1.5分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0" w:hRule="atLeast"/>
          <w:jc w:val="center"/>
        </w:trPr>
        <w:tc>
          <w:tcPr>
            <w:tcW w:w="1243"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一般指标项</w:t>
            </w:r>
          </w:p>
        </w:tc>
        <w:tc>
          <w:tcPr>
            <w:tcW w:w="882"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74"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评分项，每满足一项得0.6分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5000" w:type="pct"/>
            <w:gridSpan w:val="3"/>
            <w:tcBorders>
              <w:top w:val="nil"/>
              <w:left w:val="nil"/>
              <w:bottom w:val="nil"/>
              <w:right w:val="nil"/>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(17)货物指标重要性（第17包）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jc w:val="center"/>
        </w:trPr>
        <w:tc>
          <w:tcPr>
            <w:tcW w:w="1243"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标识重要性</w:t>
            </w:r>
          </w:p>
        </w:tc>
        <w:tc>
          <w:tcPr>
            <w:tcW w:w="88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标识符号</w:t>
            </w:r>
          </w:p>
        </w:tc>
        <w:tc>
          <w:tcPr>
            <w:tcW w:w="2874"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代表意思</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870" w:hRule="atLeast"/>
          <w:jc w:val="center"/>
        </w:trPr>
        <w:tc>
          <w:tcPr>
            <w:tcW w:w="1243"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关键性指标项</w:t>
            </w:r>
          </w:p>
        </w:tc>
        <w:tc>
          <w:tcPr>
            <w:tcW w:w="882"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74"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不满足该指标项将导致投标被拒绝</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0" w:hRule="atLeast"/>
          <w:jc w:val="center"/>
        </w:trPr>
        <w:tc>
          <w:tcPr>
            <w:tcW w:w="1243"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重要指标项</w:t>
            </w:r>
          </w:p>
        </w:tc>
        <w:tc>
          <w:tcPr>
            <w:tcW w:w="882"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74"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评分项，每满足一项得3分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0" w:hRule="atLeast"/>
          <w:jc w:val="center"/>
        </w:trPr>
        <w:tc>
          <w:tcPr>
            <w:tcW w:w="1243"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一般指标项</w:t>
            </w:r>
          </w:p>
        </w:tc>
        <w:tc>
          <w:tcPr>
            <w:tcW w:w="882"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74"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评分项，每满足一项得1.5分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5000" w:type="pct"/>
            <w:gridSpan w:val="3"/>
            <w:tcBorders>
              <w:top w:val="nil"/>
              <w:left w:val="nil"/>
              <w:bottom w:val="nil"/>
              <w:right w:val="nil"/>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(18)货物指标重要性（第18包）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jc w:val="center"/>
        </w:trPr>
        <w:tc>
          <w:tcPr>
            <w:tcW w:w="1243"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标识重要性</w:t>
            </w:r>
          </w:p>
        </w:tc>
        <w:tc>
          <w:tcPr>
            <w:tcW w:w="88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标识符号</w:t>
            </w:r>
          </w:p>
        </w:tc>
        <w:tc>
          <w:tcPr>
            <w:tcW w:w="2874"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代表意思</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585" w:hRule="atLeast"/>
          <w:jc w:val="center"/>
        </w:trPr>
        <w:tc>
          <w:tcPr>
            <w:tcW w:w="1243"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关键性指标项</w:t>
            </w:r>
          </w:p>
        </w:tc>
        <w:tc>
          <w:tcPr>
            <w:tcW w:w="88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w:t>
            </w:r>
          </w:p>
        </w:tc>
        <w:tc>
          <w:tcPr>
            <w:tcW w:w="2874"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不满足该指标项将导致投标被拒绝</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0" w:hRule="atLeast"/>
          <w:jc w:val="center"/>
        </w:trPr>
        <w:tc>
          <w:tcPr>
            <w:tcW w:w="1243"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重要指标项</w:t>
            </w:r>
          </w:p>
        </w:tc>
        <w:tc>
          <w:tcPr>
            <w:tcW w:w="882"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74"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评分项，每满足一项得2分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0" w:hRule="atLeast"/>
          <w:jc w:val="center"/>
        </w:trPr>
        <w:tc>
          <w:tcPr>
            <w:tcW w:w="1243"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一般指标项</w:t>
            </w:r>
          </w:p>
        </w:tc>
        <w:tc>
          <w:tcPr>
            <w:tcW w:w="882"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74"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评分项，每满足一项得1.5分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5000" w:type="pct"/>
            <w:gridSpan w:val="3"/>
            <w:tcBorders>
              <w:top w:val="nil"/>
              <w:left w:val="nil"/>
              <w:bottom w:val="nil"/>
              <w:right w:val="nil"/>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(19)货物指标重要性（第19包）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jc w:val="center"/>
        </w:trPr>
        <w:tc>
          <w:tcPr>
            <w:tcW w:w="1243"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标识重要性</w:t>
            </w:r>
          </w:p>
        </w:tc>
        <w:tc>
          <w:tcPr>
            <w:tcW w:w="88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标识符号</w:t>
            </w:r>
          </w:p>
        </w:tc>
        <w:tc>
          <w:tcPr>
            <w:tcW w:w="2874"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代表意思</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870" w:hRule="atLeast"/>
          <w:jc w:val="center"/>
        </w:trPr>
        <w:tc>
          <w:tcPr>
            <w:tcW w:w="1243"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关键性指标项</w:t>
            </w:r>
          </w:p>
        </w:tc>
        <w:tc>
          <w:tcPr>
            <w:tcW w:w="882"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74"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不满足该指标项将导致投标被拒绝</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0" w:hRule="atLeast"/>
          <w:jc w:val="center"/>
        </w:trPr>
        <w:tc>
          <w:tcPr>
            <w:tcW w:w="1243"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重要指标项</w:t>
            </w:r>
          </w:p>
        </w:tc>
        <w:tc>
          <w:tcPr>
            <w:tcW w:w="882"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74"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评分项，每满足一项得3分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0" w:hRule="atLeast"/>
          <w:jc w:val="center"/>
        </w:trPr>
        <w:tc>
          <w:tcPr>
            <w:tcW w:w="1243"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一般指标项</w:t>
            </w:r>
          </w:p>
        </w:tc>
        <w:tc>
          <w:tcPr>
            <w:tcW w:w="882"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74"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评分项，每满足一项得1.5分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5000" w:type="pct"/>
            <w:gridSpan w:val="3"/>
            <w:tcBorders>
              <w:top w:val="nil"/>
              <w:left w:val="nil"/>
              <w:bottom w:val="nil"/>
              <w:right w:val="nil"/>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(20)货物指标重要性（第20包）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jc w:val="center"/>
        </w:trPr>
        <w:tc>
          <w:tcPr>
            <w:tcW w:w="1243"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标识重要性</w:t>
            </w:r>
          </w:p>
        </w:tc>
        <w:tc>
          <w:tcPr>
            <w:tcW w:w="88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标识符号</w:t>
            </w:r>
          </w:p>
        </w:tc>
        <w:tc>
          <w:tcPr>
            <w:tcW w:w="2874"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代表意思</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870" w:hRule="atLeast"/>
          <w:jc w:val="center"/>
        </w:trPr>
        <w:tc>
          <w:tcPr>
            <w:tcW w:w="1243"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关键性指标项</w:t>
            </w:r>
          </w:p>
        </w:tc>
        <w:tc>
          <w:tcPr>
            <w:tcW w:w="882"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74"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不满足该指标项将导致投标被拒绝</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0" w:hRule="atLeast"/>
          <w:jc w:val="center"/>
        </w:trPr>
        <w:tc>
          <w:tcPr>
            <w:tcW w:w="1243"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重要指标项</w:t>
            </w:r>
          </w:p>
        </w:tc>
        <w:tc>
          <w:tcPr>
            <w:tcW w:w="882"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74"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评分项，每满足一项得7分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0" w:hRule="atLeast"/>
          <w:jc w:val="center"/>
        </w:trPr>
        <w:tc>
          <w:tcPr>
            <w:tcW w:w="1243"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一般指标项</w:t>
            </w:r>
          </w:p>
        </w:tc>
        <w:tc>
          <w:tcPr>
            <w:tcW w:w="882"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w:t>
            </w:r>
          </w:p>
        </w:tc>
        <w:tc>
          <w:tcPr>
            <w:tcW w:w="2874"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评分项，每满足一项得4分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5000" w:type="pct"/>
            <w:gridSpan w:val="3"/>
            <w:tcBorders>
              <w:top w:val="nil"/>
              <w:left w:val="nil"/>
              <w:bottom w:val="nil"/>
              <w:right w:val="nil"/>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(21)货物指标重要性（第21包）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jc w:val="center"/>
        </w:trPr>
        <w:tc>
          <w:tcPr>
            <w:tcW w:w="1243"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标识重要性</w:t>
            </w:r>
          </w:p>
        </w:tc>
        <w:tc>
          <w:tcPr>
            <w:tcW w:w="88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标识符号</w:t>
            </w:r>
          </w:p>
        </w:tc>
        <w:tc>
          <w:tcPr>
            <w:tcW w:w="2874"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代表意思</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870" w:hRule="atLeast"/>
          <w:jc w:val="center"/>
        </w:trPr>
        <w:tc>
          <w:tcPr>
            <w:tcW w:w="1243"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重要指标项</w:t>
            </w:r>
          </w:p>
        </w:tc>
        <w:tc>
          <w:tcPr>
            <w:tcW w:w="882"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74"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评分项，每满足一项得6分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0" w:hRule="atLeast"/>
          <w:jc w:val="center"/>
        </w:trPr>
        <w:tc>
          <w:tcPr>
            <w:tcW w:w="1243"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一般指标项</w:t>
            </w:r>
          </w:p>
        </w:tc>
        <w:tc>
          <w:tcPr>
            <w:tcW w:w="882"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74"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评分项，每满足一项得3分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5000" w:type="pct"/>
            <w:gridSpan w:val="3"/>
            <w:tcBorders>
              <w:top w:val="nil"/>
              <w:left w:val="nil"/>
              <w:bottom w:val="nil"/>
              <w:right w:val="nil"/>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(22)货物指标重要性（第22包）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jc w:val="center"/>
        </w:trPr>
        <w:tc>
          <w:tcPr>
            <w:tcW w:w="1243"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标识重要性</w:t>
            </w:r>
          </w:p>
        </w:tc>
        <w:tc>
          <w:tcPr>
            <w:tcW w:w="88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标识符号</w:t>
            </w:r>
          </w:p>
        </w:tc>
        <w:tc>
          <w:tcPr>
            <w:tcW w:w="2874"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代表意思</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870" w:hRule="atLeast"/>
          <w:jc w:val="center"/>
        </w:trPr>
        <w:tc>
          <w:tcPr>
            <w:tcW w:w="1243"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重要指标项</w:t>
            </w:r>
          </w:p>
        </w:tc>
        <w:tc>
          <w:tcPr>
            <w:tcW w:w="882"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74"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评分项，每满足一项得3分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0" w:hRule="atLeast"/>
          <w:jc w:val="center"/>
        </w:trPr>
        <w:tc>
          <w:tcPr>
            <w:tcW w:w="1243"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一般指标项</w:t>
            </w:r>
          </w:p>
        </w:tc>
        <w:tc>
          <w:tcPr>
            <w:tcW w:w="882"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74"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评分项，每满足一项得0.5分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5000" w:type="pct"/>
            <w:gridSpan w:val="3"/>
            <w:tcBorders>
              <w:top w:val="nil"/>
              <w:left w:val="nil"/>
              <w:bottom w:val="nil"/>
              <w:right w:val="nil"/>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(23)货物指标重要性（第23包）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jc w:val="center"/>
        </w:trPr>
        <w:tc>
          <w:tcPr>
            <w:tcW w:w="1243"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标识重要性</w:t>
            </w:r>
          </w:p>
        </w:tc>
        <w:tc>
          <w:tcPr>
            <w:tcW w:w="882"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标识符号</w:t>
            </w:r>
          </w:p>
        </w:tc>
        <w:tc>
          <w:tcPr>
            <w:tcW w:w="2874" w:type="pc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代表意思</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870" w:hRule="atLeast"/>
          <w:jc w:val="center"/>
        </w:trPr>
        <w:tc>
          <w:tcPr>
            <w:tcW w:w="1243"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关键性指标项</w:t>
            </w:r>
          </w:p>
        </w:tc>
        <w:tc>
          <w:tcPr>
            <w:tcW w:w="882"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74"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不满足该指标项将导致投标被拒绝</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0" w:hRule="atLeast"/>
          <w:jc w:val="center"/>
        </w:trPr>
        <w:tc>
          <w:tcPr>
            <w:tcW w:w="1243"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重要指标项</w:t>
            </w:r>
          </w:p>
        </w:tc>
        <w:tc>
          <w:tcPr>
            <w:tcW w:w="882"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74"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评分项，每满足一项得5分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0" w:hRule="atLeast"/>
          <w:jc w:val="center"/>
        </w:trPr>
        <w:tc>
          <w:tcPr>
            <w:tcW w:w="1243"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一般指标项</w:t>
            </w:r>
          </w:p>
        </w:tc>
        <w:tc>
          <w:tcPr>
            <w:tcW w:w="882"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874" w:type="pc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评分项，每满足一项得1分</w:t>
            </w:r>
          </w:p>
        </w:tc>
      </w:tr>
    </w:tbl>
    <w:p>
      <w:pPr>
        <w:rPr>
          <w:rFonts w:hint="eastAsia" w:ascii="宋体" w:hAnsi="宋体" w:eastAsia="宋体" w:cs="宋体"/>
          <w:b/>
          <w:bCs/>
          <w:sz w:val="24"/>
          <w:szCs w:val="24"/>
        </w:rPr>
      </w:pPr>
      <w:r>
        <w:rPr>
          <w:rFonts w:hint="eastAsia" w:ascii="宋体" w:hAnsi="宋体" w:eastAsia="宋体" w:cs="宋体"/>
          <w:b/>
          <w:bCs/>
          <w:sz w:val="24"/>
          <w:szCs w:val="24"/>
        </w:rPr>
        <w:br w:type="page"/>
      </w:r>
    </w:p>
    <w:p>
      <w:pPr>
        <w:keepNext w:val="0"/>
        <w:keepLines w:val="0"/>
        <w:pageBreakBefore w:val="0"/>
        <w:kinsoku/>
        <w:wordWrap/>
        <w:overflowPunct/>
        <w:topLinePunct w:val="0"/>
        <w:autoSpaceDE/>
        <w:autoSpaceDN/>
        <w:bidi w:val="0"/>
        <w:adjustRightInd/>
        <w:snapToGrid/>
        <w:spacing w:line="360" w:lineRule="auto"/>
        <w:outlineLvl w:val="0"/>
        <w:rPr>
          <w:rFonts w:hint="eastAsia" w:ascii="宋体" w:hAnsi="宋体" w:eastAsia="宋体" w:cs="宋体"/>
          <w:b/>
          <w:bCs/>
          <w:sz w:val="24"/>
          <w:szCs w:val="24"/>
          <w:lang w:val="en-US"/>
        </w:rPr>
      </w:pPr>
      <w:bookmarkStart w:id="2" w:name="_Toc13205"/>
      <w:bookmarkStart w:id="3" w:name="_Toc26370"/>
      <w:r>
        <w:rPr>
          <w:rFonts w:hint="eastAsia" w:ascii="宋体" w:hAnsi="宋体" w:eastAsia="宋体" w:cs="宋体"/>
          <w:b/>
          <w:bCs/>
          <w:sz w:val="24"/>
          <w:szCs w:val="24"/>
        </w:rPr>
        <w:t>第1包：</w:t>
      </w:r>
      <w:r>
        <w:rPr>
          <w:rFonts w:hint="eastAsia" w:ascii="宋体" w:hAnsi="宋体" w:eastAsia="宋体" w:cs="宋体"/>
          <w:b/>
          <w:bCs/>
          <w:sz w:val="24"/>
          <w:szCs w:val="24"/>
          <w:lang w:val="en-US" w:eastAsia="zh-CN"/>
        </w:rPr>
        <w:t>一级化学防护服、特级化学防护服</w:t>
      </w:r>
      <w:bookmarkEnd w:id="2"/>
      <w:bookmarkEnd w:id="3"/>
    </w:p>
    <w:tbl>
      <w:tblPr>
        <w:tblStyle w:val="58"/>
        <w:tblW w:w="102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60"/>
        <w:gridCol w:w="4174"/>
        <w:gridCol w:w="2616"/>
        <w:gridCol w:w="23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60" w:type="dxa"/>
            <w:noWrap w:val="0"/>
            <w:vAlign w:val="center"/>
          </w:tcPr>
          <w:p>
            <w:pPr>
              <w:keepNext w:val="0"/>
              <w:keepLines w:val="0"/>
              <w:pageBreakBefore w:val="0"/>
              <w:kinsoku/>
              <w:wordWrap/>
              <w:overflowPunct/>
              <w:topLinePunct w:val="0"/>
              <w:autoSpaceDE/>
              <w:autoSpaceDN/>
              <w:bidi w:val="0"/>
              <w:adjustRightInd/>
              <w:snapToGrid/>
              <w:spacing w:line="360" w:lineRule="auto"/>
              <w:jc w:val="center"/>
              <w:outlineLvl w:val="2"/>
              <w:rPr>
                <w:rFonts w:hint="eastAsia" w:ascii="宋体" w:hAnsi="宋体" w:eastAsia="宋体" w:cs="宋体"/>
                <w:b/>
                <w:bCs/>
                <w:sz w:val="24"/>
                <w:szCs w:val="24"/>
              </w:rPr>
            </w:pPr>
            <w:r>
              <w:rPr>
                <w:rFonts w:hint="eastAsia" w:ascii="宋体" w:hAnsi="宋体" w:eastAsia="宋体" w:cs="宋体"/>
                <w:b/>
                <w:bCs/>
                <w:sz w:val="24"/>
                <w:szCs w:val="24"/>
              </w:rPr>
              <w:t>序号</w:t>
            </w:r>
          </w:p>
        </w:tc>
        <w:tc>
          <w:tcPr>
            <w:tcW w:w="4174" w:type="dxa"/>
            <w:noWrap w:val="0"/>
            <w:vAlign w:val="center"/>
          </w:tcPr>
          <w:p>
            <w:pPr>
              <w:keepNext w:val="0"/>
              <w:keepLines w:val="0"/>
              <w:pageBreakBefore w:val="0"/>
              <w:kinsoku/>
              <w:wordWrap/>
              <w:overflowPunct/>
              <w:topLinePunct w:val="0"/>
              <w:autoSpaceDE/>
              <w:autoSpaceDN/>
              <w:bidi w:val="0"/>
              <w:adjustRightInd/>
              <w:snapToGrid/>
              <w:spacing w:line="360" w:lineRule="auto"/>
              <w:jc w:val="center"/>
              <w:outlineLvl w:val="2"/>
              <w:rPr>
                <w:rFonts w:hint="eastAsia" w:ascii="宋体" w:hAnsi="宋体" w:eastAsia="宋体" w:cs="宋体"/>
                <w:b/>
                <w:bCs/>
                <w:sz w:val="24"/>
                <w:szCs w:val="24"/>
              </w:rPr>
            </w:pPr>
            <w:r>
              <w:rPr>
                <w:rFonts w:hint="eastAsia" w:ascii="宋体" w:hAnsi="宋体" w:eastAsia="宋体" w:cs="宋体"/>
                <w:b/>
                <w:bCs/>
                <w:sz w:val="24"/>
                <w:szCs w:val="24"/>
              </w:rPr>
              <w:t>货物名称</w:t>
            </w:r>
          </w:p>
        </w:tc>
        <w:tc>
          <w:tcPr>
            <w:tcW w:w="2616" w:type="dxa"/>
            <w:noWrap w:val="0"/>
            <w:vAlign w:val="center"/>
          </w:tcPr>
          <w:p>
            <w:pPr>
              <w:keepNext w:val="0"/>
              <w:keepLines w:val="0"/>
              <w:pageBreakBefore w:val="0"/>
              <w:kinsoku/>
              <w:wordWrap/>
              <w:overflowPunct/>
              <w:topLinePunct w:val="0"/>
              <w:autoSpaceDE/>
              <w:autoSpaceDN/>
              <w:bidi w:val="0"/>
              <w:adjustRightInd/>
              <w:snapToGrid/>
              <w:spacing w:line="360" w:lineRule="auto"/>
              <w:jc w:val="center"/>
              <w:outlineLvl w:val="2"/>
              <w:rPr>
                <w:rFonts w:hint="eastAsia" w:ascii="宋体" w:hAnsi="宋体" w:eastAsia="宋体" w:cs="宋体"/>
                <w:b/>
                <w:bCs/>
                <w:sz w:val="24"/>
                <w:szCs w:val="24"/>
              </w:rPr>
            </w:pPr>
            <w:r>
              <w:rPr>
                <w:rFonts w:hint="eastAsia" w:ascii="宋体" w:hAnsi="宋体" w:eastAsia="宋体" w:cs="宋体"/>
                <w:b/>
                <w:bCs/>
                <w:sz w:val="24"/>
                <w:szCs w:val="24"/>
              </w:rPr>
              <w:t>数量</w:t>
            </w:r>
          </w:p>
        </w:tc>
        <w:tc>
          <w:tcPr>
            <w:tcW w:w="2398" w:type="dxa"/>
            <w:noWrap w:val="0"/>
            <w:vAlign w:val="center"/>
          </w:tcPr>
          <w:p>
            <w:pPr>
              <w:keepNext w:val="0"/>
              <w:keepLines w:val="0"/>
              <w:pageBreakBefore w:val="0"/>
              <w:kinsoku/>
              <w:wordWrap/>
              <w:overflowPunct/>
              <w:topLinePunct w:val="0"/>
              <w:autoSpaceDE/>
              <w:autoSpaceDN/>
              <w:bidi w:val="0"/>
              <w:adjustRightInd/>
              <w:snapToGrid/>
              <w:spacing w:line="360" w:lineRule="auto"/>
              <w:jc w:val="center"/>
              <w:outlineLvl w:val="2"/>
              <w:rPr>
                <w:rFonts w:hint="eastAsia" w:ascii="宋体" w:hAnsi="宋体" w:eastAsia="宋体" w:cs="宋体"/>
                <w:b/>
                <w:bCs/>
                <w:sz w:val="24"/>
                <w:szCs w:val="24"/>
              </w:rPr>
            </w:pPr>
            <w:r>
              <w:rPr>
                <w:rFonts w:hint="eastAsia" w:ascii="宋体" w:hAnsi="宋体" w:eastAsia="宋体" w:cs="宋体"/>
                <w:b/>
                <w:bCs/>
                <w:sz w:val="24"/>
                <w:szCs w:val="24"/>
              </w:rPr>
              <w:t>所属行业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60"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sz w:val="24"/>
                <w:szCs w:val="24"/>
              </w:rPr>
            </w:pPr>
            <w:r>
              <w:rPr>
                <w:rFonts w:hint="eastAsia" w:ascii="宋体" w:hAnsi="宋体" w:eastAsia="宋体" w:cs="宋体"/>
                <w:b/>
                <w:bCs/>
                <w:i w:val="0"/>
                <w:iCs w:val="0"/>
                <w:color w:val="000000"/>
                <w:kern w:val="0"/>
                <w:sz w:val="24"/>
                <w:szCs w:val="24"/>
                <w:u w:val="none"/>
                <w:lang w:val="en-US" w:eastAsia="zh-CN" w:bidi="ar"/>
              </w:rPr>
              <w:t>1</w:t>
            </w:r>
          </w:p>
        </w:tc>
        <w:tc>
          <w:tcPr>
            <w:tcW w:w="4174"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sz w:val="24"/>
                <w:szCs w:val="24"/>
              </w:rPr>
            </w:pPr>
            <w:r>
              <w:rPr>
                <w:rFonts w:hint="eastAsia" w:ascii="宋体" w:hAnsi="宋体" w:eastAsia="宋体" w:cs="宋体"/>
                <w:i w:val="0"/>
                <w:iCs w:val="0"/>
                <w:color w:val="000000"/>
                <w:kern w:val="0"/>
                <w:sz w:val="24"/>
                <w:szCs w:val="24"/>
                <w:u w:val="none"/>
                <w:lang w:val="en-US" w:eastAsia="zh-CN" w:bidi="ar"/>
              </w:rPr>
              <w:t>▲</w:t>
            </w:r>
            <w:r>
              <w:rPr>
                <w:rFonts w:hint="eastAsia" w:ascii="宋体" w:hAnsi="宋体" w:eastAsia="宋体" w:cs="宋体"/>
                <w:sz w:val="24"/>
                <w:szCs w:val="24"/>
              </w:rPr>
              <w:t>❊</w:t>
            </w:r>
            <w:r>
              <w:rPr>
                <w:rFonts w:hint="eastAsia" w:ascii="宋体" w:hAnsi="宋体" w:eastAsia="宋体" w:cs="宋体"/>
                <w:i w:val="0"/>
                <w:iCs w:val="0"/>
                <w:color w:val="000000"/>
                <w:kern w:val="0"/>
                <w:sz w:val="24"/>
                <w:szCs w:val="24"/>
                <w:u w:val="none"/>
                <w:lang w:val="en-US" w:eastAsia="zh-CN" w:bidi="ar"/>
              </w:rPr>
              <w:t>一级化学防护服</w:t>
            </w:r>
          </w:p>
        </w:tc>
        <w:tc>
          <w:tcPr>
            <w:tcW w:w="2616"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sz w:val="24"/>
                <w:szCs w:val="24"/>
              </w:rPr>
            </w:pPr>
            <w:r>
              <w:rPr>
                <w:rFonts w:hint="eastAsia" w:ascii="宋体" w:hAnsi="宋体" w:eastAsia="宋体" w:cs="宋体"/>
                <w:i w:val="0"/>
                <w:iCs w:val="0"/>
                <w:color w:val="000000"/>
                <w:kern w:val="0"/>
                <w:sz w:val="24"/>
                <w:szCs w:val="24"/>
                <w:u w:val="none"/>
                <w:lang w:val="en-US" w:eastAsia="zh-CN" w:bidi="ar"/>
              </w:rPr>
              <w:t>73套</w:t>
            </w:r>
          </w:p>
        </w:tc>
        <w:tc>
          <w:tcPr>
            <w:tcW w:w="2398"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60"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2</w:t>
            </w:r>
          </w:p>
        </w:tc>
        <w:tc>
          <w:tcPr>
            <w:tcW w:w="4174"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sz w:val="24"/>
                <w:szCs w:val="24"/>
              </w:rPr>
              <w:t>❊</w:t>
            </w:r>
            <w:r>
              <w:rPr>
                <w:rFonts w:hint="eastAsia" w:ascii="宋体" w:hAnsi="宋体" w:eastAsia="宋体" w:cs="宋体"/>
                <w:i w:val="0"/>
                <w:iCs w:val="0"/>
                <w:color w:val="000000"/>
                <w:kern w:val="0"/>
                <w:sz w:val="24"/>
                <w:szCs w:val="24"/>
                <w:u w:val="none"/>
                <w:lang w:val="en-US" w:eastAsia="zh-CN" w:bidi="ar"/>
              </w:rPr>
              <w:t>特级化学防护服</w:t>
            </w:r>
          </w:p>
        </w:tc>
        <w:tc>
          <w:tcPr>
            <w:tcW w:w="2616"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13套</w:t>
            </w:r>
          </w:p>
        </w:tc>
        <w:tc>
          <w:tcPr>
            <w:tcW w:w="2398"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248" w:type="dxa"/>
            <w:gridSpan w:val="4"/>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本包需提供上述产品的样品各1套</w:t>
            </w:r>
          </w:p>
        </w:tc>
      </w:tr>
    </w:tbl>
    <w:tbl>
      <w:tblPr>
        <w:tblStyle w:val="57"/>
        <w:tblW w:w="1024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97"/>
        <w:gridCol w:w="1122"/>
        <w:gridCol w:w="1213"/>
        <w:gridCol w:w="721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序号</w:t>
            </w:r>
          </w:p>
        </w:tc>
        <w:tc>
          <w:tcPr>
            <w:tcW w:w="9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重要性</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指标项</w:t>
            </w:r>
          </w:p>
        </w:tc>
        <w:tc>
          <w:tcPr>
            <w:tcW w:w="63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技术参数及要求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一级化学防护服</w:t>
            </w:r>
          </w:p>
        </w:tc>
        <w:tc>
          <w:tcPr>
            <w:tcW w:w="63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 符合国家GA770-2008《消防员化学防护服装》技术标准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35"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一级化学防护服</w:t>
            </w:r>
          </w:p>
        </w:tc>
        <w:tc>
          <w:tcPr>
            <w:tcW w:w="63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主要用于对人体呼吸和人体皮肤有损害的化学灾害、有毒工、有害物聚集的场所。具备绝缘、防水、密封性强等性能。可防化、防渗透、防酸、碱、磷、硫类等各有毒、有害气体、液体。符合NFPA或CE认证。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一级化学防护服</w:t>
            </w:r>
          </w:p>
        </w:tc>
        <w:tc>
          <w:tcPr>
            <w:tcW w:w="63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一级化学防护服由大视窗的连体头罩、化学防护服、呼吸器背囊、连体防护靴、防护手套、排气阀组成。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一级化学防护服</w:t>
            </w:r>
          </w:p>
        </w:tc>
        <w:tc>
          <w:tcPr>
            <w:tcW w:w="63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面屏：采用硬质透明双层材质，大视窗设计，视野开阔，不变形，不分层，经双面永久防雾涂层处理，耐化学渗透。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一级化学防护服</w:t>
            </w:r>
          </w:p>
        </w:tc>
        <w:tc>
          <w:tcPr>
            <w:tcW w:w="63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一级化学防护服面料采用高性能多层聚合织物制成。接口处内外粘贴有与衣物面料相同的密封防护条。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85"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一级化学防护服</w:t>
            </w:r>
          </w:p>
        </w:tc>
        <w:tc>
          <w:tcPr>
            <w:tcW w:w="63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防化服为一体背包式结构，背囊空间较大，能与正压式消防空气呼吸器配套使用。可调内置腰带和蝙蝠袖设计能为穿戴者提供最大程度的舒适性。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一级化学防护服</w:t>
            </w:r>
          </w:p>
        </w:tc>
        <w:tc>
          <w:tcPr>
            <w:tcW w:w="63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防化靴：防化靴和防化服为同一品牌并与防化服连体气密性设计。对所有EN943-2:2002中所列介质具有至少480分钟的抗渗透性能。穿着舒适，可拆卸可更换。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5"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一级化学防护服</w:t>
            </w:r>
          </w:p>
        </w:tc>
        <w:tc>
          <w:tcPr>
            <w:tcW w:w="63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防化手套：双层防护手套，内层为抗渗透性能极佳的复合膜，外层为抗撕裂和耐磨性好的氯丁橡胶双层手套。通过专用的连接装置与防化服相连，可拆卸可更换。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55"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一级化学防护服</w:t>
            </w:r>
          </w:p>
        </w:tc>
        <w:tc>
          <w:tcPr>
            <w:tcW w:w="63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化学防护服右侧配有重型气密拉链，大齿牙设计，链牙咬合力大，以保证防化服的气密性。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13"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98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一级化学防护服</w:t>
            </w:r>
          </w:p>
        </w:tc>
        <w:tc>
          <w:tcPr>
            <w:tcW w:w="634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技术性能：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1、整体气密性＜300Pa。</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2、贴条的黏度强度≥0.78kN/m。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3、排气阀气密性≥15S。</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4、排气阀通气阻力：78～118。</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5、耐热老化性能：125℃×24h不粘不脆</w:t>
            </w:r>
            <w:r>
              <w:rPr>
                <w:rFonts w:hint="eastAsia" w:ascii="宋体" w:hAnsi="宋体" w:eastAsia="宋体" w:cs="宋体"/>
                <w:b w:val="0"/>
                <w:bCs w:val="0"/>
                <w:i w:val="0"/>
                <w:iCs w:val="0"/>
                <w:color w:val="000000"/>
                <w:kern w:val="0"/>
                <w:sz w:val="24"/>
                <w:szCs w:val="24"/>
                <w:u w:val="none"/>
                <w:lang w:val="en-US" w:eastAsia="zh-CN" w:bidi="ar"/>
              </w:rPr>
              <w:t>。</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6、阻燃性、防火性：撤离火苗后无点燃或续燃</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7、耐寒性能：可在-25℃±1℃温度下冷冻15min后，无裂纹。</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9、靴底耐穿刺力≥1100N胶靴绝缘性能：击穿电压≥5000V，泄漏电流﹤3mA，防滑性能：始滑角≥15。</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10、防化手套：耐穿刺力≥22N。</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11、面料和接缝位抗化学品渗透时间：≥60min。</w:t>
            </w:r>
          </w:p>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12.投标文件中提供所投产品经第三方有权检测机构出具的检测报告扫描件。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jc w:val="center"/>
        </w:trPr>
        <w:tc>
          <w:tcPr>
            <w:tcW w:w="61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000000"/>
                <w:sz w:val="24"/>
                <w:szCs w:val="24"/>
                <w:u w:val="none"/>
              </w:rPr>
            </w:pPr>
          </w:p>
        </w:tc>
        <w:tc>
          <w:tcPr>
            <w:tcW w:w="9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000000"/>
                <w:sz w:val="24"/>
                <w:szCs w:val="24"/>
                <w:u w:val="none"/>
              </w:rPr>
            </w:pPr>
          </w:p>
        </w:tc>
        <w:tc>
          <w:tcPr>
            <w:tcW w:w="10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000000"/>
                <w:sz w:val="24"/>
                <w:szCs w:val="24"/>
                <w:u w:val="none"/>
              </w:rPr>
            </w:pPr>
          </w:p>
        </w:tc>
        <w:tc>
          <w:tcPr>
            <w:tcW w:w="63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auto"/>
              <w:jc w:val="both"/>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270" w:hRule="atLeast"/>
          <w:jc w:val="center"/>
        </w:trPr>
        <w:tc>
          <w:tcPr>
            <w:tcW w:w="61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000000"/>
                <w:sz w:val="24"/>
                <w:szCs w:val="24"/>
                <w:u w:val="none"/>
              </w:rPr>
            </w:pPr>
          </w:p>
        </w:tc>
        <w:tc>
          <w:tcPr>
            <w:tcW w:w="9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000000"/>
                <w:sz w:val="24"/>
                <w:szCs w:val="24"/>
                <w:u w:val="none"/>
              </w:rPr>
            </w:pPr>
          </w:p>
        </w:tc>
        <w:tc>
          <w:tcPr>
            <w:tcW w:w="10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000000"/>
                <w:sz w:val="24"/>
                <w:szCs w:val="24"/>
                <w:u w:val="none"/>
              </w:rPr>
            </w:pPr>
          </w:p>
        </w:tc>
        <w:tc>
          <w:tcPr>
            <w:tcW w:w="63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auto"/>
              <w:jc w:val="both"/>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1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000000"/>
                <w:sz w:val="24"/>
                <w:szCs w:val="24"/>
                <w:u w:val="none"/>
              </w:rPr>
            </w:pPr>
          </w:p>
        </w:tc>
        <w:tc>
          <w:tcPr>
            <w:tcW w:w="9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000000"/>
                <w:sz w:val="24"/>
                <w:szCs w:val="24"/>
                <w:u w:val="none"/>
              </w:rPr>
            </w:pPr>
          </w:p>
        </w:tc>
        <w:tc>
          <w:tcPr>
            <w:tcW w:w="10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000000"/>
                <w:sz w:val="24"/>
                <w:szCs w:val="24"/>
                <w:u w:val="none"/>
              </w:rPr>
            </w:pPr>
          </w:p>
        </w:tc>
        <w:tc>
          <w:tcPr>
            <w:tcW w:w="63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auto"/>
              <w:jc w:val="both"/>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1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000000"/>
                <w:sz w:val="24"/>
                <w:szCs w:val="24"/>
                <w:u w:val="none"/>
              </w:rPr>
            </w:pPr>
          </w:p>
        </w:tc>
        <w:tc>
          <w:tcPr>
            <w:tcW w:w="9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000000"/>
                <w:sz w:val="24"/>
                <w:szCs w:val="24"/>
                <w:u w:val="none"/>
              </w:rPr>
            </w:pPr>
          </w:p>
        </w:tc>
        <w:tc>
          <w:tcPr>
            <w:tcW w:w="10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000000"/>
                <w:sz w:val="24"/>
                <w:szCs w:val="24"/>
                <w:u w:val="none"/>
              </w:rPr>
            </w:pPr>
          </w:p>
        </w:tc>
        <w:tc>
          <w:tcPr>
            <w:tcW w:w="63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auto"/>
              <w:jc w:val="both"/>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1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000000"/>
                <w:sz w:val="24"/>
                <w:szCs w:val="24"/>
                <w:u w:val="none"/>
              </w:rPr>
            </w:pPr>
          </w:p>
        </w:tc>
        <w:tc>
          <w:tcPr>
            <w:tcW w:w="9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000000"/>
                <w:sz w:val="24"/>
                <w:szCs w:val="24"/>
                <w:u w:val="none"/>
              </w:rPr>
            </w:pPr>
          </w:p>
        </w:tc>
        <w:tc>
          <w:tcPr>
            <w:tcW w:w="10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000000"/>
                <w:sz w:val="24"/>
                <w:szCs w:val="24"/>
                <w:u w:val="none"/>
              </w:rPr>
            </w:pPr>
          </w:p>
        </w:tc>
        <w:tc>
          <w:tcPr>
            <w:tcW w:w="63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auto"/>
              <w:jc w:val="both"/>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1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000000"/>
                <w:sz w:val="24"/>
                <w:szCs w:val="24"/>
                <w:u w:val="none"/>
              </w:rPr>
            </w:pPr>
          </w:p>
        </w:tc>
        <w:tc>
          <w:tcPr>
            <w:tcW w:w="9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000000"/>
                <w:sz w:val="24"/>
                <w:szCs w:val="24"/>
                <w:u w:val="none"/>
              </w:rPr>
            </w:pPr>
          </w:p>
        </w:tc>
        <w:tc>
          <w:tcPr>
            <w:tcW w:w="10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000000"/>
                <w:sz w:val="24"/>
                <w:szCs w:val="24"/>
                <w:u w:val="none"/>
              </w:rPr>
            </w:pPr>
          </w:p>
        </w:tc>
        <w:tc>
          <w:tcPr>
            <w:tcW w:w="63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auto"/>
              <w:jc w:val="both"/>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61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000000"/>
                <w:sz w:val="24"/>
                <w:szCs w:val="24"/>
                <w:u w:val="none"/>
              </w:rPr>
            </w:pPr>
          </w:p>
        </w:tc>
        <w:tc>
          <w:tcPr>
            <w:tcW w:w="9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000000"/>
                <w:sz w:val="24"/>
                <w:szCs w:val="24"/>
                <w:u w:val="none"/>
              </w:rPr>
            </w:pPr>
          </w:p>
        </w:tc>
        <w:tc>
          <w:tcPr>
            <w:tcW w:w="10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000000"/>
                <w:sz w:val="24"/>
                <w:szCs w:val="24"/>
                <w:u w:val="none"/>
              </w:rPr>
            </w:pPr>
          </w:p>
        </w:tc>
        <w:tc>
          <w:tcPr>
            <w:tcW w:w="63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auto"/>
              <w:jc w:val="both"/>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61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000000"/>
                <w:sz w:val="24"/>
                <w:szCs w:val="24"/>
                <w:u w:val="none"/>
              </w:rPr>
            </w:pPr>
          </w:p>
        </w:tc>
        <w:tc>
          <w:tcPr>
            <w:tcW w:w="9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000000"/>
                <w:sz w:val="24"/>
                <w:szCs w:val="24"/>
                <w:u w:val="none"/>
              </w:rPr>
            </w:pPr>
          </w:p>
        </w:tc>
        <w:tc>
          <w:tcPr>
            <w:tcW w:w="10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000000"/>
                <w:sz w:val="24"/>
                <w:szCs w:val="24"/>
                <w:u w:val="none"/>
              </w:rPr>
            </w:pPr>
          </w:p>
        </w:tc>
        <w:tc>
          <w:tcPr>
            <w:tcW w:w="63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auto"/>
              <w:jc w:val="both"/>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61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000000"/>
                <w:sz w:val="24"/>
                <w:szCs w:val="24"/>
                <w:u w:val="none"/>
              </w:rPr>
            </w:pPr>
          </w:p>
        </w:tc>
        <w:tc>
          <w:tcPr>
            <w:tcW w:w="9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000000"/>
                <w:sz w:val="24"/>
                <w:szCs w:val="24"/>
                <w:u w:val="none"/>
              </w:rPr>
            </w:pPr>
          </w:p>
        </w:tc>
        <w:tc>
          <w:tcPr>
            <w:tcW w:w="10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000000"/>
                <w:sz w:val="24"/>
                <w:szCs w:val="24"/>
                <w:u w:val="none"/>
              </w:rPr>
            </w:pPr>
          </w:p>
        </w:tc>
        <w:tc>
          <w:tcPr>
            <w:tcW w:w="63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auto"/>
              <w:jc w:val="both"/>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61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000000"/>
                <w:sz w:val="24"/>
                <w:szCs w:val="24"/>
                <w:u w:val="none"/>
              </w:rPr>
            </w:pPr>
          </w:p>
        </w:tc>
        <w:tc>
          <w:tcPr>
            <w:tcW w:w="9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000000"/>
                <w:sz w:val="24"/>
                <w:szCs w:val="24"/>
                <w:u w:val="none"/>
              </w:rPr>
            </w:pPr>
          </w:p>
        </w:tc>
        <w:tc>
          <w:tcPr>
            <w:tcW w:w="10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000000"/>
                <w:sz w:val="24"/>
                <w:szCs w:val="24"/>
                <w:u w:val="none"/>
              </w:rPr>
            </w:pPr>
          </w:p>
        </w:tc>
        <w:tc>
          <w:tcPr>
            <w:tcW w:w="63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auto"/>
              <w:jc w:val="both"/>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特级化学防护服</w:t>
            </w:r>
          </w:p>
        </w:tc>
        <w:tc>
          <w:tcPr>
            <w:tcW w:w="63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用于处置易自燃、易闪燃化学物质及高浓度、强渗透性液体、气体时的全身防护。产品技术性能不低于《消防员化学防护服装》XF770的要求标准。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特级化学防护服</w:t>
            </w:r>
          </w:p>
        </w:tc>
        <w:tc>
          <w:tcPr>
            <w:tcW w:w="63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整套防护服由气密型防火防化服、防化靴、防化手套等组成。可佩戴正压式消防空气呼吸器。每套防护服应备有可重复使用的存储袋和一卷防化胶带。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5"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特级化学防护服</w:t>
            </w:r>
          </w:p>
        </w:tc>
        <w:tc>
          <w:tcPr>
            <w:tcW w:w="63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防火防化服为全封闭型前入式，设有两个单项排气阀，拉链齿应耐拉，双盖式拉链盖采用与防化服相同布料并完全覆盖拉链，拉链盖为魔术搭扣闭合设计。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特级化学防护服</w:t>
            </w:r>
          </w:p>
        </w:tc>
        <w:tc>
          <w:tcPr>
            <w:tcW w:w="63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超大型面屏、双层结构，耐高温，防起雾、并配备防雾剂，透光率≥95%，视线良好，无眩晕。</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特级化学防护服</w:t>
            </w:r>
          </w:p>
        </w:tc>
        <w:tc>
          <w:tcPr>
            <w:tcW w:w="63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防火防化服面料为多层防化膜和玻璃纤维镀铝材料构成，表面平整，无破洞、气泡、脱层、露布、死褶等现象，接缝处缝纫整齐，胶条结实均匀，无裂纹现象，耐穿刺性能≥40N。一体化手套设计，外层为特种橡胶、内层为复合膜，具有抗切割、抗穿刺、抗爆燃等性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特级化学防护服</w:t>
            </w:r>
          </w:p>
        </w:tc>
        <w:tc>
          <w:tcPr>
            <w:tcW w:w="63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防化靴为钢制靴底芯，可耐14000伏高压，一次注塑成型，对丙酮、乙腈、氨、氯等多种危险化学品抵御大于3小时。军用毒剂抵御大于14小时。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17</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特级化学防护服</w:t>
            </w:r>
          </w:p>
        </w:tc>
        <w:tc>
          <w:tcPr>
            <w:tcW w:w="63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提供整套服装可储存时间、适用环境温度、可阻绝化学物质清单。并在整套服装在显著位置标注可储存时间、适用环境温度、可阻绝化学物质清单。</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18</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特级化学防护服</w:t>
            </w:r>
          </w:p>
        </w:tc>
        <w:tc>
          <w:tcPr>
            <w:tcW w:w="63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投标文件中提供第三方</w:t>
            </w:r>
            <w:r>
              <w:rPr>
                <w:rFonts w:hint="default" w:ascii="宋体" w:hAnsi="宋体" w:eastAsia="宋体" w:cs="宋体"/>
                <w:b/>
                <w:bCs/>
                <w:i w:val="0"/>
                <w:iCs w:val="0"/>
                <w:color w:val="000000"/>
                <w:kern w:val="0"/>
                <w:sz w:val="24"/>
                <w:szCs w:val="24"/>
                <w:u w:val="none"/>
                <w:lang w:val="en-US" w:eastAsia="zh-CN" w:bidi="ar"/>
              </w:rPr>
              <w:t>有</w:t>
            </w:r>
            <w:r>
              <w:rPr>
                <w:rFonts w:hint="eastAsia" w:ascii="宋体" w:hAnsi="宋体" w:eastAsia="宋体" w:cs="宋体"/>
                <w:b/>
                <w:bCs/>
                <w:i w:val="0"/>
                <w:iCs w:val="0"/>
                <w:color w:val="000000"/>
                <w:kern w:val="0"/>
                <w:sz w:val="24"/>
                <w:szCs w:val="24"/>
                <w:u w:val="none"/>
                <w:lang w:val="en-US" w:eastAsia="zh-CN" w:bidi="ar"/>
              </w:rPr>
              <w:t>权检测机构出具的检测报告扫描件</w:t>
            </w:r>
          </w:p>
        </w:tc>
      </w:tr>
    </w:tbl>
    <w:p>
      <w:pPr>
        <w:keepNext w:val="0"/>
        <w:keepLines w:val="0"/>
        <w:pageBreakBefore w:val="0"/>
        <w:kinsoku/>
        <w:wordWrap/>
        <w:overflowPunct/>
        <w:topLinePunct w:val="0"/>
        <w:autoSpaceDE/>
        <w:autoSpaceDN/>
        <w:bidi w:val="0"/>
        <w:adjustRightInd/>
        <w:snapToGrid/>
        <w:spacing w:line="360" w:lineRule="auto"/>
        <w:outlineLvl w:val="0"/>
        <w:rPr>
          <w:rFonts w:hint="eastAsia" w:ascii="宋体" w:hAnsi="宋体" w:eastAsia="宋体" w:cs="宋体"/>
          <w:b/>
          <w:bCs/>
          <w:sz w:val="24"/>
          <w:szCs w:val="24"/>
        </w:rPr>
        <w:sectPr>
          <w:footerReference r:id="rId3" w:type="default"/>
          <w:pgSz w:w="11906" w:h="16838"/>
          <w:pgMar w:top="1440" w:right="1800" w:bottom="1440" w:left="1800" w:header="851" w:footer="992" w:gutter="0"/>
          <w:pgNumType w:fmt="decimal" w:start="1"/>
          <w:cols w:space="425" w:num="1"/>
          <w:docGrid w:type="lines" w:linePitch="312" w:charSpace="0"/>
        </w:sectPr>
      </w:pPr>
    </w:p>
    <w:p>
      <w:pPr>
        <w:keepNext w:val="0"/>
        <w:keepLines w:val="0"/>
        <w:pageBreakBefore w:val="0"/>
        <w:kinsoku/>
        <w:wordWrap/>
        <w:overflowPunct/>
        <w:topLinePunct w:val="0"/>
        <w:autoSpaceDE/>
        <w:autoSpaceDN/>
        <w:bidi w:val="0"/>
        <w:adjustRightInd/>
        <w:snapToGrid/>
        <w:spacing w:line="360" w:lineRule="auto"/>
        <w:outlineLvl w:val="0"/>
        <w:rPr>
          <w:rFonts w:hint="eastAsia" w:ascii="宋体" w:hAnsi="宋体" w:eastAsia="宋体" w:cs="宋体"/>
          <w:b/>
          <w:bCs/>
          <w:sz w:val="24"/>
          <w:szCs w:val="24"/>
        </w:rPr>
      </w:pPr>
      <w:bookmarkStart w:id="4" w:name="_Toc21179"/>
      <w:bookmarkStart w:id="5" w:name="_Toc945"/>
      <w:r>
        <w:rPr>
          <w:rFonts w:hint="eastAsia" w:ascii="宋体" w:hAnsi="宋体" w:eastAsia="宋体" w:cs="宋体"/>
          <w:b/>
          <w:bCs/>
          <w:sz w:val="24"/>
          <w:szCs w:val="24"/>
        </w:rPr>
        <w:t>第2包：防坠落辅助装备</w:t>
      </w:r>
      <w:bookmarkEnd w:id="4"/>
      <w:bookmarkEnd w:id="5"/>
    </w:p>
    <w:tbl>
      <w:tblPr>
        <w:tblStyle w:val="58"/>
        <w:tblW w:w="93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4"/>
        <w:gridCol w:w="3792"/>
        <w:gridCol w:w="2377"/>
        <w:gridCol w:w="21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5" w:type="dxa"/>
            <w:noWrap w:val="0"/>
            <w:vAlign w:val="center"/>
          </w:tcPr>
          <w:p>
            <w:pPr>
              <w:keepNext w:val="0"/>
              <w:keepLines w:val="0"/>
              <w:pageBreakBefore w:val="0"/>
              <w:kinsoku/>
              <w:wordWrap/>
              <w:overflowPunct/>
              <w:topLinePunct w:val="0"/>
              <w:autoSpaceDE/>
              <w:autoSpaceDN/>
              <w:bidi w:val="0"/>
              <w:adjustRightInd/>
              <w:snapToGrid/>
              <w:spacing w:line="360" w:lineRule="auto"/>
              <w:jc w:val="center"/>
              <w:outlineLvl w:val="2"/>
              <w:rPr>
                <w:rFonts w:hint="eastAsia" w:ascii="宋体" w:hAnsi="宋体" w:eastAsia="宋体" w:cs="宋体"/>
                <w:b/>
                <w:bCs/>
                <w:sz w:val="24"/>
                <w:szCs w:val="24"/>
              </w:rPr>
            </w:pPr>
            <w:r>
              <w:rPr>
                <w:rFonts w:hint="eastAsia" w:ascii="宋体" w:hAnsi="宋体" w:eastAsia="宋体" w:cs="宋体"/>
                <w:b/>
                <w:bCs/>
                <w:sz w:val="24"/>
                <w:szCs w:val="24"/>
              </w:rPr>
              <w:t>序号</w:t>
            </w:r>
          </w:p>
        </w:tc>
        <w:tc>
          <w:tcPr>
            <w:tcW w:w="3638" w:type="dxa"/>
            <w:noWrap w:val="0"/>
            <w:vAlign w:val="center"/>
          </w:tcPr>
          <w:p>
            <w:pPr>
              <w:keepNext w:val="0"/>
              <w:keepLines w:val="0"/>
              <w:pageBreakBefore w:val="0"/>
              <w:kinsoku/>
              <w:wordWrap/>
              <w:overflowPunct/>
              <w:topLinePunct w:val="0"/>
              <w:autoSpaceDE/>
              <w:autoSpaceDN/>
              <w:bidi w:val="0"/>
              <w:adjustRightInd/>
              <w:snapToGrid/>
              <w:spacing w:line="360" w:lineRule="auto"/>
              <w:jc w:val="center"/>
              <w:outlineLvl w:val="2"/>
              <w:rPr>
                <w:rFonts w:hint="eastAsia" w:ascii="宋体" w:hAnsi="宋体" w:eastAsia="宋体" w:cs="宋体"/>
                <w:b/>
                <w:bCs/>
                <w:sz w:val="24"/>
                <w:szCs w:val="24"/>
              </w:rPr>
            </w:pPr>
            <w:r>
              <w:rPr>
                <w:rFonts w:hint="eastAsia" w:ascii="宋体" w:hAnsi="宋体" w:eastAsia="宋体" w:cs="宋体"/>
                <w:b/>
                <w:bCs/>
                <w:sz w:val="24"/>
                <w:szCs w:val="24"/>
              </w:rPr>
              <w:t>货物名称</w:t>
            </w:r>
          </w:p>
        </w:tc>
        <w:tc>
          <w:tcPr>
            <w:tcW w:w="2280" w:type="dxa"/>
            <w:noWrap w:val="0"/>
            <w:vAlign w:val="center"/>
          </w:tcPr>
          <w:p>
            <w:pPr>
              <w:keepNext w:val="0"/>
              <w:keepLines w:val="0"/>
              <w:pageBreakBefore w:val="0"/>
              <w:kinsoku/>
              <w:wordWrap/>
              <w:overflowPunct/>
              <w:topLinePunct w:val="0"/>
              <w:autoSpaceDE/>
              <w:autoSpaceDN/>
              <w:bidi w:val="0"/>
              <w:adjustRightInd/>
              <w:snapToGrid/>
              <w:spacing w:line="360" w:lineRule="auto"/>
              <w:jc w:val="center"/>
              <w:outlineLvl w:val="2"/>
              <w:rPr>
                <w:rFonts w:hint="eastAsia" w:ascii="宋体" w:hAnsi="宋体" w:eastAsia="宋体" w:cs="宋体"/>
                <w:b/>
                <w:bCs/>
                <w:sz w:val="24"/>
                <w:szCs w:val="24"/>
              </w:rPr>
            </w:pPr>
            <w:r>
              <w:rPr>
                <w:rFonts w:hint="eastAsia" w:ascii="宋体" w:hAnsi="宋体" w:eastAsia="宋体" w:cs="宋体"/>
                <w:b/>
                <w:bCs/>
                <w:sz w:val="24"/>
                <w:szCs w:val="24"/>
              </w:rPr>
              <w:t>数量</w:t>
            </w:r>
          </w:p>
        </w:tc>
        <w:tc>
          <w:tcPr>
            <w:tcW w:w="2090" w:type="dxa"/>
            <w:noWrap w:val="0"/>
            <w:vAlign w:val="center"/>
          </w:tcPr>
          <w:p>
            <w:pPr>
              <w:keepNext w:val="0"/>
              <w:keepLines w:val="0"/>
              <w:pageBreakBefore w:val="0"/>
              <w:kinsoku/>
              <w:wordWrap/>
              <w:overflowPunct/>
              <w:topLinePunct w:val="0"/>
              <w:autoSpaceDE/>
              <w:autoSpaceDN/>
              <w:bidi w:val="0"/>
              <w:adjustRightInd/>
              <w:snapToGrid/>
              <w:spacing w:line="360" w:lineRule="auto"/>
              <w:jc w:val="center"/>
              <w:outlineLvl w:val="2"/>
              <w:rPr>
                <w:rFonts w:hint="eastAsia" w:ascii="宋体" w:hAnsi="宋体" w:eastAsia="宋体" w:cs="宋体"/>
                <w:b/>
                <w:bCs/>
                <w:sz w:val="24"/>
                <w:szCs w:val="24"/>
              </w:rPr>
            </w:pPr>
            <w:r>
              <w:rPr>
                <w:rFonts w:hint="eastAsia" w:ascii="宋体" w:hAnsi="宋体" w:eastAsia="宋体" w:cs="宋体"/>
                <w:b/>
                <w:bCs/>
                <w:sz w:val="24"/>
                <w:szCs w:val="24"/>
              </w:rPr>
              <w:t>所属行业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5"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sz w:val="24"/>
                <w:szCs w:val="24"/>
              </w:rPr>
            </w:pPr>
            <w:r>
              <w:rPr>
                <w:rFonts w:hint="eastAsia" w:ascii="宋体" w:hAnsi="宋体" w:eastAsia="宋体" w:cs="宋体"/>
                <w:b/>
                <w:bCs/>
                <w:i w:val="0"/>
                <w:iCs w:val="0"/>
                <w:color w:val="000000"/>
                <w:kern w:val="0"/>
                <w:sz w:val="24"/>
                <w:szCs w:val="24"/>
                <w:u w:val="none"/>
                <w:lang w:val="en-US" w:eastAsia="zh-CN" w:bidi="ar"/>
              </w:rPr>
              <w:t>1</w:t>
            </w:r>
          </w:p>
        </w:tc>
        <w:tc>
          <w:tcPr>
            <w:tcW w:w="3638"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b/>
                <w:bCs/>
                <w:sz w:val="24"/>
                <w:szCs w:val="24"/>
              </w:rPr>
            </w:pPr>
            <w:r>
              <w:rPr>
                <w:rFonts w:hint="eastAsia" w:ascii="宋体" w:hAnsi="宋体" w:eastAsia="宋体" w:cs="宋体"/>
                <w:i w:val="0"/>
                <w:iCs w:val="0"/>
                <w:color w:val="000000"/>
                <w:kern w:val="0"/>
                <w:sz w:val="24"/>
                <w:szCs w:val="24"/>
                <w:u w:val="none"/>
                <w:lang w:val="en-US" w:eastAsia="zh-CN" w:bidi="ar"/>
              </w:rPr>
              <w:t>▲</w:t>
            </w:r>
            <w:r>
              <w:rPr>
                <w:rFonts w:hint="eastAsia" w:ascii="宋体" w:hAnsi="宋体" w:eastAsia="宋体" w:cs="宋体"/>
                <w:sz w:val="24"/>
                <w:szCs w:val="24"/>
              </w:rPr>
              <w:t>❊</w:t>
            </w:r>
            <w:r>
              <w:rPr>
                <w:rFonts w:hint="eastAsia" w:ascii="宋体" w:hAnsi="宋体" w:eastAsia="宋体" w:cs="宋体"/>
                <w:i w:val="0"/>
                <w:iCs w:val="0"/>
                <w:color w:val="000000"/>
                <w:kern w:val="0"/>
                <w:sz w:val="24"/>
                <w:szCs w:val="24"/>
                <w:u w:val="none"/>
                <w:lang w:val="en-US" w:eastAsia="zh-CN" w:bidi="ar"/>
              </w:rPr>
              <w:t>消防全身式安全吊带</w:t>
            </w:r>
          </w:p>
        </w:tc>
        <w:tc>
          <w:tcPr>
            <w:tcW w:w="2280"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default" w:ascii="宋体" w:hAnsi="宋体" w:eastAsia="宋体" w:cs="宋体"/>
                <w:b/>
                <w:bCs/>
                <w:sz w:val="24"/>
                <w:szCs w:val="24"/>
                <w:lang w:val="en-US"/>
              </w:rPr>
            </w:pPr>
            <w:r>
              <w:rPr>
                <w:rFonts w:hint="eastAsia" w:ascii="宋体" w:hAnsi="宋体" w:eastAsia="宋体" w:cs="宋体"/>
                <w:i w:val="0"/>
                <w:iCs w:val="0"/>
                <w:color w:val="000000"/>
                <w:kern w:val="0"/>
                <w:sz w:val="24"/>
                <w:szCs w:val="24"/>
                <w:u w:val="none"/>
                <w:lang w:val="en-US" w:eastAsia="zh-CN" w:bidi="ar"/>
              </w:rPr>
              <w:t>134件</w:t>
            </w:r>
          </w:p>
        </w:tc>
        <w:tc>
          <w:tcPr>
            <w:tcW w:w="2090"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925"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2</w:t>
            </w:r>
          </w:p>
        </w:tc>
        <w:tc>
          <w:tcPr>
            <w:tcW w:w="3638"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sz w:val="24"/>
                <w:szCs w:val="24"/>
              </w:rPr>
              <w:t>❊</w:t>
            </w:r>
            <w:r>
              <w:rPr>
                <w:rFonts w:hint="eastAsia" w:ascii="宋体" w:hAnsi="宋体" w:eastAsia="宋体" w:cs="宋体"/>
                <w:i w:val="0"/>
                <w:iCs w:val="0"/>
                <w:color w:val="000000"/>
                <w:kern w:val="0"/>
                <w:sz w:val="24"/>
                <w:szCs w:val="24"/>
                <w:u w:val="none"/>
                <w:lang w:val="en-US" w:eastAsia="zh-CN" w:bidi="ar"/>
              </w:rPr>
              <w:t>静力绳</w:t>
            </w:r>
          </w:p>
        </w:tc>
        <w:tc>
          <w:tcPr>
            <w:tcW w:w="2280"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5401米</w:t>
            </w:r>
          </w:p>
        </w:tc>
        <w:tc>
          <w:tcPr>
            <w:tcW w:w="2090"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33" w:type="dxa"/>
            <w:gridSpan w:val="4"/>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本包需提供样品：消防全身式安全吊带1件，静力绳1米</w:t>
            </w:r>
          </w:p>
        </w:tc>
      </w:tr>
    </w:tbl>
    <w:tbl>
      <w:tblPr>
        <w:tblStyle w:val="57"/>
        <w:tblW w:w="931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33"/>
        <w:gridCol w:w="1020"/>
        <w:gridCol w:w="1102"/>
        <w:gridCol w:w="655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序号</w:t>
            </w:r>
          </w:p>
        </w:tc>
        <w:tc>
          <w:tcPr>
            <w:tcW w:w="9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重要性</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指标项</w:t>
            </w:r>
          </w:p>
        </w:tc>
        <w:tc>
          <w:tcPr>
            <w:tcW w:w="63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技术参数及要求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消防全身式安全吊带</w:t>
            </w:r>
          </w:p>
        </w:tc>
        <w:tc>
          <w:tcPr>
            <w:tcW w:w="63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1、技术性能符合《消防用防坠落装备》XF494-2004的要求。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消防全身式安全吊带</w:t>
            </w:r>
          </w:p>
        </w:tc>
        <w:tc>
          <w:tcPr>
            <w:tcW w:w="63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2、全身安全带的肩带，腰带，腿环为加宽透气型衬垫结构。</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5"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消防全身式安全吊带</w:t>
            </w:r>
          </w:p>
        </w:tc>
        <w:tc>
          <w:tcPr>
            <w:tcW w:w="63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3、全身安全带配有不少于5个挂点，可倒置。背部防坠落挂点采用亮彩色软绳索，便于快速识别，减轻重量，降低噪音，降低了背部背负压迫感。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90"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消防全身式安全吊带</w:t>
            </w:r>
          </w:p>
        </w:tc>
        <w:tc>
          <w:tcPr>
            <w:tcW w:w="63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全身安全带腿部卡扣采用快速连接设计，能够快速穿脱。安全带的胸部防坠落挂点配有魔术贴连接带，便于快速安装胸式上升器。安全带肩带前两侧配有固定环，安全带顶部两侧配有魔术贴固定环，安全带腰带两侧配有不少于4个大容量装备环，安全带腰带后侧配有不少于6个迷你装备环。安全带肩带衬垫不应对颈部造成压迫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消防全身式安全吊带</w:t>
            </w:r>
          </w:p>
        </w:tc>
        <w:tc>
          <w:tcPr>
            <w:tcW w:w="63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5、工作负荷≥2.67KN，极限负荷≥23KN。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85"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消防全身式安全吊带</w:t>
            </w:r>
          </w:p>
        </w:tc>
        <w:tc>
          <w:tcPr>
            <w:tcW w:w="63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符合CE或NFPA认证。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静力绳</w:t>
            </w:r>
          </w:p>
        </w:tc>
        <w:tc>
          <w:tcPr>
            <w:tcW w:w="63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 1、材质为聚酰胺纤维或聚酯纤维。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静力绳</w:t>
            </w:r>
          </w:p>
        </w:tc>
        <w:tc>
          <w:tcPr>
            <w:tcW w:w="63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2、直径10.5mm-11mm，静拉力≥27KN，8字结点拉力≥19.5KN，缝合点拉力≥21kN。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55"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静力绳</w:t>
            </w:r>
          </w:p>
        </w:tc>
        <w:tc>
          <w:tcPr>
            <w:tcW w:w="63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3、静力延展率约3%，外皮滑动率≤0.8%，外皮比重≥38%，缩水率≤5%。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静力绳</w:t>
            </w:r>
          </w:p>
        </w:tc>
        <w:tc>
          <w:tcPr>
            <w:tcW w:w="63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4、长度根据用户需求定制，两端妥善收尾，包以裹紧的塑料套管。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静力绳</w:t>
            </w:r>
          </w:p>
        </w:tc>
        <w:tc>
          <w:tcPr>
            <w:tcW w:w="63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5、重量≤65g/m。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静力绳</w:t>
            </w:r>
          </w:p>
        </w:tc>
        <w:tc>
          <w:tcPr>
            <w:tcW w:w="63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6、提供CE或NFPA认证证书。</w:t>
            </w:r>
          </w:p>
        </w:tc>
      </w:tr>
    </w:tbl>
    <w:p>
      <w:pPr>
        <w:pStyle w:val="2"/>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sz w:val="24"/>
          <w:szCs w:val="24"/>
        </w:rPr>
        <w:sectPr>
          <w:pgSz w:w="11906" w:h="16838"/>
          <w:pgMar w:top="1440" w:right="1800" w:bottom="1440" w:left="1800" w:header="851" w:footer="992" w:gutter="0"/>
          <w:pgNumType w:fmt="decimal"/>
          <w:cols w:space="425" w:num="1"/>
          <w:docGrid w:type="lines" w:linePitch="312" w:charSpace="0"/>
        </w:sectPr>
      </w:pPr>
    </w:p>
    <w:p>
      <w:pPr>
        <w:keepNext w:val="0"/>
        <w:keepLines w:val="0"/>
        <w:pageBreakBefore w:val="0"/>
        <w:kinsoku/>
        <w:wordWrap/>
        <w:overflowPunct/>
        <w:topLinePunct w:val="0"/>
        <w:autoSpaceDE/>
        <w:autoSpaceDN/>
        <w:bidi w:val="0"/>
        <w:adjustRightInd/>
        <w:snapToGrid/>
        <w:spacing w:line="360" w:lineRule="auto"/>
        <w:outlineLvl w:val="0"/>
        <w:rPr>
          <w:rFonts w:hint="eastAsia" w:ascii="宋体" w:hAnsi="宋体" w:eastAsia="宋体" w:cs="宋体"/>
          <w:b/>
          <w:bCs/>
          <w:sz w:val="24"/>
          <w:szCs w:val="24"/>
        </w:rPr>
      </w:pPr>
      <w:bookmarkStart w:id="6" w:name="_Toc10556"/>
      <w:bookmarkStart w:id="7" w:name="_Toc1405"/>
      <w:r>
        <w:rPr>
          <w:rFonts w:hint="eastAsia" w:ascii="宋体" w:hAnsi="宋体" w:eastAsia="宋体" w:cs="宋体"/>
          <w:b/>
          <w:bCs/>
          <w:sz w:val="24"/>
          <w:szCs w:val="24"/>
        </w:rPr>
        <w:t>第3包：潜水装具（自携系统）</w:t>
      </w:r>
      <w:bookmarkEnd w:id="6"/>
      <w:bookmarkEnd w:id="7"/>
    </w:p>
    <w:tbl>
      <w:tblPr>
        <w:tblStyle w:val="58"/>
        <w:tblW w:w="93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4"/>
        <w:gridCol w:w="3792"/>
        <w:gridCol w:w="2377"/>
        <w:gridCol w:w="21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5" w:type="dxa"/>
            <w:noWrap w:val="0"/>
            <w:vAlign w:val="center"/>
          </w:tcPr>
          <w:p>
            <w:pPr>
              <w:keepNext w:val="0"/>
              <w:keepLines w:val="0"/>
              <w:pageBreakBefore w:val="0"/>
              <w:kinsoku/>
              <w:wordWrap/>
              <w:overflowPunct/>
              <w:topLinePunct w:val="0"/>
              <w:autoSpaceDE/>
              <w:autoSpaceDN/>
              <w:bidi w:val="0"/>
              <w:adjustRightInd/>
              <w:snapToGrid/>
              <w:spacing w:line="360" w:lineRule="auto"/>
              <w:jc w:val="center"/>
              <w:outlineLvl w:val="2"/>
              <w:rPr>
                <w:rFonts w:hint="eastAsia" w:ascii="宋体" w:hAnsi="宋体" w:eastAsia="宋体" w:cs="宋体"/>
                <w:b/>
                <w:bCs/>
                <w:sz w:val="24"/>
                <w:szCs w:val="24"/>
              </w:rPr>
            </w:pPr>
            <w:r>
              <w:rPr>
                <w:rFonts w:hint="eastAsia" w:ascii="宋体" w:hAnsi="宋体" w:eastAsia="宋体" w:cs="宋体"/>
                <w:b/>
                <w:bCs/>
                <w:sz w:val="24"/>
                <w:szCs w:val="24"/>
              </w:rPr>
              <w:t>序号</w:t>
            </w:r>
          </w:p>
        </w:tc>
        <w:tc>
          <w:tcPr>
            <w:tcW w:w="3638" w:type="dxa"/>
            <w:noWrap w:val="0"/>
            <w:vAlign w:val="center"/>
          </w:tcPr>
          <w:p>
            <w:pPr>
              <w:keepNext w:val="0"/>
              <w:keepLines w:val="0"/>
              <w:pageBreakBefore w:val="0"/>
              <w:kinsoku/>
              <w:wordWrap/>
              <w:overflowPunct/>
              <w:topLinePunct w:val="0"/>
              <w:autoSpaceDE/>
              <w:autoSpaceDN/>
              <w:bidi w:val="0"/>
              <w:adjustRightInd/>
              <w:snapToGrid/>
              <w:spacing w:line="360" w:lineRule="auto"/>
              <w:jc w:val="center"/>
              <w:outlineLvl w:val="2"/>
              <w:rPr>
                <w:rFonts w:hint="eastAsia" w:ascii="宋体" w:hAnsi="宋体" w:eastAsia="宋体" w:cs="宋体"/>
                <w:b/>
                <w:bCs/>
                <w:sz w:val="24"/>
                <w:szCs w:val="24"/>
              </w:rPr>
            </w:pPr>
            <w:r>
              <w:rPr>
                <w:rFonts w:hint="eastAsia" w:ascii="宋体" w:hAnsi="宋体" w:eastAsia="宋体" w:cs="宋体"/>
                <w:b/>
                <w:bCs/>
                <w:sz w:val="24"/>
                <w:szCs w:val="24"/>
              </w:rPr>
              <w:t>货物名称</w:t>
            </w:r>
          </w:p>
        </w:tc>
        <w:tc>
          <w:tcPr>
            <w:tcW w:w="2280" w:type="dxa"/>
            <w:noWrap w:val="0"/>
            <w:vAlign w:val="center"/>
          </w:tcPr>
          <w:p>
            <w:pPr>
              <w:keepNext w:val="0"/>
              <w:keepLines w:val="0"/>
              <w:pageBreakBefore w:val="0"/>
              <w:kinsoku/>
              <w:wordWrap/>
              <w:overflowPunct/>
              <w:topLinePunct w:val="0"/>
              <w:autoSpaceDE/>
              <w:autoSpaceDN/>
              <w:bidi w:val="0"/>
              <w:adjustRightInd/>
              <w:snapToGrid/>
              <w:spacing w:line="360" w:lineRule="auto"/>
              <w:jc w:val="center"/>
              <w:outlineLvl w:val="2"/>
              <w:rPr>
                <w:rFonts w:hint="eastAsia" w:ascii="宋体" w:hAnsi="宋体" w:eastAsia="宋体" w:cs="宋体"/>
                <w:b/>
                <w:bCs/>
                <w:sz w:val="24"/>
                <w:szCs w:val="24"/>
              </w:rPr>
            </w:pPr>
            <w:r>
              <w:rPr>
                <w:rFonts w:hint="eastAsia" w:ascii="宋体" w:hAnsi="宋体" w:eastAsia="宋体" w:cs="宋体"/>
                <w:b/>
                <w:bCs/>
                <w:sz w:val="24"/>
                <w:szCs w:val="24"/>
              </w:rPr>
              <w:t>数量</w:t>
            </w:r>
          </w:p>
        </w:tc>
        <w:tc>
          <w:tcPr>
            <w:tcW w:w="2090" w:type="dxa"/>
            <w:noWrap w:val="0"/>
            <w:vAlign w:val="center"/>
          </w:tcPr>
          <w:p>
            <w:pPr>
              <w:keepNext w:val="0"/>
              <w:keepLines w:val="0"/>
              <w:pageBreakBefore w:val="0"/>
              <w:kinsoku/>
              <w:wordWrap/>
              <w:overflowPunct/>
              <w:topLinePunct w:val="0"/>
              <w:autoSpaceDE/>
              <w:autoSpaceDN/>
              <w:bidi w:val="0"/>
              <w:adjustRightInd/>
              <w:snapToGrid/>
              <w:spacing w:line="360" w:lineRule="auto"/>
              <w:jc w:val="center"/>
              <w:outlineLvl w:val="2"/>
              <w:rPr>
                <w:rFonts w:hint="eastAsia" w:ascii="宋体" w:hAnsi="宋体" w:eastAsia="宋体" w:cs="宋体"/>
                <w:b/>
                <w:bCs/>
                <w:sz w:val="24"/>
                <w:szCs w:val="24"/>
              </w:rPr>
            </w:pPr>
            <w:r>
              <w:rPr>
                <w:rFonts w:hint="eastAsia" w:ascii="宋体" w:hAnsi="宋体" w:eastAsia="宋体" w:cs="宋体"/>
                <w:b/>
                <w:bCs/>
                <w:sz w:val="24"/>
                <w:szCs w:val="24"/>
              </w:rPr>
              <w:t>所属行业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5"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sz w:val="24"/>
                <w:szCs w:val="24"/>
              </w:rPr>
            </w:pPr>
            <w:r>
              <w:rPr>
                <w:rFonts w:hint="eastAsia" w:ascii="宋体" w:hAnsi="宋体" w:eastAsia="宋体" w:cs="宋体"/>
                <w:b/>
                <w:bCs/>
                <w:i w:val="0"/>
                <w:iCs w:val="0"/>
                <w:color w:val="000000"/>
                <w:kern w:val="0"/>
                <w:sz w:val="24"/>
                <w:szCs w:val="24"/>
                <w:u w:val="none"/>
                <w:lang w:val="en-US" w:eastAsia="zh-CN" w:bidi="ar"/>
              </w:rPr>
              <w:t>1</w:t>
            </w:r>
          </w:p>
        </w:tc>
        <w:tc>
          <w:tcPr>
            <w:tcW w:w="3638"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sz w:val="24"/>
                <w:szCs w:val="24"/>
              </w:rPr>
            </w:pPr>
            <w:r>
              <w:rPr>
                <w:rFonts w:hint="eastAsia" w:ascii="宋体" w:hAnsi="宋体" w:eastAsia="宋体" w:cs="宋体"/>
                <w:i w:val="0"/>
                <w:iCs w:val="0"/>
                <w:color w:val="000000"/>
                <w:kern w:val="0"/>
                <w:sz w:val="24"/>
                <w:szCs w:val="24"/>
                <w:u w:val="none"/>
                <w:lang w:val="en-US" w:eastAsia="zh-CN" w:bidi="ar"/>
              </w:rPr>
              <w:t>▲</w:t>
            </w:r>
            <w:r>
              <w:rPr>
                <w:rFonts w:hint="eastAsia" w:ascii="宋体" w:hAnsi="宋体" w:eastAsia="宋体" w:cs="宋体"/>
                <w:sz w:val="24"/>
                <w:szCs w:val="24"/>
              </w:rPr>
              <w:t>❊</w:t>
            </w:r>
            <w:r>
              <w:rPr>
                <w:rFonts w:hint="eastAsia" w:ascii="宋体" w:hAnsi="宋体" w:eastAsia="宋体" w:cs="宋体"/>
                <w:i w:val="0"/>
                <w:iCs w:val="0"/>
                <w:color w:val="000000"/>
                <w:kern w:val="0"/>
                <w:sz w:val="24"/>
                <w:szCs w:val="24"/>
                <w:u w:val="none"/>
                <w:lang w:val="en-US" w:eastAsia="zh-CN" w:bidi="ar"/>
              </w:rPr>
              <w:t>潜水装具（自携系统）</w:t>
            </w:r>
          </w:p>
        </w:tc>
        <w:tc>
          <w:tcPr>
            <w:tcW w:w="2280"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default" w:ascii="宋体" w:hAnsi="宋体" w:eastAsia="宋体" w:cs="宋体"/>
                <w:b/>
                <w:bCs/>
                <w:sz w:val="24"/>
                <w:szCs w:val="24"/>
                <w:lang w:val="en-US"/>
              </w:rPr>
            </w:pPr>
            <w:r>
              <w:rPr>
                <w:rFonts w:hint="eastAsia" w:ascii="宋体" w:hAnsi="宋体" w:eastAsia="宋体" w:cs="宋体"/>
                <w:i w:val="0"/>
                <w:iCs w:val="0"/>
                <w:color w:val="000000"/>
                <w:kern w:val="0"/>
                <w:sz w:val="24"/>
                <w:szCs w:val="24"/>
                <w:u w:val="none"/>
                <w:lang w:val="en-US" w:eastAsia="zh-CN" w:bidi="ar"/>
              </w:rPr>
              <w:t>24套</w:t>
            </w:r>
          </w:p>
        </w:tc>
        <w:tc>
          <w:tcPr>
            <w:tcW w:w="2090"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8933" w:type="dxa"/>
            <w:gridSpan w:val="4"/>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本包需提供上述产品的样品1套</w:t>
            </w:r>
          </w:p>
        </w:tc>
      </w:tr>
    </w:tbl>
    <w:tbl>
      <w:tblPr>
        <w:tblStyle w:val="57"/>
        <w:tblW w:w="931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33"/>
        <w:gridCol w:w="1020"/>
        <w:gridCol w:w="1102"/>
        <w:gridCol w:w="655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序号</w:t>
            </w:r>
          </w:p>
        </w:tc>
        <w:tc>
          <w:tcPr>
            <w:tcW w:w="9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重要性</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指标项</w:t>
            </w:r>
          </w:p>
        </w:tc>
        <w:tc>
          <w:tcPr>
            <w:tcW w:w="63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技术参数及要求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5"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63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 1、基本配置：后开式拉链设计、膝部强化保护、360充气阀，可调节排气阀、背包、低压管、拉链润滑油和用户手册，在寒冷的水域使用；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63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2、材料厚度：≥6mm高强度尼龙材料，≥4mm潜水靴；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63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3、手套：浮力材，≥3mm，分指，加长腕部设计，手掌带防滑涂层；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63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4、BC：PVC材料，可用二级调节器把它打涨。UV防紫外线，肩部快接扣+金属挂钩，人体工程学设计，水下浮力≥210Kg；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63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5、脚蹼：传统前流体动力设计，柔软材料的边脊，合成橡胶，聚苯乙烯；弹簧引擎设计，可从不同角度插入鞋带扣；</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85"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63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6、潜刀≥16cm，带锯齿，不少于2把；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63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7、压铅带：带金属扣，压铅2Kg/块X6块；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63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8、三连表：含压力，深度，指南三种表，压力表范围为0-40MPa；深度表0-70m；采用充油及聚碳酸脂外壳，三种功能设计于一个仪表板上，仪表板两边设有绳圈便于潜水员穿上安全绳子；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55"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63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仿宋_GB2312" w:cs="宋体"/>
                <w:i w:val="0"/>
                <w:iCs w:val="0"/>
                <w:color w:val="000000"/>
                <w:sz w:val="24"/>
                <w:szCs w:val="24"/>
                <w:u w:val="none"/>
                <w:lang w:val="en-US" w:eastAsia="zh-CN"/>
              </w:rPr>
            </w:pPr>
            <w:r>
              <w:rPr>
                <w:rFonts w:hint="eastAsia" w:ascii="宋体" w:hAnsi="宋体" w:eastAsia="宋体" w:cs="宋体"/>
                <w:i w:val="0"/>
                <w:iCs w:val="0"/>
                <w:color w:val="000000"/>
                <w:kern w:val="0"/>
                <w:sz w:val="24"/>
                <w:szCs w:val="24"/>
                <w:u w:val="none"/>
                <w:lang w:val="en-US" w:eastAsia="zh-CN" w:bidi="ar"/>
              </w:rPr>
              <w:t>9、呼吸器：一级调解器工作压力≥20MPa，工作流量≥2000L/min；二级调解器工作压力≥0.8MPa</w:t>
            </w:r>
            <w:r>
              <w:rPr>
                <w:rFonts w:hint="eastAsia" w:ascii="宋体" w:hAnsi="宋体" w:eastAsia="宋体" w:cs="宋体"/>
                <w:color w:val="000000"/>
                <w:kern w:val="0"/>
                <w:sz w:val="24"/>
                <w:szCs w:val="24"/>
                <w:u w:val="none"/>
                <w:lang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63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10、面镜：可旋转镜带扣，适合不同面形，钢化玻璃镜片，附塑胶保护盒；</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63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11、呼吸管：半干式设计，防水大口径呼吸管，人体工程学设计的咬嘴，在最低点配有按压排水阀；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63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12、气瓶：12L铝瓶，不锈钢瓶头；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63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13、潜水包：防雨材料，用于携带潜水器材；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63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14、潜水手电：外壳由ABS树脂材料制成，聚碳酸酯镜头。开关防止浸水；开关可拆卸清洗。备用氙气灯泡。可潜水≥120m。使用电池；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63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15、专用储运箱；使用维护保养说明书或光盘。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63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16、每套含培训教材并负责培训取得国际认证潜水员证书。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17</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产品认证</w:t>
            </w:r>
          </w:p>
        </w:tc>
        <w:tc>
          <w:tcPr>
            <w:tcW w:w="63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性能符合NFPA或CE认证</w:t>
            </w:r>
            <w:r>
              <w:rPr>
                <w:rFonts w:hint="eastAsia" w:ascii="宋体" w:hAnsi="宋体" w:eastAsia="宋体" w:cs="宋体"/>
                <w:b/>
                <w:bCs/>
                <w:i w:val="0"/>
                <w:iCs w:val="0"/>
                <w:color w:val="000000"/>
                <w:kern w:val="0"/>
                <w:sz w:val="24"/>
                <w:szCs w:val="24"/>
                <w:u w:val="none"/>
                <w:lang w:val="en-US" w:eastAsia="zh-CN" w:bidi="ar"/>
              </w:rPr>
              <w:t>（投标文件中提供第三方有权检测机构出具的检测报告及相应认证证书扫描件）</w:t>
            </w:r>
          </w:p>
        </w:tc>
      </w:tr>
    </w:tbl>
    <w:p>
      <w:pPr>
        <w:pStyle w:val="2"/>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b/>
          <w:bCs/>
          <w:sz w:val="24"/>
          <w:szCs w:val="24"/>
        </w:rPr>
      </w:pPr>
    </w:p>
    <w:p>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b/>
          <w:bCs/>
          <w:sz w:val="24"/>
          <w:szCs w:val="24"/>
        </w:rPr>
      </w:pPr>
      <w:r>
        <w:rPr>
          <w:rFonts w:hint="eastAsia" w:ascii="宋体" w:hAnsi="宋体" w:eastAsia="宋体" w:cs="宋体"/>
          <w:b/>
          <w:bCs/>
          <w:sz w:val="24"/>
          <w:szCs w:val="24"/>
        </w:rPr>
        <w:br w:type="page"/>
      </w:r>
    </w:p>
    <w:p>
      <w:pPr>
        <w:keepNext w:val="0"/>
        <w:keepLines w:val="0"/>
        <w:pageBreakBefore w:val="0"/>
        <w:kinsoku/>
        <w:wordWrap/>
        <w:overflowPunct/>
        <w:topLinePunct w:val="0"/>
        <w:autoSpaceDE/>
        <w:autoSpaceDN/>
        <w:bidi w:val="0"/>
        <w:adjustRightInd/>
        <w:snapToGrid/>
        <w:spacing w:line="360" w:lineRule="auto"/>
        <w:outlineLvl w:val="0"/>
        <w:rPr>
          <w:rFonts w:hint="eastAsia" w:ascii="宋体" w:hAnsi="宋体" w:eastAsia="宋体" w:cs="宋体"/>
          <w:b/>
          <w:bCs/>
          <w:sz w:val="24"/>
          <w:szCs w:val="24"/>
        </w:rPr>
      </w:pPr>
      <w:bookmarkStart w:id="8" w:name="_Toc2256"/>
      <w:bookmarkStart w:id="9" w:name="_Toc13311"/>
      <w:r>
        <w:rPr>
          <w:rFonts w:hint="eastAsia" w:ascii="宋体" w:hAnsi="宋体" w:eastAsia="宋体" w:cs="宋体"/>
          <w:b/>
          <w:bCs/>
          <w:sz w:val="24"/>
          <w:szCs w:val="24"/>
        </w:rPr>
        <w:t>第4包：水域救援靴</w:t>
      </w:r>
      <w:bookmarkEnd w:id="8"/>
      <w:bookmarkEnd w:id="9"/>
    </w:p>
    <w:tbl>
      <w:tblPr>
        <w:tblStyle w:val="58"/>
        <w:tblW w:w="93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4"/>
        <w:gridCol w:w="3792"/>
        <w:gridCol w:w="2377"/>
        <w:gridCol w:w="21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5" w:type="dxa"/>
            <w:noWrap w:val="0"/>
            <w:vAlign w:val="center"/>
          </w:tcPr>
          <w:p>
            <w:pPr>
              <w:keepNext w:val="0"/>
              <w:keepLines w:val="0"/>
              <w:pageBreakBefore w:val="0"/>
              <w:kinsoku/>
              <w:wordWrap/>
              <w:overflowPunct/>
              <w:topLinePunct w:val="0"/>
              <w:autoSpaceDE/>
              <w:autoSpaceDN/>
              <w:bidi w:val="0"/>
              <w:adjustRightInd/>
              <w:snapToGrid/>
              <w:spacing w:line="360" w:lineRule="auto"/>
              <w:jc w:val="center"/>
              <w:outlineLvl w:val="2"/>
              <w:rPr>
                <w:rFonts w:hint="eastAsia" w:ascii="宋体" w:hAnsi="宋体" w:eastAsia="宋体" w:cs="宋体"/>
                <w:b/>
                <w:bCs/>
                <w:sz w:val="24"/>
                <w:szCs w:val="24"/>
              </w:rPr>
            </w:pPr>
            <w:r>
              <w:rPr>
                <w:rFonts w:hint="eastAsia" w:ascii="宋体" w:hAnsi="宋体" w:eastAsia="宋体" w:cs="宋体"/>
                <w:b/>
                <w:bCs/>
                <w:sz w:val="24"/>
                <w:szCs w:val="24"/>
              </w:rPr>
              <w:t>序号</w:t>
            </w:r>
          </w:p>
        </w:tc>
        <w:tc>
          <w:tcPr>
            <w:tcW w:w="3638" w:type="dxa"/>
            <w:noWrap w:val="0"/>
            <w:vAlign w:val="center"/>
          </w:tcPr>
          <w:p>
            <w:pPr>
              <w:keepNext w:val="0"/>
              <w:keepLines w:val="0"/>
              <w:pageBreakBefore w:val="0"/>
              <w:kinsoku/>
              <w:wordWrap/>
              <w:overflowPunct/>
              <w:topLinePunct w:val="0"/>
              <w:autoSpaceDE/>
              <w:autoSpaceDN/>
              <w:bidi w:val="0"/>
              <w:adjustRightInd/>
              <w:snapToGrid/>
              <w:spacing w:line="360" w:lineRule="auto"/>
              <w:jc w:val="center"/>
              <w:outlineLvl w:val="2"/>
              <w:rPr>
                <w:rFonts w:hint="eastAsia" w:ascii="宋体" w:hAnsi="宋体" w:eastAsia="宋体" w:cs="宋体"/>
                <w:b/>
                <w:bCs/>
                <w:sz w:val="24"/>
                <w:szCs w:val="24"/>
              </w:rPr>
            </w:pPr>
            <w:r>
              <w:rPr>
                <w:rFonts w:hint="eastAsia" w:ascii="宋体" w:hAnsi="宋体" w:eastAsia="宋体" w:cs="宋体"/>
                <w:b/>
                <w:bCs/>
                <w:sz w:val="24"/>
                <w:szCs w:val="24"/>
              </w:rPr>
              <w:t>货物名称</w:t>
            </w:r>
          </w:p>
        </w:tc>
        <w:tc>
          <w:tcPr>
            <w:tcW w:w="2280" w:type="dxa"/>
            <w:noWrap w:val="0"/>
            <w:vAlign w:val="center"/>
          </w:tcPr>
          <w:p>
            <w:pPr>
              <w:keepNext w:val="0"/>
              <w:keepLines w:val="0"/>
              <w:pageBreakBefore w:val="0"/>
              <w:kinsoku/>
              <w:wordWrap/>
              <w:overflowPunct/>
              <w:topLinePunct w:val="0"/>
              <w:autoSpaceDE/>
              <w:autoSpaceDN/>
              <w:bidi w:val="0"/>
              <w:adjustRightInd/>
              <w:snapToGrid/>
              <w:spacing w:line="360" w:lineRule="auto"/>
              <w:jc w:val="center"/>
              <w:outlineLvl w:val="2"/>
              <w:rPr>
                <w:rFonts w:hint="eastAsia" w:ascii="宋体" w:hAnsi="宋体" w:eastAsia="宋体" w:cs="宋体"/>
                <w:b/>
                <w:bCs/>
                <w:sz w:val="24"/>
                <w:szCs w:val="24"/>
              </w:rPr>
            </w:pPr>
            <w:r>
              <w:rPr>
                <w:rFonts w:hint="eastAsia" w:ascii="宋体" w:hAnsi="宋体" w:eastAsia="宋体" w:cs="宋体"/>
                <w:b/>
                <w:bCs/>
                <w:sz w:val="24"/>
                <w:szCs w:val="24"/>
              </w:rPr>
              <w:t>数量</w:t>
            </w:r>
          </w:p>
        </w:tc>
        <w:tc>
          <w:tcPr>
            <w:tcW w:w="2090" w:type="dxa"/>
            <w:noWrap w:val="0"/>
            <w:vAlign w:val="center"/>
          </w:tcPr>
          <w:p>
            <w:pPr>
              <w:keepNext w:val="0"/>
              <w:keepLines w:val="0"/>
              <w:pageBreakBefore w:val="0"/>
              <w:kinsoku/>
              <w:wordWrap/>
              <w:overflowPunct/>
              <w:topLinePunct w:val="0"/>
              <w:autoSpaceDE/>
              <w:autoSpaceDN/>
              <w:bidi w:val="0"/>
              <w:adjustRightInd/>
              <w:snapToGrid/>
              <w:spacing w:line="360" w:lineRule="auto"/>
              <w:jc w:val="center"/>
              <w:outlineLvl w:val="2"/>
              <w:rPr>
                <w:rFonts w:hint="eastAsia" w:ascii="宋体" w:hAnsi="宋体" w:eastAsia="宋体" w:cs="宋体"/>
                <w:b/>
                <w:bCs/>
                <w:sz w:val="24"/>
                <w:szCs w:val="24"/>
              </w:rPr>
            </w:pPr>
            <w:r>
              <w:rPr>
                <w:rFonts w:hint="eastAsia" w:ascii="宋体" w:hAnsi="宋体" w:eastAsia="宋体" w:cs="宋体"/>
                <w:b/>
                <w:bCs/>
                <w:sz w:val="24"/>
                <w:szCs w:val="24"/>
              </w:rPr>
              <w:t>所属行业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5"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sz w:val="24"/>
                <w:szCs w:val="24"/>
              </w:rPr>
            </w:pPr>
            <w:r>
              <w:rPr>
                <w:rFonts w:hint="eastAsia" w:ascii="宋体" w:hAnsi="宋体" w:eastAsia="宋体" w:cs="宋体"/>
                <w:b/>
                <w:bCs/>
                <w:i w:val="0"/>
                <w:iCs w:val="0"/>
                <w:color w:val="000000"/>
                <w:kern w:val="0"/>
                <w:sz w:val="24"/>
                <w:szCs w:val="24"/>
                <w:u w:val="none"/>
                <w:lang w:val="en-US" w:eastAsia="zh-CN" w:bidi="ar"/>
              </w:rPr>
              <w:t>1</w:t>
            </w:r>
          </w:p>
        </w:tc>
        <w:tc>
          <w:tcPr>
            <w:tcW w:w="3638"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sz w:val="24"/>
                <w:szCs w:val="24"/>
              </w:rPr>
            </w:pPr>
            <w:r>
              <w:rPr>
                <w:rFonts w:hint="eastAsia" w:ascii="宋体" w:hAnsi="宋体" w:eastAsia="宋体" w:cs="宋体"/>
                <w:i w:val="0"/>
                <w:iCs w:val="0"/>
                <w:color w:val="000000"/>
                <w:kern w:val="0"/>
                <w:sz w:val="24"/>
                <w:szCs w:val="24"/>
                <w:u w:val="none"/>
                <w:lang w:val="en-US" w:eastAsia="zh-CN" w:bidi="ar"/>
              </w:rPr>
              <w:t>▲</w:t>
            </w:r>
            <w:r>
              <w:rPr>
                <w:rFonts w:hint="eastAsia" w:ascii="宋体" w:hAnsi="宋体" w:eastAsia="宋体" w:cs="宋体"/>
                <w:sz w:val="24"/>
                <w:szCs w:val="24"/>
              </w:rPr>
              <w:t>❊</w:t>
            </w:r>
            <w:r>
              <w:rPr>
                <w:rFonts w:hint="eastAsia" w:ascii="宋体" w:hAnsi="宋体" w:eastAsia="宋体" w:cs="宋体"/>
                <w:i w:val="0"/>
                <w:iCs w:val="0"/>
                <w:color w:val="000000"/>
                <w:kern w:val="0"/>
                <w:sz w:val="24"/>
                <w:szCs w:val="24"/>
                <w:u w:val="none"/>
                <w:lang w:val="en-US" w:eastAsia="zh-CN" w:bidi="ar"/>
              </w:rPr>
              <w:t>水域救援靴</w:t>
            </w:r>
          </w:p>
        </w:tc>
        <w:tc>
          <w:tcPr>
            <w:tcW w:w="2280"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default" w:ascii="宋体" w:hAnsi="宋体" w:eastAsia="宋体" w:cs="宋体"/>
                <w:b/>
                <w:bCs/>
                <w:sz w:val="24"/>
                <w:szCs w:val="24"/>
                <w:lang w:val="en-US"/>
              </w:rPr>
            </w:pPr>
            <w:r>
              <w:rPr>
                <w:rFonts w:hint="eastAsia" w:ascii="宋体" w:hAnsi="宋体" w:eastAsia="宋体" w:cs="宋体"/>
                <w:i w:val="0"/>
                <w:iCs w:val="0"/>
                <w:color w:val="000000"/>
                <w:kern w:val="0"/>
                <w:sz w:val="24"/>
                <w:szCs w:val="24"/>
                <w:u w:val="none"/>
                <w:lang w:val="en-US" w:eastAsia="zh-CN" w:bidi="ar"/>
              </w:rPr>
              <w:t>343双</w:t>
            </w:r>
          </w:p>
        </w:tc>
        <w:tc>
          <w:tcPr>
            <w:tcW w:w="2090"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8933" w:type="dxa"/>
            <w:gridSpan w:val="4"/>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本包需提供上述产品的样品1双</w:t>
            </w:r>
          </w:p>
        </w:tc>
      </w:tr>
    </w:tbl>
    <w:tbl>
      <w:tblPr>
        <w:tblStyle w:val="57"/>
        <w:tblW w:w="931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33"/>
        <w:gridCol w:w="1020"/>
        <w:gridCol w:w="1102"/>
        <w:gridCol w:w="655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序号</w:t>
            </w:r>
          </w:p>
        </w:tc>
        <w:tc>
          <w:tcPr>
            <w:tcW w:w="9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重要性</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指标项</w:t>
            </w:r>
          </w:p>
        </w:tc>
        <w:tc>
          <w:tcPr>
            <w:tcW w:w="63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技术参数及要求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5"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63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1．采用高帮设计，25mm氯丁橡胶与一体合成皮革双层结构，7mm的氯丁橡胶内垫，经常磨损区域做加强处理；可以覆盖脚踝，侧边拉链设计并有魔术贴固定。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63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2．脚踝的左右两侧和后部采用≥3毫米材质提供轻微的透气性。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63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3．脚背和脚踝前部采用耐用的≥3毫米氯丁橡胶保温材料。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5"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63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4．脚掌侧面带有排水孔。脚跟处凸起设计，方便与脚蹼搭配使用。脚底采用防滑设计，在潮湿的混凝土路面和软质地面上具有良好的附着力。</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产品认证</w:t>
            </w:r>
          </w:p>
        </w:tc>
        <w:tc>
          <w:tcPr>
            <w:tcW w:w="63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5．提供CE认证或NFPA认证。</w:t>
            </w:r>
          </w:p>
        </w:tc>
      </w:tr>
    </w:tbl>
    <w:p>
      <w:pPr>
        <w:pStyle w:val="2"/>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sz w:val="24"/>
          <w:szCs w:val="24"/>
        </w:rPr>
        <w:sectPr>
          <w:pgSz w:w="11906" w:h="16838"/>
          <w:pgMar w:top="1440" w:right="1800" w:bottom="1440" w:left="1800" w:header="851" w:footer="992" w:gutter="0"/>
          <w:pgNumType w:fmt="decimal"/>
          <w:cols w:space="425" w:num="1"/>
          <w:docGrid w:type="lines" w:linePitch="312" w:charSpace="0"/>
        </w:sectPr>
      </w:pPr>
    </w:p>
    <w:p>
      <w:pPr>
        <w:keepNext w:val="0"/>
        <w:keepLines w:val="0"/>
        <w:pageBreakBefore w:val="0"/>
        <w:kinsoku/>
        <w:wordWrap/>
        <w:overflowPunct/>
        <w:topLinePunct w:val="0"/>
        <w:autoSpaceDE/>
        <w:autoSpaceDN/>
        <w:bidi w:val="0"/>
        <w:adjustRightInd/>
        <w:snapToGrid/>
        <w:spacing w:line="360" w:lineRule="auto"/>
        <w:outlineLvl w:val="0"/>
        <w:rPr>
          <w:rFonts w:hint="eastAsia" w:ascii="宋体" w:hAnsi="宋体" w:eastAsia="宋体" w:cs="宋体"/>
          <w:b/>
          <w:bCs/>
          <w:sz w:val="24"/>
          <w:szCs w:val="24"/>
        </w:rPr>
      </w:pPr>
      <w:bookmarkStart w:id="10" w:name="_Toc1022"/>
      <w:bookmarkStart w:id="11" w:name="_Toc6771"/>
      <w:r>
        <w:rPr>
          <w:rFonts w:hint="eastAsia" w:ascii="宋体" w:hAnsi="宋体" w:eastAsia="宋体" w:cs="宋体"/>
          <w:b/>
          <w:bCs/>
          <w:sz w:val="24"/>
          <w:szCs w:val="24"/>
        </w:rPr>
        <w:t>第5包：消防头盔（半盔）</w:t>
      </w:r>
      <w:bookmarkEnd w:id="10"/>
      <w:bookmarkEnd w:id="11"/>
    </w:p>
    <w:tbl>
      <w:tblPr>
        <w:tblStyle w:val="58"/>
        <w:tblW w:w="93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4"/>
        <w:gridCol w:w="3792"/>
        <w:gridCol w:w="2377"/>
        <w:gridCol w:w="21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5" w:type="dxa"/>
            <w:noWrap w:val="0"/>
            <w:vAlign w:val="center"/>
          </w:tcPr>
          <w:p>
            <w:pPr>
              <w:keepNext w:val="0"/>
              <w:keepLines w:val="0"/>
              <w:pageBreakBefore w:val="0"/>
              <w:kinsoku/>
              <w:wordWrap/>
              <w:overflowPunct/>
              <w:topLinePunct w:val="0"/>
              <w:autoSpaceDE/>
              <w:autoSpaceDN/>
              <w:bidi w:val="0"/>
              <w:adjustRightInd/>
              <w:snapToGrid/>
              <w:spacing w:line="360" w:lineRule="auto"/>
              <w:jc w:val="center"/>
              <w:outlineLvl w:val="2"/>
              <w:rPr>
                <w:rFonts w:hint="eastAsia" w:ascii="宋体" w:hAnsi="宋体" w:eastAsia="宋体" w:cs="宋体"/>
                <w:b/>
                <w:bCs/>
                <w:sz w:val="24"/>
                <w:szCs w:val="24"/>
              </w:rPr>
            </w:pPr>
            <w:r>
              <w:rPr>
                <w:rFonts w:hint="eastAsia" w:ascii="宋体" w:hAnsi="宋体" w:eastAsia="宋体" w:cs="宋体"/>
                <w:b/>
                <w:bCs/>
                <w:sz w:val="24"/>
                <w:szCs w:val="24"/>
              </w:rPr>
              <w:t>序号</w:t>
            </w:r>
          </w:p>
        </w:tc>
        <w:tc>
          <w:tcPr>
            <w:tcW w:w="3638" w:type="dxa"/>
            <w:noWrap w:val="0"/>
            <w:vAlign w:val="center"/>
          </w:tcPr>
          <w:p>
            <w:pPr>
              <w:keepNext w:val="0"/>
              <w:keepLines w:val="0"/>
              <w:pageBreakBefore w:val="0"/>
              <w:kinsoku/>
              <w:wordWrap/>
              <w:overflowPunct/>
              <w:topLinePunct w:val="0"/>
              <w:autoSpaceDE/>
              <w:autoSpaceDN/>
              <w:bidi w:val="0"/>
              <w:adjustRightInd/>
              <w:snapToGrid/>
              <w:spacing w:line="360" w:lineRule="auto"/>
              <w:jc w:val="center"/>
              <w:outlineLvl w:val="2"/>
              <w:rPr>
                <w:rFonts w:hint="eastAsia" w:ascii="宋体" w:hAnsi="宋体" w:eastAsia="宋体" w:cs="宋体"/>
                <w:b/>
                <w:bCs/>
                <w:sz w:val="24"/>
                <w:szCs w:val="24"/>
              </w:rPr>
            </w:pPr>
            <w:r>
              <w:rPr>
                <w:rFonts w:hint="eastAsia" w:ascii="宋体" w:hAnsi="宋体" w:eastAsia="宋体" w:cs="宋体"/>
                <w:b/>
                <w:bCs/>
                <w:sz w:val="24"/>
                <w:szCs w:val="24"/>
              </w:rPr>
              <w:t>货物名称</w:t>
            </w:r>
          </w:p>
        </w:tc>
        <w:tc>
          <w:tcPr>
            <w:tcW w:w="2280" w:type="dxa"/>
            <w:noWrap w:val="0"/>
            <w:vAlign w:val="center"/>
          </w:tcPr>
          <w:p>
            <w:pPr>
              <w:keepNext w:val="0"/>
              <w:keepLines w:val="0"/>
              <w:pageBreakBefore w:val="0"/>
              <w:kinsoku/>
              <w:wordWrap/>
              <w:overflowPunct/>
              <w:topLinePunct w:val="0"/>
              <w:autoSpaceDE/>
              <w:autoSpaceDN/>
              <w:bidi w:val="0"/>
              <w:adjustRightInd/>
              <w:snapToGrid/>
              <w:spacing w:line="360" w:lineRule="auto"/>
              <w:jc w:val="center"/>
              <w:outlineLvl w:val="2"/>
              <w:rPr>
                <w:rFonts w:hint="eastAsia" w:ascii="宋体" w:hAnsi="宋体" w:eastAsia="宋体" w:cs="宋体"/>
                <w:b/>
                <w:bCs/>
                <w:sz w:val="24"/>
                <w:szCs w:val="24"/>
              </w:rPr>
            </w:pPr>
            <w:r>
              <w:rPr>
                <w:rFonts w:hint="eastAsia" w:ascii="宋体" w:hAnsi="宋体" w:eastAsia="宋体" w:cs="宋体"/>
                <w:b/>
                <w:bCs/>
                <w:sz w:val="24"/>
                <w:szCs w:val="24"/>
              </w:rPr>
              <w:t>数量</w:t>
            </w:r>
          </w:p>
        </w:tc>
        <w:tc>
          <w:tcPr>
            <w:tcW w:w="2090" w:type="dxa"/>
            <w:noWrap w:val="0"/>
            <w:vAlign w:val="center"/>
          </w:tcPr>
          <w:p>
            <w:pPr>
              <w:keepNext w:val="0"/>
              <w:keepLines w:val="0"/>
              <w:pageBreakBefore w:val="0"/>
              <w:kinsoku/>
              <w:wordWrap/>
              <w:overflowPunct/>
              <w:topLinePunct w:val="0"/>
              <w:autoSpaceDE/>
              <w:autoSpaceDN/>
              <w:bidi w:val="0"/>
              <w:adjustRightInd/>
              <w:snapToGrid/>
              <w:spacing w:line="360" w:lineRule="auto"/>
              <w:jc w:val="center"/>
              <w:outlineLvl w:val="2"/>
              <w:rPr>
                <w:rFonts w:hint="eastAsia" w:ascii="宋体" w:hAnsi="宋体" w:eastAsia="宋体" w:cs="宋体"/>
                <w:b/>
                <w:bCs/>
                <w:sz w:val="24"/>
                <w:szCs w:val="24"/>
              </w:rPr>
            </w:pPr>
            <w:r>
              <w:rPr>
                <w:rFonts w:hint="eastAsia" w:ascii="宋体" w:hAnsi="宋体" w:eastAsia="宋体" w:cs="宋体"/>
                <w:b/>
                <w:bCs/>
                <w:sz w:val="24"/>
                <w:szCs w:val="24"/>
              </w:rPr>
              <w:t>所属行业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5"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sz w:val="24"/>
                <w:szCs w:val="24"/>
              </w:rPr>
            </w:pPr>
            <w:r>
              <w:rPr>
                <w:rFonts w:hint="eastAsia" w:ascii="宋体" w:hAnsi="宋体" w:eastAsia="宋体" w:cs="宋体"/>
                <w:b/>
                <w:bCs/>
                <w:i w:val="0"/>
                <w:iCs w:val="0"/>
                <w:color w:val="000000"/>
                <w:kern w:val="0"/>
                <w:sz w:val="24"/>
                <w:szCs w:val="24"/>
                <w:u w:val="none"/>
                <w:lang w:val="en-US" w:eastAsia="zh-CN" w:bidi="ar"/>
              </w:rPr>
              <w:t>1</w:t>
            </w:r>
          </w:p>
        </w:tc>
        <w:tc>
          <w:tcPr>
            <w:tcW w:w="3638"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sz w:val="24"/>
                <w:szCs w:val="24"/>
              </w:rPr>
            </w:pPr>
            <w:r>
              <w:rPr>
                <w:rFonts w:hint="eastAsia" w:ascii="宋体" w:hAnsi="宋体" w:eastAsia="宋体" w:cs="宋体"/>
                <w:i w:val="0"/>
                <w:iCs w:val="0"/>
                <w:color w:val="000000"/>
                <w:kern w:val="0"/>
                <w:sz w:val="24"/>
                <w:szCs w:val="24"/>
                <w:u w:val="none"/>
                <w:lang w:val="en-US" w:eastAsia="zh-CN" w:bidi="ar"/>
              </w:rPr>
              <w:t>▲消防头盔（半盔）</w:t>
            </w:r>
          </w:p>
        </w:tc>
        <w:tc>
          <w:tcPr>
            <w:tcW w:w="2280"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仿宋_GB2312" w:cs="宋体"/>
                <w:b/>
                <w:bCs/>
                <w:sz w:val="24"/>
                <w:szCs w:val="24"/>
                <w:lang w:val="en-US" w:eastAsia="zh-CN"/>
              </w:rPr>
            </w:pPr>
            <w:r>
              <w:rPr>
                <w:rFonts w:hint="eastAsia" w:ascii="宋体" w:hAnsi="宋体" w:eastAsia="宋体" w:cs="宋体"/>
                <w:b/>
                <w:bCs/>
                <w:i w:val="0"/>
                <w:iCs w:val="0"/>
                <w:color w:val="000000"/>
                <w:kern w:val="0"/>
                <w:sz w:val="24"/>
                <w:szCs w:val="24"/>
                <w:u w:val="none"/>
                <w:lang w:val="en-US" w:eastAsia="zh-CN" w:bidi="ar"/>
              </w:rPr>
              <w:t>3297</w:t>
            </w:r>
            <w:r>
              <w:rPr>
                <w:rFonts w:hint="eastAsia" w:ascii="宋体" w:hAnsi="宋体" w:eastAsia="宋体" w:cs="宋体"/>
                <w:color w:val="000000"/>
                <w:kern w:val="0"/>
                <w:sz w:val="24"/>
                <w:szCs w:val="24"/>
                <w:u w:val="none"/>
                <w:lang w:val="en-US" w:eastAsia="zh-CN" w:bidi="ar"/>
              </w:rPr>
              <w:t>顶</w:t>
            </w:r>
          </w:p>
        </w:tc>
        <w:tc>
          <w:tcPr>
            <w:tcW w:w="2090"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33" w:type="dxa"/>
            <w:gridSpan w:val="4"/>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本包需提供上述产品的样品1顶</w:t>
            </w:r>
          </w:p>
        </w:tc>
      </w:tr>
    </w:tbl>
    <w:tbl>
      <w:tblPr>
        <w:tblStyle w:val="57"/>
        <w:tblW w:w="931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33"/>
        <w:gridCol w:w="1020"/>
        <w:gridCol w:w="1102"/>
        <w:gridCol w:w="655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序号</w:t>
            </w:r>
          </w:p>
        </w:tc>
        <w:tc>
          <w:tcPr>
            <w:tcW w:w="9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重要性</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指标项</w:t>
            </w:r>
          </w:p>
        </w:tc>
        <w:tc>
          <w:tcPr>
            <w:tcW w:w="63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技术参数及要求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技术标准</w:t>
            </w:r>
          </w:p>
        </w:tc>
        <w:tc>
          <w:tcPr>
            <w:tcW w:w="63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技术性能符合《消防头盔》XF44-2015的要求。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05"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63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外翻半盔式头盔，四级减震结构设计由帽壳、冲击力吸收垫、缓冲层、网状舒适层、帽箍、下颏带、面罩、披肩等部件组成，设调节纽，调节方便的下颌带,采用橡胶内嵌金属包边；配备耐高温阻燃支架，与头盔配套使用，方便消防员佩戴“佩戴式防爆照明灯”等装备，并提供配件一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63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2．下颏带采用芳纶阻燃材料，宽度≥20mm，同时搭配有快速调节搭扣。头盔头围可调范围大，最大可调节范围≥60cm。阻燃性能：下颏带损毁长度≤30mm，续燃时间不大于2秒，且无熔融、滴落现象。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63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3．面罩应采用透明、耐冲击、耐热、防雾和耐刮擦的材料制成，开合过程应能随意保持定位，其向上打开角度不应超过90°。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63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4．披肩应为装卸式，采用铝箔复合防水层及芳纶阻燃面料的三层结构，可完全覆盖消防员肩部与颈部，脱卸方便。阻燃性能：披肩损毁长度≤30mm，续燃时间不大于2秒，且无熔融、滴落现象。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0"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63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5．头盔质量（不包括披肩及其他附件）≤1.3kg；冲击吸收性能：经高温、低温、浸水、辐射热预处理后进行冲击吸收性能试验，头模所受到的最大冲击力≤3.78KN，电绝缘性能:帽壳泄漏电流≤3mA。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63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6．帽壳外表面前端正中位置根据用户需求粘贴帽徽，并粘贴有360°可视阻燃反光标志带，宽度≥30mm，长度≥22mm。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63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7．头盔颜色为黄色或红色（具体由使用单位确定），两侧印字根据用户需求粘贴，外观及字体符合部消防局统型要求。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产品认证</w:t>
            </w:r>
          </w:p>
        </w:tc>
        <w:tc>
          <w:tcPr>
            <w:tcW w:w="63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产品取得消防产品认证（投标文件中提供消防产品认证证书扫描件）。</w:t>
            </w:r>
          </w:p>
        </w:tc>
      </w:tr>
    </w:tbl>
    <w:p>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b/>
          <w:bCs/>
          <w:sz w:val="24"/>
          <w:szCs w:val="24"/>
        </w:rPr>
      </w:pPr>
      <w:r>
        <w:rPr>
          <w:rFonts w:hint="eastAsia" w:ascii="宋体" w:hAnsi="宋体" w:eastAsia="宋体" w:cs="宋体"/>
          <w:b/>
          <w:bCs/>
          <w:sz w:val="24"/>
          <w:szCs w:val="24"/>
        </w:rPr>
        <w:br w:type="page"/>
      </w:r>
    </w:p>
    <w:p>
      <w:pPr>
        <w:keepNext w:val="0"/>
        <w:keepLines w:val="0"/>
        <w:pageBreakBefore w:val="0"/>
        <w:kinsoku/>
        <w:wordWrap/>
        <w:overflowPunct/>
        <w:topLinePunct w:val="0"/>
        <w:autoSpaceDE/>
        <w:autoSpaceDN/>
        <w:bidi w:val="0"/>
        <w:adjustRightInd/>
        <w:snapToGrid/>
        <w:spacing w:line="360" w:lineRule="auto"/>
        <w:outlineLvl w:val="0"/>
        <w:rPr>
          <w:rFonts w:hint="eastAsia" w:ascii="宋体" w:hAnsi="宋体" w:eastAsia="宋体" w:cs="宋体"/>
          <w:b/>
          <w:bCs/>
          <w:sz w:val="24"/>
          <w:szCs w:val="24"/>
        </w:rPr>
      </w:pPr>
      <w:bookmarkStart w:id="12" w:name="_Toc10269"/>
      <w:bookmarkStart w:id="13" w:name="_Toc15140"/>
      <w:r>
        <w:rPr>
          <w:rFonts w:hint="eastAsia" w:ascii="宋体" w:hAnsi="宋体" w:eastAsia="宋体" w:cs="宋体"/>
          <w:b/>
          <w:bCs/>
          <w:sz w:val="24"/>
          <w:szCs w:val="24"/>
        </w:rPr>
        <w:t>第6包：消防头盔（全盔）</w:t>
      </w:r>
      <w:bookmarkEnd w:id="12"/>
      <w:bookmarkEnd w:id="13"/>
    </w:p>
    <w:tbl>
      <w:tblPr>
        <w:tblStyle w:val="58"/>
        <w:tblW w:w="93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4"/>
        <w:gridCol w:w="3792"/>
        <w:gridCol w:w="2377"/>
        <w:gridCol w:w="21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5" w:type="dxa"/>
            <w:noWrap w:val="0"/>
            <w:vAlign w:val="center"/>
          </w:tcPr>
          <w:p>
            <w:pPr>
              <w:keepNext w:val="0"/>
              <w:keepLines w:val="0"/>
              <w:pageBreakBefore w:val="0"/>
              <w:kinsoku/>
              <w:wordWrap/>
              <w:overflowPunct/>
              <w:topLinePunct w:val="0"/>
              <w:autoSpaceDE/>
              <w:autoSpaceDN/>
              <w:bidi w:val="0"/>
              <w:adjustRightInd/>
              <w:snapToGrid/>
              <w:spacing w:line="360" w:lineRule="auto"/>
              <w:jc w:val="center"/>
              <w:outlineLvl w:val="2"/>
              <w:rPr>
                <w:rFonts w:hint="eastAsia" w:ascii="宋体" w:hAnsi="宋体" w:eastAsia="宋体" w:cs="宋体"/>
                <w:b/>
                <w:bCs/>
                <w:sz w:val="24"/>
                <w:szCs w:val="24"/>
              </w:rPr>
            </w:pPr>
            <w:r>
              <w:rPr>
                <w:rFonts w:hint="eastAsia" w:ascii="宋体" w:hAnsi="宋体" w:eastAsia="宋体" w:cs="宋体"/>
                <w:b/>
                <w:bCs/>
                <w:sz w:val="24"/>
                <w:szCs w:val="24"/>
              </w:rPr>
              <w:t>序号</w:t>
            </w:r>
          </w:p>
        </w:tc>
        <w:tc>
          <w:tcPr>
            <w:tcW w:w="3638" w:type="dxa"/>
            <w:noWrap w:val="0"/>
            <w:vAlign w:val="center"/>
          </w:tcPr>
          <w:p>
            <w:pPr>
              <w:keepNext w:val="0"/>
              <w:keepLines w:val="0"/>
              <w:pageBreakBefore w:val="0"/>
              <w:kinsoku/>
              <w:wordWrap/>
              <w:overflowPunct/>
              <w:topLinePunct w:val="0"/>
              <w:autoSpaceDE/>
              <w:autoSpaceDN/>
              <w:bidi w:val="0"/>
              <w:adjustRightInd/>
              <w:snapToGrid/>
              <w:spacing w:line="360" w:lineRule="auto"/>
              <w:jc w:val="center"/>
              <w:outlineLvl w:val="2"/>
              <w:rPr>
                <w:rFonts w:hint="eastAsia" w:ascii="宋体" w:hAnsi="宋体" w:eastAsia="宋体" w:cs="宋体"/>
                <w:b/>
                <w:bCs/>
                <w:sz w:val="24"/>
                <w:szCs w:val="24"/>
              </w:rPr>
            </w:pPr>
            <w:r>
              <w:rPr>
                <w:rFonts w:hint="eastAsia" w:ascii="宋体" w:hAnsi="宋体" w:eastAsia="宋体" w:cs="宋体"/>
                <w:b/>
                <w:bCs/>
                <w:sz w:val="24"/>
                <w:szCs w:val="24"/>
              </w:rPr>
              <w:t>货物名称</w:t>
            </w:r>
          </w:p>
        </w:tc>
        <w:tc>
          <w:tcPr>
            <w:tcW w:w="2280" w:type="dxa"/>
            <w:noWrap w:val="0"/>
            <w:vAlign w:val="center"/>
          </w:tcPr>
          <w:p>
            <w:pPr>
              <w:keepNext w:val="0"/>
              <w:keepLines w:val="0"/>
              <w:pageBreakBefore w:val="0"/>
              <w:kinsoku/>
              <w:wordWrap/>
              <w:overflowPunct/>
              <w:topLinePunct w:val="0"/>
              <w:autoSpaceDE/>
              <w:autoSpaceDN/>
              <w:bidi w:val="0"/>
              <w:adjustRightInd/>
              <w:snapToGrid/>
              <w:spacing w:line="360" w:lineRule="auto"/>
              <w:jc w:val="center"/>
              <w:outlineLvl w:val="2"/>
              <w:rPr>
                <w:rFonts w:hint="eastAsia" w:ascii="宋体" w:hAnsi="宋体" w:eastAsia="宋体" w:cs="宋体"/>
                <w:b/>
                <w:bCs/>
                <w:sz w:val="24"/>
                <w:szCs w:val="24"/>
              </w:rPr>
            </w:pPr>
            <w:r>
              <w:rPr>
                <w:rFonts w:hint="eastAsia" w:ascii="宋体" w:hAnsi="宋体" w:eastAsia="宋体" w:cs="宋体"/>
                <w:b/>
                <w:bCs/>
                <w:sz w:val="24"/>
                <w:szCs w:val="24"/>
              </w:rPr>
              <w:t>数量</w:t>
            </w:r>
          </w:p>
        </w:tc>
        <w:tc>
          <w:tcPr>
            <w:tcW w:w="2090" w:type="dxa"/>
            <w:noWrap w:val="0"/>
            <w:vAlign w:val="center"/>
          </w:tcPr>
          <w:p>
            <w:pPr>
              <w:keepNext w:val="0"/>
              <w:keepLines w:val="0"/>
              <w:pageBreakBefore w:val="0"/>
              <w:kinsoku/>
              <w:wordWrap/>
              <w:overflowPunct/>
              <w:topLinePunct w:val="0"/>
              <w:autoSpaceDE/>
              <w:autoSpaceDN/>
              <w:bidi w:val="0"/>
              <w:adjustRightInd/>
              <w:snapToGrid/>
              <w:spacing w:line="360" w:lineRule="auto"/>
              <w:jc w:val="center"/>
              <w:outlineLvl w:val="2"/>
              <w:rPr>
                <w:rFonts w:hint="eastAsia" w:ascii="宋体" w:hAnsi="宋体" w:eastAsia="宋体" w:cs="宋体"/>
                <w:b/>
                <w:bCs/>
                <w:sz w:val="24"/>
                <w:szCs w:val="24"/>
              </w:rPr>
            </w:pPr>
            <w:r>
              <w:rPr>
                <w:rFonts w:hint="eastAsia" w:ascii="宋体" w:hAnsi="宋体" w:eastAsia="宋体" w:cs="宋体"/>
                <w:b/>
                <w:bCs/>
                <w:sz w:val="24"/>
                <w:szCs w:val="24"/>
              </w:rPr>
              <w:t>所属行业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5"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sz w:val="24"/>
                <w:szCs w:val="24"/>
              </w:rPr>
            </w:pPr>
            <w:r>
              <w:rPr>
                <w:rFonts w:hint="eastAsia" w:ascii="宋体" w:hAnsi="宋体" w:eastAsia="宋体" w:cs="宋体"/>
                <w:b/>
                <w:bCs/>
                <w:i w:val="0"/>
                <w:iCs w:val="0"/>
                <w:color w:val="000000"/>
                <w:kern w:val="0"/>
                <w:sz w:val="24"/>
                <w:szCs w:val="24"/>
                <w:u w:val="none"/>
                <w:lang w:val="en-US" w:eastAsia="zh-CN" w:bidi="ar"/>
              </w:rPr>
              <w:t>1</w:t>
            </w:r>
          </w:p>
        </w:tc>
        <w:tc>
          <w:tcPr>
            <w:tcW w:w="3638"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sz w:val="24"/>
                <w:szCs w:val="24"/>
              </w:rPr>
            </w:pPr>
            <w:r>
              <w:rPr>
                <w:rFonts w:hint="eastAsia" w:ascii="宋体" w:hAnsi="宋体" w:eastAsia="宋体" w:cs="宋体"/>
                <w:i w:val="0"/>
                <w:iCs w:val="0"/>
                <w:color w:val="000000"/>
                <w:kern w:val="0"/>
                <w:sz w:val="24"/>
                <w:szCs w:val="24"/>
                <w:u w:val="none"/>
                <w:lang w:val="en-US" w:eastAsia="zh-CN" w:bidi="ar"/>
              </w:rPr>
              <w:t>▲消防头盔（全盔）</w:t>
            </w:r>
          </w:p>
        </w:tc>
        <w:tc>
          <w:tcPr>
            <w:tcW w:w="2280"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sz w:val="24"/>
                <w:szCs w:val="24"/>
              </w:rPr>
            </w:pPr>
            <w:r>
              <w:rPr>
                <w:rFonts w:hint="eastAsia" w:ascii="宋体" w:hAnsi="宋体" w:eastAsia="宋体" w:cs="宋体"/>
                <w:b/>
                <w:bCs/>
                <w:i w:val="0"/>
                <w:iCs w:val="0"/>
                <w:color w:val="000000"/>
                <w:kern w:val="0"/>
                <w:sz w:val="24"/>
                <w:szCs w:val="24"/>
                <w:u w:val="none"/>
                <w:lang w:val="en-US" w:eastAsia="zh-CN" w:bidi="ar"/>
              </w:rPr>
              <w:t>4885</w:t>
            </w:r>
            <w:r>
              <w:rPr>
                <w:rFonts w:hint="eastAsia" w:ascii="宋体" w:hAnsi="宋体" w:eastAsia="宋体" w:cs="宋体"/>
                <w:color w:val="000000"/>
                <w:kern w:val="0"/>
                <w:sz w:val="24"/>
                <w:szCs w:val="24"/>
                <w:u w:val="none"/>
                <w:lang w:val="en-US" w:eastAsia="zh-CN" w:bidi="ar"/>
              </w:rPr>
              <w:t>顶</w:t>
            </w:r>
          </w:p>
        </w:tc>
        <w:tc>
          <w:tcPr>
            <w:tcW w:w="2090"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8933" w:type="dxa"/>
            <w:gridSpan w:val="4"/>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本包需提供样品1</w:t>
            </w:r>
            <w:r>
              <w:rPr>
                <w:rFonts w:hint="eastAsia" w:ascii="宋体" w:hAnsi="宋体" w:eastAsia="宋体" w:cs="宋体"/>
                <w:color w:val="000000"/>
                <w:kern w:val="0"/>
                <w:sz w:val="24"/>
                <w:szCs w:val="24"/>
                <w:u w:val="none"/>
                <w:lang w:val="en-US" w:eastAsia="zh-CN" w:bidi="ar"/>
              </w:rPr>
              <w:t>顶</w:t>
            </w:r>
          </w:p>
        </w:tc>
      </w:tr>
    </w:tbl>
    <w:tbl>
      <w:tblPr>
        <w:tblStyle w:val="57"/>
        <w:tblW w:w="931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33"/>
        <w:gridCol w:w="1020"/>
        <w:gridCol w:w="1102"/>
        <w:gridCol w:w="655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序号</w:t>
            </w:r>
          </w:p>
        </w:tc>
        <w:tc>
          <w:tcPr>
            <w:tcW w:w="9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重要性</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指标项</w:t>
            </w:r>
          </w:p>
        </w:tc>
        <w:tc>
          <w:tcPr>
            <w:tcW w:w="63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技术参数及要求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技术标准</w:t>
            </w:r>
          </w:p>
        </w:tc>
        <w:tc>
          <w:tcPr>
            <w:tcW w:w="63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技术性能符合《消防头盔》XF44-2015的要求。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63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1．消防员在灭火时佩戴用于保护头部安全的防护装具。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63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2．头盔由帽壳、缓冲层、帽衬、可调节帽箍、舒适衬垫、下颏带、防护面屏、披肩等组成。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63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3．头盔具备优异的防冲击、耐热辐射、阻燃、防化学腐蚀、耐热耐寒、电绝缘或其他类型的危害的能力。</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63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4．头盔头围可调范围大，最大可调节范围≥60cm。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63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5．主体为玻纤复合型热塑材料或聚酰胺复合材料。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63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6．在受到意外绊挂时帽壳会自行脱落，以免使用者颈部受到伤害。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63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7．头盔下颏带采用防火阻燃材料，同时配有快速调节搭扣，方便使用。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55"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63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8．头盔内部头围贴合部分采用防火芳纶材料软衬垫设计，在保护头部的同时提高舒适性。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63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9．头盔佩戴后，不应妨碍国产通用空气呼吸器面罩的佩戴。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6"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63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10．头盔标配可拆卸铝箔阻燃耐高温防火披肩，整块披肩无拼缝、不容易破损、铝箔不容易脱落。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0"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63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11．头盔整体≤1.5KG（不包括披肩及其他附件）。冲击吸收性能：经高温、低温、浸水、辐射热预处理后进行冲击吸收性能试验，头模所受到的最大冲击力≤3.78KN，电绝缘性能:帽壳泄漏电流≤3mA。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3"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63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12．投标产品配备耐高温阻燃支架，与头盔配套使用，方便消防员佩戴“佩戴式防爆照明灯”等装备，并提供配件一套，并明确采购价格和途径。</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0"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63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13．帽壳外表面前端正中位置根据用户需求粘贴帽徽，并粘贴有360°可视阻燃反光标志带，宽度不应小于30mm。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0"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63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14．头盔颜色为黄色或红色（具体由使用单位确定），两侧印字根据用户需求粘贴，字体符合部消防局统型要求。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0"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产品认证</w:t>
            </w:r>
          </w:p>
        </w:tc>
        <w:tc>
          <w:tcPr>
            <w:tcW w:w="63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产品取得消防产品认证</w:t>
            </w:r>
            <w:r>
              <w:rPr>
                <w:rFonts w:hint="eastAsia" w:ascii="宋体" w:hAnsi="宋体" w:eastAsia="宋体" w:cs="宋体"/>
                <w:b/>
                <w:bCs/>
                <w:i w:val="0"/>
                <w:iCs w:val="0"/>
                <w:color w:val="000000"/>
                <w:kern w:val="0"/>
                <w:sz w:val="24"/>
                <w:szCs w:val="24"/>
                <w:u w:val="none"/>
                <w:lang w:val="en-US" w:eastAsia="zh-CN" w:bidi="ar"/>
              </w:rPr>
              <w:t>（投标文件中投标文件中提供消防产品认证证书扫描件扫描件）。</w:t>
            </w:r>
          </w:p>
        </w:tc>
      </w:tr>
    </w:tbl>
    <w:p>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b/>
          <w:bCs/>
          <w:sz w:val="24"/>
          <w:szCs w:val="24"/>
        </w:rPr>
      </w:pPr>
      <w:r>
        <w:rPr>
          <w:rFonts w:hint="eastAsia" w:ascii="宋体" w:hAnsi="宋体" w:eastAsia="宋体" w:cs="宋体"/>
          <w:b/>
          <w:bCs/>
          <w:sz w:val="24"/>
          <w:szCs w:val="24"/>
        </w:rPr>
        <w:br w:type="page"/>
      </w:r>
    </w:p>
    <w:p>
      <w:pPr>
        <w:keepNext w:val="0"/>
        <w:keepLines w:val="0"/>
        <w:pageBreakBefore w:val="0"/>
        <w:kinsoku/>
        <w:wordWrap/>
        <w:overflowPunct/>
        <w:topLinePunct w:val="0"/>
        <w:autoSpaceDE/>
        <w:autoSpaceDN/>
        <w:bidi w:val="0"/>
        <w:adjustRightInd/>
        <w:snapToGrid/>
        <w:spacing w:line="360" w:lineRule="auto"/>
        <w:outlineLvl w:val="0"/>
        <w:rPr>
          <w:rFonts w:hint="eastAsia" w:ascii="宋体" w:hAnsi="宋体" w:eastAsia="宋体" w:cs="宋体"/>
          <w:b/>
          <w:bCs/>
          <w:sz w:val="24"/>
          <w:szCs w:val="24"/>
        </w:rPr>
      </w:pPr>
      <w:bookmarkStart w:id="14" w:name="_Toc30803"/>
      <w:bookmarkStart w:id="15" w:name="_Toc14143"/>
      <w:r>
        <w:rPr>
          <w:rFonts w:hint="eastAsia" w:ascii="宋体" w:hAnsi="宋体" w:eastAsia="宋体" w:cs="宋体"/>
          <w:b/>
          <w:bCs/>
          <w:sz w:val="24"/>
          <w:szCs w:val="24"/>
        </w:rPr>
        <w:t>第7包：消防员灭火防护服A款</w:t>
      </w:r>
      <w:bookmarkEnd w:id="14"/>
      <w:bookmarkEnd w:id="15"/>
    </w:p>
    <w:tbl>
      <w:tblPr>
        <w:tblStyle w:val="58"/>
        <w:tblW w:w="93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4"/>
        <w:gridCol w:w="3792"/>
        <w:gridCol w:w="2377"/>
        <w:gridCol w:w="21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5" w:type="dxa"/>
            <w:noWrap w:val="0"/>
            <w:vAlign w:val="center"/>
          </w:tcPr>
          <w:p>
            <w:pPr>
              <w:keepNext w:val="0"/>
              <w:keepLines w:val="0"/>
              <w:pageBreakBefore w:val="0"/>
              <w:kinsoku/>
              <w:wordWrap/>
              <w:overflowPunct/>
              <w:topLinePunct w:val="0"/>
              <w:autoSpaceDE/>
              <w:autoSpaceDN/>
              <w:bidi w:val="0"/>
              <w:adjustRightInd/>
              <w:snapToGrid/>
              <w:spacing w:line="360" w:lineRule="auto"/>
              <w:jc w:val="center"/>
              <w:outlineLvl w:val="2"/>
              <w:rPr>
                <w:rFonts w:hint="eastAsia" w:ascii="宋体" w:hAnsi="宋体" w:eastAsia="宋体" w:cs="宋体"/>
                <w:b/>
                <w:bCs/>
                <w:sz w:val="24"/>
                <w:szCs w:val="24"/>
              </w:rPr>
            </w:pPr>
            <w:r>
              <w:rPr>
                <w:rFonts w:hint="eastAsia" w:ascii="宋体" w:hAnsi="宋体" w:eastAsia="宋体" w:cs="宋体"/>
                <w:b/>
                <w:bCs/>
                <w:sz w:val="24"/>
                <w:szCs w:val="24"/>
              </w:rPr>
              <w:t>序号</w:t>
            </w:r>
          </w:p>
        </w:tc>
        <w:tc>
          <w:tcPr>
            <w:tcW w:w="3638" w:type="dxa"/>
            <w:noWrap w:val="0"/>
            <w:vAlign w:val="center"/>
          </w:tcPr>
          <w:p>
            <w:pPr>
              <w:keepNext w:val="0"/>
              <w:keepLines w:val="0"/>
              <w:pageBreakBefore w:val="0"/>
              <w:kinsoku/>
              <w:wordWrap/>
              <w:overflowPunct/>
              <w:topLinePunct w:val="0"/>
              <w:autoSpaceDE/>
              <w:autoSpaceDN/>
              <w:bidi w:val="0"/>
              <w:adjustRightInd/>
              <w:snapToGrid/>
              <w:spacing w:line="360" w:lineRule="auto"/>
              <w:jc w:val="center"/>
              <w:outlineLvl w:val="2"/>
              <w:rPr>
                <w:rFonts w:hint="eastAsia" w:ascii="宋体" w:hAnsi="宋体" w:eastAsia="宋体" w:cs="宋体"/>
                <w:b/>
                <w:bCs/>
                <w:sz w:val="24"/>
                <w:szCs w:val="24"/>
              </w:rPr>
            </w:pPr>
            <w:r>
              <w:rPr>
                <w:rFonts w:hint="eastAsia" w:ascii="宋体" w:hAnsi="宋体" w:eastAsia="宋体" w:cs="宋体"/>
                <w:b/>
                <w:bCs/>
                <w:sz w:val="24"/>
                <w:szCs w:val="24"/>
              </w:rPr>
              <w:t>货物名称</w:t>
            </w:r>
          </w:p>
        </w:tc>
        <w:tc>
          <w:tcPr>
            <w:tcW w:w="2280" w:type="dxa"/>
            <w:noWrap w:val="0"/>
            <w:vAlign w:val="center"/>
          </w:tcPr>
          <w:p>
            <w:pPr>
              <w:keepNext w:val="0"/>
              <w:keepLines w:val="0"/>
              <w:pageBreakBefore w:val="0"/>
              <w:kinsoku/>
              <w:wordWrap/>
              <w:overflowPunct/>
              <w:topLinePunct w:val="0"/>
              <w:autoSpaceDE/>
              <w:autoSpaceDN/>
              <w:bidi w:val="0"/>
              <w:adjustRightInd/>
              <w:snapToGrid/>
              <w:spacing w:line="360" w:lineRule="auto"/>
              <w:jc w:val="center"/>
              <w:outlineLvl w:val="2"/>
              <w:rPr>
                <w:rFonts w:hint="eastAsia" w:ascii="宋体" w:hAnsi="宋体" w:eastAsia="宋体" w:cs="宋体"/>
                <w:b/>
                <w:bCs/>
                <w:sz w:val="24"/>
                <w:szCs w:val="24"/>
              </w:rPr>
            </w:pPr>
            <w:r>
              <w:rPr>
                <w:rFonts w:hint="eastAsia" w:ascii="宋体" w:hAnsi="宋体" w:eastAsia="宋体" w:cs="宋体"/>
                <w:b/>
                <w:bCs/>
                <w:sz w:val="24"/>
                <w:szCs w:val="24"/>
              </w:rPr>
              <w:t>数量</w:t>
            </w:r>
          </w:p>
        </w:tc>
        <w:tc>
          <w:tcPr>
            <w:tcW w:w="2090" w:type="dxa"/>
            <w:noWrap w:val="0"/>
            <w:vAlign w:val="center"/>
          </w:tcPr>
          <w:p>
            <w:pPr>
              <w:keepNext w:val="0"/>
              <w:keepLines w:val="0"/>
              <w:pageBreakBefore w:val="0"/>
              <w:kinsoku/>
              <w:wordWrap/>
              <w:overflowPunct/>
              <w:topLinePunct w:val="0"/>
              <w:autoSpaceDE/>
              <w:autoSpaceDN/>
              <w:bidi w:val="0"/>
              <w:adjustRightInd/>
              <w:snapToGrid/>
              <w:spacing w:line="360" w:lineRule="auto"/>
              <w:jc w:val="center"/>
              <w:outlineLvl w:val="2"/>
              <w:rPr>
                <w:rFonts w:hint="eastAsia" w:ascii="宋体" w:hAnsi="宋体" w:eastAsia="宋体" w:cs="宋体"/>
                <w:b/>
                <w:bCs/>
                <w:sz w:val="24"/>
                <w:szCs w:val="24"/>
              </w:rPr>
            </w:pPr>
            <w:r>
              <w:rPr>
                <w:rFonts w:hint="eastAsia" w:ascii="宋体" w:hAnsi="宋体" w:eastAsia="宋体" w:cs="宋体"/>
                <w:b/>
                <w:bCs/>
                <w:sz w:val="24"/>
                <w:szCs w:val="24"/>
              </w:rPr>
              <w:t>所属行业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5"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sz w:val="24"/>
                <w:szCs w:val="24"/>
              </w:rPr>
            </w:pPr>
            <w:r>
              <w:rPr>
                <w:rFonts w:hint="eastAsia" w:ascii="宋体" w:hAnsi="宋体" w:eastAsia="宋体" w:cs="宋体"/>
                <w:b/>
                <w:bCs/>
                <w:i w:val="0"/>
                <w:iCs w:val="0"/>
                <w:color w:val="000000"/>
                <w:kern w:val="0"/>
                <w:sz w:val="24"/>
                <w:szCs w:val="24"/>
                <w:u w:val="none"/>
                <w:lang w:val="en-US" w:eastAsia="zh-CN" w:bidi="ar"/>
              </w:rPr>
              <w:t>1</w:t>
            </w:r>
          </w:p>
        </w:tc>
        <w:tc>
          <w:tcPr>
            <w:tcW w:w="3638"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sz w:val="24"/>
                <w:szCs w:val="24"/>
              </w:rPr>
            </w:pPr>
            <w:r>
              <w:rPr>
                <w:rFonts w:hint="eastAsia" w:ascii="宋体" w:hAnsi="宋体" w:eastAsia="宋体" w:cs="宋体"/>
                <w:i w:val="0"/>
                <w:iCs w:val="0"/>
                <w:color w:val="000000"/>
                <w:kern w:val="0"/>
                <w:sz w:val="24"/>
                <w:szCs w:val="24"/>
                <w:u w:val="none"/>
                <w:lang w:val="en-US" w:eastAsia="zh-CN" w:bidi="ar"/>
              </w:rPr>
              <w:t>▲消防员灭火防护服A款</w:t>
            </w:r>
          </w:p>
        </w:tc>
        <w:tc>
          <w:tcPr>
            <w:tcW w:w="2280"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default" w:ascii="宋体" w:hAnsi="宋体" w:eastAsia="宋体" w:cs="宋体"/>
                <w:b/>
                <w:bCs/>
                <w:sz w:val="24"/>
                <w:szCs w:val="24"/>
                <w:lang w:val="en-US"/>
              </w:rPr>
            </w:pPr>
            <w:r>
              <w:rPr>
                <w:rFonts w:hint="eastAsia" w:ascii="宋体" w:hAnsi="宋体" w:eastAsia="宋体" w:cs="宋体"/>
                <w:b/>
                <w:bCs/>
                <w:i w:val="0"/>
                <w:iCs w:val="0"/>
                <w:color w:val="000000"/>
                <w:kern w:val="0"/>
                <w:sz w:val="24"/>
                <w:szCs w:val="24"/>
                <w:u w:val="none"/>
                <w:lang w:val="en-US" w:eastAsia="zh-CN" w:bidi="ar"/>
              </w:rPr>
              <w:t>200套</w:t>
            </w:r>
          </w:p>
        </w:tc>
        <w:tc>
          <w:tcPr>
            <w:tcW w:w="2090"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8933" w:type="dxa"/>
            <w:gridSpan w:val="4"/>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本包需提供样品1套。投标人须随样品同时提供外层、防水透气层、舒适层三层面料及反光标志带的单独样品。</w:t>
            </w:r>
          </w:p>
        </w:tc>
      </w:tr>
    </w:tbl>
    <w:tbl>
      <w:tblPr>
        <w:tblStyle w:val="57"/>
        <w:tblW w:w="931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33"/>
        <w:gridCol w:w="1020"/>
        <w:gridCol w:w="1102"/>
        <w:gridCol w:w="655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序号</w:t>
            </w:r>
          </w:p>
        </w:tc>
        <w:tc>
          <w:tcPr>
            <w:tcW w:w="9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重要性</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指标项</w:t>
            </w:r>
          </w:p>
        </w:tc>
        <w:tc>
          <w:tcPr>
            <w:tcW w:w="63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技术参数及要求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技术标准</w:t>
            </w:r>
          </w:p>
        </w:tc>
        <w:tc>
          <w:tcPr>
            <w:tcW w:w="63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 技术性能符合《消防员灭火防护服》XF10-2014的要求。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5"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63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不可拆卸式一体化薄型灭火防护服，并且配有DRD拖救装置。颜色按照部局最新统型要求执行，色差ΔE＜3.5。分体式，产品由外层、防水透气层、舒适层三层面料组成，取消单设的芳纶毡隔热层。上衣左胸设置电台口袋，且不应与空呼背带相干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63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阻燃性能：外层面料经过25次水洗以后，经、纬向损毁长度均≤30mm，经纬向续燃时间为0秒，且燃烧试验后无熔融、滴落现象；舒适层面料经过25次水洗以后，经、纬向损毁长度均≤43mm，经纬向续燃时间为0秒，且燃烧试验后无熔融、滴落现象；防水透气层面料燃烧试验后无熔融、滴落现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63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4．热稳定性能：外层面料经260℃，5分钟处理后试样表面无明显变化；防水透气层面料经260℃，5分钟处理后试样表面无明显变化，热稳定性能变化率≤2%；舒适层面料经260℃，5分钟处理后试样表面无明显变化。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5"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63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5．强度性能：外层面料经向断裂强力≥980N，纬向断裂强力≥890N，经向撕破强力≥280N，纬向撕破强力≥190N；舒适层面料经向断裂强力≥420N，纬向断裂强力≥320N。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0"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63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6．耐用性能：外层面料耐洗沾色及耐水摩擦牢度均≥3级。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20"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63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整体热防护性能：外层采用藏青色原液间位芳纶和深色原液对位芳纶双层交织面料或同性能面料，面料外观干净整洁度高，阻燃，耐磨，防静电；舒适层采用藏青色原液芳纶与高性能纤维混纺，具有管状中空柔软结构或同性能面料，具备轻质、舒适和高强力特点，隔热性能好；整体热防护性能须≥30cal/c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63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8．防水透气性能拒油性能≥3级；水蒸气透过量≥5000g/㎡.24h。</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63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9．款式规格：按照标准和用户需求印制标识，样式符合《20式消防员灭火防护服款式标识统型要求》。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产品认证</w:t>
            </w:r>
          </w:p>
        </w:tc>
        <w:tc>
          <w:tcPr>
            <w:tcW w:w="63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产品取得消防产品认证</w:t>
            </w:r>
            <w:r>
              <w:rPr>
                <w:rFonts w:hint="eastAsia" w:ascii="宋体" w:hAnsi="宋体" w:eastAsia="宋体" w:cs="宋体"/>
                <w:b/>
                <w:bCs/>
                <w:i w:val="0"/>
                <w:iCs w:val="0"/>
                <w:color w:val="000000"/>
                <w:kern w:val="0"/>
                <w:sz w:val="24"/>
                <w:szCs w:val="24"/>
                <w:u w:val="none"/>
                <w:lang w:val="en-US" w:eastAsia="zh-CN" w:bidi="ar"/>
              </w:rPr>
              <w:t>（投标文件中提供消防产品认证证书扫描件）</w:t>
            </w:r>
            <w:r>
              <w:rPr>
                <w:rFonts w:hint="eastAsia" w:ascii="宋体" w:hAnsi="宋体" w:eastAsia="宋体" w:cs="宋体"/>
                <w:i w:val="0"/>
                <w:iCs w:val="0"/>
                <w:color w:val="000000"/>
                <w:kern w:val="0"/>
                <w:sz w:val="24"/>
                <w:szCs w:val="24"/>
                <w:u w:val="none"/>
                <w:lang w:val="en-US" w:eastAsia="zh-CN" w:bidi="ar"/>
              </w:rPr>
              <w:t>。</w:t>
            </w:r>
          </w:p>
        </w:tc>
      </w:tr>
    </w:tbl>
    <w:p>
      <w:pPr>
        <w:keepNext w:val="0"/>
        <w:keepLines w:val="0"/>
        <w:pageBreakBefore w:val="0"/>
        <w:kinsoku/>
        <w:wordWrap/>
        <w:overflowPunct/>
        <w:topLinePunct w:val="0"/>
        <w:autoSpaceDE/>
        <w:autoSpaceDN/>
        <w:bidi w:val="0"/>
        <w:adjustRightInd/>
        <w:snapToGrid/>
        <w:spacing w:line="360" w:lineRule="auto"/>
        <w:outlineLvl w:val="0"/>
        <w:rPr>
          <w:rFonts w:hint="eastAsia" w:ascii="宋体" w:hAnsi="宋体" w:eastAsia="宋体" w:cs="宋体"/>
          <w:b/>
          <w:bCs/>
          <w:sz w:val="24"/>
          <w:szCs w:val="24"/>
        </w:rPr>
      </w:pPr>
      <w:r>
        <w:rPr>
          <w:rFonts w:hint="eastAsia" w:ascii="宋体" w:hAnsi="宋体" w:eastAsia="宋体" w:cs="宋体"/>
          <w:b/>
          <w:bCs/>
          <w:sz w:val="24"/>
          <w:szCs w:val="24"/>
        </w:rPr>
        <w:br w:type="page"/>
      </w:r>
      <w:bookmarkStart w:id="16" w:name="_Toc12264"/>
      <w:bookmarkStart w:id="17" w:name="_Toc17106"/>
      <w:r>
        <w:rPr>
          <w:rFonts w:hint="eastAsia" w:ascii="宋体" w:hAnsi="宋体" w:eastAsia="宋体" w:cs="宋体"/>
          <w:b/>
          <w:bCs/>
          <w:sz w:val="24"/>
          <w:szCs w:val="24"/>
        </w:rPr>
        <w:t>第</w:t>
      </w:r>
      <w:r>
        <w:rPr>
          <w:rFonts w:hint="eastAsia" w:ascii="宋体" w:hAnsi="宋体" w:eastAsia="宋体" w:cs="宋体"/>
          <w:b/>
          <w:bCs/>
          <w:sz w:val="24"/>
          <w:szCs w:val="24"/>
          <w:lang w:val="en-US" w:eastAsia="zh-CN"/>
        </w:rPr>
        <w:t>8</w:t>
      </w:r>
      <w:r>
        <w:rPr>
          <w:rFonts w:hint="eastAsia" w:ascii="宋体" w:hAnsi="宋体" w:eastAsia="宋体" w:cs="宋体"/>
          <w:b/>
          <w:bCs/>
          <w:sz w:val="24"/>
          <w:szCs w:val="24"/>
        </w:rPr>
        <w:t>包：消防员灭火防护服B款</w:t>
      </w:r>
      <w:bookmarkEnd w:id="16"/>
      <w:bookmarkEnd w:id="17"/>
    </w:p>
    <w:tbl>
      <w:tblPr>
        <w:tblStyle w:val="58"/>
        <w:tblW w:w="93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4"/>
        <w:gridCol w:w="1869"/>
        <w:gridCol w:w="4875"/>
        <w:gridCol w:w="160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4" w:type="dxa"/>
            <w:noWrap w:val="0"/>
            <w:vAlign w:val="center"/>
          </w:tcPr>
          <w:p>
            <w:pPr>
              <w:keepNext w:val="0"/>
              <w:keepLines w:val="0"/>
              <w:pageBreakBefore w:val="0"/>
              <w:kinsoku/>
              <w:wordWrap/>
              <w:overflowPunct/>
              <w:topLinePunct w:val="0"/>
              <w:autoSpaceDE/>
              <w:autoSpaceDN/>
              <w:bidi w:val="0"/>
              <w:adjustRightInd/>
              <w:snapToGrid/>
              <w:spacing w:line="360" w:lineRule="auto"/>
              <w:jc w:val="center"/>
              <w:outlineLvl w:val="2"/>
              <w:rPr>
                <w:rFonts w:hint="eastAsia" w:ascii="宋体" w:hAnsi="宋体" w:eastAsia="宋体" w:cs="宋体"/>
                <w:b/>
                <w:bCs/>
                <w:sz w:val="24"/>
                <w:szCs w:val="24"/>
              </w:rPr>
            </w:pPr>
            <w:r>
              <w:rPr>
                <w:rFonts w:hint="eastAsia" w:ascii="宋体" w:hAnsi="宋体" w:eastAsia="宋体" w:cs="宋体"/>
                <w:b/>
                <w:bCs/>
                <w:sz w:val="24"/>
                <w:szCs w:val="24"/>
              </w:rPr>
              <w:t>序号</w:t>
            </w:r>
          </w:p>
        </w:tc>
        <w:tc>
          <w:tcPr>
            <w:tcW w:w="1869" w:type="dxa"/>
            <w:noWrap w:val="0"/>
            <w:vAlign w:val="center"/>
          </w:tcPr>
          <w:p>
            <w:pPr>
              <w:keepNext w:val="0"/>
              <w:keepLines w:val="0"/>
              <w:pageBreakBefore w:val="0"/>
              <w:kinsoku/>
              <w:wordWrap/>
              <w:overflowPunct/>
              <w:topLinePunct w:val="0"/>
              <w:autoSpaceDE/>
              <w:autoSpaceDN/>
              <w:bidi w:val="0"/>
              <w:adjustRightInd/>
              <w:snapToGrid/>
              <w:spacing w:line="360" w:lineRule="auto"/>
              <w:jc w:val="center"/>
              <w:outlineLvl w:val="2"/>
              <w:rPr>
                <w:rFonts w:hint="eastAsia" w:ascii="宋体" w:hAnsi="宋体" w:eastAsia="宋体" w:cs="宋体"/>
                <w:b/>
                <w:bCs/>
                <w:sz w:val="24"/>
                <w:szCs w:val="24"/>
              </w:rPr>
            </w:pPr>
            <w:r>
              <w:rPr>
                <w:rFonts w:hint="eastAsia" w:ascii="宋体" w:hAnsi="宋体" w:eastAsia="宋体" w:cs="宋体"/>
                <w:b/>
                <w:bCs/>
                <w:sz w:val="24"/>
                <w:szCs w:val="24"/>
              </w:rPr>
              <w:t>货物名称</w:t>
            </w:r>
          </w:p>
        </w:tc>
        <w:tc>
          <w:tcPr>
            <w:tcW w:w="4875" w:type="dxa"/>
            <w:noWrap w:val="0"/>
            <w:vAlign w:val="center"/>
          </w:tcPr>
          <w:p>
            <w:pPr>
              <w:keepNext w:val="0"/>
              <w:keepLines w:val="0"/>
              <w:pageBreakBefore w:val="0"/>
              <w:kinsoku/>
              <w:wordWrap/>
              <w:overflowPunct/>
              <w:topLinePunct w:val="0"/>
              <w:autoSpaceDE/>
              <w:autoSpaceDN/>
              <w:bidi w:val="0"/>
              <w:adjustRightInd/>
              <w:snapToGrid/>
              <w:spacing w:line="360" w:lineRule="auto"/>
              <w:jc w:val="center"/>
              <w:outlineLvl w:val="2"/>
              <w:rPr>
                <w:rFonts w:hint="eastAsia" w:ascii="宋体" w:hAnsi="宋体" w:eastAsia="宋体" w:cs="宋体"/>
                <w:b/>
                <w:bCs/>
                <w:sz w:val="24"/>
                <w:szCs w:val="24"/>
              </w:rPr>
            </w:pPr>
            <w:r>
              <w:rPr>
                <w:rFonts w:hint="eastAsia" w:ascii="宋体" w:hAnsi="宋体" w:eastAsia="宋体" w:cs="宋体"/>
                <w:b/>
                <w:bCs/>
                <w:sz w:val="24"/>
                <w:szCs w:val="24"/>
              </w:rPr>
              <w:t>数量</w:t>
            </w:r>
          </w:p>
        </w:tc>
        <w:tc>
          <w:tcPr>
            <w:tcW w:w="1604" w:type="dxa"/>
            <w:noWrap w:val="0"/>
            <w:vAlign w:val="center"/>
          </w:tcPr>
          <w:p>
            <w:pPr>
              <w:keepNext w:val="0"/>
              <w:keepLines w:val="0"/>
              <w:pageBreakBefore w:val="0"/>
              <w:kinsoku/>
              <w:wordWrap/>
              <w:overflowPunct/>
              <w:topLinePunct w:val="0"/>
              <w:autoSpaceDE/>
              <w:autoSpaceDN/>
              <w:bidi w:val="0"/>
              <w:adjustRightInd/>
              <w:snapToGrid/>
              <w:spacing w:line="360" w:lineRule="auto"/>
              <w:jc w:val="center"/>
              <w:outlineLvl w:val="2"/>
              <w:rPr>
                <w:rFonts w:hint="eastAsia" w:ascii="宋体" w:hAnsi="宋体" w:eastAsia="宋体" w:cs="宋体"/>
                <w:b/>
                <w:bCs/>
                <w:sz w:val="24"/>
                <w:szCs w:val="24"/>
              </w:rPr>
            </w:pPr>
            <w:r>
              <w:rPr>
                <w:rFonts w:hint="eastAsia" w:ascii="宋体" w:hAnsi="宋体" w:eastAsia="宋体" w:cs="宋体"/>
                <w:b/>
                <w:bCs/>
                <w:sz w:val="24"/>
                <w:szCs w:val="24"/>
              </w:rPr>
              <w:t>所属行业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4"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sz w:val="24"/>
                <w:szCs w:val="24"/>
              </w:rPr>
            </w:pPr>
            <w:r>
              <w:rPr>
                <w:rFonts w:hint="eastAsia" w:ascii="宋体" w:hAnsi="宋体" w:eastAsia="宋体" w:cs="宋体"/>
                <w:b/>
                <w:bCs/>
                <w:i w:val="0"/>
                <w:iCs w:val="0"/>
                <w:color w:val="000000"/>
                <w:kern w:val="0"/>
                <w:sz w:val="24"/>
                <w:szCs w:val="24"/>
                <w:u w:val="none"/>
                <w:lang w:val="en-US" w:eastAsia="zh-CN" w:bidi="ar"/>
              </w:rPr>
              <w:t>1</w:t>
            </w:r>
          </w:p>
        </w:tc>
        <w:tc>
          <w:tcPr>
            <w:tcW w:w="1869"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sz w:val="24"/>
                <w:szCs w:val="24"/>
              </w:rPr>
            </w:pPr>
            <w:r>
              <w:rPr>
                <w:rFonts w:hint="eastAsia" w:ascii="宋体" w:hAnsi="宋体" w:eastAsia="宋体" w:cs="宋体"/>
                <w:i w:val="0"/>
                <w:iCs w:val="0"/>
                <w:color w:val="000000"/>
                <w:kern w:val="0"/>
                <w:sz w:val="24"/>
                <w:szCs w:val="24"/>
                <w:u w:val="none"/>
                <w:lang w:val="en-US" w:eastAsia="zh-CN" w:bidi="ar"/>
              </w:rPr>
              <w:t>▲消防员灭火防护服B款</w:t>
            </w:r>
          </w:p>
        </w:tc>
        <w:tc>
          <w:tcPr>
            <w:tcW w:w="4875"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4444套</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default" w:ascii="宋体" w:hAnsi="宋体" w:eastAsia="宋体" w:cs="宋体"/>
                <w:b/>
                <w:bCs/>
                <w:sz w:val="24"/>
                <w:szCs w:val="24"/>
                <w:lang w:val="en-US"/>
              </w:rPr>
            </w:pPr>
            <w:r>
              <w:rPr>
                <w:rFonts w:hint="eastAsia" w:ascii="宋体" w:hAnsi="宋体" w:eastAsia="宋体" w:cs="宋体"/>
                <w:b/>
                <w:bCs/>
                <w:i w:val="0"/>
                <w:iCs w:val="0"/>
                <w:color w:val="000000"/>
                <w:kern w:val="0"/>
                <w:sz w:val="24"/>
                <w:szCs w:val="24"/>
                <w:u w:val="none"/>
                <w:lang w:val="en-US" w:eastAsia="zh-CN" w:bidi="ar"/>
              </w:rPr>
              <w:t>（第1中标人供货1938套，与合肥、芜湖、蚌埠、淮南、马鞍山、淮北、铜陵、黄山支队签订合同；第2中标人供货1438套，与安庆、阜阳、宿州、滁州、亳州支队签订合同；第3中标人供货1068套，与六安、宣城、池州支队签订合同。）</w:t>
            </w:r>
          </w:p>
        </w:tc>
        <w:tc>
          <w:tcPr>
            <w:tcW w:w="1604"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9312" w:type="dxa"/>
            <w:gridSpan w:val="4"/>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本包需提供样品1套。投标人须随样品同时提供外层、防水透气层、舒适层三层面料及反光标志带的单独样品。</w:t>
            </w:r>
          </w:p>
        </w:tc>
      </w:tr>
    </w:tbl>
    <w:tbl>
      <w:tblPr>
        <w:tblStyle w:val="57"/>
        <w:tblW w:w="931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76"/>
        <w:gridCol w:w="1000"/>
        <w:gridCol w:w="979"/>
        <w:gridCol w:w="655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序号</w:t>
            </w:r>
          </w:p>
        </w:tc>
        <w:tc>
          <w:tcPr>
            <w:tcW w:w="10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重要性</w:t>
            </w:r>
          </w:p>
        </w:tc>
        <w:tc>
          <w:tcPr>
            <w:tcW w:w="9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指标项</w:t>
            </w:r>
          </w:p>
        </w:tc>
        <w:tc>
          <w:tcPr>
            <w:tcW w:w="65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技术参数及要求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9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技术标准</w:t>
            </w:r>
          </w:p>
        </w:tc>
        <w:tc>
          <w:tcPr>
            <w:tcW w:w="65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 技术性能符合《消防员灭火防护服》XF10-2014的要求。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2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9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65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不可拆卸式一体化薄型灭火防护服，并且配有DRD拖救装置。颜色按照部局最新统型要求执行，色差ΔE＜3.5。分体式，产品由外层、防水透气层、舒适层三层面料组成，取消单设的芳纶毡隔热层。上衣左胸设置电台口袋，且不应与空呼背带相干涉。款式外观须与部局最新统型要求相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9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65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阻燃性能：外层面料经过25次水洗以后，经、纬向损毁长度均≤23mm，经纬向续燃时间为0秒，且燃烧试验后无熔融、滴落现象；舒适层面料经过25次水洗以后，经、纬向损毁长度均≤43mm，经纬向续燃时间为0秒，且燃烧试验后无熔融、滴落现象；防水透气层面料燃烧试验后无熔融、滴落现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9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65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3．热稳定性能：外层面料经260℃，5分钟处理后试样表面无明显变化；防水透气层面料经260℃，5分钟处理后试样表面无明显变化，热稳定性能变化率≤2%；舒适层面料经260℃，5分钟处理后试样表面无明显变化。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9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65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4．强度性能：外层面料经向断裂强力≥1800N，纬向断裂强力≥1450N，经向撕破强力≥400N，纬向撕破强力≥300N；舒适层面料经向断裂强力≥420N，纬向断裂强力≥320N。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9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65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5．耐用性能：外层面料耐洗沾色及耐水摩擦牢度均不小于3级。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2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9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65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整体热防护性能：外层采用藏青色原液间位芳纶和深色原液对位芳纶双层交织面料或同性能面料，面料外观干净整洁度高，阻燃，耐磨，防静电；舒适层采用藏青色原液芳纶与高性能纤维混纺，具有管状中空柔软结构或同性能面料，具备轻质、舒适和高强力特点，隔热性能好；整体热防护性能须不低于30cal/c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5"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9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65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7．防水透气性能：防水透气层采用芳纶水刺毡覆PTFE膜，阻燃，防水，防油，透气。具有高温隔热效果，经25次水洗后，耐静水压大于50kpa,拒油性能≥3级；水蒸气透过量≥5000g/㎡.24h。</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9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产品认证</w:t>
            </w:r>
          </w:p>
        </w:tc>
        <w:tc>
          <w:tcPr>
            <w:tcW w:w="65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8．款式规格：按照标准和用户需求印制标识，样式符合《20式消防员灭火防护服款式标识统型要求》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9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产品认证</w:t>
            </w:r>
          </w:p>
        </w:tc>
        <w:tc>
          <w:tcPr>
            <w:tcW w:w="65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产品取得消防产品认证</w:t>
            </w:r>
            <w:r>
              <w:rPr>
                <w:rFonts w:hint="eastAsia" w:ascii="宋体" w:hAnsi="宋体" w:eastAsia="宋体" w:cs="宋体"/>
                <w:b/>
                <w:bCs/>
                <w:i w:val="0"/>
                <w:iCs w:val="0"/>
                <w:color w:val="000000"/>
                <w:kern w:val="0"/>
                <w:sz w:val="24"/>
                <w:szCs w:val="24"/>
                <w:u w:val="none"/>
                <w:lang w:val="en-US" w:eastAsia="zh-CN" w:bidi="ar"/>
              </w:rPr>
              <w:t>（投标文件中提供消防产品认证证书扫描件）</w:t>
            </w:r>
            <w:r>
              <w:rPr>
                <w:rFonts w:hint="eastAsia" w:ascii="宋体" w:hAnsi="宋体" w:eastAsia="宋体" w:cs="宋体"/>
                <w:i w:val="0"/>
                <w:iCs w:val="0"/>
                <w:color w:val="000000"/>
                <w:kern w:val="0"/>
                <w:sz w:val="24"/>
                <w:szCs w:val="24"/>
                <w:u w:val="none"/>
                <w:lang w:val="en-US" w:eastAsia="zh-CN" w:bidi="ar"/>
              </w:rPr>
              <w:t>。</w:t>
            </w:r>
          </w:p>
        </w:tc>
      </w:tr>
    </w:tbl>
    <w:p>
      <w:pPr>
        <w:keepNext w:val="0"/>
        <w:keepLines w:val="0"/>
        <w:pageBreakBefore w:val="0"/>
        <w:kinsoku/>
        <w:wordWrap/>
        <w:overflowPunct/>
        <w:topLinePunct w:val="0"/>
        <w:autoSpaceDE/>
        <w:autoSpaceDN/>
        <w:bidi w:val="0"/>
        <w:adjustRightInd/>
        <w:snapToGrid/>
        <w:spacing w:line="360" w:lineRule="auto"/>
        <w:outlineLvl w:val="0"/>
        <w:rPr>
          <w:rFonts w:hint="eastAsia" w:ascii="宋体" w:hAnsi="宋体" w:eastAsia="宋体" w:cs="宋体"/>
          <w:b/>
          <w:bCs/>
          <w:sz w:val="24"/>
          <w:szCs w:val="24"/>
        </w:rPr>
      </w:pPr>
      <w:r>
        <w:rPr>
          <w:rFonts w:hint="eastAsia" w:ascii="宋体" w:hAnsi="宋体" w:eastAsia="宋体" w:cs="宋体"/>
          <w:b/>
          <w:bCs/>
          <w:sz w:val="24"/>
          <w:szCs w:val="24"/>
        </w:rPr>
        <w:br w:type="page"/>
      </w:r>
      <w:bookmarkStart w:id="18" w:name="_Toc10356"/>
      <w:bookmarkStart w:id="19" w:name="_Toc8036"/>
      <w:r>
        <w:rPr>
          <w:rFonts w:hint="eastAsia" w:ascii="宋体" w:hAnsi="宋体" w:eastAsia="宋体" w:cs="宋体"/>
          <w:b/>
          <w:bCs/>
          <w:sz w:val="24"/>
          <w:szCs w:val="24"/>
        </w:rPr>
        <w:t>第9包：消防员灭火防护服（指挥款）</w:t>
      </w:r>
      <w:bookmarkEnd w:id="18"/>
      <w:bookmarkEnd w:id="19"/>
    </w:p>
    <w:tbl>
      <w:tblPr>
        <w:tblStyle w:val="58"/>
        <w:tblW w:w="93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4"/>
        <w:gridCol w:w="3792"/>
        <w:gridCol w:w="2377"/>
        <w:gridCol w:w="21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5" w:type="dxa"/>
            <w:noWrap w:val="0"/>
            <w:vAlign w:val="center"/>
          </w:tcPr>
          <w:p>
            <w:pPr>
              <w:keepNext w:val="0"/>
              <w:keepLines w:val="0"/>
              <w:pageBreakBefore w:val="0"/>
              <w:kinsoku/>
              <w:wordWrap/>
              <w:overflowPunct/>
              <w:topLinePunct w:val="0"/>
              <w:autoSpaceDE/>
              <w:autoSpaceDN/>
              <w:bidi w:val="0"/>
              <w:adjustRightInd/>
              <w:snapToGrid/>
              <w:spacing w:line="360" w:lineRule="auto"/>
              <w:jc w:val="center"/>
              <w:outlineLvl w:val="2"/>
              <w:rPr>
                <w:rFonts w:hint="eastAsia" w:ascii="宋体" w:hAnsi="宋体" w:eastAsia="宋体" w:cs="宋体"/>
                <w:b/>
                <w:bCs/>
                <w:sz w:val="24"/>
                <w:szCs w:val="24"/>
              </w:rPr>
            </w:pPr>
            <w:r>
              <w:rPr>
                <w:rFonts w:hint="eastAsia" w:ascii="宋体" w:hAnsi="宋体" w:eastAsia="宋体" w:cs="宋体"/>
                <w:b/>
                <w:bCs/>
                <w:sz w:val="24"/>
                <w:szCs w:val="24"/>
              </w:rPr>
              <w:t>序号</w:t>
            </w:r>
          </w:p>
        </w:tc>
        <w:tc>
          <w:tcPr>
            <w:tcW w:w="3638" w:type="dxa"/>
            <w:noWrap w:val="0"/>
            <w:vAlign w:val="center"/>
          </w:tcPr>
          <w:p>
            <w:pPr>
              <w:keepNext w:val="0"/>
              <w:keepLines w:val="0"/>
              <w:pageBreakBefore w:val="0"/>
              <w:kinsoku/>
              <w:wordWrap/>
              <w:overflowPunct/>
              <w:topLinePunct w:val="0"/>
              <w:autoSpaceDE/>
              <w:autoSpaceDN/>
              <w:bidi w:val="0"/>
              <w:adjustRightInd/>
              <w:snapToGrid/>
              <w:spacing w:line="360" w:lineRule="auto"/>
              <w:jc w:val="center"/>
              <w:outlineLvl w:val="2"/>
              <w:rPr>
                <w:rFonts w:hint="eastAsia" w:ascii="宋体" w:hAnsi="宋体" w:eastAsia="宋体" w:cs="宋体"/>
                <w:b/>
                <w:bCs/>
                <w:sz w:val="24"/>
                <w:szCs w:val="24"/>
              </w:rPr>
            </w:pPr>
            <w:r>
              <w:rPr>
                <w:rFonts w:hint="eastAsia" w:ascii="宋体" w:hAnsi="宋体" w:eastAsia="宋体" w:cs="宋体"/>
                <w:b/>
                <w:bCs/>
                <w:sz w:val="24"/>
                <w:szCs w:val="24"/>
              </w:rPr>
              <w:t>货物名称</w:t>
            </w:r>
          </w:p>
        </w:tc>
        <w:tc>
          <w:tcPr>
            <w:tcW w:w="2280" w:type="dxa"/>
            <w:noWrap w:val="0"/>
            <w:vAlign w:val="center"/>
          </w:tcPr>
          <w:p>
            <w:pPr>
              <w:keepNext w:val="0"/>
              <w:keepLines w:val="0"/>
              <w:pageBreakBefore w:val="0"/>
              <w:kinsoku/>
              <w:wordWrap/>
              <w:overflowPunct/>
              <w:topLinePunct w:val="0"/>
              <w:autoSpaceDE/>
              <w:autoSpaceDN/>
              <w:bidi w:val="0"/>
              <w:adjustRightInd/>
              <w:snapToGrid/>
              <w:spacing w:line="360" w:lineRule="auto"/>
              <w:jc w:val="center"/>
              <w:outlineLvl w:val="2"/>
              <w:rPr>
                <w:rFonts w:hint="eastAsia" w:ascii="宋体" w:hAnsi="宋体" w:eastAsia="宋体" w:cs="宋体"/>
                <w:b/>
                <w:bCs/>
                <w:sz w:val="24"/>
                <w:szCs w:val="24"/>
              </w:rPr>
            </w:pPr>
            <w:r>
              <w:rPr>
                <w:rFonts w:hint="eastAsia" w:ascii="宋体" w:hAnsi="宋体" w:eastAsia="宋体" w:cs="宋体"/>
                <w:b/>
                <w:bCs/>
                <w:sz w:val="24"/>
                <w:szCs w:val="24"/>
              </w:rPr>
              <w:t>数量</w:t>
            </w:r>
          </w:p>
        </w:tc>
        <w:tc>
          <w:tcPr>
            <w:tcW w:w="2090" w:type="dxa"/>
            <w:noWrap w:val="0"/>
            <w:vAlign w:val="center"/>
          </w:tcPr>
          <w:p>
            <w:pPr>
              <w:keepNext w:val="0"/>
              <w:keepLines w:val="0"/>
              <w:pageBreakBefore w:val="0"/>
              <w:kinsoku/>
              <w:wordWrap/>
              <w:overflowPunct/>
              <w:topLinePunct w:val="0"/>
              <w:autoSpaceDE/>
              <w:autoSpaceDN/>
              <w:bidi w:val="0"/>
              <w:adjustRightInd/>
              <w:snapToGrid/>
              <w:spacing w:line="360" w:lineRule="auto"/>
              <w:jc w:val="center"/>
              <w:outlineLvl w:val="2"/>
              <w:rPr>
                <w:rFonts w:hint="eastAsia" w:ascii="宋体" w:hAnsi="宋体" w:eastAsia="宋体" w:cs="宋体"/>
                <w:b/>
                <w:bCs/>
                <w:sz w:val="24"/>
                <w:szCs w:val="24"/>
              </w:rPr>
            </w:pPr>
            <w:r>
              <w:rPr>
                <w:rFonts w:hint="eastAsia" w:ascii="宋体" w:hAnsi="宋体" w:eastAsia="宋体" w:cs="宋体"/>
                <w:b/>
                <w:bCs/>
                <w:sz w:val="24"/>
                <w:szCs w:val="24"/>
              </w:rPr>
              <w:t>所属行业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5"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sz w:val="24"/>
                <w:szCs w:val="24"/>
              </w:rPr>
            </w:pPr>
            <w:r>
              <w:rPr>
                <w:rFonts w:hint="eastAsia" w:ascii="宋体" w:hAnsi="宋体" w:eastAsia="宋体" w:cs="宋体"/>
                <w:b/>
                <w:bCs/>
                <w:i w:val="0"/>
                <w:iCs w:val="0"/>
                <w:color w:val="000000"/>
                <w:kern w:val="0"/>
                <w:sz w:val="24"/>
                <w:szCs w:val="24"/>
                <w:u w:val="none"/>
                <w:lang w:val="en-US" w:eastAsia="zh-CN" w:bidi="ar"/>
              </w:rPr>
              <w:t>1</w:t>
            </w:r>
          </w:p>
        </w:tc>
        <w:tc>
          <w:tcPr>
            <w:tcW w:w="3638"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sz w:val="24"/>
                <w:szCs w:val="24"/>
              </w:rPr>
            </w:pPr>
            <w:r>
              <w:rPr>
                <w:rFonts w:hint="eastAsia" w:ascii="宋体" w:hAnsi="宋体" w:eastAsia="宋体" w:cs="宋体"/>
                <w:i w:val="0"/>
                <w:iCs w:val="0"/>
                <w:color w:val="000000"/>
                <w:kern w:val="0"/>
                <w:sz w:val="24"/>
                <w:szCs w:val="24"/>
                <w:u w:val="none"/>
                <w:lang w:val="en-US" w:eastAsia="zh-CN" w:bidi="ar"/>
              </w:rPr>
              <w:t>▲消防员灭火防护服（指挥款）</w:t>
            </w:r>
          </w:p>
        </w:tc>
        <w:tc>
          <w:tcPr>
            <w:tcW w:w="2280"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default" w:ascii="宋体" w:hAnsi="宋体" w:eastAsia="宋体" w:cs="宋体"/>
                <w:b/>
                <w:bCs/>
                <w:sz w:val="24"/>
                <w:szCs w:val="24"/>
                <w:lang w:val="en-US"/>
              </w:rPr>
            </w:pPr>
            <w:r>
              <w:rPr>
                <w:rFonts w:hint="eastAsia" w:ascii="宋体" w:hAnsi="宋体" w:eastAsia="宋体" w:cs="宋体"/>
                <w:b/>
                <w:bCs/>
                <w:i w:val="0"/>
                <w:iCs w:val="0"/>
                <w:color w:val="000000"/>
                <w:kern w:val="0"/>
                <w:sz w:val="24"/>
                <w:szCs w:val="24"/>
                <w:u w:val="none"/>
                <w:lang w:val="en-US" w:eastAsia="zh-CN" w:bidi="ar"/>
              </w:rPr>
              <w:t>451套</w:t>
            </w:r>
          </w:p>
        </w:tc>
        <w:tc>
          <w:tcPr>
            <w:tcW w:w="2090"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8933" w:type="dxa"/>
            <w:gridSpan w:val="4"/>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本包需提供样品1套。投标人须随样品同时提供外层、防水透气层、舒适层三层面料及反光标志带的单独样品。</w:t>
            </w:r>
          </w:p>
        </w:tc>
      </w:tr>
    </w:tbl>
    <w:tbl>
      <w:tblPr>
        <w:tblStyle w:val="57"/>
        <w:tblW w:w="931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04"/>
        <w:gridCol w:w="983"/>
        <w:gridCol w:w="1200"/>
        <w:gridCol w:w="642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jc w:val="center"/>
        </w:trPr>
        <w:tc>
          <w:tcPr>
            <w:tcW w:w="7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序号</w:t>
            </w:r>
          </w:p>
        </w:tc>
        <w:tc>
          <w:tcPr>
            <w:tcW w:w="9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重要性</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指标项</w:t>
            </w:r>
          </w:p>
        </w:tc>
        <w:tc>
          <w:tcPr>
            <w:tcW w:w="64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技术参数及要求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jc w:val="center"/>
        </w:trPr>
        <w:tc>
          <w:tcPr>
            <w:tcW w:w="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9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技术标准</w:t>
            </w:r>
          </w:p>
        </w:tc>
        <w:tc>
          <w:tcPr>
            <w:tcW w:w="6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 技术性能符合《消防员灭火防护服》XF10-2014的要求。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20" w:hRule="atLeast"/>
          <w:jc w:val="center"/>
        </w:trPr>
        <w:tc>
          <w:tcPr>
            <w:tcW w:w="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9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6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不可拆卸式一体化薄型灭火防护服，并且配有DRD拖救装置。上衣为指挥长款。颜色按照部局最新统型要求执行，色差ΔE＜3.5。分体式，产品由外层、防水透气层、舒适层三层面料组成，取消单设的芳纶毡隔热层。上衣左胸设置电台口袋，且不应与空呼背带相干涉款式外观须与部局统型要求相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jc w:val="center"/>
        </w:trPr>
        <w:tc>
          <w:tcPr>
            <w:tcW w:w="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9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6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阻燃性能：外层面料经过25次水洗以后，经、纬向损毁长度均≤23mm，经纬向续燃时间为0秒，且燃烧试验后无熔融、滴落现象；舒适层面料经过25次水洗以后，经、纬向损毁长度均≤43mm，经纬向续燃时间为0秒，且燃烧试验后无熔融、滴落现象；防水透气层面料燃烧试验后无熔融、滴落现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jc w:val="center"/>
        </w:trPr>
        <w:tc>
          <w:tcPr>
            <w:tcW w:w="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9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6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热稳定性能：外层面料经260℃，5分钟处理后试样表面无明显变化；防水透气层面料经260℃，5分钟处理后试样表面无明显变化，热稳定性能变化率≤2%；舒适层面料经260℃，5分钟处理后试样表面无明显变化。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5" w:hRule="atLeast"/>
          <w:jc w:val="center"/>
        </w:trPr>
        <w:tc>
          <w:tcPr>
            <w:tcW w:w="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9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6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强度性能：外层面料经向断裂强力≥1800N，纬向断裂强力≥1450N，经向撕破强力≥400N，纬向撕破强力≥300N；舒适层面料经向断裂强力≥420N，纬向断裂强力≥320N。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9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6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耐用性能：外层面料耐洗沾色及耐水摩擦牢度均不小于3级。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05" w:hRule="atLeast"/>
          <w:jc w:val="center"/>
        </w:trPr>
        <w:tc>
          <w:tcPr>
            <w:tcW w:w="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9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6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整体热防护性能：外层采用藏青色原液间位芳纶和深色原液对位芳纶双层交织面料或同性能面料，面料外观干净整洁度高，阻燃，耐磨，防静电；舒适层采用藏青色原液芳纶与高性能纤维混纺，具有管状中空柔软结构或同性能面料，具备轻质、舒适和高强力特点，隔热性能好；整体热防护性能须≥30cal/c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5" w:hRule="atLeast"/>
          <w:jc w:val="center"/>
        </w:trPr>
        <w:tc>
          <w:tcPr>
            <w:tcW w:w="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9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6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防水透气性能：防水透气层采用芳纶水刺毡覆PTFE膜，阻燃，防水，防油，透气。具有高温隔热效果，经25次水洗后，耐静水压大于50kpa,拒油性能≥3级；水蒸气透过量≥5000g/㎡.24h。</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c>
          <w:tcPr>
            <w:tcW w:w="9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产品认证</w:t>
            </w:r>
          </w:p>
        </w:tc>
        <w:tc>
          <w:tcPr>
            <w:tcW w:w="6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款式规格：按照标准和用户需求印制标识，样式符合《20式消防员灭火防护服款式标识统型要求》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9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产品认证</w:t>
            </w:r>
          </w:p>
        </w:tc>
        <w:tc>
          <w:tcPr>
            <w:tcW w:w="64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产品取得消防产品认证</w:t>
            </w:r>
            <w:r>
              <w:rPr>
                <w:rFonts w:hint="eastAsia" w:ascii="宋体" w:hAnsi="宋体" w:eastAsia="宋体" w:cs="宋体"/>
                <w:b/>
                <w:bCs/>
                <w:i w:val="0"/>
                <w:iCs w:val="0"/>
                <w:color w:val="000000"/>
                <w:kern w:val="0"/>
                <w:sz w:val="24"/>
                <w:szCs w:val="24"/>
                <w:u w:val="none"/>
                <w:lang w:val="en-US" w:eastAsia="zh-CN" w:bidi="ar"/>
              </w:rPr>
              <w:t>（投标文件中提供消防产品认证证书扫描件）</w:t>
            </w:r>
            <w:r>
              <w:rPr>
                <w:rFonts w:hint="eastAsia" w:ascii="宋体" w:hAnsi="宋体" w:eastAsia="宋体" w:cs="宋体"/>
                <w:i w:val="0"/>
                <w:iCs w:val="0"/>
                <w:color w:val="000000"/>
                <w:kern w:val="0"/>
                <w:sz w:val="24"/>
                <w:szCs w:val="24"/>
                <w:u w:val="none"/>
                <w:lang w:val="en-US" w:eastAsia="zh-CN" w:bidi="ar"/>
              </w:rPr>
              <w:t>。</w:t>
            </w:r>
          </w:p>
        </w:tc>
      </w:tr>
    </w:tbl>
    <w:p>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b/>
          <w:bCs/>
          <w:sz w:val="24"/>
          <w:szCs w:val="24"/>
        </w:rPr>
      </w:pPr>
      <w:r>
        <w:rPr>
          <w:rFonts w:hint="eastAsia" w:ascii="宋体" w:hAnsi="宋体" w:eastAsia="宋体" w:cs="宋体"/>
          <w:b/>
          <w:bCs/>
          <w:sz w:val="24"/>
          <w:szCs w:val="24"/>
        </w:rPr>
        <w:br w:type="page"/>
      </w:r>
    </w:p>
    <w:p>
      <w:pPr>
        <w:keepNext w:val="0"/>
        <w:keepLines w:val="0"/>
        <w:pageBreakBefore w:val="0"/>
        <w:kinsoku/>
        <w:wordWrap/>
        <w:overflowPunct/>
        <w:topLinePunct w:val="0"/>
        <w:autoSpaceDE/>
        <w:autoSpaceDN/>
        <w:bidi w:val="0"/>
        <w:adjustRightInd/>
        <w:snapToGrid/>
        <w:spacing w:line="360" w:lineRule="auto"/>
        <w:outlineLvl w:val="0"/>
        <w:rPr>
          <w:rFonts w:hint="eastAsia" w:ascii="宋体" w:hAnsi="宋体" w:eastAsia="宋体" w:cs="宋体"/>
          <w:b/>
          <w:bCs/>
          <w:sz w:val="24"/>
          <w:szCs w:val="24"/>
        </w:rPr>
      </w:pPr>
      <w:bookmarkStart w:id="20" w:name="_Toc20207"/>
      <w:bookmarkStart w:id="21" w:name="_Toc22824"/>
      <w:r>
        <w:rPr>
          <w:rFonts w:hint="eastAsia" w:ascii="宋体" w:hAnsi="宋体" w:eastAsia="宋体" w:cs="宋体"/>
          <w:b/>
          <w:bCs/>
          <w:sz w:val="24"/>
          <w:szCs w:val="24"/>
        </w:rPr>
        <w:t>第10包：消防手套</w:t>
      </w:r>
      <w:bookmarkEnd w:id="20"/>
      <w:bookmarkEnd w:id="21"/>
    </w:p>
    <w:tbl>
      <w:tblPr>
        <w:tblStyle w:val="58"/>
        <w:tblW w:w="93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4"/>
        <w:gridCol w:w="3792"/>
        <w:gridCol w:w="2377"/>
        <w:gridCol w:w="21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5" w:type="dxa"/>
            <w:noWrap w:val="0"/>
            <w:vAlign w:val="center"/>
          </w:tcPr>
          <w:p>
            <w:pPr>
              <w:keepNext w:val="0"/>
              <w:keepLines w:val="0"/>
              <w:pageBreakBefore w:val="0"/>
              <w:kinsoku/>
              <w:wordWrap/>
              <w:overflowPunct/>
              <w:topLinePunct w:val="0"/>
              <w:autoSpaceDE/>
              <w:autoSpaceDN/>
              <w:bidi w:val="0"/>
              <w:adjustRightInd/>
              <w:snapToGrid/>
              <w:spacing w:line="360" w:lineRule="auto"/>
              <w:jc w:val="center"/>
              <w:outlineLvl w:val="2"/>
              <w:rPr>
                <w:rFonts w:hint="eastAsia" w:ascii="宋体" w:hAnsi="宋体" w:eastAsia="宋体" w:cs="宋体"/>
                <w:b/>
                <w:bCs/>
                <w:sz w:val="24"/>
                <w:szCs w:val="24"/>
              </w:rPr>
            </w:pPr>
            <w:r>
              <w:rPr>
                <w:rFonts w:hint="eastAsia" w:ascii="宋体" w:hAnsi="宋体" w:eastAsia="宋体" w:cs="宋体"/>
                <w:b/>
                <w:bCs/>
                <w:sz w:val="24"/>
                <w:szCs w:val="24"/>
              </w:rPr>
              <w:t>序号</w:t>
            </w:r>
          </w:p>
        </w:tc>
        <w:tc>
          <w:tcPr>
            <w:tcW w:w="3638" w:type="dxa"/>
            <w:noWrap w:val="0"/>
            <w:vAlign w:val="center"/>
          </w:tcPr>
          <w:p>
            <w:pPr>
              <w:keepNext w:val="0"/>
              <w:keepLines w:val="0"/>
              <w:pageBreakBefore w:val="0"/>
              <w:kinsoku/>
              <w:wordWrap/>
              <w:overflowPunct/>
              <w:topLinePunct w:val="0"/>
              <w:autoSpaceDE/>
              <w:autoSpaceDN/>
              <w:bidi w:val="0"/>
              <w:adjustRightInd/>
              <w:snapToGrid/>
              <w:spacing w:line="360" w:lineRule="auto"/>
              <w:jc w:val="center"/>
              <w:outlineLvl w:val="2"/>
              <w:rPr>
                <w:rFonts w:hint="eastAsia" w:ascii="宋体" w:hAnsi="宋体" w:eastAsia="宋体" w:cs="宋体"/>
                <w:b/>
                <w:bCs/>
                <w:sz w:val="24"/>
                <w:szCs w:val="24"/>
              </w:rPr>
            </w:pPr>
            <w:r>
              <w:rPr>
                <w:rFonts w:hint="eastAsia" w:ascii="宋体" w:hAnsi="宋体" w:eastAsia="宋体" w:cs="宋体"/>
                <w:b/>
                <w:bCs/>
                <w:sz w:val="24"/>
                <w:szCs w:val="24"/>
              </w:rPr>
              <w:t>货物名称</w:t>
            </w:r>
          </w:p>
        </w:tc>
        <w:tc>
          <w:tcPr>
            <w:tcW w:w="2280" w:type="dxa"/>
            <w:noWrap w:val="0"/>
            <w:vAlign w:val="center"/>
          </w:tcPr>
          <w:p>
            <w:pPr>
              <w:keepNext w:val="0"/>
              <w:keepLines w:val="0"/>
              <w:pageBreakBefore w:val="0"/>
              <w:kinsoku/>
              <w:wordWrap/>
              <w:overflowPunct/>
              <w:topLinePunct w:val="0"/>
              <w:autoSpaceDE/>
              <w:autoSpaceDN/>
              <w:bidi w:val="0"/>
              <w:adjustRightInd/>
              <w:snapToGrid/>
              <w:spacing w:line="360" w:lineRule="auto"/>
              <w:jc w:val="center"/>
              <w:outlineLvl w:val="2"/>
              <w:rPr>
                <w:rFonts w:hint="eastAsia" w:ascii="宋体" w:hAnsi="宋体" w:eastAsia="宋体" w:cs="宋体"/>
                <w:b/>
                <w:bCs/>
                <w:sz w:val="24"/>
                <w:szCs w:val="24"/>
              </w:rPr>
            </w:pPr>
            <w:r>
              <w:rPr>
                <w:rFonts w:hint="eastAsia" w:ascii="宋体" w:hAnsi="宋体" w:eastAsia="宋体" w:cs="宋体"/>
                <w:b/>
                <w:bCs/>
                <w:sz w:val="24"/>
                <w:szCs w:val="24"/>
              </w:rPr>
              <w:t>数量</w:t>
            </w:r>
          </w:p>
        </w:tc>
        <w:tc>
          <w:tcPr>
            <w:tcW w:w="2090" w:type="dxa"/>
            <w:noWrap w:val="0"/>
            <w:vAlign w:val="center"/>
          </w:tcPr>
          <w:p>
            <w:pPr>
              <w:keepNext w:val="0"/>
              <w:keepLines w:val="0"/>
              <w:pageBreakBefore w:val="0"/>
              <w:kinsoku/>
              <w:wordWrap/>
              <w:overflowPunct/>
              <w:topLinePunct w:val="0"/>
              <w:autoSpaceDE/>
              <w:autoSpaceDN/>
              <w:bidi w:val="0"/>
              <w:adjustRightInd/>
              <w:snapToGrid/>
              <w:spacing w:line="360" w:lineRule="auto"/>
              <w:jc w:val="center"/>
              <w:outlineLvl w:val="2"/>
              <w:rPr>
                <w:rFonts w:hint="eastAsia" w:ascii="宋体" w:hAnsi="宋体" w:eastAsia="宋体" w:cs="宋体"/>
                <w:b/>
                <w:bCs/>
                <w:sz w:val="24"/>
                <w:szCs w:val="24"/>
              </w:rPr>
            </w:pPr>
            <w:r>
              <w:rPr>
                <w:rFonts w:hint="eastAsia" w:ascii="宋体" w:hAnsi="宋体" w:eastAsia="宋体" w:cs="宋体"/>
                <w:b/>
                <w:bCs/>
                <w:sz w:val="24"/>
                <w:szCs w:val="24"/>
              </w:rPr>
              <w:t>所属行业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5"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sz w:val="24"/>
                <w:szCs w:val="24"/>
              </w:rPr>
            </w:pPr>
            <w:r>
              <w:rPr>
                <w:rFonts w:hint="eastAsia" w:ascii="宋体" w:hAnsi="宋体" w:eastAsia="宋体" w:cs="宋体"/>
                <w:b/>
                <w:bCs/>
                <w:i w:val="0"/>
                <w:iCs w:val="0"/>
                <w:color w:val="000000"/>
                <w:kern w:val="0"/>
                <w:sz w:val="24"/>
                <w:szCs w:val="24"/>
                <w:u w:val="none"/>
                <w:lang w:val="en-US" w:eastAsia="zh-CN" w:bidi="ar"/>
              </w:rPr>
              <w:t>1</w:t>
            </w:r>
          </w:p>
        </w:tc>
        <w:tc>
          <w:tcPr>
            <w:tcW w:w="3638"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sz w:val="24"/>
                <w:szCs w:val="24"/>
              </w:rPr>
            </w:pPr>
            <w:r>
              <w:rPr>
                <w:rFonts w:hint="eastAsia" w:ascii="宋体" w:hAnsi="宋体" w:eastAsia="宋体" w:cs="宋体"/>
                <w:i w:val="0"/>
                <w:iCs w:val="0"/>
                <w:color w:val="000000"/>
                <w:kern w:val="0"/>
                <w:sz w:val="24"/>
                <w:szCs w:val="24"/>
                <w:u w:val="none"/>
                <w:lang w:val="en-US" w:eastAsia="zh-CN" w:bidi="ar"/>
              </w:rPr>
              <w:t>▲消防手套</w:t>
            </w:r>
          </w:p>
        </w:tc>
        <w:tc>
          <w:tcPr>
            <w:tcW w:w="2280"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仿宋_GB2312" w:cs="宋体"/>
                <w:b/>
                <w:bCs/>
                <w:sz w:val="24"/>
                <w:szCs w:val="24"/>
                <w:lang w:val="en-US" w:eastAsia="zh-CN"/>
              </w:rPr>
            </w:pPr>
            <w:r>
              <w:rPr>
                <w:rFonts w:hint="eastAsia" w:ascii="宋体" w:hAnsi="宋体" w:eastAsia="宋体" w:cs="宋体"/>
                <w:b/>
                <w:bCs/>
                <w:i w:val="0"/>
                <w:iCs w:val="0"/>
                <w:color w:val="000000"/>
                <w:kern w:val="0"/>
                <w:sz w:val="24"/>
                <w:szCs w:val="24"/>
                <w:u w:val="none"/>
                <w:lang w:val="en-US" w:eastAsia="zh-CN" w:bidi="ar"/>
              </w:rPr>
              <w:t>10276</w:t>
            </w:r>
            <w:r>
              <w:rPr>
                <w:rFonts w:hint="default" w:ascii="宋体" w:hAnsi="宋体" w:eastAsia="宋体" w:cs="宋体"/>
                <w:b/>
                <w:bCs/>
                <w:sz w:val="24"/>
                <w:szCs w:val="24"/>
                <w:lang w:val="en-US" w:eastAsia="zh-CN"/>
              </w:rPr>
              <w:t>副</w:t>
            </w:r>
          </w:p>
        </w:tc>
        <w:tc>
          <w:tcPr>
            <w:tcW w:w="2090"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8933" w:type="dxa"/>
            <w:gridSpan w:val="4"/>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本包需提供样品1副</w:t>
            </w:r>
          </w:p>
        </w:tc>
      </w:tr>
    </w:tbl>
    <w:tbl>
      <w:tblPr>
        <w:tblStyle w:val="57"/>
        <w:tblW w:w="931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33"/>
        <w:gridCol w:w="1020"/>
        <w:gridCol w:w="1102"/>
        <w:gridCol w:w="655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序号</w:t>
            </w:r>
          </w:p>
        </w:tc>
        <w:tc>
          <w:tcPr>
            <w:tcW w:w="9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重要性</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指标项</w:t>
            </w:r>
          </w:p>
        </w:tc>
        <w:tc>
          <w:tcPr>
            <w:tcW w:w="63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技术参数及要求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技术标准</w:t>
            </w:r>
          </w:p>
        </w:tc>
        <w:tc>
          <w:tcPr>
            <w:tcW w:w="63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技术性能符合《消防手套》XF7-2004的要求。用于消防员手部及腕部防护。</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63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颜色要求与部局服装统型要求一致、黄银黄反光带，立体裁剪，翻指式指尖合缝，各层厚薄均匀，手指握紧时无颗粒感，有灵巧舒适、防割、耐磨、防穿刺、防火阻燃、抗菌除臭等功能。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05"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63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手背由间位芳纶和对位芳纶混纺梭织布，手掌阻燃处不低于翻毛牛二层皮；手掌内层隔热层为对位芳纶与高强度纤维混织布，防水透气层为高阻燃TPU防水透气膜，手掌舒适层为对位芳纶与抗菌纤维混织布，手背舒适层为间位芳纶等混纺针织布；接缝补强材料不低于阻燃处理反绒牛二层皮，手指关节处有保护设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63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手套具有防水功能。灵巧性能不低于4级。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63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整体热防护性能≥30cal/平方厘米，手背缝合有宽度为不小于50mm的360°反光标志带。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63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耐热性能、耐磨性能、耐切割性能、耐撕破性能、耐机械穿刺性能、防水性能达到二类以上性能。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63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采取人体工学设计，可自然弯曲。</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产品认证</w:t>
            </w:r>
          </w:p>
        </w:tc>
        <w:tc>
          <w:tcPr>
            <w:tcW w:w="63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产品取得消防产品认证</w:t>
            </w:r>
            <w:r>
              <w:rPr>
                <w:rFonts w:hint="eastAsia" w:ascii="宋体" w:hAnsi="宋体" w:eastAsia="宋体" w:cs="宋体"/>
                <w:b/>
                <w:bCs/>
                <w:i w:val="0"/>
                <w:iCs w:val="0"/>
                <w:color w:val="000000"/>
                <w:kern w:val="0"/>
                <w:sz w:val="24"/>
                <w:szCs w:val="24"/>
                <w:u w:val="none"/>
                <w:lang w:val="en-US" w:eastAsia="zh-CN" w:bidi="ar"/>
              </w:rPr>
              <w:t>（投标文件中提供消防产品认证证书扫描件）</w:t>
            </w:r>
            <w:r>
              <w:rPr>
                <w:rFonts w:hint="eastAsia" w:ascii="宋体" w:hAnsi="宋体" w:eastAsia="宋体" w:cs="宋体"/>
                <w:i w:val="0"/>
                <w:iCs w:val="0"/>
                <w:color w:val="000000"/>
                <w:kern w:val="0"/>
                <w:sz w:val="24"/>
                <w:szCs w:val="24"/>
                <w:u w:val="none"/>
                <w:lang w:val="en-US" w:eastAsia="zh-CN" w:bidi="ar"/>
              </w:rPr>
              <w:t>。</w:t>
            </w:r>
          </w:p>
        </w:tc>
      </w:tr>
    </w:tbl>
    <w:p>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b/>
          <w:bCs/>
          <w:sz w:val="24"/>
          <w:szCs w:val="24"/>
        </w:rPr>
      </w:pPr>
      <w:r>
        <w:rPr>
          <w:rFonts w:hint="eastAsia" w:ascii="宋体" w:hAnsi="宋体" w:eastAsia="宋体" w:cs="宋体"/>
          <w:b/>
          <w:bCs/>
          <w:sz w:val="24"/>
          <w:szCs w:val="24"/>
        </w:rPr>
        <w:br w:type="page"/>
      </w:r>
    </w:p>
    <w:p>
      <w:pPr>
        <w:keepNext w:val="0"/>
        <w:keepLines w:val="0"/>
        <w:pageBreakBefore w:val="0"/>
        <w:kinsoku/>
        <w:wordWrap/>
        <w:overflowPunct/>
        <w:topLinePunct w:val="0"/>
        <w:autoSpaceDE/>
        <w:autoSpaceDN/>
        <w:bidi w:val="0"/>
        <w:adjustRightInd/>
        <w:snapToGrid/>
        <w:spacing w:line="360" w:lineRule="auto"/>
        <w:outlineLvl w:val="0"/>
        <w:rPr>
          <w:rFonts w:hint="eastAsia" w:ascii="宋体" w:hAnsi="宋体" w:eastAsia="宋体" w:cs="宋体"/>
          <w:b/>
          <w:bCs/>
          <w:sz w:val="24"/>
          <w:szCs w:val="24"/>
        </w:rPr>
      </w:pPr>
      <w:bookmarkStart w:id="22" w:name="_Toc29234"/>
      <w:bookmarkStart w:id="23" w:name="_Toc17467"/>
      <w:r>
        <w:rPr>
          <w:rFonts w:hint="eastAsia" w:ascii="宋体" w:hAnsi="宋体" w:eastAsia="宋体" w:cs="宋体"/>
          <w:b/>
          <w:bCs/>
          <w:sz w:val="24"/>
          <w:szCs w:val="24"/>
        </w:rPr>
        <w:t>第11包：消防员灭火防护头套</w:t>
      </w:r>
      <w:bookmarkEnd w:id="22"/>
      <w:bookmarkEnd w:id="23"/>
    </w:p>
    <w:tbl>
      <w:tblPr>
        <w:tblStyle w:val="58"/>
        <w:tblW w:w="93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4"/>
        <w:gridCol w:w="3792"/>
        <w:gridCol w:w="2377"/>
        <w:gridCol w:w="21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5" w:type="dxa"/>
            <w:noWrap w:val="0"/>
            <w:vAlign w:val="center"/>
          </w:tcPr>
          <w:p>
            <w:pPr>
              <w:keepNext w:val="0"/>
              <w:keepLines w:val="0"/>
              <w:pageBreakBefore w:val="0"/>
              <w:kinsoku/>
              <w:wordWrap/>
              <w:overflowPunct/>
              <w:topLinePunct w:val="0"/>
              <w:autoSpaceDE/>
              <w:autoSpaceDN/>
              <w:bidi w:val="0"/>
              <w:adjustRightInd/>
              <w:snapToGrid/>
              <w:spacing w:line="360" w:lineRule="auto"/>
              <w:jc w:val="center"/>
              <w:outlineLvl w:val="2"/>
              <w:rPr>
                <w:rFonts w:hint="eastAsia" w:ascii="宋体" w:hAnsi="宋体" w:eastAsia="宋体" w:cs="宋体"/>
                <w:b/>
                <w:bCs/>
                <w:sz w:val="24"/>
                <w:szCs w:val="24"/>
              </w:rPr>
            </w:pPr>
            <w:r>
              <w:rPr>
                <w:rFonts w:hint="eastAsia" w:ascii="宋体" w:hAnsi="宋体" w:eastAsia="宋体" w:cs="宋体"/>
                <w:b/>
                <w:bCs/>
                <w:sz w:val="24"/>
                <w:szCs w:val="24"/>
              </w:rPr>
              <w:t>序号</w:t>
            </w:r>
          </w:p>
        </w:tc>
        <w:tc>
          <w:tcPr>
            <w:tcW w:w="3638" w:type="dxa"/>
            <w:noWrap w:val="0"/>
            <w:vAlign w:val="center"/>
          </w:tcPr>
          <w:p>
            <w:pPr>
              <w:keepNext w:val="0"/>
              <w:keepLines w:val="0"/>
              <w:pageBreakBefore w:val="0"/>
              <w:kinsoku/>
              <w:wordWrap/>
              <w:overflowPunct/>
              <w:topLinePunct w:val="0"/>
              <w:autoSpaceDE/>
              <w:autoSpaceDN/>
              <w:bidi w:val="0"/>
              <w:adjustRightInd/>
              <w:snapToGrid/>
              <w:spacing w:line="360" w:lineRule="auto"/>
              <w:jc w:val="center"/>
              <w:outlineLvl w:val="2"/>
              <w:rPr>
                <w:rFonts w:hint="eastAsia" w:ascii="宋体" w:hAnsi="宋体" w:eastAsia="宋体" w:cs="宋体"/>
                <w:b/>
                <w:bCs/>
                <w:sz w:val="24"/>
                <w:szCs w:val="24"/>
              </w:rPr>
            </w:pPr>
            <w:r>
              <w:rPr>
                <w:rFonts w:hint="eastAsia" w:ascii="宋体" w:hAnsi="宋体" w:eastAsia="宋体" w:cs="宋体"/>
                <w:b/>
                <w:bCs/>
                <w:sz w:val="24"/>
                <w:szCs w:val="24"/>
              </w:rPr>
              <w:t>货物名称</w:t>
            </w:r>
          </w:p>
        </w:tc>
        <w:tc>
          <w:tcPr>
            <w:tcW w:w="2280" w:type="dxa"/>
            <w:noWrap w:val="0"/>
            <w:vAlign w:val="center"/>
          </w:tcPr>
          <w:p>
            <w:pPr>
              <w:keepNext w:val="0"/>
              <w:keepLines w:val="0"/>
              <w:pageBreakBefore w:val="0"/>
              <w:kinsoku/>
              <w:wordWrap/>
              <w:overflowPunct/>
              <w:topLinePunct w:val="0"/>
              <w:autoSpaceDE/>
              <w:autoSpaceDN/>
              <w:bidi w:val="0"/>
              <w:adjustRightInd/>
              <w:snapToGrid/>
              <w:spacing w:line="360" w:lineRule="auto"/>
              <w:jc w:val="center"/>
              <w:outlineLvl w:val="2"/>
              <w:rPr>
                <w:rFonts w:hint="eastAsia" w:ascii="宋体" w:hAnsi="宋体" w:eastAsia="宋体" w:cs="宋体"/>
                <w:b/>
                <w:bCs/>
                <w:sz w:val="24"/>
                <w:szCs w:val="24"/>
              </w:rPr>
            </w:pPr>
            <w:r>
              <w:rPr>
                <w:rFonts w:hint="eastAsia" w:ascii="宋体" w:hAnsi="宋体" w:eastAsia="宋体" w:cs="宋体"/>
                <w:b/>
                <w:bCs/>
                <w:sz w:val="24"/>
                <w:szCs w:val="24"/>
              </w:rPr>
              <w:t>数量</w:t>
            </w:r>
          </w:p>
        </w:tc>
        <w:tc>
          <w:tcPr>
            <w:tcW w:w="2090" w:type="dxa"/>
            <w:noWrap w:val="0"/>
            <w:vAlign w:val="center"/>
          </w:tcPr>
          <w:p>
            <w:pPr>
              <w:keepNext w:val="0"/>
              <w:keepLines w:val="0"/>
              <w:pageBreakBefore w:val="0"/>
              <w:kinsoku/>
              <w:wordWrap/>
              <w:overflowPunct/>
              <w:topLinePunct w:val="0"/>
              <w:autoSpaceDE/>
              <w:autoSpaceDN/>
              <w:bidi w:val="0"/>
              <w:adjustRightInd/>
              <w:snapToGrid/>
              <w:spacing w:line="360" w:lineRule="auto"/>
              <w:jc w:val="center"/>
              <w:outlineLvl w:val="2"/>
              <w:rPr>
                <w:rFonts w:hint="eastAsia" w:ascii="宋体" w:hAnsi="宋体" w:eastAsia="宋体" w:cs="宋体"/>
                <w:b/>
                <w:bCs/>
                <w:sz w:val="24"/>
                <w:szCs w:val="24"/>
              </w:rPr>
            </w:pPr>
            <w:r>
              <w:rPr>
                <w:rFonts w:hint="eastAsia" w:ascii="宋体" w:hAnsi="宋体" w:eastAsia="宋体" w:cs="宋体"/>
                <w:b/>
                <w:bCs/>
                <w:sz w:val="24"/>
                <w:szCs w:val="24"/>
              </w:rPr>
              <w:t>所属行业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5"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sz w:val="24"/>
                <w:szCs w:val="24"/>
              </w:rPr>
            </w:pPr>
            <w:r>
              <w:rPr>
                <w:rFonts w:hint="eastAsia" w:ascii="宋体" w:hAnsi="宋体" w:eastAsia="宋体" w:cs="宋体"/>
                <w:b/>
                <w:bCs/>
                <w:i w:val="0"/>
                <w:iCs w:val="0"/>
                <w:color w:val="000000"/>
                <w:kern w:val="0"/>
                <w:sz w:val="24"/>
                <w:szCs w:val="24"/>
                <w:u w:val="none"/>
                <w:lang w:val="en-US" w:eastAsia="zh-CN" w:bidi="ar"/>
              </w:rPr>
              <w:t>1</w:t>
            </w:r>
          </w:p>
        </w:tc>
        <w:tc>
          <w:tcPr>
            <w:tcW w:w="3638"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sz w:val="24"/>
                <w:szCs w:val="24"/>
              </w:rPr>
            </w:pPr>
            <w:r>
              <w:rPr>
                <w:rFonts w:hint="eastAsia" w:ascii="宋体" w:hAnsi="宋体" w:eastAsia="宋体" w:cs="宋体"/>
                <w:i w:val="0"/>
                <w:iCs w:val="0"/>
                <w:color w:val="000000"/>
                <w:kern w:val="0"/>
                <w:sz w:val="24"/>
                <w:szCs w:val="24"/>
                <w:u w:val="none"/>
                <w:lang w:val="en-US" w:eastAsia="zh-CN" w:bidi="ar"/>
              </w:rPr>
              <w:t>▲消防员灭火防护头套</w:t>
            </w:r>
          </w:p>
        </w:tc>
        <w:tc>
          <w:tcPr>
            <w:tcW w:w="2280"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仿宋_GB2312" w:cs="宋体"/>
                <w:b/>
                <w:bCs/>
                <w:sz w:val="24"/>
                <w:szCs w:val="24"/>
                <w:lang w:val="en-US" w:eastAsia="zh-CN"/>
              </w:rPr>
            </w:pPr>
            <w:r>
              <w:rPr>
                <w:rFonts w:hint="eastAsia" w:ascii="宋体" w:hAnsi="宋体" w:eastAsia="宋体" w:cs="宋体"/>
                <w:b/>
                <w:bCs/>
                <w:i w:val="0"/>
                <w:iCs w:val="0"/>
                <w:color w:val="000000"/>
                <w:kern w:val="0"/>
                <w:sz w:val="24"/>
                <w:szCs w:val="24"/>
                <w:u w:val="none"/>
                <w:lang w:val="en-US" w:eastAsia="zh-CN" w:bidi="ar"/>
              </w:rPr>
              <w:t>6539</w:t>
            </w:r>
            <w:r>
              <w:rPr>
                <w:rFonts w:hint="default" w:ascii="宋体" w:hAnsi="宋体" w:eastAsia="宋体" w:cs="宋体"/>
                <w:b/>
                <w:bCs/>
                <w:sz w:val="24"/>
                <w:szCs w:val="24"/>
                <w:lang w:val="en-US" w:eastAsia="zh-CN"/>
              </w:rPr>
              <w:t>件</w:t>
            </w:r>
          </w:p>
        </w:tc>
        <w:tc>
          <w:tcPr>
            <w:tcW w:w="2090"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8933" w:type="dxa"/>
            <w:gridSpan w:val="4"/>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本包需提供样品1件</w:t>
            </w:r>
          </w:p>
        </w:tc>
      </w:tr>
    </w:tbl>
    <w:tbl>
      <w:tblPr>
        <w:tblStyle w:val="57"/>
        <w:tblW w:w="931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33"/>
        <w:gridCol w:w="1020"/>
        <w:gridCol w:w="1102"/>
        <w:gridCol w:w="655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序号</w:t>
            </w:r>
          </w:p>
        </w:tc>
        <w:tc>
          <w:tcPr>
            <w:tcW w:w="9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重要性</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指标项</w:t>
            </w:r>
          </w:p>
        </w:tc>
        <w:tc>
          <w:tcPr>
            <w:tcW w:w="63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技术参数及要求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技术标准</w:t>
            </w:r>
          </w:p>
        </w:tc>
        <w:tc>
          <w:tcPr>
            <w:tcW w:w="63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1．技术性能符合《消防员灭火防护头套》XF869的要求。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63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用于消防灭火时头部、侧面及颈部保护。头套裙边加长设计，确保佩戴空气呼吸器面罩后，头套的前部和后部与防护服领口内重叠部分的长度≤20厘米，头套侧部与防护服领口内重叠部分的长度不小于3厘米，对消防员颈部有效保护。</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63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3．头套应使用采用芳纶等本质阻燃材料制成，原材料采用原浆染色，洗涤不脱色。</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63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4．甲醛含量≤75毫克/公斤，无异味。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63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5．阻燃性能：经向、纬向损毁长度≤7mm，续燃时间0s，无熔融、滴落现象。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0"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63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6．经260℃热稳定性能试验后沿经、纬方向尺寸变化率≤2%，试样表面无变色、熔融和滴落等明显变化。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63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7．面料抗起球等级3级；水洗尺寸变化率直向、横向≤3.5%。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产品认证</w:t>
            </w:r>
          </w:p>
        </w:tc>
        <w:tc>
          <w:tcPr>
            <w:tcW w:w="63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产品取得消防产品认证</w:t>
            </w:r>
            <w:r>
              <w:rPr>
                <w:rFonts w:hint="eastAsia" w:ascii="宋体" w:hAnsi="宋体" w:eastAsia="宋体" w:cs="宋体"/>
                <w:b/>
                <w:bCs/>
                <w:i w:val="0"/>
                <w:iCs w:val="0"/>
                <w:color w:val="000000"/>
                <w:kern w:val="0"/>
                <w:sz w:val="24"/>
                <w:szCs w:val="24"/>
                <w:u w:val="none"/>
                <w:lang w:val="en-US" w:eastAsia="zh-CN" w:bidi="ar"/>
              </w:rPr>
              <w:t>（投标文件中提供消防产品认证证书扫描件）</w:t>
            </w:r>
            <w:r>
              <w:rPr>
                <w:rFonts w:hint="eastAsia" w:ascii="宋体" w:hAnsi="宋体" w:eastAsia="宋体" w:cs="宋体"/>
                <w:i w:val="0"/>
                <w:iCs w:val="0"/>
                <w:color w:val="000000"/>
                <w:kern w:val="0"/>
                <w:sz w:val="24"/>
                <w:szCs w:val="24"/>
                <w:u w:val="none"/>
                <w:lang w:val="en-US" w:eastAsia="zh-CN" w:bidi="ar"/>
              </w:rPr>
              <w:t>。</w:t>
            </w:r>
          </w:p>
        </w:tc>
      </w:tr>
    </w:tbl>
    <w:p>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b/>
          <w:bCs/>
          <w:sz w:val="24"/>
          <w:szCs w:val="24"/>
        </w:rPr>
      </w:pPr>
      <w:r>
        <w:rPr>
          <w:rFonts w:hint="eastAsia" w:ascii="宋体" w:hAnsi="宋体" w:eastAsia="宋体" w:cs="宋体"/>
          <w:b/>
          <w:bCs/>
          <w:sz w:val="24"/>
          <w:szCs w:val="24"/>
        </w:rPr>
        <w:br w:type="page"/>
      </w:r>
    </w:p>
    <w:p>
      <w:pPr>
        <w:keepNext w:val="0"/>
        <w:keepLines w:val="0"/>
        <w:pageBreakBefore w:val="0"/>
        <w:kinsoku/>
        <w:wordWrap/>
        <w:overflowPunct/>
        <w:topLinePunct w:val="0"/>
        <w:autoSpaceDE/>
        <w:autoSpaceDN/>
        <w:bidi w:val="0"/>
        <w:adjustRightInd/>
        <w:snapToGrid/>
        <w:spacing w:line="360" w:lineRule="auto"/>
        <w:outlineLvl w:val="0"/>
        <w:rPr>
          <w:rFonts w:hint="eastAsia" w:ascii="宋体" w:hAnsi="宋体" w:eastAsia="宋体" w:cs="宋体"/>
          <w:b/>
          <w:bCs/>
          <w:sz w:val="24"/>
          <w:szCs w:val="24"/>
        </w:rPr>
      </w:pPr>
      <w:bookmarkStart w:id="24" w:name="_Toc7553"/>
      <w:bookmarkStart w:id="25" w:name="_Toc30484"/>
      <w:r>
        <w:rPr>
          <w:rFonts w:hint="eastAsia" w:ascii="宋体" w:hAnsi="宋体" w:eastAsia="宋体" w:cs="宋体"/>
          <w:b/>
          <w:bCs/>
          <w:sz w:val="24"/>
          <w:szCs w:val="24"/>
        </w:rPr>
        <w:t>第12包：消防员灭火防护靴</w:t>
      </w:r>
      <w:bookmarkEnd w:id="24"/>
      <w:bookmarkEnd w:id="25"/>
    </w:p>
    <w:tbl>
      <w:tblPr>
        <w:tblStyle w:val="58"/>
        <w:tblW w:w="93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4"/>
        <w:gridCol w:w="3792"/>
        <w:gridCol w:w="2377"/>
        <w:gridCol w:w="21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5" w:type="dxa"/>
            <w:noWrap w:val="0"/>
            <w:vAlign w:val="center"/>
          </w:tcPr>
          <w:p>
            <w:pPr>
              <w:keepNext w:val="0"/>
              <w:keepLines w:val="0"/>
              <w:pageBreakBefore w:val="0"/>
              <w:kinsoku/>
              <w:wordWrap/>
              <w:overflowPunct/>
              <w:topLinePunct w:val="0"/>
              <w:autoSpaceDE/>
              <w:autoSpaceDN/>
              <w:bidi w:val="0"/>
              <w:adjustRightInd/>
              <w:snapToGrid/>
              <w:spacing w:line="360" w:lineRule="auto"/>
              <w:jc w:val="center"/>
              <w:outlineLvl w:val="2"/>
              <w:rPr>
                <w:rFonts w:hint="eastAsia" w:ascii="宋体" w:hAnsi="宋体" w:eastAsia="宋体" w:cs="宋体"/>
                <w:b/>
                <w:bCs/>
                <w:sz w:val="24"/>
                <w:szCs w:val="24"/>
              </w:rPr>
            </w:pPr>
            <w:r>
              <w:rPr>
                <w:rFonts w:hint="eastAsia" w:ascii="宋体" w:hAnsi="宋体" w:eastAsia="宋体" w:cs="宋体"/>
                <w:b/>
                <w:bCs/>
                <w:sz w:val="24"/>
                <w:szCs w:val="24"/>
              </w:rPr>
              <w:t>序号</w:t>
            </w:r>
          </w:p>
        </w:tc>
        <w:tc>
          <w:tcPr>
            <w:tcW w:w="3638" w:type="dxa"/>
            <w:noWrap w:val="0"/>
            <w:vAlign w:val="center"/>
          </w:tcPr>
          <w:p>
            <w:pPr>
              <w:keepNext w:val="0"/>
              <w:keepLines w:val="0"/>
              <w:pageBreakBefore w:val="0"/>
              <w:kinsoku/>
              <w:wordWrap/>
              <w:overflowPunct/>
              <w:topLinePunct w:val="0"/>
              <w:autoSpaceDE/>
              <w:autoSpaceDN/>
              <w:bidi w:val="0"/>
              <w:adjustRightInd/>
              <w:snapToGrid/>
              <w:spacing w:line="360" w:lineRule="auto"/>
              <w:jc w:val="center"/>
              <w:outlineLvl w:val="2"/>
              <w:rPr>
                <w:rFonts w:hint="eastAsia" w:ascii="宋体" w:hAnsi="宋体" w:eastAsia="宋体" w:cs="宋体"/>
                <w:b/>
                <w:bCs/>
                <w:sz w:val="24"/>
                <w:szCs w:val="24"/>
              </w:rPr>
            </w:pPr>
            <w:r>
              <w:rPr>
                <w:rFonts w:hint="eastAsia" w:ascii="宋体" w:hAnsi="宋体" w:eastAsia="宋体" w:cs="宋体"/>
                <w:b/>
                <w:bCs/>
                <w:sz w:val="24"/>
                <w:szCs w:val="24"/>
              </w:rPr>
              <w:t>货物名称</w:t>
            </w:r>
          </w:p>
        </w:tc>
        <w:tc>
          <w:tcPr>
            <w:tcW w:w="2280" w:type="dxa"/>
            <w:noWrap w:val="0"/>
            <w:vAlign w:val="center"/>
          </w:tcPr>
          <w:p>
            <w:pPr>
              <w:keepNext w:val="0"/>
              <w:keepLines w:val="0"/>
              <w:pageBreakBefore w:val="0"/>
              <w:kinsoku/>
              <w:wordWrap/>
              <w:overflowPunct/>
              <w:topLinePunct w:val="0"/>
              <w:autoSpaceDE/>
              <w:autoSpaceDN/>
              <w:bidi w:val="0"/>
              <w:adjustRightInd/>
              <w:snapToGrid/>
              <w:spacing w:line="360" w:lineRule="auto"/>
              <w:jc w:val="center"/>
              <w:outlineLvl w:val="2"/>
              <w:rPr>
                <w:rFonts w:hint="eastAsia" w:ascii="宋体" w:hAnsi="宋体" w:eastAsia="宋体" w:cs="宋体"/>
                <w:b/>
                <w:bCs/>
                <w:sz w:val="24"/>
                <w:szCs w:val="24"/>
              </w:rPr>
            </w:pPr>
            <w:r>
              <w:rPr>
                <w:rFonts w:hint="eastAsia" w:ascii="宋体" w:hAnsi="宋体" w:eastAsia="宋体" w:cs="宋体"/>
                <w:b/>
                <w:bCs/>
                <w:sz w:val="24"/>
                <w:szCs w:val="24"/>
              </w:rPr>
              <w:t>数量</w:t>
            </w:r>
          </w:p>
        </w:tc>
        <w:tc>
          <w:tcPr>
            <w:tcW w:w="2090" w:type="dxa"/>
            <w:noWrap w:val="0"/>
            <w:vAlign w:val="center"/>
          </w:tcPr>
          <w:p>
            <w:pPr>
              <w:keepNext w:val="0"/>
              <w:keepLines w:val="0"/>
              <w:pageBreakBefore w:val="0"/>
              <w:kinsoku/>
              <w:wordWrap/>
              <w:overflowPunct/>
              <w:topLinePunct w:val="0"/>
              <w:autoSpaceDE/>
              <w:autoSpaceDN/>
              <w:bidi w:val="0"/>
              <w:adjustRightInd/>
              <w:snapToGrid/>
              <w:spacing w:line="360" w:lineRule="auto"/>
              <w:jc w:val="center"/>
              <w:outlineLvl w:val="2"/>
              <w:rPr>
                <w:rFonts w:hint="eastAsia" w:ascii="宋体" w:hAnsi="宋体" w:eastAsia="宋体" w:cs="宋体"/>
                <w:b/>
                <w:bCs/>
                <w:sz w:val="24"/>
                <w:szCs w:val="24"/>
              </w:rPr>
            </w:pPr>
            <w:r>
              <w:rPr>
                <w:rFonts w:hint="eastAsia" w:ascii="宋体" w:hAnsi="宋体" w:eastAsia="宋体" w:cs="宋体"/>
                <w:b/>
                <w:bCs/>
                <w:sz w:val="24"/>
                <w:szCs w:val="24"/>
              </w:rPr>
              <w:t>所属行业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5"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sz w:val="24"/>
                <w:szCs w:val="24"/>
              </w:rPr>
            </w:pPr>
            <w:r>
              <w:rPr>
                <w:rFonts w:hint="eastAsia" w:ascii="宋体" w:hAnsi="宋体" w:eastAsia="宋体" w:cs="宋体"/>
                <w:b/>
                <w:bCs/>
                <w:i w:val="0"/>
                <w:iCs w:val="0"/>
                <w:color w:val="000000"/>
                <w:kern w:val="0"/>
                <w:sz w:val="24"/>
                <w:szCs w:val="24"/>
                <w:u w:val="none"/>
                <w:lang w:val="en-US" w:eastAsia="zh-CN" w:bidi="ar"/>
              </w:rPr>
              <w:t>1</w:t>
            </w:r>
          </w:p>
        </w:tc>
        <w:tc>
          <w:tcPr>
            <w:tcW w:w="3638"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sz w:val="24"/>
                <w:szCs w:val="24"/>
              </w:rPr>
            </w:pPr>
            <w:r>
              <w:rPr>
                <w:rFonts w:hint="eastAsia" w:ascii="宋体" w:hAnsi="宋体" w:eastAsia="宋体" w:cs="宋体"/>
                <w:i w:val="0"/>
                <w:iCs w:val="0"/>
                <w:color w:val="000000"/>
                <w:kern w:val="0"/>
                <w:sz w:val="24"/>
                <w:szCs w:val="24"/>
                <w:u w:val="none"/>
                <w:lang w:val="en-US" w:eastAsia="zh-CN" w:bidi="ar"/>
              </w:rPr>
              <w:t>▲消防员灭火防护靴</w:t>
            </w:r>
          </w:p>
        </w:tc>
        <w:tc>
          <w:tcPr>
            <w:tcW w:w="2280"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仿宋_GB2312" w:cs="宋体"/>
                <w:b/>
                <w:bCs/>
                <w:sz w:val="24"/>
                <w:szCs w:val="24"/>
                <w:lang w:val="en-US" w:eastAsia="zh-CN"/>
              </w:rPr>
            </w:pPr>
            <w:r>
              <w:rPr>
                <w:rFonts w:hint="eastAsia" w:ascii="宋体" w:hAnsi="宋体" w:eastAsia="宋体" w:cs="宋体"/>
                <w:b/>
                <w:bCs/>
                <w:i w:val="0"/>
                <w:iCs w:val="0"/>
                <w:color w:val="000000"/>
                <w:kern w:val="0"/>
                <w:sz w:val="24"/>
                <w:szCs w:val="24"/>
                <w:u w:val="none"/>
                <w:lang w:val="en-US" w:eastAsia="zh-CN" w:bidi="ar"/>
              </w:rPr>
              <w:t>6253</w:t>
            </w:r>
            <w:r>
              <w:rPr>
                <w:rFonts w:hint="default" w:ascii="宋体" w:hAnsi="宋体" w:eastAsia="宋体" w:cs="宋体"/>
                <w:b/>
                <w:bCs/>
                <w:sz w:val="24"/>
                <w:szCs w:val="24"/>
                <w:lang w:val="en-US" w:eastAsia="zh-CN"/>
              </w:rPr>
              <w:t>双</w:t>
            </w:r>
          </w:p>
        </w:tc>
        <w:tc>
          <w:tcPr>
            <w:tcW w:w="2090"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8933" w:type="dxa"/>
            <w:gridSpan w:val="4"/>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本包需提供255码样品1双</w:t>
            </w:r>
          </w:p>
        </w:tc>
      </w:tr>
    </w:tbl>
    <w:tbl>
      <w:tblPr>
        <w:tblStyle w:val="57"/>
        <w:tblW w:w="931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33"/>
        <w:gridCol w:w="1020"/>
        <w:gridCol w:w="1102"/>
        <w:gridCol w:w="655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序号</w:t>
            </w:r>
          </w:p>
        </w:tc>
        <w:tc>
          <w:tcPr>
            <w:tcW w:w="9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重要性</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指标项</w:t>
            </w:r>
          </w:p>
        </w:tc>
        <w:tc>
          <w:tcPr>
            <w:tcW w:w="63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技术参数及要求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技术标准</w:t>
            </w:r>
          </w:p>
        </w:tc>
        <w:tc>
          <w:tcPr>
            <w:tcW w:w="63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 技术性能符合《消防员灭火防护靴》XF6的要求。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85"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63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1、整靴为皮制或橡胶制，靴子内侧有复合柔软舒适层，便于消防员快速穿着，用于消防员小腿部和足部防护。隔热层采用进口牛布朗；阻燃性能≥国家FV-1级，防滑倒顺齿大底，防滑性能始滑角≥15°。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63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2、从靴外底起至靴口最低处的高度不≥340mm。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63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3、靴内采用抗菌防臭缓冲鞋垫。</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63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4、质量：255码样靴的整双靴总重量质量≤2.5kg。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85"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63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5、整靴防水性能：灭火防护靴置于容器内后注水，水面距靴筒口最低点的距离≤（25±3）mm，经4h后，靴内不应有水渗透现象。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63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6、靴口有防磨设计、鞋底内缓冲设计。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85"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63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金属包头，中底与大底之间有金属防穿刺层；靴头带钢头防砸,钢头两侧带绝缘橡胶层（击穿电压≥5000V，泄露电流≤0.18mA）,靴底有钢中底防刺穿；靴底为特殊防滑设计,耐高温和低温,防砸防滑防油防刺穿防割，耐酸碱性能达到国家劳动防护用品质量检验标准，阻燃性能达到FV-1级，耐油性能：-2~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55"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产品认证</w:t>
            </w:r>
          </w:p>
        </w:tc>
        <w:tc>
          <w:tcPr>
            <w:tcW w:w="63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靴面无有起皱、砂眼、杂质、气泡、疙瘩硬粒、亮油擦伤现象。靴面与夹里布、内底布以及防砸内包头衬垫平整，无脱壳现象。无脱齿弹边、脱空、开胶、喷霜、过硫和欠硫现象。隔热性能≤6.6℃。抗辐射热渗透性能≤8.5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产品认证</w:t>
            </w:r>
          </w:p>
        </w:tc>
        <w:tc>
          <w:tcPr>
            <w:tcW w:w="63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产品取得消防产品认证</w:t>
            </w:r>
            <w:r>
              <w:rPr>
                <w:rFonts w:hint="eastAsia" w:ascii="宋体" w:hAnsi="宋体" w:eastAsia="宋体" w:cs="宋体"/>
                <w:b/>
                <w:bCs/>
                <w:i w:val="0"/>
                <w:iCs w:val="0"/>
                <w:color w:val="000000"/>
                <w:kern w:val="0"/>
                <w:sz w:val="24"/>
                <w:szCs w:val="24"/>
                <w:u w:val="none"/>
                <w:lang w:val="en-US" w:eastAsia="zh-CN" w:bidi="ar"/>
              </w:rPr>
              <w:t>（投标文件中提供消防产品认证证书扫描件</w:t>
            </w:r>
            <w:r>
              <w:rPr>
                <w:rFonts w:hint="eastAsia" w:ascii="宋体" w:hAnsi="宋体" w:eastAsia="宋体" w:cs="宋体"/>
                <w:i w:val="0"/>
                <w:iCs w:val="0"/>
                <w:color w:val="000000"/>
                <w:kern w:val="0"/>
                <w:sz w:val="24"/>
                <w:szCs w:val="24"/>
                <w:u w:val="none"/>
                <w:lang w:val="en-US" w:eastAsia="zh-CN" w:bidi="ar"/>
              </w:rPr>
              <w:t>）。</w:t>
            </w:r>
          </w:p>
        </w:tc>
      </w:tr>
    </w:tbl>
    <w:p>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b/>
          <w:bCs/>
          <w:sz w:val="24"/>
          <w:szCs w:val="24"/>
        </w:rPr>
      </w:pPr>
    </w:p>
    <w:p>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b/>
          <w:bCs/>
          <w:sz w:val="24"/>
          <w:szCs w:val="24"/>
        </w:rPr>
      </w:pPr>
      <w:r>
        <w:rPr>
          <w:rFonts w:hint="eastAsia" w:ascii="宋体" w:hAnsi="宋体" w:eastAsia="宋体" w:cs="宋体"/>
          <w:b/>
          <w:bCs/>
          <w:sz w:val="24"/>
          <w:szCs w:val="24"/>
        </w:rPr>
        <w:br w:type="page"/>
      </w:r>
    </w:p>
    <w:p>
      <w:pPr>
        <w:keepNext w:val="0"/>
        <w:keepLines w:val="0"/>
        <w:pageBreakBefore w:val="0"/>
        <w:kinsoku/>
        <w:wordWrap/>
        <w:overflowPunct/>
        <w:topLinePunct w:val="0"/>
        <w:autoSpaceDE/>
        <w:autoSpaceDN/>
        <w:bidi w:val="0"/>
        <w:adjustRightInd/>
        <w:snapToGrid/>
        <w:spacing w:line="360" w:lineRule="auto"/>
        <w:outlineLvl w:val="0"/>
        <w:rPr>
          <w:rFonts w:hint="eastAsia" w:ascii="宋体" w:hAnsi="宋体" w:eastAsia="宋体" w:cs="宋体"/>
          <w:b/>
          <w:bCs/>
          <w:sz w:val="24"/>
          <w:szCs w:val="24"/>
        </w:rPr>
      </w:pPr>
      <w:bookmarkStart w:id="26" w:name="_Toc17440"/>
      <w:bookmarkStart w:id="27" w:name="_Toc22368"/>
      <w:r>
        <w:rPr>
          <w:rFonts w:hint="eastAsia" w:ascii="宋体" w:hAnsi="宋体" w:eastAsia="宋体" w:cs="宋体"/>
          <w:b/>
          <w:bCs/>
          <w:sz w:val="24"/>
          <w:szCs w:val="24"/>
        </w:rPr>
        <w:t>第13包：消防员抢险救援头盔</w:t>
      </w:r>
      <w:bookmarkEnd w:id="26"/>
      <w:bookmarkEnd w:id="27"/>
    </w:p>
    <w:tbl>
      <w:tblPr>
        <w:tblStyle w:val="58"/>
        <w:tblW w:w="89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5"/>
        <w:gridCol w:w="3638"/>
        <w:gridCol w:w="2280"/>
        <w:gridCol w:w="20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5" w:type="dxa"/>
            <w:noWrap w:val="0"/>
            <w:vAlign w:val="center"/>
          </w:tcPr>
          <w:p>
            <w:pPr>
              <w:keepNext w:val="0"/>
              <w:keepLines w:val="0"/>
              <w:pageBreakBefore w:val="0"/>
              <w:kinsoku/>
              <w:wordWrap/>
              <w:overflowPunct/>
              <w:topLinePunct w:val="0"/>
              <w:autoSpaceDE/>
              <w:autoSpaceDN/>
              <w:bidi w:val="0"/>
              <w:adjustRightInd/>
              <w:snapToGrid/>
              <w:spacing w:line="360" w:lineRule="auto"/>
              <w:jc w:val="center"/>
              <w:outlineLvl w:val="2"/>
              <w:rPr>
                <w:rFonts w:hint="eastAsia" w:ascii="宋体" w:hAnsi="宋体" w:eastAsia="宋体" w:cs="宋体"/>
                <w:b/>
                <w:bCs/>
                <w:sz w:val="24"/>
                <w:szCs w:val="24"/>
              </w:rPr>
            </w:pPr>
            <w:r>
              <w:rPr>
                <w:rFonts w:hint="eastAsia" w:ascii="宋体" w:hAnsi="宋体" w:eastAsia="宋体" w:cs="宋体"/>
                <w:b/>
                <w:bCs/>
                <w:sz w:val="24"/>
                <w:szCs w:val="24"/>
              </w:rPr>
              <w:t>序号</w:t>
            </w:r>
          </w:p>
        </w:tc>
        <w:tc>
          <w:tcPr>
            <w:tcW w:w="3638" w:type="dxa"/>
            <w:noWrap w:val="0"/>
            <w:vAlign w:val="center"/>
          </w:tcPr>
          <w:p>
            <w:pPr>
              <w:keepNext w:val="0"/>
              <w:keepLines w:val="0"/>
              <w:pageBreakBefore w:val="0"/>
              <w:kinsoku/>
              <w:wordWrap/>
              <w:overflowPunct/>
              <w:topLinePunct w:val="0"/>
              <w:autoSpaceDE/>
              <w:autoSpaceDN/>
              <w:bidi w:val="0"/>
              <w:adjustRightInd/>
              <w:snapToGrid/>
              <w:spacing w:line="360" w:lineRule="auto"/>
              <w:jc w:val="center"/>
              <w:outlineLvl w:val="2"/>
              <w:rPr>
                <w:rFonts w:hint="eastAsia" w:ascii="宋体" w:hAnsi="宋体" w:eastAsia="宋体" w:cs="宋体"/>
                <w:b/>
                <w:bCs/>
                <w:sz w:val="24"/>
                <w:szCs w:val="24"/>
              </w:rPr>
            </w:pPr>
            <w:r>
              <w:rPr>
                <w:rFonts w:hint="eastAsia" w:ascii="宋体" w:hAnsi="宋体" w:eastAsia="宋体" w:cs="宋体"/>
                <w:b/>
                <w:bCs/>
                <w:sz w:val="24"/>
                <w:szCs w:val="24"/>
              </w:rPr>
              <w:t>货物名称</w:t>
            </w:r>
          </w:p>
        </w:tc>
        <w:tc>
          <w:tcPr>
            <w:tcW w:w="2280" w:type="dxa"/>
            <w:noWrap w:val="0"/>
            <w:vAlign w:val="center"/>
          </w:tcPr>
          <w:p>
            <w:pPr>
              <w:keepNext w:val="0"/>
              <w:keepLines w:val="0"/>
              <w:pageBreakBefore w:val="0"/>
              <w:kinsoku/>
              <w:wordWrap/>
              <w:overflowPunct/>
              <w:topLinePunct w:val="0"/>
              <w:autoSpaceDE/>
              <w:autoSpaceDN/>
              <w:bidi w:val="0"/>
              <w:adjustRightInd/>
              <w:snapToGrid/>
              <w:spacing w:line="360" w:lineRule="auto"/>
              <w:jc w:val="center"/>
              <w:outlineLvl w:val="2"/>
              <w:rPr>
                <w:rFonts w:hint="eastAsia" w:ascii="宋体" w:hAnsi="宋体" w:eastAsia="宋体" w:cs="宋体"/>
                <w:b/>
                <w:bCs/>
                <w:sz w:val="24"/>
                <w:szCs w:val="24"/>
              </w:rPr>
            </w:pPr>
            <w:r>
              <w:rPr>
                <w:rFonts w:hint="eastAsia" w:ascii="宋体" w:hAnsi="宋体" w:eastAsia="宋体" w:cs="宋体"/>
                <w:b/>
                <w:bCs/>
                <w:sz w:val="24"/>
                <w:szCs w:val="24"/>
              </w:rPr>
              <w:t>数量</w:t>
            </w:r>
          </w:p>
        </w:tc>
        <w:tc>
          <w:tcPr>
            <w:tcW w:w="2090" w:type="dxa"/>
            <w:noWrap w:val="0"/>
            <w:vAlign w:val="center"/>
          </w:tcPr>
          <w:p>
            <w:pPr>
              <w:keepNext w:val="0"/>
              <w:keepLines w:val="0"/>
              <w:pageBreakBefore w:val="0"/>
              <w:kinsoku/>
              <w:wordWrap/>
              <w:overflowPunct/>
              <w:topLinePunct w:val="0"/>
              <w:autoSpaceDE/>
              <w:autoSpaceDN/>
              <w:bidi w:val="0"/>
              <w:adjustRightInd/>
              <w:snapToGrid/>
              <w:spacing w:line="360" w:lineRule="auto"/>
              <w:jc w:val="center"/>
              <w:outlineLvl w:val="2"/>
              <w:rPr>
                <w:rFonts w:hint="eastAsia" w:ascii="宋体" w:hAnsi="宋体" w:eastAsia="宋体" w:cs="宋体"/>
                <w:b/>
                <w:bCs/>
                <w:sz w:val="24"/>
                <w:szCs w:val="24"/>
              </w:rPr>
            </w:pPr>
            <w:r>
              <w:rPr>
                <w:rFonts w:hint="eastAsia" w:ascii="宋体" w:hAnsi="宋体" w:eastAsia="宋体" w:cs="宋体"/>
                <w:b/>
                <w:bCs/>
                <w:sz w:val="24"/>
                <w:szCs w:val="24"/>
              </w:rPr>
              <w:t>所属行业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5"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sz w:val="24"/>
                <w:szCs w:val="24"/>
              </w:rPr>
            </w:pPr>
            <w:r>
              <w:rPr>
                <w:rFonts w:hint="eastAsia" w:ascii="宋体" w:hAnsi="宋体" w:eastAsia="宋体" w:cs="宋体"/>
                <w:b/>
                <w:bCs/>
                <w:i w:val="0"/>
                <w:iCs w:val="0"/>
                <w:color w:val="000000"/>
                <w:kern w:val="0"/>
                <w:sz w:val="24"/>
                <w:szCs w:val="24"/>
                <w:u w:val="none"/>
                <w:lang w:val="en-US" w:eastAsia="zh-CN" w:bidi="ar"/>
              </w:rPr>
              <w:t>1</w:t>
            </w:r>
          </w:p>
        </w:tc>
        <w:tc>
          <w:tcPr>
            <w:tcW w:w="3638"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sz w:val="24"/>
                <w:szCs w:val="24"/>
              </w:rPr>
            </w:pPr>
            <w:r>
              <w:rPr>
                <w:rFonts w:hint="eastAsia" w:ascii="宋体" w:hAnsi="宋体" w:eastAsia="宋体" w:cs="宋体"/>
                <w:i w:val="0"/>
                <w:iCs w:val="0"/>
                <w:color w:val="000000"/>
                <w:kern w:val="0"/>
                <w:sz w:val="24"/>
                <w:szCs w:val="24"/>
                <w:u w:val="none"/>
                <w:lang w:val="en-US" w:eastAsia="zh-CN" w:bidi="ar"/>
              </w:rPr>
              <w:t>▲消防员抢险救援头盔</w:t>
            </w:r>
          </w:p>
        </w:tc>
        <w:tc>
          <w:tcPr>
            <w:tcW w:w="2280"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仿宋_GB2312" w:cs="宋体"/>
                <w:b/>
                <w:bCs/>
                <w:sz w:val="24"/>
                <w:szCs w:val="24"/>
                <w:lang w:val="en-US" w:eastAsia="zh-CN"/>
              </w:rPr>
            </w:pPr>
            <w:r>
              <w:rPr>
                <w:rFonts w:hint="eastAsia" w:ascii="宋体" w:hAnsi="宋体" w:eastAsia="宋体" w:cs="宋体"/>
                <w:b/>
                <w:bCs/>
                <w:i w:val="0"/>
                <w:iCs w:val="0"/>
                <w:color w:val="000000"/>
                <w:kern w:val="0"/>
                <w:sz w:val="24"/>
                <w:szCs w:val="24"/>
                <w:u w:val="none"/>
                <w:lang w:val="en-US" w:eastAsia="zh-CN" w:bidi="ar"/>
              </w:rPr>
              <w:t>5117</w:t>
            </w:r>
            <w:r>
              <w:rPr>
                <w:rFonts w:hint="default" w:ascii="宋体" w:hAnsi="宋体" w:eastAsia="宋体" w:cs="宋体"/>
                <w:b/>
                <w:bCs/>
                <w:sz w:val="24"/>
                <w:szCs w:val="24"/>
                <w:lang w:val="en-US" w:eastAsia="zh-CN"/>
              </w:rPr>
              <w:t>顶</w:t>
            </w:r>
          </w:p>
        </w:tc>
        <w:tc>
          <w:tcPr>
            <w:tcW w:w="2090"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8933" w:type="dxa"/>
            <w:gridSpan w:val="4"/>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本包需提供样品1顶</w:t>
            </w:r>
          </w:p>
        </w:tc>
      </w:tr>
    </w:tbl>
    <w:tbl>
      <w:tblPr>
        <w:tblStyle w:val="57"/>
        <w:tblW w:w="893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84"/>
        <w:gridCol w:w="1262"/>
        <w:gridCol w:w="1364"/>
        <w:gridCol w:w="552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序号</w:t>
            </w:r>
          </w:p>
        </w:tc>
        <w:tc>
          <w:tcPr>
            <w:tcW w:w="9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重要性</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指标项</w:t>
            </w:r>
          </w:p>
        </w:tc>
        <w:tc>
          <w:tcPr>
            <w:tcW w:w="4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技术参数及要求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技术标准</w:t>
            </w:r>
          </w:p>
        </w:tc>
        <w:tc>
          <w:tcPr>
            <w:tcW w:w="43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 技术性能符合《消防员抢险救援防护服装》XF633-2006的要求。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5"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43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红色半盔式设计，有明显的黄色反光标志。主要由帽壳、帽箍、帽托、缓冲层、下颌带、导轨、护目镜等组成，具有抗冲击、耐穿透、防腐蚀、绝缘、透气等性能。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43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冲击吸收性能：头模所受冲击力的最大值不应大于3780N。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43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耐穿透性能：钢锥不应与头模建立电接触。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43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阻燃性能：火源离开帽壳后，帽壳火焰应在5s内自熄。</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0"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43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热稳定性能：在温度为（180±5)℃条件下，经5min后，救援头盔边沿应无明显变形；硬质附件须保持功能完好； 反光材料表面无炭化、脱落现象。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43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电绝缘性能：帽壳的泄漏电流不应大于3mA。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43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侧向刚性：帽壳的最大变形不皮大于40mm,卸载后变形不应大于15mm。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1"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43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下颏带抗拉强度：下颏带不应发生断裂、滑脱，其延伸长度不应大于20mm。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5"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43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质量：救援头盔的质量(不包括面罩和披肩等附件)不应大于800g。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43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帽壳顶部设有加强筋，帽箍能灵活方便调整大小，调节范围≥60cm，接触头前额的部分能透气、吸汗；帽托和缓冲层形状应适体，多点式嵌入不移位；多点式下颏带及帽箍可调系统确保佩带舒适稳定，下颌带为无毒和对人体无自然伤害的阻燃材料，宽度≥15mm。防汗带部位均为真皮制成，减震装置由PU泡沫制成，坚固耐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43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帽壳为红色，由高强度的阻燃玻璃纤维或同等材料制成，有通风装置。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43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每顶头盔标配全封闭护目镜，镜片与镜框固定紧密，镜片与镜框不能轻易脱离，镜片抗冲击、不易碎。</w:t>
            </w:r>
          </w:p>
        </w:tc>
      </w:tr>
    </w:tbl>
    <w:p>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b/>
          <w:bCs/>
          <w:sz w:val="24"/>
          <w:szCs w:val="24"/>
        </w:rPr>
      </w:pPr>
    </w:p>
    <w:p>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b/>
          <w:bCs/>
          <w:sz w:val="24"/>
          <w:szCs w:val="24"/>
        </w:rPr>
      </w:pPr>
      <w:r>
        <w:rPr>
          <w:rFonts w:hint="eastAsia" w:ascii="宋体" w:hAnsi="宋体" w:eastAsia="宋体" w:cs="宋体"/>
          <w:b/>
          <w:bCs/>
          <w:sz w:val="24"/>
          <w:szCs w:val="24"/>
        </w:rPr>
        <w:br w:type="page"/>
      </w:r>
    </w:p>
    <w:p>
      <w:pPr>
        <w:keepNext w:val="0"/>
        <w:keepLines w:val="0"/>
        <w:pageBreakBefore w:val="0"/>
        <w:kinsoku/>
        <w:wordWrap/>
        <w:overflowPunct/>
        <w:topLinePunct w:val="0"/>
        <w:autoSpaceDE/>
        <w:autoSpaceDN/>
        <w:bidi w:val="0"/>
        <w:adjustRightInd/>
        <w:snapToGrid/>
        <w:spacing w:line="360" w:lineRule="auto"/>
        <w:outlineLvl w:val="0"/>
        <w:rPr>
          <w:rFonts w:hint="eastAsia" w:ascii="宋体" w:hAnsi="宋体" w:eastAsia="宋体" w:cs="宋体"/>
          <w:b/>
          <w:bCs/>
          <w:sz w:val="24"/>
          <w:szCs w:val="24"/>
        </w:rPr>
      </w:pPr>
      <w:bookmarkStart w:id="28" w:name="_Toc17696"/>
      <w:bookmarkStart w:id="29" w:name="_Toc9939"/>
      <w:r>
        <w:rPr>
          <w:rFonts w:hint="eastAsia" w:ascii="宋体" w:hAnsi="宋体" w:eastAsia="宋体" w:cs="宋体"/>
          <w:b/>
          <w:bCs/>
          <w:sz w:val="24"/>
          <w:szCs w:val="24"/>
        </w:rPr>
        <w:t>第14包：消防员抢险救援手套</w:t>
      </w:r>
      <w:bookmarkEnd w:id="28"/>
      <w:bookmarkEnd w:id="29"/>
    </w:p>
    <w:tbl>
      <w:tblPr>
        <w:tblStyle w:val="58"/>
        <w:tblW w:w="8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8"/>
        <w:gridCol w:w="3651"/>
        <w:gridCol w:w="2288"/>
        <w:gridCol w:w="20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5" w:type="dxa"/>
            <w:noWrap w:val="0"/>
            <w:vAlign w:val="center"/>
          </w:tcPr>
          <w:p>
            <w:pPr>
              <w:keepNext w:val="0"/>
              <w:keepLines w:val="0"/>
              <w:pageBreakBefore w:val="0"/>
              <w:kinsoku/>
              <w:wordWrap/>
              <w:overflowPunct/>
              <w:topLinePunct w:val="0"/>
              <w:autoSpaceDE/>
              <w:autoSpaceDN/>
              <w:bidi w:val="0"/>
              <w:adjustRightInd/>
              <w:snapToGrid/>
              <w:spacing w:line="360" w:lineRule="auto"/>
              <w:jc w:val="center"/>
              <w:outlineLvl w:val="2"/>
              <w:rPr>
                <w:rFonts w:hint="eastAsia" w:ascii="宋体" w:hAnsi="宋体" w:eastAsia="宋体" w:cs="宋体"/>
                <w:b/>
                <w:bCs/>
                <w:sz w:val="24"/>
                <w:szCs w:val="24"/>
              </w:rPr>
            </w:pPr>
            <w:r>
              <w:rPr>
                <w:rFonts w:hint="eastAsia" w:ascii="宋体" w:hAnsi="宋体" w:eastAsia="宋体" w:cs="宋体"/>
                <w:b/>
                <w:bCs/>
                <w:sz w:val="24"/>
                <w:szCs w:val="24"/>
              </w:rPr>
              <w:t>序号</w:t>
            </w:r>
          </w:p>
        </w:tc>
        <w:tc>
          <w:tcPr>
            <w:tcW w:w="3638" w:type="dxa"/>
            <w:noWrap w:val="0"/>
            <w:vAlign w:val="center"/>
          </w:tcPr>
          <w:p>
            <w:pPr>
              <w:keepNext w:val="0"/>
              <w:keepLines w:val="0"/>
              <w:pageBreakBefore w:val="0"/>
              <w:kinsoku/>
              <w:wordWrap/>
              <w:overflowPunct/>
              <w:topLinePunct w:val="0"/>
              <w:autoSpaceDE/>
              <w:autoSpaceDN/>
              <w:bidi w:val="0"/>
              <w:adjustRightInd/>
              <w:snapToGrid/>
              <w:spacing w:line="360" w:lineRule="auto"/>
              <w:jc w:val="center"/>
              <w:outlineLvl w:val="2"/>
              <w:rPr>
                <w:rFonts w:hint="eastAsia" w:ascii="宋体" w:hAnsi="宋体" w:eastAsia="宋体" w:cs="宋体"/>
                <w:b/>
                <w:bCs/>
                <w:sz w:val="24"/>
                <w:szCs w:val="24"/>
              </w:rPr>
            </w:pPr>
            <w:r>
              <w:rPr>
                <w:rFonts w:hint="eastAsia" w:ascii="宋体" w:hAnsi="宋体" w:eastAsia="宋体" w:cs="宋体"/>
                <w:b/>
                <w:bCs/>
                <w:sz w:val="24"/>
                <w:szCs w:val="24"/>
              </w:rPr>
              <w:t>货物名称</w:t>
            </w:r>
          </w:p>
        </w:tc>
        <w:tc>
          <w:tcPr>
            <w:tcW w:w="2280" w:type="dxa"/>
            <w:noWrap w:val="0"/>
            <w:vAlign w:val="center"/>
          </w:tcPr>
          <w:p>
            <w:pPr>
              <w:keepNext w:val="0"/>
              <w:keepLines w:val="0"/>
              <w:pageBreakBefore w:val="0"/>
              <w:kinsoku/>
              <w:wordWrap/>
              <w:overflowPunct/>
              <w:topLinePunct w:val="0"/>
              <w:autoSpaceDE/>
              <w:autoSpaceDN/>
              <w:bidi w:val="0"/>
              <w:adjustRightInd/>
              <w:snapToGrid/>
              <w:spacing w:line="360" w:lineRule="auto"/>
              <w:jc w:val="center"/>
              <w:outlineLvl w:val="2"/>
              <w:rPr>
                <w:rFonts w:hint="eastAsia" w:ascii="宋体" w:hAnsi="宋体" w:eastAsia="宋体" w:cs="宋体"/>
                <w:b/>
                <w:bCs/>
                <w:sz w:val="24"/>
                <w:szCs w:val="24"/>
              </w:rPr>
            </w:pPr>
            <w:r>
              <w:rPr>
                <w:rFonts w:hint="eastAsia" w:ascii="宋体" w:hAnsi="宋体" w:eastAsia="宋体" w:cs="宋体"/>
                <w:b/>
                <w:bCs/>
                <w:sz w:val="24"/>
                <w:szCs w:val="24"/>
              </w:rPr>
              <w:t>数量</w:t>
            </w:r>
          </w:p>
        </w:tc>
        <w:tc>
          <w:tcPr>
            <w:tcW w:w="2090" w:type="dxa"/>
            <w:noWrap w:val="0"/>
            <w:vAlign w:val="center"/>
          </w:tcPr>
          <w:p>
            <w:pPr>
              <w:keepNext w:val="0"/>
              <w:keepLines w:val="0"/>
              <w:pageBreakBefore w:val="0"/>
              <w:kinsoku/>
              <w:wordWrap/>
              <w:overflowPunct/>
              <w:topLinePunct w:val="0"/>
              <w:autoSpaceDE/>
              <w:autoSpaceDN/>
              <w:bidi w:val="0"/>
              <w:adjustRightInd/>
              <w:snapToGrid/>
              <w:spacing w:line="360" w:lineRule="auto"/>
              <w:jc w:val="center"/>
              <w:outlineLvl w:val="2"/>
              <w:rPr>
                <w:rFonts w:hint="eastAsia" w:ascii="宋体" w:hAnsi="宋体" w:eastAsia="宋体" w:cs="宋体"/>
                <w:b/>
                <w:bCs/>
                <w:sz w:val="24"/>
                <w:szCs w:val="24"/>
              </w:rPr>
            </w:pPr>
            <w:r>
              <w:rPr>
                <w:rFonts w:hint="eastAsia" w:ascii="宋体" w:hAnsi="宋体" w:eastAsia="宋体" w:cs="宋体"/>
                <w:b/>
                <w:bCs/>
                <w:sz w:val="24"/>
                <w:szCs w:val="24"/>
              </w:rPr>
              <w:t>所属行业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5"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sz w:val="24"/>
                <w:szCs w:val="24"/>
              </w:rPr>
            </w:pPr>
            <w:r>
              <w:rPr>
                <w:rFonts w:hint="eastAsia" w:ascii="宋体" w:hAnsi="宋体" w:eastAsia="宋体" w:cs="宋体"/>
                <w:b/>
                <w:bCs/>
                <w:i w:val="0"/>
                <w:iCs w:val="0"/>
                <w:color w:val="000000"/>
                <w:kern w:val="0"/>
                <w:sz w:val="24"/>
                <w:szCs w:val="24"/>
                <w:u w:val="none"/>
                <w:lang w:val="en-US" w:eastAsia="zh-CN" w:bidi="ar"/>
              </w:rPr>
              <w:t>1</w:t>
            </w:r>
          </w:p>
        </w:tc>
        <w:tc>
          <w:tcPr>
            <w:tcW w:w="3638"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sz w:val="24"/>
                <w:szCs w:val="24"/>
              </w:rPr>
            </w:pPr>
            <w:r>
              <w:rPr>
                <w:rFonts w:hint="eastAsia" w:ascii="宋体" w:hAnsi="宋体" w:eastAsia="宋体" w:cs="宋体"/>
                <w:i w:val="0"/>
                <w:iCs w:val="0"/>
                <w:color w:val="000000"/>
                <w:kern w:val="0"/>
                <w:sz w:val="24"/>
                <w:szCs w:val="24"/>
                <w:u w:val="none"/>
                <w:lang w:val="en-US" w:eastAsia="zh-CN" w:bidi="ar"/>
              </w:rPr>
              <w:t>▲消防员抢险救援手套</w:t>
            </w:r>
          </w:p>
        </w:tc>
        <w:tc>
          <w:tcPr>
            <w:tcW w:w="2280"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仿宋_GB2312" w:cs="宋体"/>
                <w:b/>
                <w:bCs/>
                <w:sz w:val="24"/>
                <w:szCs w:val="24"/>
                <w:lang w:val="en-US" w:eastAsia="zh-CN"/>
              </w:rPr>
            </w:pPr>
            <w:r>
              <w:rPr>
                <w:rFonts w:hint="eastAsia" w:ascii="宋体" w:hAnsi="宋体" w:eastAsia="宋体" w:cs="宋体"/>
                <w:b/>
                <w:bCs/>
                <w:i w:val="0"/>
                <w:iCs w:val="0"/>
                <w:color w:val="000000"/>
                <w:kern w:val="0"/>
                <w:sz w:val="24"/>
                <w:szCs w:val="24"/>
                <w:u w:val="none"/>
                <w:lang w:val="en-US" w:eastAsia="zh-CN" w:bidi="ar"/>
              </w:rPr>
              <w:t>13542</w:t>
            </w:r>
            <w:r>
              <w:rPr>
                <w:rFonts w:hint="eastAsia" w:ascii="宋体" w:hAnsi="宋体" w:eastAsia="宋体" w:cs="宋体"/>
                <w:b/>
                <w:bCs/>
                <w:color w:val="000000"/>
                <w:kern w:val="0"/>
                <w:sz w:val="24"/>
                <w:szCs w:val="24"/>
                <w:u w:val="none"/>
                <w:lang w:val="en-US" w:eastAsia="zh-CN" w:bidi="ar"/>
              </w:rPr>
              <w:t>副</w:t>
            </w:r>
          </w:p>
        </w:tc>
        <w:tc>
          <w:tcPr>
            <w:tcW w:w="2090"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8933" w:type="dxa"/>
            <w:gridSpan w:val="4"/>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本包需提供样品</w:t>
            </w:r>
            <w:r>
              <w:rPr>
                <w:rFonts w:hint="eastAsia" w:ascii="宋体" w:hAnsi="宋体" w:eastAsia="宋体" w:cs="宋体"/>
                <w:b w:val="0"/>
                <w:bCs w:val="0"/>
                <w:i w:val="0"/>
                <w:iCs w:val="0"/>
                <w:color w:val="000000"/>
                <w:kern w:val="0"/>
                <w:sz w:val="24"/>
                <w:szCs w:val="24"/>
                <w:u w:val="none"/>
                <w:lang w:val="en-US" w:eastAsia="zh-CN" w:bidi="ar"/>
              </w:rPr>
              <w:t>1</w:t>
            </w:r>
            <w:r>
              <w:rPr>
                <w:rFonts w:hint="default" w:ascii="宋体" w:hAnsi="宋体" w:eastAsia="宋体" w:cs="宋体"/>
                <w:b w:val="0"/>
                <w:bCs w:val="0"/>
                <w:sz w:val="24"/>
                <w:szCs w:val="24"/>
                <w:lang w:val="en-US" w:eastAsia="zh-CN"/>
              </w:rPr>
              <w:t>副</w:t>
            </w:r>
          </w:p>
        </w:tc>
      </w:tr>
    </w:tbl>
    <w:tbl>
      <w:tblPr>
        <w:tblStyle w:val="57"/>
        <w:tblW w:w="896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83"/>
        <w:gridCol w:w="1179"/>
        <w:gridCol w:w="972"/>
        <w:gridCol w:w="603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jc w:val="center"/>
        </w:trPr>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序号</w:t>
            </w:r>
          </w:p>
        </w:tc>
        <w:tc>
          <w:tcPr>
            <w:tcW w:w="11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重要性</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指标项</w:t>
            </w:r>
          </w:p>
        </w:tc>
        <w:tc>
          <w:tcPr>
            <w:tcW w:w="58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技术参数及要求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jc w:val="center"/>
        </w:trPr>
        <w:tc>
          <w:tcPr>
            <w:tcW w:w="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1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技术标准</w:t>
            </w:r>
          </w:p>
        </w:tc>
        <w:tc>
          <w:tcPr>
            <w:tcW w:w="58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技术性能符合《消防员抢险救援防护服装》XF633的要求。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jc w:val="center"/>
        </w:trPr>
        <w:tc>
          <w:tcPr>
            <w:tcW w:w="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11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58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有灵巧舒适、防割、耐磨、防火阻燃、抗菌除臭、防水等功能。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jc w:val="center"/>
        </w:trPr>
        <w:tc>
          <w:tcPr>
            <w:tcW w:w="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11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58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手掌部位有阻燃层，手背关节处有防护层，双松紧袖口。</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5" w:hRule="atLeast"/>
          <w:jc w:val="center"/>
        </w:trPr>
        <w:tc>
          <w:tcPr>
            <w:tcW w:w="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11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58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手背由间位芳纶和对位芳纶混织布，手掌位超细纤维增强皮革；手掌内层由对位芳纶与高强纤维混织布；补强位置材料为对位芳纶与超强尼龙混织梭织布。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jc w:val="center"/>
        </w:trPr>
        <w:tc>
          <w:tcPr>
            <w:tcW w:w="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11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58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阻燃性能：损毁长度不应大于100mm，续燃时间不应大于2s，且不应有熔融、滴落现象。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11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58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热稳定性能：整个救援手套试样和舒适层在（180±5）℃试验温度下保持5min,试样表面应无明显变化，且不应有 熔融、熔滴和剥离现象，其在长度和宽度方向上的收缩率不应大于5%。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85" w:hRule="atLeast"/>
          <w:jc w:val="center"/>
        </w:trPr>
        <w:tc>
          <w:tcPr>
            <w:tcW w:w="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11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58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耐磨性能：本体掌心面组合材料表面加上基材为300g/m2，粒度为100目的砂纸，在9kPa的压力下，经8000次循环摩擦后，试样不应被磨穿。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jc w:val="center"/>
        </w:trPr>
        <w:tc>
          <w:tcPr>
            <w:tcW w:w="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11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58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抗切割性能：割破力不应小于4N。若手套带有袖筒，则还应对袖筒进行试验，以各部分材料的最小割破力确定性能。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55" w:hRule="atLeast"/>
          <w:jc w:val="center"/>
        </w:trPr>
        <w:tc>
          <w:tcPr>
            <w:tcW w:w="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c>
          <w:tcPr>
            <w:tcW w:w="11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58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耐撕破性能：本体掌心面和背面外层材料的撕破强力不应小于50N。当两者材料相同时，可只对掌心面外层材料进行试验。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jc w:val="center"/>
        </w:trPr>
        <w:tc>
          <w:tcPr>
            <w:tcW w:w="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11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58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抗机械刺穿性能：本体组合材料抗刺穿力不应小于45N。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7" w:hRule="atLeast"/>
          <w:jc w:val="center"/>
        </w:trPr>
        <w:tc>
          <w:tcPr>
            <w:tcW w:w="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w:t>
            </w:r>
          </w:p>
        </w:tc>
        <w:tc>
          <w:tcPr>
            <w:tcW w:w="11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58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整体防水性能：在进行整体防水性能试验后应无渗漏现象。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0" w:hRule="atLeast"/>
          <w:jc w:val="center"/>
        </w:trPr>
        <w:tc>
          <w:tcPr>
            <w:tcW w:w="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w:t>
            </w:r>
          </w:p>
        </w:tc>
        <w:tc>
          <w:tcPr>
            <w:tcW w:w="11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58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灵巧性能：救援手套的徒手控制百分比不应大于200%。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w:t>
            </w:r>
          </w:p>
        </w:tc>
        <w:tc>
          <w:tcPr>
            <w:tcW w:w="11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58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抓握性能：戴手套与未戴手套的拉重力比不应小于80%。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0" w:hRule="atLeast"/>
          <w:jc w:val="center"/>
        </w:trPr>
        <w:tc>
          <w:tcPr>
            <w:tcW w:w="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w:t>
            </w:r>
          </w:p>
        </w:tc>
        <w:tc>
          <w:tcPr>
            <w:tcW w:w="11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58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穿戴性能：救援手套的穿戴时间不应大于25s。</w:t>
            </w:r>
          </w:p>
        </w:tc>
      </w:tr>
    </w:tbl>
    <w:p>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b/>
          <w:bCs/>
          <w:sz w:val="24"/>
          <w:szCs w:val="24"/>
        </w:rPr>
      </w:pPr>
    </w:p>
    <w:p>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b/>
          <w:bCs/>
          <w:sz w:val="24"/>
          <w:szCs w:val="24"/>
        </w:rPr>
      </w:pPr>
      <w:r>
        <w:rPr>
          <w:rFonts w:hint="eastAsia" w:ascii="宋体" w:hAnsi="宋体" w:eastAsia="宋体" w:cs="宋体"/>
          <w:b/>
          <w:bCs/>
          <w:sz w:val="24"/>
          <w:szCs w:val="24"/>
        </w:rPr>
        <w:br w:type="page"/>
      </w:r>
    </w:p>
    <w:p>
      <w:pPr>
        <w:keepNext w:val="0"/>
        <w:keepLines w:val="0"/>
        <w:pageBreakBefore w:val="0"/>
        <w:kinsoku/>
        <w:wordWrap/>
        <w:overflowPunct/>
        <w:topLinePunct w:val="0"/>
        <w:autoSpaceDE/>
        <w:autoSpaceDN/>
        <w:bidi w:val="0"/>
        <w:adjustRightInd/>
        <w:snapToGrid/>
        <w:spacing w:line="360" w:lineRule="auto"/>
        <w:outlineLvl w:val="0"/>
        <w:rPr>
          <w:rFonts w:hint="eastAsia" w:ascii="宋体" w:hAnsi="宋体" w:eastAsia="宋体" w:cs="宋体"/>
          <w:b/>
          <w:bCs/>
          <w:sz w:val="24"/>
          <w:szCs w:val="24"/>
        </w:rPr>
      </w:pPr>
      <w:bookmarkStart w:id="30" w:name="_Toc19042"/>
      <w:bookmarkStart w:id="31" w:name="_Toc9331"/>
      <w:r>
        <w:rPr>
          <w:rFonts w:hint="eastAsia" w:ascii="宋体" w:hAnsi="宋体" w:eastAsia="宋体" w:cs="宋体"/>
          <w:b/>
          <w:bCs/>
          <w:sz w:val="24"/>
          <w:szCs w:val="24"/>
        </w:rPr>
        <w:t>第15包：</w:t>
      </w:r>
      <w:r>
        <w:rPr>
          <w:rFonts w:hint="eastAsia" w:ascii="宋体" w:hAnsi="宋体" w:eastAsia="宋体" w:cs="宋体"/>
          <w:b/>
          <w:bCs/>
          <w:sz w:val="24"/>
          <w:szCs w:val="24"/>
          <w:lang w:val="en-US" w:eastAsia="zh-CN"/>
        </w:rPr>
        <w:t>消防员抢险救援防护服（夏款）</w:t>
      </w:r>
      <w:bookmarkEnd w:id="30"/>
      <w:bookmarkEnd w:id="31"/>
    </w:p>
    <w:tbl>
      <w:tblPr>
        <w:tblStyle w:val="58"/>
        <w:tblW w:w="91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4"/>
        <w:gridCol w:w="3712"/>
        <w:gridCol w:w="2326"/>
        <w:gridCol w:w="21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5" w:type="dxa"/>
            <w:noWrap w:val="0"/>
            <w:vAlign w:val="center"/>
          </w:tcPr>
          <w:p>
            <w:pPr>
              <w:keepNext w:val="0"/>
              <w:keepLines w:val="0"/>
              <w:pageBreakBefore w:val="0"/>
              <w:kinsoku/>
              <w:wordWrap/>
              <w:overflowPunct/>
              <w:topLinePunct w:val="0"/>
              <w:autoSpaceDE/>
              <w:autoSpaceDN/>
              <w:bidi w:val="0"/>
              <w:adjustRightInd/>
              <w:snapToGrid/>
              <w:spacing w:line="360" w:lineRule="auto"/>
              <w:jc w:val="center"/>
              <w:outlineLvl w:val="2"/>
              <w:rPr>
                <w:rFonts w:hint="eastAsia" w:ascii="宋体" w:hAnsi="宋体" w:eastAsia="宋体" w:cs="宋体"/>
                <w:b/>
                <w:bCs/>
                <w:sz w:val="24"/>
                <w:szCs w:val="24"/>
              </w:rPr>
            </w:pPr>
            <w:r>
              <w:rPr>
                <w:rFonts w:hint="eastAsia" w:ascii="宋体" w:hAnsi="宋体" w:eastAsia="宋体" w:cs="宋体"/>
                <w:b/>
                <w:bCs/>
                <w:sz w:val="24"/>
                <w:szCs w:val="24"/>
              </w:rPr>
              <w:t>序号</w:t>
            </w:r>
          </w:p>
        </w:tc>
        <w:tc>
          <w:tcPr>
            <w:tcW w:w="3638" w:type="dxa"/>
            <w:noWrap w:val="0"/>
            <w:vAlign w:val="center"/>
          </w:tcPr>
          <w:p>
            <w:pPr>
              <w:keepNext w:val="0"/>
              <w:keepLines w:val="0"/>
              <w:pageBreakBefore w:val="0"/>
              <w:kinsoku/>
              <w:wordWrap/>
              <w:overflowPunct/>
              <w:topLinePunct w:val="0"/>
              <w:autoSpaceDE/>
              <w:autoSpaceDN/>
              <w:bidi w:val="0"/>
              <w:adjustRightInd/>
              <w:snapToGrid/>
              <w:spacing w:line="360" w:lineRule="auto"/>
              <w:jc w:val="center"/>
              <w:outlineLvl w:val="2"/>
              <w:rPr>
                <w:rFonts w:hint="eastAsia" w:ascii="宋体" w:hAnsi="宋体" w:eastAsia="宋体" w:cs="宋体"/>
                <w:b/>
                <w:bCs/>
                <w:sz w:val="24"/>
                <w:szCs w:val="24"/>
              </w:rPr>
            </w:pPr>
            <w:r>
              <w:rPr>
                <w:rFonts w:hint="eastAsia" w:ascii="宋体" w:hAnsi="宋体" w:eastAsia="宋体" w:cs="宋体"/>
                <w:b/>
                <w:bCs/>
                <w:sz w:val="24"/>
                <w:szCs w:val="24"/>
              </w:rPr>
              <w:t>货物名称</w:t>
            </w:r>
          </w:p>
        </w:tc>
        <w:tc>
          <w:tcPr>
            <w:tcW w:w="2280" w:type="dxa"/>
            <w:noWrap w:val="0"/>
            <w:vAlign w:val="center"/>
          </w:tcPr>
          <w:p>
            <w:pPr>
              <w:keepNext w:val="0"/>
              <w:keepLines w:val="0"/>
              <w:pageBreakBefore w:val="0"/>
              <w:kinsoku/>
              <w:wordWrap/>
              <w:overflowPunct/>
              <w:topLinePunct w:val="0"/>
              <w:autoSpaceDE/>
              <w:autoSpaceDN/>
              <w:bidi w:val="0"/>
              <w:adjustRightInd/>
              <w:snapToGrid/>
              <w:spacing w:line="360" w:lineRule="auto"/>
              <w:jc w:val="center"/>
              <w:outlineLvl w:val="2"/>
              <w:rPr>
                <w:rFonts w:hint="eastAsia" w:ascii="宋体" w:hAnsi="宋体" w:eastAsia="宋体" w:cs="宋体"/>
                <w:b/>
                <w:bCs/>
                <w:sz w:val="24"/>
                <w:szCs w:val="24"/>
              </w:rPr>
            </w:pPr>
            <w:r>
              <w:rPr>
                <w:rFonts w:hint="eastAsia" w:ascii="宋体" w:hAnsi="宋体" w:eastAsia="宋体" w:cs="宋体"/>
                <w:b/>
                <w:bCs/>
                <w:sz w:val="24"/>
                <w:szCs w:val="24"/>
              </w:rPr>
              <w:t>数量</w:t>
            </w:r>
          </w:p>
        </w:tc>
        <w:tc>
          <w:tcPr>
            <w:tcW w:w="2090" w:type="dxa"/>
            <w:noWrap w:val="0"/>
            <w:vAlign w:val="center"/>
          </w:tcPr>
          <w:p>
            <w:pPr>
              <w:keepNext w:val="0"/>
              <w:keepLines w:val="0"/>
              <w:pageBreakBefore w:val="0"/>
              <w:kinsoku/>
              <w:wordWrap/>
              <w:overflowPunct/>
              <w:topLinePunct w:val="0"/>
              <w:autoSpaceDE/>
              <w:autoSpaceDN/>
              <w:bidi w:val="0"/>
              <w:adjustRightInd/>
              <w:snapToGrid/>
              <w:spacing w:line="360" w:lineRule="auto"/>
              <w:jc w:val="center"/>
              <w:outlineLvl w:val="2"/>
              <w:rPr>
                <w:rFonts w:hint="eastAsia" w:ascii="宋体" w:hAnsi="宋体" w:eastAsia="宋体" w:cs="宋体"/>
                <w:b/>
                <w:bCs/>
                <w:sz w:val="24"/>
                <w:szCs w:val="24"/>
              </w:rPr>
            </w:pPr>
            <w:r>
              <w:rPr>
                <w:rFonts w:hint="eastAsia" w:ascii="宋体" w:hAnsi="宋体" w:eastAsia="宋体" w:cs="宋体"/>
                <w:b/>
                <w:bCs/>
                <w:sz w:val="24"/>
                <w:szCs w:val="24"/>
              </w:rPr>
              <w:t>所属行业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5"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sz w:val="24"/>
                <w:szCs w:val="24"/>
              </w:rPr>
            </w:pPr>
            <w:r>
              <w:rPr>
                <w:rFonts w:hint="eastAsia" w:ascii="宋体" w:hAnsi="宋体" w:eastAsia="宋体" w:cs="宋体"/>
                <w:b/>
                <w:bCs/>
                <w:i w:val="0"/>
                <w:iCs w:val="0"/>
                <w:color w:val="000000"/>
                <w:kern w:val="0"/>
                <w:sz w:val="24"/>
                <w:szCs w:val="24"/>
                <w:u w:val="none"/>
                <w:lang w:val="en-US" w:eastAsia="zh-CN" w:bidi="ar"/>
              </w:rPr>
              <w:t>1</w:t>
            </w:r>
          </w:p>
        </w:tc>
        <w:tc>
          <w:tcPr>
            <w:tcW w:w="3638"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sz w:val="24"/>
                <w:szCs w:val="24"/>
              </w:rPr>
            </w:pPr>
            <w:r>
              <w:rPr>
                <w:rFonts w:hint="eastAsia" w:ascii="宋体" w:hAnsi="宋体" w:eastAsia="宋体" w:cs="宋体"/>
                <w:i w:val="0"/>
                <w:iCs w:val="0"/>
                <w:color w:val="000000"/>
                <w:kern w:val="0"/>
                <w:sz w:val="24"/>
                <w:szCs w:val="24"/>
                <w:u w:val="none"/>
                <w:lang w:val="en-US" w:eastAsia="zh-CN" w:bidi="ar"/>
              </w:rPr>
              <w:t>▲消防员抢险救援防护服（夏款）</w:t>
            </w:r>
          </w:p>
        </w:tc>
        <w:tc>
          <w:tcPr>
            <w:tcW w:w="2280"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仿宋_GB2312" w:cs="宋体"/>
                <w:b/>
                <w:bCs/>
                <w:sz w:val="24"/>
                <w:szCs w:val="24"/>
                <w:lang w:val="en-US" w:eastAsia="zh-CN"/>
              </w:rPr>
            </w:pPr>
            <w:r>
              <w:rPr>
                <w:rFonts w:hint="eastAsia" w:ascii="宋体" w:hAnsi="宋体" w:eastAsia="宋体" w:cs="宋体"/>
                <w:b/>
                <w:bCs/>
                <w:i w:val="0"/>
                <w:iCs w:val="0"/>
                <w:color w:val="000000"/>
                <w:kern w:val="0"/>
                <w:sz w:val="24"/>
                <w:szCs w:val="24"/>
                <w:u w:val="none"/>
                <w:lang w:val="en-US" w:eastAsia="zh-CN" w:bidi="ar"/>
              </w:rPr>
              <w:t>2404</w:t>
            </w:r>
            <w:r>
              <w:rPr>
                <w:rFonts w:hint="eastAsia" w:ascii="宋体" w:hAnsi="宋体" w:eastAsia="宋体" w:cs="宋体"/>
                <w:b/>
                <w:bCs/>
                <w:color w:val="000000"/>
                <w:kern w:val="0"/>
                <w:sz w:val="24"/>
                <w:szCs w:val="24"/>
                <w:u w:val="none"/>
                <w:lang w:val="en-US" w:eastAsia="zh-CN" w:bidi="ar"/>
              </w:rPr>
              <w:t>套</w:t>
            </w:r>
          </w:p>
        </w:tc>
        <w:tc>
          <w:tcPr>
            <w:tcW w:w="2090"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8933" w:type="dxa"/>
            <w:gridSpan w:val="4"/>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本包需提供样品1套</w:t>
            </w:r>
          </w:p>
        </w:tc>
      </w:tr>
    </w:tbl>
    <w:tbl>
      <w:tblPr>
        <w:tblStyle w:val="57"/>
        <w:tblW w:w="911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67"/>
        <w:gridCol w:w="1092"/>
        <w:gridCol w:w="1159"/>
        <w:gridCol w:w="609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jc w:val="center"/>
        </w:trPr>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序号</w:t>
            </w:r>
          </w:p>
        </w:tc>
        <w:tc>
          <w:tcPr>
            <w:tcW w:w="10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重要性</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指标项</w:t>
            </w:r>
          </w:p>
        </w:tc>
        <w:tc>
          <w:tcPr>
            <w:tcW w:w="59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技术参数及要求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技术标准</w:t>
            </w:r>
          </w:p>
        </w:tc>
        <w:tc>
          <w:tcPr>
            <w:tcW w:w="5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 技术性能符合《消防员抢险救援防护服装》XF633的要求。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5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用于抢险救援作业时身体保护。</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25" w:hRule="atLeast"/>
          <w:jc w:val="center"/>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5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采用单层织物，为原液染色芳纶、阻燃粘胶纤维交织而成的双重组织，外表面颜色为部局最新统型要求颜色，色差ΔE＜3.5。具有外侧面抗湿、内侧面吸湿排汗、防静电、阻燃、轻便、抗拉力强等性能。抢险救援服包括：上衣、裤子、行军帽和腰带。款式外观须与部局统型要求相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75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106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13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595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2、防护性能：防护性能应符合下列要求。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（1）阻燃性能：面料与肩部、膝部、臀部、肘部等部位的加强材料经过25次洗涤后进行阻燃性能试验，损毁长度经纬向均≤50mm，续燃时间0s，且不应有熔融、滴落现象。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jc w:val="center"/>
        </w:trPr>
        <w:tc>
          <w:tcPr>
            <w:tcW w:w="75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000000"/>
                <w:sz w:val="24"/>
                <w:szCs w:val="24"/>
                <w:u w:val="none"/>
              </w:rPr>
            </w:pPr>
          </w:p>
        </w:tc>
        <w:tc>
          <w:tcPr>
            <w:tcW w:w="10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000000"/>
                <w:sz w:val="24"/>
                <w:szCs w:val="24"/>
                <w:u w:val="none"/>
              </w:rPr>
            </w:pPr>
          </w:p>
        </w:tc>
        <w:tc>
          <w:tcPr>
            <w:tcW w:w="113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i w:val="0"/>
                <w:iCs w:val="0"/>
                <w:color w:val="000000"/>
                <w:sz w:val="24"/>
                <w:szCs w:val="24"/>
                <w:u w:val="none"/>
              </w:rPr>
            </w:pPr>
          </w:p>
        </w:tc>
        <w:tc>
          <w:tcPr>
            <w:tcW w:w="59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auto"/>
              <w:jc w:val="both"/>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5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（2）表面抗湿性能：面料洗涤5次后，沾水等级≥3级。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5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（3）断裂强力：面料经、纬向断裂强力≥850N。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5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（4）撕破强力：面料经、纬向撕破强力≥150N。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55" w:hRule="atLeast"/>
          <w:jc w:val="center"/>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5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（5）热稳定性能：经（180±5）℃热稳定性能试验后，面料与肩部、膝部、臀部、肘部等部位的加强材料沿经、纬方向尺寸变化率≤10%，且试样表面应无明显变化。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5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（6）单位面积质量偏差：面料单位面积质量偏差不应超过±5%。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5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（7）色牢度：面料的耐水摩擦色牢度、耐洗沾色牢度、耐光色牢度≥4级。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5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（8）色差：前领与前身、袖与前身、袋与前身、左右前身及其它表面部位的色差≥4级。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5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（9）起毛球性能：按照GB/T4802.2-2008测试，≥3级。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5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（10）针距密度：各部位明暗线每3cm≥12针，包缝线每3cm≥9针。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5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（11）接缝断裂强力：外层面料接缝断裂强力≥650N。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5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（12）硬质附件热稳定性能：在温度为（180±5）℃条件下，经5min后，硬质附件应保持其原有功能。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5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（13）缝纫线热稳定性能：在温度为（180±5）℃条件下，经5min后，缝纫线不应有熔融、烧焦的现象。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17</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5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（14）防静电性能：上、下衣的带电量每件分别不应大于0.2μC。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18</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5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（15）质量：按照XF10-2014标准中7.18的规定，选取L尺码（上衣号型175/92A、防护服胸围118、下裤号型175/78A、防护服腰围92）进行测试，防护服总质量≤1.5kg。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jc w:val="center"/>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19</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5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3、款式规格：按照标准和用户需求印制标识，样式符合《20式消防员抢险救援防护服款式标识统型要求》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jc w:val="center"/>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5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整衣缝纫走线整齐，无明显跳线、断线痕迹；整衣外观整洁，整衣平整无褶皱、无多余线头及毛刺。</w:t>
            </w:r>
          </w:p>
        </w:tc>
      </w:tr>
    </w:tbl>
    <w:p>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b/>
          <w:bCs/>
          <w:sz w:val="24"/>
          <w:szCs w:val="24"/>
        </w:rPr>
      </w:pPr>
    </w:p>
    <w:p>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b/>
          <w:bCs/>
          <w:sz w:val="24"/>
          <w:szCs w:val="24"/>
        </w:rPr>
      </w:pPr>
      <w:r>
        <w:rPr>
          <w:rFonts w:hint="eastAsia" w:ascii="宋体" w:hAnsi="宋体" w:eastAsia="宋体" w:cs="宋体"/>
          <w:b/>
          <w:bCs/>
          <w:sz w:val="24"/>
          <w:szCs w:val="24"/>
        </w:rPr>
        <w:br w:type="page"/>
      </w:r>
    </w:p>
    <w:p>
      <w:pPr>
        <w:keepNext w:val="0"/>
        <w:keepLines w:val="0"/>
        <w:pageBreakBefore w:val="0"/>
        <w:kinsoku/>
        <w:wordWrap/>
        <w:overflowPunct/>
        <w:topLinePunct w:val="0"/>
        <w:autoSpaceDE/>
        <w:autoSpaceDN/>
        <w:bidi w:val="0"/>
        <w:adjustRightInd/>
        <w:snapToGrid/>
        <w:spacing w:line="360" w:lineRule="auto"/>
        <w:outlineLvl w:val="0"/>
        <w:rPr>
          <w:rFonts w:hint="eastAsia" w:ascii="宋体" w:hAnsi="宋体" w:eastAsia="宋体" w:cs="宋体"/>
          <w:b/>
          <w:bCs/>
          <w:sz w:val="24"/>
          <w:szCs w:val="24"/>
        </w:rPr>
      </w:pPr>
      <w:bookmarkStart w:id="32" w:name="_Toc16691"/>
      <w:bookmarkStart w:id="33" w:name="_Toc23729"/>
      <w:r>
        <w:rPr>
          <w:rFonts w:hint="eastAsia" w:ascii="宋体" w:hAnsi="宋体" w:eastAsia="宋体" w:cs="宋体"/>
          <w:b/>
          <w:bCs/>
          <w:sz w:val="24"/>
          <w:szCs w:val="24"/>
        </w:rPr>
        <w:t>第16包：</w:t>
      </w:r>
      <w:r>
        <w:rPr>
          <w:rFonts w:hint="eastAsia" w:ascii="宋体" w:hAnsi="宋体" w:eastAsia="宋体" w:cs="宋体"/>
          <w:b/>
          <w:bCs/>
          <w:sz w:val="24"/>
          <w:szCs w:val="24"/>
          <w:lang w:val="en-US" w:eastAsia="zh-CN"/>
        </w:rPr>
        <w:t>消防员抢险救援防护服（冬款）</w:t>
      </w:r>
      <w:bookmarkEnd w:id="32"/>
      <w:bookmarkEnd w:id="33"/>
    </w:p>
    <w:tbl>
      <w:tblPr>
        <w:tblStyle w:val="58"/>
        <w:tblW w:w="89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5"/>
        <w:gridCol w:w="3638"/>
        <w:gridCol w:w="2280"/>
        <w:gridCol w:w="20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5" w:type="dxa"/>
            <w:noWrap w:val="0"/>
            <w:vAlign w:val="center"/>
          </w:tcPr>
          <w:p>
            <w:pPr>
              <w:keepNext w:val="0"/>
              <w:keepLines w:val="0"/>
              <w:pageBreakBefore w:val="0"/>
              <w:kinsoku/>
              <w:wordWrap/>
              <w:overflowPunct/>
              <w:topLinePunct w:val="0"/>
              <w:autoSpaceDE/>
              <w:autoSpaceDN/>
              <w:bidi w:val="0"/>
              <w:adjustRightInd/>
              <w:snapToGrid/>
              <w:spacing w:line="360" w:lineRule="auto"/>
              <w:jc w:val="center"/>
              <w:outlineLvl w:val="2"/>
              <w:rPr>
                <w:rFonts w:hint="eastAsia" w:ascii="宋体" w:hAnsi="宋体" w:eastAsia="宋体" w:cs="宋体"/>
                <w:b/>
                <w:bCs/>
                <w:sz w:val="24"/>
                <w:szCs w:val="24"/>
              </w:rPr>
            </w:pPr>
            <w:r>
              <w:rPr>
                <w:rFonts w:hint="eastAsia" w:ascii="宋体" w:hAnsi="宋体" w:eastAsia="宋体" w:cs="宋体"/>
                <w:b/>
                <w:bCs/>
                <w:sz w:val="24"/>
                <w:szCs w:val="24"/>
              </w:rPr>
              <w:t>序号</w:t>
            </w:r>
          </w:p>
        </w:tc>
        <w:tc>
          <w:tcPr>
            <w:tcW w:w="3638" w:type="dxa"/>
            <w:noWrap w:val="0"/>
            <w:vAlign w:val="center"/>
          </w:tcPr>
          <w:p>
            <w:pPr>
              <w:keepNext w:val="0"/>
              <w:keepLines w:val="0"/>
              <w:pageBreakBefore w:val="0"/>
              <w:kinsoku/>
              <w:wordWrap/>
              <w:overflowPunct/>
              <w:topLinePunct w:val="0"/>
              <w:autoSpaceDE/>
              <w:autoSpaceDN/>
              <w:bidi w:val="0"/>
              <w:adjustRightInd/>
              <w:snapToGrid/>
              <w:spacing w:line="360" w:lineRule="auto"/>
              <w:jc w:val="center"/>
              <w:outlineLvl w:val="2"/>
              <w:rPr>
                <w:rFonts w:hint="eastAsia" w:ascii="宋体" w:hAnsi="宋体" w:eastAsia="宋体" w:cs="宋体"/>
                <w:b/>
                <w:bCs/>
                <w:sz w:val="24"/>
                <w:szCs w:val="24"/>
              </w:rPr>
            </w:pPr>
            <w:r>
              <w:rPr>
                <w:rFonts w:hint="eastAsia" w:ascii="宋体" w:hAnsi="宋体" w:eastAsia="宋体" w:cs="宋体"/>
                <w:b/>
                <w:bCs/>
                <w:sz w:val="24"/>
                <w:szCs w:val="24"/>
              </w:rPr>
              <w:t>货物名称</w:t>
            </w:r>
          </w:p>
        </w:tc>
        <w:tc>
          <w:tcPr>
            <w:tcW w:w="2280" w:type="dxa"/>
            <w:noWrap w:val="0"/>
            <w:vAlign w:val="center"/>
          </w:tcPr>
          <w:p>
            <w:pPr>
              <w:keepNext w:val="0"/>
              <w:keepLines w:val="0"/>
              <w:pageBreakBefore w:val="0"/>
              <w:kinsoku/>
              <w:wordWrap/>
              <w:overflowPunct/>
              <w:topLinePunct w:val="0"/>
              <w:autoSpaceDE/>
              <w:autoSpaceDN/>
              <w:bidi w:val="0"/>
              <w:adjustRightInd/>
              <w:snapToGrid/>
              <w:spacing w:line="360" w:lineRule="auto"/>
              <w:jc w:val="center"/>
              <w:outlineLvl w:val="2"/>
              <w:rPr>
                <w:rFonts w:hint="eastAsia" w:ascii="宋体" w:hAnsi="宋体" w:eastAsia="宋体" w:cs="宋体"/>
                <w:b/>
                <w:bCs/>
                <w:sz w:val="24"/>
                <w:szCs w:val="24"/>
              </w:rPr>
            </w:pPr>
            <w:r>
              <w:rPr>
                <w:rFonts w:hint="eastAsia" w:ascii="宋体" w:hAnsi="宋体" w:eastAsia="宋体" w:cs="宋体"/>
                <w:b/>
                <w:bCs/>
                <w:sz w:val="24"/>
                <w:szCs w:val="24"/>
              </w:rPr>
              <w:t>数量</w:t>
            </w:r>
          </w:p>
        </w:tc>
        <w:tc>
          <w:tcPr>
            <w:tcW w:w="2090" w:type="dxa"/>
            <w:noWrap w:val="0"/>
            <w:vAlign w:val="center"/>
          </w:tcPr>
          <w:p>
            <w:pPr>
              <w:keepNext w:val="0"/>
              <w:keepLines w:val="0"/>
              <w:pageBreakBefore w:val="0"/>
              <w:kinsoku/>
              <w:wordWrap/>
              <w:overflowPunct/>
              <w:topLinePunct w:val="0"/>
              <w:autoSpaceDE/>
              <w:autoSpaceDN/>
              <w:bidi w:val="0"/>
              <w:adjustRightInd/>
              <w:snapToGrid/>
              <w:spacing w:line="360" w:lineRule="auto"/>
              <w:jc w:val="center"/>
              <w:outlineLvl w:val="2"/>
              <w:rPr>
                <w:rFonts w:hint="eastAsia" w:ascii="宋体" w:hAnsi="宋体" w:eastAsia="宋体" w:cs="宋体"/>
                <w:b/>
                <w:bCs/>
                <w:sz w:val="24"/>
                <w:szCs w:val="24"/>
              </w:rPr>
            </w:pPr>
            <w:r>
              <w:rPr>
                <w:rFonts w:hint="eastAsia" w:ascii="宋体" w:hAnsi="宋体" w:eastAsia="宋体" w:cs="宋体"/>
                <w:b/>
                <w:bCs/>
                <w:sz w:val="24"/>
                <w:szCs w:val="24"/>
              </w:rPr>
              <w:t>所属行业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5"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sz w:val="24"/>
                <w:szCs w:val="24"/>
              </w:rPr>
            </w:pPr>
            <w:r>
              <w:rPr>
                <w:rFonts w:hint="eastAsia" w:ascii="宋体" w:hAnsi="宋体" w:eastAsia="宋体" w:cs="宋体"/>
                <w:b/>
                <w:bCs/>
                <w:i w:val="0"/>
                <w:iCs w:val="0"/>
                <w:color w:val="000000"/>
                <w:kern w:val="0"/>
                <w:sz w:val="24"/>
                <w:szCs w:val="24"/>
                <w:u w:val="none"/>
                <w:lang w:val="en-US" w:eastAsia="zh-CN" w:bidi="ar"/>
              </w:rPr>
              <w:t>1</w:t>
            </w:r>
          </w:p>
        </w:tc>
        <w:tc>
          <w:tcPr>
            <w:tcW w:w="3638"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sz w:val="24"/>
                <w:szCs w:val="24"/>
              </w:rPr>
            </w:pPr>
            <w:r>
              <w:rPr>
                <w:rFonts w:hint="eastAsia" w:ascii="宋体" w:hAnsi="宋体" w:eastAsia="宋体" w:cs="宋体"/>
                <w:i w:val="0"/>
                <w:iCs w:val="0"/>
                <w:color w:val="000000"/>
                <w:kern w:val="0"/>
                <w:sz w:val="24"/>
                <w:szCs w:val="24"/>
                <w:u w:val="none"/>
                <w:lang w:val="en-US" w:eastAsia="zh-CN" w:bidi="ar"/>
              </w:rPr>
              <w:t>▲消防员抢险救援防护服（冬款）</w:t>
            </w:r>
          </w:p>
        </w:tc>
        <w:tc>
          <w:tcPr>
            <w:tcW w:w="2280"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sz w:val="24"/>
                <w:szCs w:val="24"/>
              </w:rPr>
            </w:pPr>
            <w:r>
              <w:rPr>
                <w:rFonts w:hint="eastAsia" w:ascii="宋体" w:hAnsi="宋体" w:eastAsia="宋体" w:cs="宋体"/>
                <w:b/>
                <w:bCs/>
                <w:i w:val="0"/>
                <w:iCs w:val="0"/>
                <w:color w:val="000000"/>
                <w:kern w:val="0"/>
                <w:sz w:val="24"/>
                <w:szCs w:val="24"/>
                <w:u w:val="none"/>
                <w:lang w:val="en-US" w:eastAsia="zh-CN" w:bidi="ar"/>
              </w:rPr>
              <w:t>1704</w:t>
            </w:r>
            <w:r>
              <w:rPr>
                <w:rFonts w:hint="eastAsia" w:ascii="宋体" w:hAnsi="宋体" w:eastAsia="宋体" w:cs="宋体"/>
                <w:b/>
                <w:bCs/>
                <w:color w:val="000000"/>
                <w:kern w:val="0"/>
                <w:sz w:val="24"/>
                <w:szCs w:val="24"/>
                <w:u w:val="none"/>
                <w:lang w:val="en-US" w:eastAsia="zh-CN" w:bidi="ar"/>
              </w:rPr>
              <w:t>套</w:t>
            </w:r>
          </w:p>
        </w:tc>
        <w:tc>
          <w:tcPr>
            <w:tcW w:w="2090"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8933" w:type="dxa"/>
            <w:gridSpan w:val="4"/>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本包需提供样品1套</w:t>
            </w:r>
          </w:p>
        </w:tc>
      </w:tr>
    </w:tbl>
    <w:tbl>
      <w:tblPr>
        <w:tblStyle w:val="57"/>
        <w:tblW w:w="893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79"/>
        <w:gridCol w:w="1254"/>
        <w:gridCol w:w="1355"/>
        <w:gridCol w:w="554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序号</w:t>
            </w:r>
          </w:p>
        </w:tc>
        <w:tc>
          <w:tcPr>
            <w:tcW w:w="9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重要性</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指标项</w:t>
            </w:r>
          </w:p>
        </w:tc>
        <w:tc>
          <w:tcPr>
            <w:tcW w:w="43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技术参数及要求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技术标准</w:t>
            </w:r>
          </w:p>
        </w:tc>
        <w:tc>
          <w:tcPr>
            <w:tcW w:w="43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 技术性能符合《消防员抢险救援防护服装》XF633的要求。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43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用于抢险救援作业时身体保护。</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25"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43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采用单层织物，为原液染色芳纶、阻燃粘胶纤维交织而成的双重组织，外表面颜色为部局最新统型要求颜色，色差ΔE＜3.5。具有外侧面抗湿、内侧面吸湿排汗、防静电、阻燃、轻便、抗拉力强等性能。抢险救援服包括：上衣、裤子、行军帽和腰带。款式外观须与部局统型要求相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613"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98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43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2、防护性能：防护性能应符合下列要求。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（1）阻燃性能：面料与肩部、膝部、臀部、肘部等部位的加强材料经过25次洗涤后进行阻燃性能试验，损毁长度经纬向均≤50mm，续燃时间0s，且不应有熔融、滴落现象。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jc w:val="center"/>
        </w:trPr>
        <w:tc>
          <w:tcPr>
            <w:tcW w:w="61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000000"/>
                <w:sz w:val="24"/>
                <w:szCs w:val="24"/>
                <w:u w:val="none"/>
              </w:rPr>
            </w:pPr>
          </w:p>
        </w:tc>
        <w:tc>
          <w:tcPr>
            <w:tcW w:w="9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iCs w:val="0"/>
                <w:color w:val="000000"/>
                <w:sz w:val="24"/>
                <w:szCs w:val="24"/>
                <w:u w:val="none"/>
              </w:rPr>
            </w:pPr>
          </w:p>
        </w:tc>
        <w:tc>
          <w:tcPr>
            <w:tcW w:w="10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i w:val="0"/>
                <w:iCs w:val="0"/>
                <w:color w:val="000000"/>
                <w:sz w:val="24"/>
                <w:szCs w:val="24"/>
                <w:u w:val="none"/>
              </w:rPr>
            </w:pPr>
          </w:p>
        </w:tc>
        <w:tc>
          <w:tcPr>
            <w:tcW w:w="43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auto"/>
              <w:jc w:val="both"/>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55"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43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（2）表面抗湿性能：面料洗涤5次后，沾水等级≥3级。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43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（3）断裂强力：面料经、纬向断裂强力≥850N。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43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（4）撕破强力：面料经、纬向撕破强力≥150N。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43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（5）热稳定性能：经（180±5）℃热稳定性能试验后，面料与肩部、膝部、臀部、肘部等部位的加强材料沿经、纬方向尺寸变化率≤10%，且试样表面应无明显变化。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43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（6）单位面积质量偏差：面料单位面积质量偏差不应超过±5%。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43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（7）色牢度：面料的耐水摩擦色牢度、耐洗沾色牢度、耐光色牢度≥4级。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43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（8）色差：前领与前身、袖与前身、袋与前身、左右前身及其它表面部位的色差≥4级。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43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（9）起毛球性能：按照GB/T4802.2-2008测试，≥3级。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43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（10）针距密度：各部位明暗线每3cm≥12针，包缝线每3cm≥9针。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43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（11）接缝断裂强力：外层面料接缝断裂强力≥650N。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43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（12）硬质附件热稳定性能：在温度为（180±5）℃条件下，经5min后，硬质附件应保持其原有功能。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43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（13）缝纫线热稳定性能：在温度为（180±5）℃条件下，经5min后，缝纫线不应有熔融、烧焦的现象。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17</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43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（14）防静电性能：上、下衣的带电量每件分别不应大于0.2μC。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55"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18</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43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（15）质量：按照XF10-2014标准中7.18的规定，选取L尺码（上衣号型175/92A、防护服胸围118、下裤号型175/78A、防护服腰围92）进行测试，防护服总质量≤1.5kg。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85"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19</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43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3、款式规格：按照标准和用户需求印制标识，冬款采用多层面料，样式符合《20式消防员抢险救援防护服款式标识统型要求》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43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整衣缝纫走线整齐，无明显跳线、断线痕迹；整衣外观整洁，整衣平整无褶皱、无多余线头及毛刺。</w:t>
            </w:r>
          </w:p>
        </w:tc>
      </w:tr>
    </w:tbl>
    <w:p>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b/>
          <w:bCs/>
          <w:sz w:val="24"/>
          <w:szCs w:val="24"/>
        </w:rPr>
      </w:pPr>
    </w:p>
    <w:p>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b/>
          <w:bCs/>
          <w:sz w:val="24"/>
          <w:szCs w:val="24"/>
        </w:rPr>
      </w:pPr>
      <w:r>
        <w:rPr>
          <w:rFonts w:hint="eastAsia" w:ascii="宋体" w:hAnsi="宋体" w:eastAsia="宋体" w:cs="宋体"/>
          <w:b/>
          <w:bCs/>
          <w:sz w:val="24"/>
          <w:szCs w:val="24"/>
        </w:rPr>
        <w:br w:type="page"/>
      </w:r>
    </w:p>
    <w:p>
      <w:pPr>
        <w:keepNext w:val="0"/>
        <w:keepLines w:val="0"/>
        <w:pageBreakBefore w:val="0"/>
        <w:kinsoku/>
        <w:wordWrap/>
        <w:overflowPunct/>
        <w:topLinePunct w:val="0"/>
        <w:autoSpaceDE/>
        <w:autoSpaceDN/>
        <w:bidi w:val="0"/>
        <w:adjustRightInd/>
        <w:snapToGrid/>
        <w:spacing w:line="360" w:lineRule="auto"/>
        <w:outlineLvl w:val="0"/>
        <w:rPr>
          <w:rFonts w:hint="eastAsia" w:ascii="宋体" w:hAnsi="宋体" w:eastAsia="宋体" w:cs="宋体"/>
          <w:b/>
          <w:bCs/>
          <w:sz w:val="24"/>
          <w:szCs w:val="24"/>
        </w:rPr>
      </w:pPr>
      <w:bookmarkStart w:id="34" w:name="_Toc387"/>
      <w:bookmarkStart w:id="35" w:name="_Toc11000"/>
      <w:r>
        <w:rPr>
          <w:rFonts w:hint="eastAsia" w:ascii="宋体" w:hAnsi="宋体" w:eastAsia="宋体" w:cs="宋体"/>
          <w:b/>
          <w:bCs/>
          <w:sz w:val="24"/>
          <w:szCs w:val="24"/>
        </w:rPr>
        <w:t>第17包：</w:t>
      </w:r>
      <w:r>
        <w:rPr>
          <w:rFonts w:hint="eastAsia" w:ascii="宋体" w:hAnsi="宋体" w:eastAsia="宋体" w:cs="宋体"/>
          <w:b/>
          <w:bCs/>
          <w:sz w:val="24"/>
          <w:szCs w:val="24"/>
          <w:lang w:val="en-US" w:eastAsia="zh-CN"/>
        </w:rPr>
        <w:t>消防员抢险救援靴</w:t>
      </w:r>
      <w:bookmarkEnd w:id="34"/>
      <w:bookmarkEnd w:id="35"/>
    </w:p>
    <w:tbl>
      <w:tblPr>
        <w:tblStyle w:val="58"/>
        <w:tblW w:w="89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5"/>
        <w:gridCol w:w="3638"/>
        <w:gridCol w:w="2280"/>
        <w:gridCol w:w="20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5" w:type="dxa"/>
            <w:noWrap w:val="0"/>
            <w:vAlign w:val="center"/>
          </w:tcPr>
          <w:p>
            <w:pPr>
              <w:keepNext w:val="0"/>
              <w:keepLines w:val="0"/>
              <w:pageBreakBefore w:val="0"/>
              <w:kinsoku/>
              <w:wordWrap/>
              <w:overflowPunct/>
              <w:topLinePunct w:val="0"/>
              <w:autoSpaceDE/>
              <w:autoSpaceDN/>
              <w:bidi w:val="0"/>
              <w:adjustRightInd/>
              <w:snapToGrid/>
              <w:spacing w:line="360" w:lineRule="auto"/>
              <w:jc w:val="center"/>
              <w:outlineLvl w:val="2"/>
              <w:rPr>
                <w:rFonts w:hint="eastAsia" w:ascii="宋体" w:hAnsi="宋体" w:eastAsia="宋体" w:cs="宋体"/>
                <w:b/>
                <w:bCs/>
                <w:sz w:val="24"/>
                <w:szCs w:val="24"/>
              </w:rPr>
            </w:pPr>
            <w:r>
              <w:rPr>
                <w:rFonts w:hint="eastAsia" w:ascii="宋体" w:hAnsi="宋体" w:eastAsia="宋体" w:cs="宋体"/>
                <w:b/>
                <w:bCs/>
                <w:sz w:val="24"/>
                <w:szCs w:val="24"/>
              </w:rPr>
              <w:t>序号</w:t>
            </w:r>
          </w:p>
        </w:tc>
        <w:tc>
          <w:tcPr>
            <w:tcW w:w="3638" w:type="dxa"/>
            <w:noWrap w:val="0"/>
            <w:vAlign w:val="center"/>
          </w:tcPr>
          <w:p>
            <w:pPr>
              <w:keepNext w:val="0"/>
              <w:keepLines w:val="0"/>
              <w:pageBreakBefore w:val="0"/>
              <w:kinsoku/>
              <w:wordWrap/>
              <w:overflowPunct/>
              <w:topLinePunct w:val="0"/>
              <w:autoSpaceDE/>
              <w:autoSpaceDN/>
              <w:bidi w:val="0"/>
              <w:adjustRightInd/>
              <w:snapToGrid/>
              <w:spacing w:line="360" w:lineRule="auto"/>
              <w:jc w:val="center"/>
              <w:outlineLvl w:val="2"/>
              <w:rPr>
                <w:rFonts w:hint="eastAsia" w:ascii="宋体" w:hAnsi="宋体" w:eastAsia="宋体" w:cs="宋体"/>
                <w:b/>
                <w:bCs/>
                <w:sz w:val="24"/>
                <w:szCs w:val="24"/>
              </w:rPr>
            </w:pPr>
            <w:r>
              <w:rPr>
                <w:rFonts w:hint="eastAsia" w:ascii="宋体" w:hAnsi="宋体" w:eastAsia="宋体" w:cs="宋体"/>
                <w:b/>
                <w:bCs/>
                <w:sz w:val="24"/>
                <w:szCs w:val="24"/>
              </w:rPr>
              <w:t>货物名称</w:t>
            </w:r>
          </w:p>
        </w:tc>
        <w:tc>
          <w:tcPr>
            <w:tcW w:w="2280" w:type="dxa"/>
            <w:noWrap w:val="0"/>
            <w:vAlign w:val="center"/>
          </w:tcPr>
          <w:p>
            <w:pPr>
              <w:keepNext w:val="0"/>
              <w:keepLines w:val="0"/>
              <w:pageBreakBefore w:val="0"/>
              <w:kinsoku/>
              <w:wordWrap/>
              <w:overflowPunct/>
              <w:topLinePunct w:val="0"/>
              <w:autoSpaceDE/>
              <w:autoSpaceDN/>
              <w:bidi w:val="0"/>
              <w:adjustRightInd/>
              <w:snapToGrid/>
              <w:spacing w:line="360" w:lineRule="auto"/>
              <w:jc w:val="center"/>
              <w:outlineLvl w:val="2"/>
              <w:rPr>
                <w:rFonts w:hint="eastAsia" w:ascii="宋体" w:hAnsi="宋体" w:eastAsia="宋体" w:cs="宋体"/>
                <w:b/>
                <w:bCs/>
                <w:sz w:val="24"/>
                <w:szCs w:val="24"/>
              </w:rPr>
            </w:pPr>
            <w:r>
              <w:rPr>
                <w:rFonts w:hint="eastAsia" w:ascii="宋体" w:hAnsi="宋体" w:eastAsia="宋体" w:cs="宋体"/>
                <w:b/>
                <w:bCs/>
                <w:sz w:val="24"/>
                <w:szCs w:val="24"/>
              </w:rPr>
              <w:t>数量</w:t>
            </w:r>
          </w:p>
        </w:tc>
        <w:tc>
          <w:tcPr>
            <w:tcW w:w="2090" w:type="dxa"/>
            <w:noWrap w:val="0"/>
            <w:vAlign w:val="center"/>
          </w:tcPr>
          <w:p>
            <w:pPr>
              <w:keepNext w:val="0"/>
              <w:keepLines w:val="0"/>
              <w:pageBreakBefore w:val="0"/>
              <w:kinsoku/>
              <w:wordWrap/>
              <w:overflowPunct/>
              <w:topLinePunct w:val="0"/>
              <w:autoSpaceDE/>
              <w:autoSpaceDN/>
              <w:bidi w:val="0"/>
              <w:adjustRightInd/>
              <w:snapToGrid/>
              <w:spacing w:line="360" w:lineRule="auto"/>
              <w:jc w:val="center"/>
              <w:outlineLvl w:val="2"/>
              <w:rPr>
                <w:rFonts w:hint="eastAsia" w:ascii="宋体" w:hAnsi="宋体" w:eastAsia="宋体" w:cs="宋体"/>
                <w:b/>
                <w:bCs/>
                <w:sz w:val="24"/>
                <w:szCs w:val="24"/>
              </w:rPr>
            </w:pPr>
            <w:r>
              <w:rPr>
                <w:rFonts w:hint="eastAsia" w:ascii="宋体" w:hAnsi="宋体" w:eastAsia="宋体" w:cs="宋体"/>
                <w:b/>
                <w:bCs/>
                <w:sz w:val="24"/>
                <w:szCs w:val="24"/>
              </w:rPr>
              <w:t>所属行业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5"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sz w:val="24"/>
                <w:szCs w:val="24"/>
              </w:rPr>
            </w:pPr>
            <w:r>
              <w:rPr>
                <w:rFonts w:hint="eastAsia" w:ascii="宋体" w:hAnsi="宋体" w:eastAsia="宋体" w:cs="宋体"/>
                <w:b/>
                <w:bCs/>
                <w:i w:val="0"/>
                <w:iCs w:val="0"/>
                <w:color w:val="000000"/>
                <w:kern w:val="0"/>
                <w:sz w:val="24"/>
                <w:szCs w:val="24"/>
                <w:u w:val="none"/>
                <w:lang w:val="en-US" w:eastAsia="zh-CN" w:bidi="ar"/>
              </w:rPr>
              <w:t>1</w:t>
            </w:r>
          </w:p>
        </w:tc>
        <w:tc>
          <w:tcPr>
            <w:tcW w:w="3638"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sz w:val="24"/>
                <w:szCs w:val="24"/>
              </w:rPr>
            </w:pPr>
            <w:r>
              <w:rPr>
                <w:rFonts w:hint="eastAsia" w:ascii="宋体" w:hAnsi="宋体" w:eastAsia="宋体" w:cs="宋体"/>
                <w:i w:val="0"/>
                <w:iCs w:val="0"/>
                <w:color w:val="000000"/>
                <w:kern w:val="0"/>
                <w:sz w:val="24"/>
                <w:szCs w:val="24"/>
                <w:u w:val="none"/>
                <w:lang w:val="en-US" w:eastAsia="zh-CN" w:bidi="ar"/>
              </w:rPr>
              <w:t>▲消防员抢险救援靴</w:t>
            </w:r>
          </w:p>
        </w:tc>
        <w:tc>
          <w:tcPr>
            <w:tcW w:w="2280"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default" w:ascii="宋体" w:hAnsi="宋体" w:eastAsia="宋体" w:cs="宋体"/>
                <w:b/>
                <w:bCs/>
                <w:sz w:val="24"/>
                <w:szCs w:val="24"/>
                <w:lang w:val="en-US"/>
              </w:rPr>
            </w:pPr>
            <w:r>
              <w:rPr>
                <w:rFonts w:hint="eastAsia" w:ascii="宋体" w:hAnsi="宋体" w:eastAsia="宋体" w:cs="宋体"/>
                <w:b/>
                <w:bCs/>
                <w:i w:val="0"/>
                <w:iCs w:val="0"/>
                <w:color w:val="000000"/>
                <w:kern w:val="0"/>
                <w:sz w:val="24"/>
                <w:szCs w:val="24"/>
                <w:u w:val="none"/>
                <w:lang w:val="en-US" w:eastAsia="zh-CN" w:bidi="ar"/>
              </w:rPr>
              <w:t>3935</w:t>
            </w:r>
            <w:r>
              <w:rPr>
                <w:rFonts w:hint="eastAsia" w:ascii="宋体" w:hAnsi="宋体" w:eastAsia="宋体" w:cs="宋体"/>
                <w:b/>
                <w:bCs/>
                <w:color w:val="000000"/>
                <w:kern w:val="0"/>
                <w:sz w:val="24"/>
                <w:szCs w:val="24"/>
                <w:u w:val="none"/>
                <w:lang w:val="en-US" w:eastAsia="zh-CN" w:bidi="ar"/>
              </w:rPr>
              <w:t>双</w:t>
            </w:r>
          </w:p>
        </w:tc>
        <w:tc>
          <w:tcPr>
            <w:tcW w:w="2090"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8933" w:type="dxa"/>
            <w:gridSpan w:val="4"/>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本包需提供样品1双</w:t>
            </w:r>
          </w:p>
        </w:tc>
      </w:tr>
    </w:tbl>
    <w:tbl>
      <w:tblPr>
        <w:tblStyle w:val="57"/>
        <w:tblW w:w="893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14"/>
        <w:gridCol w:w="1151"/>
        <w:gridCol w:w="1244"/>
        <w:gridCol w:w="582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序号</w:t>
            </w:r>
          </w:p>
        </w:tc>
        <w:tc>
          <w:tcPr>
            <w:tcW w:w="9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重要性</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指标项</w:t>
            </w:r>
          </w:p>
        </w:tc>
        <w:tc>
          <w:tcPr>
            <w:tcW w:w="49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技术参数及要求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技术标准</w:t>
            </w:r>
          </w:p>
        </w:tc>
        <w:tc>
          <w:tcPr>
            <w:tcW w:w="4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技术性能符合《消防员抢险救援防护服装》XF633的要求。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4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用于抢险救援作业时身体保护。具备防砸、防穿刺、防水、阻燃、抗静电、隔热、耐高温、耐油、耐酸碱性能，具有防霉抗菌、防臭、吸湿排汗等功能。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4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外观符合统型要求，整靴主体颜色为黑色，整靴为皮革材质，靴口做防磨处理，靴筒后跟处设有高品质荧光黄反光标志和提靴反光拉带。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5"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4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靴底防穿刺设计、复合纤维防穿刺层须覆盖整个靴内底且不可移动,靴头防砸设计，设有钢包头或同等性能防砸包头，保护脚趾耐受冲击。</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4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抗穿刺能力靴底≥1300N，靴帮≥100N，防滑性能始滑角≥22度。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0"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4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在10KV下不击穿、且泄露电流≤0.5mA。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4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救援靴隔热性能，在150℃热板测试环境下保持30min，靴内底表面温升≤8℃。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4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双密度聚氨酯及橡胶一次成型大底（非空心鞋底）,脚感舒适不增加脚部负担。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55"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产品认证</w:t>
            </w:r>
          </w:p>
        </w:tc>
        <w:tc>
          <w:tcPr>
            <w:tcW w:w="4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整靴（两只）质量≤3000g（42码）。鞋头耐压和抗冲击性能测试：内靴头间隙高度≥17mm。</w:t>
            </w:r>
          </w:p>
        </w:tc>
      </w:tr>
    </w:tbl>
    <w:p>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b/>
          <w:bCs/>
          <w:sz w:val="24"/>
          <w:szCs w:val="24"/>
        </w:rPr>
      </w:pPr>
      <w:r>
        <w:rPr>
          <w:rFonts w:hint="eastAsia" w:ascii="宋体" w:hAnsi="宋体" w:eastAsia="宋体" w:cs="宋体"/>
          <w:b/>
          <w:bCs/>
          <w:sz w:val="24"/>
          <w:szCs w:val="24"/>
        </w:rPr>
        <w:br w:type="page"/>
      </w:r>
    </w:p>
    <w:p>
      <w:pPr>
        <w:keepNext w:val="0"/>
        <w:keepLines w:val="0"/>
        <w:pageBreakBefore w:val="0"/>
        <w:kinsoku/>
        <w:wordWrap/>
        <w:overflowPunct/>
        <w:topLinePunct w:val="0"/>
        <w:autoSpaceDE/>
        <w:autoSpaceDN/>
        <w:bidi w:val="0"/>
        <w:adjustRightInd/>
        <w:snapToGrid/>
        <w:spacing w:line="360" w:lineRule="auto"/>
        <w:outlineLvl w:val="0"/>
        <w:rPr>
          <w:rFonts w:hint="eastAsia" w:ascii="宋体" w:hAnsi="宋体" w:eastAsia="宋体" w:cs="宋体"/>
          <w:b/>
          <w:bCs/>
          <w:sz w:val="24"/>
          <w:szCs w:val="24"/>
        </w:rPr>
      </w:pPr>
      <w:bookmarkStart w:id="36" w:name="_Toc31190"/>
      <w:bookmarkStart w:id="37" w:name="_Toc27373"/>
      <w:r>
        <w:rPr>
          <w:rFonts w:hint="eastAsia" w:ascii="宋体" w:hAnsi="宋体" w:eastAsia="宋体" w:cs="宋体"/>
          <w:b/>
          <w:bCs/>
          <w:sz w:val="24"/>
          <w:szCs w:val="24"/>
        </w:rPr>
        <w:t>第18包：</w:t>
      </w:r>
      <w:r>
        <w:rPr>
          <w:rFonts w:hint="eastAsia" w:ascii="宋体" w:hAnsi="宋体" w:eastAsia="宋体" w:cs="宋体"/>
          <w:b/>
          <w:bCs/>
          <w:sz w:val="24"/>
          <w:szCs w:val="24"/>
          <w:lang w:val="en-US" w:eastAsia="zh-CN"/>
        </w:rPr>
        <w:t>消防救援靴（登山鞋）、消防护目镜</w:t>
      </w:r>
      <w:bookmarkEnd w:id="36"/>
      <w:bookmarkEnd w:id="37"/>
    </w:p>
    <w:tbl>
      <w:tblPr>
        <w:tblStyle w:val="58"/>
        <w:tblW w:w="93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4"/>
        <w:gridCol w:w="3792"/>
        <w:gridCol w:w="2377"/>
        <w:gridCol w:w="21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5" w:type="dxa"/>
            <w:noWrap w:val="0"/>
            <w:vAlign w:val="center"/>
          </w:tcPr>
          <w:p>
            <w:pPr>
              <w:keepNext w:val="0"/>
              <w:keepLines w:val="0"/>
              <w:pageBreakBefore w:val="0"/>
              <w:kinsoku/>
              <w:wordWrap/>
              <w:overflowPunct/>
              <w:topLinePunct w:val="0"/>
              <w:autoSpaceDE/>
              <w:autoSpaceDN/>
              <w:bidi w:val="0"/>
              <w:adjustRightInd/>
              <w:snapToGrid/>
              <w:spacing w:line="360" w:lineRule="auto"/>
              <w:jc w:val="center"/>
              <w:outlineLvl w:val="2"/>
              <w:rPr>
                <w:rFonts w:hint="eastAsia" w:ascii="宋体" w:hAnsi="宋体" w:eastAsia="宋体" w:cs="宋体"/>
                <w:b/>
                <w:bCs/>
                <w:sz w:val="24"/>
                <w:szCs w:val="24"/>
              </w:rPr>
            </w:pPr>
            <w:r>
              <w:rPr>
                <w:rFonts w:hint="eastAsia" w:ascii="宋体" w:hAnsi="宋体" w:eastAsia="宋体" w:cs="宋体"/>
                <w:b/>
                <w:bCs/>
                <w:sz w:val="24"/>
                <w:szCs w:val="24"/>
              </w:rPr>
              <w:t>序号</w:t>
            </w:r>
          </w:p>
        </w:tc>
        <w:tc>
          <w:tcPr>
            <w:tcW w:w="3638" w:type="dxa"/>
            <w:noWrap w:val="0"/>
            <w:vAlign w:val="center"/>
          </w:tcPr>
          <w:p>
            <w:pPr>
              <w:keepNext w:val="0"/>
              <w:keepLines w:val="0"/>
              <w:pageBreakBefore w:val="0"/>
              <w:kinsoku/>
              <w:wordWrap/>
              <w:overflowPunct/>
              <w:topLinePunct w:val="0"/>
              <w:autoSpaceDE/>
              <w:autoSpaceDN/>
              <w:bidi w:val="0"/>
              <w:adjustRightInd/>
              <w:snapToGrid/>
              <w:spacing w:line="360" w:lineRule="auto"/>
              <w:jc w:val="center"/>
              <w:outlineLvl w:val="2"/>
              <w:rPr>
                <w:rFonts w:hint="eastAsia" w:ascii="宋体" w:hAnsi="宋体" w:eastAsia="宋体" w:cs="宋体"/>
                <w:b/>
                <w:bCs/>
                <w:sz w:val="24"/>
                <w:szCs w:val="24"/>
              </w:rPr>
            </w:pPr>
            <w:r>
              <w:rPr>
                <w:rFonts w:hint="eastAsia" w:ascii="宋体" w:hAnsi="宋体" w:eastAsia="宋体" w:cs="宋体"/>
                <w:b/>
                <w:bCs/>
                <w:sz w:val="24"/>
                <w:szCs w:val="24"/>
              </w:rPr>
              <w:t>货物名称</w:t>
            </w:r>
          </w:p>
        </w:tc>
        <w:tc>
          <w:tcPr>
            <w:tcW w:w="2280" w:type="dxa"/>
            <w:noWrap w:val="0"/>
            <w:vAlign w:val="center"/>
          </w:tcPr>
          <w:p>
            <w:pPr>
              <w:keepNext w:val="0"/>
              <w:keepLines w:val="0"/>
              <w:pageBreakBefore w:val="0"/>
              <w:kinsoku/>
              <w:wordWrap/>
              <w:overflowPunct/>
              <w:topLinePunct w:val="0"/>
              <w:autoSpaceDE/>
              <w:autoSpaceDN/>
              <w:bidi w:val="0"/>
              <w:adjustRightInd/>
              <w:snapToGrid/>
              <w:spacing w:line="360" w:lineRule="auto"/>
              <w:jc w:val="center"/>
              <w:outlineLvl w:val="2"/>
              <w:rPr>
                <w:rFonts w:hint="eastAsia" w:ascii="宋体" w:hAnsi="宋体" w:eastAsia="宋体" w:cs="宋体"/>
                <w:b/>
                <w:bCs/>
                <w:sz w:val="24"/>
                <w:szCs w:val="24"/>
              </w:rPr>
            </w:pPr>
            <w:r>
              <w:rPr>
                <w:rFonts w:hint="eastAsia" w:ascii="宋体" w:hAnsi="宋体" w:eastAsia="宋体" w:cs="宋体"/>
                <w:b/>
                <w:bCs/>
                <w:sz w:val="24"/>
                <w:szCs w:val="24"/>
              </w:rPr>
              <w:t>数量</w:t>
            </w:r>
          </w:p>
        </w:tc>
        <w:tc>
          <w:tcPr>
            <w:tcW w:w="2090" w:type="dxa"/>
            <w:noWrap w:val="0"/>
            <w:vAlign w:val="center"/>
          </w:tcPr>
          <w:p>
            <w:pPr>
              <w:keepNext w:val="0"/>
              <w:keepLines w:val="0"/>
              <w:pageBreakBefore w:val="0"/>
              <w:kinsoku/>
              <w:wordWrap/>
              <w:overflowPunct/>
              <w:topLinePunct w:val="0"/>
              <w:autoSpaceDE/>
              <w:autoSpaceDN/>
              <w:bidi w:val="0"/>
              <w:adjustRightInd/>
              <w:snapToGrid/>
              <w:spacing w:line="360" w:lineRule="auto"/>
              <w:jc w:val="center"/>
              <w:outlineLvl w:val="2"/>
              <w:rPr>
                <w:rFonts w:hint="eastAsia" w:ascii="宋体" w:hAnsi="宋体" w:eastAsia="宋体" w:cs="宋体"/>
                <w:b/>
                <w:bCs/>
                <w:sz w:val="24"/>
                <w:szCs w:val="24"/>
              </w:rPr>
            </w:pPr>
            <w:r>
              <w:rPr>
                <w:rFonts w:hint="eastAsia" w:ascii="宋体" w:hAnsi="宋体" w:eastAsia="宋体" w:cs="宋体"/>
                <w:b/>
                <w:bCs/>
                <w:sz w:val="24"/>
                <w:szCs w:val="24"/>
              </w:rPr>
              <w:t>所属行业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5"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sz w:val="24"/>
                <w:szCs w:val="24"/>
              </w:rPr>
            </w:pPr>
            <w:r>
              <w:rPr>
                <w:rFonts w:hint="eastAsia" w:ascii="宋体" w:hAnsi="宋体" w:eastAsia="宋体" w:cs="宋体"/>
                <w:b/>
                <w:bCs/>
                <w:i w:val="0"/>
                <w:iCs w:val="0"/>
                <w:color w:val="000000"/>
                <w:kern w:val="0"/>
                <w:sz w:val="24"/>
                <w:szCs w:val="24"/>
                <w:u w:val="none"/>
                <w:lang w:val="en-US" w:eastAsia="zh-CN" w:bidi="ar"/>
              </w:rPr>
              <w:t>1</w:t>
            </w:r>
          </w:p>
        </w:tc>
        <w:tc>
          <w:tcPr>
            <w:tcW w:w="3638"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sz w:val="24"/>
                <w:szCs w:val="24"/>
              </w:rPr>
            </w:pPr>
            <w:r>
              <w:rPr>
                <w:rFonts w:hint="eastAsia" w:ascii="宋体" w:hAnsi="宋体" w:eastAsia="宋体" w:cs="宋体"/>
                <w:i w:val="0"/>
                <w:iCs w:val="0"/>
                <w:color w:val="000000"/>
                <w:kern w:val="0"/>
                <w:sz w:val="24"/>
                <w:szCs w:val="24"/>
                <w:u w:val="none"/>
                <w:lang w:val="en-US" w:eastAsia="zh-CN" w:bidi="ar"/>
              </w:rPr>
              <w:t>消防救援靴（登山鞋）</w:t>
            </w:r>
          </w:p>
        </w:tc>
        <w:tc>
          <w:tcPr>
            <w:tcW w:w="2280"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sz w:val="24"/>
                <w:szCs w:val="24"/>
              </w:rPr>
            </w:pPr>
            <w:r>
              <w:rPr>
                <w:rFonts w:hint="eastAsia" w:ascii="宋体" w:hAnsi="宋体" w:eastAsia="宋体" w:cs="宋体"/>
                <w:b/>
                <w:bCs/>
                <w:i w:val="0"/>
                <w:iCs w:val="0"/>
                <w:color w:val="000000"/>
                <w:kern w:val="0"/>
                <w:sz w:val="24"/>
                <w:szCs w:val="24"/>
                <w:u w:val="none"/>
                <w:lang w:val="en-US" w:eastAsia="zh-CN" w:bidi="ar"/>
              </w:rPr>
              <w:t>337</w:t>
            </w:r>
            <w:r>
              <w:rPr>
                <w:rFonts w:hint="eastAsia" w:ascii="宋体" w:hAnsi="宋体" w:eastAsia="宋体" w:cs="宋体"/>
                <w:b/>
                <w:bCs/>
                <w:color w:val="000000"/>
                <w:kern w:val="0"/>
                <w:sz w:val="24"/>
                <w:szCs w:val="24"/>
                <w:u w:val="none"/>
                <w:lang w:val="en-US" w:eastAsia="zh-CN" w:bidi="ar"/>
              </w:rPr>
              <w:t>双</w:t>
            </w:r>
          </w:p>
        </w:tc>
        <w:tc>
          <w:tcPr>
            <w:tcW w:w="2090"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925"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w:t>
            </w:r>
          </w:p>
        </w:tc>
        <w:tc>
          <w:tcPr>
            <w:tcW w:w="3638"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▲消防护目镜</w:t>
            </w:r>
          </w:p>
        </w:tc>
        <w:tc>
          <w:tcPr>
            <w:tcW w:w="2280"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2459</w:t>
            </w:r>
            <w:r>
              <w:rPr>
                <w:rFonts w:hint="eastAsia" w:ascii="宋体" w:hAnsi="宋体" w:eastAsia="宋体" w:cs="宋体"/>
                <w:b/>
                <w:bCs/>
                <w:color w:val="000000"/>
                <w:kern w:val="0"/>
                <w:sz w:val="24"/>
                <w:szCs w:val="24"/>
                <w:u w:val="none"/>
                <w:lang w:val="en-US" w:eastAsia="zh-CN" w:bidi="ar"/>
              </w:rPr>
              <w:t>副</w:t>
            </w:r>
          </w:p>
        </w:tc>
        <w:tc>
          <w:tcPr>
            <w:tcW w:w="2090"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33" w:type="dxa"/>
            <w:gridSpan w:val="4"/>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本包需提供上述产品的样品：消防救援靴（登山鞋）1双；消防护目镜1</w:t>
            </w:r>
            <w:r>
              <w:rPr>
                <w:rFonts w:hint="eastAsia" w:ascii="宋体" w:hAnsi="宋体" w:eastAsia="宋体" w:cs="宋体"/>
                <w:b w:val="0"/>
                <w:bCs w:val="0"/>
                <w:color w:val="000000"/>
                <w:kern w:val="0"/>
                <w:sz w:val="24"/>
                <w:szCs w:val="24"/>
                <w:u w:val="none"/>
                <w:lang w:val="en-US" w:eastAsia="zh-CN" w:bidi="ar"/>
              </w:rPr>
              <w:t>副</w:t>
            </w:r>
          </w:p>
        </w:tc>
      </w:tr>
    </w:tbl>
    <w:tbl>
      <w:tblPr>
        <w:tblStyle w:val="57"/>
        <w:tblW w:w="931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33"/>
        <w:gridCol w:w="1020"/>
        <w:gridCol w:w="1102"/>
        <w:gridCol w:w="655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序号</w:t>
            </w:r>
          </w:p>
        </w:tc>
        <w:tc>
          <w:tcPr>
            <w:tcW w:w="9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重要性</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指标项</w:t>
            </w:r>
          </w:p>
        </w:tc>
        <w:tc>
          <w:tcPr>
            <w:tcW w:w="63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技术参数及要求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消防救援靴（登山鞋）</w:t>
            </w:r>
          </w:p>
        </w:tc>
        <w:tc>
          <w:tcPr>
            <w:tcW w:w="63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鞋子面料采用防水面料，能实现透气功能，保持鞋内温暖舒适；质轻柔软，透气耐磨，保证舒适，对足部有很好的保护作用。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消防救援靴（登山鞋）</w:t>
            </w:r>
          </w:p>
        </w:tc>
        <w:tc>
          <w:tcPr>
            <w:tcW w:w="63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采用深凸块宽间间缝设计，可紧紧抓住地面，增大摩擦力。</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消防救援靴（登山鞋）</w:t>
            </w:r>
          </w:p>
        </w:tc>
        <w:tc>
          <w:tcPr>
            <w:tcW w:w="63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鞋底具有防穿刺性能，鞋底抗穿透力≥1500N，鞋尖具有防砸性能，有效保护了脚部作业安全。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消防救援靴（登山鞋）</w:t>
            </w:r>
          </w:p>
        </w:tc>
        <w:tc>
          <w:tcPr>
            <w:tcW w:w="63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脚后跟有荧光反射条，可有效进行反光。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护目镜</w:t>
            </w:r>
          </w:p>
        </w:tc>
        <w:tc>
          <w:tcPr>
            <w:tcW w:w="63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 技术标准符合《消防员防护辅助装备消防员护目镜》XF1273-2015。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0"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护目镜</w:t>
            </w:r>
          </w:p>
        </w:tc>
        <w:tc>
          <w:tcPr>
            <w:tcW w:w="63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是消防员在进行各种消防作业时用于保护眼睛的防护装具，以防飞溅物进入眼内或冲击面部造成伤害。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护目镜</w:t>
            </w:r>
          </w:p>
        </w:tc>
        <w:tc>
          <w:tcPr>
            <w:tcW w:w="63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镜片具有防尘、放热、防紫外线辐射、防高强度冲击和防高速粒子冲击的功能，且具备增光作用，内侧防雾，外侧防刮伤，视野宽大。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护目镜</w:t>
            </w:r>
          </w:p>
        </w:tc>
        <w:tc>
          <w:tcPr>
            <w:tcW w:w="63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镜片抗冲击力≥120m/s。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55"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护目镜</w:t>
            </w:r>
          </w:p>
        </w:tc>
        <w:tc>
          <w:tcPr>
            <w:tcW w:w="63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镜片与镜框固定紧密，镜片与镜框不能轻易脱离，镜片抗冲击、不易碎。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护目镜</w:t>
            </w:r>
          </w:p>
        </w:tc>
        <w:tc>
          <w:tcPr>
            <w:tcW w:w="63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护目镜整体质量≤150g。</w:t>
            </w:r>
          </w:p>
        </w:tc>
      </w:tr>
    </w:tbl>
    <w:p>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b/>
          <w:bCs/>
          <w:sz w:val="24"/>
          <w:szCs w:val="24"/>
        </w:rPr>
      </w:pPr>
      <w:r>
        <w:rPr>
          <w:rFonts w:hint="eastAsia" w:ascii="宋体" w:hAnsi="宋体" w:eastAsia="宋体" w:cs="宋体"/>
          <w:b/>
          <w:bCs/>
          <w:sz w:val="24"/>
          <w:szCs w:val="24"/>
        </w:rPr>
        <w:br w:type="page"/>
      </w:r>
    </w:p>
    <w:p>
      <w:pPr>
        <w:keepNext w:val="0"/>
        <w:keepLines w:val="0"/>
        <w:pageBreakBefore w:val="0"/>
        <w:kinsoku/>
        <w:wordWrap/>
        <w:overflowPunct/>
        <w:topLinePunct w:val="0"/>
        <w:autoSpaceDE/>
        <w:autoSpaceDN/>
        <w:bidi w:val="0"/>
        <w:adjustRightInd/>
        <w:snapToGrid/>
        <w:spacing w:line="360" w:lineRule="auto"/>
        <w:outlineLvl w:val="0"/>
        <w:rPr>
          <w:rFonts w:hint="eastAsia" w:ascii="宋体" w:hAnsi="宋体" w:eastAsia="宋体" w:cs="宋体"/>
          <w:b/>
          <w:bCs/>
          <w:sz w:val="24"/>
          <w:szCs w:val="24"/>
        </w:rPr>
      </w:pPr>
      <w:bookmarkStart w:id="38" w:name="_Toc15217"/>
      <w:bookmarkStart w:id="39" w:name="_Toc11827"/>
      <w:r>
        <w:rPr>
          <w:rFonts w:hint="eastAsia" w:ascii="宋体" w:hAnsi="宋体" w:eastAsia="宋体" w:cs="宋体"/>
          <w:b/>
          <w:bCs/>
          <w:sz w:val="24"/>
          <w:szCs w:val="24"/>
        </w:rPr>
        <w:t>第19包：</w:t>
      </w:r>
      <w:r>
        <w:rPr>
          <w:rFonts w:hint="eastAsia" w:ascii="宋体" w:hAnsi="宋体" w:eastAsia="宋体" w:cs="宋体"/>
          <w:b/>
          <w:bCs/>
          <w:sz w:val="24"/>
          <w:szCs w:val="24"/>
          <w:lang w:val="en-US" w:eastAsia="zh-CN"/>
        </w:rPr>
        <w:t>消防腰斧</w:t>
      </w:r>
      <w:bookmarkEnd w:id="38"/>
      <w:bookmarkEnd w:id="39"/>
    </w:p>
    <w:tbl>
      <w:tblPr>
        <w:tblStyle w:val="58"/>
        <w:tblW w:w="89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5"/>
        <w:gridCol w:w="3638"/>
        <w:gridCol w:w="2280"/>
        <w:gridCol w:w="20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5" w:type="dxa"/>
            <w:noWrap w:val="0"/>
            <w:vAlign w:val="center"/>
          </w:tcPr>
          <w:p>
            <w:pPr>
              <w:keepNext w:val="0"/>
              <w:keepLines w:val="0"/>
              <w:pageBreakBefore w:val="0"/>
              <w:kinsoku/>
              <w:wordWrap/>
              <w:overflowPunct/>
              <w:topLinePunct w:val="0"/>
              <w:autoSpaceDE/>
              <w:autoSpaceDN/>
              <w:bidi w:val="0"/>
              <w:adjustRightInd/>
              <w:snapToGrid/>
              <w:spacing w:line="360" w:lineRule="auto"/>
              <w:jc w:val="center"/>
              <w:outlineLvl w:val="2"/>
              <w:rPr>
                <w:rFonts w:hint="eastAsia" w:ascii="宋体" w:hAnsi="宋体" w:eastAsia="宋体" w:cs="宋体"/>
                <w:b/>
                <w:bCs/>
                <w:sz w:val="24"/>
                <w:szCs w:val="24"/>
              </w:rPr>
            </w:pPr>
            <w:r>
              <w:rPr>
                <w:rFonts w:hint="eastAsia" w:ascii="宋体" w:hAnsi="宋体" w:eastAsia="宋体" w:cs="宋体"/>
                <w:b/>
                <w:bCs/>
                <w:sz w:val="24"/>
                <w:szCs w:val="24"/>
              </w:rPr>
              <w:t>序号</w:t>
            </w:r>
          </w:p>
        </w:tc>
        <w:tc>
          <w:tcPr>
            <w:tcW w:w="3638" w:type="dxa"/>
            <w:noWrap w:val="0"/>
            <w:vAlign w:val="center"/>
          </w:tcPr>
          <w:p>
            <w:pPr>
              <w:keepNext w:val="0"/>
              <w:keepLines w:val="0"/>
              <w:pageBreakBefore w:val="0"/>
              <w:kinsoku/>
              <w:wordWrap/>
              <w:overflowPunct/>
              <w:topLinePunct w:val="0"/>
              <w:autoSpaceDE/>
              <w:autoSpaceDN/>
              <w:bidi w:val="0"/>
              <w:adjustRightInd/>
              <w:snapToGrid/>
              <w:spacing w:line="360" w:lineRule="auto"/>
              <w:jc w:val="center"/>
              <w:outlineLvl w:val="2"/>
              <w:rPr>
                <w:rFonts w:hint="eastAsia" w:ascii="宋体" w:hAnsi="宋体" w:eastAsia="宋体" w:cs="宋体"/>
                <w:b/>
                <w:bCs/>
                <w:sz w:val="24"/>
                <w:szCs w:val="24"/>
              </w:rPr>
            </w:pPr>
            <w:r>
              <w:rPr>
                <w:rFonts w:hint="eastAsia" w:ascii="宋体" w:hAnsi="宋体" w:eastAsia="宋体" w:cs="宋体"/>
                <w:b/>
                <w:bCs/>
                <w:sz w:val="24"/>
                <w:szCs w:val="24"/>
              </w:rPr>
              <w:t>货物名称</w:t>
            </w:r>
          </w:p>
        </w:tc>
        <w:tc>
          <w:tcPr>
            <w:tcW w:w="2280" w:type="dxa"/>
            <w:noWrap w:val="0"/>
            <w:vAlign w:val="center"/>
          </w:tcPr>
          <w:p>
            <w:pPr>
              <w:keepNext w:val="0"/>
              <w:keepLines w:val="0"/>
              <w:pageBreakBefore w:val="0"/>
              <w:kinsoku/>
              <w:wordWrap/>
              <w:overflowPunct/>
              <w:topLinePunct w:val="0"/>
              <w:autoSpaceDE/>
              <w:autoSpaceDN/>
              <w:bidi w:val="0"/>
              <w:adjustRightInd/>
              <w:snapToGrid/>
              <w:spacing w:line="360" w:lineRule="auto"/>
              <w:jc w:val="center"/>
              <w:outlineLvl w:val="2"/>
              <w:rPr>
                <w:rFonts w:hint="eastAsia" w:ascii="宋体" w:hAnsi="宋体" w:eastAsia="宋体" w:cs="宋体"/>
                <w:b/>
                <w:bCs/>
                <w:sz w:val="24"/>
                <w:szCs w:val="24"/>
              </w:rPr>
            </w:pPr>
            <w:r>
              <w:rPr>
                <w:rFonts w:hint="eastAsia" w:ascii="宋体" w:hAnsi="宋体" w:eastAsia="宋体" w:cs="宋体"/>
                <w:b/>
                <w:bCs/>
                <w:sz w:val="24"/>
                <w:szCs w:val="24"/>
              </w:rPr>
              <w:t>数量</w:t>
            </w:r>
          </w:p>
        </w:tc>
        <w:tc>
          <w:tcPr>
            <w:tcW w:w="2090" w:type="dxa"/>
            <w:noWrap w:val="0"/>
            <w:vAlign w:val="center"/>
          </w:tcPr>
          <w:p>
            <w:pPr>
              <w:keepNext w:val="0"/>
              <w:keepLines w:val="0"/>
              <w:pageBreakBefore w:val="0"/>
              <w:kinsoku/>
              <w:wordWrap/>
              <w:overflowPunct/>
              <w:topLinePunct w:val="0"/>
              <w:autoSpaceDE/>
              <w:autoSpaceDN/>
              <w:bidi w:val="0"/>
              <w:adjustRightInd/>
              <w:snapToGrid/>
              <w:spacing w:line="360" w:lineRule="auto"/>
              <w:jc w:val="center"/>
              <w:outlineLvl w:val="2"/>
              <w:rPr>
                <w:rFonts w:hint="eastAsia" w:ascii="宋体" w:hAnsi="宋体" w:eastAsia="宋体" w:cs="宋体"/>
                <w:b/>
                <w:bCs/>
                <w:sz w:val="24"/>
                <w:szCs w:val="24"/>
              </w:rPr>
            </w:pPr>
            <w:r>
              <w:rPr>
                <w:rFonts w:hint="eastAsia" w:ascii="宋体" w:hAnsi="宋体" w:eastAsia="宋体" w:cs="宋体"/>
                <w:b/>
                <w:bCs/>
                <w:sz w:val="24"/>
                <w:szCs w:val="24"/>
              </w:rPr>
              <w:t>所属行业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5"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sz w:val="24"/>
                <w:szCs w:val="24"/>
              </w:rPr>
            </w:pPr>
            <w:r>
              <w:rPr>
                <w:rFonts w:hint="eastAsia" w:ascii="宋体" w:hAnsi="宋体" w:eastAsia="宋体" w:cs="宋体"/>
                <w:b/>
                <w:bCs/>
                <w:i w:val="0"/>
                <w:iCs w:val="0"/>
                <w:color w:val="000000"/>
                <w:kern w:val="0"/>
                <w:sz w:val="24"/>
                <w:szCs w:val="24"/>
                <w:u w:val="none"/>
                <w:lang w:val="en-US" w:eastAsia="zh-CN" w:bidi="ar"/>
              </w:rPr>
              <w:t>1</w:t>
            </w:r>
          </w:p>
        </w:tc>
        <w:tc>
          <w:tcPr>
            <w:tcW w:w="3638"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sz w:val="24"/>
                <w:szCs w:val="24"/>
              </w:rPr>
            </w:pPr>
            <w:r>
              <w:rPr>
                <w:rFonts w:hint="eastAsia" w:ascii="宋体" w:hAnsi="宋体" w:eastAsia="宋体" w:cs="宋体"/>
                <w:i w:val="0"/>
                <w:iCs w:val="0"/>
                <w:color w:val="000000"/>
                <w:kern w:val="0"/>
                <w:sz w:val="24"/>
                <w:szCs w:val="24"/>
                <w:u w:val="none"/>
                <w:lang w:val="en-US" w:eastAsia="zh-CN" w:bidi="ar"/>
              </w:rPr>
              <w:t>▲消防腰斧</w:t>
            </w:r>
          </w:p>
        </w:tc>
        <w:tc>
          <w:tcPr>
            <w:tcW w:w="2280"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仿宋_GB2312" w:cs="宋体"/>
                <w:b/>
                <w:bCs/>
                <w:sz w:val="24"/>
                <w:szCs w:val="24"/>
                <w:lang w:val="en-US" w:eastAsia="zh-CN"/>
              </w:rPr>
            </w:pPr>
            <w:r>
              <w:rPr>
                <w:rFonts w:hint="eastAsia" w:ascii="宋体" w:hAnsi="宋体" w:eastAsia="宋体" w:cs="宋体"/>
                <w:b/>
                <w:bCs/>
                <w:i w:val="0"/>
                <w:iCs w:val="0"/>
                <w:color w:val="000000"/>
                <w:kern w:val="0"/>
                <w:sz w:val="24"/>
                <w:szCs w:val="24"/>
                <w:u w:val="none"/>
                <w:lang w:val="en-US" w:eastAsia="zh-CN" w:bidi="ar"/>
              </w:rPr>
              <w:t>2986</w:t>
            </w:r>
            <w:r>
              <w:rPr>
                <w:rFonts w:hint="default" w:ascii="宋体" w:hAnsi="宋体" w:eastAsia="宋体" w:cs="宋体"/>
                <w:b/>
                <w:bCs/>
                <w:color w:val="000000"/>
                <w:kern w:val="0"/>
                <w:sz w:val="24"/>
                <w:szCs w:val="24"/>
                <w:u w:val="none"/>
                <w:lang w:val="en-US" w:eastAsia="zh-CN" w:bidi="ar"/>
              </w:rPr>
              <w:t>把</w:t>
            </w:r>
          </w:p>
        </w:tc>
        <w:tc>
          <w:tcPr>
            <w:tcW w:w="2090"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8933" w:type="dxa"/>
            <w:gridSpan w:val="4"/>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本包需提供样品1把</w:t>
            </w:r>
          </w:p>
        </w:tc>
      </w:tr>
    </w:tbl>
    <w:tbl>
      <w:tblPr>
        <w:tblStyle w:val="57"/>
        <w:tblW w:w="5167"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96"/>
        <w:gridCol w:w="971"/>
        <w:gridCol w:w="780"/>
        <w:gridCol w:w="646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jc w:val="center"/>
        </w:trPr>
        <w:tc>
          <w:tcPr>
            <w:tcW w:w="33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b/>
                <w:bCs/>
                <w:i w:val="0"/>
                <w:iCs w:val="0"/>
                <w:color w:val="000000"/>
                <w:sz w:val="24"/>
                <w:szCs w:val="24"/>
                <w:u w:val="none"/>
              </w:rPr>
            </w:pPr>
            <w:r>
              <w:rPr>
                <w:rFonts w:hint="eastAsia" w:ascii="宋体" w:hAnsi="宋体" w:eastAsia="宋体" w:cs="宋体"/>
                <w:b/>
                <w:bCs/>
                <w:sz w:val="24"/>
                <w:szCs w:val="24"/>
              </w:rPr>
              <w:br w:type="page"/>
            </w:r>
            <w:r>
              <w:rPr>
                <w:rFonts w:hint="eastAsia" w:ascii="宋体" w:hAnsi="宋体" w:eastAsia="宋体" w:cs="宋体"/>
                <w:b/>
                <w:bCs/>
                <w:i w:val="0"/>
                <w:iCs w:val="0"/>
                <w:color w:val="000000"/>
                <w:kern w:val="0"/>
                <w:sz w:val="24"/>
                <w:szCs w:val="24"/>
                <w:u w:val="none"/>
                <w:lang w:val="en-US" w:eastAsia="zh-CN" w:bidi="ar"/>
              </w:rPr>
              <w:t>序号</w:t>
            </w:r>
          </w:p>
        </w:tc>
        <w:tc>
          <w:tcPr>
            <w:tcW w:w="5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重要性</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指标项</w:t>
            </w:r>
          </w:p>
        </w:tc>
        <w:tc>
          <w:tcPr>
            <w:tcW w:w="366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技术参数及要求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jc w:val="center"/>
        </w:trPr>
        <w:tc>
          <w:tcPr>
            <w:tcW w:w="3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55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技术标准</w:t>
            </w:r>
          </w:p>
        </w:tc>
        <w:tc>
          <w:tcPr>
            <w:tcW w:w="36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 技术性能符合《消防腰斧》XF630的要求。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jc w:val="center"/>
        </w:trPr>
        <w:tc>
          <w:tcPr>
            <w:tcW w:w="3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55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36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多功能腰斧为高强度特钢和高强度工程塑料制成。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jc w:val="center"/>
        </w:trPr>
        <w:tc>
          <w:tcPr>
            <w:tcW w:w="3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55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36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由斧、刀锯、斧套组成，具有携带方便、多功能、绝缘等特点。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jc w:val="center"/>
        </w:trPr>
        <w:tc>
          <w:tcPr>
            <w:tcW w:w="3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55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36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腰斧各刃部及撬口均经热处理，硬度达到48HRC-56HRC，平刃能砍断直径6.5mm的Q235A圆钢，尖刃和柄刃能凿击Q235A钢平板，无缺刃、卷边和裂纹等损伤。</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jc w:val="center"/>
        </w:trPr>
        <w:tc>
          <w:tcPr>
            <w:tcW w:w="3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55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36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具备抗冲击、耐腐蚀性能。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jc w:val="center"/>
        </w:trPr>
        <w:tc>
          <w:tcPr>
            <w:tcW w:w="3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55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36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重量≤1kg。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jc w:val="center"/>
        </w:trPr>
        <w:tc>
          <w:tcPr>
            <w:tcW w:w="3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55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36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斧套由头层牛皮制作，坚实耐用。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jc w:val="center"/>
        </w:trPr>
        <w:tc>
          <w:tcPr>
            <w:tcW w:w="3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55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36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产品具备永久性标志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55" w:hRule="atLeast"/>
          <w:jc w:val="center"/>
        </w:trPr>
        <w:tc>
          <w:tcPr>
            <w:tcW w:w="3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c>
          <w:tcPr>
            <w:tcW w:w="55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产品认证</w:t>
            </w:r>
          </w:p>
        </w:tc>
        <w:tc>
          <w:tcPr>
            <w:tcW w:w="366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产品取得消防产品认证</w:t>
            </w:r>
            <w:r>
              <w:rPr>
                <w:rFonts w:hint="eastAsia" w:ascii="宋体" w:hAnsi="宋体" w:eastAsia="宋体" w:cs="宋体"/>
                <w:b/>
                <w:bCs/>
                <w:i w:val="0"/>
                <w:iCs w:val="0"/>
                <w:color w:val="000000"/>
                <w:kern w:val="0"/>
                <w:sz w:val="24"/>
                <w:szCs w:val="24"/>
                <w:u w:val="none"/>
                <w:lang w:val="en-US" w:eastAsia="zh-CN" w:bidi="ar"/>
              </w:rPr>
              <w:t>（投标文件中提供消防产品认证证书扫描件）</w:t>
            </w:r>
            <w:r>
              <w:rPr>
                <w:rFonts w:hint="eastAsia" w:ascii="宋体" w:hAnsi="宋体" w:eastAsia="宋体" w:cs="宋体"/>
                <w:i w:val="0"/>
                <w:iCs w:val="0"/>
                <w:color w:val="000000"/>
                <w:kern w:val="0"/>
                <w:sz w:val="24"/>
                <w:szCs w:val="24"/>
                <w:u w:val="none"/>
                <w:lang w:val="en-US" w:eastAsia="zh-CN" w:bidi="ar"/>
              </w:rPr>
              <w:t>。</w:t>
            </w:r>
          </w:p>
        </w:tc>
      </w:tr>
    </w:tbl>
    <w:p>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b/>
          <w:bCs/>
          <w:sz w:val="24"/>
          <w:szCs w:val="24"/>
        </w:rPr>
      </w:pPr>
    </w:p>
    <w:p>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b/>
          <w:bCs/>
          <w:sz w:val="24"/>
          <w:szCs w:val="24"/>
        </w:rPr>
      </w:pPr>
      <w:r>
        <w:rPr>
          <w:rFonts w:hint="eastAsia" w:ascii="宋体" w:hAnsi="宋体" w:eastAsia="宋体" w:cs="宋体"/>
          <w:b/>
          <w:bCs/>
          <w:sz w:val="24"/>
          <w:szCs w:val="24"/>
        </w:rPr>
        <w:br w:type="page"/>
      </w:r>
    </w:p>
    <w:p>
      <w:pPr>
        <w:keepNext w:val="0"/>
        <w:keepLines w:val="0"/>
        <w:pageBreakBefore w:val="0"/>
        <w:kinsoku/>
        <w:wordWrap/>
        <w:overflowPunct/>
        <w:topLinePunct w:val="0"/>
        <w:autoSpaceDE/>
        <w:autoSpaceDN/>
        <w:bidi w:val="0"/>
        <w:adjustRightInd/>
        <w:snapToGrid/>
        <w:spacing w:line="360" w:lineRule="auto"/>
        <w:outlineLvl w:val="0"/>
        <w:rPr>
          <w:rFonts w:hint="eastAsia" w:ascii="宋体" w:hAnsi="宋体" w:eastAsia="宋体" w:cs="宋体"/>
          <w:b/>
          <w:bCs/>
          <w:sz w:val="24"/>
          <w:szCs w:val="24"/>
        </w:rPr>
      </w:pPr>
      <w:bookmarkStart w:id="40" w:name="_Toc16428"/>
      <w:bookmarkStart w:id="41" w:name="_Toc1035"/>
      <w:r>
        <w:rPr>
          <w:rFonts w:hint="eastAsia" w:ascii="宋体" w:hAnsi="宋体" w:eastAsia="宋体" w:cs="宋体"/>
          <w:b/>
          <w:bCs/>
          <w:sz w:val="24"/>
          <w:szCs w:val="24"/>
        </w:rPr>
        <w:t>第20包：</w:t>
      </w:r>
      <w:r>
        <w:rPr>
          <w:rFonts w:hint="eastAsia" w:ascii="宋体" w:hAnsi="宋体" w:eastAsia="宋体" w:cs="宋体"/>
          <w:b/>
          <w:bCs/>
          <w:sz w:val="24"/>
          <w:szCs w:val="24"/>
          <w:lang w:val="en-US" w:eastAsia="zh-CN"/>
        </w:rPr>
        <w:t>消防安全腰带</w:t>
      </w:r>
      <w:bookmarkEnd w:id="40"/>
      <w:bookmarkEnd w:id="41"/>
    </w:p>
    <w:tbl>
      <w:tblPr>
        <w:tblStyle w:val="58"/>
        <w:tblW w:w="93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4"/>
        <w:gridCol w:w="3792"/>
        <w:gridCol w:w="2377"/>
        <w:gridCol w:w="21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5" w:type="dxa"/>
            <w:noWrap w:val="0"/>
            <w:vAlign w:val="center"/>
          </w:tcPr>
          <w:p>
            <w:pPr>
              <w:keepNext w:val="0"/>
              <w:keepLines w:val="0"/>
              <w:pageBreakBefore w:val="0"/>
              <w:kinsoku/>
              <w:wordWrap/>
              <w:overflowPunct/>
              <w:topLinePunct w:val="0"/>
              <w:autoSpaceDE/>
              <w:autoSpaceDN/>
              <w:bidi w:val="0"/>
              <w:adjustRightInd/>
              <w:snapToGrid/>
              <w:spacing w:line="360" w:lineRule="auto"/>
              <w:jc w:val="center"/>
              <w:outlineLvl w:val="2"/>
              <w:rPr>
                <w:rFonts w:hint="eastAsia" w:ascii="宋体" w:hAnsi="宋体" w:eastAsia="宋体" w:cs="宋体"/>
                <w:b/>
                <w:bCs/>
                <w:sz w:val="24"/>
                <w:szCs w:val="24"/>
              </w:rPr>
            </w:pPr>
            <w:r>
              <w:rPr>
                <w:rFonts w:hint="eastAsia" w:ascii="宋体" w:hAnsi="宋体" w:eastAsia="宋体" w:cs="宋体"/>
                <w:b/>
                <w:bCs/>
                <w:sz w:val="24"/>
                <w:szCs w:val="24"/>
              </w:rPr>
              <w:t>序号</w:t>
            </w:r>
          </w:p>
        </w:tc>
        <w:tc>
          <w:tcPr>
            <w:tcW w:w="3638" w:type="dxa"/>
            <w:noWrap w:val="0"/>
            <w:vAlign w:val="center"/>
          </w:tcPr>
          <w:p>
            <w:pPr>
              <w:keepNext w:val="0"/>
              <w:keepLines w:val="0"/>
              <w:pageBreakBefore w:val="0"/>
              <w:kinsoku/>
              <w:wordWrap/>
              <w:overflowPunct/>
              <w:topLinePunct w:val="0"/>
              <w:autoSpaceDE/>
              <w:autoSpaceDN/>
              <w:bidi w:val="0"/>
              <w:adjustRightInd/>
              <w:snapToGrid/>
              <w:spacing w:line="360" w:lineRule="auto"/>
              <w:jc w:val="center"/>
              <w:outlineLvl w:val="2"/>
              <w:rPr>
                <w:rFonts w:hint="eastAsia" w:ascii="宋体" w:hAnsi="宋体" w:eastAsia="宋体" w:cs="宋体"/>
                <w:b/>
                <w:bCs/>
                <w:sz w:val="24"/>
                <w:szCs w:val="24"/>
              </w:rPr>
            </w:pPr>
            <w:r>
              <w:rPr>
                <w:rFonts w:hint="eastAsia" w:ascii="宋体" w:hAnsi="宋体" w:eastAsia="宋体" w:cs="宋体"/>
                <w:b/>
                <w:bCs/>
                <w:sz w:val="24"/>
                <w:szCs w:val="24"/>
              </w:rPr>
              <w:t>货物名称</w:t>
            </w:r>
          </w:p>
        </w:tc>
        <w:tc>
          <w:tcPr>
            <w:tcW w:w="2280" w:type="dxa"/>
            <w:noWrap w:val="0"/>
            <w:vAlign w:val="center"/>
          </w:tcPr>
          <w:p>
            <w:pPr>
              <w:keepNext w:val="0"/>
              <w:keepLines w:val="0"/>
              <w:pageBreakBefore w:val="0"/>
              <w:kinsoku/>
              <w:wordWrap/>
              <w:overflowPunct/>
              <w:topLinePunct w:val="0"/>
              <w:autoSpaceDE/>
              <w:autoSpaceDN/>
              <w:bidi w:val="0"/>
              <w:adjustRightInd/>
              <w:snapToGrid/>
              <w:spacing w:line="360" w:lineRule="auto"/>
              <w:jc w:val="center"/>
              <w:outlineLvl w:val="2"/>
              <w:rPr>
                <w:rFonts w:hint="eastAsia" w:ascii="宋体" w:hAnsi="宋体" w:eastAsia="宋体" w:cs="宋体"/>
                <w:b/>
                <w:bCs/>
                <w:sz w:val="24"/>
                <w:szCs w:val="24"/>
              </w:rPr>
            </w:pPr>
            <w:r>
              <w:rPr>
                <w:rFonts w:hint="eastAsia" w:ascii="宋体" w:hAnsi="宋体" w:eastAsia="宋体" w:cs="宋体"/>
                <w:b/>
                <w:bCs/>
                <w:sz w:val="24"/>
                <w:szCs w:val="24"/>
              </w:rPr>
              <w:t>数量</w:t>
            </w:r>
          </w:p>
        </w:tc>
        <w:tc>
          <w:tcPr>
            <w:tcW w:w="2090" w:type="dxa"/>
            <w:noWrap w:val="0"/>
            <w:vAlign w:val="center"/>
          </w:tcPr>
          <w:p>
            <w:pPr>
              <w:keepNext w:val="0"/>
              <w:keepLines w:val="0"/>
              <w:pageBreakBefore w:val="0"/>
              <w:kinsoku/>
              <w:wordWrap/>
              <w:overflowPunct/>
              <w:topLinePunct w:val="0"/>
              <w:autoSpaceDE/>
              <w:autoSpaceDN/>
              <w:bidi w:val="0"/>
              <w:adjustRightInd/>
              <w:snapToGrid/>
              <w:spacing w:line="360" w:lineRule="auto"/>
              <w:jc w:val="center"/>
              <w:outlineLvl w:val="2"/>
              <w:rPr>
                <w:rFonts w:hint="eastAsia" w:ascii="宋体" w:hAnsi="宋体" w:eastAsia="宋体" w:cs="宋体"/>
                <w:b/>
                <w:bCs/>
                <w:sz w:val="24"/>
                <w:szCs w:val="24"/>
              </w:rPr>
            </w:pPr>
            <w:r>
              <w:rPr>
                <w:rFonts w:hint="eastAsia" w:ascii="宋体" w:hAnsi="宋体" w:eastAsia="宋体" w:cs="宋体"/>
                <w:b/>
                <w:bCs/>
                <w:sz w:val="24"/>
                <w:szCs w:val="24"/>
              </w:rPr>
              <w:t>所属行业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5"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sz w:val="24"/>
                <w:szCs w:val="24"/>
              </w:rPr>
            </w:pPr>
            <w:r>
              <w:rPr>
                <w:rFonts w:hint="eastAsia" w:ascii="宋体" w:hAnsi="宋体" w:eastAsia="宋体" w:cs="宋体"/>
                <w:b/>
                <w:bCs/>
                <w:i w:val="0"/>
                <w:iCs w:val="0"/>
                <w:color w:val="000000"/>
                <w:kern w:val="0"/>
                <w:sz w:val="24"/>
                <w:szCs w:val="24"/>
                <w:u w:val="none"/>
                <w:lang w:val="en-US" w:eastAsia="zh-CN" w:bidi="ar"/>
              </w:rPr>
              <w:t>1</w:t>
            </w:r>
          </w:p>
        </w:tc>
        <w:tc>
          <w:tcPr>
            <w:tcW w:w="3638"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sz w:val="24"/>
                <w:szCs w:val="24"/>
              </w:rPr>
            </w:pPr>
            <w:r>
              <w:rPr>
                <w:rFonts w:hint="eastAsia" w:ascii="宋体" w:hAnsi="宋体" w:eastAsia="宋体" w:cs="宋体"/>
                <w:i w:val="0"/>
                <w:iCs w:val="0"/>
                <w:color w:val="000000"/>
                <w:kern w:val="0"/>
                <w:sz w:val="24"/>
                <w:szCs w:val="24"/>
                <w:u w:val="none"/>
                <w:lang w:val="en-US" w:eastAsia="zh-CN" w:bidi="ar"/>
              </w:rPr>
              <w:t>▲消防安全腰带</w:t>
            </w:r>
          </w:p>
        </w:tc>
        <w:tc>
          <w:tcPr>
            <w:tcW w:w="2280"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仿宋_GB2312" w:cs="宋体"/>
                <w:b/>
                <w:bCs/>
                <w:sz w:val="24"/>
                <w:szCs w:val="24"/>
                <w:lang w:val="en-US" w:eastAsia="zh-CN"/>
              </w:rPr>
            </w:pPr>
            <w:r>
              <w:rPr>
                <w:rFonts w:hint="eastAsia" w:ascii="宋体" w:hAnsi="宋体" w:eastAsia="宋体" w:cs="宋体"/>
                <w:b/>
                <w:bCs/>
                <w:i w:val="0"/>
                <w:iCs w:val="0"/>
                <w:color w:val="000000"/>
                <w:kern w:val="0"/>
                <w:sz w:val="24"/>
                <w:szCs w:val="24"/>
                <w:u w:val="none"/>
                <w:lang w:val="en-US" w:eastAsia="zh-CN" w:bidi="ar"/>
              </w:rPr>
              <w:t>4091</w:t>
            </w:r>
            <w:r>
              <w:rPr>
                <w:rFonts w:hint="eastAsia" w:ascii="宋体" w:hAnsi="宋体" w:eastAsia="宋体" w:cs="宋体"/>
                <w:b/>
                <w:bCs/>
                <w:sz w:val="24"/>
                <w:szCs w:val="24"/>
                <w:lang w:val="en-US" w:eastAsia="zh-CN"/>
              </w:rPr>
              <w:t>个</w:t>
            </w:r>
          </w:p>
        </w:tc>
        <w:tc>
          <w:tcPr>
            <w:tcW w:w="2090"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8933" w:type="dxa"/>
            <w:gridSpan w:val="4"/>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本包需提供样品1个</w:t>
            </w:r>
          </w:p>
        </w:tc>
      </w:tr>
    </w:tbl>
    <w:tbl>
      <w:tblPr>
        <w:tblStyle w:val="57"/>
        <w:tblW w:w="931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33"/>
        <w:gridCol w:w="1020"/>
        <w:gridCol w:w="1102"/>
        <w:gridCol w:w="655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序号</w:t>
            </w:r>
          </w:p>
        </w:tc>
        <w:tc>
          <w:tcPr>
            <w:tcW w:w="9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重要性</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指标项</w:t>
            </w:r>
          </w:p>
        </w:tc>
        <w:tc>
          <w:tcPr>
            <w:tcW w:w="63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技术参数及要求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技术标准</w:t>
            </w:r>
          </w:p>
        </w:tc>
        <w:tc>
          <w:tcPr>
            <w:tcW w:w="63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技术性能符合《消防用防坠落装备》XF494-2004的要求,主体颜色为藏蓝色。</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63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消防员灭火救援作业时登梯作业和逃生自救的安全防护装备,渐进式，具有强度高、重量轻（0.5-0.85公斤）、耐磨损、耐腐蚀等性能，工作拉力≥450公斤，极限拉力≥1200公斤不破断。所有金属件耐腐蚀，一次成型，防静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20"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63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织带宽度为70mm±1mm。安全腰带的缝线与织带相匹配，用肉眼易于检查；缝合接口及缝合末端回缝≥13mm；线路、针迹顺直、整齐，无明显弯曲或堆砌，无跳针、开线、断线。腰带的带扣使安全带长度调节方便、佩戴快速且无松脱、滑落现象。高温下不出现熔融、焦化现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产品认证</w:t>
            </w:r>
          </w:p>
        </w:tc>
        <w:tc>
          <w:tcPr>
            <w:tcW w:w="63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产品取得消防产品认证</w:t>
            </w:r>
            <w:r>
              <w:rPr>
                <w:rFonts w:hint="eastAsia" w:ascii="宋体" w:hAnsi="宋体" w:eastAsia="宋体" w:cs="宋体"/>
                <w:b/>
                <w:bCs/>
                <w:i w:val="0"/>
                <w:iCs w:val="0"/>
                <w:color w:val="000000"/>
                <w:kern w:val="0"/>
                <w:sz w:val="24"/>
                <w:szCs w:val="24"/>
                <w:u w:val="none"/>
                <w:lang w:val="en-US" w:eastAsia="zh-CN" w:bidi="ar"/>
              </w:rPr>
              <w:t>（投标文件中提供消防产品认证证书扫描件）</w:t>
            </w:r>
            <w:r>
              <w:rPr>
                <w:rFonts w:hint="eastAsia" w:ascii="宋体" w:hAnsi="宋体" w:eastAsia="宋体" w:cs="宋体"/>
                <w:i w:val="0"/>
                <w:iCs w:val="0"/>
                <w:color w:val="000000"/>
                <w:kern w:val="0"/>
                <w:sz w:val="24"/>
                <w:szCs w:val="24"/>
                <w:u w:val="none"/>
                <w:lang w:val="en-US" w:eastAsia="zh-CN" w:bidi="ar"/>
              </w:rPr>
              <w:t>。</w:t>
            </w:r>
          </w:p>
        </w:tc>
      </w:tr>
    </w:tbl>
    <w:p>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b/>
          <w:bCs/>
          <w:sz w:val="24"/>
          <w:szCs w:val="24"/>
        </w:rPr>
      </w:pPr>
      <w:r>
        <w:rPr>
          <w:rFonts w:hint="eastAsia" w:ascii="宋体" w:hAnsi="宋体" w:eastAsia="宋体" w:cs="宋体"/>
          <w:b/>
          <w:bCs/>
          <w:sz w:val="24"/>
          <w:szCs w:val="24"/>
        </w:rPr>
        <w:br w:type="page"/>
      </w:r>
    </w:p>
    <w:p>
      <w:pPr>
        <w:keepNext w:val="0"/>
        <w:keepLines w:val="0"/>
        <w:pageBreakBefore w:val="0"/>
        <w:kinsoku/>
        <w:wordWrap/>
        <w:overflowPunct/>
        <w:topLinePunct w:val="0"/>
        <w:autoSpaceDE/>
        <w:autoSpaceDN/>
        <w:bidi w:val="0"/>
        <w:adjustRightInd/>
        <w:snapToGrid/>
        <w:spacing w:line="360" w:lineRule="auto"/>
        <w:outlineLvl w:val="0"/>
        <w:rPr>
          <w:rFonts w:hint="eastAsia" w:ascii="宋体" w:hAnsi="宋体" w:eastAsia="宋体" w:cs="宋体"/>
          <w:b/>
          <w:bCs/>
          <w:sz w:val="24"/>
          <w:szCs w:val="24"/>
        </w:rPr>
      </w:pPr>
      <w:bookmarkStart w:id="42" w:name="_Toc2283"/>
      <w:bookmarkStart w:id="43" w:name="_Toc6357"/>
      <w:r>
        <w:rPr>
          <w:rFonts w:hint="eastAsia" w:ascii="宋体" w:hAnsi="宋体" w:eastAsia="宋体" w:cs="宋体"/>
          <w:b/>
          <w:bCs/>
          <w:sz w:val="24"/>
          <w:szCs w:val="24"/>
        </w:rPr>
        <w:t>第21包：</w:t>
      </w:r>
      <w:r>
        <w:rPr>
          <w:rFonts w:hint="eastAsia" w:ascii="宋体" w:hAnsi="宋体" w:eastAsia="宋体" w:cs="宋体"/>
          <w:b/>
          <w:bCs/>
          <w:sz w:val="24"/>
          <w:szCs w:val="24"/>
          <w:lang w:val="en-US" w:eastAsia="zh-CN"/>
        </w:rPr>
        <w:t>护膝、护肘</w:t>
      </w:r>
      <w:bookmarkEnd w:id="42"/>
      <w:bookmarkEnd w:id="43"/>
    </w:p>
    <w:tbl>
      <w:tblPr>
        <w:tblStyle w:val="58"/>
        <w:tblW w:w="93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4"/>
        <w:gridCol w:w="3792"/>
        <w:gridCol w:w="2377"/>
        <w:gridCol w:w="21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925" w:type="dxa"/>
            <w:noWrap w:val="0"/>
            <w:vAlign w:val="center"/>
          </w:tcPr>
          <w:p>
            <w:pPr>
              <w:keepNext w:val="0"/>
              <w:keepLines w:val="0"/>
              <w:pageBreakBefore w:val="0"/>
              <w:kinsoku/>
              <w:wordWrap/>
              <w:overflowPunct/>
              <w:topLinePunct w:val="0"/>
              <w:autoSpaceDE/>
              <w:autoSpaceDN/>
              <w:bidi w:val="0"/>
              <w:adjustRightInd/>
              <w:snapToGrid/>
              <w:spacing w:line="360" w:lineRule="auto"/>
              <w:jc w:val="center"/>
              <w:outlineLvl w:val="2"/>
              <w:rPr>
                <w:rFonts w:hint="eastAsia" w:ascii="宋体" w:hAnsi="宋体" w:eastAsia="宋体" w:cs="宋体"/>
                <w:b/>
                <w:bCs/>
                <w:sz w:val="24"/>
                <w:szCs w:val="24"/>
              </w:rPr>
            </w:pPr>
            <w:r>
              <w:rPr>
                <w:rFonts w:hint="eastAsia" w:ascii="宋体" w:hAnsi="宋体" w:eastAsia="宋体" w:cs="宋体"/>
                <w:b/>
                <w:bCs/>
                <w:sz w:val="24"/>
                <w:szCs w:val="24"/>
              </w:rPr>
              <w:t>序号</w:t>
            </w:r>
          </w:p>
        </w:tc>
        <w:tc>
          <w:tcPr>
            <w:tcW w:w="3638" w:type="dxa"/>
            <w:noWrap w:val="0"/>
            <w:vAlign w:val="center"/>
          </w:tcPr>
          <w:p>
            <w:pPr>
              <w:keepNext w:val="0"/>
              <w:keepLines w:val="0"/>
              <w:pageBreakBefore w:val="0"/>
              <w:kinsoku/>
              <w:wordWrap/>
              <w:overflowPunct/>
              <w:topLinePunct w:val="0"/>
              <w:autoSpaceDE/>
              <w:autoSpaceDN/>
              <w:bidi w:val="0"/>
              <w:adjustRightInd/>
              <w:snapToGrid/>
              <w:spacing w:line="360" w:lineRule="auto"/>
              <w:jc w:val="center"/>
              <w:outlineLvl w:val="2"/>
              <w:rPr>
                <w:rFonts w:hint="eastAsia" w:ascii="宋体" w:hAnsi="宋体" w:eastAsia="宋体" w:cs="宋体"/>
                <w:b/>
                <w:bCs/>
                <w:sz w:val="24"/>
                <w:szCs w:val="24"/>
              </w:rPr>
            </w:pPr>
            <w:r>
              <w:rPr>
                <w:rFonts w:hint="eastAsia" w:ascii="宋体" w:hAnsi="宋体" w:eastAsia="宋体" w:cs="宋体"/>
                <w:b/>
                <w:bCs/>
                <w:sz w:val="24"/>
                <w:szCs w:val="24"/>
              </w:rPr>
              <w:t>货物名称</w:t>
            </w:r>
          </w:p>
        </w:tc>
        <w:tc>
          <w:tcPr>
            <w:tcW w:w="2280" w:type="dxa"/>
            <w:noWrap w:val="0"/>
            <w:vAlign w:val="center"/>
          </w:tcPr>
          <w:p>
            <w:pPr>
              <w:keepNext w:val="0"/>
              <w:keepLines w:val="0"/>
              <w:pageBreakBefore w:val="0"/>
              <w:kinsoku/>
              <w:wordWrap/>
              <w:overflowPunct/>
              <w:topLinePunct w:val="0"/>
              <w:autoSpaceDE/>
              <w:autoSpaceDN/>
              <w:bidi w:val="0"/>
              <w:adjustRightInd/>
              <w:snapToGrid/>
              <w:spacing w:line="360" w:lineRule="auto"/>
              <w:jc w:val="center"/>
              <w:outlineLvl w:val="2"/>
              <w:rPr>
                <w:rFonts w:hint="eastAsia" w:ascii="宋体" w:hAnsi="宋体" w:eastAsia="宋体" w:cs="宋体"/>
                <w:b/>
                <w:bCs/>
                <w:sz w:val="24"/>
                <w:szCs w:val="24"/>
              </w:rPr>
            </w:pPr>
            <w:r>
              <w:rPr>
                <w:rFonts w:hint="eastAsia" w:ascii="宋体" w:hAnsi="宋体" w:eastAsia="宋体" w:cs="宋体"/>
                <w:b/>
                <w:bCs/>
                <w:sz w:val="24"/>
                <w:szCs w:val="24"/>
              </w:rPr>
              <w:t>数量</w:t>
            </w:r>
          </w:p>
        </w:tc>
        <w:tc>
          <w:tcPr>
            <w:tcW w:w="2090" w:type="dxa"/>
            <w:noWrap w:val="0"/>
            <w:vAlign w:val="center"/>
          </w:tcPr>
          <w:p>
            <w:pPr>
              <w:keepNext w:val="0"/>
              <w:keepLines w:val="0"/>
              <w:pageBreakBefore w:val="0"/>
              <w:kinsoku/>
              <w:wordWrap/>
              <w:overflowPunct/>
              <w:topLinePunct w:val="0"/>
              <w:autoSpaceDE/>
              <w:autoSpaceDN/>
              <w:bidi w:val="0"/>
              <w:adjustRightInd/>
              <w:snapToGrid/>
              <w:spacing w:line="360" w:lineRule="auto"/>
              <w:jc w:val="center"/>
              <w:outlineLvl w:val="2"/>
              <w:rPr>
                <w:rFonts w:hint="eastAsia" w:ascii="宋体" w:hAnsi="宋体" w:eastAsia="宋体" w:cs="宋体"/>
                <w:b/>
                <w:bCs/>
                <w:sz w:val="24"/>
                <w:szCs w:val="24"/>
              </w:rPr>
            </w:pPr>
            <w:r>
              <w:rPr>
                <w:rFonts w:hint="eastAsia" w:ascii="宋体" w:hAnsi="宋体" w:eastAsia="宋体" w:cs="宋体"/>
                <w:b/>
                <w:bCs/>
                <w:sz w:val="24"/>
                <w:szCs w:val="24"/>
              </w:rPr>
              <w:t>所属行业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5"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sz w:val="24"/>
                <w:szCs w:val="24"/>
              </w:rPr>
            </w:pPr>
            <w:r>
              <w:rPr>
                <w:rFonts w:hint="eastAsia" w:ascii="宋体" w:hAnsi="宋体" w:eastAsia="宋体" w:cs="宋体"/>
                <w:b/>
                <w:bCs/>
                <w:i w:val="0"/>
                <w:iCs w:val="0"/>
                <w:color w:val="000000"/>
                <w:kern w:val="0"/>
                <w:sz w:val="24"/>
                <w:szCs w:val="24"/>
                <w:u w:val="none"/>
                <w:lang w:val="en-US" w:eastAsia="zh-CN" w:bidi="ar"/>
              </w:rPr>
              <w:t>1</w:t>
            </w:r>
          </w:p>
        </w:tc>
        <w:tc>
          <w:tcPr>
            <w:tcW w:w="3638"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sz w:val="24"/>
                <w:szCs w:val="24"/>
              </w:rPr>
            </w:pPr>
            <w:r>
              <w:rPr>
                <w:rFonts w:hint="eastAsia" w:ascii="宋体" w:hAnsi="宋体" w:eastAsia="宋体" w:cs="宋体"/>
                <w:i w:val="0"/>
                <w:iCs w:val="0"/>
                <w:color w:val="000000"/>
                <w:kern w:val="0"/>
                <w:sz w:val="24"/>
                <w:szCs w:val="24"/>
                <w:u w:val="none"/>
                <w:lang w:val="en-US" w:eastAsia="zh-CN" w:bidi="ar"/>
              </w:rPr>
              <w:t>▲护膝、护肘</w:t>
            </w:r>
          </w:p>
        </w:tc>
        <w:tc>
          <w:tcPr>
            <w:tcW w:w="2280"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仿宋_GB2312" w:cs="宋体"/>
                <w:b/>
                <w:bCs/>
                <w:sz w:val="24"/>
                <w:szCs w:val="24"/>
                <w:lang w:val="en-US" w:eastAsia="zh-CN"/>
              </w:rPr>
            </w:pPr>
            <w:r>
              <w:rPr>
                <w:rFonts w:hint="eastAsia" w:ascii="宋体" w:hAnsi="宋体" w:eastAsia="宋体" w:cs="宋体"/>
                <w:b/>
                <w:bCs/>
                <w:i w:val="0"/>
                <w:iCs w:val="0"/>
                <w:color w:val="000000"/>
                <w:kern w:val="0"/>
                <w:sz w:val="24"/>
                <w:szCs w:val="24"/>
                <w:u w:val="none"/>
                <w:lang w:val="en-US" w:eastAsia="zh-CN" w:bidi="ar"/>
              </w:rPr>
              <w:t>2460</w:t>
            </w:r>
            <w:r>
              <w:rPr>
                <w:rFonts w:hint="eastAsia" w:ascii="宋体" w:hAnsi="宋体" w:eastAsia="宋体" w:cs="宋体"/>
                <w:b/>
                <w:bCs/>
                <w:sz w:val="24"/>
                <w:szCs w:val="24"/>
                <w:lang w:val="en-US" w:eastAsia="zh-CN"/>
              </w:rPr>
              <w:t>套</w:t>
            </w:r>
          </w:p>
        </w:tc>
        <w:tc>
          <w:tcPr>
            <w:tcW w:w="2090"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8933" w:type="dxa"/>
            <w:gridSpan w:val="4"/>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本包需提供护膝、护肘样品1套</w:t>
            </w:r>
          </w:p>
        </w:tc>
      </w:tr>
    </w:tbl>
    <w:tbl>
      <w:tblPr>
        <w:tblStyle w:val="57"/>
        <w:tblW w:w="931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33"/>
        <w:gridCol w:w="1020"/>
        <w:gridCol w:w="1102"/>
        <w:gridCol w:w="655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序号</w:t>
            </w:r>
          </w:p>
        </w:tc>
        <w:tc>
          <w:tcPr>
            <w:tcW w:w="9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重要性</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指标项</w:t>
            </w:r>
          </w:p>
        </w:tc>
        <w:tc>
          <w:tcPr>
            <w:tcW w:w="63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技术参数及要求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63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 用于抢险救援作业时的肘部和膝部防护。多层结构，有效防止硬物刺伤、划破，坚固耐用。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5"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63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外层采用强度高、韧性好、耐磨的PVC、TPR（热塑性弹性材料）、TPU（热塑性聚氨酯弹性体材料）等高分子材料，内层采用无毒、防水、抗冲击性好、轻便的缓冲材料，配有舒适网状层，固定装置可调节。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63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内外层均为黑色。穿戴舒适，不易脱落，弹性绑带可快速挂解。</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63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每套配两个护肘、两个护膝。</w:t>
            </w:r>
          </w:p>
        </w:tc>
      </w:tr>
    </w:tbl>
    <w:p>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b/>
          <w:bCs/>
          <w:sz w:val="24"/>
          <w:szCs w:val="24"/>
        </w:rPr>
      </w:pPr>
      <w:r>
        <w:rPr>
          <w:rFonts w:hint="eastAsia" w:ascii="宋体" w:hAnsi="宋体" w:eastAsia="宋体" w:cs="宋体"/>
          <w:b/>
          <w:bCs/>
          <w:sz w:val="24"/>
          <w:szCs w:val="24"/>
        </w:rPr>
        <w:br w:type="page"/>
      </w:r>
    </w:p>
    <w:p>
      <w:pPr>
        <w:keepNext w:val="0"/>
        <w:keepLines w:val="0"/>
        <w:pageBreakBefore w:val="0"/>
        <w:kinsoku/>
        <w:wordWrap/>
        <w:overflowPunct/>
        <w:topLinePunct w:val="0"/>
        <w:autoSpaceDE/>
        <w:autoSpaceDN/>
        <w:bidi w:val="0"/>
        <w:adjustRightInd/>
        <w:snapToGrid/>
        <w:spacing w:line="360" w:lineRule="auto"/>
        <w:outlineLvl w:val="0"/>
        <w:rPr>
          <w:rFonts w:hint="eastAsia" w:ascii="宋体" w:hAnsi="宋体" w:eastAsia="宋体" w:cs="宋体"/>
          <w:b/>
          <w:bCs/>
          <w:sz w:val="24"/>
          <w:szCs w:val="24"/>
        </w:rPr>
      </w:pPr>
      <w:bookmarkStart w:id="44" w:name="_Toc15671"/>
      <w:bookmarkStart w:id="45" w:name="_Toc2441"/>
      <w:r>
        <w:rPr>
          <w:rFonts w:hint="eastAsia" w:ascii="宋体" w:hAnsi="宋体" w:eastAsia="宋体" w:cs="宋体"/>
          <w:b/>
          <w:bCs/>
          <w:sz w:val="24"/>
          <w:szCs w:val="24"/>
        </w:rPr>
        <w:t>第22包：</w:t>
      </w:r>
      <w:r>
        <w:rPr>
          <w:rFonts w:hint="eastAsia" w:ascii="宋体" w:hAnsi="宋体" w:eastAsia="宋体" w:cs="宋体"/>
          <w:b/>
          <w:bCs/>
          <w:sz w:val="24"/>
          <w:szCs w:val="24"/>
          <w:lang w:val="en-US" w:eastAsia="zh-CN"/>
        </w:rPr>
        <w:t>应急逃生自救安全绳</w:t>
      </w:r>
      <w:bookmarkEnd w:id="44"/>
      <w:bookmarkEnd w:id="45"/>
    </w:p>
    <w:tbl>
      <w:tblPr>
        <w:tblStyle w:val="58"/>
        <w:tblW w:w="93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4"/>
        <w:gridCol w:w="1754"/>
        <w:gridCol w:w="5025"/>
        <w:gridCol w:w="15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4" w:type="dxa"/>
            <w:noWrap w:val="0"/>
            <w:vAlign w:val="center"/>
          </w:tcPr>
          <w:p>
            <w:pPr>
              <w:keepNext w:val="0"/>
              <w:keepLines w:val="0"/>
              <w:pageBreakBefore w:val="0"/>
              <w:kinsoku/>
              <w:wordWrap/>
              <w:overflowPunct/>
              <w:topLinePunct w:val="0"/>
              <w:autoSpaceDE/>
              <w:autoSpaceDN/>
              <w:bidi w:val="0"/>
              <w:adjustRightInd/>
              <w:snapToGrid/>
              <w:spacing w:line="360" w:lineRule="auto"/>
              <w:jc w:val="center"/>
              <w:outlineLvl w:val="2"/>
              <w:rPr>
                <w:rFonts w:hint="eastAsia" w:ascii="宋体" w:hAnsi="宋体" w:eastAsia="宋体" w:cs="宋体"/>
                <w:b/>
                <w:bCs/>
                <w:sz w:val="24"/>
                <w:szCs w:val="24"/>
              </w:rPr>
            </w:pPr>
            <w:r>
              <w:rPr>
                <w:rFonts w:hint="eastAsia" w:ascii="宋体" w:hAnsi="宋体" w:eastAsia="宋体" w:cs="宋体"/>
                <w:b/>
                <w:bCs/>
                <w:sz w:val="24"/>
                <w:szCs w:val="24"/>
              </w:rPr>
              <w:t>序号</w:t>
            </w:r>
          </w:p>
        </w:tc>
        <w:tc>
          <w:tcPr>
            <w:tcW w:w="1754" w:type="dxa"/>
            <w:noWrap w:val="0"/>
            <w:vAlign w:val="center"/>
          </w:tcPr>
          <w:p>
            <w:pPr>
              <w:keepNext w:val="0"/>
              <w:keepLines w:val="0"/>
              <w:pageBreakBefore w:val="0"/>
              <w:kinsoku/>
              <w:wordWrap/>
              <w:overflowPunct/>
              <w:topLinePunct w:val="0"/>
              <w:autoSpaceDE/>
              <w:autoSpaceDN/>
              <w:bidi w:val="0"/>
              <w:adjustRightInd/>
              <w:snapToGrid/>
              <w:spacing w:line="360" w:lineRule="auto"/>
              <w:jc w:val="center"/>
              <w:outlineLvl w:val="2"/>
              <w:rPr>
                <w:rFonts w:hint="eastAsia" w:ascii="宋体" w:hAnsi="宋体" w:eastAsia="宋体" w:cs="宋体"/>
                <w:b/>
                <w:bCs/>
                <w:sz w:val="24"/>
                <w:szCs w:val="24"/>
              </w:rPr>
            </w:pPr>
            <w:r>
              <w:rPr>
                <w:rFonts w:hint="eastAsia" w:ascii="宋体" w:hAnsi="宋体" w:eastAsia="宋体" w:cs="宋体"/>
                <w:b/>
                <w:bCs/>
                <w:sz w:val="24"/>
                <w:szCs w:val="24"/>
              </w:rPr>
              <w:t>货物名称</w:t>
            </w:r>
          </w:p>
        </w:tc>
        <w:tc>
          <w:tcPr>
            <w:tcW w:w="5025" w:type="dxa"/>
            <w:noWrap w:val="0"/>
            <w:vAlign w:val="center"/>
          </w:tcPr>
          <w:p>
            <w:pPr>
              <w:keepNext w:val="0"/>
              <w:keepLines w:val="0"/>
              <w:pageBreakBefore w:val="0"/>
              <w:kinsoku/>
              <w:wordWrap/>
              <w:overflowPunct/>
              <w:topLinePunct w:val="0"/>
              <w:autoSpaceDE/>
              <w:autoSpaceDN/>
              <w:bidi w:val="0"/>
              <w:adjustRightInd/>
              <w:snapToGrid/>
              <w:spacing w:line="360" w:lineRule="auto"/>
              <w:jc w:val="center"/>
              <w:outlineLvl w:val="2"/>
              <w:rPr>
                <w:rFonts w:hint="eastAsia" w:ascii="宋体" w:hAnsi="宋体" w:eastAsia="宋体" w:cs="宋体"/>
                <w:b/>
                <w:bCs/>
                <w:sz w:val="24"/>
                <w:szCs w:val="24"/>
              </w:rPr>
            </w:pPr>
            <w:r>
              <w:rPr>
                <w:rFonts w:hint="eastAsia" w:ascii="宋体" w:hAnsi="宋体" w:eastAsia="宋体" w:cs="宋体"/>
                <w:b/>
                <w:bCs/>
                <w:sz w:val="24"/>
                <w:szCs w:val="24"/>
              </w:rPr>
              <w:t>数量</w:t>
            </w:r>
          </w:p>
        </w:tc>
        <w:tc>
          <w:tcPr>
            <w:tcW w:w="1569" w:type="dxa"/>
            <w:noWrap w:val="0"/>
            <w:vAlign w:val="center"/>
          </w:tcPr>
          <w:p>
            <w:pPr>
              <w:keepNext w:val="0"/>
              <w:keepLines w:val="0"/>
              <w:pageBreakBefore w:val="0"/>
              <w:kinsoku/>
              <w:wordWrap/>
              <w:overflowPunct/>
              <w:topLinePunct w:val="0"/>
              <w:autoSpaceDE/>
              <w:autoSpaceDN/>
              <w:bidi w:val="0"/>
              <w:adjustRightInd/>
              <w:snapToGrid/>
              <w:spacing w:line="360" w:lineRule="auto"/>
              <w:jc w:val="center"/>
              <w:outlineLvl w:val="2"/>
              <w:rPr>
                <w:rFonts w:hint="eastAsia" w:ascii="宋体" w:hAnsi="宋体" w:eastAsia="宋体" w:cs="宋体"/>
                <w:b/>
                <w:bCs/>
                <w:sz w:val="24"/>
                <w:szCs w:val="24"/>
              </w:rPr>
            </w:pPr>
            <w:r>
              <w:rPr>
                <w:rFonts w:hint="eastAsia" w:ascii="宋体" w:hAnsi="宋体" w:eastAsia="宋体" w:cs="宋体"/>
                <w:b/>
                <w:bCs/>
                <w:sz w:val="24"/>
                <w:szCs w:val="24"/>
              </w:rPr>
              <w:t>所属行业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4"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sz w:val="24"/>
                <w:szCs w:val="24"/>
              </w:rPr>
            </w:pPr>
            <w:r>
              <w:rPr>
                <w:rFonts w:hint="eastAsia" w:ascii="宋体" w:hAnsi="宋体" w:eastAsia="宋体" w:cs="宋体"/>
                <w:b/>
                <w:bCs/>
                <w:i w:val="0"/>
                <w:iCs w:val="0"/>
                <w:color w:val="000000"/>
                <w:kern w:val="0"/>
                <w:sz w:val="24"/>
                <w:szCs w:val="24"/>
                <w:u w:val="none"/>
                <w:lang w:val="en-US" w:eastAsia="zh-CN" w:bidi="ar"/>
              </w:rPr>
              <w:t>1</w:t>
            </w:r>
          </w:p>
        </w:tc>
        <w:tc>
          <w:tcPr>
            <w:tcW w:w="1754"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sz w:val="24"/>
                <w:szCs w:val="24"/>
              </w:rPr>
            </w:pPr>
            <w:r>
              <w:rPr>
                <w:rFonts w:hint="eastAsia" w:ascii="宋体" w:hAnsi="宋体" w:eastAsia="宋体" w:cs="宋体"/>
                <w:i w:val="0"/>
                <w:iCs w:val="0"/>
                <w:color w:val="000000"/>
                <w:kern w:val="0"/>
                <w:sz w:val="24"/>
                <w:szCs w:val="24"/>
                <w:u w:val="none"/>
                <w:lang w:val="en-US" w:eastAsia="zh-CN" w:bidi="ar"/>
              </w:rPr>
              <w:t>▲应急逃生自救安全绳</w:t>
            </w:r>
          </w:p>
        </w:tc>
        <w:tc>
          <w:tcPr>
            <w:tcW w:w="5025"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sz w:val="24"/>
                <w:szCs w:val="24"/>
                <w:lang w:val="en-US" w:eastAsia="zh-CN"/>
              </w:rPr>
            </w:pPr>
            <w:r>
              <w:rPr>
                <w:rFonts w:hint="eastAsia" w:ascii="宋体" w:hAnsi="宋体" w:eastAsia="宋体" w:cs="宋体"/>
                <w:b/>
                <w:bCs/>
                <w:i w:val="0"/>
                <w:iCs w:val="0"/>
                <w:color w:val="000000"/>
                <w:kern w:val="0"/>
                <w:sz w:val="24"/>
                <w:szCs w:val="24"/>
                <w:u w:val="none"/>
                <w:lang w:val="en-US" w:eastAsia="zh-CN" w:bidi="ar"/>
              </w:rPr>
              <w:t>4155</w:t>
            </w:r>
            <w:r>
              <w:rPr>
                <w:rFonts w:hint="eastAsia" w:ascii="宋体" w:hAnsi="宋体" w:eastAsia="宋体" w:cs="宋体"/>
                <w:b/>
                <w:bCs/>
                <w:sz w:val="24"/>
                <w:szCs w:val="24"/>
                <w:lang w:val="en-US" w:eastAsia="zh-CN"/>
              </w:rPr>
              <w:t>套</w:t>
            </w:r>
          </w:p>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仿宋_GB2312" w:cs="宋体"/>
                <w:b/>
                <w:bCs/>
                <w:sz w:val="24"/>
                <w:szCs w:val="24"/>
                <w:lang w:val="en-US" w:eastAsia="zh-CN"/>
              </w:rPr>
            </w:pPr>
            <w:r>
              <w:rPr>
                <w:rFonts w:hint="eastAsia" w:ascii="宋体" w:hAnsi="宋体" w:eastAsia="宋体" w:cs="宋体"/>
                <w:b/>
                <w:bCs/>
                <w:i w:val="0"/>
                <w:iCs w:val="0"/>
                <w:color w:val="000000"/>
                <w:kern w:val="0"/>
                <w:sz w:val="24"/>
                <w:szCs w:val="24"/>
                <w:u w:val="none"/>
                <w:lang w:val="en-US" w:eastAsia="zh-CN" w:bidi="ar"/>
              </w:rPr>
              <w:t>（第1中标人供货2500</w:t>
            </w:r>
            <w:r>
              <w:rPr>
                <w:rFonts w:hint="eastAsia" w:ascii="宋体" w:hAnsi="宋体" w:eastAsia="宋体" w:cs="宋体"/>
                <w:b/>
                <w:bCs/>
                <w:sz w:val="24"/>
                <w:szCs w:val="24"/>
                <w:lang w:val="en-US" w:eastAsia="zh-CN"/>
              </w:rPr>
              <w:t>套</w:t>
            </w:r>
            <w:r>
              <w:rPr>
                <w:rFonts w:hint="eastAsia" w:ascii="宋体" w:hAnsi="宋体" w:eastAsia="宋体" w:cs="宋体"/>
                <w:b/>
                <w:bCs/>
                <w:i w:val="0"/>
                <w:iCs w:val="0"/>
                <w:color w:val="000000"/>
                <w:kern w:val="0"/>
                <w:sz w:val="24"/>
                <w:szCs w:val="24"/>
                <w:u w:val="none"/>
                <w:lang w:val="en-US" w:eastAsia="zh-CN" w:bidi="ar"/>
              </w:rPr>
              <w:t>，与合肥、芜湖、蚌埠、淮南、马鞍山、淮北、铜陵、安庆、黄山、阜阳支队签订合同；第2中标人供货1655</w:t>
            </w:r>
            <w:r>
              <w:rPr>
                <w:rFonts w:hint="eastAsia" w:ascii="宋体" w:hAnsi="宋体" w:eastAsia="宋体" w:cs="宋体"/>
                <w:b/>
                <w:bCs/>
                <w:sz w:val="24"/>
                <w:szCs w:val="24"/>
                <w:lang w:val="en-US" w:eastAsia="zh-CN"/>
              </w:rPr>
              <w:t>套</w:t>
            </w:r>
            <w:r>
              <w:rPr>
                <w:rFonts w:hint="eastAsia" w:ascii="宋体" w:hAnsi="宋体" w:eastAsia="宋体" w:cs="宋体"/>
                <w:b/>
                <w:bCs/>
                <w:i w:val="0"/>
                <w:iCs w:val="0"/>
                <w:color w:val="000000"/>
                <w:kern w:val="0"/>
                <w:sz w:val="24"/>
                <w:szCs w:val="24"/>
                <w:u w:val="none"/>
                <w:lang w:val="en-US" w:eastAsia="zh-CN" w:bidi="ar"/>
              </w:rPr>
              <w:t>，与宿州、滁州、六安、宣城、池州、亳州支队签订合同。）</w:t>
            </w:r>
          </w:p>
        </w:tc>
        <w:tc>
          <w:tcPr>
            <w:tcW w:w="1569"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9312" w:type="dxa"/>
            <w:gridSpan w:val="4"/>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本包需提供应急逃生自救安全绳样品1套，另外提供安全绳0.5米横截面小样。</w:t>
            </w:r>
          </w:p>
        </w:tc>
      </w:tr>
    </w:tbl>
    <w:tbl>
      <w:tblPr>
        <w:tblStyle w:val="57"/>
        <w:tblW w:w="931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33"/>
        <w:gridCol w:w="1020"/>
        <w:gridCol w:w="1102"/>
        <w:gridCol w:w="655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序号</w:t>
            </w:r>
          </w:p>
        </w:tc>
        <w:tc>
          <w:tcPr>
            <w:tcW w:w="9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重要性</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指标项</w:t>
            </w:r>
          </w:p>
        </w:tc>
        <w:tc>
          <w:tcPr>
            <w:tcW w:w="63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技术参数及要求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技术标准</w:t>
            </w:r>
          </w:p>
        </w:tc>
        <w:tc>
          <w:tcPr>
            <w:tcW w:w="63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1．整套应不少于：8mm安全绳1根、绳包1个、轻型安全钩2个（合金铝质）、轻型下降器（带防慌乱装置）、连接扁带等组件。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63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2．安全绳直径为8mm±0.5mm；长度16m。轻型安全钩和下降器应要求并应与8mm安全绳使用配套。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5"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63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安全绳应为包芯绳结构，安全绳索外皮、内芯均为阻燃耐高温材质（响应文件中具体明确外皮、内芯材质），整绳粗细均匀、结构一致，绳体柔软，主承重部分由连续纤维制成；材质等级应不低于芳纶；绳体上设连续反光标识，在安全绳上4m、8m、12m处设定宽不小于2cm的标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65"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63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安全绳最小破断强度应≥20kN；线密度≤50g/m；延伸率应大于1%且不大于10%（承重达到最小破断强度的10%时）；经204℃±5℃的耐高温性能试验后，不应出现融熔、焦化现象；在600℃±5℃、1.33kN负荷环境下的承载40s，在400℃±5℃、1.33kN负荷环境下承载300s，不应出现断裂现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80"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63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安全绳采用绳环结构收尾，并用同种材料的细绳扎缝50mm，在扎缝处热封并包以裹紧的橡胶或塑料套管，能够一次性展开。安全绳环下方应设置永久性标志，且至少应包括下列内容：1）生产者和/或生产企业名称，应当使用中文全称。2）产品名称及型号。3）产品批号或编号（前6位为生产年、月）。4）法律法规要求标注的其它内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15"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63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轻型下降器：下降器材质为铝合金或同等材质；应能承受不小于5KN的工作负荷，破断负荷≥13.5KN，具备离手掣停功能，可空中悬停，具备防慌乱功能，下降器可与安全绳配合快速便捷使用并回收；在下降器的显著位置应有永久性的标志，其内容为：产品型号、用途、商标（或生产厂名）、批号以及生产日期等。下降器外部标注穿绳方向、操作说明和安全提醒。下降器经GB/T10125规定的48h中性盐雾试验后，外观应符合GB/T6461外观等级评定轻微级的要求，并应保持原有性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45"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63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轻型安全钩：用于消防人员与绳索的自身连接和固定锚点，采用自动锁，安全钩材质为铝合金或同等材质，在开口闭合状态时，轻型消防安全钩长轴的破断强度≥27KN，轻型消防安全钩短轴的破断强度≥7KN；在开口打开状态时，轻型消防安全钩长轴的破断强度≥7KN。在安全钩的显著位置应有永久性的标志，其内容为：产品型号、破断强度、商标（或生产厂名）等。安全钩经GB/T10125规定的48h中性盐雾试验后，外观应符合GB/T6461外观等级评定轻微级的要求，并应保持原有性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05"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63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扁带：材质性能应不低于芳纶，阻燃耐高温，缝合扁带宽度12mm,周长1m,最小破断强度应大于35kN；经600℃±5℃的耐高温性能时，连接扁带不出现融熔、焦化现象。具备高温环境承载性能的连接扁带在600℃±5℃、1.33kN负荷环境下的承载40s，在400℃±5℃、1.33kN负荷环境下承载300s，不出现断裂现象，每条连接扁带做防散处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9"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63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绳包材质应阻燃耐高温,本体耐260℃高温不应有明显变化。绳包应设计有安全绳防止缠绕、垂降墙角保护等功能，应有防水或泄水功能，应能合理放置安全钩、下降器，方便携带于安全腰带上，操作便捷，使用安全。绳包内侧有产品铭牌，其内容为产品型号、生产厂名、装备明细清单及安全使用范围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63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10．整套装备款式、标识、器材配置、绳索长度等应符合统型标准。</w:t>
            </w:r>
          </w:p>
        </w:tc>
      </w:tr>
    </w:tbl>
    <w:p>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b/>
          <w:bCs/>
          <w:sz w:val="24"/>
          <w:szCs w:val="24"/>
        </w:rPr>
      </w:pPr>
      <w:r>
        <w:rPr>
          <w:rFonts w:hint="eastAsia" w:ascii="宋体" w:hAnsi="宋体" w:eastAsia="宋体" w:cs="宋体"/>
          <w:b/>
          <w:bCs/>
          <w:sz w:val="24"/>
          <w:szCs w:val="24"/>
        </w:rPr>
        <w:br w:type="page"/>
      </w:r>
    </w:p>
    <w:p>
      <w:pPr>
        <w:keepNext w:val="0"/>
        <w:keepLines w:val="0"/>
        <w:pageBreakBefore w:val="0"/>
        <w:kinsoku/>
        <w:wordWrap/>
        <w:overflowPunct/>
        <w:topLinePunct w:val="0"/>
        <w:autoSpaceDE/>
        <w:autoSpaceDN/>
        <w:bidi w:val="0"/>
        <w:adjustRightInd/>
        <w:snapToGrid/>
        <w:spacing w:line="360" w:lineRule="auto"/>
        <w:outlineLvl w:val="0"/>
        <w:rPr>
          <w:rFonts w:hint="eastAsia" w:ascii="宋体" w:hAnsi="宋体" w:eastAsia="宋体" w:cs="宋体"/>
          <w:b/>
          <w:bCs/>
          <w:sz w:val="24"/>
          <w:szCs w:val="24"/>
        </w:rPr>
      </w:pPr>
      <w:bookmarkStart w:id="46" w:name="_Toc23599"/>
      <w:bookmarkStart w:id="47" w:name="_Toc12963"/>
      <w:r>
        <w:rPr>
          <w:rFonts w:hint="eastAsia" w:ascii="宋体" w:hAnsi="宋体" w:eastAsia="宋体" w:cs="宋体"/>
          <w:b/>
          <w:bCs/>
          <w:sz w:val="24"/>
          <w:szCs w:val="24"/>
        </w:rPr>
        <w:t>第23包：</w:t>
      </w:r>
      <w:r>
        <w:rPr>
          <w:rFonts w:hint="eastAsia" w:ascii="宋体" w:hAnsi="宋体" w:eastAsia="宋体" w:cs="宋体"/>
          <w:b/>
          <w:bCs/>
          <w:sz w:val="24"/>
          <w:szCs w:val="24"/>
          <w:lang w:val="en-US" w:eastAsia="zh-CN"/>
        </w:rPr>
        <w:t>正压式空气呼吸器（6.8L)</w:t>
      </w:r>
      <w:bookmarkEnd w:id="46"/>
      <w:bookmarkEnd w:id="47"/>
    </w:p>
    <w:tbl>
      <w:tblPr>
        <w:tblStyle w:val="58"/>
        <w:tblW w:w="93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4"/>
        <w:gridCol w:w="2183"/>
        <w:gridCol w:w="4856"/>
        <w:gridCol w:w="13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4" w:type="dxa"/>
            <w:noWrap w:val="0"/>
            <w:vAlign w:val="center"/>
          </w:tcPr>
          <w:p>
            <w:pPr>
              <w:keepNext w:val="0"/>
              <w:keepLines w:val="0"/>
              <w:pageBreakBefore w:val="0"/>
              <w:kinsoku/>
              <w:wordWrap/>
              <w:overflowPunct/>
              <w:topLinePunct w:val="0"/>
              <w:autoSpaceDE/>
              <w:autoSpaceDN/>
              <w:bidi w:val="0"/>
              <w:adjustRightInd/>
              <w:snapToGrid/>
              <w:spacing w:line="360" w:lineRule="auto"/>
              <w:jc w:val="center"/>
              <w:outlineLvl w:val="2"/>
              <w:rPr>
                <w:rFonts w:hint="eastAsia" w:ascii="宋体" w:hAnsi="宋体" w:eastAsia="宋体" w:cs="宋体"/>
                <w:b/>
                <w:bCs/>
                <w:sz w:val="24"/>
                <w:szCs w:val="24"/>
              </w:rPr>
            </w:pPr>
            <w:r>
              <w:rPr>
                <w:rFonts w:hint="eastAsia" w:ascii="宋体" w:hAnsi="宋体" w:eastAsia="宋体" w:cs="宋体"/>
                <w:b/>
                <w:bCs/>
                <w:sz w:val="24"/>
                <w:szCs w:val="24"/>
              </w:rPr>
              <w:t>序号</w:t>
            </w:r>
          </w:p>
        </w:tc>
        <w:tc>
          <w:tcPr>
            <w:tcW w:w="2183" w:type="dxa"/>
            <w:noWrap w:val="0"/>
            <w:vAlign w:val="center"/>
          </w:tcPr>
          <w:p>
            <w:pPr>
              <w:keepNext w:val="0"/>
              <w:keepLines w:val="0"/>
              <w:pageBreakBefore w:val="0"/>
              <w:kinsoku/>
              <w:wordWrap/>
              <w:overflowPunct/>
              <w:topLinePunct w:val="0"/>
              <w:autoSpaceDE/>
              <w:autoSpaceDN/>
              <w:bidi w:val="0"/>
              <w:adjustRightInd/>
              <w:snapToGrid/>
              <w:spacing w:line="360" w:lineRule="auto"/>
              <w:jc w:val="center"/>
              <w:outlineLvl w:val="2"/>
              <w:rPr>
                <w:rFonts w:hint="eastAsia" w:ascii="宋体" w:hAnsi="宋体" w:eastAsia="宋体" w:cs="宋体"/>
                <w:b/>
                <w:bCs/>
                <w:sz w:val="24"/>
                <w:szCs w:val="24"/>
              </w:rPr>
            </w:pPr>
            <w:r>
              <w:rPr>
                <w:rFonts w:hint="eastAsia" w:ascii="宋体" w:hAnsi="宋体" w:eastAsia="宋体" w:cs="宋体"/>
                <w:b/>
                <w:bCs/>
                <w:sz w:val="24"/>
                <w:szCs w:val="24"/>
              </w:rPr>
              <w:t>货物名称</w:t>
            </w:r>
          </w:p>
        </w:tc>
        <w:tc>
          <w:tcPr>
            <w:tcW w:w="4856" w:type="dxa"/>
            <w:noWrap w:val="0"/>
            <w:vAlign w:val="center"/>
          </w:tcPr>
          <w:p>
            <w:pPr>
              <w:keepNext w:val="0"/>
              <w:keepLines w:val="0"/>
              <w:pageBreakBefore w:val="0"/>
              <w:kinsoku/>
              <w:wordWrap/>
              <w:overflowPunct/>
              <w:topLinePunct w:val="0"/>
              <w:autoSpaceDE/>
              <w:autoSpaceDN/>
              <w:bidi w:val="0"/>
              <w:adjustRightInd/>
              <w:snapToGrid/>
              <w:spacing w:line="360" w:lineRule="auto"/>
              <w:jc w:val="center"/>
              <w:outlineLvl w:val="2"/>
              <w:rPr>
                <w:rFonts w:hint="eastAsia" w:ascii="宋体" w:hAnsi="宋体" w:eastAsia="宋体" w:cs="宋体"/>
                <w:b/>
                <w:bCs/>
                <w:sz w:val="24"/>
                <w:szCs w:val="24"/>
              </w:rPr>
            </w:pPr>
            <w:r>
              <w:rPr>
                <w:rFonts w:hint="eastAsia" w:ascii="宋体" w:hAnsi="宋体" w:eastAsia="宋体" w:cs="宋体"/>
                <w:b/>
                <w:bCs/>
                <w:sz w:val="24"/>
                <w:szCs w:val="24"/>
              </w:rPr>
              <w:t>数量</w:t>
            </w:r>
          </w:p>
        </w:tc>
        <w:tc>
          <w:tcPr>
            <w:tcW w:w="1309" w:type="dxa"/>
            <w:noWrap w:val="0"/>
            <w:vAlign w:val="center"/>
          </w:tcPr>
          <w:p>
            <w:pPr>
              <w:keepNext w:val="0"/>
              <w:keepLines w:val="0"/>
              <w:pageBreakBefore w:val="0"/>
              <w:kinsoku/>
              <w:wordWrap/>
              <w:overflowPunct/>
              <w:topLinePunct w:val="0"/>
              <w:autoSpaceDE/>
              <w:autoSpaceDN/>
              <w:bidi w:val="0"/>
              <w:adjustRightInd/>
              <w:snapToGrid/>
              <w:spacing w:line="360" w:lineRule="auto"/>
              <w:jc w:val="center"/>
              <w:outlineLvl w:val="2"/>
              <w:rPr>
                <w:rFonts w:hint="eastAsia" w:ascii="宋体" w:hAnsi="宋体" w:eastAsia="宋体" w:cs="宋体"/>
                <w:b/>
                <w:bCs/>
                <w:sz w:val="24"/>
                <w:szCs w:val="24"/>
              </w:rPr>
            </w:pPr>
            <w:r>
              <w:rPr>
                <w:rFonts w:hint="eastAsia" w:ascii="宋体" w:hAnsi="宋体" w:eastAsia="宋体" w:cs="宋体"/>
                <w:b/>
                <w:bCs/>
                <w:sz w:val="24"/>
                <w:szCs w:val="24"/>
              </w:rPr>
              <w:t>所属行业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4"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sz w:val="24"/>
                <w:szCs w:val="24"/>
              </w:rPr>
            </w:pPr>
            <w:r>
              <w:rPr>
                <w:rFonts w:hint="eastAsia" w:ascii="宋体" w:hAnsi="宋体" w:eastAsia="宋体" w:cs="宋体"/>
                <w:b/>
                <w:bCs/>
                <w:i w:val="0"/>
                <w:iCs w:val="0"/>
                <w:color w:val="000000"/>
                <w:kern w:val="0"/>
                <w:sz w:val="24"/>
                <w:szCs w:val="24"/>
                <w:u w:val="none"/>
                <w:lang w:val="en-US" w:eastAsia="zh-CN" w:bidi="ar"/>
              </w:rPr>
              <w:t>1</w:t>
            </w:r>
          </w:p>
        </w:tc>
        <w:tc>
          <w:tcPr>
            <w:tcW w:w="2183"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sz w:val="24"/>
                <w:szCs w:val="24"/>
              </w:rPr>
            </w:pPr>
            <w:r>
              <w:rPr>
                <w:rFonts w:hint="eastAsia" w:ascii="宋体" w:hAnsi="宋体" w:eastAsia="宋体" w:cs="宋体"/>
                <w:i w:val="0"/>
                <w:iCs w:val="0"/>
                <w:color w:val="000000"/>
                <w:kern w:val="0"/>
                <w:sz w:val="24"/>
                <w:szCs w:val="24"/>
                <w:u w:val="none"/>
                <w:lang w:val="en-US" w:eastAsia="zh-CN" w:bidi="ar"/>
              </w:rPr>
              <w:t>▲正压式空气呼吸器（6.8L)</w:t>
            </w:r>
          </w:p>
        </w:tc>
        <w:tc>
          <w:tcPr>
            <w:tcW w:w="4856"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sz w:val="24"/>
                <w:szCs w:val="24"/>
                <w:lang w:val="en-US" w:eastAsia="zh-CN"/>
              </w:rPr>
            </w:pPr>
            <w:r>
              <w:rPr>
                <w:rFonts w:hint="eastAsia" w:ascii="宋体" w:hAnsi="宋体" w:eastAsia="宋体" w:cs="宋体"/>
                <w:b/>
                <w:bCs/>
                <w:i w:val="0"/>
                <w:iCs w:val="0"/>
                <w:color w:val="000000"/>
                <w:kern w:val="0"/>
                <w:sz w:val="24"/>
                <w:szCs w:val="24"/>
                <w:u w:val="none"/>
                <w:lang w:val="en-US" w:eastAsia="zh-CN" w:bidi="ar"/>
              </w:rPr>
              <w:t>1270</w:t>
            </w:r>
            <w:r>
              <w:rPr>
                <w:rFonts w:hint="eastAsia" w:ascii="宋体" w:hAnsi="宋体" w:eastAsia="宋体" w:cs="宋体"/>
                <w:b/>
                <w:bCs/>
                <w:sz w:val="24"/>
                <w:szCs w:val="24"/>
                <w:lang w:val="en-US" w:eastAsia="zh-CN"/>
              </w:rPr>
              <w:t>套</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仿宋_GB2312" w:cs="宋体"/>
                <w:b/>
                <w:bCs/>
                <w:sz w:val="24"/>
                <w:szCs w:val="24"/>
                <w:lang w:val="en-US" w:eastAsia="zh-CN"/>
              </w:rPr>
            </w:pPr>
            <w:r>
              <w:rPr>
                <w:rFonts w:hint="eastAsia" w:ascii="宋体" w:hAnsi="宋体" w:eastAsia="宋体" w:cs="宋体"/>
                <w:b/>
                <w:bCs/>
                <w:i w:val="0"/>
                <w:iCs w:val="0"/>
                <w:color w:val="000000"/>
                <w:kern w:val="0"/>
                <w:sz w:val="24"/>
                <w:szCs w:val="24"/>
                <w:u w:val="none"/>
                <w:lang w:val="en-US" w:eastAsia="zh-CN" w:bidi="ar"/>
              </w:rPr>
              <w:t>（第1中标人供货759套，与合肥、芜湖、蚌埠、淮南、马鞍山、淮北、铜陵、安庆、黄山支队签订合同；第2中标人供货511套，与阜阳、宿州、滁州、六安、宣城、池州、亳州支队签订合同。）</w:t>
            </w:r>
          </w:p>
        </w:tc>
        <w:tc>
          <w:tcPr>
            <w:tcW w:w="1309"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9312" w:type="dxa"/>
            <w:gridSpan w:val="4"/>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本包需提供样品1套</w:t>
            </w:r>
          </w:p>
        </w:tc>
      </w:tr>
    </w:tbl>
    <w:tbl>
      <w:tblPr>
        <w:tblStyle w:val="57"/>
        <w:tblW w:w="931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33"/>
        <w:gridCol w:w="1020"/>
        <w:gridCol w:w="1102"/>
        <w:gridCol w:w="655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序号</w:t>
            </w:r>
          </w:p>
        </w:tc>
        <w:tc>
          <w:tcPr>
            <w:tcW w:w="9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重要性</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指标项</w:t>
            </w:r>
          </w:p>
        </w:tc>
        <w:tc>
          <w:tcPr>
            <w:tcW w:w="63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技术参数及要求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技术标准</w:t>
            </w:r>
          </w:p>
        </w:tc>
        <w:tc>
          <w:tcPr>
            <w:tcW w:w="63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1．符合国家XF124-2013《正压式消防空气呼吸器》标准；具有耐高温、阻燃、绝缘、防爆、防腐、防水、气密性好等性能。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63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2．工作压力：30MPa,供气流量≥500L/min。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20"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63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气瓶总成：瓶体内层缠绕环形标识，气瓶阀体配置内置式双面显示压力表，能在任何时候显示气瓶内部压力。气瓶水容积：6.8L，全缠绕式碳纤维复合材料；内胆采用高强度、经防腐处理、重量轻的铝合金材料。额定工作压力30Mpa，水压试验压力：50MPa，爆破压力：102MPa。瓶阀体手轮采用防滑设计。气瓶瓶阀接口螺纹规格为G5/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63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4．面罩配独立传声筒或传声膜，传声效果良好。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5"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63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全面罩、视野更大、口鼻罩小，须适合中国人的口鼻特征；面窗采用特殊材料和工艺，具有很强的防碰刮性能；内部永不结雾，头罩采用网状KEVLAR阻燃材料制成。全面罩可选配安装模块化远距离通话装置，方便队员之间相互通信及远距离通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0"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63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6．供气阀配有调节供气装置，可冲刷面罩，易于识别和操作；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63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7．面罩与供气阀采用卡扣式连接，连接牢固，呼吸顺畅；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63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8．减压器可连接两个供气阀及面罩；一级减压器输出端具有腰间输出他救接口，采用快插式连接，输出稳定压力。</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55"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63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9．背板采用增强阻燃材料制作，符合人体工程学设计，大面积镂空。背托外层纺织材料采用本质阻燃材料，抗静电和耐腐蚀。肩带上设有荧光带及面罩放置挂钩；设置供气阀固定装置。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63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10．前置机械压力表与报警哨一体式设计，与高压管的连接为活动式，可360度旋转，压力表表盘荧光显示，便于在黑暗读取数据；报警哨置于肩部前方，报警声≥90dB；</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基本参数</w:t>
            </w:r>
          </w:p>
        </w:tc>
        <w:tc>
          <w:tcPr>
            <w:tcW w:w="63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产品上配置压力平视显示装置，采用有线或无线连接，即插即用，方便面罩和供气阀的互换，3个气源指示灯和一个电池电量指示灯，当气瓶压力在30MPa～10MPa时，绿灯常亮；当气瓶压力在10MPa～6MPa时黄灯常亮；当气瓶压力在6MPa以下时，红灯一直闪亮。电源电量指示灯在低电量时黄灯闪亮；应取得不低于EXIAIICT3GA防爆认证证书</w:t>
            </w:r>
            <w:r>
              <w:rPr>
                <w:rFonts w:hint="eastAsia" w:ascii="宋体" w:hAnsi="宋体" w:eastAsia="宋体" w:cs="宋体"/>
                <w:b/>
                <w:bCs/>
                <w:i w:val="0"/>
                <w:iCs w:val="0"/>
                <w:color w:val="000000"/>
                <w:kern w:val="0"/>
                <w:sz w:val="24"/>
                <w:szCs w:val="24"/>
                <w:u w:val="none"/>
                <w:lang w:val="en-US" w:eastAsia="zh-CN" w:bidi="ar"/>
              </w:rPr>
              <w:t>（投标文件中提供证书扫描件）</w:t>
            </w:r>
            <w:r>
              <w:rPr>
                <w:rFonts w:hint="eastAsia" w:ascii="宋体" w:hAnsi="宋体" w:eastAsia="宋体" w:cs="宋体"/>
                <w:i w:val="0"/>
                <w:iCs w:val="0"/>
                <w:color w:val="000000"/>
                <w:kern w:val="0"/>
                <w:sz w:val="24"/>
                <w:szCs w:val="24"/>
                <w:u w:val="none"/>
                <w:lang w:val="en-US" w:eastAsia="zh-CN" w:bidi="ar"/>
              </w:rPr>
              <w:t>；无电磁干扰。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w:t>
            </w: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产品认证</w:t>
            </w:r>
          </w:p>
        </w:tc>
        <w:tc>
          <w:tcPr>
            <w:tcW w:w="63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ind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产品取得消防产品认证</w:t>
            </w:r>
            <w:r>
              <w:rPr>
                <w:rFonts w:hint="eastAsia" w:ascii="宋体" w:hAnsi="宋体" w:eastAsia="宋体" w:cs="宋体"/>
                <w:b/>
                <w:bCs/>
                <w:i w:val="0"/>
                <w:iCs w:val="0"/>
                <w:color w:val="000000"/>
                <w:kern w:val="0"/>
                <w:sz w:val="24"/>
                <w:szCs w:val="24"/>
                <w:u w:val="none"/>
                <w:lang w:val="en-US" w:eastAsia="zh-CN" w:bidi="ar"/>
              </w:rPr>
              <w:t>（投标文件中提供消防产品认证证书扫描件）</w:t>
            </w:r>
            <w:r>
              <w:rPr>
                <w:rFonts w:hint="eastAsia" w:ascii="宋体" w:hAnsi="宋体" w:eastAsia="宋体" w:cs="宋体"/>
                <w:i w:val="0"/>
                <w:iCs w:val="0"/>
                <w:color w:val="000000"/>
                <w:kern w:val="0"/>
                <w:sz w:val="24"/>
                <w:szCs w:val="24"/>
                <w:u w:val="none"/>
                <w:lang w:val="en-US" w:eastAsia="zh-CN" w:bidi="ar"/>
              </w:rPr>
              <w:t>。</w:t>
            </w:r>
          </w:p>
        </w:tc>
      </w:tr>
    </w:tbl>
    <w:p>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b/>
          <w:bCs/>
          <w:sz w:val="24"/>
          <w:szCs w:val="24"/>
        </w:rPr>
      </w:pPr>
      <w:r>
        <w:rPr>
          <w:rFonts w:hint="eastAsia" w:ascii="宋体" w:hAnsi="宋体" w:eastAsia="宋体" w:cs="宋体"/>
          <w:b/>
          <w:bCs/>
          <w:sz w:val="24"/>
          <w:szCs w:val="24"/>
        </w:rPr>
        <w:br w:type="page"/>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1"/>
        <w:rPr>
          <w:rFonts w:hint="eastAsia" w:eastAsia="宋体"/>
          <w:lang w:eastAsia="zh-CN"/>
        </w:rPr>
      </w:pPr>
      <w:bookmarkStart w:id="48" w:name="_Toc9284"/>
      <w:r>
        <w:rPr>
          <w:rFonts w:hint="eastAsia" w:ascii="宋体" w:hAnsi="宋体" w:eastAsia="宋体"/>
          <w:b/>
          <w:bCs/>
          <w:sz w:val="24"/>
          <w:szCs w:val="18"/>
        </w:rPr>
        <w:t>三、报价要求</w:t>
      </w:r>
      <w:bookmarkEnd w:id="48"/>
    </w:p>
    <w:p>
      <w:pPr>
        <w:spacing w:line="360" w:lineRule="auto"/>
        <w:ind w:firstLine="437"/>
        <w:rPr>
          <w:rFonts w:hint="eastAsia" w:ascii="宋体" w:hAnsi="宋体" w:eastAsia="宋体"/>
          <w:b/>
          <w:bCs w:val="0"/>
          <w:sz w:val="24"/>
          <w:szCs w:val="18"/>
          <w:lang w:eastAsia="zh-CN"/>
        </w:rPr>
      </w:pPr>
      <w:r>
        <w:rPr>
          <w:rFonts w:hint="eastAsia" w:ascii="宋体" w:hAnsi="宋体" w:eastAsia="宋体"/>
          <w:bCs/>
          <w:sz w:val="24"/>
          <w:szCs w:val="18"/>
          <w:lang w:val="en-US" w:eastAsia="zh-CN"/>
        </w:rPr>
        <w:t>1.</w:t>
      </w:r>
      <w:r>
        <w:rPr>
          <w:rFonts w:hint="eastAsia" w:ascii="宋体" w:hAnsi="宋体" w:eastAsia="宋体"/>
          <w:bCs/>
          <w:sz w:val="24"/>
          <w:szCs w:val="18"/>
        </w:rPr>
        <w:t>本项目</w:t>
      </w:r>
      <w:r>
        <w:rPr>
          <w:rFonts w:hint="eastAsia" w:ascii="宋体" w:hAnsi="宋体" w:eastAsia="宋体"/>
          <w:b/>
          <w:bCs w:val="0"/>
          <w:sz w:val="24"/>
          <w:szCs w:val="18"/>
        </w:rPr>
        <w:t>第1-7、9-21包</w:t>
      </w:r>
      <w:r>
        <w:rPr>
          <w:rFonts w:hint="eastAsia" w:ascii="宋体" w:hAnsi="宋体" w:eastAsia="宋体"/>
          <w:bCs/>
          <w:sz w:val="24"/>
          <w:szCs w:val="18"/>
        </w:rPr>
        <w:t>投标人须根据采购内容和要求，报出各包投标总价。投标报价为完成所投包别项目的全费用价格，包含完成所投包别项目所发生的一切费用。</w:t>
      </w:r>
      <w:r>
        <w:rPr>
          <w:rFonts w:hint="eastAsia" w:ascii="宋体" w:hAnsi="宋体" w:eastAsia="宋体"/>
          <w:b/>
          <w:bCs w:val="0"/>
          <w:sz w:val="24"/>
          <w:szCs w:val="18"/>
          <w:lang w:eastAsia="zh-CN"/>
        </w:rPr>
        <w:t>（适用于第</w:t>
      </w:r>
      <w:r>
        <w:rPr>
          <w:rFonts w:hint="eastAsia" w:ascii="宋体" w:hAnsi="宋体" w:eastAsia="宋体"/>
          <w:b/>
          <w:bCs w:val="0"/>
          <w:sz w:val="24"/>
          <w:szCs w:val="18"/>
          <w:lang w:val="en-US" w:eastAsia="zh-CN"/>
        </w:rPr>
        <w:t>1-7、9-21包</w:t>
      </w:r>
      <w:r>
        <w:rPr>
          <w:rFonts w:hint="eastAsia" w:ascii="宋体" w:hAnsi="宋体" w:eastAsia="宋体"/>
          <w:b/>
          <w:bCs w:val="0"/>
          <w:sz w:val="24"/>
          <w:szCs w:val="18"/>
          <w:lang w:eastAsia="zh-CN"/>
        </w:rPr>
        <w:t>）</w:t>
      </w:r>
    </w:p>
    <w:p>
      <w:pPr>
        <w:pStyle w:val="2"/>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sz w:val="24"/>
          <w:szCs w:val="18"/>
          <w:lang w:val="en-US" w:eastAsia="zh-CN"/>
        </w:rPr>
      </w:pPr>
      <w:r>
        <w:rPr>
          <w:rFonts w:hint="eastAsia" w:ascii="宋体" w:hAnsi="宋体"/>
          <w:b w:val="0"/>
          <w:bCs/>
          <w:sz w:val="24"/>
          <w:szCs w:val="18"/>
          <w:lang w:val="en-US" w:eastAsia="zh-CN"/>
        </w:rPr>
        <w:t>2.本项目</w:t>
      </w:r>
      <w:r>
        <w:rPr>
          <w:rFonts w:hint="eastAsia" w:ascii="宋体" w:hAnsi="宋体" w:eastAsia="宋体"/>
          <w:b/>
          <w:bCs w:val="0"/>
          <w:sz w:val="24"/>
          <w:szCs w:val="18"/>
        </w:rPr>
        <w:t>第8、22</w:t>
      </w:r>
      <w:r>
        <w:rPr>
          <w:rFonts w:hint="eastAsia" w:ascii="宋体" w:hAnsi="宋体"/>
          <w:b/>
          <w:bCs w:val="0"/>
          <w:sz w:val="24"/>
          <w:szCs w:val="18"/>
          <w:lang w:eastAsia="zh-CN"/>
        </w:rPr>
        <w:t>、</w:t>
      </w:r>
      <w:r>
        <w:rPr>
          <w:rFonts w:hint="eastAsia" w:ascii="宋体" w:hAnsi="宋体"/>
          <w:b/>
          <w:bCs w:val="0"/>
          <w:sz w:val="24"/>
          <w:szCs w:val="18"/>
          <w:lang w:val="en-US" w:eastAsia="zh-CN"/>
        </w:rPr>
        <w:t>23</w:t>
      </w:r>
      <w:r>
        <w:rPr>
          <w:rFonts w:hint="eastAsia" w:ascii="宋体" w:hAnsi="宋体" w:eastAsia="宋体"/>
          <w:b/>
          <w:bCs w:val="0"/>
          <w:sz w:val="24"/>
          <w:szCs w:val="18"/>
        </w:rPr>
        <w:t>包</w:t>
      </w:r>
      <w:r>
        <w:rPr>
          <w:rFonts w:hint="eastAsia" w:ascii="宋体" w:hAnsi="宋体"/>
          <w:b w:val="0"/>
          <w:bCs/>
          <w:sz w:val="24"/>
          <w:szCs w:val="18"/>
          <w:lang w:val="en-US" w:eastAsia="zh-CN"/>
        </w:rPr>
        <w:t>报综合单价。</w:t>
      </w:r>
      <w:r>
        <w:rPr>
          <w:rFonts w:hint="eastAsia" w:ascii="宋体" w:hAnsi="宋体" w:eastAsia="宋体"/>
          <w:bCs/>
          <w:sz w:val="24"/>
          <w:szCs w:val="18"/>
        </w:rPr>
        <w:t>投标</w:t>
      </w:r>
      <w:r>
        <w:rPr>
          <w:rFonts w:hint="eastAsia" w:ascii="宋体" w:hAnsi="宋体"/>
          <w:b w:val="0"/>
          <w:bCs/>
          <w:sz w:val="24"/>
          <w:szCs w:val="18"/>
          <w:lang w:val="en-US" w:eastAsia="zh-CN"/>
        </w:rPr>
        <w:t>报价包括为完成所投包别项目所需的材料费、人工费、运输费、相关税费等一切费用。综合单价作为结算的依据。结算时按实际供货数量据实结算，最终结算金额不超过本包预算。</w:t>
      </w:r>
      <w:r>
        <w:rPr>
          <w:rFonts w:hint="eastAsia" w:ascii="宋体" w:hAnsi="宋体"/>
          <w:b/>
          <w:bCs w:val="0"/>
          <w:sz w:val="24"/>
          <w:szCs w:val="18"/>
          <w:lang w:val="en-US" w:eastAsia="zh-CN"/>
        </w:rPr>
        <w:t>（适用于第8、22、23包）</w:t>
      </w:r>
    </w:p>
    <w:p>
      <w:pPr>
        <w:spacing w:line="360" w:lineRule="auto"/>
        <w:ind w:firstLine="437"/>
        <w:outlineLvl w:val="1"/>
        <w:rPr>
          <w:rFonts w:hint="eastAsia" w:ascii="宋体" w:hAnsi="宋体" w:eastAsia="宋体"/>
          <w:b/>
          <w:bCs/>
          <w:sz w:val="24"/>
          <w:szCs w:val="18"/>
          <w:lang w:eastAsia="zh-CN"/>
        </w:rPr>
      </w:pPr>
      <w:bookmarkStart w:id="49" w:name="_Toc417"/>
      <w:r>
        <w:rPr>
          <w:rFonts w:hint="eastAsia" w:ascii="宋体" w:hAnsi="宋体" w:eastAsia="宋体"/>
          <w:b/>
          <w:bCs/>
          <w:sz w:val="24"/>
          <w:szCs w:val="18"/>
        </w:rPr>
        <w:t>四、样品要求</w:t>
      </w:r>
      <w:r>
        <w:rPr>
          <w:rFonts w:hint="eastAsia" w:ascii="宋体" w:hAnsi="宋体" w:eastAsia="宋体"/>
          <w:b/>
          <w:bCs/>
          <w:sz w:val="24"/>
          <w:szCs w:val="18"/>
          <w:lang w:eastAsia="zh-CN"/>
        </w:rPr>
        <w:t>（第</w:t>
      </w:r>
      <w:r>
        <w:rPr>
          <w:rFonts w:hint="eastAsia" w:ascii="宋体" w:hAnsi="宋体" w:eastAsia="宋体"/>
          <w:b/>
          <w:bCs/>
          <w:sz w:val="24"/>
          <w:szCs w:val="18"/>
          <w:lang w:val="en-US" w:eastAsia="zh-CN"/>
        </w:rPr>
        <w:t>1-23包</w:t>
      </w:r>
      <w:r>
        <w:rPr>
          <w:rFonts w:hint="eastAsia" w:ascii="宋体" w:hAnsi="宋体" w:eastAsia="宋体"/>
          <w:b/>
          <w:bCs/>
          <w:sz w:val="24"/>
          <w:szCs w:val="18"/>
          <w:lang w:eastAsia="zh-CN"/>
        </w:rPr>
        <w:t>）</w:t>
      </w:r>
      <w:bookmarkEnd w:id="49"/>
    </w:p>
    <w:p>
      <w:pPr>
        <w:spacing w:line="360" w:lineRule="auto"/>
        <w:ind w:firstLine="480" w:firstLineChars="200"/>
        <w:rPr>
          <w:rFonts w:ascii="宋体" w:hAnsi="宋体" w:eastAsia="宋体"/>
          <w:bCs/>
          <w:sz w:val="24"/>
          <w:szCs w:val="18"/>
        </w:rPr>
      </w:pPr>
      <w:r>
        <w:rPr>
          <w:rFonts w:hint="eastAsia" w:ascii="宋体" w:hAnsi="宋体" w:eastAsia="宋体"/>
          <w:bCs/>
          <w:sz w:val="24"/>
          <w:szCs w:val="18"/>
        </w:rPr>
        <w:t>1.</w:t>
      </w:r>
      <w:r>
        <w:rPr>
          <w:rFonts w:ascii="宋体" w:hAnsi="宋体" w:eastAsia="宋体"/>
          <w:bCs/>
          <w:sz w:val="24"/>
          <w:szCs w:val="18"/>
        </w:rPr>
        <w:t>投标样品是投标文件的组成部分。投标前，投标</w:t>
      </w:r>
      <w:r>
        <w:rPr>
          <w:rFonts w:hint="eastAsia" w:ascii="宋体" w:hAnsi="宋体" w:eastAsia="宋体"/>
          <w:bCs/>
          <w:sz w:val="24"/>
          <w:szCs w:val="18"/>
        </w:rPr>
        <w:t>人</w:t>
      </w:r>
      <w:r>
        <w:rPr>
          <w:rFonts w:ascii="宋体" w:hAnsi="宋体" w:eastAsia="宋体"/>
          <w:bCs/>
          <w:sz w:val="24"/>
          <w:szCs w:val="18"/>
        </w:rPr>
        <w:t>应按招标文件规定准备投标样品。并在样品上标记以下信息：</w:t>
      </w:r>
    </w:p>
    <w:p>
      <w:pPr>
        <w:spacing w:line="360" w:lineRule="auto"/>
        <w:ind w:firstLine="480" w:firstLineChars="200"/>
        <w:rPr>
          <w:rFonts w:ascii="宋体" w:hAnsi="宋体" w:eastAsia="宋体"/>
          <w:bCs/>
          <w:sz w:val="24"/>
          <w:szCs w:val="18"/>
        </w:rPr>
      </w:pPr>
      <w:r>
        <w:rPr>
          <w:rFonts w:ascii="宋体" w:hAnsi="宋体" w:eastAsia="宋体"/>
          <w:bCs/>
          <w:sz w:val="24"/>
          <w:szCs w:val="18"/>
        </w:rPr>
        <w:t>“</w:t>
      </w:r>
      <w:r>
        <w:rPr>
          <w:rFonts w:hint="eastAsia" w:ascii="宋体" w:hAnsi="宋体" w:eastAsia="宋体"/>
          <w:bCs/>
          <w:sz w:val="24"/>
          <w:szCs w:val="18"/>
          <w:lang w:eastAsia="zh-CN"/>
        </w:rPr>
        <w:t>2020年全省灭火救援装备集中采购（防护装备）</w:t>
      </w:r>
      <w:r>
        <w:rPr>
          <w:rFonts w:ascii="宋体" w:hAnsi="宋体" w:eastAsia="宋体"/>
          <w:bCs/>
          <w:sz w:val="24"/>
          <w:szCs w:val="18"/>
        </w:rPr>
        <w:t xml:space="preserve"> 第   包”（投标</w:t>
      </w:r>
      <w:r>
        <w:rPr>
          <w:rFonts w:hint="eastAsia" w:ascii="宋体" w:hAnsi="宋体" w:eastAsia="宋体"/>
          <w:bCs/>
          <w:sz w:val="24"/>
          <w:szCs w:val="18"/>
        </w:rPr>
        <w:t>人</w:t>
      </w:r>
      <w:r>
        <w:rPr>
          <w:rFonts w:ascii="宋体" w:hAnsi="宋体" w:eastAsia="宋体"/>
          <w:bCs/>
          <w:sz w:val="24"/>
          <w:szCs w:val="18"/>
        </w:rPr>
        <w:t>全称）样品；</w:t>
      </w:r>
    </w:p>
    <w:p>
      <w:pPr>
        <w:spacing w:line="360" w:lineRule="auto"/>
        <w:ind w:firstLine="480" w:firstLineChars="200"/>
        <w:rPr>
          <w:rFonts w:hint="eastAsia" w:ascii="宋体" w:hAnsi="宋体" w:eastAsia="宋体" w:cs="宋体"/>
          <w:bCs/>
          <w:sz w:val="24"/>
          <w:szCs w:val="18"/>
        </w:rPr>
      </w:pPr>
      <w:r>
        <w:rPr>
          <w:rFonts w:hint="eastAsia" w:ascii="宋体" w:hAnsi="宋体" w:eastAsia="宋体" w:cs="宋体"/>
          <w:bCs/>
          <w:sz w:val="24"/>
          <w:szCs w:val="18"/>
        </w:rPr>
        <w:t>2.投标时，投标人应提交样品并送达指定地点；投标文件递交截止时间后提交的样品，不予接收。</w:t>
      </w:r>
    </w:p>
    <w:p>
      <w:pPr>
        <w:spacing w:line="360" w:lineRule="auto"/>
        <w:ind w:firstLine="480" w:firstLineChars="200"/>
        <w:rPr>
          <w:rFonts w:hint="eastAsia" w:ascii="宋体" w:hAnsi="宋体" w:eastAsia="宋体" w:cs="宋体"/>
          <w:bCs/>
          <w:sz w:val="24"/>
          <w:szCs w:val="18"/>
        </w:rPr>
      </w:pPr>
      <w:r>
        <w:rPr>
          <w:rFonts w:hint="eastAsia" w:ascii="宋体" w:hAnsi="宋体" w:eastAsia="宋体" w:cs="宋体"/>
          <w:bCs/>
          <w:sz w:val="24"/>
          <w:szCs w:val="18"/>
        </w:rPr>
        <w:t>3.投标样品送达地：</w:t>
      </w:r>
      <w:r>
        <w:rPr>
          <w:rFonts w:hint="eastAsia" w:ascii="宋体" w:hAnsi="宋体" w:eastAsia="宋体" w:cs="宋体"/>
          <w:bCs/>
          <w:sz w:val="24"/>
          <w:szCs w:val="18"/>
          <w:u w:val="single"/>
        </w:rPr>
        <w:t>同开标地点</w:t>
      </w:r>
    </w:p>
    <w:p>
      <w:pPr>
        <w:spacing w:line="360" w:lineRule="auto"/>
        <w:ind w:firstLine="480" w:firstLineChars="200"/>
        <w:rPr>
          <w:rFonts w:hint="eastAsia" w:ascii="宋体" w:hAnsi="宋体" w:eastAsia="宋体" w:cs="宋体"/>
          <w:b/>
          <w:bCs/>
          <w:sz w:val="24"/>
          <w:szCs w:val="18"/>
        </w:rPr>
      </w:pPr>
      <w:r>
        <w:rPr>
          <w:rFonts w:hint="eastAsia" w:ascii="宋体" w:hAnsi="宋体" w:eastAsia="宋体" w:cs="宋体"/>
          <w:bCs/>
          <w:sz w:val="24"/>
          <w:szCs w:val="18"/>
        </w:rPr>
        <w:t>4.投标人未提供样品或提供样品不全的：</w:t>
      </w:r>
      <w:r>
        <w:rPr>
          <w:rFonts w:hint="eastAsia" w:ascii="宋体" w:hAnsi="宋体" w:eastAsia="宋体" w:cs="宋体"/>
          <w:b/>
          <w:bCs/>
          <w:sz w:val="24"/>
          <w:szCs w:val="18"/>
          <w:u w:val="single"/>
        </w:rPr>
        <w:t>按照评标方法和标准进行扣分</w:t>
      </w:r>
      <w:r>
        <w:rPr>
          <w:rFonts w:hint="eastAsia" w:ascii="宋体" w:hAnsi="宋体" w:eastAsia="宋体" w:cs="宋体"/>
          <w:b/>
          <w:bCs/>
          <w:sz w:val="24"/>
          <w:szCs w:val="18"/>
        </w:rPr>
        <w:t>。</w:t>
      </w:r>
    </w:p>
    <w:p>
      <w:pPr>
        <w:spacing w:line="360" w:lineRule="auto"/>
        <w:ind w:firstLine="480" w:firstLineChars="200"/>
        <w:rPr>
          <w:rFonts w:hint="eastAsia" w:ascii="宋体" w:hAnsi="宋体" w:eastAsia="宋体" w:cs="宋体"/>
          <w:bCs/>
          <w:sz w:val="24"/>
          <w:szCs w:val="18"/>
          <w:lang w:eastAsia="zh-CN"/>
        </w:rPr>
      </w:pPr>
      <w:r>
        <w:rPr>
          <w:rFonts w:hint="eastAsia" w:ascii="宋体" w:hAnsi="宋体" w:eastAsia="宋体" w:cs="宋体"/>
          <w:bCs/>
          <w:sz w:val="24"/>
          <w:szCs w:val="18"/>
        </w:rPr>
        <w:t>4.1本项目要求提供的样品</w:t>
      </w:r>
      <w:r>
        <w:rPr>
          <w:rFonts w:hint="eastAsia" w:ascii="宋体" w:hAnsi="宋体" w:eastAsia="宋体" w:cs="宋体"/>
          <w:b/>
          <w:bCs w:val="0"/>
          <w:sz w:val="24"/>
          <w:szCs w:val="18"/>
          <w:lang w:eastAsia="zh-CN"/>
        </w:rPr>
        <w:t>详见采购需求；</w:t>
      </w:r>
    </w:p>
    <w:p>
      <w:pPr>
        <w:spacing w:line="360" w:lineRule="auto"/>
        <w:ind w:firstLine="480" w:firstLineChars="200"/>
        <w:rPr>
          <w:rFonts w:hint="eastAsia" w:ascii="宋体" w:hAnsi="宋体" w:eastAsia="宋体" w:cs="宋体"/>
          <w:b/>
          <w:bCs/>
          <w:sz w:val="24"/>
          <w:szCs w:val="18"/>
          <w:u w:val="single"/>
          <w:lang w:eastAsia="zh-CN"/>
        </w:rPr>
      </w:pPr>
      <w:r>
        <w:rPr>
          <w:rFonts w:hint="eastAsia" w:ascii="宋体" w:hAnsi="宋体" w:eastAsia="宋体" w:cs="宋体"/>
          <w:bCs/>
          <w:sz w:val="24"/>
          <w:szCs w:val="18"/>
        </w:rPr>
        <w:t>4.2是否需要提交样品检测报告：</w:t>
      </w:r>
      <w:r>
        <w:rPr>
          <w:rFonts w:hint="eastAsia" w:ascii="宋体" w:hAnsi="宋体" w:eastAsia="宋体" w:cs="宋体"/>
          <w:b/>
          <w:bCs/>
          <w:sz w:val="24"/>
          <w:szCs w:val="18"/>
          <w:u w:val="single"/>
        </w:rPr>
        <w:t>否</w:t>
      </w:r>
      <w:r>
        <w:rPr>
          <w:rFonts w:hint="eastAsia" w:ascii="宋体" w:hAnsi="宋体" w:eastAsia="宋体" w:cs="宋体"/>
          <w:b/>
          <w:bCs/>
          <w:sz w:val="24"/>
          <w:szCs w:val="18"/>
          <w:u w:val="single"/>
          <w:lang w:eastAsia="zh-CN"/>
        </w:rPr>
        <w:t>；</w:t>
      </w:r>
    </w:p>
    <w:p>
      <w:pPr>
        <w:spacing w:line="360" w:lineRule="auto"/>
        <w:ind w:firstLine="480" w:firstLineChars="200"/>
        <w:rPr>
          <w:rFonts w:hint="eastAsia" w:ascii="宋体" w:hAnsi="宋体" w:eastAsia="宋体" w:cs="宋体"/>
          <w:bCs/>
          <w:sz w:val="24"/>
          <w:szCs w:val="18"/>
          <w:lang w:eastAsia="zh-CN"/>
        </w:rPr>
      </w:pPr>
      <w:r>
        <w:rPr>
          <w:rFonts w:hint="eastAsia" w:ascii="宋体" w:hAnsi="宋体" w:eastAsia="宋体" w:cs="宋体"/>
          <w:bCs/>
          <w:sz w:val="24"/>
          <w:szCs w:val="18"/>
        </w:rPr>
        <w:t>5.投标人提交的样品经评标委员会评审认定不合格的：</w:t>
      </w:r>
      <w:r>
        <w:rPr>
          <w:rFonts w:hint="eastAsia" w:ascii="宋体" w:hAnsi="宋体" w:eastAsia="宋体" w:cs="宋体"/>
          <w:b/>
          <w:bCs/>
          <w:sz w:val="24"/>
          <w:szCs w:val="18"/>
          <w:u w:val="single"/>
        </w:rPr>
        <w:t>按照评分办法进行扣分</w:t>
      </w:r>
      <w:r>
        <w:rPr>
          <w:rFonts w:hint="eastAsia" w:ascii="宋体" w:hAnsi="宋体" w:eastAsia="宋体" w:cs="宋体"/>
          <w:b/>
          <w:bCs/>
          <w:sz w:val="24"/>
          <w:szCs w:val="18"/>
          <w:u w:val="single"/>
          <w:lang w:eastAsia="zh-CN"/>
        </w:rPr>
        <w:t>；</w:t>
      </w:r>
    </w:p>
    <w:p>
      <w:pPr>
        <w:spacing w:line="360" w:lineRule="auto"/>
        <w:ind w:firstLine="480" w:firstLineChars="200"/>
        <w:rPr>
          <w:rFonts w:hint="eastAsia" w:ascii="宋体" w:hAnsi="宋体" w:eastAsia="宋体" w:cs="宋体"/>
          <w:bCs/>
          <w:sz w:val="24"/>
          <w:szCs w:val="18"/>
          <w:lang w:eastAsia="zh-CN"/>
        </w:rPr>
      </w:pPr>
      <w:r>
        <w:rPr>
          <w:rFonts w:hint="eastAsia" w:ascii="宋体" w:hAnsi="宋体" w:eastAsia="宋体" w:cs="宋体"/>
          <w:bCs/>
          <w:sz w:val="24"/>
          <w:szCs w:val="18"/>
        </w:rPr>
        <w:t>6.中标人的竞标样品将由采购人封存作为履约验收的标准；其余投标人的样品，将在评审结束后退还</w:t>
      </w:r>
      <w:r>
        <w:rPr>
          <w:rFonts w:hint="eastAsia" w:ascii="宋体" w:hAnsi="宋体" w:eastAsia="宋体" w:cs="宋体"/>
          <w:bCs/>
          <w:sz w:val="24"/>
          <w:szCs w:val="18"/>
          <w:lang w:eastAsia="zh-CN"/>
        </w:rPr>
        <w:t>，</w:t>
      </w:r>
      <w:r>
        <w:rPr>
          <w:rFonts w:hint="eastAsia" w:ascii="宋体" w:hAnsi="宋体" w:eastAsia="宋体" w:cs="宋体"/>
          <w:b/>
          <w:bCs w:val="0"/>
          <w:sz w:val="24"/>
          <w:szCs w:val="18"/>
          <w:lang w:eastAsia="zh-CN"/>
        </w:rPr>
        <w:t>采购人或采购代理机构不负责保存样品。如发生损坏、丢失等情况，由投标人自行承担。</w:t>
      </w:r>
    </w:p>
    <w:p>
      <w:pPr>
        <w:keepNext w:val="0"/>
        <w:keepLines w:val="0"/>
        <w:pageBreakBefore w:val="0"/>
        <w:widowControl w:val="0"/>
        <w:numPr>
          <w:numId w:val="0"/>
        </w:numPr>
        <w:kinsoku/>
        <w:wordWrap/>
        <w:overflowPunct/>
        <w:topLinePunct w:val="0"/>
        <w:autoSpaceDE/>
        <w:autoSpaceDN/>
        <w:bidi w:val="0"/>
        <w:adjustRightInd/>
        <w:snapToGrid/>
        <w:spacing w:line="360" w:lineRule="auto"/>
        <w:jc w:val="both"/>
        <w:textAlignment w:val="auto"/>
        <w:outlineLvl w:val="0"/>
        <w:rPr>
          <w:rFonts w:hint="eastAsia" w:ascii="宋体" w:hAnsi="宋体" w:eastAsia="宋体" w:cs="宋体"/>
          <w:b w:val="0"/>
          <w:bCs/>
          <w:sz w:val="24"/>
          <w:szCs w:val="24"/>
          <w:lang w:eastAsia="zh-CN"/>
        </w:rPr>
      </w:pPr>
      <w:bookmarkStart w:id="50" w:name="_GoBack"/>
      <w:bookmarkEnd w:id="50"/>
    </w:p>
    <w:sectPr>
      <w:headerReference r:id="rId4" w:type="default"/>
      <w:footerReference r:id="rId5" w:type="default"/>
      <w:footerReference r:id="rId6" w:type="even"/>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B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ourier New">
    <w:panose1 w:val="02070309020205020404"/>
    <w:charset w:val="00"/>
    <w:family w:val="modern"/>
    <w:pitch w:val="default"/>
    <w:sig w:usb0="E0002AFF" w:usb1="C0007843" w:usb2="00000009" w:usb3="00000000" w:csb0="400001FF" w:csb1="FFFF0000"/>
  </w:font>
  <w:font w:name="Cambria">
    <w:panose1 w:val="02040503050406030204"/>
    <w:charset w:val="00"/>
    <w:family w:val="roman"/>
    <w:pitch w:val="default"/>
    <w:sig w:usb0="E00002FF" w:usb1="400004FF" w:usb2="00000000" w:usb3="00000000" w:csb0="2000019F" w:csb1="00000000"/>
  </w:font>
  <w:font w:name="Cambria Math">
    <w:panose1 w:val="02040503050406030204"/>
    <w:charset w:val="00"/>
    <w:family w:val="roman"/>
    <w:pitch w:val="default"/>
    <w:sig w:usb0="E00002FF" w:usb1="420024FF" w:usb2="00000000" w:usb3="00000000" w:csb0="2000019F" w:csb1="00000000"/>
  </w:font>
  <w:font w:name="Tahoma">
    <w:panose1 w:val="020B0604030504040204"/>
    <w:charset w:val="00"/>
    <w:family w:val="swiss"/>
    <w:pitch w:val="default"/>
    <w:sig w:usb0="E1002EFF" w:usb1="C000605B" w:usb2="00000029" w:usb3="00000000" w:csb0="200101FF" w:csb1="20280000"/>
  </w:font>
  <w:font w:name="幼圆">
    <w:panose1 w:val="0201050906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Microsoft YaHei UI">
    <w:altName w:val="宋体"/>
    <w:panose1 w:val="00000000000000000000"/>
    <w:charset w:val="86"/>
    <w:family w:val="swiss"/>
    <w:pitch w:val="default"/>
    <w:sig w:usb0="00000000" w:usb1="00000000" w:usb2="00000016" w:usb3="00000000" w:csb0="0004001F" w:csb1="00000000"/>
  </w:font>
  <w:font w:name="Sartorius Rotis Sans">
    <w:altName w:val="宋体"/>
    <w:panose1 w:val="00000000000000000000"/>
    <w:charset w:val="86"/>
    <w:family w:val="auto"/>
    <w:pitch w:val="default"/>
    <w:sig w:usb0="00000000" w:usb1="00000000" w:usb2="00000010" w:usb3="00000000" w:csb0="00040000" w:csb1="00000000"/>
  </w:font>
  <w:font w:name="Univers LT Std 45 Light">
    <w:altName w:val="新宋体"/>
    <w:panose1 w:val="00000000000000000000"/>
    <w:charset w:val="86"/>
    <w:family w:val="roman"/>
    <w:pitch w:val="default"/>
    <w:sig w:usb0="00000000" w:usb1="00000000" w:usb2="00000010" w:usb3="00000000" w:csb0="00040001" w:csb1="00000000"/>
  </w:font>
  <w:font w:name="Arial Unicode MS">
    <w:panose1 w:val="020B0604020202020204"/>
    <w:charset w:val="86"/>
    <w:family w:val="swiss"/>
    <w:pitch w:val="default"/>
    <w:sig w:usb0="FFFFFFFF" w:usb1="E9FFFFFF" w:usb2="0000003F" w:usb3="00000000" w:csb0="603F01FF" w:csb1="FFFF0000"/>
  </w:font>
  <w:font w:name="Arial">
    <w:panose1 w:val="020B0604020202020204"/>
    <w:charset w:val="00"/>
    <w:family w:val="swiss"/>
    <w:pitch w:val="default"/>
    <w:sig w:usb0="E0002AFF" w:usb1="C0007843" w:usb2="00000009" w:usb3="00000000" w:csb0="400001FF" w:csb1="FFFF0000"/>
  </w:font>
  <w:font w:name="Plotter">
    <w:altName w:val="Times New Roman"/>
    <w:panose1 w:val="00000000000000000000"/>
    <w:charset w:val="00"/>
    <w:family w:val="roman"/>
    <w:pitch w:val="default"/>
    <w:sig w:usb0="00000000" w:usb1="00000000" w:usb2="00000000" w:usb3="00000000" w:csb0="00040001"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新宋体">
    <w:panose1 w:val="02010609030101010101"/>
    <w:charset w:val="86"/>
    <w:family w:val="auto"/>
    <w:pitch w:val="default"/>
    <w:sig w:usb0="00000003" w:usb1="288F0000" w:usb2="00000006" w:usb3="00000000" w:csb0="00040001"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center"/>
      <w:rPr>
        <w:rFonts w:asciiTheme="minorEastAsia" w:hAnsiTheme="minorEastAsia" w:eastAsiaTheme="minorEastAsia"/>
        <w:sz w:val="21"/>
        <w:szCs w:val="21"/>
      </w:rPr>
    </w:pPr>
    <w:r>
      <w:rPr>
        <w:sz w:val="21"/>
      </w:rPr>
      <w:pict>
        <v:shape id="_x0000_s2049" o:spid="_x0000_s2049"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path/>
          <v:fill on="f" focussize="0,0"/>
          <v:stroke on="f" weight="0.5pt"/>
          <v:imagedata o:title=""/>
          <o:lock v:ext="edit" aspectratio="f"/>
          <v:textbox inset="0mm,0mm,0mm,0mm" style="mso-fit-shape-to-text:t;">
            <w:txbxContent>
              <w:p>
                <w:pPr>
                  <w:pStyle w:val="37"/>
                  <w:rPr>
                    <w:sz w:val="20"/>
                    <w:szCs w:val="20"/>
                  </w:rPr>
                </w:pPr>
                <w:r>
                  <w:rPr>
                    <w:rFonts w:hint="eastAsia" w:ascii="宋体" w:hAnsi="宋体" w:eastAsia="宋体" w:cs="宋体"/>
                    <w:sz w:val="20"/>
                    <w:szCs w:val="20"/>
                  </w:rPr>
                  <w:t xml:space="preserve">第 </w:t>
                </w:r>
                <w:r>
                  <w:rPr>
                    <w:rFonts w:hint="eastAsia" w:ascii="宋体" w:hAnsi="宋体" w:eastAsia="宋体" w:cs="宋体"/>
                    <w:sz w:val="20"/>
                    <w:szCs w:val="20"/>
                  </w:rPr>
                  <w:fldChar w:fldCharType="begin"/>
                </w:r>
                <w:r>
                  <w:rPr>
                    <w:rFonts w:hint="eastAsia" w:ascii="宋体" w:hAnsi="宋体" w:eastAsia="宋体" w:cs="宋体"/>
                    <w:sz w:val="20"/>
                    <w:szCs w:val="20"/>
                  </w:rPr>
                  <w:instrText xml:space="preserve"> PAGE  \* MERGEFORMAT </w:instrText>
                </w:r>
                <w:r>
                  <w:rPr>
                    <w:rFonts w:hint="eastAsia" w:ascii="宋体" w:hAnsi="宋体" w:eastAsia="宋体" w:cs="宋体"/>
                    <w:sz w:val="20"/>
                    <w:szCs w:val="20"/>
                  </w:rPr>
                  <w:fldChar w:fldCharType="separate"/>
                </w:r>
                <w:r>
                  <w:rPr>
                    <w:rFonts w:hint="eastAsia" w:ascii="宋体" w:hAnsi="宋体" w:eastAsia="宋体" w:cs="宋体"/>
                    <w:sz w:val="20"/>
                    <w:szCs w:val="20"/>
                  </w:rPr>
                  <w:t>1</w:t>
                </w:r>
                <w:r>
                  <w:rPr>
                    <w:rFonts w:hint="eastAsia" w:ascii="宋体" w:hAnsi="宋体" w:eastAsia="宋体" w:cs="宋体"/>
                    <w:sz w:val="20"/>
                    <w:szCs w:val="20"/>
                  </w:rPr>
                  <w:fldChar w:fldCharType="end"/>
                </w:r>
                <w:r>
                  <w:rPr>
                    <w:rFonts w:hint="eastAsia" w:ascii="宋体" w:hAnsi="宋体" w:eastAsia="宋体" w:cs="宋体"/>
                    <w:sz w:val="20"/>
                    <w:szCs w:val="20"/>
                  </w:rPr>
                  <w:t xml:space="preserve"> 页 共 </w:t>
                </w:r>
                <w:r>
                  <w:rPr>
                    <w:rFonts w:hint="eastAsia" w:ascii="宋体" w:hAnsi="宋体" w:eastAsia="宋体" w:cs="宋体"/>
                    <w:sz w:val="20"/>
                    <w:szCs w:val="20"/>
                  </w:rPr>
                  <w:fldChar w:fldCharType="begin"/>
                </w:r>
                <w:r>
                  <w:rPr>
                    <w:rFonts w:hint="eastAsia" w:ascii="宋体" w:hAnsi="宋体" w:eastAsia="宋体" w:cs="宋体"/>
                    <w:sz w:val="20"/>
                    <w:szCs w:val="20"/>
                  </w:rPr>
                  <w:instrText xml:space="preserve"> NUMPAGES  \* MERGEFORMAT </w:instrText>
                </w:r>
                <w:r>
                  <w:rPr>
                    <w:rFonts w:hint="eastAsia" w:ascii="宋体" w:hAnsi="宋体" w:eastAsia="宋体" w:cs="宋体"/>
                    <w:sz w:val="20"/>
                    <w:szCs w:val="20"/>
                  </w:rPr>
                  <w:fldChar w:fldCharType="separate"/>
                </w:r>
                <w:r>
                  <w:rPr>
                    <w:rFonts w:hint="eastAsia" w:ascii="宋体" w:hAnsi="宋体" w:eastAsia="宋体" w:cs="宋体"/>
                    <w:sz w:val="20"/>
                    <w:szCs w:val="20"/>
                  </w:rPr>
                  <w:t>206</w:t>
                </w:r>
                <w:r>
                  <w:rPr>
                    <w:rFonts w:hint="eastAsia" w:ascii="宋体" w:hAnsi="宋体" w:eastAsia="宋体" w:cs="宋体"/>
                    <w:sz w:val="20"/>
                    <w:szCs w:val="20"/>
                  </w:rPr>
                  <w:fldChar w:fldCharType="end"/>
                </w:r>
                <w:r>
                  <w:rPr>
                    <w:rFonts w:hint="eastAsia" w:ascii="宋体" w:hAnsi="宋体" w:eastAsia="宋体" w:cs="宋体"/>
                    <w:sz w:val="20"/>
                    <w:szCs w:val="20"/>
                  </w:rPr>
                  <w:t xml:space="preserve"> 页</w:t>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center"/>
      <w:rPr>
        <w:rFonts w:ascii="宋体" w:hAnsi="宋体"/>
        <w:sz w:val="24"/>
      </w:rPr>
    </w:pPr>
    <w:r>
      <w:rPr>
        <w:rFonts w:hint="eastAsia" w:ascii="宋体" w:hAnsi="宋体"/>
        <w:kern w:val="0"/>
        <w:sz w:val="24"/>
        <w:szCs w:val="21"/>
      </w:rPr>
      <w:t xml:space="preserve">第 </w:t>
    </w:r>
    <w:r>
      <w:rPr>
        <w:rFonts w:ascii="宋体" w:hAnsi="宋体"/>
        <w:kern w:val="0"/>
        <w:sz w:val="24"/>
        <w:szCs w:val="21"/>
      </w:rPr>
      <w:fldChar w:fldCharType="begin"/>
    </w:r>
    <w:r>
      <w:rPr>
        <w:rFonts w:ascii="宋体" w:hAnsi="宋体"/>
        <w:kern w:val="0"/>
        <w:sz w:val="24"/>
        <w:szCs w:val="21"/>
      </w:rPr>
      <w:instrText xml:space="preserve"> PAGE </w:instrText>
    </w:r>
    <w:r>
      <w:rPr>
        <w:rFonts w:ascii="宋体" w:hAnsi="宋体"/>
        <w:kern w:val="0"/>
        <w:sz w:val="24"/>
        <w:szCs w:val="21"/>
      </w:rPr>
      <w:fldChar w:fldCharType="separate"/>
    </w:r>
    <w:r>
      <w:rPr>
        <w:rFonts w:ascii="宋体" w:hAnsi="宋体"/>
        <w:kern w:val="0"/>
        <w:sz w:val="24"/>
        <w:szCs w:val="21"/>
      </w:rPr>
      <w:t>1</w:t>
    </w:r>
    <w:r>
      <w:rPr>
        <w:rFonts w:ascii="宋体" w:hAnsi="宋体"/>
        <w:kern w:val="0"/>
        <w:sz w:val="24"/>
        <w:szCs w:val="21"/>
      </w:rPr>
      <w:fldChar w:fldCharType="end"/>
    </w:r>
    <w:r>
      <w:rPr>
        <w:rFonts w:hint="eastAsia" w:ascii="宋体" w:hAnsi="宋体"/>
        <w:kern w:val="0"/>
        <w:sz w:val="24"/>
        <w:szCs w:val="21"/>
      </w:rPr>
      <w:t xml:space="preserve"> 页 共 </w:t>
    </w:r>
    <w:r>
      <w:rPr>
        <w:rFonts w:ascii="宋体" w:hAnsi="宋体"/>
        <w:kern w:val="0"/>
        <w:sz w:val="24"/>
        <w:szCs w:val="21"/>
      </w:rPr>
      <w:fldChar w:fldCharType="begin"/>
    </w:r>
    <w:r>
      <w:rPr>
        <w:rFonts w:ascii="宋体" w:hAnsi="宋体"/>
        <w:kern w:val="0"/>
        <w:sz w:val="24"/>
        <w:szCs w:val="21"/>
      </w:rPr>
      <w:instrText xml:space="preserve"> NUMPAGES </w:instrText>
    </w:r>
    <w:r>
      <w:rPr>
        <w:rFonts w:ascii="宋体" w:hAnsi="宋体"/>
        <w:kern w:val="0"/>
        <w:sz w:val="24"/>
        <w:szCs w:val="21"/>
      </w:rPr>
      <w:fldChar w:fldCharType="separate"/>
    </w:r>
    <w:r>
      <w:rPr>
        <w:rFonts w:ascii="宋体" w:hAnsi="宋体"/>
        <w:kern w:val="0"/>
        <w:sz w:val="24"/>
        <w:szCs w:val="21"/>
      </w:rPr>
      <w:t>4</w:t>
    </w:r>
    <w:r>
      <w:rPr>
        <w:rFonts w:ascii="宋体" w:hAnsi="宋体"/>
        <w:kern w:val="0"/>
        <w:sz w:val="24"/>
        <w:szCs w:val="21"/>
      </w:rPr>
      <w:fldChar w:fldCharType="end"/>
    </w:r>
    <w:r>
      <w:rPr>
        <w:rFonts w:hint="eastAsia" w:ascii="宋体" w:hAnsi="宋体"/>
        <w:kern w:val="0"/>
        <w:sz w:val="24"/>
        <w:szCs w:val="21"/>
      </w:rPr>
      <w:t xml:space="preserve"> 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framePr w:wrap="around" w:vAnchor="text" w:hAnchor="margin" w:xAlign="center" w:y="1"/>
      <w:rPr>
        <w:rStyle w:val="61"/>
      </w:rPr>
    </w:pPr>
    <w:r>
      <w:fldChar w:fldCharType="begin"/>
    </w:r>
    <w:r>
      <w:rPr>
        <w:rStyle w:val="61"/>
      </w:rPr>
      <w:instrText xml:space="preserve">PAGE  </w:instrText>
    </w:r>
    <w:r>
      <w:fldChar w:fldCharType="end"/>
    </w:r>
  </w:p>
  <w:p>
    <w:pPr>
      <w:pStyle w:val="37"/>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8"/>
      <w:pBdr>
        <w:bottom w:val="none" w:color="auto" w:sz="0" w:space="1"/>
      </w:pBdr>
      <w:jc w:val="both"/>
      <w:rPr>
        <w:b/>
        <w:i/>
        <w:color w:val="0000FF"/>
        <w:sz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CF2316E"/>
    <w:multiLevelType w:val="singleLevel"/>
    <w:tmpl w:val="7CF2316E"/>
    <w:lvl w:ilvl="0" w:tentative="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hideSpellingErrors/>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2"/>
  </w:compat>
  <w:rsids>
    <w:rsidRoot w:val="00BC5009"/>
    <w:rsid w:val="000304D1"/>
    <w:rsid w:val="00052160"/>
    <w:rsid w:val="00081B86"/>
    <w:rsid w:val="000934E0"/>
    <w:rsid w:val="00111354"/>
    <w:rsid w:val="0013292B"/>
    <w:rsid w:val="00133489"/>
    <w:rsid w:val="00195E6B"/>
    <w:rsid w:val="001A6881"/>
    <w:rsid w:val="001B6D9F"/>
    <w:rsid w:val="001E207D"/>
    <w:rsid w:val="001F1B59"/>
    <w:rsid w:val="00254EA7"/>
    <w:rsid w:val="00263616"/>
    <w:rsid w:val="002B5026"/>
    <w:rsid w:val="002C4EC5"/>
    <w:rsid w:val="002E1F04"/>
    <w:rsid w:val="003009C8"/>
    <w:rsid w:val="003135C9"/>
    <w:rsid w:val="00322DA0"/>
    <w:rsid w:val="0033076C"/>
    <w:rsid w:val="0035415A"/>
    <w:rsid w:val="0036021D"/>
    <w:rsid w:val="003626CF"/>
    <w:rsid w:val="00363A46"/>
    <w:rsid w:val="00394A5A"/>
    <w:rsid w:val="003953A5"/>
    <w:rsid w:val="003D2F43"/>
    <w:rsid w:val="00423D99"/>
    <w:rsid w:val="00434031"/>
    <w:rsid w:val="004645FD"/>
    <w:rsid w:val="004758B2"/>
    <w:rsid w:val="00497D3C"/>
    <w:rsid w:val="004C610D"/>
    <w:rsid w:val="004D7257"/>
    <w:rsid w:val="004F4B15"/>
    <w:rsid w:val="0053758E"/>
    <w:rsid w:val="0055428F"/>
    <w:rsid w:val="00603545"/>
    <w:rsid w:val="00676536"/>
    <w:rsid w:val="006C3F9F"/>
    <w:rsid w:val="00760B1D"/>
    <w:rsid w:val="00784238"/>
    <w:rsid w:val="007B0101"/>
    <w:rsid w:val="007C10AD"/>
    <w:rsid w:val="007D7379"/>
    <w:rsid w:val="007E289B"/>
    <w:rsid w:val="007E61E7"/>
    <w:rsid w:val="007F4D9B"/>
    <w:rsid w:val="0085656B"/>
    <w:rsid w:val="00867845"/>
    <w:rsid w:val="0089643C"/>
    <w:rsid w:val="008967FA"/>
    <w:rsid w:val="008B39A3"/>
    <w:rsid w:val="008E41DA"/>
    <w:rsid w:val="00961643"/>
    <w:rsid w:val="00984217"/>
    <w:rsid w:val="009C3554"/>
    <w:rsid w:val="009C7691"/>
    <w:rsid w:val="00A23ABE"/>
    <w:rsid w:val="00A511C0"/>
    <w:rsid w:val="00A77C7F"/>
    <w:rsid w:val="00AB70CE"/>
    <w:rsid w:val="00AE36A6"/>
    <w:rsid w:val="00AF4B3A"/>
    <w:rsid w:val="00B053E0"/>
    <w:rsid w:val="00B91CED"/>
    <w:rsid w:val="00BA3DB1"/>
    <w:rsid w:val="00BB005C"/>
    <w:rsid w:val="00BB4506"/>
    <w:rsid w:val="00BC36CC"/>
    <w:rsid w:val="00BC5009"/>
    <w:rsid w:val="00BC6F4A"/>
    <w:rsid w:val="00BE7B5B"/>
    <w:rsid w:val="00C604C7"/>
    <w:rsid w:val="00CC05FA"/>
    <w:rsid w:val="00CE2B12"/>
    <w:rsid w:val="00D00271"/>
    <w:rsid w:val="00DD765D"/>
    <w:rsid w:val="00E33368"/>
    <w:rsid w:val="00E46A2F"/>
    <w:rsid w:val="00E5681C"/>
    <w:rsid w:val="00E65CB9"/>
    <w:rsid w:val="00E95FB9"/>
    <w:rsid w:val="00F478C6"/>
    <w:rsid w:val="00FA03FF"/>
    <w:rsid w:val="052167D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qFormat="1" w:unhideWhenUsed="0" w:uiPriority="0" w:semiHidden="0" w:name="index 6"/>
    <w:lsdException w:unhideWhenUsed="0" w:uiPriority="0" w:semiHidden="0" w:name="index 7"/>
    <w:lsdException w:qFormat="1" w:unhideWhenUsed="0" w:uiPriority="0" w:semiHidden="0" w:name="index 8"/>
    <w:lsdException w:unhideWhenUsed="0" w:uiPriority="0" w:semiHidden="0" w:name="index 9"/>
    <w:lsdException w:unhideWhenUsed="0" w:uiPriority="39" w:semiHidden="0" w:name="toc 1"/>
    <w:lsdException w:unhideWhenUsed="0" w:uiPriority="39" w:semiHidden="0" w:name="toc 2"/>
    <w:lsdException w:unhideWhenUsed="0" w:uiPriority="39" w:semiHidden="0" w:name="toc 3"/>
    <w:lsdException w:unhideWhenUsed="0" w:uiPriority="39" w:semiHidden="0" w:name="toc 4"/>
    <w:lsdException w:unhideWhenUsed="0" w:uiPriority="39" w:semiHidden="0" w:name="toc 5"/>
    <w:lsdException w:unhideWhenUsed="0" w:uiPriority="39" w:semiHidden="0" w:name="toc 6"/>
    <w:lsdException w:qFormat="1" w:unhideWhenUsed="0" w:uiPriority="39" w:semiHidden="0" w:name="toc 7"/>
    <w:lsdException w:unhideWhenUsed="0" w:uiPriority="39" w:semiHidden="0" w:name="toc 8"/>
    <w:lsdException w:unhideWhenUsed="0" w:uiPriority="39" w:semiHidden="0" w:name="toc 9"/>
    <w:lsdException w:unhideWhenUsed="0" w:uiPriority="0" w:semiHidden="0" w:name="Normal Indent"/>
    <w:lsdException w:uiPriority="99" w:name="footnote text"/>
    <w:lsdException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qFormat="1" w:unhideWhenUsed="0" w:uiPriority="0" w:semiHidden="0" w:name="table of authorities"/>
    <w:lsdException w:uiPriority="99" w:name="macro"/>
    <w:lsdException w:qFormat="1" w:unhideWhenUsed="0" w:uiPriority="0" w:semiHidden="0" w:name="toa heading"/>
    <w:lsdException w:uiPriority="0" w:semiHidden="0" w:name="List"/>
    <w:lsdException w:uiPriority="99" w:name="List Bullet"/>
    <w:lsdException w:uiPriority="0" w:semiHidden="0" w:name="List Number"/>
    <w:lsdException w:uiPriority="99" w:name="List 2"/>
    <w:lsdException w:uiPriority="99" w:name="List 3"/>
    <w:lsdException w:uiPriority="99" w:name="List 4"/>
    <w:lsdException w:uiPriority="99" w:name="List 5"/>
    <w:lsdException w:uiPriority="0" w:semiHidden="0" w:name="List Bullet 2"/>
    <w:lsdException w:qFormat="1" w:uiPriority="0" w:semiHidden="0"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nhideWhenUsed="0" w:uiPriority="0" w:semiHidden="0" w:name="Date"/>
    <w:lsdException w:qFormat="1" w:unhideWhenUsed="0" w:uiPriority="0" w:semiHidden="0" w:name="Body Text First Indent"/>
    <w:lsdException w:uiPriority="99" w:name="Body Text First Indent 2"/>
    <w:lsdException w:uiPriority="99"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semiHidden="0" w:name="Balloon Text"/>
    <w:lsdException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1"/>
    <w:basedOn w:val="1"/>
    <w:next w:val="1"/>
    <w:link w:val="71"/>
    <w:qFormat/>
    <w:uiPriority w:val="0"/>
    <w:pPr>
      <w:keepNext/>
      <w:keepLines/>
      <w:spacing w:before="340" w:after="330" w:line="578" w:lineRule="auto"/>
      <w:outlineLvl w:val="0"/>
    </w:pPr>
    <w:rPr>
      <w:rFonts w:ascii="Courier New" w:hAnsi="Courier New" w:eastAsia="Cambria" w:cs="Times New Roman"/>
      <w:b/>
      <w:bCs/>
      <w:kern w:val="44"/>
      <w:sz w:val="30"/>
      <w:szCs w:val="44"/>
    </w:rPr>
  </w:style>
  <w:style w:type="paragraph" w:styleId="4">
    <w:name w:val="heading 2"/>
    <w:basedOn w:val="1"/>
    <w:next w:val="1"/>
    <w:link w:val="72"/>
    <w:qFormat/>
    <w:uiPriority w:val="0"/>
    <w:pPr>
      <w:keepNext/>
      <w:keepLines/>
      <w:spacing w:before="260" w:after="260" w:line="416" w:lineRule="auto"/>
      <w:ind w:firstLine="628"/>
      <w:jc w:val="center"/>
      <w:outlineLvl w:val="1"/>
    </w:pPr>
    <w:rPr>
      <w:rFonts w:ascii="Cambria Math" w:hAnsi="Cambria Math" w:eastAsia="Cambria Math" w:cs="Times New Roman"/>
      <w:b/>
      <w:bCs/>
      <w:kern w:val="0"/>
      <w:sz w:val="32"/>
      <w:szCs w:val="32"/>
    </w:rPr>
  </w:style>
  <w:style w:type="paragraph" w:styleId="5">
    <w:name w:val="heading 3"/>
    <w:basedOn w:val="1"/>
    <w:next w:val="1"/>
    <w:link w:val="73"/>
    <w:qFormat/>
    <w:uiPriority w:val="0"/>
    <w:pPr>
      <w:keepNext/>
      <w:keepLines/>
      <w:spacing w:before="260" w:after="260" w:line="416" w:lineRule="auto"/>
      <w:jc w:val="center"/>
      <w:outlineLvl w:val="2"/>
    </w:pPr>
    <w:rPr>
      <w:rFonts w:ascii="Cambria" w:hAnsi="Courier New" w:eastAsia="Cambria" w:cs="Times New Roman"/>
      <w:b/>
      <w:bCs/>
      <w:kern w:val="0"/>
      <w:sz w:val="32"/>
      <w:szCs w:val="32"/>
    </w:rPr>
  </w:style>
  <w:style w:type="paragraph" w:styleId="6">
    <w:name w:val="heading 4"/>
    <w:basedOn w:val="1"/>
    <w:next w:val="1"/>
    <w:link w:val="74"/>
    <w:qFormat/>
    <w:uiPriority w:val="0"/>
    <w:pPr>
      <w:keepNext/>
      <w:keepLines/>
      <w:spacing w:before="280" w:after="290" w:line="376" w:lineRule="auto"/>
      <w:outlineLvl w:val="3"/>
    </w:pPr>
    <w:rPr>
      <w:rFonts w:ascii="Cambria Math" w:hAnsi="Cambria Math" w:eastAsia="Cambria Math" w:cs="Times New Roman"/>
      <w:b/>
      <w:bCs/>
      <w:kern w:val="0"/>
      <w:sz w:val="28"/>
      <w:szCs w:val="28"/>
    </w:rPr>
  </w:style>
  <w:style w:type="paragraph" w:styleId="7">
    <w:name w:val="heading 5"/>
    <w:basedOn w:val="1"/>
    <w:next w:val="1"/>
    <w:link w:val="75"/>
    <w:qFormat/>
    <w:uiPriority w:val="0"/>
    <w:pPr>
      <w:keepNext/>
      <w:outlineLvl w:val="4"/>
    </w:pPr>
    <w:rPr>
      <w:rFonts w:ascii="Cambria" w:hAnsi="Cambria Math" w:eastAsia="Cambria" w:cs="Times New Roman"/>
      <w:bCs/>
      <w:kern w:val="0"/>
      <w:sz w:val="28"/>
      <w:szCs w:val="20"/>
    </w:rPr>
  </w:style>
  <w:style w:type="paragraph" w:styleId="8">
    <w:name w:val="heading 6"/>
    <w:basedOn w:val="1"/>
    <w:next w:val="1"/>
    <w:link w:val="76"/>
    <w:qFormat/>
    <w:uiPriority w:val="0"/>
    <w:pPr>
      <w:keepNext/>
      <w:autoSpaceDE w:val="0"/>
      <w:autoSpaceDN w:val="0"/>
      <w:adjustRightInd w:val="0"/>
      <w:spacing w:before="120" w:beforeLines="50" w:after="120" w:afterLines="50" w:line="300" w:lineRule="exact"/>
      <w:jc w:val="center"/>
      <w:outlineLvl w:val="5"/>
    </w:pPr>
    <w:rPr>
      <w:rFonts w:ascii="Cambria" w:hAnsi="Cambria" w:eastAsia="Cambria" w:cs="Times New Roman"/>
      <w:kern w:val="0"/>
      <w:sz w:val="28"/>
      <w:szCs w:val="20"/>
    </w:rPr>
  </w:style>
  <w:style w:type="paragraph" w:styleId="9">
    <w:name w:val="heading 7"/>
    <w:basedOn w:val="1"/>
    <w:next w:val="1"/>
    <w:link w:val="77"/>
    <w:qFormat/>
    <w:uiPriority w:val="0"/>
    <w:pPr>
      <w:keepNext/>
      <w:keepLines/>
      <w:spacing w:before="240" w:after="64" w:line="320" w:lineRule="auto"/>
      <w:ind w:right="-24" w:rightChars="-10" w:firstLine="464" w:firstLineChars="225"/>
      <w:jc w:val="left"/>
      <w:outlineLvl w:val="6"/>
    </w:pPr>
    <w:rPr>
      <w:rFonts w:ascii="Cambria Math" w:hAnsi="Cambria Math" w:eastAsia="Courier New" w:cs="Times New Roman"/>
      <w:b/>
      <w:bCs/>
      <w:spacing w:val="-4"/>
      <w:kern w:val="0"/>
      <w:sz w:val="24"/>
      <w:szCs w:val="24"/>
    </w:rPr>
  </w:style>
  <w:style w:type="paragraph" w:styleId="10">
    <w:name w:val="heading 8"/>
    <w:basedOn w:val="1"/>
    <w:next w:val="1"/>
    <w:link w:val="78"/>
    <w:qFormat/>
    <w:uiPriority w:val="0"/>
    <w:pPr>
      <w:keepNext/>
      <w:keepLines/>
      <w:tabs>
        <w:tab w:val="left" w:pos="0"/>
        <w:tab w:val="left" w:pos="3360"/>
      </w:tabs>
      <w:adjustRightInd w:val="0"/>
      <w:spacing w:line="360" w:lineRule="atLeast"/>
      <w:ind w:left="3360" w:hanging="420"/>
      <w:jc w:val="left"/>
      <w:outlineLvl w:val="7"/>
    </w:pPr>
    <w:rPr>
      <w:rFonts w:ascii="Courier New" w:hAnsi="Courier New" w:eastAsia="Cambria" w:cs="Times New Roman"/>
      <w:kern w:val="0"/>
      <w:sz w:val="24"/>
      <w:szCs w:val="20"/>
    </w:rPr>
  </w:style>
  <w:style w:type="paragraph" w:styleId="11">
    <w:name w:val="heading 9"/>
    <w:basedOn w:val="1"/>
    <w:next w:val="1"/>
    <w:link w:val="79"/>
    <w:qFormat/>
    <w:uiPriority w:val="0"/>
    <w:pPr>
      <w:keepNext/>
      <w:keepLines/>
      <w:tabs>
        <w:tab w:val="left" w:pos="0"/>
        <w:tab w:val="left" w:pos="3780"/>
      </w:tabs>
      <w:adjustRightInd w:val="0"/>
      <w:spacing w:line="360" w:lineRule="atLeast"/>
      <w:ind w:left="3780" w:hanging="420"/>
      <w:jc w:val="left"/>
      <w:outlineLvl w:val="8"/>
    </w:pPr>
    <w:rPr>
      <w:rFonts w:ascii="Courier New" w:hAnsi="Courier New" w:eastAsia="Cambria" w:cs="Times New Roman"/>
      <w:kern w:val="0"/>
      <w:sz w:val="24"/>
      <w:szCs w:val="20"/>
    </w:rPr>
  </w:style>
  <w:style w:type="character" w:default="1" w:styleId="59">
    <w:name w:val="Default Paragraph Font"/>
    <w:semiHidden/>
    <w:unhideWhenUsed/>
    <w:qFormat/>
    <w:uiPriority w:val="1"/>
  </w:style>
  <w:style w:type="table" w:default="1" w:styleId="57">
    <w:name w:val="Normal Table"/>
    <w:semiHidden/>
    <w:unhideWhenUsed/>
    <w:qFormat/>
    <w:uiPriority w:val="99"/>
    <w:tblPr>
      <w:tblCellMar>
        <w:top w:w="0" w:type="dxa"/>
        <w:left w:w="108" w:type="dxa"/>
        <w:bottom w:w="0" w:type="dxa"/>
        <w:right w:w="108" w:type="dxa"/>
      </w:tblCellMar>
    </w:tblPr>
  </w:style>
  <w:style w:type="paragraph" w:customStyle="1" w:styleId="2">
    <w:name w:val="无间隔1"/>
    <w:basedOn w:val="1"/>
    <w:qFormat/>
    <w:uiPriority w:val="1"/>
    <w:pPr>
      <w:spacing w:line="400" w:lineRule="exact"/>
    </w:pPr>
    <w:rPr>
      <w:rFonts w:eastAsia="宋体"/>
      <w:sz w:val="24"/>
    </w:rPr>
  </w:style>
  <w:style w:type="paragraph" w:styleId="12">
    <w:name w:val="toc 7"/>
    <w:basedOn w:val="1"/>
    <w:next w:val="1"/>
    <w:qFormat/>
    <w:uiPriority w:val="39"/>
    <w:pPr>
      <w:ind w:left="1260"/>
      <w:jc w:val="left"/>
    </w:pPr>
    <w:rPr>
      <w:rFonts w:ascii="Courier New" w:hAnsi="Courier New" w:eastAsia="宋体" w:cs="Courier New"/>
      <w:szCs w:val="21"/>
    </w:rPr>
  </w:style>
  <w:style w:type="paragraph" w:styleId="13">
    <w:name w:val="table of authorities"/>
    <w:basedOn w:val="1"/>
    <w:next w:val="1"/>
    <w:qFormat/>
    <w:uiPriority w:val="0"/>
    <w:pPr>
      <w:ind w:left="420" w:leftChars="200"/>
    </w:pPr>
    <w:rPr>
      <w:rFonts w:ascii="Courier New" w:hAnsi="Courier New" w:eastAsia="宋体" w:cs="Courier New"/>
      <w:szCs w:val="20"/>
    </w:rPr>
  </w:style>
  <w:style w:type="paragraph" w:styleId="14">
    <w:name w:val="index 8"/>
    <w:basedOn w:val="1"/>
    <w:next w:val="1"/>
    <w:qFormat/>
    <w:uiPriority w:val="0"/>
    <w:pPr>
      <w:ind w:left="1400" w:leftChars="1400"/>
    </w:pPr>
    <w:rPr>
      <w:rFonts w:ascii="Courier New" w:hAnsi="Courier New" w:eastAsia="宋体" w:cs="Courier New"/>
      <w:szCs w:val="20"/>
    </w:rPr>
  </w:style>
  <w:style w:type="paragraph" w:styleId="15">
    <w:name w:val="List Number"/>
    <w:basedOn w:val="1"/>
    <w:unhideWhenUsed/>
    <w:uiPriority w:val="0"/>
    <w:rPr>
      <w:rFonts w:ascii="Cambria Math" w:hAnsi="Cambria Math" w:eastAsia="Cambria Math" w:cs="Courier New"/>
      <w:szCs w:val="24"/>
    </w:rPr>
  </w:style>
  <w:style w:type="paragraph" w:styleId="16">
    <w:name w:val="Normal Indent"/>
    <w:basedOn w:val="1"/>
    <w:link w:val="104"/>
    <w:uiPriority w:val="0"/>
    <w:pPr>
      <w:spacing w:after="156"/>
      <w:ind w:firstLine="420"/>
    </w:pPr>
    <w:rPr>
      <w:rFonts w:eastAsia="Cambria" w:cs="楷体_GB2312"/>
      <w:sz w:val="24"/>
      <w:szCs w:val="24"/>
    </w:rPr>
  </w:style>
  <w:style w:type="paragraph" w:styleId="17">
    <w:name w:val="index 5"/>
    <w:basedOn w:val="1"/>
    <w:next w:val="1"/>
    <w:uiPriority w:val="0"/>
    <w:pPr>
      <w:ind w:left="800" w:leftChars="800"/>
    </w:pPr>
    <w:rPr>
      <w:rFonts w:ascii="Courier New" w:hAnsi="Courier New" w:eastAsia="宋体" w:cs="Courier New"/>
      <w:szCs w:val="20"/>
    </w:rPr>
  </w:style>
  <w:style w:type="paragraph" w:styleId="18">
    <w:name w:val="Document Map"/>
    <w:basedOn w:val="1"/>
    <w:link w:val="80"/>
    <w:qFormat/>
    <w:uiPriority w:val="0"/>
    <w:pPr>
      <w:shd w:val="clear" w:color="auto" w:fill="000080"/>
    </w:pPr>
    <w:rPr>
      <w:rFonts w:ascii="Courier New" w:hAnsi="Courier New" w:eastAsia="Cambria"/>
    </w:rPr>
  </w:style>
  <w:style w:type="paragraph" w:styleId="19">
    <w:name w:val="toa heading"/>
    <w:basedOn w:val="1"/>
    <w:next w:val="1"/>
    <w:qFormat/>
    <w:uiPriority w:val="0"/>
    <w:pPr>
      <w:spacing w:before="120"/>
    </w:pPr>
    <w:rPr>
      <w:rFonts w:ascii="Cambria Math" w:hAnsi="Cambria Math" w:eastAsia="宋体" w:cs="Courier New"/>
      <w:b/>
      <w:bCs/>
      <w:szCs w:val="24"/>
    </w:rPr>
  </w:style>
  <w:style w:type="paragraph" w:styleId="20">
    <w:name w:val="annotation text"/>
    <w:basedOn w:val="1"/>
    <w:link w:val="118"/>
    <w:unhideWhenUsed/>
    <w:uiPriority w:val="0"/>
    <w:pPr>
      <w:jc w:val="left"/>
    </w:pPr>
    <w:rPr>
      <w:rFonts w:ascii="Courier New" w:hAnsi="Courier New" w:eastAsia="宋体" w:cs="Courier New"/>
      <w:szCs w:val="20"/>
    </w:rPr>
  </w:style>
  <w:style w:type="paragraph" w:styleId="21">
    <w:name w:val="index 6"/>
    <w:basedOn w:val="1"/>
    <w:next w:val="1"/>
    <w:qFormat/>
    <w:uiPriority w:val="0"/>
    <w:pPr>
      <w:ind w:left="1000" w:leftChars="1000"/>
    </w:pPr>
    <w:rPr>
      <w:rFonts w:ascii="Courier New" w:hAnsi="Courier New" w:eastAsia="宋体" w:cs="Courier New"/>
      <w:szCs w:val="20"/>
    </w:rPr>
  </w:style>
  <w:style w:type="paragraph" w:styleId="22">
    <w:name w:val="Body Text 3"/>
    <w:basedOn w:val="1"/>
    <w:link w:val="83"/>
    <w:uiPriority w:val="0"/>
    <w:rPr>
      <w:rFonts w:ascii="Cambria Math" w:hAnsi="Cambria Math" w:eastAsia="Cambria Math"/>
      <w:b/>
      <w:sz w:val="28"/>
    </w:rPr>
  </w:style>
  <w:style w:type="paragraph" w:styleId="23">
    <w:name w:val="List Bullet 3"/>
    <w:basedOn w:val="1"/>
    <w:unhideWhenUsed/>
    <w:qFormat/>
    <w:uiPriority w:val="0"/>
    <w:pPr>
      <w:adjustRightInd w:val="0"/>
      <w:spacing w:line="360" w:lineRule="atLeast"/>
      <w:contextualSpacing/>
      <w:jc w:val="left"/>
    </w:pPr>
    <w:rPr>
      <w:rFonts w:ascii="Courier New" w:hAnsi="Courier New" w:eastAsia="宋体" w:cs="Courier New"/>
      <w:kern w:val="0"/>
      <w:sz w:val="24"/>
      <w:szCs w:val="20"/>
    </w:rPr>
  </w:style>
  <w:style w:type="paragraph" w:styleId="24">
    <w:name w:val="Body Text"/>
    <w:basedOn w:val="1"/>
    <w:link w:val="120"/>
    <w:unhideWhenUsed/>
    <w:qFormat/>
    <w:uiPriority w:val="0"/>
    <w:pPr>
      <w:spacing w:after="120"/>
    </w:pPr>
    <w:rPr>
      <w:rFonts w:ascii="Courier New" w:hAnsi="Courier New" w:eastAsia="宋体" w:cs="Courier New"/>
      <w:szCs w:val="20"/>
    </w:rPr>
  </w:style>
  <w:style w:type="paragraph" w:styleId="25">
    <w:name w:val="Body Text Indent"/>
    <w:basedOn w:val="1"/>
    <w:link w:val="99"/>
    <w:qFormat/>
    <w:uiPriority w:val="0"/>
    <w:pPr>
      <w:ind w:firstLine="645"/>
    </w:pPr>
    <w:rPr>
      <w:rFonts w:hAnsi="Courier New" w:eastAsia="幼圆"/>
      <w:sz w:val="32"/>
    </w:rPr>
  </w:style>
  <w:style w:type="paragraph" w:styleId="26">
    <w:name w:val="Block Text"/>
    <w:basedOn w:val="1"/>
    <w:qFormat/>
    <w:uiPriority w:val="0"/>
    <w:pPr>
      <w:spacing w:after="156"/>
    </w:pPr>
    <w:rPr>
      <w:rFonts w:ascii="Cambria" w:hAnsi="幼圆" w:eastAsia="宋体" w:cs="Courier New"/>
    </w:rPr>
  </w:style>
  <w:style w:type="paragraph" w:styleId="27">
    <w:name w:val="List Bullet 2"/>
    <w:basedOn w:val="1"/>
    <w:unhideWhenUsed/>
    <w:uiPriority w:val="0"/>
    <w:pPr>
      <w:adjustRightInd w:val="0"/>
      <w:spacing w:line="360" w:lineRule="atLeast"/>
      <w:jc w:val="left"/>
    </w:pPr>
    <w:rPr>
      <w:rFonts w:ascii="Courier New" w:hAnsi="Courier New" w:eastAsia="宋体" w:cs="Courier New"/>
      <w:kern w:val="0"/>
      <w:sz w:val="24"/>
      <w:szCs w:val="20"/>
    </w:rPr>
  </w:style>
  <w:style w:type="paragraph" w:styleId="28">
    <w:name w:val="index 4"/>
    <w:basedOn w:val="1"/>
    <w:next w:val="1"/>
    <w:uiPriority w:val="0"/>
    <w:pPr>
      <w:ind w:left="600" w:leftChars="600"/>
    </w:pPr>
    <w:rPr>
      <w:rFonts w:ascii="Courier New" w:hAnsi="Courier New" w:eastAsia="宋体" w:cs="Courier New"/>
      <w:szCs w:val="20"/>
    </w:rPr>
  </w:style>
  <w:style w:type="paragraph" w:styleId="29">
    <w:name w:val="toc 5"/>
    <w:basedOn w:val="1"/>
    <w:next w:val="1"/>
    <w:uiPriority w:val="39"/>
    <w:pPr>
      <w:ind w:left="840"/>
      <w:jc w:val="left"/>
    </w:pPr>
    <w:rPr>
      <w:rFonts w:ascii="Courier New" w:hAnsi="Courier New" w:eastAsia="宋体" w:cs="Courier New"/>
      <w:szCs w:val="21"/>
    </w:rPr>
  </w:style>
  <w:style w:type="paragraph" w:styleId="30">
    <w:name w:val="toc 3"/>
    <w:basedOn w:val="1"/>
    <w:next w:val="1"/>
    <w:uiPriority w:val="39"/>
    <w:pPr>
      <w:tabs>
        <w:tab w:val="right" w:leader="dot" w:pos="9403"/>
      </w:tabs>
      <w:spacing w:line="300" w:lineRule="auto"/>
      <w:ind w:left="420"/>
      <w:jc w:val="left"/>
    </w:pPr>
    <w:rPr>
      <w:rFonts w:ascii="Cambria" w:hAnsi="Cambria" w:eastAsia="宋体" w:cs="Courier New"/>
      <w:i/>
      <w:iCs/>
      <w:sz w:val="24"/>
      <w:szCs w:val="24"/>
    </w:rPr>
  </w:style>
  <w:style w:type="paragraph" w:styleId="31">
    <w:name w:val="Plain Text"/>
    <w:basedOn w:val="1"/>
    <w:link w:val="91"/>
    <w:qFormat/>
    <w:uiPriority w:val="0"/>
    <w:rPr>
      <w:rFonts w:ascii="Cambria" w:hAnsi="Cambria" w:eastAsia="Cambria"/>
    </w:rPr>
  </w:style>
  <w:style w:type="paragraph" w:styleId="32">
    <w:name w:val="toc 8"/>
    <w:basedOn w:val="1"/>
    <w:next w:val="1"/>
    <w:uiPriority w:val="39"/>
    <w:pPr>
      <w:ind w:left="1470"/>
      <w:jc w:val="left"/>
    </w:pPr>
    <w:rPr>
      <w:rFonts w:ascii="Courier New" w:hAnsi="Courier New" w:eastAsia="宋体" w:cs="Courier New"/>
      <w:szCs w:val="21"/>
    </w:rPr>
  </w:style>
  <w:style w:type="paragraph" w:styleId="33">
    <w:name w:val="index 3"/>
    <w:basedOn w:val="1"/>
    <w:next w:val="1"/>
    <w:uiPriority w:val="0"/>
    <w:pPr>
      <w:ind w:left="400" w:leftChars="400"/>
    </w:pPr>
    <w:rPr>
      <w:rFonts w:ascii="Courier New" w:hAnsi="Courier New" w:eastAsia="宋体" w:cs="Courier New"/>
      <w:szCs w:val="20"/>
    </w:rPr>
  </w:style>
  <w:style w:type="paragraph" w:styleId="34">
    <w:name w:val="Date"/>
    <w:basedOn w:val="1"/>
    <w:next w:val="1"/>
    <w:link w:val="81"/>
    <w:uiPriority w:val="0"/>
    <w:rPr>
      <w:rFonts w:ascii="Courier New" w:hAnsi="Courier New" w:eastAsia="Cambria"/>
      <w:b/>
      <w:sz w:val="28"/>
    </w:rPr>
  </w:style>
  <w:style w:type="paragraph" w:styleId="35">
    <w:name w:val="Body Text Indent 2"/>
    <w:basedOn w:val="1"/>
    <w:link w:val="100"/>
    <w:uiPriority w:val="0"/>
    <w:pPr>
      <w:ind w:left="630" w:firstLine="645"/>
    </w:pPr>
    <w:rPr>
      <w:rFonts w:ascii="Cambria Math" w:hAnsi="Cambria Math" w:eastAsia="Courier New"/>
      <w:sz w:val="32"/>
    </w:rPr>
  </w:style>
  <w:style w:type="paragraph" w:styleId="36">
    <w:name w:val="Balloon Text"/>
    <w:basedOn w:val="1"/>
    <w:link w:val="70"/>
    <w:unhideWhenUsed/>
    <w:qFormat/>
    <w:uiPriority w:val="0"/>
    <w:rPr>
      <w:sz w:val="18"/>
      <w:szCs w:val="18"/>
    </w:rPr>
  </w:style>
  <w:style w:type="paragraph" w:styleId="37">
    <w:name w:val="footer"/>
    <w:basedOn w:val="1"/>
    <w:link w:val="69"/>
    <w:unhideWhenUsed/>
    <w:qFormat/>
    <w:uiPriority w:val="99"/>
    <w:pPr>
      <w:tabs>
        <w:tab w:val="center" w:pos="4153"/>
        <w:tab w:val="right" w:pos="8306"/>
      </w:tabs>
      <w:snapToGrid w:val="0"/>
      <w:jc w:val="left"/>
    </w:pPr>
    <w:rPr>
      <w:sz w:val="18"/>
      <w:szCs w:val="18"/>
    </w:rPr>
  </w:style>
  <w:style w:type="paragraph" w:styleId="38">
    <w:name w:val="header"/>
    <w:basedOn w:val="1"/>
    <w:link w:val="68"/>
    <w:unhideWhenUsed/>
    <w:qFormat/>
    <w:uiPriority w:val="99"/>
    <w:pPr>
      <w:pBdr>
        <w:bottom w:val="single" w:color="auto" w:sz="6" w:space="1"/>
      </w:pBdr>
      <w:tabs>
        <w:tab w:val="center" w:pos="4153"/>
        <w:tab w:val="right" w:pos="8306"/>
      </w:tabs>
      <w:snapToGrid w:val="0"/>
      <w:jc w:val="center"/>
    </w:pPr>
    <w:rPr>
      <w:sz w:val="18"/>
      <w:szCs w:val="18"/>
    </w:rPr>
  </w:style>
  <w:style w:type="paragraph" w:styleId="39">
    <w:name w:val="toc 1"/>
    <w:basedOn w:val="1"/>
    <w:next w:val="1"/>
    <w:uiPriority w:val="39"/>
    <w:pPr>
      <w:spacing w:before="120" w:after="120"/>
      <w:jc w:val="left"/>
    </w:pPr>
    <w:rPr>
      <w:rFonts w:ascii="Courier New" w:hAnsi="Courier New" w:eastAsia="宋体" w:cs="Courier New"/>
      <w:caps/>
      <w:szCs w:val="24"/>
    </w:rPr>
  </w:style>
  <w:style w:type="paragraph" w:styleId="40">
    <w:name w:val="toc 4"/>
    <w:basedOn w:val="1"/>
    <w:next w:val="1"/>
    <w:uiPriority w:val="39"/>
    <w:pPr>
      <w:ind w:left="630"/>
      <w:jc w:val="left"/>
    </w:pPr>
    <w:rPr>
      <w:rFonts w:ascii="Courier New" w:hAnsi="Courier New" w:eastAsia="宋体" w:cs="Courier New"/>
      <w:szCs w:val="21"/>
    </w:rPr>
  </w:style>
  <w:style w:type="paragraph" w:styleId="41">
    <w:name w:val="index heading"/>
    <w:basedOn w:val="1"/>
    <w:next w:val="42"/>
    <w:uiPriority w:val="0"/>
    <w:rPr>
      <w:rFonts w:ascii="Courier New" w:hAnsi="Courier New" w:eastAsia="宋体" w:cs="Courier New"/>
      <w:szCs w:val="20"/>
    </w:rPr>
  </w:style>
  <w:style w:type="paragraph" w:styleId="42">
    <w:name w:val="index 1"/>
    <w:basedOn w:val="1"/>
    <w:next w:val="1"/>
    <w:uiPriority w:val="0"/>
    <w:pPr>
      <w:jc w:val="center"/>
    </w:pPr>
    <w:rPr>
      <w:rFonts w:ascii="Courier New" w:hAnsi="Courier New" w:eastAsia="Courier New" w:cs="Courier New"/>
      <w:b/>
      <w:bCs/>
      <w:sz w:val="28"/>
      <w:szCs w:val="20"/>
    </w:rPr>
  </w:style>
  <w:style w:type="paragraph" w:styleId="43">
    <w:name w:val="Subtitle"/>
    <w:basedOn w:val="1"/>
    <w:link w:val="90"/>
    <w:qFormat/>
    <w:uiPriority w:val="0"/>
    <w:pPr>
      <w:adjustRightInd w:val="0"/>
      <w:spacing w:before="240" w:after="60" w:line="312" w:lineRule="atLeast"/>
      <w:jc w:val="center"/>
      <w:outlineLvl w:val="1"/>
    </w:pPr>
    <w:rPr>
      <w:rFonts w:ascii="Cambria Math" w:hAnsi="Cambria Math" w:eastAsia="Cambria" w:cs="Cambria Math"/>
      <w:b/>
      <w:bCs/>
      <w:kern w:val="28"/>
      <w:sz w:val="32"/>
      <w:szCs w:val="32"/>
    </w:rPr>
  </w:style>
  <w:style w:type="paragraph" w:styleId="44">
    <w:name w:val="List"/>
    <w:basedOn w:val="1"/>
    <w:unhideWhenUsed/>
    <w:uiPriority w:val="0"/>
    <w:pPr>
      <w:ind w:left="420" w:hanging="420"/>
    </w:pPr>
    <w:rPr>
      <w:rFonts w:ascii="Courier New" w:hAnsi="Courier New" w:eastAsia="宋体" w:cs="Courier New"/>
      <w:szCs w:val="20"/>
    </w:rPr>
  </w:style>
  <w:style w:type="paragraph" w:styleId="45">
    <w:name w:val="toc 6"/>
    <w:basedOn w:val="1"/>
    <w:next w:val="1"/>
    <w:uiPriority w:val="39"/>
    <w:pPr>
      <w:ind w:left="1050"/>
      <w:jc w:val="left"/>
    </w:pPr>
    <w:rPr>
      <w:rFonts w:ascii="Courier New" w:hAnsi="Courier New" w:eastAsia="宋体" w:cs="Courier New"/>
      <w:szCs w:val="21"/>
    </w:rPr>
  </w:style>
  <w:style w:type="paragraph" w:styleId="46">
    <w:name w:val="Body Text Indent 3"/>
    <w:basedOn w:val="1"/>
    <w:link w:val="88"/>
    <w:uiPriority w:val="0"/>
    <w:pPr>
      <w:ind w:firstLine="645"/>
    </w:pPr>
    <w:rPr>
      <w:rFonts w:ascii="Courier New" w:hAnsi="Cambria Math" w:eastAsia="Courier New"/>
      <w:color w:val="000000"/>
      <w:sz w:val="30"/>
    </w:rPr>
  </w:style>
  <w:style w:type="paragraph" w:styleId="47">
    <w:name w:val="index 7"/>
    <w:basedOn w:val="1"/>
    <w:next w:val="1"/>
    <w:uiPriority w:val="0"/>
    <w:pPr>
      <w:ind w:left="1200" w:leftChars="1200"/>
    </w:pPr>
    <w:rPr>
      <w:rFonts w:ascii="Courier New" w:hAnsi="Courier New" w:eastAsia="宋体" w:cs="Courier New"/>
      <w:szCs w:val="20"/>
    </w:rPr>
  </w:style>
  <w:style w:type="paragraph" w:styleId="48">
    <w:name w:val="index 9"/>
    <w:basedOn w:val="1"/>
    <w:next w:val="1"/>
    <w:uiPriority w:val="0"/>
    <w:pPr>
      <w:ind w:left="1600" w:leftChars="1600"/>
    </w:pPr>
    <w:rPr>
      <w:rFonts w:ascii="Courier New" w:hAnsi="Courier New" w:eastAsia="宋体" w:cs="Courier New"/>
      <w:szCs w:val="20"/>
    </w:rPr>
  </w:style>
  <w:style w:type="paragraph" w:styleId="49">
    <w:name w:val="toc 2"/>
    <w:basedOn w:val="1"/>
    <w:next w:val="1"/>
    <w:uiPriority w:val="39"/>
    <w:pPr>
      <w:tabs>
        <w:tab w:val="right" w:leader="dot" w:pos="9403"/>
      </w:tabs>
      <w:spacing w:line="360" w:lineRule="exact"/>
      <w:ind w:left="210"/>
      <w:jc w:val="left"/>
    </w:pPr>
    <w:rPr>
      <w:rFonts w:ascii="Cambria" w:hAnsi="Cambria" w:eastAsia="宋体" w:cs="Courier New"/>
      <w:smallCaps/>
      <w:sz w:val="24"/>
      <w:szCs w:val="24"/>
    </w:rPr>
  </w:style>
  <w:style w:type="paragraph" w:styleId="50">
    <w:name w:val="toc 9"/>
    <w:basedOn w:val="1"/>
    <w:next w:val="1"/>
    <w:uiPriority w:val="39"/>
    <w:pPr>
      <w:ind w:left="1680"/>
      <w:jc w:val="left"/>
    </w:pPr>
    <w:rPr>
      <w:rFonts w:ascii="Courier New" w:hAnsi="Courier New" w:eastAsia="宋体" w:cs="Courier New"/>
      <w:szCs w:val="21"/>
    </w:rPr>
  </w:style>
  <w:style w:type="paragraph" w:styleId="51">
    <w:name w:val="Body Text 2"/>
    <w:basedOn w:val="1"/>
    <w:link w:val="102"/>
    <w:uiPriority w:val="0"/>
    <w:rPr>
      <w:rFonts w:ascii="Courier New" w:hAnsi="Courier New" w:eastAsia="Courier New"/>
      <w:b/>
      <w:sz w:val="24"/>
    </w:rPr>
  </w:style>
  <w:style w:type="paragraph" w:styleId="52">
    <w:name w:val="Normal (Web)"/>
    <w:basedOn w:val="1"/>
    <w:qFormat/>
    <w:uiPriority w:val="0"/>
    <w:pPr>
      <w:widowControl/>
      <w:spacing w:before="100" w:beforeAutospacing="1" w:after="100" w:afterAutospacing="1"/>
      <w:jc w:val="left"/>
    </w:pPr>
    <w:rPr>
      <w:rFonts w:ascii="Cambria" w:hAnsi="Cambria" w:eastAsia="宋体" w:cs="Courier New"/>
      <w:kern w:val="0"/>
      <w:sz w:val="24"/>
      <w:szCs w:val="24"/>
    </w:rPr>
  </w:style>
  <w:style w:type="paragraph" w:styleId="53">
    <w:name w:val="index 2"/>
    <w:basedOn w:val="1"/>
    <w:next w:val="1"/>
    <w:uiPriority w:val="0"/>
    <w:pPr>
      <w:ind w:left="200" w:leftChars="200"/>
    </w:pPr>
    <w:rPr>
      <w:rFonts w:ascii="Courier New" w:hAnsi="Courier New" w:eastAsia="宋体" w:cs="Courier New"/>
      <w:szCs w:val="20"/>
    </w:rPr>
  </w:style>
  <w:style w:type="paragraph" w:styleId="54">
    <w:name w:val="Title"/>
    <w:basedOn w:val="1"/>
    <w:next w:val="1"/>
    <w:link w:val="89"/>
    <w:qFormat/>
    <w:uiPriority w:val="0"/>
    <w:pPr>
      <w:tabs>
        <w:tab w:val="left" w:pos="425"/>
        <w:tab w:val="left" w:pos="840"/>
      </w:tabs>
      <w:spacing w:before="240" w:after="60"/>
      <w:ind w:left="425" w:hanging="425"/>
      <w:jc w:val="center"/>
      <w:outlineLvl w:val="0"/>
    </w:pPr>
    <w:rPr>
      <w:rFonts w:ascii="Cambria Math" w:hAnsi="Cambria Math" w:eastAsia="Cambria Math" w:cs="Cambria Math"/>
      <w:bCs/>
      <w:sz w:val="32"/>
      <w:szCs w:val="32"/>
    </w:rPr>
  </w:style>
  <w:style w:type="paragraph" w:styleId="55">
    <w:name w:val="annotation subject"/>
    <w:basedOn w:val="20"/>
    <w:next w:val="20"/>
    <w:link w:val="113"/>
    <w:unhideWhenUsed/>
    <w:uiPriority w:val="0"/>
    <w:pPr>
      <w:adjustRightInd w:val="0"/>
      <w:spacing w:line="360" w:lineRule="atLeast"/>
    </w:pPr>
    <w:rPr>
      <w:rFonts w:eastAsia="Cambria" w:cstheme="minorBidi"/>
      <w:b/>
      <w:bCs/>
      <w:sz w:val="24"/>
      <w:szCs w:val="22"/>
    </w:rPr>
  </w:style>
  <w:style w:type="paragraph" w:styleId="56">
    <w:name w:val="Body Text First Indent"/>
    <w:basedOn w:val="1"/>
    <w:link w:val="85"/>
    <w:qFormat/>
    <w:uiPriority w:val="0"/>
    <w:pPr>
      <w:autoSpaceDE w:val="0"/>
      <w:autoSpaceDN w:val="0"/>
      <w:adjustRightInd w:val="0"/>
      <w:spacing w:line="360" w:lineRule="auto"/>
      <w:ind w:right="-24" w:rightChars="-10" w:firstLine="425" w:firstLineChars="225"/>
    </w:pPr>
    <w:rPr>
      <w:rFonts w:ascii="Cambria Math" w:hAnsi="Cambria Math" w:eastAsia="Courier New" w:cs="Cambria Math"/>
      <w:sz w:val="24"/>
      <w:szCs w:val="32"/>
    </w:rPr>
  </w:style>
  <w:style w:type="table" w:styleId="58">
    <w:name w:val="Table Grid"/>
    <w:basedOn w:val="57"/>
    <w:uiPriority w:val="0"/>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60">
    <w:name w:val="Strong"/>
    <w:qFormat/>
    <w:uiPriority w:val="0"/>
    <w:rPr>
      <w:b/>
      <w:bCs/>
    </w:rPr>
  </w:style>
  <w:style w:type="character" w:styleId="61">
    <w:name w:val="page number"/>
    <w:basedOn w:val="59"/>
    <w:qFormat/>
    <w:uiPriority w:val="0"/>
  </w:style>
  <w:style w:type="character" w:styleId="62">
    <w:name w:val="FollowedHyperlink"/>
    <w:qFormat/>
    <w:uiPriority w:val="0"/>
    <w:rPr>
      <w:color w:val="800080"/>
      <w:u w:val="single"/>
    </w:rPr>
  </w:style>
  <w:style w:type="character" w:styleId="63">
    <w:name w:val="Emphasis"/>
    <w:qFormat/>
    <w:uiPriority w:val="0"/>
    <w:rPr>
      <w:color w:val="CC0033"/>
    </w:rPr>
  </w:style>
  <w:style w:type="character" w:styleId="64">
    <w:name w:val="Hyperlink"/>
    <w:qFormat/>
    <w:uiPriority w:val="99"/>
    <w:rPr>
      <w:color w:val="0000FF"/>
      <w:u w:val="single"/>
    </w:rPr>
  </w:style>
  <w:style w:type="character" w:styleId="65">
    <w:name w:val="annotation reference"/>
    <w:unhideWhenUsed/>
    <w:uiPriority w:val="0"/>
    <w:rPr>
      <w:sz w:val="21"/>
      <w:szCs w:val="21"/>
    </w:rPr>
  </w:style>
  <w:style w:type="paragraph" w:customStyle="1" w:styleId="66">
    <w:name w:val="Char Char Char Char Char Char Char1 Char"/>
    <w:basedOn w:val="1"/>
    <w:qFormat/>
    <w:uiPriority w:val="0"/>
    <w:rPr>
      <w:rFonts w:ascii="Tahoma" w:hAnsi="Tahoma" w:eastAsia="宋体" w:cs="Times New Roman"/>
      <w:sz w:val="24"/>
      <w:szCs w:val="20"/>
    </w:rPr>
  </w:style>
  <w:style w:type="paragraph" w:customStyle="1" w:styleId="67">
    <w:name w:val="表格内容"/>
    <w:basedOn w:val="1"/>
    <w:qFormat/>
    <w:uiPriority w:val="0"/>
    <w:pPr>
      <w:spacing w:line="360" w:lineRule="auto"/>
      <w:ind w:left="485" w:leftChars="202" w:firstLine="420"/>
    </w:pPr>
    <w:rPr>
      <w:rFonts w:ascii="Times New Roman" w:hAnsi="Times New Roman" w:eastAsia="宋体" w:cs="Times New Roman"/>
      <w:sz w:val="24"/>
      <w:szCs w:val="24"/>
    </w:rPr>
  </w:style>
  <w:style w:type="character" w:customStyle="1" w:styleId="68">
    <w:name w:val="页眉 Char"/>
    <w:basedOn w:val="59"/>
    <w:link w:val="38"/>
    <w:qFormat/>
    <w:uiPriority w:val="99"/>
    <w:rPr>
      <w:sz w:val="18"/>
      <w:szCs w:val="18"/>
    </w:rPr>
  </w:style>
  <w:style w:type="character" w:customStyle="1" w:styleId="69">
    <w:name w:val="页脚 Char"/>
    <w:basedOn w:val="59"/>
    <w:link w:val="37"/>
    <w:qFormat/>
    <w:uiPriority w:val="99"/>
    <w:rPr>
      <w:sz w:val="18"/>
      <w:szCs w:val="18"/>
    </w:rPr>
  </w:style>
  <w:style w:type="character" w:customStyle="1" w:styleId="70">
    <w:name w:val="批注框文本 Char"/>
    <w:basedOn w:val="59"/>
    <w:link w:val="36"/>
    <w:qFormat/>
    <w:uiPriority w:val="0"/>
    <w:rPr>
      <w:sz w:val="18"/>
      <w:szCs w:val="18"/>
    </w:rPr>
  </w:style>
  <w:style w:type="character" w:customStyle="1" w:styleId="71">
    <w:name w:val="标题 1 Char"/>
    <w:basedOn w:val="59"/>
    <w:link w:val="3"/>
    <w:qFormat/>
    <w:uiPriority w:val="0"/>
    <w:rPr>
      <w:rFonts w:ascii="Courier New" w:hAnsi="Courier New" w:eastAsia="Cambria" w:cs="Times New Roman"/>
      <w:b/>
      <w:bCs/>
      <w:kern w:val="44"/>
      <w:sz w:val="30"/>
      <w:szCs w:val="44"/>
    </w:rPr>
  </w:style>
  <w:style w:type="character" w:customStyle="1" w:styleId="72">
    <w:name w:val="标题 2 Char"/>
    <w:basedOn w:val="59"/>
    <w:link w:val="4"/>
    <w:qFormat/>
    <w:uiPriority w:val="0"/>
    <w:rPr>
      <w:rFonts w:ascii="Cambria Math" w:hAnsi="Cambria Math" w:eastAsia="Cambria Math" w:cs="Times New Roman"/>
      <w:b/>
      <w:bCs/>
      <w:kern w:val="0"/>
      <w:sz w:val="32"/>
      <w:szCs w:val="32"/>
    </w:rPr>
  </w:style>
  <w:style w:type="character" w:customStyle="1" w:styleId="73">
    <w:name w:val="标题 3 Char"/>
    <w:basedOn w:val="59"/>
    <w:link w:val="5"/>
    <w:qFormat/>
    <w:uiPriority w:val="0"/>
    <w:rPr>
      <w:rFonts w:ascii="Cambria" w:hAnsi="Courier New" w:eastAsia="Cambria" w:cs="Times New Roman"/>
      <w:b/>
      <w:bCs/>
      <w:kern w:val="0"/>
      <w:sz w:val="32"/>
      <w:szCs w:val="32"/>
    </w:rPr>
  </w:style>
  <w:style w:type="character" w:customStyle="1" w:styleId="74">
    <w:name w:val="标题 4 Char"/>
    <w:basedOn w:val="59"/>
    <w:link w:val="6"/>
    <w:qFormat/>
    <w:uiPriority w:val="0"/>
    <w:rPr>
      <w:rFonts w:ascii="Cambria Math" w:hAnsi="Cambria Math" w:eastAsia="Cambria Math" w:cs="Times New Roman"/>
      <w:b/>
      <w:bCs/>
      <w:kern w:val="0"/>
      <w:sz w:val="28"/>
      <w:szCs w:val="28"/>
    </w:rPr>
  </w:style>
  <w:style w:type="character" w:customStyle="1" w:styleId="75">
    <w:name w:val="标题 5 Char"/>
    <w:basedOn w:val="59"/>
    <w:link w:val="7"/>
    <w:qFormat/>
    <w:uiPriority w:val="0"/>
    <w:rPr>
      <w:rFonts w:ascii="Cambria" w:hAnsi="Cambria Math" w:eastAsia="Cambria" w:cs="Times New Roman"/>
      <w:bCs/>
      <w:kern w:val="0"/>
      <w:sz w:val="28"/>
      <w:szCs w:val="20"/>
    </w:rPr>
  </w:style>
  <w:style w:type="character" w:customStyle="1" w:styleId="76">
    <w:name w:val="标题 6 Char"/>
    <w:basedOn w:val="59"/>
    <w:link w:val="8"/>
    <w:qFormat/>
    <w:uiPriority w:val="0"/>
    <w:rPr>
      <w:rFonts w:ascii="Cambria" w:hAnsi="Cambria" w:eastAsia="Cambria" w:cs="Times New Roman"/>
      <w:kern w:val="0"/>
      <w:sz w:val="28"/>
      <w:szCs w:val="20"/>
    </w:rPr>
  </w:style>
  <w:style w:type="character" w:customStyle="1" w:styleId="77">
    <w:name w:val="标题 7 Char"/>
    <w:basedOn w:val="59"/>
    <w:link w:val="9"/>
    <w:qFormat/>
    <w:uiPriority w:val="0"/>
    <w:rPr>
      <w:rFonts w:ascii="Cambria Math" w:hAnsi="Cambria Math" w:eastAsia="Courier New" w:cs="Times New Roman"/>
      <w:b/>
      <w:bCs/>
      <w:spacing w:val="-4"/>
      <w:kern w:val="0"/>
      <w:sz w:val="24"/>
      <w:szCs w:val="24"/>
    </w:rPr>
  </w:style>
  <w:style w:type="character" w:customStyle="1" w:styleId="78">
    <w:name w:val="标题 8 Char"/>
    <w:basedOn w:val="59"/>
    <w:link w:val="10"/>
    <w:qFormat/>
    <w:uiPriority w:val="0"/>
    <w:rPr>
      <w:rFonts w:ascii="Courier New" w:hAnsi="Courier New" w:eastAsia="Cambria" w:cs="Times New Roman"/>
      <w:kern w:val="0"/>
      <w:sz w:val="24"/>
      <w:szCs w:val="20"/>
    </w:rPr>
  </w:style>
  <w:style w:type="character" w:customStyle="1" w:styleId="79">
    <w:name w:val="标题 9 Char"/>
    <w:basedOn w:val="59"/>
    <w:link w:val="11"/>
    <w:qFormat/>
    <w:uiPriority w:val="0"/>
    <w:rPr>
      <w:rFonts w:ascii="Courier New" w:hAnsi="Courier New" w:eastAsia="Cambria" w:cs="Times New Roman"/>
      <w:kern w:val="0"/>
      <w:sz w:val="24"/>
      <w:szCs w:val="20"/>
    </w:rPr>
  </w:style>
  <w:style w:type="character" w:customStyle="1" w:styleId="80">
    <w:name w:val="文档结构图 Char"/>
    <w:link w:val="18"/>
    <w:qFormat/>
    <w:uiPriority w:val="0"/>
    <w:rPr>
      <w:rFonts w:ascii="Courier New" w:hAnsi="Courier New" w:eastAsia="Cambria"/>
      <w:shd w:val="clear" w:color="auto" w:fill="000080"/>
    </w:rPr>
  </w:style>
  <w:style w:type="character" w:customStyle="1" w:styleId="81">
    <w:name w:val="日期 Char"/>
    <w:link w:val="34"/>
    <w:qFormat/>
    <w:uiPriority w:val="0"/>
    <w:rPr>
      <w:rFonts w:ascii="Courier New" w:hAnsi="Courier New" w:eastAsia="Cambria"/>
      <w:b/>
      <w:sz w:val="28"/>
    </w:rPr>
  </w:style>
  <w:style w:type="character" w:customStyle="1" w:styleId="82">
    <w:name w:val="纯文本 Char"/>
    <w:qFormat/>
    <w:uiPriority w:val="99"/>
    <w:rPr>
      <w:rFonts w:ascii="Cambria" w:hAnsi="Cambria" w:eastAsia="Cambria" w:cs="Cambria"/>
      <w:szCs w:val="21"/>
    </w:rPr>
  </w:style>
  <w:style w:type="character" w:customStyle="1" w:styleId="83">
    <w:name w:val="正文文本 3 Char"/>
    <w:link w:val="22"/>
    <w:qFormat/>
    <w:uiPriority w:val="0"/>
    <w:rPr>
      <w:rFonts w:ascii="Cambria Math" w:hAnsi="Cambria Math" w:eastAsia="Cambria Math"/>
      <w:b/>
      <w:sz w:val="28"/>
    </w:rPr>
  </w:style>
  <w:style w:type="character" w:customStyle="1" w:styleId="84">
    <w:name w:val="批注文字 Char1"/>
    <w:qFormat/>
    <w:uiPriority w:val="0"/>
    <w:rPr>
      <w:rFonts w:ascii="Courier New" w:hAnsi="Courier New" w:eastAsia="Cambria" w:cs="Courier New"/>
      <w:szCs w:val="20"/>
    </w:rPr>
  </w:style>
  <w:style w:type="character" w:customStyle="1" w:styleId="85">
    <w:name w:val="正文首行缩进 Char"/>
    <w:link w:val="56"/>
    <w:qFormat/>
    <w:uiPriority w:val="0"/>
    <w:rPr>
      <w:rFonts w:ascii="Cambria Math" w:hAnsi="Cambria Math" w:eastAsia="Courier New" w:cs="Cambria Math"/>
      <w:sz w:val="24"/>
      <w:szCs w:val="32"/>
    </w:rPr>
  </w:style>
  <w:style w:type="character" w:customStyle="1" w:styleId="86">
    <w:name w:val="标题 3 Char1"/>
    <w:semiHidden/>
    <w:qFormat/>
    <w:uiPriority w:val="0"/>
    <w:rPr>
      <w:b/>
      <w:bCs/>
      <w:kern w:val="2"/>
      <w:sz w:val="32"/>
      <w:szCs w:val="32"/>
    </w:rPr>
  </w:style>
  <w:style w:type="character" w:customStyle="1" w:styleId="87">
    <w:name w:val="页脚 Char1"/>
    <w:semiHidden/>
    <w:qFormat/>
    <w:uiPriority w:val="99"/>
    <w:rPr>
      <w:kern w:val="2"/>
      <w:sz w:val="18"/>
      <w:szCs w:val="18"/>
    </w:rPr>
  </w:style>
  <w:style w:type="character" w:customStyle="1" w:styleId="88">
    <w:name w:val="正文文本缩进 3 Char"/>
    <w:link w:val="46"/>
    <w:qFormat/>
    <w:uiPriority w:val="0"/>
    <w:rPr>
      <w:rFonts w:ascii="Courier New" w:hAnsi="Cambria Math" w:eastAsia="Courier New"/>
      <w:color w:val="000000"/>
      <w:sz w:val="30"/>
    </w:rPr>
  </w:style>
  <w:style w:type="character" w:customStyle="1" w:styleId="89">
    <w:name w:val="标题 Char"/>
    <w:link w:val="54"/>
    <w:qFormat/>
    <w:uiPriority w:val="0"/>
    <w:rPr>
      <w:rFonts w:ascii="Cambria Math" w:hAnsi="Cambria Math" w:eastAsia="Cambria Math" w:cs="Cambria Math"/>
      <w:bCs/>
      <w:sz w:val="32"/>
      <w:szCs w:val="32"/>
    </w:rPr>
  </w:style>
  <w:style w:type="character" w:customStyle="1" w:styleId="90">
    <w:name w:val="副标题 Char"/>
    <w:link w:val="43"/>
    <w:qFormat/>
    <w:uiPriority w:val="0"/>
    <w:rPr>
      <w:rFonts w:ascii="Cambria Math" w:hAnsi="Cambria Math" w:eastAsia="Cambria" w:cs="Cambria Math"/>
      <w:b/>
      <w:bCs/>
      <w:kern w:val="28"/>
      <w:sz w:val="32"/>
      <w:szCs w:val="32"/>
    </w:rPr>
  </w:style>
  <w:style w:type="character" w:customStyle="1" w:styleId="91">
    <w:name w:val="纯文本 Char1"/>
    <w:link w:val="31"/>
    <w:qFormat/>
    <w:locked/>
    <w:uiPriority w:val="0"/>
    <w:rPr>
      <w:rFonts w:ascii="Cambria" w:hAnsi="Cambria" w:eastAsia="Cambria"/>
    </w:rPr>
  </w:style>
  <w:style w:type="character" w:customStyle="1" w:styleId="92">
    <w:name w:val="文档 Char"/>
    <w:link w:val="93"/>
    <w:qFormat/>
    <w:locked/>
    <w:uiPriority w:val="0"/>
    <w:rPr>
      <w:sz w:val="24"/>
      <w:szCs w:val="24"/>
    </w:rPr>
  </w:style>
  <w:style w:type="paragraph" w:customStyle="1" w:styleId="93">
    <w:name w:val="文档"/>
    <w:basedOn w:val="1"/>
    <w:link w:val="92"/>
    <w:uiPriority w:val="0"/>
    <w:pPr>
      <w:adjustRightInd w:val="0"/>
      <w:snapToGrid w:val="0"/>
      <w:spacing w:afterLines="50"/>
      <w:ind w:firstLine="480" w:firstLineChars="200"/>
      <w:jc w:val="left"/>
    </w:pPr>
    <w:rPr>
      <w:sz w:val="24"/>
      <w:szCs w:val="24"/>
    </w:rPr>
  </w:style>
  <w:style w:type="character" w:customStyle="1" w:styleId="94">
    <w:name w:val="末级 Char Char"/>
    <w:link w:val="95"/>
    <w:qFormat/>
    <w:locked/>
    <w:uiPriority w:val="0"/>
    <w:rPr>
      <w:sz w:val="24"/>
      <w:szCs w:val="24"/>
    </w:rPr>
  </w:style>
  <w:style w:type="paragraph" w:customStyle="1" w:styleId="95">
    <w:name w:val="末级"/>
    <w:basedOn w:val="1"/>
    <w:link w:val="94"/>
    <w:uiPriority w:val="0"/>
    <w:pPr>
      <w:tabs>
        <w:tab w:val="left" w:pos="964"/>
        <w:tab w:val="left" w:pos="2502"/>
      </w:tabs>
      <w:spacing w:line="360" w:lineRule="auto"/>
      <w:ind w:left="2502" w:hanging="432"/>
    </w:pPr>
    <w:rPr>
      <w:sz w:val="24"/>
      <w:szCs w:val="24"/>
    </w:rPr>
  </w:style>
  <w:style w:type="character" w:customStyle="1" w:styleId="96">
    <w:name w:val="样式 首行缩进:  2 字符 Char1"/>
    <w:link w:val="97"/>
    <w:qFormat/>
    <w:locked/>
    <w:uiPriority w:val="0"/>
    <w:rPr>
      <w:sz w:val="24"/>
    </w:rPr>
  </w:style>
  <w:style w:type="paragraph" w:customStyle="1" w:styleId="97">
    <w:name w:val="样式 首行缩进:  2 字符"/>
    <w:basedOn w:val="1"/>
    <w:link w:val="96"/>
    <w:uiPriority w:val="0"/>
    <w:pPr>
      <w:spacing w:line="480" w:lineRule="exact"/>
      <w:ind w:firstLine="480" w:firstLineChars="200"/>
    </w:pPr>
    <w:rPr>
      <w:sz w:val="24"/>
    </w:rPr>
  </w:style>
  <w:style w:type="character" w:customStyle="1" w:styleId="98">
    <w:name w:val="Char2"/>
    <w:qFormat/>
    <w:uiPriority w:val="0"/>
    <w:rPr>
      <w:rFonts w:hint="eastAsia" w:ascii="Cambria Math" w:hAnsi="Cambria Math" w:eastAsia="Cambria Math" w:cs="Cambria Math"/>
      <w:bCs/>
      <w:kern w:val="2"/>
      <w:sz w:val="32"/>
      <w:szCs w:val="32"/>
      <w:lang w:val="en-US" w:eastAsia="zh-CN" w:bidi="ar-SA"/>
    </w:rPr>
  </w:style>
  <w:style w:type="character" w:customStyle="1" w:styleId="99">
    <w:name w:val="正文文本缩进 Char"/>
    <w:link w:val="25"/>
    <w:qFormat/>
    <w:uiPriority w:val="0"/>
    <w:rPr>
      <w:rFonts w:hAnsi="Courier New" w:eastAsia="幼圆"/>
      <w:sz w:val="32"/>
    </w:rPr>
  </w:style>
  <w:style w:type="character" w:customStyle="1" w:styleId="100">
    <w:name w:val="正文文本缩进 2 Char"/>
    <w:link w:val="35"/>
    <w:qFormat/>
    <w:uiPriority w:val="0"/>
    <w:rPr>
      <w:rFonts w:ascii="Cambria Math" w:hAnsi="Cambria Math" w:eastAsia="Courier New"/>
      <w:sz w:val="32"/>
    </w:rPr>
  </w:style>
  <w:style w:type="character" w:customStyle="1" w:styleId="101">
    <w:name w:val="正文文本 Char"/>
    <w:qFormat/>
    <w:uiPriority w:val="0"/>
    <w:rPr>
      <w:rFonts w:ascii="Cambria" w:hAnsi="Cambria Math" w:eastAsia="Cambria" w:cs="Courier New"/>
      <w:sz w:val="28"/>
      <w:szCs w:val="20"/>
    </w:rPr>
  </w:style>
  <w:style w:type="character" w:customStyle="1" w:styleId="102">
    <w:name w:val="正文文本 2 Char"/>
    <w:link w:val="51"/>
    <w:qFormat/>
    <w:uiPriority w:val="0"/>
    <w:rPr>
      <w:rFonts w:ascii="Courier New" w:hAnsi="Courier New" w:eastAsia="Courier New"/>
      <w:b/>
      <w:sz w:val="24"/>
    </w:rPr>
  </w:style>
  <w:style w:type="character" w:customStyle="1" w:styleId="103">
    <w:name w:val="批注文字 Char"/>
    <w:qFormat/>
    <w:uiPriority w:val="0"/>
    <w:rPr>
      <w:rFonts w:ascii="Courier New" w:hAnsi="Courier New" w:eastAsia="Cambria" w:cs="Courier New"/>
      <w:szCs w:val="20"/>
    </w:rPr>
  </w:style>
  <w:style w:type="character" w:customStyle="1" w:styleId="104">
    <w:name w:val="正文缩进 Char"/>
    <w:link w:val="16"/>
    <w:qFormat/>
    <w:uiPriority w:val="0"/>
    <w:rPr>
      <w:rFonts w:eastAsia="Cambria" w:cs="楷体_GB2312"/>
      <w:sz w:val="24"/>
      <w:szCs w:val="24"/>
    </w:rPr>
  </w:style>
  <w:style w:type="character" w:customStyle="1" w:styleId="105">
    <w:name w:val="标题 1 Char1"/>
    <w:qFormat/>
    <w:uiPriority w:val="0"/>
    <w:rPr>
      <w:b/>
      <w:bCs/>
      <w:kern w:val="44"/>
      <w:sz w:val="44"/>
      <w:szCs w:val="44"/>
    </w:rPr>
  </w:style>
  <w:style w:type="character" w:customStyle="1" w:styleId="106">
    <w:name w:val="标题 2 Char1"/>
    <w:semiHidden/>
    <w:qFormat/>
    <w:uiPriority w:val="0"/>
    <w:rPr>
      <w:rFonts w:ascii="楷体_GB2312" w:hAnsi="楷体_GB2312" w:eastAsia="Cambria" w:cs="Courier New"/>
      <w:b/>
      <w:bCs/>
      <w:kern w:val="2"/>
      <w:sz w:val="32"/>
      <w:szCs w:val="32"/>
    </w:rPr>
  </w:style>
  <w:style w:type="character" w:customStyle="1" w:styleId="107">
    <w:name w:val="标题 4 Char1"/>
    <w:semiHidden/>
    <w:qFormat/>
    <w:uiPriority w:val="0"/>
    <w:rPr>
      <w:rFonts w:ascii="楷体_GB2312" w:hAnsi="楷体_GB2312" w:eastAsia="Cambria" w:cs="Courier New"/>
      <w:b/>
      <w:bCs/>
      <w:kern w:val="2"/>
      <w:sz w:val="28"/>
      <w:szCs w:val="28"/>
    </w:rPr>
  </w:style>
  <w:style w:type="character" w:customStyle="1" w:styleId="108">
    <w:name w:val="标题 5 Char1"/>
    <w:semiHidden/>
    <w:qFormat/>
    <w:uiPriority w:val="0"/>
    <w:rPr>
      <w:b/>
      <w:bCs/>
      <w:kern w:val="2"/>
      <w:sz w:val="28"/>
      <w:szCs w:val="28"/>
    </w:rPr>
  </w:style>
  <w:style w:type="character" w:customStyle="1" w:styleId="109">
    <w:name w:val="标题 7 Char1"/>
    <w:semiHidden/>
    <w:qFormat/>
    <w:uiPriority w:val="0"/>
    <w:rPr>
      <w:b/>
      <w:bCs/>
      <w:kern w:val="2"/>
      <w:sz w:val="24"/>
      <w:szCs w:val="24"/>
    </w:rPr>
  </w:style>
  <w:style w:type="character" w:customStyle="1" w:styleId="110">
    <w:name w:val="正文文本 Char1"/>
    <w:qFormat/>
    <w:uiPriority w:val="0"/>
    <w:rPr>
      <w:kern w:val="2"/>
      <w:sz w:val="21"/>
      <w:szCs w:val="24"/>
    </w:rPr>
  </w:style>
  <w:style w:type="character" w:customStyle="1" w:styleId="111">
    <w:name w:val="正文文本缩进 Char1"/>
    <w:qFormat/>
    <w:uiPriority w:val="0"/>
    <w:rPr>
      <w:kern w:val="2"/>
      <w:sz w:val="21"/>
      <w:szCs w:val="24"/>
    </w:rPr>
  </w:style>
  <w:style w:type="character" w:customStyle="1" w:styleId="112">
    <w:name w:val="普通文字1 Char1"/>
    <w:qFormat/>
    <w:uiPriority w:val="0"/>
    <w:rPr>
      <w:rFonts w:ascii="Cambria" w:hAnsi="Cambria" w:cs="Cambria"/>
      <w:kern w:val="2"/>
      <w:sz w:val="21"/>
      <w:szCs w:val="21"/>
    </w:rPr>
  </w:style>
  <w:style w:type="character" w:customStyle="1" w:styleId="113">
    <w:name w:val="批注主题 Char"/>
    <w:link w:val="55"/>
    <w:qFormat/>
    <w:uiPriority w:val="0"/>
    <w:rPr>
      <w:rFonts w:ascii="Courier New" w:hAnsi="Courier New" w:eastAsia="Cambria"/>
      <w:b/>
      <w:bCs/>
      <w:sz w:val="24"/>
    </w:rPr>
  </w:style>
  <w:style w:type="character" w:customStyle="1" w:styleId="114">
    <w:name w:val="正文段落 m14 Char Char"/>
    <w:link w:val="115"/>
    <w:qFormat/>
    <w:locked/>
    <w:uiPriority w:val="0"/>
    <w:rPr>
      <w:sz w:val="24"/>
    </w:rPr>
  </w:style>
  <w:style w:type="paragraph" w:customStyle="1" w:styleId="115">
    <w:name w:val="正文段落 m14"/>
    <w:link w:val="114"/>
    <w:uiPriority w:val="0"/>
    <w:pPr>
      <w:adjustRightInd w:val="0"/>
      <w:snapToGrid w:val="0"/>
      <w:spacing w:beforeLines="50" w:line="360" w:lineRule="auto"/>
      <w:ind w:firstLine="480" w:firstLineChars="200"/>
    </w:pPr>
    <w:rPr>
      <w:rFonts w:asciiTheme="minorHAnsi" w:hAnsiTheme="minorHAnsi" w:eastAsiaTheme="minorEastAsia" w:cstheme="minorBidi"/>
      <w:kern w:val="2"/>
      <w:sz w:val="24"/>
      <w:szCs w:val="22"/>
      <w:lang w:val="en-US" w:eastAsia="zh-CN" w:bidi="ar-SA"/>
    </w:rPr>
  </w:style>
  <w:style w:type="character" w:customStyle="1" w:styleId="116">
    <w:name w:val="Char Char1"/>
    <w:qFormat/>
    <w:uiPriority w:val="0"/>
    <w:rPr>
      <w:rFonts w:hint="eastAsia" w:ascii="Cambria" w:hAnsi="Cambria" w:eastAsia="Cambria"/>
      <w:sz w:val="24"/>
      <w:u w:val="single"/>
      <w:lang w:val="en-US" w:eastAsia="zh-CN" w:bidi="ar-SA"/>
    </w:rPr>
  </w:style>
  <w:style w:type="character" w:customStyle="1" w:styleId="117">
    <w:name w:val="标题 Char1"/>
    <w:qFormat/>
    <w:uiPriority w:val="0"/>
    <w:rPr>
      <w:rFonts w:hint="default" w:ascii="楷体_GB2312" w:hAnsi="楷体_GB2312" w:cs="Courier New"/>
      <w:b/>
      <w:bCs/>
      <w:kern w:val="2"/>
      <w:sz w:val="32"/>
      <w:szCs w:val="32"/>
    </w:rPr>
  </w:style>
  <w:style w:type="character" w:customStyle="1" w:styleId="118">
    <w:name w:val="批注文字 Char2"/>
    <w:basedOn w:val="59"/>
    <w:link w:val="20"/>
    <w:qFormat/>
    <w:uiPriority w:val="99"/>
    <w:rPr>
      <w:rFonts w:ascii="Courier New" w:hAnsi="Courier New" w:eastAsia="宋体" w:cs="Courier New"/>
      <w:szCs w:val="20"/>
    </w:rPr>
  </w:style>
  <w:style w:type="character" w:customStyle="1" w:styleId="119">
    <w:name w:val="批注主题 Char1"/>
    <w:basedOn w:val="118"/>
    <w:semiHidden/>
    <w:qFormat/>
    <w:uiPriority w:val="99"/>
    <w:rPr>
      <w:rFonts w:ascii="Courier New" w:hAnsi="Courier New" w:eastAsia="宋体" w:cs="Courier New"/>
      <w:b/>
      <w:bCs/>
      <w:szCs w:val="20"/>
    </w:rPr>
  </w:style>
  <w:style w:type="character" w:customStyle="1" w:styleId="120">
    <w:name w:val="正文文本 Char2"/>
    <w:basedOn w:val="59"/>
    <w:link w:val="24"/>
    <w:qFormat/>
    <w:uiPriority w:val="99"/>
    <w:rPr>
      <w:rFonts w:ascii="Courier New" w:hAnsi="Courier New" w:eastAsia="宋体" w:cs="Courier New"/>
      <w:szCs w:val="20"/>
    </w:rPr>
  </w:style>
  <w:style w:type="character" w:customStyle="1" w:styleId="121">
    <w:name w:val="正文首行缩进 Char1"/>
    <w:basedOn w:val="120"/>
    <w:semiHidden/>
    <w:uiPriority w:val="99"/>
    <w:rPr>
      <w:rFonts w:ascii="Courier New" w:hAnsi="Courier New" w:eastAsia="宋体" w:cs="Courier New"/>
      <w:szCs w:val="20"/>
    </w:rPr>
  </w:style>
  <w:style w:type="character" w:customStyle="1" w:styleId="122">
    <w:name w:val="正文文本缩进 Char2"/>
    <w:basedOn w:val="59"/>
    <w:semiHidden/>
    <w:uiPriority w:val="99"/>
  </w:style>
  <w:style w:type="character" w:customStyle="1" w:styleId="123">
    <w:name w:val="正文文本 3 Char1"/>
    <w:basedOn w:val="59"/>
    <w:semiHidden/>
    <w:qFormat/>
    <w:uiPriority w:val="99"/>
    <w:rPr>
      <w:sz w:val="16"/>
      <w:szCs w:val="16"/>
    </w:rPr>
  </w:style>
  <w:style w:type="character" w:customStyle="1" w:styleId="124">
    <w:name w:val="文档结构图 Char1"/>
    <w:basedOn w:val="59"/>
    <w:semiHidden/>
    <w:qFormat/>
    <w:uiPriority w:val="99"/>
    <w:rPr>
      <w:rFonts w:ascii="Microsoft YaHei UI" w:eastAsia="Microsoft YaHei UI"/>
      <w:sz w:val="18"/>
      <w:szCs w:val="18"/>
    </w:rPr>
  </w:style>
  <w:style w:type="paragraph" w:customStyle="1" w:styleId="125">
    <w:name w:val="样式 宋体 小四 首行缩进:  0.93 厘米 段前: 11.15 磅 段后: 11.15 磅1"/>
    <w:basedOn w:val="1"/>
    <w:qFormat/>
    <w:uiPriority w:val="0"/>
    <w:pPr>
      <w:adjustRightInd w:val="0"/>
      <w:snapToGrid w:val="0"/>
      <w:ind w:left="200" w:leftChars="200"/>
    </w:pPr>
    <w:rPr>
      <w:rFonts w:ascii="Cambria" w:hAnsi="Courier New" w:eastAsia="宋体" w:cs="Cambria"/>
      <w:sz w:val="24"/>
      <w:szCs w:val="20"/>
    </w:rPr>
  </w:style>
  <w:style w:type="paragraph" w:customStyle="1" w:styleId="126">
    <w:name w:val="font6"/>
    <w:basedOn w:val="1"/>
    <w:uiPriority w:val="0"/>
    <w:pPr>
      <w:widowControl/>
      <w:spacing w:before="100" w:beforeAutospacing="1" w:after="100" w:afterAutospacing="1"/>
      <w:jc w:val="left"/>
    </w:pPr>
    <w:rPr>
      <w:rFonts w:hint="eastAsia" w:ascii="Cambria" w:hAnsi="Cambria" w:eastAsia="宋体" w:cs="Courier New"/>
      <w:kern w:val="0"/>
      <w:sz w:val="18"/>
      <w:szCs w:val="18"/>
    </w:rPr>
  </w:style>
  <w:style w:type="paragraph" w:customStyle="1" w:styleId="127">
    <w:name w:val="基本文字 Char"/>
    <w:basedOn w:val="1"/>
    <w:uiPriority w:val="0"/>
    <w:pPr>
      <w:spacing w:before="156" w:line="400" w:lineRule="atLeast"/>
      <w:ind w:firstLine="540" w:firstLineChars="225"/>
    </w:pPr>
    <w:rPr>
      <w:rFonts w:ascii="Courier New" w:hAnsi="Courier New" w:eastAsia="宋体" w:cs="Courier New"/>
      <w:sz w:val="24"/>
      <w:szCs w:val="20"/>
    </w:rPr>
  </w:style>
  <w:style w:type="paragraph" w:customStyle="1" w:styleId="128">
    <w:name w:val="正文1"/>
    <w:uiPriority w:val="0"/>
    <w:pPr>
      <w:widowControl w:val="0"/>
      <w:adjustRightInd w:val="0"/>
      <w:spacing w:line="312" w:lineRule="atLeast"/>
      <w:jc w:val="both"/>
    </w:pPr>
    <w:rPr>
      <w:rFonts w:ascii="Cambria" w:hAnsi="Courier New" w:eastAsia="宋体" w:cs="Courier New"/>
      <w:kern w:val="0"/>
      <w:sz w:val="34"/>
      <w:szCs w:val="20"/>
      <w:lang w:val="en-US" w:eastAsia="zh-CN" w:bidi="ar-SA"/>
    </w:rPr>
  </w:style>
  <w:style w:type="character" w:customStyle="1" w:styleId="129">
    <w:name w:val="页脚 Char2"/>
    <w:basedOn w:val="59"/>
    <w:semiHidden/>
    <w:uiPriority w:val="99"/>
    <w:rPr>
      <w:rFonts w:ascii="Courier New" w:hAnsi="Courier New"/>
      <w:kern w:val="2"/>
      <w:sz w:val="18"/>
      <w:szCs w:val="18"/>
    </w:rPr>
  </w:style>
  <w:style w:type="paragraph" w:customStyle="1" w:styleId="130">
    <w:name w:val="一级标题"/>
    <w:basedOn w:val="1"/>
    <w:next w:val="131"/>
    <w:link w:val="273"/>
    <w:uiPriority w:val="0"/>
    <w:pPr>
      <w:tabs>
        <w:tab w:val="left" w:pos="425"/>
        <w:tab w:val="left" w:pos="1418"/>
      </w:tabs>
      <w:spacing w:afterLines="100"/>
      <w:ind w:left="850" w:hanging="425"/>
      <w:outlineLvl w:val="0"/>
    </w:pPr>
    <w:rPr>
      <w:rFonts w:ascii="Cambria Math" w:hAnsi="Courier New" w:eastAsia="Cambria Math" w:cs="Courier New"/>
      <w:sz w:val="30"/>
      <w:szCs w:val="28"/>
    </w:rPr>
  </w:style>
  <w:style w:type="paragraph" w:customStyle="1" w:styleId="131">
    <w:name w:val="二级标题"/>
    <w:basedOn w:val="1"/>
    <w:next w:val="132"/>
    <w:link w:val="270"/>
    <w:uiPriority w:val="0"/>
    <w:pPr>
      <w:tabs>
        <w:tab w:val="left" w:pos="992"/>
      </w:tabs>
      <w:ind w:left="992" w:hanging="567"/>
      <w:outlineLvl w:val="1"/>
    </w:pPr>
    <w:rPr>
      <w:rFonts w:ascii="Cambria Math" w:hAnsi="Courier New" w:eastAsia="Cambria Math" w:cs="Courier New"/>
      <w:sz w:val="28"/>
      <w:szCs w:val="24"/>
    </w:rPr>
  </w:style>
  <w:style w:type="paragraph" w:customStyle="1" w:styleId="132">
    <w:name w:val="文章正文"/>
    <w:basedOn w:val="1"/>
    <w:uiPriority w:val="0"/>
    <w:pPr>
      <w:tabs>
        <w:tab w:val="left" w:pos="992"/>
      </w:tabs>
      <w:spacing w:beforeLines="50" w:afterLines="50" w:line="320" w:lineRule="exact"/>
      <w:ind w:firstLine="200" w:firstLineChars="200"/>
    </w:pPr>
    <w:rPr>
      <w:rFonts w:ascii="Courier New" w:hAnsi="Courier New" w:eastAsia="Courier New" w:cs="Courier New"/>
      <w:sz w:val="28"/>
      <w:szCs w:val="24"/>
    </w:rPr>
  </w:style>
  <w:style w:type="paragraph" w:customStyle="1" w:styleId="133">
    <w:name w:val="font8"/>
    <w:basedOn w:val="1"/>
    <w:uiPriority w:val="0"/>
    <w:pPr>
      <w:widowControl/>
      <w:spacing w:before="100" w:beforeAutospacing="1" w:after="100" w:afterAutospacing="1"/>
      <w:jc w:val="left"/>
    </w:pPr>
    <w:rPr>
      <w:rFonts w:hint="eastAsia" w:ascii="Cambria" w:hAnsi="Cambria" w:eastAsia="宋体" w:cs="Courier New"/>
      <w:color w:val="000000"/>
      <w:kern w:val="0"/>
      <w:sz w:val="32"/>
      <w:szCs w:val="32"/>
    </w:rPr>
  </w:style>
  <w:style w:type="character" w:customStyle="1" w:styleId="134">
    <w:name w:val="正文文本缩进 2 Char1"/>
    <w:basedOn w:val="59"/>
    <w:semiHidden/>
    <w:uiPriority w:val="99"/>
  </w:style>
  <w:style w:type="character" w:customStyle="1" w:styleId="135">
    <w:name w:val="标题 Char2"/>
    <w:basedOn w:val="59"/>
    <w:uiPriority w:val="10"/>
    <w:rPr>
      <w:rFonts w:eastAsia="宋体" w:asciiTheme="majorHAnsi" w:hAnsiTheme="majorHAnsi" w:cstheme="majorBidi"/>
      <w:b/>
      <w:bCs/>
      <w:sz w:val="32"/>
      <w:szCs w:val="32"/>
    </w:rPr>
  </w:style>
  <w:style w:type="paragraph" w:customStyle="1" w:styleId="136">
    <w:name w:val="font5"/>
    <w:basedOn w:val="1"/>
    <w:uiPriority w:val="0"/>
    <w:pPr>
      <w:widowControl/>
      <w:spacing w:before="100" w:beforeAutospacing="1" w:after="100" w:afterAutospacing="1"/>
      <w:jc w:val="left"/>
    </w:pPr>
    <w:rPr>
      <w:rFonts w:hint="eastAsia" w:ascii="Cambria" w:hAnsi="Cambria" w:eastAsia="宋体" w:cs="Courier New"/>
      <w:kern w:val="0"/>
      <w:sz w:val="18"/>
      <w:szCs w:val="18"/>
    </w:rPr>
  </w:style>
  <w:style w:type="paragraph" w:customStyle="1" w:styleId="137">
    <w:name w:val="表格文字"/>
    <w:basedOn w:val="1"/>
    <w:uiPriority w:val="0"/>
    <w:pPr>
      <w:snapToGrid w:val="0"/>
      <w:ind w:firstLine="200" w:firstLineChars="200"/>
      <w:jc w:val="center"/>
    </w:pPr>
    <w:rPr>
      <w:rFonts w:ascii="Courier New" w:hAnsi="Courier New" w:eastAsia="宋体" w:cs="Cambria"/>
      <w:szCs w:val="20"/>
    </w:rPr>
  </w:style>
  <w:style w:type="character" w:customStyle="1" w:styleId="138">
    <w:name w:val="纯文本 Char2"/>
    <w:basedOn w:val="59"/>
    <w:semiHidden/>
    <w:uiPriority w:val="99"/>
    <w:rPr>
      <w:rFonts w:ascii="宋体" w:hAnsi="Courier New" w:eastAsia="宋体" w:cs="Courier New"/>
      <w:szCs w:val="21"/>
    </w:rPr>
  </w:style>
  <w:style w:type="character" w:customStyle="1" w:styleId="139">
    <w:name w:val="页眉 Char1"/>
    <w:basedOn w:val="59"/>
    <w:semiHidden/>
    <w:uiPriority w:val="99"/>
    <w:rPr>
      <w:rFonts w:ascii="Courier New" w:hAnsi="Courier New"/>
      <w:kern w:val="2"/>
      <w:sz w:val="18"/>
      <w:szCs w:val="18"/>
    </w:rPr>
  </w:style>
  <w:style w:type="paragraph" w:customStyle="1" w:styleId="140">
    <w:name w:val="Char"/>
    <w:basedOn w:val="1"/>
    <w:uiPriority w:val="0"/>
    <w:rPr>
      <w:rFonts w:ascii="幼圆" w:hAnsi="幼圆" w:eastAsia="宋体" w:cs="Courier New"/>
      <w:sz w:val="24"/>
      <w:szCs w:val="20"/>
    </w:rPr>
  </w:style>
  <w:style w:type="character" w:customStyle="1" w:styleId="141">
    <w:name w:val="正文文本缩进 3 Char1"/>
    <w:basedOn w:val="59"/>
    <w:semiHidden/>
    <w:uiPriority w:val="99"/>
    <w:rPr>
      <w:sz w:val="16"/>
      <w:szCs w:val="16"/>
    </w:rPr>
  </w:style>
  <w:style w:type="character" w:customStyle="1" w:styleId="142">
    <w:name w:val="正文文本 2 Char1"/>
    <w:basedOn w:val="59"/>
    <w:semiHidden/>
    <w:uiPriority w:val="99"/>
  </w:style>
  <w:style w:type="paragraph" w:customStyle="1" w:styleId="143">
    <w:name w:val="font7"/>
    <w:basedOn w:val="1"/>
    <w:uiPriority w:val="0"/>
    <w:pPr>
      <w:widowControl/>
      <w:spacing w:before="100" w:beforeAutospacing="1" w:after="100" w:afterAutospacing="1"/>
      <w:jc w:val="left"/>
    </w:pPr>
    <w:rPr>
      <w:rFonts w:hint="eastAsia" w:ascii="Cambria Math" w:hAnsi="Cambria" w:eastAsia="Cambria Math" w:cs="Courier New"/>
      <w:kern w:val="0"/>
      <w:sz w:val="32"/>
      <w:szCs w:val="32"/>
    </w:rPr>
  </w:style>
  <w:style w:type="paragraph" w:customStyle="1" w:styleId="144">
    <w:name w:val="SUR-需求定义-第4级"/>
    <w:basedOn w:val="6"/>
    <w:next w:val="1"/>
    <w:uiPriority w:val="0"/>
    <w:pPr>
      <w:tabs>
        <w:tab w:val="left" w:pos="1080"/>
      </w:tabs>
      <w:spacing w:before="0" w:after="0"/>
      <w:ind w:left="-283" w:firstLine="283"/>
      <w:jc w:val="left"/>
    </w:pPr>
    <w:rPr>
      <w:rFonts w:cs="Cambria Math"/>
      <w:b w:val="0"/>
      <w:color w:val="0000FF"/>
      <w:sz w:val="24"/>
      <w:szCs w:val="24"/>
    </w:rPr>
  </w:style>
  <w:style w:type="character" w:customStyle="1" w:styleId="145">
    <w:name w:val="日期 Char1"/>
    <w:basedOn w:val="59"/>
    <w:semiHidden/>
    <w:uiPriority w:val="99"/>
  </w:style>
  <w:style w:type="paragraph" w:customStyle="1" w:styleId="146">
    <w:name w:val="条目"/>
    <w:basedOn w:val="54"/>
    <w:next w:val="1"/>
    <w:uiPriority w:val="0"/>
    <w:pPr>
      <w:tabs>
        <w:tab w:val="left" w:pos="1980"/>
        <w:tab w:val="clear" w:pos="425"/>
        <w:tab w:val="clear" w:pos="840"/>
      </w:tabs>
      <w:spacing w:before="280" w:after="0" w:line="160" w:lineRule="exact"/>
      <w:ind w:left="1980" w:hanging="720"/>
      <w:jc w:val="left"/>
    </w:pPr>
    <w:rPr>
      <w:b/>
      <w:bCs w:val="0"/>
      <w:spacing w:val="40"/>
      <w:kern w:val="40"/>
      <w:sz w:val="24"/>
      <w:szCs w:val="20"/>
    </w:rPr>
  </w:style>
  <w:style w:type="paragraph" w:customStyle="1" w:styleId="147">
    <w:name w:val="正文（缩进）"/>
    <w:basedOn w:val="1"/>
    <w:uiPriority w:val="0"/>
    <w:pPr>
      <w:widowControl/>
      <w:spacing w:before="156" w:after="156"/>
      <w:ind w:firstLine="480" w:firstLineChars="200"/>
      <w:jc w:val="left"/>
    </w:pPr>
    <w:rPr>
      <w:rFonts w:ascii="Courier New" w:hAnsi="Courier New" w:eastAsia="Courier New" w:cs="Courier New"/>
      <w:kern w:val="0"/>
      <w:sz w:val="24"/>
      <w:szCs w:val="24"/>
    </w:rPr>
  </w:style>
  <w:style w:type="character" w:customStyle="1" w:styleId="148">
    <w:name w:val="批注框文本 Char1"/>
    <w:basedOn w:val="59"/>
    <w:semiHidden/>
    <w:uiPriority w:val="99"/>
    <w:rPr>
      <w:rFonts w:ascii="Courier New" w:hAnsi="Courier New"/>
      <w:kern w:val="2"/>
      <w:sz w:val="18"/>
      <w:szCs w:val="18"/>
    </w:rPr>
  </w:style>
  <w:style w:type="paragraph" w:customStyle="1" w:styleId="149">
    <w:name w:val="样式4"/>
    <w:basedOn w:val="54"/>
    <w:uiPriority w:val="0"/>
    <w:pPr>
      <w:tabs>
        <w:tab w:val="clear" w:pos="425"/>
      </w:tabs>
      <w:spacing w:line="360" w:lineRule="auto"/>
      <w:ind w:left="0" w:firstLine="0"/>
    </w:pPr>
    <w:rPr>
      <w:sz w:val="36"/>
      <w:szCs w:val="36"/>
    </w:rPr>
  </w:style>
  <w:style w:type="paragraph" w:customStyle="1" w:styleId="150">
    <w:name w:val="专用"/>
    <w:basedOn w:val="1"/>
    <w:uiPriority w:val="0"/>
    <w:pPr>
      <w:spacing w:afterLines="100"/>
      <w:ind w:left="838" w:hanging="838" w:hangingChars="262"/>
    </w:pPr>
    <w:rPr>
      <w:rFonts w:ascii="Cambria" w:hAnsi="Courier New" w:eastAsia="宋体" w:cs="Courier New"/>
      <w:b/>
      <w:color w:val="000000"/>
      <w:sz w:val="32"/>
      <w:szCs w:val="20"/>
    </w:rPr>
  </w:style>
  <w:style w:type="paragraph" w:customStyle="1" w:styleId="151">
    <w:name w:val="样式1"/>
    <w:basedOn w:val="1"/>
    <w:link w:val="247"/>
    <w:uiPriority w:val="0"/>
    <w:pPr>
      <w:tabs>
        <w:tab w:val="left" w:pos="709"/>
      </w:tabs>
      <w:adjustRightInd w:val="0"/>
      <w:ind w:left="709" w:hanging="709"/>
      <w:textAlignment w:val="baseline"/>
    </w:pPr>
    <w:rPr>
      <w:rFonts w:ascii="Cambria" w:hAnsi="Cambria" w:eastAsia="宋体" w:cs="Courier New"/>
      <w:kern w:val="0"/>
      <w:szCs w:val="20"/>
    </w:rPr>
  </w:style>
  <w:style w:type="character" w:customStyle="1" w:styleId="152">
    <w:name w:val="副标题 Char1"/>
    <w:basedOn w:val="59"/>
    <w:uiPriority w:val="11"/>
    <w:rPr>
      <w:rFonts w:eastAsia="宋体" w:asciiTheme="majorHAnsi" w:hAnsiTheme="majorHAnsi" w:cstheme="majorBidi"/>
      <w:b/>
      <w:bCs/>
      <w:kern w:val="28"/>
      <w:sz w:val="32"/>
      <w:szCs w:val="32"/>
    </w:rPr>
  </w:style>
  <w:style w:type="paragraph" w:customStyle="1" w:styleId="153">
    <w:name w:val="表格"/>
    <w:basedOn w:val="1"/>
    <w:uiPriority w:val="0"/>
    <w:pPr>
      <w:widowControl/>
      <w:snapToGrid w:val="0"/>
      <w:spacing w:before="60" w:after="60"/>
      <w:jc w:val="left"/>
    </w:pPr>
    <w:rPr>
      <w:rFonts w:ascii="Cambria" w:hAnsi="Courier New" w:eastAsia="宋体" w:cs="Courier New"/>
      <w:sz w:val="20"/>
      <w:szCs w:val="20"/>
    </w:rPr>
  </w:style>
  <w:style w:type="paragraph" w:customStyle="1" w:styleId="154">
    <w:name w:val="p15"/>
    <w:basedOn w:val="1"/>
    <w:uiPriority w:val="0"/>
    <w:pPr>
      <w:widowControl/>
      <w:jc w:val="center"/>
    </w:pPr>
    <w:rPr>
      <w:rFonts w:ascii="Courier New" w:hAnsi="Cambria" w:eastAsia="Courier New" w:cs="Cambria"/>
      <w:b/>
      <w:bCs/>
      <w:kern w:val="0"/>
      <w:sz w:val="28"/>
      <w:szCs w:val="28"/>
    </w:rPr>
  </w:style>
  <w:style w:type="paragraph" w:customStyle="1" w:styleId="155">
    <w:name w:val="font9"/>
    <w:basedOn w:val="1"/>
    <w:uiPriority w:val="0"/>
    <w:pPr>
      <w:widowControl/>
      <w:spacing w:before="100" w:beforeAutospacing="1" w:after="100" w:afterAutospacing="1"/>
      <w:jc w:val="left"/>
    </w:pPr>
    <w:rPr>
      <w:rFonts w:hint="eastAsia" w:ascii="Cambria Math" w:hAnsi="Cambria" w:eastAsia="Cambria Math" w:cs="Courier New"/>
      <w:kern w:val="0"/>
      <w:sz w:val="32"/>
      <w:szCs w:val="32"/>
    </w:rPr>
  </w:style>
  <w:style w:type="paragraph" w:customStyle="1" w:styleId="156">
    <w:name w:val="xl68"/>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Cambria" w:hAnsi="Cambria" w:eastAsia="宋体" w:cs="Courier New"/>
      <w:kern w:val="0"/>
      <w:sz w:val="32"/>
      <w:szCs w:val="32"/>
    </w:rPr>
  </w:style>
  <w:style w:type="paragraph" w:customStyle="1" w:styleId="157">
    <w:name w:val="xl69"/>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hint="eastAsia" w:ascii="Cambria Math" w:hAnsi="Cambria" w:eastAsia="Cambria Math" w:cs="Courier New"/>
      <w:kern w:val="0"/>
      <w:sz w:val="32"/>
      <w:szCs w:val="32"/>
    </w:rPr>
  </w:style>
  <w:style w:type="paragraph" w:customStyle="1" w:styleId="158">
    <w:name w:val="通用"/>
    <w:basedOn w:val="1"/>
    <w:uiPriority w:val="0"/>
    <w:pPr>
      <w:spacing w:line="360" w:lineRule="auto"/>
      <w:ind w:left="42"/>
    </w:pPr>
    <w:rPr>
      <w:rFonts w:ascii="Cambria" w:hAnsi="Courier New" w:eastAsia="宋体" w:cs="Courier New"/>
      <w:b/>
      <w:sz w:val="24"/>
      <w:szCs w:val="20"/>
    </w:rPr>
  </w:style>
  <w:style w:type="paragraph" w:customStyle="1" w:styleId="159">
    <w:name w:val="Char Char Char Char Char Char"/>
    <w:basedOn w:val="1"/>
    <w:uiPriority w:val="0"/>
    <w:pPr>
      <w:widowControl/>
      <w:spacing w:after="160" w:line="240" w:lineRule="exact"/>
      <w:jc w:val="left"/>
    </w:pPr>
    <w:rPr>
      <w:rFonts w:ascii="Courier New" w:hAnsi="Courier New" w:eastAsia="宋体" w:cs="Courier New"/>
      <w:kern w:val="0"/>
      <w:sz w:val="24"/>
      <w:szCs w:val="20"/>
    </w:rPr>
  </w:style>
  <w:style w:type="paragraph" w:customStyle="1" w:styleId="160">
    <w:name w:val="xl70"/>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Cambria" w:hAnsi="Cambria" w:eastAsia="宋体" w:cs="Courier New"/>
      <w:kern w:val="0"/>
      <w:sz w:val="32"/>
      <w:szCs w:val="32"/>
    </w:rPr>
  </w:style>
  <w:style w:type="paragraph" w:customStyle="1" w:styleId="161">
    <w:name w:val="xl71"/>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hint="eastAsia" w:ascii="Cambria Math" w:hAnsi="Cambria" w:eastAsia="Cambria Math" w:cs="Courier New"/>
      <w:kern w:val="0"/>
      <w:sz w:val="32"/>
      <w:szCs w:val="32"/>
    </w:rPr>
  </w:style>
  <w:style w:type="paragraph" w:customStyle="1" w:styleId="162">
    <w:name w:val="列出段落1"/>
    <w:basedOn w:val="1"/>
    <w:qFormat/>
    <w:uiPriority w:val="0"/>
    <w:pPr>
      <w:adjustRightInd w:val="0"/>
      <w:spacing w:line="360" w:lineRule="atLeast"/>
      <w:ind w:firstLine="420" w:firstLineChars="200"/>
      <w:jc w:val="left"/>
    </w:pPr>
    <w:rPr>
      <w:rFonts w:ascii="Courier New" w:hAnsi="Courier New" w:eastAsia="宋体" w:cs="Courier New"/>
      <w:kern w:val="0"/>
      <w:sz w:val="24"/>
      <w:szCs w:val="20"/>
    </w:rPr>
  </w:style>
  <w:style w:type="paragraph" w:customStyle="1" w:styleId="163">
    <w:name w:val="Char Char3 Char Char Char Char"/>
    <w:basedOn w:val="1"/>
    <w:uiPriority w:val="0"/>
    <w:rPr>
      <w:rFonts w:ascii="幼圆" w:hAnsi="幼圆" w:eastAsia="宋体" w:cs="Courier New"/>
      <w:sz w:val="24"/>
      <w:szCs w:val="20"/>
    </w:rPr>
  </w:style>
  <w:style w:type="paragraph" w:customStyle="1" w:styleId="164">
    <w:name w:val="xl31"/>
    <w:basedOn w:val="1"/>
    <w:uiPriority w:val="0"/>
    <w:pPr>
      <w:widowControl/>
      <w:spacing w:before="100" w:beforeAutospacing="1" w:after="100" w:afterAutospacing="1"/>
      <w:jc w:val="center"/>
    </w:pPr>
    <w:rPr>
      <w:rFonts w:ascii="Cambria" w:hAnsi="Cambria" w:eastAsia="宋体" w:cs="Courier New"/>
      <w:b/>
      <w:bCs/>
      <w:kern w:val="0"/>
      <w:sz w:val="28"/>
      <w:szCs w:val="28"/>
    </w:rPr>
  </w:style>
  <w:style w:type="paragraph" w:customStyle="1" w:styleId="165">
    <w:name w:val="D&amp;L"/>
    <w:basedOn w:val="38"/>
    <w:uiPriority w:val="0"/>
    <w:pPr>
      <w:pBdr>
        <w:bottom w:val="thinThickSmallGap" w:color="auto" w:sz="18" w:space="1"/>
      </w:pBdr>
      <w:adjustRightInd w:val="0"/>
      <w:snapToGrid/>
      <w:spacing w:line="240" w:lineRule="atLeast"/>
      <w:textAlignment w:val="baseline"/>
    </w:pPr>
    <w:rPr>
      <w:rFonts w:ascii="幼圆" w:hAnsi="幼圆" w:eastAsia="宋体" w:cs="Courier New"/>
      <w:kern w:val="0"/>
      <w:sz w:val="24"/>
      <w:szCs w:val="20"/>
    </w:rPr>
  </w:style>
  <w:style w:type="paragraph" w:customStyle="1" w:styleId="166">
    <w:name w:val="Char Char Char Char Char Char Char"/>
    <w:basedOn w:val="1"/>
    <w:uiPriority w:val="0"/>
    <w:pPr>
      <w:widowControl/>
      <w:spacing w:after="160" w:line="240" w:lineRule="exact"/>
      <w:jc w:val="left"/>
    </w:pPr>
    <w:rPr>
      <w:rFonts w:ascii="幼圆" w:hAnsi="幼圆" w:eastAsia="宋体" w:cs="幼圆"/>
      <w:kern w:val="0"/>
      <w:sz w:val="20"/>
      <w:szCs w:val="20"/>
      <w:lang w:eastAsia="en-US"/>
    </w:rPr>
  </w:style>
  <w:style w:type="paragraph" w:styleId="167">
    <w:name w:val="List Paragraph"/>
    <w:basedOn w:val="1"/>
    <w:link w:val="223"/>
    <w:qFormat/>
    <w:uiPriority w:val="0"/>
    <w:pPr>
      <w:ind w:firstLine="420" w:firstLineChars="200"/>
    </w:pPr>
    <w:rPr>
      <w:rFonts w:ascii="幼圆" w:hAnsi="幼圆" w:eastAsia="宋体" w:cs="Courier New"/>
    </w:rPr>
  </w:style>
  <w:style w:type="paragraph" w:customStyle="1" w:styleId="168">
    <w:name w:val="p0"/>
    <w:basedOn w:val="1"/>
    <w:uiPriority w:val="0"/>
    <w:pPr>
      <w:widowControl/>
    </w:pPr>
    <w:rPr>
      <w:rFonts w:ascii="Courier New" w:hAnsi="Courier New" w:eastAsia="宋体" w:cs="Courier New"/>
      <w:kern w:val="0"/>
      <w:szCs w:val="21"/>
    </w:rPr>
  </w:style>
  <w:style w:type="paragraph" w:customStyle="1" w:styleId="169">
    <w:name w:val="flNote"/>
    <w:basedOn w:val="1"/>
    <w:uiPriority w:val="0"/>
    <w:pPr>
      <w:adjustRightInd w:val="0"/>
      <w:spacing w:before="567" w:line="360" w:lineRule="atLeast"/>
      <w:jc w:val="center"/>
    </w:pPr>
    <w:rPr>
      <w:rFonts w:ascii="Courier New" w:hAnsi="Courier New" w:eastAsia="Cambria Math" w:cs="Courier New"/>
      <w:b/>
      <w:kern w:val="0"/>
      <w:sz w:val="24"/>
      <w:szCs w:val="20"/>
    </w:rPr>
  </w:style>
  <w:style w:type="paragraph" w:customStyle="1" w:styleId="170">
    <w:name w:val="样式2"/>
    <w:basedOn w:val="16"/>
    <w:uiPriority w:val="0"/>
    <w:pPr>
      <w:adjustRightInd w:val="0"/>
      <w:spacing w:after="0" w:line="360" w:lineRule="auto"/>
      <w:ind w:left="491" w:leftChars="491" w:firstLine="0"/>
      <w:jc w:val="left"/>
    </w:pPr>
    <w:rPr>
      <w:rFonts w:ascii="Courier New" w:hAnsi="Courier New" w:cs="Courier New"/>
      <w:szCs w:val="20"/>
    </w:rPr>
  </w:style>
  <w:style w:type="paragraph" w:customStyle="1" w:styleId="171">
    <w:name w:val="TOC Heading"/>
    <w:basedOn w:val="3"/>
    <w:next w:val="1"/>
    <w:qFormat/>
    <w:uiPriority w:val="0"/>
    <w:pPr>
      <w:adjustRightInd w:val="0"/>
      <w:snapToGrid w:val="0"/>
      <w:spacing w:before="0" w:after="0" w:afterLines="50" w:line="360" w:lineRule="auto"/>
      <w:jc w:val="left"/>
      <w:outlineLvl w:val="9"/>
    </w:pPr>
    <w:rPr>
      <w:sz w:val="28"/>
      <w:lang w:eastAsia="en-US" w:bidi="en-US"/>
    </w:rPr>
  </w:style>
  <w:style w:type="paragraph" w:customStyle="1" w:styleId="172">
    <w:name w:val="Char Char1 Char Char Char Char Char Char Char Char Char Char Char Char Char Char Char"/>
    <w:basedOn w:val="1"/>
    <w:uiPriority w:val="0"/>
    <w:pPr>
      <w:widowControl/>
      <w:spacing w:after="160" w:line="240" w:lineRule="exact"/>
      <w:jc w:val="left"/>
    </w:pPr>
    <w:rPr>
      <w:rFonts w:ascii="Cambria" w:hAnsi="Cambria" w:eastAsia="宋体" w:cs="Courier New"/>
      <w:kern w:val="0"/>
      <w:sz w:val="20"/>
      <w:szCs w:val="20"/>
      <w:lang w:eastAsia="en-US"/>
    </w:rPr>
  </w:style>
  <w:style w:type="paragraph" w:customStyle="1" w:styleId="173">
    <w:name w:val="表内容"/>
    <w:basedOn w:val="93"/>
    <w:uiPriority w:val="0"/>
    <w:pPr>
      <w:spacing w:afterLines="0"/>
      <w:ind w:firstLine="0" w:firstLineChars="0"/>
      <w:jc w:val="center"/>
    </w:pPr>
    <w:rPr>
      <w:sz w:val="21"/>
    </w:rPr>
  </w:style>
  <w:style w:type="paragraph" w:customStyle="1" w:styleId="174">
    <w:name w:val="五级"/>
    <w:basedOn w:val="4"/>
    <w:uiPriority w:val="0"/>
    <w:pPr>
      <w:keepNext w:val="0"/>
      <w:keepLines w:val="0"/>
      <w:tabs>
        <w:tab w:val="left" w:pos="709"/>
        <w:tab w:val="left" w:pos="851"/>
      </w:tabs>
      <w:spacing w:before="0" w:after="0" w:line="360" w:lineRule="auto"/>
      <w:ind w:left="709" w:hanging="709"/>
      <w:jc w:val="both"/>
    </w:pPr>
    <w:rPr>
      <w:rFonts w:ascii="Cambria" w:hAnsi="Cambria" w:eastAsia="Cambria"/>
      <w:b w:val="0"/>
      <w:sz w:val="24"/>
    </w:rPr>
  </w:style>
  <w:style w:type="paragraph" w:customStyle="1" w:styleId="175">
    <w:name w:val="正文文本1"/>
    <w:uiPriority w:val="0"/>
    <w:pPr>
      <w:widowControl w:val="0"/>
      <w:autoSpaceDE w:val="0"/>
      <w:autoSpaceDN w:val="0"/>
      <w:adjustRightInd w:val="0"/>
      <w:spacing w:before="170" w:line="300" w:lineRule="atLeast"/>
      <w:ind w:left="1134"/>
      <w:jc w:val="both"/>
    </w:pPr>
    <w:rPr>
      <w:rFonts w:ascii="Courier New" w:hAnsi="Courier New" w:eastAsia="宋体" w:cs="Courier New"/>
      <w:color w:val="000000"/>
      <w:kern w:val="0"/>
      <w:sz w:val="24"/>
      <w:szCs w:val="20"/>
      <w:lang w:val="en-US" w:eastAsia="zh-CN" w:bidi="ar-SA"/>
    </w:rPr>
  </w:style>
  <w:style w:type="paragraph" w:customStyle="1" w:styleId="176">
    <w:name w:val="Char1"/>
    <w:basedOn w:val="1"/>
    <w:uiPriority w:val="0"/>
    <w:rPr>
      <w:rFonts w:ascii="Courier New" w:hAnsi="Courier New" w:eastAsia="宋体" w:cs="Courier New"/>
      <w:szCs w:val="24"/>
    </w:rPr>
  </w:style>
  <w:style w:type="paragraph" w:customStyle="1" w:styleId="177">
    <w:name w:val="样式 标题 3列表编号31.1.1 + 四号 加粗 行距: 1.5 倍行距"/>
    <w:basedOn w:val="5"/>
    <w:uiPriority w:val="0"/>
    <w:pPr>
      <w:tabs>
        <w:tab w:val="left" w:pos="0"/>
      </w:tabs>
      <w:adjustRightInd w:val="0"/>
      <w:spacing w:before="0" w:after="0" w:line="360" w:lineRule="auto"/>
      <w:jc w:val="left"/>
    </w:pPr>
    <w:rPr>
      <w:rFonts w:ascii="Courier New" w:cs="Cambria"/>
      <w:sz w:val="28"/>
      <w:szCs w:val="20"/>
    </w:rPr>
  </w:style>
  <w:style w:type="paragraph" w:customStyle="1" w:styleId="178">
    <w:name w:val="standdate"/>
    <w:basedOn w:val="37"/>
    <w:uiPriority w:val="0"/>
    <w:pPr>
      <w:pBdr>
        <w:top w:val="single" w:color="auto" w:sz="6" w:space="7"/>
      </w:pBdr>
      <w:adjustRightInd w:val="0"/>
      <w:snapToGrid/>
      <w:spacing w:line="240" w:lineRule="atLeast"/>
      <w:jc w:val="center"/>
    </w:pPr>
    <w:rPr>
      <w:rFonts w:ascii="Cambria Math" w:hAnsi="幼圆" w:eastAsia="Cambria Math" w:cs="Courier New"/>
      <w:b/>
      <w:spacing w:val="-4"/>
      <w:kern w:val="0"/>
      <w:sz w:val="21"/>
      <w:szCs w:val="20"/>
    </w:rPr>
  </w:style>
  <w:style w:type="paragraph" w:customStyle="1" w:styleId="179">
    <w:name w:val="Char Char18"/>
    <w:basedOn w:val="1"/>
    <w:uiPriority w:val="0"/>
    <w:pPr>
      <w:widowControl/>
      <w:spacing w:after="160" w:line="240" w:lineRule="exact"/>
      <w:jc w:val="left"/>
    </w:pPr>
    <w:rPr>
      <w:rFonts w:ascii="Courier New" w:hAnsi="Courier New" w:eastAsia="宋体" w:cs="Courier New"/>
      <w:kern w:val="0"/>
      <w:sz w:val="24"/>
      <w:szCs w:val="20"/>
    </w:rPr>
  </w:style>
  <w:style w:type="paragraph" w:customStyle="1" w:styleId="180">
    <w:name w:val="Subhead 1"/>
    <w:basedOn w:val="1"/>
    <w:uiPriority w:val="0"/>
    <w:pPr>
      <w:keepNext/>
      <w:pageBreakBefore/>
      <w:widowControl/>
      <w:tabs>
        <w:tab w:val="left" w:pos="1134"/>
        <w:tab w:val="left" w:pos="2552"/>
      </w:tabs>
      <w:autoSpaceDE w:val="0"/>
      <w:autoSpaceDN w:val="0"/>
      <w:adjustRightInd w:val="0"/>
      <w:spacing w:before="510" w:after="400" w:line="420" w:lineRule="atLeast"/>
      <w:ind w:left="1134" w:hanging="1134"/>
      <w:jc w:val="left"/>
    </w:pPr>
    <w:rPr>
      <w:rFonts w:ascii="Cambria Math" w:hAnsi="Cambria Math" w:eastAsia="Cambria Math" w:cs="Courier New"/>
      <w:b/>
      <w:kern w:val="0"/>
      <w:sz w:val="32"/>
      <w:szCs w:val="20"/>
    </w:rPr>
  </w:style>
  <w:style w:type="paragraph" w:customStyle="1" w:styleId="181">
    <w:name w:val="样式胡"/>
    <w:basedOn w:val="1"/>
    <w:uiPriority w:val="0"/>
    <w:pPr>
      <w:tabs>
        <w:tab w:val="left" w:pos="3300"/>
      </w:tabs>
      <w:ind w:left="3300" w:hanging="420"/>
    </w:pPr>
    <w:rPr>
      <w:rFonts w:ascii="Cambria Math" w:hAnsi="Cambria Math" w:eastAsia="Cambria Math" w:cs="Courier New"/>
      <w:szCs w:val="24"/>
    </w:rPr>
  </w:style>
  <w:style w:type="paragraph" w:customStyle="1" w:styleId="182">
    <w:name w:val="样式3"/>
    <w:basedOn w:val="1"/>
    <w:uiPriority w:val="0"/>
    <w:pPr>
      <w:tabs>
        <w:tab w:val="left" w:pos="1180"/>
      </w:tabs>
      <w:autoSpaceDE w:val="0"/>
      <w:autoSpaceDN w:val="0"/>
      <w:adjustRightInd w:val="0"/>
      <w:ind w:left="491" w:leftChars="-24" w:hanging="515" w:hangingChars="515"/>
      <w:jc w:val="left"/>
    </w:pPr>
    <w:rPr>
      <w:rFonts w:ascii="Courier New" w:hAnsi="Courier New" w:eastAsia="宋体" w:cs="Courier New"/>
      <w:color w:val="000000"/>
      <w:kern w:val="0"/>
      <w:sz w:val="24"/>
      <w:szCs w:val="20"/>
    </w:rPr>
  </w:style>
  <w:style w:type="paragraph" w:customStyle="1" w:styleId="183">
    <w:name w:val="Char Char Char"/>
    <w:basedOn w:val="1"/>
    <w:uiPriority w:val="0"/>
    <w:rPr>
      <w:rFonts w:ascii="幼圆" w:hAnsi="幼圆" w:eastAsia="宋体" w:cs="Courier New"/>
      <w:sz w:val="24"/>
      <w:szCs w:val="20"/>
    </w:rPr>
  </w:style>
  <w:style w:type="paragraph" w:customStyle="1" w:styleId="184">
    <w:name w:val="默认段落字体 Para Char"/>
    <w:basedOn w:val="1"/>
    <w:next w:val="1"/>
    <w:uiPriority w:val="0"/>
    <w:rPr>
      <w:rFonts w:ascii="Courier New" w:hAnsi="Courier New" w:eastAsia="宋体" w:cs="Courier New"/>
      <w:szCs w:val="24"/>
    </w:rPr>
  </w:style>
  <w:style w:type="paragraph" w:customStyle="1" w:styleId="185">
    <w:name w:val="合同书"/>
    <w:basedOn w:val="1"/>
    <w:uiPriority w:val="0"/>
    <w:pPr>
      <w:jc w:val="center"/>
    </w:pPr>
    <w:rPr>
      <w:rFonts w:ascii="Cambria" w:hAnsi="Courier New" w:eastAsia="宋体" w:cs="Courier New"/>
      <w:b/>
      <w:sz w:val="36"/>
      <w:szCs w:val="20"/>
    </w:rPr>
  </w:style>
  <w:style w:type="paragraph" w:customStyle="1" w:styleId="186">
    <w:name w:val="Char Char Char Char"/>
    <w:basedOn w:val="1"/>
    <w:uiPriority w:val="99"/>
    <w:rPr>
      <w:rFonts w:ascii="Courier New" w:hAnsi="Courier New" w:eastAsia="宋体" w:cs="Courier New"/>
      <w:sz w:val="30"/>
      <w:szCs w:val="24"/>
    </w:rPr>
  </w:style>
  <w:style w:type="paragraph" w:customStyle="1" w:styleId="187">
    <w:name w:val="大标题"/>
    <w:uiPriority w:val="0"/>
    <w:pPr>
      <w:tabs>
        <w:tab w:val="left" w:pos="1134"/>
      </w:tabs>
      <w:snapToGrid w:val="0"/>
      <w:spacing w:before="240" w:after="240" w:line="288" w:lineRule="auto"/>
    </w:pPr>
    <w:rPr>
      <w:rFonts w:ascii="Cambria Math" w:hAnsi="Courier New" w:eastAsia="Cambria Math" w:cs="Courier New"/>
      <w:kern w:val="0"/>
      <w:sz w:val="24"/>
      <w:szCs w:val="20"/>
      <w:lang w:val="en-US" w:eastAsia="zh-CN" w:bidi="ar-SA"/>
    </w:rPr>
  </w:style>
  <w:style w:type="paragraph" w:customStyle="1" w:styleId="188">
    <w:name w:val="Char3 Char Char Char"/>
    <w:basedOn w:val="1"/>
    <w:uiPriority w:val="0"/>
    <w:rPr>
      <w:rFonts w:ascii="Courier New" w:hAnsi="Courier New" w:eastAsia="Courier New" w:cs="Courier New"/>
      <w:b/>
      <w:sz w:val="32"/>
      <w:szCs w:val="32"/>
    </w:rPr>
  </w:style>
  <w:style w:type="paragraph" w:customStyle="1" w:styleId="189">
    <w:name w:val="样式12"/>
    <w:basedOn w:val="1"/>
    <w:uiPriority w:val="0"/>
    <w:pPr>
      <w:adjustRightInd w:val="0"/>
      <w:spacing w:line="480" w:lineRule="exact"/>
      <w:ind w:left="600" w:leftChars="250" w:firstLine="480" w:firstLineChars="200"/>
      <w:jc w:val="left"/>
    </w:pPr>
    <w:rPr>
      <w:rFonts w:ascii="Cambria" w:hAnsi="Cambria" w:eastAsia="宋体" w:cs="Courier New"/>
      <w:kern w:val="0"/>
      <w:sz w:val="24"/>
      <w:szCs w:val="24"/>
    </w:rPr>
  </w:style>
  <w:style w:type="paragraph" w:customStyle="1" w:styleId="190">
    <w:name w:val="_Style 49"/>
    <w:basedOn w:val="1"/>
    <w:uiPriority w:val="0"/>
    <w:pPr>
      <w:spacing w:beforeLines="50" w:afterLines="50"/>
    </w:pPr>
    <w:rPr>
      <w:rFonts w:ascii="Courier New" w:hAnsi="Courier New" w:eastAsia="宋体" w:cs="Courier New"/>
      <w:szCs w:val="24"/>
    </w:rPr>
  </w:style>
  <w:style w:type="paragraph" w:customStyle="1" w:styleId="191">
    <w:name w:val="样式 样式 标题 4 + (符号) 宋体 行距: 固定值 22 磅 + 黑色"/>
    <w:basedOn w:val="1"/>
    <w:uiPriority w:val="0"/>
    <w:pPr>
      <w:tabs>
        <w:tab w:val="left" w:pos="2400"/>
      </w:tabs>
      <w:adjustRightInd w:val="0"/>
      <w:spacing w:before="50" w:after="50" w:line="440" w:lineRule="exact"/>
      <w:ind w:left="-284" w:hanging="420"/>
      <w:jc w:val="left"/>
      <w:outlineLvl w:val="3"/>
    </w:pPr>
    <w:rPr>
      <w:rFonts w:ascii="Cambria" w:hAnsi="Cambria" w:eastAsia="宋体" w:cs="Cambria"/>
      <w:color w:val="000000"/>
      <w:kern w:val="0"/>
      <w:sz w:val="24"/>
      <w:szCs w:val="20"/>
    </w:rPr>
  </w:style>
  <w:style w:type="paragraph" w:customStyle="1" w:styleId="192">
    <w:name w:val="Char Char Char Char Char"/>
    <w:basedOn w:val="1"/>
    <w:uiPriority w:val="0"/>
    <w:pPr>
      <w:ind w:firstLine="360" w:firstLineChars="150"/>
    </w:pPr>
    <w:rPr>
      <w:rFonts w:ascii="Courier New" w:hAnsi="Courier New" w:eastAsia="宋体" w:cs="Courier New"/>
      <w:szCs w:val="20"/>
    </w:rPr>
  </w:style>
  <w:style w:type="paragraph" w:customStyle="1" w:styleId="193">
    <w:name w:val="样式 标题 3标题 3 Char Char标题 3 Char Char Char Char + 黑体 段前: 12 磅 ..."/>
    <w:basedOn w:val="5"/>
    <w:uiPriority w:val="0"/>
    <w:pPr>
      <w:spacing w:before="240" w:after="120" w:line="240" w:lineRule="auto"/>
      <w:jc w:val="left"/>
    </w:pPr>
    <w:rPr>
      <w:rFonts w:ascii="Cambria Math" w:hAnsi="Cambria Math" w:eastAsia="Cambria Math" w:cs="Cambria"/>
      <w:b w:val="0"/>
      <w:sz w:val="28"/>
      <w:szCs w:val="20"/>
    </w:rPr>
  </w:style>
  <w:style w:type="paragraph" w:customStyle="1" w:styleId="194">
    <w:name w:val="纯文本1"/>
    <w:basedOn w:val="1"/>
    <w:uiPriority w:val="0"/>
    <w:pPr>
      <w:adjustRightInd w:val="0"/>
      <w:spacing w:line="312" w:lineRule="atLeast"/>
    </w:pPr>
    <w:rPr>
      <w:rFonts w:ascii="Cambria" w:hAnsi="Cambria" w:eastAsia="宋体" w:cs="Courier New"/>
      <w:kern w:val="0"/>
      <w:sz w:val="28"/>
      <w:szCs w:val="20"/>
    </w:rPr>
  </w:style>
  <w:style w:type="paragraph" w:customStyle="1" w:styleId="195">
    <w:name w:val="Char1 Char Char Char Char Char Char2 Char Char Char Char Char Char Char"/>
    <w:basedOn w:val="1"/>
    <w:uiPriority w:val="0"/>
    <w:pPr>
      <w:ind w:firstLine="360" w:firstLineChars="150"/>
    </w:pPr>
    <w:rPr>
      <w:rFonts w:ascii="幼圆" w:hAnsi="幼圆" w:eastAsia="宋体" w:cs="Courier New"/>
      <w:sz w:val="24"/>
      <w:szCs w:val="20"/>
    </w:rPr>
  </w:style>
  <w:style w:type="paragraph" w:customStyle="1" w:styleId="196">
    <w:name w:val="Char Char Char1 Char Char Char"/>
    <w:basedOn w:val="1"/>
    <w:uiPriority w:val="0"/>
    <w:rPr>
      <w:rFonts w:ascii="Courier New" w:hAnsi="Courier New" w:eastAsia="宋体" w:cs="Courier New"/>
      <w:szCs w:val="20"/>
    </w:rPr>
  </w:style>
  <w:style w:type="paragraph" w:customStyle="1" w:styleId="197">
    <w:name w:val="格式2"/>
    <w:basedOn w:val="4"/>
    <w:uiPriority w:val="0"/>
    <w:pPr>
      <w:autoSpaceDE w:val="0"/>
      <w:autoSpaceDN w:val="0"/>
      <w:adjustRightInd w:val="0"/>
      <w:spacing w:line="416" w:lineRule="atLeast"/>
      <w:ind w:firstLine="0"/>
      <w:jc w:val="both"/>
    </w:pPr>
    <w:rPr>
      <w:rFonts w:hAnsi="Courier New"/>
      <w:b w:val="0"/>
      <w:sz w:val="30"/>
      <w:szCs w:val="20"/>
    </w:rPr>
  </w:style>
  <w:style w:type="paragraph" w:customStyle="1" w:styleId="198">
    <w:name w:val="样式8"/>
    <w:basedOn w:val="151"/>
    <w:uiPriority w:val="0"/>
    <w:pPr>
      <w:keepNext/>
      <w:keepLines/>
      <w:tabs>
        <w:tab w:val="clear" w:pos="709"/>
      </w:tabs>
      <w:spacing w:beforeLines="100"/>
      <w:ind w:left="0" w:firstLine="0"/>
      <w:jc w:val="center"/>
      <w:textAlignment w:val="auto"/>
      <w:outlineLvl w:val="1"/>
    </w:pPr>
    <w:rPr>
      <w:rFonts w:ascii="Cambria Math" w:hAnsi="Courier New" w:eastAsia="Cambria Math"/>
      <w:sz w:val="36"/>
      <w:szCs w:val="36"/>
    </w:rPr>
  </w:style>
  <w:style w:type="paragraph" w:customStyle="1" w:styleId="199">
    <w:name w:val="样式9"/>
    <w:basedOn w:val="182"/>
    <w:uiPriority w:val="0"/>
    <w:pPr>
      <w:tabs>
        <w:tab w:val="clear" w:pos="1180"/>
      </w:tabs>
      <w:autoSpaceDE/>
      <w:autoSpaceDN/>
      <w:spacing w:line="480" w:lineRule="exact"/>
      <w:ind w:left="0" w:leftChars="0" w:firstLine="480" w:firstLineChars="200"/>
    </w:pPr>
    <w:rPr>
      <w:rFonts w:ascii="Cambria" w:hAnsi="Cambria"/>
      <w:color w:val="auto"/>
      <w:szCs w:val="24"/>
    </w:rPr>
  </w:style>
  <w:style w:type="paragraph" w:customStyle="1" w:styleId="200">
    <w:name w:val="样式18"/>
    <w:basedOn w:val="31"/>
    <w:uiPriority w:val="0"/>
    <w:pPr>
      <w:spacing w:line="480" w:lineRule="exact"/>
      <w:ind w:firstLine="480" w:firstLineChars="200"/>
    </w:pPr>
    <w:rPr>
      <w:sz w:val="24"/>
      <w:szCs w:val="24"/>
    </w:rPr>
  </w:style>
  <w:style w:type="paragraph" w:customStyle="1" w:styleId="201">
    <w:name w:val="样式15"/>
    <w:basedOn w:val="1"/>
    <w:uiPriority w:val="0"/>
    <w:pPr>
      <w:adjustRightInd w:val="0"/>
      <w:spacing w:beforeLines="20" w:line="360" w:lineRule="auto"/>
      <w:ind w:firstLine="715" w:firstLineChars="298"/>
      <w:jc w:val="left"/>
    </w:pPr>
    <w:rPr>
      <w:rFonts w:ascii="Cambria Math" w:hAnsi="Courier New" w:eastAsia="Cambria Math" w:cs="Courier New"/>
      <w:kern w:val="0"/>
      <w:sz w:val="24"/>
      <w:szCs w:val="24"/>
    </w:rPr>
  </w:style>
  <w:style w:type="paragraph" w:customStyle="1" w:styleId="202">
    <w:name w:val="样式 样式 样式 标题 3 + 四号 段前: 0 磅 段后: 0 磅 行距: 固定值 24 磅 + Times New Roma..."/>
    <w:basedOn w:val="1"/>
    <w:uiPriority w:val="0"/>
    <w:pPr>
      <w:autoSpaceDE w:val="0"/>
      <w:autoSpaceDN w:val="0"/>
      <w:adjustRightInd w:val="0"/>
      <w:spacing w:line="480" w:lineRule="exact"/>
      <w:ind w:firstLine="200" w:firstLineChars="200"/>
    </w:pPr>
    <w:rPr>
      <w:rFonts w:ascii="Courier New" w:hAnsi="Courier New" w:eastAsia="宋体" w:cs="Cambria"/>
      <w:color w:val="000000"/>
      <w:sz w:val="28"/>
      <w:szCs w:val="20"/>
    </w:rPr>
  </w:style>
  <w:style w:type="paragraph" w:customStyle="1" w:styleId="203">
    <w:name w:val="Default"/>
    <w:qFormat/>
    <w:uiPriority w:val="0"/>
    <w:pPr>
      <w:widowControl w:val="0"/>
      <w:autoSpaceDE w:val="0"/>
      <w:autoSpaceDN w:val="0"/>
      <w:adjustRightInd w:val="0"/>
    </w:pPr>
    <w:rPr>
      <w:rFonts w:ascii="Cambria" w:hAnsi="Courier New" w:eastAsia="宋体" w:cs="Cambria"/>
      <w:color w:val="000000"/>
      <w:kern w:val="0"/>
      <w:sz w:val="24"/>
      <w:szCs w:val="24"/>
      <w:lang w:val="en-US" w:eastAsia="zh-CN" w:bidi="ar-SA"/>
    </w:rPr>
  </w:style>
  <w:style w:type="paragraph" w:customStyle="1" w:styleId="204">
    <w:name w:val="Blockquote"/>
    <w:basedOn w:val="1"/>
    <w:uiPriority w:val="0"/>
    <w:pPr>
      <w:autoSpaceDE w:val="0"/>
      <w:autoSpaceDN w:val="0"/>
      <w:adjustRightInd w:val="0"/>
      <w:spacing w:before="100" w:after="100"/>
      <w:ind w:left="360" w:right="360"/>
      <w:jc w:val="left"/>
    </w:pPr>
    <w:rPr>
      <w:rFonts w:ascii="Courier New" w:hAnsi="Courier New" w:eastAsia="宋体" w:cs="Courier New"/>
      <w:kern w:val="0"/>
      <w:sz w:val="24"/>
      <w:szCs w:val="20"/>
    </w:rPr>
  </w:style>
  <w:style w:type="paragraph" w:customStyle="1" w:styleId="205">
    <w:name w:val="flName"/>
    <w:basedOn w:val="169"/>
    <w:uiPriority w:val="0"/>
    <w:pPr>
      <w:spacing w:before="0" w:line="113" w:lineRule="atLeast"/>
    </w:pPr>
  </w:style>
  <w:style w:type="paragraph" w:customStyle="1" w:styleId="206">
    <w:name w:val="flType"/>
    <w:basedOn w:val="205"/>
    <w:uiPriority w:val="0"/>
    <w:pPr>
      <w:spacing w:after="284"/>
    </w:pPr>
    <w:rPr>
      <w:rFonts w:eastAsia="Cambria"/>
      <w:b w:val="0"/>
    </w:rPr>
  </w:style>
  <w:style w:type="paragraph" w:customStyle="1" w:styleId="207">
    <w:name w:val="kd"/>
    <w:basedOn w:val="128"/>
    <w:uiPriority w:val="0"/>
    <w:pPr>
      <w:ind w:left="720" w:hanging="720"/>
    </w:pPr>
    <w:rPr>
      <w:sz w:val="28"/>
    </w:rPr>
  </w:style>
  <w:style w:type="paragraph" w:customStyle="1" w:styleId="208">
    <w:name w:val="Body text 1"/>
    <w:basedOn w:val="175"/>
    <w:uiPriority w:val="0"/>
    <w:pPr>
      <w:tabs>
        <w:tab w:val="left" w:pos="1134"/>
      </w:tabs>
      <w:ind w:hanging="1134"/>
    </w:pPr>
  </w:style>
  <w:style w:type="paragraph" w:customStyle="1" w:styleId="209">
    <w:name w:val="Char3"/>
    <w:basedOn w:val="1"/>
    <w:next w:val="1"/>
    <w:uiPriority w:val="0"/>
    <w:pPr>
      <w:widowControl/>
      <w:spacing w:line="360" w:lineRule="auto"/>
      <w:jc w:val="left"/>
    </w:pPr>
    <w:rPr>
      <w:rFonts w:ascii="Courier New" w:hAnsi="Courier New" w:eastAsia="宋体" w:cs="Courier New"/>
      <w:szCs w:val="20"/>
    </w:rPr>
  </w:style>
  <w:style w:type="paragraph" w:customStyle="1" w:styleId="210">
    <w:name w:val="Default Paragraph Char Char Char Char"/>
    <w:basedOn w:val="1"/>
    <w:next w:val="1"/>
    <w:uiPriority w:val="0"/>
    <w:pPr>
      <w:widowControl/>
      <w:spacing w:line="360" w:lineRule="auto"/>
      <w:jc w:val="left"/>
    </w:pPr>
    <w:rPr>
      <w:rFonts w:ascii="Times New Roman" w:hAnsi="Times New Roman" w:eastAsia="宋体" w:cs="Times New Roman"/>
      <w:kern w:val="0"/>
      <w:szCs w:val="20"/>
      <w:lang w:eastAsia="en-US"/>
    </w:rPr>
  </w:style>
  <w:style w:type="paragraph" w:customStyle="1" w:styleId="211">
    <w:name w:val="Char Char Char Char1"/>
    <w:basedOn w:val="1"/>
    <w:uiPriority w:val="0"/>
    <w:pPr>
      <w:widowControl/>
      <w:spacing w:after="160" w:line="240" w:lineRule="exact"/>
      <w:jc w:val="left"/>
    </w:pPr>
    <w:rPr>
      <w:rFonts w:ascii="Times New Roman" w:hAnsi="Times New Roman" w:eastAsia="宋体" w:cs="Times New Roman"/>
      <w:kern w:val="0"/>
      <w:sz w:val="24"/>
      <w:szCs w:val="24"/>
    </w:rPr>
  </w:style>
  <w:style w:type="paragraph" w:customStyle="1" w:styleId="212">
    <w:name w:val="CM1"/>
    <w:basedOn w:val="203"/>
    <w:next w:val="203"/>
    <w:qFormat/>
    <w:uiPriority w:val="0"/>
    <w:pPr>
      <w:spacing w:line="211" w:lineRule="atLeast"/>
    </w:pPr>
    <w:rPr>
      <w:rFonts w:ascii="Sartorius Rotis Sans" w:hAnsi="Times New Roman" w:eastAsia="Sartorius Rotis Sans" w:cs="Sartorius Rotis Sans"/>
      <w:color w:val="auto"/>
    </w:rPr>
  </w:style>
  <w:style w:type="paragraph" w:customStyle="1" w:styleId="213">
    <w:name w:val="CM2"/>
    <w:basedOn w:val="203"/>
    <w:next w:val="203"/>
    <w:qFormat/>
    <w:uiPriority w:val="0"/>
    <w:pPr>
      <w:spacing w:line="211" w:lineRule="atLeast"/>
    </w:pPr>
    <w:rPr>
      <w:rFonts w:ascii="Sartorius Rotis Sans" w:hAnsi="Times New Roman" w:eastAsia="Sartorius Rotis Sans" w:cs="Sartorius Rotis Sans"/>
      <w:color w:val="auto"/>
    </w:rPr>
  </w:style>
  <w:style w:type="paragraph" w:customStyle="1" w:styleId="214">
    <w:name w:val="CM3"/>
    <w:basedOn w:val="203"/>
    <w:next w:val="203"/>
    <w:qFormat/>
    <w:uiPriority w:val="0"/>
    <w:pPr>
      <w:spacing w:line="211" w:lineRule="atLeast"/>
    </w:pPr>
    <w:rPr>
      <w:rFonts w:ascii="Sartorius Rotis Sans" w:hAnsi="Times New Roman" w:eastAsia="Sartorius Rotis Sans" w:cs="Sartorius Rotis Sans"/>
      <w:color w:val="auto"/>
    </w:rPr>
  </w:style>
  <w:style w:type="character" w:customStyle="1" w:styleId="215">
    <w:name w:val="A1"/>
    <w:qFormat/>
    <w:uiPriority w:val="0"/>
    <w:rPr>
      <w:rFonts w:ascii="Univers LT Std 45 Light" w:eastAsia="Univers LT Std 45 Light" w:cs="Univers LT Std 45 Light"/>
      <w:color w:val="221E1F"/>
      <w:sz w:val="10"/>
      <w:szCs w:val="10"/>
    </w:rPr>
  </w:style>
  <w:style w:type="character" w:customStyle="1" w:styleId="216">
    <w:name w:val="A10"/>
    <w:qFormat/>
    <w:uiPriority w:val="0"/>
    <w:rPr>
      <w:rFonts w:ascii="Univers LT Std 45 Light" w:eastAsia="Univers LT Std 45 Light" w:cs="Univers LT Std 45 Light"/>
      <w:color w:val="221E1F"/>
      <w:sz w:val="8"/>
      <w:szCs w:val="8"/>
    </w:rPr>
  </w:style>
  <w:style w:type="character" w:customStyle="1" w:styleId="217">
    <w:name w:val="A13"/>
    <w:qFormat/>
    <w:uiPriority w:val="0"/>
    <w:rPr>
      <w:rFonts w:ascii="Univers LT Std 45 Light" w:eastAsia="Univers LT Std 45 Light" w:cs="Univers LT Std 45 Light"/>
      <w:color w:val="221E1F"/>
      <w:sz w:val="10"/>
      <w:szCs w:val="10"/>
    </w:rPr>
  </w:style>
  <w:style w:type="character" w:customStyle="1" w:styleId="218">
    <w:name w:val="apple-converted-space"/>
    <w:qFormat/>
    <w:uiPriority w:val="0"/>
  </w:style>
  <w:style w:type="paragraph" w:customStyle="1" w:styleId="219">
    <w:name w:val="正文 A"/>
    <w:uiPriority w:val="0"/>
    <w:rPr>
      <w:rFonts w:hint="eastAsia" w:ascii="Arial Unicode MS" w:hAnsi="Arial Unicode MS" w:eastAsia="Arial Unicode MS" w:cs="Arial Unicode MS"/>
      <w:color w:val="000000"/>
      <w:kern w:val="0"/>
      <w:sz w:val="22"/>
      <w:szCs w:val="22"/>
      <w:u w:color="000000"/>
      <w:lang w:val="zh-TW" w:eastAsia="zh-TW" w:bidi="ar-SA"/>
    </w:rPr>
  </w:style>
  <w:style w:type="paragraph" w:customStyle="1" w:styleId="220">
    <w:name w:val="题目 2"/>
    <w:next w:val="219"/>
    <w:uiPriority w:val="0"/>
    <w:pPr>
      <w:keepNext/>
      <w:outlineLvl w:val="1"/>
    </w:pPr>
    <w:rPr>
      <w:rFonts w:hint="eastAsia" w:ascii="Arial Unicode MS" w:hAnsi="Arial Unicode MS" w:eastAsia="Arial Unicode MS" w:cs="Arial Unicode MS"/>
      <w:color w:val="000000"/>
      <w:kern w:val="0"/>
      <w:sz w:val="32"/>
      <w:szCs w:val="32"/>
      <w:u w:color="000000"/>
      <w:lang w:val="zh-TW" w:eastAsia="zh-TW" w:bidi="ar-SA"/>
    </w:rPr>
  </w:style>
  <w:style w:type="paragraph" w:customStyle="1" w:styleId="221">
    <w:name w:val="方案正文"/>
    <w:uiPriority w:val="0"/>
    <w:pPr>
      <w:widowControl w:val="0"/>
      <w:spacing w:line="360" w:lineRule="auto"/>
      <w:ind w:firstLine="480"/>
      <w:jc w:val="both"/>
    </w:pPr>
    <w:rPr>
      <w:rFonts w:hint="eastAsia" w:ascii="Arial Unicode MS" w:hAnsi="Arial Unicode MS" w:eastAsia="Arial Unicode MS" w:cs="Arial Unicode MS"/>
      <w:color w:val="000000"/>
      <w:kern w:val="0"/>
      <w:sz w:val="24"/>
      <w:szCs w:val="24"/>
      <w:u w:color="000000"/>
      <w:lang w:val="en-US" w:eastAsia="zh-CN" w:bidi="ar-SA"/>
    </w:rPr>
  </w:style>
  <w:style w:type="paragraph" w:customStyle="1" w:styleId="222">
    <w:name w:val="Revision"/>
    <w:hidden/>
    <w:semiHidden/>
    <w:uiPriority w:val="99"/>
    <w:rPr>
      <w:rFonts w:ascii="Calibri" w:hAnsi="Calibri" w:eastAsia="宋体" w:cs="Times New Roman"/>
      <w:kern w:val="2"/>
      <w:sz w:val="21"/>
      <w:szCs w:val="22"/>
      <w:lang w:val="en-US" w:eastAsia="zh-CN" w:bidi="ar-SA"/>
    </w:rPr>
  </w:style>
  <w:style w:type="character" w:customStyle="1" w:styleId="223">
    <w:name w:val="列出段落 Char"/>
    <w:link w:val="167"/>
    <w:uiPriority w:val="0"/>
    <w:rPr>
      <w:rFonts w:ascii="幼圆" w:hAnsi="幼圆" w:eastAsia="宋体" w:cs="Courier New"/>
    </w:rPr>
  </w:style>
  <w:style w:type="character" w:customStyle="1" w:styleId="224">
    <w:name w:val="批注框文本 Char2"/>
    <w:semiHidden/>
    <w:uiPriority w:val="99"/>
    <w:rPr>
      <w:kern w:val="2"/>
      <w:sz w:val="18"/>
      <w:szCs w:val="18"/>
    </w:rPr>
  </w:style>
  <w:style w:type="character" w:customStyle="1" w:styleId="225">
    <w:name w:val="页眉 Char2"/>
    <w:semiHidden/>
    <w:uiPriority w:val="99"/>
    <w:rPr>
      <w:kern w:val="2"/>
      <w:sz w:val="18"/>
      <w:szCs w:val="18"/>
    </w:rPr>
  </w:style>
  <w:style w:type="paragraph" w:customStyle="1" w:styleId="226">
    <w:name w:val="标书标题 3 Char"/>
    <w:basedOn w:val="1"/>
    <w:uiPriority w:val="0"/>
    <w:pPr>
      <w:tabs>
        <w:tab w:val="left" w:pos="720"/>
      </w:tabs>
      <w:spacing w:line="360" w:lineRule="auto"/>
      <w:ind w:left="720" w:hanging="720"/>
      <w:outlineLvl w:val="2"/>
    </w:pPr>
    <w:rPr>
      <w:rFonts w:ascii="Arial" w:hAnsi="Arial" w:eastAsia="宋体" w:cs="Times New Roman"/>
      <w:bCs/>
      <w:sz w:val="24"/>
      <w:szCs w:val="32"/>
    </w:rPr>
  </w:style>
  <w:style w:type="character" w:customStyle="1" w:styleId="227">
    <w:name w:val="标书标题 3 Char Char"/>
    <w:uiPriority w:val="0"/>
    <w:rPr>
      <w:rFonts w:ascii="Arial" w:hAnsi="Arial" w:eastAsia="宋体"/>
      <w:b/>
      <w:bCs/>
      <w:kern w:val="2"/>
      <w:sz w:val="24"/>
      <w:szCs w:val="32"/>
      <w:lang w:val="en-US" w:eastAsia="zh-CN" w:bidi="ar-SA"/>
    </w:rPr>
  </w:style>
  <w:style w:type="paragraph" w:customStyle="1" w:styleId="228">
    <w:name w:val="Char Char Char Char2"/>
    <w:basedOn w:val="1"/>
    <w:uiPriority w:val="0"/>
    <w:pPr>
      <w:widowControl/>
      <w:spacing w:after="160" w:line="240" w:lineRule="exact"/>
      <w:jc w:val="left"/>
    </w:pPr>
    <w:rPr>
      <w:rFonts w:ascii="Plotter" w:hAnsi="Plotter" w:eastAsia="宋体" w:cs="Plotter"/>
      <w:kern w:val="0"/>
      <w:sz w:val="24"/>
      <w:szCs w:val="24"/>
    </w:rPr>
  </w:style>
  <w:style w:type="paragraph" w:customStyle="1" w:styleId="229">
    <w:name w:val="正文_0"/>
    <w:qFormat/>
    <w:uiPriority w:val="0"/>
    <w:pPr>
      <w:widowControl w:val="0"/>
      <w:jc w:val="both"/>
    </w:pPr>
    <w:rPr>
      <w:rFonts w:ascii="Plotter" w:hAnsi="Plotter" w:eastAsia="宋体" w:cs="Plotter"/>
      <w:kern w:val="2"/>
      <w:sz w:val="21"/>
      <w:szCs w:val="22"/>
      <w:lang w:val="en-US" w:eastAsia="zh-CN" w:bidi="ar-SA"/>
    </w:rPr>
  </w:style>
  <w:style w:type="paragraph" w:customStyle="1" w:styleId="230">
    <w:name w:val="HTML Bottom of Form"/>
    <w:basedOn w:val="1"/>
    <w:next w:val="1"/>
    <w:link w:val="231"/>
    <w:uiPriority w:val="0"/>
    <w:pPr>
      <w:pBdr>
        <w:top w:val="single" w:color="auto" w:sz="6" w:space="1"/>
      </w:pBdr>
      <w:jc w:val="center"/>
    </w:pPr>
    <w:rPr>
      <w:rFonts w:ascii="Plotter" w:hAnsi="Plotter" w:eastAsia="Plotter" w:cs="Plotter"/>
      <w:vanish/>
      <w:sz w:val="16"/>
    </w:rPr>
  </w:style>
  <w:style w:type="character" w:customStyle="1" w:styleId="231">
    <w:name w:val="z-窗体底端 Char"/>
    <w:basedOn w:val="59"/>
    <w:link w:val="230"/>
    <w:uiPriority w:val="0"/>
    <w:rPr>
      <w:rFonts w:ascii="Plotter" w:hAnsi="Plotter" w:eastAsia="Plotter" w:cs="Plotter"/>
      <w:vanish/>
      <w:sz w:val="16"/>
    </w:rPr>
  </w:style>
  <w:style w:type="paragraph" w:customStyle="1" w:styleId="232">
    <w:name w:val="HTML Top of Form"/>
    <w:basedOn w:val="1"/>
    <w:next w:val="1"/>
    <w:link w:val="233"/>
    <w:uiPriority w:val="0"/>
    <w:pPr>
      <w:pBdr>
        <w:bottom w:val="single" w:color="auto" w:sz="6" w:space="1"/>
      </w:pBdr>
      <w:jc w:val="center"/>
    </w:pPr>
    <w:rPr>
      <w:rFonts w:ascii="Plotter" w:hAnsi="Plotter" w:eastAsia="Plotter" w:cs="Plotter"/>
      <w:vanish/>
      <w:sz w:val="16"/>
    </w:rPr>
  </w:style>
  <w:style w:type="character" w:customStyle="1" w:styleId="233">
    <w:name w:val="z-窗体顶端 Char"/>
    <w:basedOn w:val="59"/>
    <w:link w:val="232"/>
    <w:uiPriority w:val="0"/>
    <w:rPr>
      <w:rFonts w:ascii="Plotter" w:hAnsi="Plotter" w:eastAsia="Plotter" w:cs="Plotter"/>
      <w:vanish/>
      <w:sz w:val="16"/>
    </w:rPr>
  </w:style>
  <w:style w:type="paragraph" w:customStyle="1" w:styleId="234">
    <w:name w:val="Char Char Char Char Char Char Char Char Char Char"/>
    <w:basedOn w:val="1"/>
    <w:uiPriority w:val="0"/>
    <w:rPr>
      <w:rFonts w:ascii="Plotter" w:hAnsi="Plotter" w:eastAsia="Plotter" w:cs="Plotter"/>
      <w:sz w:val="32"/>
      <w:szCs w:val="20"/>
    </w:rPr>
  </w:style>
  <w:style w:type="paragraph" w:customStyle="1" w:styleId="235">
    <w:name w:val="Char Char Char Char Char1 Char Char Char Char Char Char Char"/>
    <w:basedOn w:val="1"/>
    <w:uiPriority w:val="0"/>
    <w:rPr>
      <w:rFonts w:ascii="Plotter" w:hAnsi="Plotter" w:eastAsia="宋体" w:cs="Plotter"/>
      <w:szCs w:val="24"/>
    </w:rPr>
  </w:style>
  <w:style w:type="character" w:customStyle="1" w:styleId="236">
    <w:name w:val="font01"/>
    <w:uiPriority w:val="0"/>
    <w:rPr>
      <w:rFonts w:hint="eastAsia" w:ascii="Plotter" w:hAnsi="Plotter" w:eastAsia="Plotter" w:cs="Plotter"/>
      <w:color w:val="000000"/>
      <w:sz w:val="20"/>
      <w:szCs w:val="20"/>
      <w:u w:val="none"/>
    </w:rPr>
  </w:style>
  <w:style w:type="character" w:customStyle="1" w:styleId="237">
    <w:name w:val="font21"/>
    <w:uiPriority w:val="0"/>
    <w:rPr>
      <w:rFonts w:hint="eastAsia" w:ascii="Plotter" w:hAnsi="Plotter" w:eastAsia="Plotter" w:cs="Plotter"/>
      <w:color w:val="000000"/>
      <w:sz w:val="18"/>
      <w:szCs w:val="18"/>
      <w:u w:val="none"/>
    </w:rPr>
  </w:style>
  <w:style w:type="character" w:customStyle="1" w:styleId="238">
    <w:name w:val="font11"/>
    <w:uiPriority w:val="0"/>
    <w:rPr>
      <w:rFonts w:ascii="Plotter" w:hAnsi="Plotter" w:cs="Plotter"/>
      <w:color w:val="000000"/>
      <w:sz w:val="20"/>
      <w:szCs w:val="20"/>
      <w:u w:val="none"/>
    </w:rPr>
  </w:style>
  <w:style w:type="paragraph" w:customStyle="1" w:styleId="239">
    <w:name w:val="Char Char Char1"/>
    <w:basedOn w:val="18"/>
    <w:uiPriority w:val="0"/>
    <w:rPr>
      <w:rFonts w:ascii="Plotter" w:hAnsi="Plotter" w:eastAsia="宋体" w:cs="Plotter"/>
      <w:sz w:val="24"/>
      <w:szCs w:val="20"/>
    </w:rPr>
  </w:style>
  <w:style w:type="paragraph" w:customStyle="1" w:styleId="240">
    <w:name w:val="p17"/>
    <w:basedOn w:val="1"/>
    <w:uiPriority w:val="0"/>
    <w:pPr>
      <w:widowControl/>
    </w:pPr>
    <w:rPr>
      <w:rFonts w:ascii="Plotter" w:hAnsi="Plotter" w:eastAsia="宋体" w:cs="Plotter"/>
      <w:kern w:val="0"/>
      <w:szCs w:val="21"/>
    </w:rPr>
  </w:style>
  <w:style w:type="paragraph" w:customStyle="1" w:styleId="241">
    <w:name w:val="p16"/>
    <w:basedOn w:val="1"/>
    <w:uiPriority w:val="0"/>
    <w:pPr>
      <w:widowControl/>
    </w:pPr>
    <w:rPr>
      <w:rFonts w:ascii="Plotter" w:hAnsi="Plotter" w:eastAsia="宋体" w:cs="Plotter"/>
      <w:kern w:val="0"/>
      <w:sz w:val="28"/>
      <w:szCs w:val="28"/>
    </w:rPr>
  </w:style>
  <w:style w:type="paragraph" w:customStyle="1" w:styleId="242">
    <w:name w:val="列出段落2"/>
    <w:basedOn w:val="1"/>
    <w:qFormat/>
    <w:uiPriority w:val="34"/>
    <w:pPr>
      <w:ind w:firstLine="420" w:firstLineChars="200"/>
    </w:pPr>
    <w:rPr>
      <w:rFonts w:ascii="Plotter" w:hAnsi="Plotter" w:eastAsia="宋体" w:cs="Plotter"/>
      <w:szCs w:val="20"/>
    </w:rPr>
  </w:style>
  <w:style w:type="paragraph" w:customStyle="1" w:styleId="243">
    <w:name w:val="列出段落21"/>
    <w:basedOn w:val="1"/>
    <w:qFormat/>
    <w:uiPriority w:val="0"/>
    <w:pPr>
      <w:ind w:firstLine="420" w:firstLineChars="200"/>
    </w:pPr>
    <w:rPr>
      <w:rFonts w:ascii="Plotter" w:hAnsi="Plotter" w:eastAsia="宋体" w:cs="Plotter"/>
    </w:rPr>
  </w:style>
  <w:style w:type="paragraph" w:customStyle="1" w:styleId="244">
    <w:name w:val="文档正文"/>
    <w:basedOn w:val="1"/>
    <w:uiPriority w:val="0"/>
    <w:pPr>
      <w:spacing w:line="312" w:lineRule="atLeast"/>
      <w:ind w:firstLine="567"/>
    </w:pPr>
    <w:rPr>
      <w:rFonts w:ascii="Plotter" w:hAnsi="Plotter" w:eastAsia="Plotter" w:cs="Plotter"/>
      <w:color w:val="000000"/>
      <w:kern w:val="0"/>
      <w:sz w:val="28"/>
      <w:szCs w:val="20"/>
    </w:rPr>
  </w:style>
  <w:style w:type="paragraph" w:customStyle="1" w:styleId="245">
    <w:name w:val="Pa11"/>
    <w:basedOn w:val="1"/>
    <w:next w:val="1"/>
    <w:uiPriority w:val="0"/>
    <w:pPr>
      <w:spacing w:line="241" w:lineRule="atLeast"/>
      <w:jc w:val="left"/>
    </w:pPr>
    <w:rPr>
      <w:rFonts w:ascii="Plotter" w:hAnsi="Plotter" w:eastAsia="Plotter" w:cs="Plotter"/>
      <w:color w:val="000000"/>
      <w:kern w:val="0"/>
      <w:sz w:val="24"/>
      <w:szCs w:val="24"/>
    </w:rPr>
  </w:style>
  <w:style w:type="character" w:customStyle="1" w:styleId="246">
    <w:name w:val="引入重点"/>
    <w:uiPriority w:val="0"/>
  </w:style>
  <w:style w:type="character" w:customStyle="1" w:styleId="247">
    <w:name w:val="样式1 Char Char"/>
    <w:link w:val="151"/>
    <w:locked/>
    <w:uiPriority w:val="99"/>
    <w:rPr>
      <w:rFonts w:ascii="Cambria" w:hAnsi="Cambria" w:eastAsia="宋体" w:cs="Courier New"/>
      <w:kern w:val="0"/>
      <w:szCs w:val="20"/>
    </w:rPr>
  </w:style>
  <w:style w:type="paragraph" w:customStyle="1" w:styleId="248">
    <w:name w:val="xl66"/>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Plotter" w:hAnsi="Plotter" w:eastAsia="宋体" w:cs="Plotter"/>
      <w:b/>
      <w:bCs/>
      <w:kern w:val="0"/>
      <w:sz w:val="18"/>
      <w:szCs w:val="18"/>
    </w:rPr>
  </w:style>
  <w:style w:type="paragraph" w:customStyle="1" w:styleId="249">
    <w:name w:val="xl67"/>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Plotter" w:hAnsi="Plotter" w:eastAsia="宋体" w:cs="Plotter"/>
      <w:b/>
      <w:bCs/>
      <w:kern w:val="0"/>
      <w:sz w:val="18"/>
      <w:szCs w:val="18"/>
    </w:rPr>
  </w:style>
  <w:style w:type="paragraph" w:customStyle="1" w:styleId="250">
    <w:name w:val="xl72"/>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textAlignment w:val="center"/>
    </w:pPr>
    <w:rPr>
      <w:rFonts w:ascii="Plotter" w:hAnsi="Plotter" w:eastAsia="宋体" w:cs="Plotter"/>
      <w:color w:val="000000"/>
      <w:kern w:val="0"/>
      <w:sz w:val="18"/>
      <w:szCs w:val="18"/>
    </w:rPr>
  </w:style>
  <w:style w:type="paragraph" w:customStyle="1" w:styleId="251">
    <w:name w:val="xl73"/>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textAlignment w:val="center"/>
    </w:pPr>
    <w:rPr>
      <w:rFonts w:ascii="Plotter" w:hAnsi="Plotter" w:eastAsia="宋体" w:cs="Plotter"/>
      <w:color w:val="000000"/>
      <w:kern w:val="0"/>
      <w:sz w:val="18"/>
      <w:szCs w:val="18"/>
    </w:rPr>
  </w:style>
  <w:style w:type="paragraph" w:customStyle="1" w:styleId="252">
    <w:name w:val="xl74"/>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Plotter" w:hAnsi="Plotter" w:eastAsia="宋体" w:cs="Plotter"/>
      <w:kern w:val="0"/>
      <w:sz w:val="18"/>
      <w:szCs w:val="18"/>
    </w:rPr>
  </w:style>
  <w:style w:type="paragraph" w:customStyle="1" w:styleId="253">
    <w:name w:val="xl75"/>
    <w:basedOn w:val="1"/>
    <w:uiPriority w:val="0"/>
    <w:pPr>
      <w:widowControl/>
      <w:pBdr>
        <w:top w:val="single" w:color="auto" w:sz="4" w:space="0"/>
        <w:left w:val="single" w:color="auto" w:sz="4" w:space="0"/>
        <w:right w:val="single" w:color="auto" w:sz="4" w:space="0"/>
      </w:pBdr>
      <w:spacing w:before="100" w:beforeAutospacing="1" w:after="100" w:afterAutospacing="1"/>
      <w:jc w:val="left"/>
    </w:pPr>
    <w:rPr>
      <w:rFonts w:ascii="Plotter" w:hAnsi="Plotter" w:eastAsia="宋体" w:cs="Plotter"/>
      <w:kern w:val="0"/>
      <w:sz w:val="18"/>
      <w:szCs w:val="18"/>
    </w:rPr>
  </w:style>
  <w:style w:type="paragraph" w:customStyle="1" w:styleId="254">
    <w:name w:val="xl76"/>
    <w:basedOn w:val="1"/>
    <w:uiPriority w:val="0"/>
    <w:pPr>
      <w:widowControl/>
      <w:pBdr>
        <w:left w:val="single" w:color="auto" w:sz="4" w:space="0"/>
        <w:right w:val="single" w:color="auto" w:sz="4" w:space="0"/>
      </w:pBdr>
      <w:spacing w:before="100" w:beforeAutospacing="1" w:after="100" w:afterAutospacing="1"/>
      <w:jc w:val="left"/>
    </w:pPr>
    <w:rPr>
      <w:rFonts w:ascii="Plotter" w:hAnsi="Plotter" w:eastAsia="宋体" w:cs="Plotter"/>
      <w:kern w:val="0"/>
      <w:sz w:val="18"/>
      <w:szCs w:val="18"/>
    </w:rPr>
  </w:style>
  <w:style w:type="paragraph" w:customStyle="1" w:styleId="255">
    <w:name w:val="xl77"/>
    <w:basedOn w:val="1"/>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Plotter" w:hAnsi="Plotter" w:eastAsia="宋体" w:cs="Plotter"/>
      <w:kern w:val="0"/>
      <w:sz w:val="18"/>
      <w:szCs w:val="18"/>
    </w:rPr>
  </w:style>
  <w:style w:type="paragraph" w:customStyle="1" w:styleId="256">
    <w:name w:val="xl78"/>
    <w:basedOn w:val="1"/>
    <w:uiPriority w:val="0"/>
    <w:pPr>
      <w:widowControl/>
      <w:pBdr>
        <w:top w:val="single" w:color="auto" w:sz="4" w:space="0"/>
        <w:left w:val="single" w:color="auto" w:sz="4" w:space="0"/>
        <w:right w:val="single" w:color="auto" w:sz="4" w:space="0"/>
      </w:pBdr>
      <w:spacing w:before="100" w:beforeAutospacing="1" w:after="100" w:afterAutospacing="1"/>
      <w:jc w:val="left"/>
    </w:pPr>
    <w:rPr>
      <w:rFonts w:ascii="Plotter" w:hAnsi="Plotter" w:eastAsia="宋体" w:cs="Plotter"/>
      <w:kern w:val="0"/>
      <w:sz w:val="18"/>
      <w:szCs w:val="18"/>
    </w:rPr>
  </w:style>
  <w:style w:type="paragraph" w:customStyle="1" w:styleId="257">
    <w:name w:val="xl79"/>
    <w:basedOn w:val="1"/>
    <w:uiPriority w:val="0"/>
    <w:pPr>
      <w:widowControl/>
      <w:pBdr>
        <w:left w:val="single" w:color="auto" w:sz="4" w:space="0"/>
        <w:right w:val="single" w:color="auto" w:sz="4" w:space="0"/>
      </w:pBdr>
      <w:spacing w:before="100" w:beforeAutospacing="1" w:after="100" w:afterAutospacing="1"/>
      <w:jc w:val="left"/>
    </w:pPr>
    <w:rPr>
      <w:rFonts w:ascii="Plotter" w:hAnsi="Plotter" w:eastAsia="宋体" w:cs="Plotter"/>
      <w:kern w:val="0"/>
      <w:sz w:val="18"/>
      <w:szCs w:val="18"/>
    </w:rPr>
  </w:style>
  <w:style w:type="paragraph" w:customStyle="1" w:styleId="258">
    <w:name w:val="xl80"/>
    <w:basedOn w:val="1"/>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Plotter" w:hAnsi="Plotter" w:eastAsia="宋体" w:cs="Plotter"/>
      <w:kern w:val="0"/>
      <w:sz w:val="18"/>
      <w:szCs w:val="18"/>
    </w:rPr>
  </w:style>
  <w:style w:type="paragraph" w:customStyle="1" w:styleId="259">
    <w:name w:val="xl81"/>
    <w:basedOn w:val="1"/>
    <w:uiPriority w:val="0"/>
    <w:pPr>
      <w:widowControl/>
      <w:pBdr>
        <w:left w:val="single" w:color="auto" w:sz="4" w:space="0"/>
        <w:bottom w:val="single" w:color="auto" w:sz="4" w:space="0"/>
        <w:right w:val="single" w:color="auto" w:sz="4" w:space="0"/>
      </w:pBdr>
      <w:spacing w:before="100" w:beforeAutospacing="1" w:after="100" w:afterAutospacing="1"/>
      <w:jc w:val="right"/>
    </w:pPr>
    <w:rPr>
      <w:rFonts w:ascii="Plotter" w:hAnsi="Plotter" w:eastAsia="宋体" w:cs="Plotter"/>
      <w:kern w:val="0"/>
      <w:sz w:val="18"/>
      <w:szCs w:val="18"/>
    </w:rPr>
  </w:style>
  <w:style w:type="paragraph" w:customStyle="1" w:styleId="260">
    <w:name w:val="xl82"/>
    <w:basedOn w:val="1"/>
    <w:uiPriority w:val="0"/>
    <w:pPr>
      <w:widowControl/>
      <w:pBdr>
        <w:top w:val="single" w:color="auto" w:sz="4" w:space="0"/>
        <w:left w:val="single" w:color="auto" w:sz="4" w:space="0"/>
        <w:right w:val="single" w:color="auto" w:sz="4" w:space="0"/>
      </w:pBdr>
      <w:spacing w:before="100" w:beforeAutospacing="1" w:after="100" w:afterAutospacing="1"/>
      <w:jc w:val="left"/>
      <w:textAlignment w:val="center"/>
    </w:pPr>
    <w:rPr>
      <w:rFonts w:ascii="Plotter" w:hAnsi="Plotter" w:eastAsia="宋体" w:cs="Plotter"/>
      <w:kern w:val="0"/>
      <w:sz w:val="18"/>
      <w:szCs w:val="18"/>
    </w:rPr>
  </w:style>
  <w:style w:type="paragraph" w:customStyle="1" w:styleId="261">
    <w:name w:val="xl83"/>
    <w:basedOn w:val="1"/>
    <w:uiPriority w:val="0"/>
    <w:pPr>
      <w:widowControl/>
      <w:pBdr>
        <w:left w:val="single" w:color="auto" w:sz="4" w:space="0"/>
        <w:bottom w:val="single" w:color="auto" w:sz="4" w:space="0"/>
        <w:right w:val="single" w:color="auto" w:sz="4" w:space="0"/>
      </w:pBdr>
      <w:spacing w:before="100" w:beforeAutospacing="1" w:after="100" w:afterAutospacing="1"/>
      <w:jc w:val="left"/>
      <w:textAlignment w:val="center"/>
    </w:pPr>
    <w:rPr>
      <w:rFonts w:ascii="Plotter" w:hAnsi="Plotter" w:eastAsia="宋体" w:cs="Plotter"/>
      <w:kern w:val="0"/>
      <w:sz w:val="18"/>
      <w:szCs w:val="18"/>
    </w:rPr>
  </w:style>
  <w:style w:type="paragraph" w:customStyle="1" w:styleId="262">
    <w:name w:val="xl84"/>
    <w:basedOn w:val="1"/>
    <w:uiPriority w:val="0"/>
    <w:pPr>
      <w:widowControl/>
      <w:pBdr>
        <w:left w:val="single" w:color="auto" w:sz="4" w:space="0"/>
        <w:right w:val="single" w:color="auto" w:sz="4" w:space="0"/>
      </w:pBdr>
      <w:spacing w:before="100" w:beforeAutospacing="1" w:after="100" w:afterAutospacing="1"/>
      <w:jc w:val="left"/>
      <w:textAlignment w:val="center"/>
    </w:pPr>
    <w:rPr>
      <w:rFonts w:ascii="Plotter" w:hAnsi="Plotter" w:eastAsia="宋体" w:cs="Plotter"/>
      <w:kern w:val="0"/>
      <w:sz w:val="18"/>
      <w:szCs w:val="18"/>
    </w:rPr>
  </w:style>
  <w:style w:type="character" w:customStyle="1" w:styleId="263">
    <w:name w:val="param-name"/>
    <w:basedOn w:val="59"/>
    <w:uiPriority w:val="0"/>
  </w:style>
  <w:style w:type="paragraph" w:customStyle="1" w:styleId="264">
    <w:name w:val="_Style 13"/>
    <w:basedOn w:val="1"/>
    <w:uiPriority w:val="0"/>
    <w:pPr>
      <w:widowControl/>
      <w:spacing w:after="160" w:line="240" w:lineRule="exact"/>
      <w:jc w:val="left"/>
    </w:pPr>
    <w:rPr>
      <w:rFonts w:ascii="Times New Roman" w:hAnsi="Times New Roman" w:eastAsia="宋体" w:cs="Times New Roman"/>
      <w:szCs w:val="24"/>
    </w:rPr>
  </w:style>
  <w:style w:type="paragraph" w:customStyle="1" w:styleId="265">
    <w:name w:val="Char Char2 Char Char"/>
    <w:basedOn w:val="1"/>
    <w:uiPriority w:val="0"/>
    <w:rPr>
      <w:rFonts w:ascii="Tahoma" w:hAnsi="Tahoma" w:eastAsia="宋体" w:cs="Times New Roman"/>
      <w:sz w:val="24"/>
      <w:szCs w:val="20"/>
    </w:rPr>
  </w:style>
  <w:style w:type="character" w:customStyle="1" w:styleId="266">
    <w:name w:val="Date Char"/>
    <w:locked/>
    <w:uiPriority w:val="0"/>
    <w:rPr>
      <w:rFonts w:eastAsia="宋体"/>
      <w:b/>
      <w:kern w:val="2"/>
      <w:sz w:val="28"/>
      <w:lang w:val="en-US" w:eastAsia="zh-CN" w:bidi="ar-SA"/>
    </w:rPr>
  </w:style>
  <w:style w:type="paragraph" w:customStyle="1" w:styleId="267">
    <w:name w:val="_Style 8"/>
    <w:basedOn w:val="1"/>
    <w:uiPriority w:val="0"/>
    <w:rPr>
      <w:rFonts w:ascii="Times New Roman" w:hAnsi="Times New Roman" w:eastAsia="宋体" w:cs="Times New Roman"/>
      <w:szCs w:val="20"/>
    </w:rPr>
  </w:style>
  <w:style w:type="paragraph" w:customStyle="1" w:styleId="268">
    <w:name w:val="xl52"/>
    <w:basedOn w:val="1"/>
    <w:uiPriority w:val="0"/>
    <w:pPr>
      <w:widowControl/>
      <w:pBdr>
        <w:left w:val="double" w:color="auto" w:sz="6" w:space="0"/>
        <w:bottom w:val="double" w:color="auto" w:sz="6" w:space="0"/>
        <w:right w:val="single" w:color="auto" w:sz="4" w:space="0"/>
      </w:pBdr>
      <w:spacing w:before="100" w:beforeAutospacing="1" w:after="100" w:afterAutospacing="1"/>
      <w:jc w:val="center"/>
    </w:pPr>
    <w:rPr>
      <w:rFonts w:hint="eastAsia" w:ascii="Arial" w:hAnsi="Arial" w:eastAsia="宋体" w:cs="Arial"/>
      <w:kern w:val="0"/>
      <w:sz w:val="20"/>
      <w:szCs w:val="20"/>
    </w:rPr>
  </w:style>
  <w:style w:type="paragraph" w:customStyle="1" w:styleId="269">
    <w:name w:val="Table Paragraph"/>
    <w:basedOn w:val="1"/>
    <w:qFormat/>
    <w:uiPriority w:val="1"/>
    <w:pPr>
      <w:jc w:val="left"/>
    </w:pPr>
    <w:rPr>
      <w:rFonts w:ascii="Calibri" w:hAnsi="Calibri" w:eastAsia="宋体" w:cs="Times New Roman"/>
      <w:kern w:val="0"/>
      <w:sz w:val="22"/>
      <w:lang w:eastAsia="en-US"/>
    </w:rPr>
  </w:style>
  <w:style w:type="character" w:customStyle="1" w:styleId="270">
    <w:name w:val="二级标题 Char Char"/>
    <w:link w:val="131"/>
    <w:uiPriority w:val="0"/>
    <w:rPr>
      <w:rFonts w:ascii="Cambria Math" w:hAnsi="Courier New" w:eastAsia="Cambria Math" w:cs="Courier New"/>
      <w:sz w:val="28"/>
      <w:szCs w:val="24"/>
    </w:rPr>
  </w:style>
  <w:style w:type="character" w:customStyle="1" w:styleId="271">
    <w:name w:val="项目 Char Char"/>
    <w:link w:val="272"/>
    <w:uiPriority w:val="0"/>
    <w:rPr>
      <w:rFonts w:cs="Tahoma"/>
      <w:color w:val="000000"/>
      <w:sz w:val="24"/>
      <w:szCs w:val="24"/>
    </w:rPr>
  </w:style>
  <w:style w:type="paragraph" w:customStyle="1" w:styleId="272">
    <w:name w:val="项目"/>
    <w:basedOn w:val="1"/>
    <w:link w:val="271"/>
    <w:uiPriority w:val="0"/>
    <w:pPr>
      <w:tabs>
        <w:tab w:val="left" w:pos="1117"/>
      </w:tabs>
      <w:autoSpaceDE w:val="0"/>
      <w:autoSpaceDN w:val="0"/>
      <w:adjustRightInd w:val="0"/>
      <w:spacing w:line="360" w:lineRule="auto"/>
      <w:ind w:left="1117" w:hanging="397"/>
      <w:jc w:val="left"/>
    </w:pPr>
    <w:rPr>
      <w:rFonts w:cs="Tahoma"/>
      <w:color w:val="000000"/>
      <w:sz w:val="24"/>
      <w:szCs w:val="24"/>
    </w:rPr>
  </w:style>
  <w:style w:type="character" w:customStyle="1" w:styleId="273">
    <w:name w:val="一级标题 Char Char"/>
    <w:link w:val="130"/>
    <w:uiPriority w:val="0"/>
    <w:rPr>
      <w:rFonts w:ascii="Cambria Math" w:hAnsi="Courier New" w:eastAsia="Cambria Math" w:cs="Courier New"/>
      <w:sz w:val="30"/>
      <w:szCs w:val="28"/>
    </w:rPr>
  </w:style>
  <w:style w:type="paragraph" w:customStyle="1" w:styleId="274">
    <w:name w:val="样式5"/>
    <w:basedOn w:val="38"/>
    <w:link w:val="275"/>
    <w:qFormat/>
    <w:uiPriority w:val="0"/>
    <w:pPr>
      <w:pBdr>
        <w:bottom w:val="none" w:color="auto" w:sz="0" w:space="0"/>
      </w:pBdr>
      <w:jc w:val="both"/>
    </w:pPr>
    <w:rPr>
      <w:rFonts w:ascii="宋体" w:hAnsi="宋体" w:eastAsia="宋体" w:cs="Plotter"/>
      <w:b/>
      <w:i/>
      <w:color w:val="0000FF"/>
      <w:sz w:val="24"/>
    </w:rPr>
  </w:style>
  <w:style w:type="character" w:customStyle="1" w:styleId="275">
    <w:name w:val="样式5 Char"/>
    <w:link w:val="274"/>
    <w:uiPriority w:val="0"/>
    <w:rPr>
      <w:rFonts w:ascii="宋体" w:hAnsi="宋体" w:eastAsia="宋体" w:cs="Plotter"/>
      <w:b/>
      <w:i/>
      <w:color w:val="0000FF"/>
      <w:sz w:val="24"/>
      <w:szCs w:val="18"/>
    </w:rPr>
  </w:style>
  <w:style w:type="character" w:customStyle="1" w:styleId="276">
    <w:name w:val="小四 段落 宋体 Char Char Char Char1"/>
    <w:link w:val="277"/>
    <w:uiPriority w:val="0"/>
    <w:rPr>
      <w:sz w:val="24"/>
      <w:szCs w:val="24"/>
    </w:rPr>
  </w:style>
  <w:style w:type="paragraph" w:customStyle="1" w:styleId="277">
    <w:name w:val="小四 段落 宋体 Char Char Char"/>
    <w:basedOn w:val="15"/>
    <w:link w:val="276"/>
    <w:uiPriority w:val="0"/>
    <w:pPr>
      <w:tabs>
        <w:tab w:val="left" w:pos="780"/>
      </w:tabs>
      <w:spacing w:line="360" w:lineRule="auto"/>
      <w:ind w:left="200" w:leftChars="200" w:right="-33" w:firstLine="480" w:firstLineChars="200"/>
      <w:jc w:val="left"/>
    </w:pPr>
    <w:rPr>
      <w:rFonts w:asciiTheme="minorHAnsi" w:hAnsiTheme="minorHAnsi" w:eastAsiaTheme="minorEastAsia" w:cstheme="minorBidi"/>
      <w:sz w:val="24"/>
    </w:rPr>
  </w:style>
  <w:style w:type="character" w:customStyle="1" w:styleId="278">
    <w:name w:val="font61"/>
    <w:uiPriority w:val="99"/>
    <w:rPr>
      <w:rFonts w:hint="eastAsia" w:ascii="Calibri" w:hAnsi="Calibri" w:eastAsia="Calibri" w:cs="Calibri"/>
      <w:color w:val="000000"/>
      <w:sz w:val="21"/>
      <w:szCs w:val="21"/>
      <w:u w:val="none"/>
    </w:rPr>
  </w:style>
  <w:style w:type="paragraph" w:customStyle="1" w:styleId="279">
    <w:name w:val="样式 标题 2 + 宋体 五号 行距: 单倍行距"/>
    <w:basedOn w:val="4"/>
    <w:uiPriority w:val="0"/>
    <w:pPr>
      <w:adjustRightInd w:val="0"/>
      <w:spacing w:line="240" w:lineRule="auto"/>
      <w:ind w:firstLine="0"/>
      <w:jc w:val="left"/>
      <w:textAlignment w:val="baseline"/>
    </w:pPr>
    <w:rPr>
      <w:rFonts w:ascii="Courier New" w:hAnsi="Courier New" w:eastAsia="Courier New" w:cs="仿宋"/>
      <w:bCs w:val="0"/>
      <w:sz w:val="21"/>
      <w:szCs w:val="20"/>
      <w:lang w:val="zh-CN" w:eastAsia="zh-CN"/>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4</Pages>
  <Words>377</Words>
  <Characters>2155</Characters>
  <Lines>17</Lines>
  <Paragraphs>5</Paragraphs>
  <TotalTime>0</TotalTime>
  <ScaleCrop>false</ScaleCrop>
  <LinksUpToDate>false</LinksUpToDate>
  <CharactersWithSpaces>2527</CharactersWithSpaces>
  <Application>WPS Office_11.8.2.10229_F1E327BC-269C-435d-A152-05C5408002CA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2015-08-28T03:11:00Z</dcterms:created>
  <dc:creator>NTKO</dc:creator>
  <cp:lastModifiedBy>wangzh</cp:lastModifiedBy>
  <dcterms:modified xsi:type="dcterms:W3CDTF">2021-10-21T10:17:17Z</dcterms:modified>
  <cp:revision>43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2052-11.8.2.10229</vt:lpwstr>
  </property>
</Properties>
</file>