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27C64">
      <w:pPr>
        <w:spacing w:line="360" w:lineRule="auto"/>
        <w:jc w:val="center"/>
        <w:outlineLvl w:val="0"/>
        <w:rPr>
          <w:b/>
          <w:sz w:val="36"/>
          <w:szCs w:val="36"/>
        </w:rPr>
      </w:pPr>
      <w:r>
        <w:rPr>
          <w:rFonts w:hint="eastAsia"/>
          <w:b/>
          <w:sz w:val="36"/>
          <w:szCs w:val="36"/>
        </w:rPr>
        <w:t xml:space="preserve"> </w:t>
      </w:r>
      <w:r>
        <w:rPr>
          <w:b/>
          <w:sz w:val="36"/>
          <w:szCs w:val="36"/>
        </w:rPr>
        <w:t>采购需求</w:t>
      </w:r>
    </w:p>
    <w:p w14:paraId="640ACD2F">
      <w:pPr>
        <w:pStyle w:val="11"/>
        <w:spacing w:line="360" w:lineRule="auto"/>
        <w:ind w:firstLine="0" w:firstLineChars="0"/>
        <w:contextualSpacing/>
        <w:jc w:val="left"/>
        <w:rPr>
          <w:rFonts w:hint="eastAsia" w:asciiTheme="minorEastAsia" w:hAnsiTheme="minorEastAsia" w:eastAsiaTheme="minorEastAsia"/>
          <w:b/>
          <w:sz w:val="24"/>
          <w:szCs w:val="24"/>
        </w:rPr>
      </w:pPr>
      <w:r>
        <w:rPr>
          <w:rFonts w:asciiTheme="minorEastAsia" w:hAnsiTheme="minorEastAsia" w:eastAsiaTheme="minorEastAsia"/>
          <w:b/>
          <w:sz w:val="24"/>
          <w:szCs w:val="24"/>
        </w:rPr>
        <w:t>一、采购标的</w:t>
      </w:r>
    </w:p>
    <w:tbl>
      <w:tblPr>
        <w:tblStyle w:val="7"/>
        <w:tblW w:w="56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553"/>
        <w:gridCol w:w="1615"/>
        <w:gridCol w:w="1783"/>
        <w:gridCol w:w="1664"/>
        <w:gridCol w:w="699"/>
        <w:gridCol w:w="1493"/>
      </w:tblGrid>
      <w:tr w14:paraId="29A8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16" w:type="pct"/>
            <w:noWrap/>
            <w:vAlign w:val="center"/>
          </w:tcPr>
          <w:p w14:paraId="75D405BC">
            <w:pPr>
              <w:jc w:val="center"/>
              <w:rPr>
                <w:rFonts w:hint="eastAsia" w:ascii="宋体" w:hAnsi="宋体" w:cs="宋体"/>
                <w:sz w:val="24"/>
              </w:rPr>
            </w:pPr>
            <w:r>
              <w:rPr>
                <w:rFonts w:hint="eastAsia" w:ascii="宋体" w:hAnsi="宋体" w:cs="宋体"/>
                <w:sz w:val="24"/>
              </w:rPr>
              <w:t>包号</w:t>
            </w:r>
          </w:p>
        </w:tc>
        <w:tc>
          <w:tcPr>
            <w:tcW w:w="808" w:type="pct"/>
            <w:vAlign w:val="center"/>
          </w:tcPr>
          <w:p w14:paraId="061AAFC6">
            <w:pPr>
              <w:jc w:val="center"/>
              <w:rPr>
                <w:rFonts w:hint="eastAsia" w:ascii="宋体" w:hAnsi="宋体" w:cs="宋体"/>
                <w:sz w:val="24"/>
              </w:rPr>
            </w:pPr>
            <w:r>
              <w:rPr>
                <w:rFonts w:hint="eastAsia" w:ascii="宋体" w:hAnsi="宋体" w:cs="宋体"/>
                <w:sz w:val="24"/>
              </w:rPr>
              <w:t>包名称</w:t>
            </w:r>
          </w:p>
        </w:tc>
        <w:tc>
          <w:tcPr>
            <w:tcW w:w="840" w:type="pct"/>
            <w:vAlign w:val="center"/>
          </w:tcPr>
          <w:p w14:paraId="6CF4F9E7">
            <w:pPr>
              <w:jc w:val="center"/>
              <w:rPr>
                <w:rFonts w:hint="eastAsia" w:ascii="宋体" w:hAnsi="宋体" w:cs="宋体"/>
                <w:sz w:val="24"/>
              </w:rPr>
            </w:pPr>
            <w:r>
              <w:rPr>
                <w:rFonts w:hint="eastAsia" w:ascii="宋体" w:hAnsi="宋体" w:cs="宋体"/>
                <w:sz w:val="24"/>
              </w:rPr>
              <w:t>标的名称</w:t>
            </w:r>
          </w:p>
        </w:tc>
        <w:tc>
          <w:tcPr>
            <w:tcW w:w="927" w:type="pct"/>
            <w:vAlign w:val="center"/>
          </w:tcPr>
          <w:p w14:paraId="39A5A53A">
            <w:pPr>
              <w:jc w:val="center"/>
              <w:rPr>
                <w:rFonts w:hint="eastAsia" w:ascii="宋体" w:hAnsi="宋体" w:eastAsia="宋体" w:cs="宋体"/>
                <w:sz w:val="24"/>
              </w:rPr>
            </w:pPr>
            <w:r>
              <w:rPr>
                <w:rFonts w:hint="eastAsia" w:ascii="宋体" w:hAnsi="宋体" w:eastAsia="宋体" w:cs="宋体"/>
                <w:sz w:val="24"/>
              </w:rPr>
              <w:t>分包预算</w:t>
            </w:r>
          </w:p>
          <w:p w14:paraId="68EEB244">
            <w:pPr>
              <w:jc w:val="center"/>
              <w:rPr>
                <w:rFonts w:hint="eastAsia" w:ascii="宋体" w:hAnsi="宋体" w:cs="宋体"/>
                <w:sz w:val="24"/>
              </w:rPr>
            </w:pPr>
            <w:r>
              <w:rPr>
                <w:rFonts w:hint="eastAsia" w:ascii="宋体" w:hAnsi="宋体" w:eastAsia="宋体" w:cs="宋体"/>
                <w:sz w:val="24"/>
              </w:rPr>
              <w:t>金额（万元）</w:t>
            </w:r>
          </w:p>
        </w:tc>
        <w:tc>
          <w:tcPr>
            <w:tcW w:w="866" w:type="pct"/>
            <w:vAlign w:val="center"/>
          </w:tcPr>
          <w:p w14:paraId="6C4815FE">
            <w:pPr>
              <w:jc w:val="center"/>
              <w:rPr>
                <w:rFonts w:hint="eastAsia" w:ascii="宋体" w:hAnsi="宋体" w:cs="宋体"/>
                <w:sz w:val="24"/>
              </w:rPr>
            </w:pPr>
            <w:r>
              <w:rPr>
                <w:rFonts w:hint="eastAsia" w:ascii="宋体" w:hAnsi="宋体" w:cs="宋体"/>
                <w:sz w:val="24"/>
              </w:rPr>
              <w:t>单价最高限价（万元）</w:t>
            </w:r>
          </w:p>
        </w:tc>
        <w:tc>
          <w:tcPr>
            <w:tcW w:w="363" w:type="pct"/>
            <w:vAlign w:val="center"/>
          </w:tcPr>
          <w:p w14:paraId="5BB39890">
            <w:pPr>
              <w:jc w:val="center"/>
              <w:rPr>
                <w:rFonts w:hint="eastAsia" w:ascii="宋体" w:hAnsi="宋体" w:cs="宋体"/>
                <w:sz w:val="24"/>
              </w:rPr>
            </w:pPr>
            <w:r>
              <w:rPr>
                <w:rFonts w:hint="eastAsia" w:ascii="宋体" w:hAnsi="宋体" w:cs="宋体"/>
                <w:sz w:val="24"/>
              </w:rPr>
              <w:t>数量</w:t>
            </w:r>
          </w:p>
          <w:p w14:paraId="181B9D78">
            <w:pPr>
              <w:jc w:val="center"/>
              <w:rPr>
                <w:rFonts w:hint="eastAsia" w:ascii="宋体" w:hAnsi="宋体" w:cs="宋体"/>
                <w:sz w:val="24"/>
              </w:rPr>
            </w:pPr>
            <w:r>
              <w:rPr>
                <w:rFonts w:hint="eastAsia" w:ascii="宋体" w:hAnsi="宋体" w:cs="宋体"/>
                <w:sz w:val="24"/>
              </w:rPr>
              <w:t>(套）</w:t>
            </w:r>
          </w:p>
        </w:tc>
        <w:tc>
          <w:tcPr>
            <w:tcW w:w="777" w:type="pct"/>
            <w:vAlign w:val="center"/>
          </w:tcPr>
          <w:p w14:paraId="4E58B0A1">
            <w:pPr>
              <w:jc w:val="center"/>
              <w:rPr>
                <w:rFonts w:hint="eastAsia" w:ascii="宋体" w:hAnsi="宋体" w:cs="宋体"/>
                <w:sz w:val="24"/>
              </w:rPr>
            </w:pPr>
            <w:r>
              <w:rPr>
                <w:rFonts w:hint="eastAsia" w:ascii="宋体" w:hAnsi="宋体" w:cs="宋体"/>
                <w:sz w:val="24"/>
              </w:rPr>
              <w:t>是否为核心产品</w:t>
            </w:r>
          </w:p>
        </w:tc>
      </w:tr>
      <w:tr w14:paraId="5E30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16" w:type="pct"/>
            <w:noWrap/>
            <w:vAlign w:val="center"/>
          </w:tcPr>
          <w:p w14:paraId="4BA04362">
            <w:pPr>
              <w:jc w:val="center"/>
              <w:rPr>
                <w:rFonts w:hint="eastAsia" w:ascii="宋体" w:hAnsi="宋体" w:cs="宋体"/>
                <w:sz w:val="24"/>
              </w:rPr>
            </w:pPr>
            <w:r>
              <w:rPr>
                <w:rFonts w:hint="eastAsia" w:ascii="宋体" w:hAnsi="宋体" w:cs="宋体"/>
                <w:sz w:val="24"/>
              </w:rPr>
              <w:t>08</w:t>
            </w:r>
          </w:p>
        </w:tc>
        <w:tc>
          <w:tcPr>
            <w:tcW w:w="808" w:type="pct"/>
            <w:vAlign w:val="center"/>
          </w:tcPr>
          <w:p w14:paraId="5B114358">
            <w:pPr>
              <w:widowControl/>
              <w:jc w:val="center"/>
              <w:textAlignment w:val="center"/>
              <w:rPr>
                <w:rFonts w:hint="eastAsia" w:ascii="宋体" w:hAnsi="宋体" w:cs="宋体"/>
                <w:sz w:val="24"/>
              </w:rPr>
            </w:pPr>
            <w:r>
              <w:rPr>
                <w:rFonts w:hint="eastAsia" w:ascii="宋体" w:hAnsi="宋体" w:cs="宋体"/>
                <w:kern w:val="0"/>
                <w:sz w:val="24"/>
                <w:lang w:bidi="ar"/>
              </w:rPr>
              <w:t>流式分选仪</w:t>
            </w:r>
          </w:p>
        </w:tc>
        <w:tc>
          <w:tcPr>
            <w:tcW w:w="840" w:type="pct"/>
            <w:vAlign w:val="center"/>
          </w:tcPr>
          <w:p w14:paraId="2BB4E23D">
            <w:pPr>
              <w:widowControl/>
              <w:jc w:val="center"/>
              <w:textAlignment w:val="center"/>
              <w:rPr>
                <w:rFonts w:hint="eastAsia" w:ascii="宋体" w:hAnsi="宋体" w:cs="宋体"/>
                <w:sz w:val="24"/>
              </w:rPr>
            </w:pPr>
            <w:r>
              <w:rPr>
                <w:rFonts w:hint="eastAsia" w:ascii="宋体" w:hAnsi="宋体" w:cs="宋体"/>
                <w:kern w:val="0"/>
                <w:sz w:val="24"/>
                <w:lang w:bidi="ar"/>
              </w:rPr>
              <w:t>流式分选仪</w:t>
            </w:r>
          </w:p>
        </w:tc>
        <w:tc>
          <w:tcPr>
            <w:tcW w:w="927" w:type="pct"/>
            <w:vAlign w:val="center"/>
          </w:tcPr>
          <w:p w14:paraId="3A536B72">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430</w:t>
            </w:r>
          </w:p>
        </w:tc>
        <w:tc>
          <w:tcPr>
            <w:tcW w:w="866" w:type="pct"/>
            <w:vAlign w:val="center"/>
          </w:tcPr>
          <w:p w14:paraId="2037C95B">
            <w:pPr>
              <w:widowControl/>
              <w:jc w:val="center"/>
              <w:textAlignment w:val="center"/>
              <w:rPr>
                <w:rFonts w:hint="eastAsia" w:ascii="宋体" w:hAnsi="宋体" w:cs="宋体"/>
                <w:sz w:val="24"/>
              </w:rPr>
            </w:pPr>
            <w:r>
              <w:rPr>
                <w:rFonts w:hint="eastAsia" w:ascii="宋体" w:hAnsi="宋体" w:cs="宋体"/>
                <w:kern w:val="0"/>
                <w:sz w:val="24"/>
                <w:lang w:bidi="ar"/>
              </w:rPr>
              <w:t>430</w:t>
            </w:r>
          </w:p>
        </w:tc>
        <w:tc>
          <w:tcPr>
            <w:tcW w:w="363" w:type="pct"/>
            <w:vAlign w:val="center"/>
          </w:tcPr>
          <w:p w14:paraId="30CD829C">
            <w:pPr>
              <w:widowControl/>
              <w:jc w:val="center"/>
              <w:textAlignment w:val="center"/>
              <w:rPr>
                <w:rFonts w:hint="eastAsia" w:ascii="宋体" w:hAnsi="宋体" w:cs="宋体"/>
                <w:sz w:val="24"/>
              </w:rPr>
            </w:pPr>
            <w:r>
              <w:rPr>
                <w:rFonts w:hint="eastAsia" w:ascii="宋体" w:hAnsi="宋体" w:cs="宋体"/>
                <w:kern w:val="0"/>
                <w:sz w:val="24"/>
                <w:lang w:bidi="ar"/>
              </w:rPr>
              <w:t>1</w:t>
            </w:r>
          </w:p>
        </w:tc>
        <w:tc>
          <w:tcPr>
            <w:tcW w:w="777" w:type="pct"/>
            <w:vAlign w:val="center"/>
          </w:tcPr>
          <w:p w14:paraId="633D9301">
            <w:pPr>
              <w:jc w:val="center"/>
              <w:rPr>
                <w:rFonts w:hint="eastAsia" w:ascii="宋体" w:hAnsi="宋体" w:cs="宋体"/>
                <w:sz w:val="24"/>
              </w:rPr>
            </w:pPr>
            <w:r>
              <w:rPr>
                <w:rFonts w:hint="eastAsia" w:ascii="宋体" w:hAnsi="宋体" w:cs="宋体"/>
                <w:sz w:val="24"/>
              </w:rPr>
              <w:t>单一产品采购包</w:t>
            </w:r>
          </w:p>
        </w:tc>
      </w:tr>
    </w:tbl>
    <w:p w14:paraId="08DE2447">
      <w:pPr>
        <w:pStyle w:val="11"/>
        <w:spacing w:line="360" w:lineRule="auto"/>
        <w:ind w:firstLine="0" w:firstLineChars="0"/>
        <w:contextualSpacing/>
        <w:jc w:val="left"/>
        <w:rPr>
          <w:rFonts w:hint="eastAsia" w:asciiTheme="minorEastAsia" w:hAnsiTheme="minorEastAsia" w:eastAsiaTheme="minorEastAsia"/>
          <w:b/>
          <w:sz w:val="24"/>
          <w:szCs w:val="24"/>
        </w:rPr>
      </w:pPr>
      <w:r>
        <w:rPr>
          <w:rFonts w:asciiTheme="minorEastAsia" w:hAnsiTheme="minorEastAsia" w:eastAsiaTheme="minorEastAsia"/>
          <w:b/>
          <w:sz w:val="24"/>
          <w:szCs w:val="24"/>
        </w:rPr>
        <w:t>二、商务要求</w:t>
      </w:r>
    </w:p>
    <w:p w14:paraId="4D225A8F">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1.交货时间及地点：</w:t>
      </w:r>
    </w:p>
    <w:p w14:paraId="39F90494">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1.1交货时间：</w:t>
      </w:r>
      <w:r>
        <w:rPr>
          <w:rFonts w:hint="eastAsia" w:ascii="宋体" w:hAnsi="宋体"/>
          <w:sz w:val="24"/>
        </w:rPr>
        <w:t>合同签订后3个月内完成交货</w:t>
      </w:r>
      <w:r>
        <w:rPr>
          <w:rFonts w:hint="eastAsia" w:asciiTheme="minorEastAsia" w:hAnsiTheme="minorEastAsia" w:eastAsiaTheme="minorEastAsia"/>
          <w:bCs/>
          <w:sz w:val="24"/>
        </w:rPr>
        <w:t>。</w:t>
      </w:r>
    </w:p>
    <w:p w14:paraId="2131796F">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1.2交货地点：采购人指定地点</w:t>
      </w:r>
    </w:p>
    <w:p w14:paraId="020C5EBC">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2.付款条件（进度和方式）：详见第六章《拟签订的合同文本》。</w:t>
      </w:r>
    </w:p>
    <w:p w14:paraId="2F9B09BF">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3.包装和运输（如适用）：须满足《关于印发〈商品包装政府采购需求标准（试行）〉、〈快递包装政府采购需求标准（试行）〉的通知》（财办库﹝2020﹞123 号）</w:t>
      </w:r>
    </w:p>
    <w:p w14:paraId="69D1A7BF">
      <w:pPr>
        <w:pStyle w:val="11"/>
        <w:spacing w:line="360" w:lineRule="auto"/>
        <w:ind w:firstLine="0" w:firstLineChars="0"/>
        <w:contextualSpacing/>
        <w:jc w:val="left"/>
        <w:rPr>
          <w:rFonts w:hint="eastAsia" w:asciiTheme="minorEastAsia" w:hAnsiTheme="minorEastAsia" w:eastAsiaTheme="minorEastAsia"/>
          <w:b/>
          <w:sz w:val="24"/>
          <w:szCs w:val="24"/>
        </w:rPr>
      </w:pPr>
      <w:r>
        <w:rPr>
          <w:rFonts w:hint="eastAsia" w:asciiTheme="minorEastAsia" w:hAnsiTheme="minorEastAsia" w:eastAsiaTheme="minorEastAsia"/>
          <w:bCs/>
          <w:sz w:val="24"/>
        </w:rPr>
        <w:t>三、</w:t>
      </w:r>
      <w:r>
        <w:rPr>
          <w:rFonts w:asciiTheme="minorEastAsia" w:hAnsiTheme="minorEastAsia" w:eastAsiaTheme="minorEastAsia"/>
          <w:b/>
          <w:sz w:val="24"/>
          <w:szCs w:val="24"/>
        </w:rPr>
        <w:t>技术要求</w:t>
      </w:r>
    </w:p>
    <w:p w14:paraId="2B1D468B">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（一）基本要求</w:t>
      </w:r>
    </w:p>
    <w:p w14:paraId="1D281B83">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1.采购标的需实现的功能或者目标</w:t>
      </w:r>
    </w:p>
    <w:p w14:paraId="26B44257">
      <w:pPr>
        <w:pStyle w:val="4"/>
        <w:spacing w:line="360" w:lineRule="auto"/>
        <w:ind w:firstLine="480" w:firstLineChars="200"/>
        <w:rPr>
          <w:rFonts w:hint="eastAsia" w:asciiTheme="minorEastAsia" w:hAnsiTheme="minorEastAsia" w:eastAsiaTheme="minorEastAsia"/>
          <w:bCs/>
        </w:rPr>
      </w:pPr>
      <w:r>
        <w:rPr>
          <w:rFonts w:hint="eastAsia" w:hAnsi="宋体" w:cs="宋体"/>
        </w:rPr>
        <w:t>本次招标是“北京中医药大学东方医院国家中医药传承创新中心建设项目”，投标人应根据招标文件要求，以优良的服务和优惠的价格，充分显示自己的竞争实力。</w:t>
      </w:r>
    </w:p>
    <w:p w14:paraId="6C61BD99">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2.需执行的国家相关标准、行业标准、地方标准或者其他标准、规范</w:t>
      </w:r>
    </w:p>
    <w:p w14:paraId="7CB3870C">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2.1投标产品及制造商应符合国家有关部门规定的相应技术法规及标准，如国家有关部门对投标产品或其制造商有强制性规定或要求的，投标产品或其制造商必须符合相应规定或要求。</w:t>
      </w:r>
    </w:p>
    <w:p w14:paraId="0E50C9EE">
      <w:pPr>
        <w:pStyle w:val="11"/>
        <w:spacing w:line="360" w:lineRule="auto"/>
        <w:ind w:firstLine="480"/>
        <w:contextualSpacing/>
        <w:jc w:val="left"/>
        <w:rPr>
          <w:rFonts w:hint="eastAsia" w:asciiTheme="minorEastAsia" w:hAnsiTheme="minorEastAsia" w:eastAsiaTheme="minorEastAsia"/>
          <w:bCs/>
          <w:sz w:val="24"/>
        </w:rPr>
      </w:pPr>
      <w:r>
        <w:rPr>
          <w:rFonts w:hint="eastAsia" w:asciiTheme="minorEastAsia" w:hAnsiTheme="minorEastAsia" w:eastAsiaTheme="minorEastAsia"/>
          <w:bCs/>
          <w:sz w:val="24"/>
        </w:rPr>
        <w:t>（二）具体要求</w:t>
      </w:r>
    </w:p>
    <w:p w14:paraId="6003E30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检测性能</w:t>
      </w:r>
    </w:p>
    <w:p w14:paraId="1028830B">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1.1荧光检测敏感度：FITC≤85MESF，PE≤29MESF。【</w:t>
      </w:r>
      <w:r>
        <w:rPr>
          <w:rFonts w:hint="eastAsia" w:ascii="Times New Roman" w:hAnsi="Times New Roman" w:eastAsia="宋体" w:cs="Times New Roman"/>
          <w:bCs/>
          <w:sz w:val="24"/>
          <w:highlight w:val="none"/>
        </w:rPr>
        <w:t>提供</w:t>
      </w:r>
      <w:r>
        <w:rPr>
          <w:rFonts w:hint="eastAsia" w:ascii="Times New Roman" w:hAnsi="Times New Roman" w:eastAsia="宋体" w:cs="Times New Roman"/>
          <w:sz w:val="24"/>
          <w:lang w:val="en-US" w:eastAsia="zh-CN"/>
        </w:rPr>
        <w:t>第三方检测机构或</w:t>
      </w:r>
      <w:r>
        <w:rPr>
          <w:rFonts w:hint="eastAsia" w:ascii="Times New Roman" w:hAnsi="Times New Roman" w:eastAsia="宋体" w:cs="Times New Roman"/>
          <w:bCs/>
          <w:sz w:val="24"/>
        </w:rPr>
        <w:t>计量技术机构出具的</w:t>
      </w:r>
      <w:r>
        <w:rPr>
          <w:rFonts w:hint="eastAsia" w:ascii="Times New Roman" w:hAnsi="Times New Roman" w:eastAsia="宋体" w:cs="Times New Roman"/>
          <w:bCs/>
          <w:sz w:val="24"/>
          <w:highlight w:val="none"/>
        </w:rPr>
        <w:t>测试报告</w:t>
      </w:r>
      <w:r>
        <w:rPr>
          <w:rFonts w:hint="eastAsia" w:ascii="宋体" w:hAnsi="宋体" w:eastAsia="宋体" w:cs="Times New Roman"/>
          <w:sz w:val="24"/>
          <w:highlight w:val="none"/>
        </w:rPr>
        <w:t>作为证明材料</w:t>
      </w:r>
      <w:r>
        <w:rPr>
          <w:rFonts w:hint="eastAsia" w:ascii="Times New Roman" w:hAnsi="Times New Roman" w:eastAsia="宋体" w:cs="Times New Roman"/>
          <w:bCs/>
          <w:sz w:val="24"/>
          <w:highlight w:val="none"/>
        </w:rPr>
        <w:t>，并加盖制造商公章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宋体"/>
          <w:sz w:val="24"/>
          <w:highlight w:val="none"/>
        </w:rPr>
        <w:t>】</w:t>
      </w:r>
    </w:p>
    <w:p w14:paraId="7D380320">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1.2荧光通道的全峰宽CV值应≤3%。</w:t>
      </w:r>
    </w:p>
    <w:p w14:paraId="68DCE36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1.3分析速度：≥100,000细胞/秒。</w:t>
      </w:r>
    </w:p>
    <w:p w14:paraId="7D0DAFB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 xml:space="preserve">分选性能 </w:t>
      </w:r>
    </w:p>
    <w:p w14:paraId="111B5853">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2.1分选速度：≥70,000细胞/秒。【</w:t>
      </w:r>
      <w:r>
        <w:rPr>
          <w:rFonts w:hint="eastAsia" w:ascii="Times New Roman" w:hAnsi="Times New Roman" w:eastAsia="宋体" w:cs="Times New Roman"/>
          <w:bCs/>
          <w:sz w:val="24"/>
          <w:highlight w:val="none"/>
        </w:rPr>
        <w:t>提供</w:t>
      </w:r>
      <w:r>
        <w:rPr>
          <w:rFonts w:hint="eastAsia" w:ascii="宋体" w:hAnsi="宋体" w:eastAsia="宋体" w:cs="Times New Roman"/>
          <w:sz w:val="24"/>
          <w:highlight w:val="none"/>
          <w:lang w:val="en-US" w:eastAsia="zh-CN"/>
        </w:rPr>
        <w:t>≥5张软件</w:t>
      </w:r>
      <w:r>
        <w:rPr>
          <w:rFonts w:hint="eastAsia" w:ascii="宋体" w:hAnsi="宋体" w:eastAsia="宋体" w:cs="Times New Roman"/>
          <w:sz w:val="24"/>
          <w:highlight w:val="none"/>
        </w:rPr>
        <w:t>截图作为证明材料并加盖制造商公章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，且提供仪器操作视频</w:t>
      </w:r>
      <w:r>
        <w:rPr>
          <w:rFonts w:hint="eastAsia" w:ascii="宋体" w:hAnsi="宋体" w:eastAsia="宋体" w:cs="宋体"/>
          <w:sz w:val="24"/>
          <w:highlight w:val="none"/>
        </w:rPr>
        <w:t>】</w:t>
      </w:r>
    </w:p>
    <w:p w14:paraId="61183567">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2.2检测点要位于喷嘴上方，配置70μm，85μm、100μm、130μm等≥4种不同规格喷嘴，固定位置，可拆卸和反复使用,可超声和高压清洗,开机和更换喷嘴无需调节光路和液流。【</w:t>
      </w:r>
      <w:r>
        <w:rPr>
          <w:rFonts w:hint="eastAsia" w:ascii="宋体" w:hAnsi="宋体" w:eastAsia="宋体" w:cs="Times New Roman"/>
          <w:sz w:val="24"/>
          <w:highlight w:val="none"/>
        </w:rPr>
        <w:t>提供</w:t>
      </w:r>
      <w:r>
        <w:rPr>
          <w:rFonts w:hint="eastAsia" w:ascii="宋体" w:hAnsi="宋体" w:eastAsia="宋体" w:cs="Times New Roman"/>
          <w:sz w:val="24"/>
          <w:highlight w:val="none"/>
          <w:lang w:val="en-US" w:eastAsia="zh-CN"/>
        </w:rPr>
        <w:t>≥5张产品实物图片</w:t>
      </w:r>
      <w:r>
        <w:rPr>
          <w:rFonts w:hint="eastAsia" w:ascii="宋体" w:hAnsi="宋体" w:eastAsia="宋体" w:cs="Times New Roman"/>
          <w:sz w:val="24"/>
          <w:highlight w:val="none"/>
        </w:rPr>
        <w:t>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，且提供仪器操作视频</w:t>
      </w:r>
      <w:r>
        <w:rPr>
          <w:rFonts w:hint="eastAsia" w:ascii="宋体" w:hAnsi="宋体" w:eastAsia="宋体" w:cs="宋体"/>
          <w:sz w:val="24"/>
          <w:highlight w:val="none"/>
        </w:rPr>
        <w:t>】</w:t>
      </w:r>
    </w:p>
    <w:p w14:paraId="78C594AB">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2.3液滴时间延迟：需要具备660nm激光系统自动实时设定液滴时间延迟，全自动液滴监测和时间延迟控制，确保准确分选细胞，自动优化液滴形成，并可全自动进行验证。【</w:t>
      </w:r>
      <w:r>
        <w:rPr>
          <w:rFonts w:hint="eastAsia" w:ascii="宋体" w:hAnsi="宋体" w:eastAsia="宋体" w:cs="Times New Roman"/>
          <w:sz w:val="24"/>
          <w:highlight w:val="none"/>
        </w:rPr>
        <w:t>提供</w:t>
      </w:r>
      <w:r>
        <w:rPr>
          <w:rFonts w:hint="eastAsia" w:ascii="宋体" w:hAnsi="宋体" w:eastAsia="宋体" w:cs="Times New Roman"/>
          <w:sz w:val="24"/>
          <w:highlight w:val="none"/>
          <w:lang w:val="en-US" w:eastAsia="zh-CN"/>
        </w:rPr>
        <w:t>≥5张软件</w:t>
      </w:r>
      <w:r>
        <w:rPr>
          <w:rFonts w:hint="eastAsia" w:ascii="宋体" w:hAnsi="宋体" w:eastAsia="宋体" w:cs="Times New Roman"/>
          <w:sz w:val="24"/>
          <w:highlight w:val="none"/>
        </w:rPr>
        <w:t>截图作为证明材料并加盖制造商公章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，且提供仪器操作视频</w:t>
      </w:r>
      <w:r>
        <w:rPr>
          <w:rFonts w:hint="eastAsia" w:ascii="宋体" w:hAnsi="宋体" w:eastAsia="宋体" w:cs="宋体"/>
          <w:sz w:val="24"/>
          <w:highlight w:val="none"/>
        </w:rPr>
        <w:t>】</w:t>
      </w:r>
    </w:p>
    <w:p w14:paraId="4EE565A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2.4液流自动监控：可对液流断点进行自动监测，并自动调控，同时可以自动监测细胞堵塞，遇细胞堵塞时报警并自动终止分选。</w:t>
      </w:r>
    </w:p>
    <w:p w14:paraId="517A539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2.5分选细胞活性：在不同鞘液压力下分选细胞，细胞在分选数天后保持稳定存活和增殖，极少引起细胞的突变和死亡。</w:t>
      </w:r>
    </w:p>
    <w:p w14:paraId="5CE4EAF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2.6分选纯度≥98%，得率≥80%。</w:t>
      </w:r>
    </w:p>
    <w:p w14:paraId="551616C3">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2.7分选液滴分辨率：1/32,分选液滴可实现≥32等分的分辨。【</w:t>
      </w:r>
      <w:r>
        <w:rPr>
          <w:rFonts w:hint="eastAsia" w:ascii="宋体" w:hAnsi="宋体" w:eastAsia="宋体" w:cs="Times New Roman"/>
          <w:sz w:val="24"/>
          <w:highlight w:val="none"/>
        </w:rPr>
        <w:t>提供</w:t>
      </w:r>
      <w:r>
        <w:rPr>
          <w:rFonts w:hint="eastAsia" w:ascii="宋体" w:hAnsi="宋体" w:eastAsia="宋体" w:cs="Times New Roman"/>
          <w:sz w:val="24"/>
          <w:highlight w:val="none"/>
          <w:lang w:val="en-US" w:eastAsia="zh-CN"/>
        </w:rPr>
        <w:t>软件</w:t>
      </w:r>
      <w:r>
        <w:rPr>
          <w:rFonts w:hint="eastAsia" w:ascii="宋体" w:hAnsi="宋体" w:eastAsia="宋体" w:cs="Times New Roman"/>
          <w:sz w:val="24"/>
          <w:highlight w:val="none"/>
        </w:rPr>
        <w:t>截图作为证明材料并加盖制造商公章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，且提供仪器操作视频</w:t>
      </w:r>
      <w:r>
        <w:rPr>
          <w:rFonts w:hint="eastAsia" w:ascii="宋体" w:hAnsi="宋体" w:eastAsia="宋体" w:cs="宋体"/>
          <w:sz w:val="24"/>
          <w:highlight w:val="none"/>
        </w:rPr>
        <w:t>】</w:t>
      </w:r>
    </w:p>
    <w:p w14:paraId="4B74104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光路系统</w:t>
      </w:r>
    </w:p>
    <w:p w14:paraId="3EA25588">
      <w:pPr>
        <w:widowControl/>
        <w:spacing w:line="360" w:lineRule="auto"/>
        <w:ind w:firstLine="482" w:firstLineChars="200"/>
        <w:jc w:val="left"/>
        <w:rPr>
          <w:rFonts w:hint="eastAsia" w:ascii="宋体" w:hAnsi="宋体" w:eastAsia="宋体" w:cs="宋体"/>
          <w:color w:val="000000"/>
          <w:kern w:val="0"/>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3.1激光规格：</w:t>
      </w:r>
      <w:r>
        <w:rPr>
          <w:rFonts w:hint="eastAsia" w:ascii="宋体" w:hAnsi="宋体" w:eastAsia="宋体" w:cs="宋体"/>
          <w:color w:val="000000"/>
          <w:kern w:val="0"/>
          <w:sz w:val="24"/>
          <w:highlight w:val="none"/>
        </w:rPr>
        <w:t>488nm蓝色激光器，</w:t>
      </w:r>
      <w:r>
        <w:rPr>
          <w:rFonts w:hint="eastAsia" w:ascii="宋体" w:hAnsi="宋体" w:eastAsia="宋体" w:cs="宋体"/>
          <w:kern w:val="0"/>
          <w:sz w:val="24"/>
          <w:highlight w:val="none"/>
        </w:rPr>
        <w:t>635</w:t>
      </w:r>
      <w:r>
        <w:rPr>
          <w:rFonts w:hint="eastAsia" w:ascii="宋体" w:hAnsi="宋体" w:eastAsia="宋体" w:cs="宋体"/>
          <w:color w:val="000000"/>
          <w:kern w:val="0"/>
          <w:sz w:val="24"/>
          <w:highlight w:val="none"/>
        </w:rPr>
        <w:t>±5</w:t>
      </w:r>
      <w:r>
        <w:rPr>
          <w:rFonts w:hint="eastAsia" w:ascii="宋体" w:hAnsi="宋体" w:eastAsia="宋体" w:cs="宋体"/>
          <w:kern w:val="0"/>
          <w:sz w:val="24"/>
          <w:highlight w:val="none"/>
        </w:rPr>
        <w:t>nm</w:t>
      </w:r>
      <w:r>
        <w:rPr>
          <w:rFonts w:hint="eastAsia" w:ascii="宋体" w:hAnsi="宋体" w:eastAsia="宋体" w:cs="宋体"/>
          <w:color w:val="000000"/>
          <w:kern w:val="0"/>
          <w:sz w:val="24"/>
          <w:highlight w:val="none"/>
        </w:rPr>
        <w:t>红色激光器，405nm紫色激光器，355nm紫外激光器，</w:t>
      </w:r>
      <w:r>
        <w:rPr>
          <w:rFonts w:hint="eastAsia" w:ascii="宋体" w:hAnsi="宋体" w:eastAsia="宋体" w:cs="宋体"/>
          <w:sz w:val="24"/>
          <w:highlight w:val="none"/>
        </w:rPr>
        <w:t>561</w:t>
      </w:r>
      <w:r>
        <w:rPr>
          <w:rFonts w:hint="eastAsia" w:ascii="宋体" w:hAnsi="宋体" w:eastAsia="宋体" w:cs="宋体"/>
          <w:color w:val="000000"/>
          <w:kern w:val="0"/>
          <w:sz w:val="24"/>
          <w:highlight w:val="none"/>
        </w:rPr>
        <w:t>nm黄绿色激光器，5激光平台。</w:t>
      </w:r>
      <w:r>
        <w:rPr>
          <w:rFonts w:hint="eastAsia" w:ascii="宋体" w:hAnsi="宋体" w:eastAsia="宋体" w:cs="宋体"/>
          <w:sz w:val="24"/>
          <w:highlight w:val="none"/>
        </w:rPr>
        <w:t>各激光荧光通道数量：405nm≥6通道、488nm≥2通道、635±5nm≥3通道、561nm≥5通道、355nm≥2通道，以及前向角检测器、侧向角检测器，</w:t>
      </w:r>
      <w:r>
        <w:rPr>
          <w:rFonts w:hint="eastAsia" w:ascii="宋体" w:hAnsi="宋体" w:eastAsia="宋体" w:cs="宋体"/>
          <w:color w:val="auto"/>
          <w:kern w:val="2"/>
          <w:sz w:val="24"/>
          <w:highlight w:val="none"/>
        </w:rPr>
        <w:t>具备</w:t>
      </w:r>
      <w:r>
        <w:rPr>
          <w:rFonts w:hint="eastAsia"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rPr>
        <w:t>18色</w:t>
      </w:r>
      <w:r>
        <w:rPr>
          <w:rFonts w:hint="eastAsia" w:ascii="宋体" w:hAnsi="宋体" w:eastAsia="宋体" w:cs="宋体"/>
          <w:color w:val="auto"/>
          <w:kern w:val="2"/>
          <w:sz w:val="24"/>
          <w:highlight w:val="none"/>
          <w:lang w:val="en-US" w:eastAsia="zh-CN"/>
        </w:rPr>
        <w:t>≥</w:t>
      </w:r>
      <w:r>
        <w:rPr>
          <w:rFonts w:hint="eastAsia" w:ascii="宋体" w:hAnsi="宋体" w:eastAsia="宋体" w:cs="宋体"/>
          <w:color w:val="auto"/>
          <w:kern w:val="2"/>
          <w:sz w:val="24"/>
          <w:highlight w:val="none"/>
        </w:rPr>
        <w:t>20参数检测。</w:t>
      </w:r>
    </w:p>
    <w:p w14:paraId="74B80A0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3.2检测方式：满足分选液流稳定、保证分选准确性和细胞活性。开机及更换喷嘴无需调节光路和液流，具备根据样品全自动调节各项参数功能，具备智能化分选功能。</w:t>
      </w:r>
    </w:p>
    <w:p w14:paraId="5365EDFC">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3.3具备石英杯流动池：</w:t>
      </w:r>
      <w:r>
        <w:rPr>
          <w:rFonts w:hint="eastAsia" w:ascii="宋体" w:hAnsi="宋体" w:eastAsia="宋体" w:cs="宋体"/>
          <w:color w:val="000000"/>
          <w:kern w:val="0"/>
          <w:sz w:val="24"/>
          <w:highlight w:val="none"/>
        </w:rPr>
        <w:t>具备≥4个独立的pinhole</w:t>
      </w:r>
      <w:r>
        <w:rPr>
          <w:rFonts w:hint="eastAsia" w:ascii="宋体" w:hAnsi="宋体" w:eastAsia="宋体" w:cs="宋体"/>
          <w:sz w:val="24"/>
          <w:highlight w:val="none"/>
        </w:rPr>
        <w:t>；数值孔径：≥1.2。</w:t>
      </w:r>
    </w:p>
    <w:p w14:paraId="0867B9FC">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3.4激光传导：光纤传导，非其他传导方式。【</w:t>
      </w:r>
      <w:r>
        <w:rPr>
          <w:rFonts w:hint="eastAsia" w:ascii="宋体" w:hAnsi="宋体" w:eastAsia="宋体" w:cs="Times New Roman"/>
          <w:sz w:val="24"/>
          <w:highlight w:val="none"/>
        </w:rPr>
        <w:t>提供</w:t>
      </w:r>
      <w:r>
        <w:rPr>
          <w:rFonts w:hint="eastAsia" w:ascii="宋体" w:hAnsi="宋体" w:eastAsia="宋体" w:cs="Times New Roman"/>
          <w:sz w:val="24"/>
          <w:highlight w:val="none"/>
          <w:lang w:val="en-US" w:eastAsia="zh-CN"/>
        </w:rPr>
        <w:t>≥5张产品实物</w:t>
      </w:r>
      <w:r>
        <w:rPr>
          <w:rFonts w:hint="eastAsia" w:ascii="宋体" w:hAnsi="宋体" w:eastAsia="宋体" w:cs="Times New Roman"/>
          <w:sz w:val="24"/>
          <w:highlight w:val="none"/>
        </w:rPr>
        <w:t>图片作为证明材料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宋体"/>
          <w:sz w:val="24"/>
          <w:highlight w:val="none"/>
        </w:rPr>
        <w:t>】</w:t>
      </w:r>
    </w:p>
    <w:p w14:paraId="30FAB25B">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3.5稳定性：利用微球，检测荧光通道的平均荧光强度，在规定的荧光通道数的条件下，八小时后的重复检测，前后检测值的波动范围应≤10%。【</w:t>
      </w:r>
      <w:r>
        <w:rPr>
          <w:rFonts w:hint="eastAsia" w:ascii="宋体" w:hAnsi="宋体" w:eastAsia="宋体" w:cs="宋体"/>
          <w:sz w:val="24"/>
          <w:highlight w:val="none"/>
          <w:lang w:val="en-US" w:eastAsia="zh-CN"/>
        </w:rPr>
        <w:t>提供</w:t>
      </w:r>
      <w:r>
        <w:rPr>
          <w:rFonts w:hint="eastAsia" w:ascii="Times New Roman" w:hAnsi="Times New Roman" w:eastAsia="宋体" w:cs="Times New Roman"/>
          <w:sz w:val="24"/>
          <w:lang w:val="en-US" w:eastAsia="zh-CN"/>
        </w:rPr>
        <w:t>第三方检测机构或</w:t>
      </w:r>
      <w:r>
        <w:rPr>
          <w:rFonts w:hint="eastAsia" w:ascii="Times New Roman" w:hAnsi="Times New Roman" w:eastAsia="宋体" w:cs="Times New Roman"/>
          <w:bCs/>
          <w:sz w:val="24"/>
          <w:highlight w:val="none"/>
        </w:rPr>
        <w:t>计量技术机构出具的测试报告</w:t>
      </w:r>
      <w:r>
        <w:rPr>
          <w:rFonts w:hint="eastAsia" w:ascii="宋体" w:hAnsi="宋体" w:eastAsia="宋体" w:cs="Times New Roman"/>
          <w:sz w:val="24"/>
          <w:highlight w:val="none"/>
        </w:rPr>
        <w:t>作为证明材料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宋体"/>
          <w:sz w:val="24"/>
          <w:highlight w:val="none"/>
        </w:rPr>
        <w:t>】</w:t>
      </w:r>
    </w:p>
    <w:p w14:paraId="1C992D4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信号处理</w:t>
      </w:r>
    </w:p>
    <w:p w14:paraId="3B6A6C3C">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4.1荧光传导具备全光纤化全反射光路，三角形和八角形荧光信号接收器。【</w:t>
      </w:r>
      <w:r>
        <w:rPr>
          <w:rFonts w:hint="eastAsia" w:ascii="宋体" w:hAnsi="宋体" w:eastAsia="宋体" w:cs="Times New Roman"/>
          <w:sz w:val="24"/>
          <w:highlight w:val="none"/>
        </w:rPr>
        <w:t>提供≥5张</w:t>
      </w:r>
      <w:r>
        <w:rPr>
          <w:rFonts w:hint="eastAsia" w:ascii="宋体" w:hAnsi="宋体" w:eastAsia="宋体" w:cs="Times New Roman"/>
          <w:sz w:val="24"/>
          <w:highlight w:val="none"/>
          <w:lang w:val="en-US" w:eastAsia="zh-CN"/>
        </w:rPr>
        <w:t>产品实物</w:t>
      </w:r>
      <w:r>
        <w:rPr>
          <w:rFonts w:hint="eastAsia" w:ascii="宋体" w:hAnsi="宋体" w:eastAsia="宋体" w:cs="Times New Roman"/>
          <w:sz w:val="24"/>
          <w:highlight w:val="none"/>
        </w:rPr>
        <w:t>图片作为证明材料并加盖制造商公章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w:t>
      </w:r>
      <w:r>
        <w:rPr>
          <w:rFonts w:hint="eastAsia" w:ascii="宋体" w:hAnsi="宋体" w:eastAsia="宋体" w:cs="Times New Roman"/>
          <w:sz w:val="24"/>
          <w:highlight w:val="none"/>
          <w:lang w:val="en-US" w:eastAsia="zh-CN"/>
        </w:rPr>
        <w:t>操作</w:t>
      </w:r>
      <w:r>
        <w:rPr>
          <w:rFonts w:hint="eastAsia" w:ascii="宋体" w:hAnsi="宋体" w:eastAsia="宋体" w:cs="Times New Roman"/>
          <w:sz w:val="24"/>
          <w:highlight w:val="none"/>
        </w:rPr>
        <w:t>视频</w:t>
      </w:r>
      <w:r>
        <w:rPr>
          <w:rFonts w:hint="eastAsia" w:ascii="宋体" w:hAnsi="宋体" w:eastAsia="宋体" w:cs="宋体"/>
          <w:sz w:val="24"/>
          <w:highlight w:val="none"/>
        </w:rPr>
        <w:t>】</w:t>
      </w:r>
    </w:p>
    <w:p w14:paraId="7B774F53">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4.2信号捕捉模式：全数字化信号；电子死时间：0。</w:t>
      </w:r>
    </w:p>
    <w:p w14:paraId="2B2B1CEA">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4.3数据分辨率：数据分辨率和信号精度，全数字化信号处理模式。</w:t>
      </w:r>
    </w:p>
    <w:p w14:paraId="3000F6EE">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4.4检测器类型为PMT检测器。</w:t>
      </w:r>
    </w:p>
    <w:p w14:paraId="300DCB9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4.5荧光补偿：任意激光间的荧光间补偿，不受限制。既可以实时补偿，也可以获取后脱机补偿，还可以软件自动补偿。</w:t>
      </w:r>
    </w:p>
    <w:p w14:paraId="417821C1">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4.6信号脉冲处理：任意参数的脉冲信号高度、面积、宽度检测，可以做比率检测；时间参数：可与任意参数结合,做动态检测；阈值：可以任意激光任意参数取阈值；可以设多阈值，逻辑阈值；开机可调整电压和激光参数，检测中可任意调取之前所设参数。</w:t>
      </w:r>
    </w:p>
    <w:p w14:paraId="38B3D1A4">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4.7荧光检测顺序从强度小的长波长信号开始收集，依次到强度强的短波长信号，确保最佳荧光收集效率。【</w:t>
      </w:r>
      <w:r>
        <w:rPr>
          <w:rFonts w:hint="eastAsia" w:ascii="宋体" w:hAnsi="宋体" w:eastAsia="宋体" w:cs="Times New Roman"/>
          <w:sz w:val="24"/>
          <w:highlight w:val="none"/>
        </w:rPr>
        <w:t>提供≥5张</w:t>
      </w:r>
      <w:r>
        <w:rPr>
          <w:rFonts w:hint="eastAsia" w:ascii="宋体" w:hAnsi="宋体" w:eastAsia="宋体" w:cs="Times New Roman"/>
          <w:sz w:val="24"/>
          <w:highlight w:val="none"/>
          <w:lang w:val="en-US" w:eastAsia="zh-CN"/>
        </w:rPr>
        <w:t>产品实物</w:t>
      </w:r>
      <w:r>
        <w:rPr>
          <w:rFonts w:hint="eastAsia" w:ascii="宋体" w:hAnsi="宋体" w:eastAsia="宋体" w:cs="Times New Roman"/>
          <w:sz w:val="24"/>
          <w:highlight w:val="none"/>
        </w:rPr>
        <w:t>图片作为证明材料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宋体"/>
          <w:sz w:val="24"/>
          <w:highlight w:val="none"/>
        </w:rPr>
        <w:t>】</w:t>
      </w:r>
    </w:p>
    <w:p w14:paraId="657E42F6">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4.8报告仪器性能基线，仪器性能追踪（≥20项质控图），自动调整电压、激光参数。【</w:t>
      </w:r>
      <w:r>
        <w:rPr>
          <w:rFonts w:hint="eastAsia" w:ascii="宋体" w:hAnsi="宋体" w:eastAsia="宋体" w:cs="Times New Roman"/>
          <w:sz w:val="24"/>
          <w:highlight w:val="none"/>
        </w:rPr>
        <w:t>提供≥5张</w:t>
      </w:r>
      <w:r>
        <w:rPr>
          <w:rFonts w:hint="eastAsia" w:ascii="宋体" w:hAnsi="宋体" w:eastAsia="宋体" w:cs="Times New Roman"/>
          <w:sz w:val="24"/>
          <w:highlight w:val="none"/>
          <w:lang w:val="en-US" w:eastAsia="zh-CN"/>
        </w:rPr>
        <w:t>软件</w:t>
      </w:r>
      <w:r>
        <w:rPr>
          <w:rFonts w:hint="eastAsia" w:ascii="宋体" w:hAnsi="宋体" w:eastAsia="宋体" w:cs="Times New Roman"/>
          <w:sz w:val="24"/>
          <w:highlight w:val="none"/>
        </w:rPr>
        <w:t>截图作为证明材料并加盖制造商公章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，且提供仪器操作视频</w:t>
      </w:r>
      <w:r>
        <w:rPr>
          <w:rFonts w:hint="eastAsia" w:ascii="宋体" w:hAnsi="宋体" w:eastAsia="宋体" w:cs="宋体"/>
          <w:sz w:val="24"/>
          <w:highlight w:val="none"/>
        </w:rPr>
        <w:t>】。</w:t>
      </w:r>
    </w:p>
    <w:p w14:paraId="7E1BE69A">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4.9多维</w:t>
      </w:r>
      <w:r>
        <w:rPr>
          <w:rFonts w:ascii="宋体" w:hAnsi="宋体" w:eastAsia="宋体" w:cs="宋体"/>
          <w:sz w:val="24"/>
          <w:highlight w:val="none"/>
        </w:rPr>
        <w:t>数据</w:t>
      </w:r>
      <w:r>
        <w:rPr>
          <w:rFonts w:hint="eastAsia" w:ascii="宋体" w:hAnsi="宋体" w:eastAsia="宋体" w:cs="宋体"/>
          <w:sz w:val="24"/>
          <w:highlight w:val="none"/>
        </w:rPr>
        <w:t>解析功能：配备独立的</w:t>
      </w:r>
      <w:r>
        <w:rPr>
          <w:rFonts w:ascii="宋体" w:hAnsi="宋体" w:eastAsia="宋体" w:cs="宋体"/>
          <w:sz w:val="24"/>
          <w:highlight w:val="none"/>
        </w:rPr>
        <w:t>流式数据分析</w:t>
      </w:r>
      <w:r>
        <w:rPr>
          <w:rFonts w:hint="eastAsia" w:ascii="宋体" w:hAnsi="宋体" w:eastAsia="宋体" w:cs="宋体"/>
          <w:sz w:val="24"/>
          <w:highlight w:val="none"/>
        </w:rPr>
        <w:t>软件</w:t>
      </w:r>
      <w:r>
        <w:rPr>
          <w:rFonts w:ascii="宋体" w:hAnsi="宋体" w:eastAsia="宋体" w:cs="宋体"/>
          <w:sz w:val="24"/>
          <w:highlight w:val="none"/>
        </w:rPr>
        <w:t>，能直接读取标准FCS格式文件，提供分析工作流程</w:t>
      </w:r>
      <w:r>
        <w:rPr>
          <w:rFonts w:hint="eastAsia" w:ascii="宋体" w:hAnsi="宋体" w:eastAsia="宋体" w:cs="宋体"/>
          <w:sz w:val="24"/>
          <w:highlight w:val="none"/>
        </w:rPr>
        <w:t>；具备数据预处理、降维与聚类分析、对比验证与可视化等功能。【提供≥5张</w:t>
      </w:r>
      <w:r>
        <w:rPr>
          <w:rFonts w:hint="eastAsia" w:ascii="宋体" w:hAnsi="宋体" w:eastAsia="宋体" w:cs="宋体"/>
          <w:sz w:val="24"/>
          <w:highlight w:val="none"/>
          <w:lang w:val="en-US" w:eastAsia="zh-CN"/>
        </w:rPr>
        <w:t>软件</w:t>
      </w:r>
      <w:r>
        <w:rPr>
          <w:rFonts w:hint="eastAsia" w:ascii="宋体" w:hAnsi="宋体" w:eastAsia="宋体" w:cs="宋体"/>
          <w:sz w:val="24"/>
          <w:highlight w:val="none"/>
        </w:rPr>
        <w:t>截图作为证明材料</w:t>
      </w:r>
      <w:r>
        <w:rPr>
          <w:rFonts w:hint="eastAsia" w:ascii="宋体" w:hAnsi="宋体" w:eastAsia="宋体" w:cs="宋体"/>
          <w:sz w:val="24"/>
          <w:highlight w:val="none"/>
          <w:lang w:eastAsia="zh-CN"/>
        </w:rPr>
        <w:t>，</w:t>
      </w:r>
      <w:r>
        <w:rPr>
          <w:rFonts w:hint="eastAsia" w:ascii="宋体" w:hAnsi="宋体" w:eastAsia="宋体" w:cs="宋体"/>
          <w:sz w:val="24"/>
          <w:highlight w:val="none"/>
        </w:rPr>
        <w:t>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宋体"/>
          <w:sz w:val="24"/>
          <w:highlight w:val="none"/>
        </w:rPr>
        <w:t>】</w:t>
      </w:r>
    </w:p>
    <w:p w14:paraId="37DBD50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液流系统</w:t>
      </w:r>
    </w:p>
    <w:p w14:paraId="0788121D">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5.1具备独立的液流车系统：承载≥10L不锈钢鞘液桶、≥5L不锈钢乙醇桶、≥10L废液桶、以及3个≥5L辅助清洁液桶；液流车自带供气、真空单元，无需外接气瓶；全部液桶带液面传感器，鞘液桶状态可通过软件监控。</w:t>
      </w:r>
      <w:r>
        <w:rPr>
          <w:rFonts w:hint="eastAsia" w:ascii="Times New Roman" w:hAnsi="Times New Roman" w:eastAsia="宋体" w:cs="Times New Roman"/>
          <w:sz w:val="24"/>
          <w:highlight w:val="none"/>
          <w:lang w:val="en-US" w:eastAsia="zh-CN"/>
        </w:rPr>
        <w:t>【提供≥5张产品实物图片和5张软件截图并加盖制造商公章</w:t>
      </w:r>
      <w:r>
        <w:rPr>
          <w:rFonts w:ascii="宋体" w:hAnsi="宋体" w:eastAsia="宋体" w:cs="宋体"/>
          <w:b w:val="0"/>
          <w:bCs/>
          <w:kern w:val="0"/>
          <w:sz w:val="24"/>
          <w:szCs w:val="24"/>
          <w:lang w:val="en-US" w:eastAsia="zh-CN" w:bidi="ar"/>
        </w:rPr>
        <w:t>或投标人公章</w:t>
      </w:r>
      <w:r>
        <w:rPr>
          <w:rFonts w:hint="eastAsia" w:ascii="Times New Roman" w:hAnsi="Times New Roman" w:eastAsia="宋体" w:cs="Times New Roman"/>
          <w:sz w:val="24"/>
          <w:highlight w:val="none"/>
          <w:lang w:val="en-US" w:eastAsia="zh-CN"/>
        </w:rPr>
        <w:t>，且提供仪器操作视频】</w:t>
      </w:r>
    </w:p>
    <w:p w14:paraId="0A2B883A">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5.2样本流速控制：进样速度≥10档</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均为</w:t>
      </w:r>
      <w:r>
        <w:rPr>
          <w:rFonts w:hint="eastAsia" w:ascii="宋体" w:hAnsi="宋体" w:eastAsia="宋体" w:cs="宋体"/>
          <w:sz w:val="24"/>
          <w:highlight w:val="none"/>
        </w:rPr>
        <w:t>可调</w:t>
      </w:r>
      <w:r>
        <w:rPr>
          <w:rFonts w:hint="eastAsia" w:ascii="宋体" w:hAnsi="宋体" w:eastAsia="宋体" w:cs="宋体"/>
          <w:sz w:val="24"/>
          <w:highlight w:val="none"/>
          <w:lang w:val="en-US" w:eastAsia="zh-CN"/>
        </w:rPr>
        <w:t>固定档</w:t>
      </w:r>
      <w:r>
        <w:rPr>
          <w:rFonts w:hint="eastAsia" w:ascii="宋体" w:hAnsi="宋体" w:eastAsia="宋体" w:cs="宋体"/>
          <w:sz w:val="24"/>
          <w:highlight w:val="none"/>
        </w:rPr>
        <w:t>。</w:t>
      </w:r>
    </w:p>
    <w:p w14:paraId="4315DA8F">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5.3全自动标准化无菌分选模式：具备自动无菌分选消毒功能，自动清洗管路模式：自动液流启动,自动液流清洗和关闭，无菌状态下的液流关闭模式；自动清洗流动池；无菌分选自动清洗，分选舱及收集舱均有独立开关门，可在分选过程中提供全封闭环境，携带污染率0。【</w:t>
      </w:r>
      <w:r>
        <w:rPr>
          <w:rFonts w:hint="eastAsia" w:ascii="宋体" w:hAnsi="宋体" w:eastAsia="宋体" w:cs="Times New Roman"/>
          <w:sz w:val="24"/>
          <w:highlight w:val="none"/>
        </w:rPr>
        <w:t>提供≥5张软件</w:t>
      </w:r>
      <w:r>
        <w:rPr>
          <w:rFonts w:hint="eastAsia" w:ascii="宋体" w:hAnsi="宋体" w:eastAsia="宋体" w:cs="Times New Roman"/>
          <w:sz w:val="24"/>
          <w:highlight w:val="none"/>
          <w:lang w:val="en-US" w:eastAsia="zh-CN"/>
        </w:rPr>
        <w:t>截图和</w:t>
      </w:r>
      <w:r>
        <w:rPr>
          <w:rFonts w:hint="eastAsia" w:ascii="宋体" w:hAnsi="宋体" w:eastAsia="宋体" w:cs="Times New Roman"/>
          <w:sz w:val="24"/>
          <w:highlight w:val="none"/>
        </w:rPr>
        <w:t>≥5张</w:t>
      </w:r>
      <w:r>
        <w:rPr>
          <w:rFonts w:hint="eastAsia" w:ascii="宋体" w:hAnsi="宋体" w:eastAsia="宋体" w:cs="Times New Roman"/>
          <w:sz w:val="24"/>
          <w:highlight w:val="none"/>
          <w:lang w:val="en-US" w:eastAsia="zh-CN"/>
        </w:rPr>
        <w:t>产品实物</w:t>
      </w:r>
      <w:r>
        <w:rPr>
          <w:rFonts w:hint="eastAsia" w:ascii="宋体" w:hAnsi="宋体" w:eastAsia="宋体" w:cs="Times New Roman"/>
          <w:sz w:val="24"/>
          <w:highlight w:val="none"/>
        </w:rPr>
        <w:t>图片作为证明材料并加盖制造商公章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Times New Roman"/>
          <w:sz w:val="24"/>
          <w:highlight w:val="none"/>
        </w:rPr>
        <w:t>，且提供仪器操作视频</w:t>
      </w:r>
      <w:r>
        <w:rPr>
          <w:rFonts w:hint="eastAsia" w:ascii="宋体" w:hAnsi="宋体" w:eastAsia="宋体" w:cs="宋体"/>
          <w:sz w:val="24"/>
          <w:highlight w:val="none"/>
        </w:rPr>
        <w:t>】</w:t>
      </w:r>
    </w:p>
    <w:p w14:paraId="386E705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5.4具备自动气泡检测功能，遇气泡能报警并终止分选。</w:t>
      </w:r>
    </w:p>
    <w:p w14:paraId="7FD8DC5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进样仓</w:t>
      </w:r>
    </w:p>
    <w:p w14:paraId="3D8A3041">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6.1进样</w:t>
      </w:r>
      <w:r>
        <w:rPr>
          <w:rFonts w:ascii="宋体" w:hAnsi="宋体" w:eastAsia="宋体" w:cs="宋体"/>
          <w:sz w:val="24"/>
          <w:highlight w:val="none"/>
        </w:rPr>
        <w:t>规格：可使用</w:t>
      </w:r>
      <w:r>
        <w:rPr>
          <w:rFonts w:hint="eastAsia" w:ascii="宋体" w:hAnsi="宋体" w:eastAsia="宋体" w:cs="宋体"/>
          <w:sz w:val="24"/>
          <w:highlight w:val="none"/>
          <w:lang w:val="en-US" w:eastAsia="zh-CN"/>
        </w:rPr>
        <w:t>≥</w:t>
      </w:r>
      <w:r>
        <w:rPr>
          <w:rFonts w:ascii="宋体" w:hAnsi="宋体" w:eastAsia="宋体" w:cs="宋体"/>
          <w:sz w:val="24"/>
          <w:highlight w:val="none"/>
        </w:rPr>
        <w:t>3种（</w:t>
      </w:r>
      <w:r>
        <w:rPr>
          <w:rFonts w:hint="eastAsia" w:ascii="宋体" w:hAnsi="宋体" w:eastAsia="宋体" w:cs="宋体"/>
          <w:sz w:val="24"/>
          <w:highlight w:val="none"/>
          <w:lang w:val="en-US" w:eastAsia="zh-CN"/>
        </w:rPr>
        <w:t>至少</w:t>
      </w:r>
      <w:r>
        <w:rPr>
          <w:rFonts w:ascii="宋体" w:hAnsi="宋体" w:eastAsia="宋体" w:cs="宋体"/>
          <w:sz w:val="24"/>
          <w:highlight w:val="none"/>
        </w:rPr>
        <w:t>含微型管、12*75mm、15ml）规格进样管</w:t>
      </w:r>
      <w:r>
        <w:rPr>
          <w:rFonts w:hint="eastAsia" w:ascii="宋体" w:hAnsi="宋体" w:eastAsia="宋体" w:cs="宋体"/>
          <w:sz w:val="24"/>
          <w:highlight w:val="none"/>
        </w:rPr>
        <w:t>，分选舱及收集舱均有独立开关门，进样仓密封,有效控制气溶胶。【提供≥5</w:t>
      </w:r>
      <w:r>
        <w:rPr>
          <w:rFonts w:hint="eastAsia" w:ascii="宋体" w:hAnsi="宋体" w:eastAsia="宋体" w:cs="宋体"/>
          <w:sz w:val="24"/>
          <w:highlight w:val="none"/>
          <w:lang w:val="en-US" w:eastAsia="zh-CN"/>
        </w:rPr>
        <w:t>张产品实物</w:t>
      </w:r>
      <w:r>
        <w:rPr>
          <w:rFonts w:hint="eastAsia" w:ascii="宋体" w:hAnsi="宋体" w:eastAsia="宋体" w:cs="宋体"/>
          <w:sz w:val="24"/>
          <w:highlight w:val="none"/>
        </w:rPr>
        <w:t>图片作为证明材料并加盖制造商公章</w:t>
      </w:r>
      <w:r>
        <w:rPr>
          <w:rFonts w:ascii="宋体" w:hAnsi="宋体" w:eastAsia="宋体" w:cs="宋体"/>
          <w:b w:val="0"/>
          <w:bCs/>
          <w:kern w:val="0"/>
          <w:sz w:val="24"/>
          <w:szCs w:val="24"/>
          <w:lang w:val="en-US" w:eastAsia="zh-CN" w:bidi="ar"/>
        </w:rPr>
        <w:t>或投标人公章</w:t>
      </w:r>
      <w:r>
        <w:rPr>
          <w:rFonts w:hint="eastAsia" w:ascii="宋体" w:hAnsi="宋体" w:eastAsia="宋体" w:cs="宋体"/>
          <w:sz w:val="24"/>
          <w:highlight w:val="none"/>
        </w:rPr>
        <w:t>，且提供仪器操作视频】</w:t>
      </w:r>
    </w:p>
    <w:p w14:paraId="7969F31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6.2具有样本混匀功能：可以在软件上调整混匀强度,保证细胞充分悬浮。</w:t>
      </w:r>
    </w:p>
    <w:p w14:paraId="1CA9CC26">
      <w:pPr>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6.3具有进样室温度控制功能（4、20、37、42℃等），软件调节。</w:t>
      </w:r>
    </w:p>
    <w:p w14:paraId="02BFF83F">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分选细胞收集：具备≥4路分选；具备富集模式、纯度模式和单细胞模式。可以应用不同规格收集管进行收集。</w:t>
      </w:r>
    </w:p>
    <w:p w14:paraId="2F0DFF24">
      <w:pPr>
        <w:spacing w:line="360" w:lineRule="auto"/>
        <w:ind w:firstLine="482" w:firstLineChars="200"/>
        <w:rPr>
          <w:rFonts w:hint="eastAsia" w:ascii="宋体" w:hAnsi="宋体" w:eastAsia="宋体" w:cs="宋体"/>
          <w:sz w:val="24"/>
          <w:highlight w:val="none"/>
        </w:rPr>
      </w:pPr>
      <w:r>
        <w:rPr>
          <w:rFonts w:hint="eastAsia" w:ascii="Times New Roman" w:hAnsi="Times New Roman" w:eastAsia="宋体" w:cs="Times New Roman"/>
          <w:b/>
          <w:bCs/>
          <w:sz w:val="24"/>
          <w:highlight w:val="none"/>
        </w:rPr>
        <w:t>★</w:t>
      </w:r>
      <w:r>
        <w:rPr>
          <w:rFonts w:hint="eastAsia" w:ascii="宋体" w:hAnsi="宋体" w:eastAsia="宋体" w:cs="宋体"/>
          <w:sz w:val="24"/>
          <w:highlight w:val="none"/>
        </w:rPr>
        <w:t>8</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配置清单</w:t>
      </w:r>
    </w:p>
    <w:p w14:paraId="18CF363F">
      <w:pPr>
        <w:widowControl/>
        <w:numPr>
          <w:ilvl w:val="255"/>
          <w:numId w:val="0"/>
        </w:num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流式细胞分选仪1台；内含石英杯流动室1个；全套激光器1套：488nm蓝色激光器，635±5nm红色激光器，405nm紫色激光器，355nm紫外激光器，561nm黄绿色激光器；独立的</w:t>
      </w:r>
      <w:r>
        <w:rPr>
          <w:rFonts w:ascii="宋体" w:hAnsi="宋体" w:eastAsia="宋体" w:cs="宋体"/>
          <w:sz w:val="24"/>
          <w:highlight w:val="none"/>
        </w:rPr>
        <w:t>流式数据分析</w:t>
      </w:r>
      <w:r>
        <w:rPr>
          <w:rFonts w:hint="eastAsia" w:ascii="宋体" w:hAnsi="宋体" w:eastAsia="宋体" w:cs="宋体"/>
          <w:sz w:val="24"/>
          <w:highlight w:val="none"/>
        </w:rPr>
        <w:t>软件1套；工作站1套；液晶显示器1台，彩色打印机1台；全套规格喷嘴1套：70μm，85μm，100μm，130μm；液流车系统1套：具有1个鞘液桶、1个乙醇桶、1个废液桶、3个辅助清洁液桶，且需能通过液流车系统独立提供空气压力和真空状态。</w:t>
      </w:r>
    </w:p>
    <w:p w14:paraId="567AC1D2">
      <w:pPr>
        <w:spacing w:line="360" w:lineRule="auto"/>
        <w:ind w:firstLine="482" w:firstLineChars="200"/>
        <w:rPr>
          <w:rFonts w:hint="eastAsia" w:ascii="宋体" w:hAnsi="宋体" w:cs="宋体"/>
          <w:b/>
          <w:bCs/>
          <w:sz w:val="24"/>
          <w:lang w:eastAsia="zh-CN"/>
        </w:rPr>
      </w:pPr>
      <w:r>
        <w:rPr>
          <w:rFonts w:hint="eastAsia" w:ascii="宋体" w:hAnsi="宋体" w:cs="宋体"/>
          <w:b/>
          <w:bCs/>
          <w:sz w:val="24"/>
        </w:rPr>
        <w:t>四、售后服务要求</w:t>
      </w:r>
      <w:r>
        <w:rPr>
          <w:rFonts w:hint="eastAsia" w:ascii="宋体" w:hAnsi="宋体" w:cs="宋体"/>
          <w:b/>
          <w:bCs/>
          <w:sz w:val="24"/>
          <w:lang w:eastAsia="zh-CN"/>
        </w:rPr>
        <w:t>：</w:t>
      </w:r>
    </w:p>
    <w:p w14:paraId="109190C8">
      <w:pPr>
        <w:widowControl/>
        <w:numPr>
          <w:ilvl w:val="255"/>
          <w:numId w:val="0"/>
        </w:num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1.主机整机质保期≥5年，每年巡检两次，保留巡检记录。</w:t>
      </w:r>
    </w:p>
    <w:p w14:paraId="2FCC1C61">
      <w:pPr>
        <w:widowControl/>
        <w:numPr>
          <w:ilvl w:val="255"/>
          <w:numId w:val="0"/>
        </w:num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2.具体维保要求：包含日常维护，定期检查和清洁激光器和光学部件，定期的保养和校准，故障排除及问题处理。</w:t>
      </w:r>
    </w:p>
    <w:p w14:paraId="5AB17C97">
      <w:pPr>
        <w:widowControl/>
        <w:numPr>
          <w:ilvl w:val="255"/>
          <w:numId w:val="0"/>
        </w:num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3.安装、调试及所需材料、工具等，厂家工程师到最终采购人所在地安装、调试；制造商在国内的技术服务中心（包括维修中心）应当提供所有的服务,包括备用零配件及消耗品。</w:t>
      </w:r>
    </w:p>
    <w:p w14:paraId="0776183E">
      <w:pPr>
        <w:spacing w:line="360" w:lineRule="auto"/>
        <w:ind w:firstLine="482" w:firstLineChars="200"/>
        <w:rPr>
          <w:rFonts w:hint="eastAsia" w:ascii="宋体" w:hAnsi="宋体" w:cs="宋体"/>
          <w:b/>
          <w:bCs/>
          <w:sz w:val="24"/>
        </w:rPr>
      </w:pPr>
      <w:r>
        <w:rPr>
          <w:rFonts w:hint="eastAsia" w:ascii="宋体" w:hAnsi="宋体" w:cs="宋体"/>
          <w:b/>
          <w:bCs/>
          <w:sz w:val="24"/>
        </w:rPr>
        <w:t>五、培训具体要求：</w:t>
      </w:r>
    </w:p>
    <w:p w14:paraId="1346BCB1">
      <w:pPr>
        <w:widowControl/>
        <w:numPr>
          <w:ilvl w:val="255"/>
          <w:numId w:val="0"/>
        </w:num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人员培训（操作、维护等）要求，由厂家为采购人提供技术培训。</w:t>
      </w:r>
    </w:p>
    <w:p w14:paraId="0DC816E1">
      <w:pPr>
        <w:widowControl/>
        <w:spacing w:line="360" w:lineRule="auto"/>
        <w:ind w:firstLine="482" w:firstLineChars="200"/>
        <w:contextualSpacing/>
        <w:jc w:val="left"/>
        <w:outlineLvl w:val="1"/>
        <w:rPr>
          <w:rFonts w:hint="eastAsia" w:ascii="宋体" w:hAnsi="宋体" w:cs="宋体"/>
          <w:b/>
          <w:bCs/>
          <w:sz w:val="24"/>
        </w:rPr>
      </w:pPr>
      <w:r>
        <w:rPr>
          <w:rFonts w:hint="eastAsia" w:ascii="宋体" w:hAnsi="宋体" w:cs="宋体"/>
          <w:b/>
          <w:bCs/>
          <w:sz w:val="24"/>
        </w:rPr>
        <w:t>六、特别说明</w:t>
      </w:r>
    </w:p>
    <w:p w14:paraId="502277D3">
      <w:pPr>
        <w:widowControl/>
        <w:spacing w:line="360" w:lineRule="auto"/>
        <w:ind w:firstLine="480" w:firstLineChars="200"/>
        <w:contextualSpacing/>
        <w:jc w:val="left"/>
        <w:rPr>
          <w:rFonts w:hint="eastAsia" w:ascii="宋体" w:hAnsi="宋体"/>
          <w:sz w:val="24"/>
        </w:rPr>
      </w:pPr>
      <w:r>
        <w:rPr>
          <w:rFonts w:hint="eastAsia" w:ascii="宋体" w:hAnsi="宋体"/>
          <w:sz w:val="24"/>
        </w:rPr>
        <w:t>1.对于技术规格中标注“★”号（如有）的技术参数代表实质性指标，不满足该指标项将直接导致投标被拒绝。</w:t>
      </w:r>
    </w:p>
    <w:p w14:paraId="555BBB6F">
      <w:pPr>
        <w:widowControl/>
        <w:spacing w:line="360" w:lineRule="auto"/>
        <w:ind w:firstLine="480" w:firstLineChars="200"/>
        <w:contextualSpacing/>
        <w:jc w:val="left"/>
        <w:rPr>
          <w:rFonts w:hint="eastAsia" w:ascii="宋体" w:hAnsi="宋体"/>
          <w:sz w:val="24"/>
        </w:rPr>
      </w:pPr>
      <w:r>
        <w:rPr>
          <w:rFonts w:hint="eastAsia" w:ascii="宋体" w:hAnsi="宋体"/>
          <w:sz w:val="24"/>
        </w:rPr>
        <w:t>2.标注“▲”的指标为重要的技术指标，不满足将导致其在第四章评标标准中对采购需求的响应情况被扣除相应分值。</w:t>
      </w:r>
    </w:p>
    <w:p w14:paraId="3B326CBD">
      <w:pPr>
        <w:tabs>
          <w:tab w:val="left" w:pos="900"/>
        </w:tabs>
        <w:spacing w:line="360" w:lineRule="auto"/>
        <w:ind w:firstLine="480" w:firstLineChars="200"/>
        <w:rPr>
          <w:rFonts w:hint="eastAsia" w:ascii="宋体" w:hAnsi="宋体"/>
          <w:sz w:val="24"/>
        </w:rPr>
      </w:pPr>
      <w:r>
        <w:rPr>
          <w:rFonts w:hint="eastAsia" w:ascii="宋体" w:hAnsi="宋体"/>
          <w:sz w:val="24"/>
        </w:rPr>
        <w:t>3.对于采购需求三、技术要求（二）具体要求中标注“★”“▲”号的技术指标，投标人须在投标文件中按照招标文件技术规格的要求提供技术应答的证明材料，其中证明材料除招标文件中有明确规定的证明材料（如有）外，其余“★”“▲”号的技术指标可提供产品说明书或产品彩页或技术白皮书或检验/检测报告或实验图谱或实物图片或软件功能界面截图等。对于投标人提供的投标文件技术应答未按本条款要求提供证明材料的，评标委员会可不予认可，并可认为该技术应答不符合招标文件要求，由此产生的风险由投标人承担。</w:t>
      </w:r>
    </w:p>
    <w:p w14:paraId="5BA5628E">
      <w:pPr>
        <w:widowControl/>
        <w:spacing w:line="360" w:lineRule="auto"/>
        <w:ind w:firstLine="480" w:firstLineChars="200"/>
        <w:contextualSpacing/>
        <w:jc w:val="left"/>
        <w:rPr>
          <w:rFonts w:hint="eastAsia" w:ascii="宋体" w:hAnsi="宋体"/>
          <w:sz w:val="24"/>
        </w:rPr>
      </w:pPr>
      <w:r>
        <w:rPr>
          <w:rFonts w:hint="eastAsia" w:ascii="宋体" w:hAnsi="宋体"/>
          <w:sz w:val="24"/>
        </w:rPr>
        <w:t>4.对于采购需求“三、技术要求”中“（二）具体要求”所列的技术指标，如应提供且可以提供设备的真实技术指标参数但投标人不提供，只照抄招标文件参数要求，经评标委员会认定，投标人对该项指标的响应为“负偏离”。</w:t>
      </w:r>
    </w:p>
    <w:p w14:paraId="27259F0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6B70A9"/>
    <w:rsid w:val="157175E7"/>
    <w:rsid w:val="158445FD"/>
    <w:rsid w:val="1829020E"/>
    <w:rsid w:val="206B70A9"/>
    <w:rsid w:val="30DD752B"/>
    <w:rsid w:val="40BE1BF9"/>
    <w:rsid w:val="518855B2"/>
    <w:rsid w:val="56624473"/>
    <w:rsid w:val="570A507F"/>
    <w:rsid w:val="62BF6114"/>
    <w:rsid w:val="78624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100" w:beforeAutospacing="1" w:after="100" w:afterAutospacing="1"/>
      <w:jc w:val="left"/>
      <w:outlineLvl w:val="1"/>
    </w:pPr>
    <w:rPr>
      <w:rFonts w:hint="eastAsia" w:ascii="宋体" w:hAnsi="宋体" w:eastAsia="华文仿宋" w:cs="宋体"/>
      <w:b/>
      <w:kern w:val="0"/>
      <w:sz w:val="28"/>
      <w:szCs w:val="36"/>
      <w:lang w:bidi="ar"/>
    </w:rPr>
  </w:style>
  <w:style w:type="paragraph" w:styleId="3">
    <w:name w:val="heading 3"/>
    <w:basedOn w:val="1"/>
    <w:next w:val="1"/>
    <w:link w:val="10"/>
    <w:semiHidden/>
    <w:unhideWhenUsed/>
    <w:qFormat/>
    <w:uiPriority w:val="0"/>
    <w:pPr>
      <w:keepNext/>
      <w:keepLines/>
      <w:pBdr>
        <w:top w:val="none" w:color="auto" w:sz="0" w:space="1"/>
        <w:left w:val="none" w:color="auto" w:sz="0" w:space="4"/>
        <w:bottom w:val="none" w:color="auto" w:sz="0" w:space="1"/>
        <w:right w:val="none" w:color="auto" w:sz="0" w:space="4"/>
      </w:pBdr>
      <w:autoSpaceDE w:val="0"/>
      <w:autoSpaceDN w:val="0"/>
      <w:adjustRightInd w:val="0"/>
      <w:spacing w:before="360" w:after="120"/>
      <w:jc w:val="left"/>
      <w:outlineLvl w:val="2"/>
    </w:pPr>
    <w:rPr>
      <w:rFonts w:ascii="宋体" w:hAnsi="宋体" w:eastAsia="宋体" w:cs="Times New Roman"/>
      <w:b/>
      <w:kern w:val="0"/>
      <w:sz w:val="24"/>
      <w:szCs w:val="20"/>
      <w:u w:val="single"/>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toc 2"/>
    <w:basedOn w:val="1"/>
    <w:next w:val="1"/>
    <w:qFormat/>
    <w:uiPriority w:val="0"/>
    <w:pPr>
      <w:ind w:left="420" w:leftChars="200"/>
    </w:pPr>
  </w:style>
  <w:style w:type="paragraph" w:styleId="6">
    <w:name w:val="Body Text 2"/>
    <w:basedOn w:val="1"/>
    <w:uiPriority w:val="0"/>
    <w:pPr>
      <w:spacing w:after="120" w:afterLines="0" w:afterAutospacing="0" w:line="480" w:lineRule="auto"/>
    </w:pPr>
  </w:style>
  <w:style w:type="character" w:styleId="9">
    <w:name w:val="Hyperlink"/>
    <w:qFormat/>
    <w:uiPriority w:val="0"/>
    <w:rPr>
      <w:rFonts w:ascii="Times New Roman" w:hAnsi="Times New Roman" w:eastAsia="宋体"/>
      <w:color w:val="0000FF"/>
      <w:u w:val="single"/>
    </w:rPr>
  </w:style>
  <w:style w:type="character" w:customStyle="1" w:styleId="10">
    <w:name w:val="标题 3 字符2"/>
    <w:link w:val="3"/>
    <w:qFormat/>
    <w:uiPriority w:val="9"/>
    <w:rPr>
      <w:rFonts w:ascii="宋体" w:hAnsi="宋体" w:eastAsia="宋体" w:cs="Times New Roman"/>
      <w:b/>
      <w:bCs/>
      <w:sz w:val="22"/>
      <w:szCs w:val="32"/>
      <w:u w:val="none"/>
    </w:rPr>
  </w:style>
  <w:style w:type="paragraph" w:customStyle="1" w:styleId="11">
    <w:name w:val="列出段落1"/>
    <w:basedOn w:val="1"/>
    <w:autoRedefine/>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2026-09-22T06:17:00Z</dcterms:created>
  <dc:creator>用户</dc:creator>
  <cp:lastModifiedBy>用户</cp:lastModifiedBy>
  <dcterms:modified xsi:type="dcterms:W3CDTF">2026-09-22T06:17:33Z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B69962B3784C4EC08ACDB7CD6735441E_11</vt:lpwstr>
  </property>
  <property fmtid="{D5CDD505-2E9C-101B-9397-08002B2CF9AE}" pid="4" name="KSOTemplateDocerSaveRecord">
    <vt:lpwstr>eyJoZGlkIjoiZjg1ODk3M2MzMDBhMDA5MTkyZTBmMGVhNmU3ZTA3MGQiLCJ1c2VySWQiOiIyOTI2NjUzMzQifQ==</vt:lpwstr>
  </property>
</Properties>
</file>