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color w:val="000000" w:themeColor="text1"/>
          <w:sz w:val="52"/>
          <w:szCs w:val="52"/>
          <w14:textFill>
            <w14:solidFill>
              <w14:schemeClr w14:val="tx1"/>
            </w14:solidFill>
          </w14:textFill>
        </w:rPr>
      </w:pPr>
    </w:p>
    <w:p>
      <w:pPr>
        <w:jc w:val="center"/>
        <w:rPr>
          <w:rFonts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52"/>
          <w:szCs w:val="52"/>
          <w14:textFill>
            <w14:solidFill>
              <w14:schemeClr w14:val="tx1"/>
            </w14:solidFill>
          </w14:textFill>
        </w:rPr>
        <w:t>广西国立工程咨询有限公司</w:t>
      </w:r>
    </w:p>
    <w:p>
      <w:pPr>
        <w:spacing w:before="25" w:after="25"/>
        <w:jc w:val="left"/>
        <w:rPr>
          <w:rFonts w:ascii="宋体" w:hAnsi="宋体" w:eastAsia="宋体" w:cs="宋体"/>
          <w:color w:val="000000" w:themeColor="text1"/>
          <w:spacing w:val="10"/>
          <w:kern w:val="0"/>
          <w:sz w:val="96"/>
          <w:szCs w:val="144"/>
          <w14:textFill>
            <w14:solidFill>
              <w14:schemeClr w14:val="tx1"/>
            </w14:solidFill>
          </w14:textFill>
        </w:rPr>
      </w:pPr>
    </w:p>
    <w:p>
      <w:pPr>
        <w:spacing w:before="25" w:after="25"/>
        <w:jc w:val="left"/>
        <w:rPr>
          <w:rFonts w:ascii="Times New Roman" w:hAnsi="Times New Roman" w:eastAsia="宋体" w:cs="Times New Roman"/>
          <w:color w:val="000000" w:themeColor="text1"/>
          <w:spacing w:val="10"/>
          <w:kern w:val="0"/>
          <w:sz w:val="24"/>
          <w:szCs w:val="24"/>
          <w14:textFill>
            <w14:solidFill>
              <w14:schemeClr w14:val="tx1"/>
            </w14:solidFill>
          </w14:textFill>
        </w:rPr>
      </w:pPr>
    </w:p>
    <w:p>
      <w:pPr>
        <w:jc w:val="center"/>
        <w:rPr>
          <w:rFonts w:ascii="宋体" w:hAnsi="宋体" w:eastAsia="宋体" w:cs="宋体"/>
          <w:color w:val="000000" w:themeColor="text1"/>
          <w:sz w:val="84"/>
          <w:szCs w:val="56"/>
          <w14:textFill>
            <w14:solidFill>
              <w14:schemeClr w14:val="tx1"/>
            </w14:solidFill>
          </w14:textFill>
        </w:rPr>
      </w:pPr>
      <w:r>
        <w:rPr>
          <w:rFonts w:hint="eastAsia" w:ascii="宋体" w:hAnsi="宋体" w:eastAsia="宋体" w:cs="宋体"/>
          <w:color w:val="000000" w:themeColor="text1"/>
          <w:sz w:val="96"/>
          <w:szCs w:val="144"/>
          <w14:textFill>
            <w14:solidFill>
              <w14:schemeClr w14:val="tx1"/>
            </w14:solidFill>
          </w14:textFill>
        </w:rPr>
        <w:t>竞争性磋商文件</w:t>
      </w: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640" w:firstLineChars="200"/>
        <w:jc w:val="center"/>
        <w:rPr>
          <w:rFonts w:ascii="宋体" w:hAnsi="宋体" w:eastAsia="宋体" w:cs="宋体"/>
          <w:color w:val="000000" w:themeColor="text1"/>
          <w:kern w:val="0"/>
          <w:sz w:val="32"/>
          <w:szCs w:val="32"/>
          <w14:textFill>
            <w14:solidFill>
              <w14:schemeClr w14:val="tx1"/>
            </w14:solidFill>
          </w14:textFill>
        </w:rPr>
      </w:pPr>
    </w:p>
    <w:p>
      <w:pPr>
        <w:spacing w:line="360" w:lineRule="exact"/>
        <w:ind w:firstLine="560" w:firstLineChars="200"/>
        <w:jc w:val="center"/>
        <w:rPr>
          <w:rFonts w:ascii="宋体" w:hAnsi="宋体" w:eastAsia="宋体" w:cs="宋体"/>
          <w:color w:val="000000" w:themeColor="text1"/>
          <w:kern w:val="0"/>
          <w:sz w:val="28"/>
          <w:szCs w:val="28"/>
          <w14:textFill>
            <w14:solidFill>
              <w14:schemeClr w14:val="tx1"/>
            </w14:solidFill>
          </w14:textFill>
        </w:rPr>
      </w:pPr>
    </w:p>
    <w:p>
      <w:pPr>
        <w:spacing w:line="360" w:lineRule="exact"/>
        <w:ind w:firstLine="1120" w:firstLineChars="400"/>
        <w:rPr>
          <w:rFonts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项目名称：</w:t>
      </w:r>
      <w:r>
        <w:rPr>
          <w:rFonts w:hint="eastAsia" w:ascii="宋体" w:hAnsi="宋体"/>
          <w:bCs/>
          <w:color w:val="000000" w:themeColor="text1"/>
          <w:sz w:val="32"/>
          <w:szCs w:val="32"/>
          <w14:textFill>
            <w14:solidFill>
              <w14:schemeClr w14:val="tx1"/>
            </w14:solidFill>
          </w14:textFill>
        </w:rPr>
        <w:t>防城港市中医医院</w:t>
      </w:r>
      <w:r>
        <w:rPr>
          <w:rFonts w:hint="eastAsia" w:ascii="宋体" w:hAnsi="宋体" w:eastAsia="宋体" w:cs="Times New Roman"/>
          <w:sz w:val="28"/>
          <w:szCs w:val="28"/>
        </w:rPr>
        <w:t>四楼日间手术室工程</w:t>
      </w:r>
    </w:p>
    <w:p>
      <w:pPr>
        <w:jc w:val="center"/>
        <w:rPr>
          <w:rFonts w:ascii="宋体" w:hAnsi="宋体" w:eastAsia="宋体" w:cs="宋体"/>
          <w:color w:val="000000" w:themeColor="text1"/>
          <w:sz w:val="28"/>
          <w:szCs w:val="28"/>
          <w14:textFill>
            <w14:solidFill>
              <w14:schemeClr w14:val="tx1"/>
            </w14:solidFill>
          </w14:textFill>
        </w:rPr>
      </w:pPr>
    </w:p>
    <w:p>
      <w:pPr>
        <w:spacing w:line="400" w:lineRule="exact"/>
        <w:ind w:firstLine="1120" w:firstLineChars="400"/>
        <w:rPr>
          <w:rFonts w:ascii="宋体" w:hAnsi="宋体" w:cs="宋体"/>
          <w:bCs/>
          <w:color w:val="000000" w:themeColor="text1"/>
          <w:sz w:val="32"/>
          <w:szCs w:val="32"/>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项目编号：</w:t>
      </w:r>
      <w:r>
        <w:rPr>
          <w:rFonts w:hint="eastAsia" w:ascii="宋体" w:hAnsi="宋体" w:cs="宋体"/>
          <w:bCs/>
          <w:color w:val="000000" w:themeColor="text1"/>
          <w:sz w:val="32"/>
          <w:szCs w:val="32"/>
          <w14:textFill>
            <w14:solidFill>
              <w14:schemeClr w14:val="tx1"/>
            </w14:solidFill>
          </w14:textFill>
        </w:rPr>
        <w:t>FCZC2024-C2-10011-GLGC</w:t>
      </w:r>
      <w:r>
        <w:rPr>
          <w:rFonts w:ascii="宋体" w:hAnsi="宋体" w:cs="宋体"/>
          <w:bCs/>
          <w:color w:val="000000" w:themeColor="text1"/>
          <w:sz w:val="32"/>
          <w:szCs w:val="32"/>
          <w14:textFill>
            <w14:solidFill>
              <w14:schemeClr w14:val="tx1"/>
            </w14:solidFill>
          </w14:textFill>
        </w:rPr>
        <w:t>(Y)</w:t>
      </w:r>
    </w:p>
    <w:p>
      <w:pPr>
        <w:spacing w:line="400" w:lineRule="exact"/>
        <w:ind w:firstLine="1120" w:firstLineChars="400"/>
        <w:rPr>
          <w:rFonts w:ascii="宋体" w:hAnsi="宋体" w:eastAsia="宋体" w:cs="宋体"/>
          <w:color w:val="000000" w:themeColor="text1"/>
          <w:sz w:val="28"/>
          <w:szCs w:val="28"/>
          <w14:textFill>
            <w14:solidFill>
              <w14:schemeClr w14:val="tx1"/>
            </w14:solidFill>
          </w14:textFill>
        </w:rPr>
      </w:pPr>
    </w:p>
    <w:p>
      <w:pPr>
        <w:spacing w:line="360" w:lineRule="exact"/>
        <w:ind w:firstLine="1260" w:firstLineChars="450"/>
        <w:jc w:val="left"/>
        <w:rPr>
          <w:rFonts w:ascii="宋体" w:hAnsi="宋体" w:eastAsia="宋体" w:cs="宋体"/>
          <w:color w:val="000000" w:themeColor="text1"/>
          <w:kern w:val="0"/>
          <w:sz w:val="28"/>
          <w:szCs w:val="28"/>
          <w14:textFill>
            <w14:solidFill>
              <w14:schemeClr w14:val="tx1"/>
            </w14:solidFill>
          </w14:textFill>
        </w:rPr>
      </w:pPr>
    </w:p>
    <w:p>
      <w:pPr>
        <w:rPr>
          <w:rFonts w:ascii="宋体" w:hAnsi="宋体" w:eastAsia="宋体" w:cs="宋体"/>
          <w:color w:val="000000" w:themeColor="text1"/>
          <w:sz w:val="28"/>
          <w:szCs w:val="28"/>
          <w14:textFill>
            <w14:solidFill>
              <w14:schemeClr w14:val="tx1"/>
            </w14:solidFill>
          </w14:textFill>
        </w:rPr>
      </w:pPr>
    </w:p>
    <w:p>
      <w:pPr>
        <w:spacing w:line="400" w:lineRule="exact"/>
        <w:rPr>
          <w:rFonts w:ascii="宋体" w:hAnsi="宋体" w:eastAsia="宋体" w:cs="宋体"/>
          <w:color w:val="000000" w:themeColor="text1"/>
          <w:sz w:val="28"/>
          <w:szCs w:val="28"/>
          <w14:textFill>
            <w14:solidFill>
              <w14:schemeClr w14:val="tx1"/>
            </w14:solidFill>
          </w14:textFill>
        </w:rPr>
      </w:pPr>
    </w:p>
    <w:p>
      <w:pPr>
        <w:spacing w:line="400" w:lineRule="exact"/>
        <w:rPr>
          <w:rFonts w:ascii="宋体" w:hAnsi="宋体" w:eastAsia="宋体" w:cs="宋体"/>
          <w:color w:val="000000" w:themeColor="text1"/>
          <w:sz w:val="28"/>
          <w:szCs w:val="28"/>
          <w14:textFill>
            <w14:solidFill>
              <w14:schemeClr w14:val="tx1"/>
            </w14:solidFill>
          </w14:textFill>
        </w:rPr>
      </w:pPr>
    </w:p>
    <w:p>
      <w:pPr>
        <w:spacing w:line="400" w:lineRule="exact"/>
        <w:ind w:firstLine="840" w:firstLineChars="300"/>
        <w:rPr>
          <w:rFonts w:ascii="宋体" w:hAnsi="宋体" w:eastAsia="宋体" w:cs="宋体"/>
          <w:color w:val="000000" w:themeColor="text1"/>
          <w:sz w:val="28"/>
          <w:szCs w:val="28"/>
          <w14:textFill>
            <w14:solidFill>
              <w14:schemeClr w14:val="tx1"/>
            </w14:solidFill>
          </w14:textFill>
        </w:rPr>
      </w:pPr>
    </w:p>
    <w:p>
      <w:pPr>
        <w:spacing w:line="400" w:lineRule="exact"/>
        <w:ind w:firstLine="840" w:firstLineChars="300"/>
        <w:rPr>
          <w:rFonts w:ascii="宋体" w:hAnsi="宋体" w:eastAsia="宋体" w:cs="宋体"/>
          <w:color w:val="000000" w:themeColor="text1"/>
          <w:sz w:val="28"/>
          <w:szCs w:val="28"/>
          <w14:textFill>
            <w14:solidFill>
              <w14:schemeClr w14:val="tx1"/>
            </w14:solidFill>
          </w14:textFill>
        </w:rPr>
      </w:pPr>
    </w:p>
    <w:p>
      <w:pPr>
        <w:ind w:firstLine="840" w:firstLineChars="3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采购单位：防城港市中医医院</w:t>
      </w:r>
    </w:p>
    <w:p>
      <w:pPr>
        <w:ind w:firstLine="2380" w:firstLineChars="850"/>
        <w:jc w:val="center"/>
        <w:rPr>
          <w:rFonts w:ascii="宋体" w:hAnsi="宋体"/>
          <w:bCs/>
          <w:color w:val="000000" w:themeColor="text1"/>
          <w:sz w:val="28"/>
          <w:szCs w:val="28"/>
          <w14:textFill>
            <w14:solidFill>
              <w14:schemeClr w14:val="tx1"/>
            </w14:solidFill>
          </w14:textFill>
        </w:rPr>
      </w:pPr>
    </w:p>
    <w:p>
      <w:pPr>
        <w:ind w:firstLine="840" w:firstLineChars="3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代理机构：广西国立工程咨询有限公司</w:t>
      </w:r>
    </w:p>
    <w:p>
      <w:pPr>
        <w:ind w:firstLine="2380" w:firstLineChars="850"/>
        <w:jc w:val="center"/>
        <w:rPr>
          <w:rFonts w:ascii="宋体" w:hAnsi="宋体"/>
          <w:bCs/>
          <w:color w:val="000000" w:themeColor="text1"/>
          <w:sz w:val="28"/>
          <w:szCs w:val="28"/>
          <w14:textFill>
            <w14:solidFill>
              <w14:schemeClr w14:val="tx1"/>
            </w14:solidFill>
          </w14:textFill>
        </w:rPr>
      </w:pPr>
    </w:p>
    <w:p>
      <w:pPr>
        <w:ind w:firstLine="840" w:firstLineChars="3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采购日期：2024年6月</w:t>
      </w:r>
      <w:r>
        <w:rPr>
          <w:rFonts w:hint="eastAsia" w:ascii="宋体" w:hAnsi="宋体"/>
          <w:bCs/>
          <w:color w:val="0000FF"/>
          <w:sz w:val="28"/>
          <w:szCs w:val="28"/>
        </w:rPr>
        <w:t>1</w:t>
      </w:r>
      <w:r>
        <w:rPr>
          <w:rFonts w:hint="eastAsia" w:ascii="宋体" w:hAnsi="宋体"/>
          <w:bCs/>
          <w:color w:val="0000FF"/>
          <w:sz w:val="28"/>
          <w:szCs w:val="28"/>
          <w:lang w:val="en-US" w:eastAsia="zh-CN"/>
        </w:rPr>
        <w:t>4</w:t>
      </w:r>
      <w:r>
        <w:rPr>
          <w:rFonts w:hint="eastAsia" w:ascii="宋体" w:hAnsi="宋体"/>
          <w:bCs/>
          <w:color w:val="0000FF"/>
          <w:sz w:val="28"/>
          <w:szCs w:val="28"/>
        </w:rPr>
        <w:t>日</w:t>
      </w:r>
    </w:p>
    <w:p>
      <w:pPr>
        <w:spacing w:line="500" w:lineRule="exact"/>
        <w:rPr>
          <w:rFonts w:ascii="宋体"/>
          <w:bCs/>
          <w:color w:val="000000" w:themeColor="text1"/>
          <w:sz w:val="28"/>
          <w:szCs w:val="28"/>
          <w14:textFill>
            <w14:solidFill>
              <w14:schemeClr w14:val="tx1"/>
            </w14:solidFill>
          </w14:textFill>
        </w:rPr>
      </w:pPr>
    </w:p>
    <w:p>
      <w:pPr>
        <w:widowControl/>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pPr>
        <w:tabs>
          <w:tab w:val="left" w:pos="660"/>
        </w:tabs>
        <w:spacing w:line="760" w:lineRule="exact"/>
        <w:jc w:val="center"/>
        <w:rPr>
          <w:rFonts w:ascii="黑体" w:hAnsi="黑体" w:eastAsia="黑体" w:cs="黑体"/>
          <w:color w:val="000000" w:themeColor="text1"/>
          <w:sz w:val="44"/>
          <w:szCs w:val="24"/>
          <w14:textFill>
            <w14:solidFill>
              <w14:schemeClr w14:val="tx1"/>
            </w14:solidFill>
          </w14:textFill>
        </w:rPr>
      </w:pPr>
    </w:p>
    <w:p>
      <w:pPr>
        <w:tabs>
          <w:tab w:val="left" w:pos="660"/>
        </w:tabs>
        <w:spacing w:line="760" w:lineRule="exact"/>
        <w:jc w:val="center"/>
        <w:rPr>
          <w:rFonts w:ascii="黑体" w:hAnsi="黑体" w:eastAsia="黑体" w:cs="黑体"/>
          <w:color w:val="000000" w:themeColor="text1"/>
          <w:sz w:val="44"/>
          <w:szCs w:val="24"/>
          <w14:textFill>
            <w14:solidFill>
              <w14:schemeClr w14:val="tx1"/>
            </w14:solidFill>
          </w14:textFill>
        </w:rPr>
      </w:pPr>
    </w:p>
    <w:p>
      <w:pPr>
        <w:tabs>
          <w:tab w:val="left" w:pos="660"/>
        </w:tabs>
        <w:spacing w:line="760" w:lineRule="exact"/>
        <w:jc w:val="center"/>
        <w:rPr>
          <w:rFonts w:ascii="黑体" w:hAnsi="黑体" w:eastAsia="黑体" w:cs="黑体"/>
          <w:color w:val="000000" w:themeColor="text1"/>
          <w:sz w:val="44"/>
          <w:szCs w:val="24"/>
          <w14:textFill>
            <w14:solidFill>
              <w14:schemeClr w14:val="tx1"/>
            </w14:solidFill>
          </w14:textFill>
        </w:rPr>
      </w:pPr>
    </w:p>
    <w:p>
      <w:pPr>
        <w:tabs>
          <w:tab w:val="left" w:pos="660"/>
        </w:tabs>
        <w:spacing w:line="760" w:lineRule="exact"/>
        <w:jc w:val="center"/>
        <w:rPr>
          <w:rFonts w:ascii="黑体" w:hAnsi="黑体" w:eastAsia="黑体" w:cs="黑体"/>
          <w:color w:val="000000" w:themeColor="text1"/>
          <w:sz w:val="44"/>
          <w:szCs w:val="24"/>
          <w14:textFill>
            <w14:solidFill>
              <w14:schemeClr w14:val="tx1"/>
            </w14:solidFill>
          </w14:textFill>
        </w:rPr>
      </w:pPr>
      <w:r>
        <w:rPr>
          <w:rFonts w:hint="eastAsia" w:ascii="黑体" w:hAnsi="黑体" w:eastAsia="黑体" w:cs="黑体"/>
          <w:color w:val="000000" w:themeColor="text1"/>
          <w:sz w:val="44"/>
          <w:szCs w:val="24"/>
          <w14:textFill>
            <w14:solidFill>
              <w14:schemeClr w14:val="tx1"/>
            </w14:solidFill>
          </w14:textFill>
        </w:rPr>
        <w:t>目</w:t>
      </w:r>
      <w:r>
        <w:rPr>
          <w:rFonts w:hint="eastAsia" w:ascii="黑体" w:hAnsi="黑体" w:eastAsia="黑体" w:cs="黑体"/>
          <w:color w:val="000000" w:themeColor="text1"/>
          <w:sz w:val="44"/>
          <w:szCs w:val="24"/>
          <w14:textFill>
            <w14:solidFill>
              <w14:schemeClr w14:val="tx1"/>
            </w14:solidFill>
          </w14:textFill>
        </w:rPr>
        <w:tab/>
      </w:r>
      <w:r>
        <w:rPr>
          <w:rFonts w:hint="eastAsia" w:ascii="黑体" w:hAnsi="黑体" w:eastAsia="黑体" w:cs="黑体"/>
          <w:color w:val="000000" w:themeColor="text1"/>
          <w:sz w:val="44"/>
          <w:szCs w:val="24"/>
          <w14:textFill>
            <w14:solidFill>
              <w14:schemeClr w14:val="tx1"/>
            </w14:solidFill>
          </w14:textFill>
        </w:rPr>
        <w:t>录</w:t>
      </w:r>
    </w:p>
    <w:p>
      <w:pPr>
        <w:pStyle w:val="59"/>
        <w:rPr>
          <w:color w:val="000000" w:themeColor="text1"/>
          <w14:textFill>
            <w14:solidFill>
              <w14:schemeClr w14:val="tx1"/>
            </w14:solidFill>
          </w14:textFill>
        </w:rPr>
      </w:pP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第一章  竞争性磋商公告..............................................1</w:t>
      </w: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第二章  磋商须知及前附表............................................4</w:t>
      </w: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第三章  评审方法....................................................16</w:t>
      </w: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第四章  采购项目需求....................................... ........21</w:t>
      </w: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第五章  技术标准、规范..............................................23</w:t>
      </w:r>
    </w:p>
    <w:p>
      <w:pPr>
        <w:pStyle w:val="28"/>
        <w:spacing w:line="480" w:lineRule="auto"/>
        <w:ind w:firstLine="494" w:firstLineChars="206"/>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第六章  合同条款及格式..............................................24</w:t>
      </w:r>
    </w:p>
    <w:p>
      <w:pPr>
        <w:pStyle w:val="28"/>
        <w:spacing w:line="480" w:lineRule="auto"/>
        <w:ind w:firstLine="494" w:firstLineChars="206"/>
        <w:rPr>
          <w:rFonts w:asciiTheme="minorEastAsia" w:hAnsiTheme="minorEastAsia"/>
          <w:color w:val="000000" w:themeColor="text1"/>
          <w14:textFill>
            <w14:solidFill>
              <w14:schemeClr w14:val="tx1"/>
            </w14:solidFill>
          </w14:textFill>
        </w:rPr>
        <w:sectPr>
          <w:pgSz w:w="11907" w:h="16840"/>
          <w:pgMar w:top="1304" w:right="1304" w:bottom="1304" w:left="1304" w:header="964" w:footer="737" w:gutter="0"/>
          <w:pgNumType w:start="0"/>
          <w:cols w:space="720" w:num="1"/>
          <w:titlePg/>
          <w:docGrid w:linePitch="312" w:charSpace="0"/>
        </w:sectPr>
      </w:pPr>
      <w:r>
        <w:rPr>
          <w:rFonts w:hint="eastAsia" w:asciiTheme="minorEastAsia" w:hAnsiTheme="minorEastAsia"/>
          <w:color w:val="000000" w:themeColor="text1"/>
          <w:sz w:val="24"/>
          <w:szCs w:val="24"/>
          <w14:textFill>
            <w14:solidFill>
              <w14:schemeClr w14:val="tx1"/>
            </w14:solidFill>
          </w14:textFill>
        </w:rPr>
        <w:t>第七章  响应文件基本格式............................................63</w:t>
      </w:r>
    </w:p>
    <w:p>
      <w:pPr>
        <w:widowControl/>
        <w:jc w:val="center"/>
        <w:rPr>
          <w:color w:val="000000" w:themeColor="text1"/>
          <w:w w:val="95"/>
          <w:sz w:val="36"/>
          <w:szCs w:val="36"/>
          <w14:textFill>
            <w14:solidFill>
              <w14:schemeClr w14:val="tx1"/>
            </w14:solidFill>
          </w14:textFill>
        </w:rPr>
      </w:pPr>
      <w:bookmarkStart w:id="0" w:name="_Toc81384207"/>
      <w:r>
        <w:rPr>
          <w:rFonts w:hint="eastAsia" w:cs="黑体" w:asciiTheme="minorEastAsia" w:hAnsiTheme="minorEastAsia"/>
          <w:color w:val="000000" w:themeColor="text1"/>
          <w:sz w:val="36"/>
          <w:szCs w:val="36"/>
          <w14:textFill>
            <w14:solidFill>
              <w14:schemeClr w14:val="tx1"/>
            </w14:solidFill>
          </w14:textFill>
        </w:rPr>
        <w:t>第</w:t>
      </w:r>
      <w:r>
        <w:rPr>
          <w:rFonts w:hint="eastAsia"/>
          <w:color w:val="000000" w:themeColor="text1"/>
          <w:w w:val="95"/>
          <w:sz w:val="36"/>
          <w:szCs w:val="36"/>
          <w14:textFill>
            <w14:solidFill>
              <w14:schemeClr w14:val="tx1"/>
            </w14:solidFill>
          </w14:textFill>
        </w:rPr>
        <w:t xml:space="preserve">一章 </w:t>
      </w:r>
      <w:r>
        <w:rPr>
          <w:rFonts w:hint="eastAsia"/>
          <w:color w:val="000000" w:themeColor="text1"/>
          <w:sz w:val="36"/>
          <w:szCs w:val="36"/>
          <w14:textFill>
            <w14:solidFill>
              <w14:schemeClr w14:val="tx1"/>
            </w14:solidFill>
          </w14:textFill>
        </w:rPr>
        <w:t>竞争性磋商公告</w:t>
      </w:r>
      <w:bookmarkEnd w:id="0"/>
    </w:p>
    <w:p>
      <w:pPr>
        <w:spacing w:line="600" w:lineRule="exact"/>
        <w:jc w:val="center"/>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防城港市中医医院</w:t>
      </w:r>
      <w:r>
        <w:rPr>
          <w:rFonts w:hint="eastAsia" w:ascii="宋体" w:hAnsi="宋体" w:eastAsia="宋体" w:cs="Times New Roman"/>
          <w:sz w:val="28"/>
          <w:szCs w:val="28"/>
        </w:rPr>
        <w:t>四楼日间手术室工程</w:t>
      </w:r>
      <w:r>
        <w:rPr>
          <w:rFonts w:hint="eastAsia" w:ascii="宋体" w:hAnsi="宋体" w:eastAsia="宋体" w:cs="宋体"/>
          <w:color w:val="000000" w:themeColor="text1"/>
          <w:sz w:val="32"/>
          <w:szCs w:val="32"/>
          <w14:textFill>
            <w14:solidFill>
              <w14:schemeClr w14:val="tx1"/>
            </w14:solidFill>
          </w14:textFill>
        </w:rPr>
        <w:t>竞争性磋商公告</w:t>
      </w:r>
    </w:p>
    <w:tbl>
      <w:tblPr>
        <w:tblStyle w:val="49"/>
        <w:tblpPr w:leftFromText="180" w:rightFromText="180" w:vertAnchor="text" w:horzAnchor="page" w:tblpXSpec="center" w:tblpY="112"/>
        <w:tblOverlap w:val="never"/>
        <w:tblW w:w="95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535" w:type="dxa"/>
          </w:tcPr>
          <w:p>
            <w:pPr>
              <w:spacing w:line="400" w:lineRule="exact"/>
              <w:rPr>
                <w:rFonts w:ascii="宋体" w:hAnsi="宋体" w:eastAsia="宋体" w:cs="宋体"/>
                <w:color w:val="auto"/>
                <w:kern w:val="0"/>
                <w:szCs w:val="21"/>
              </w:rPr>
            </w:pPr>
            <w:r>
              <w:rPr>
                <w:rFonts w:hint="eastAsia" w:ascii="宋体" w:hAnsi="宋体" w:eastAsia="宋体" w:cs="宋体"/>
                <w:color w:val="auto"/>
                <w:kern w:val="0"/>
                <w:szCs w:val="21"/>
              </w:rPr>
              <w:t>项目概况</w:t>
            </w:r>
          </w:p>
          <w:p>
            <w:pPr>
              <w:spacing w:line="400" w:lineRule="exact"/>
              <w:rPr>
                <w:rFonts w:ascii="宋体" w:hAnsi="宋体" w:eastAsia="宋体" w:cs="宋体"/>
                <w:color w:val="auto"/>
                <w:szCs w:val="21"/>
              </w:rPr>
            </w:pPr>
            <w:r>
              <w:rPr>
                <w:rFonts w:hint="eastAsia" w:ascii="宋体" w:hAnsi="宋体" w:eastAsia="宋体" w:cs="宋体"/>
                <w:color w:val="auto"/>
                <w:kern w:val="0"/>
                <w:szCs w:val="21"/>
              </w:rPr>
              <w:t>　　</w:t>
            </w:r>
            <w:r>
              <w:rPr>
                <w:rFonts w:hint="eastAsia" w:ascii="宋体" w:hAnsi="宋体" w:eastAsia="宋体" w:cs="宋体"/>
                <w:color w:val="auto"/>
                <w:szCs w:val="21"/>
              </w:rPr>
              <w:t>防城港市中医医院四楼日间手术室工程的潜在供应商应采用现场报名方式获取竞争性蹉商采购文件，并于2024年</w:t>
            </w:r>
            <w:r>
              <w:rPr>
                <w:rFonts w:hint="eastAsia" w:ascii="宋体" w:hAnsi="宋体" w:eastAsia="宋体" w:cs="宋体"/>
                <w:color w:val="auto"/>
                <w:szCs w:val="21"/>
                <w:lang w:val="en-US" w:eastAsia="zh-CN"/>
              </w:rPr>
              <w:t>6</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26</w:t>
            </w:r>
            <w:r>
              <w:rPr>
                <w:rFonts w:hint="eastAsia" w:ascii="宋体" w:hAnsi="宋体" w:eastAsia="宋体" w:cs="宋体"/>
                <w:color w:val="auto"/>
                <w:szCs w:val="21"/>
              </w:rPr>
              <w:t>日15点00分（北京时间）前提交响应文件。</w:t>
            </w:r>
          </w:p>
        </w:tc>
      </w:tr>
    </w:tbl>
    <w:p>
      <w:pPr>
        <w:spacing w:line="420" w:lineRule="exact"/>
        <w:ind w:firstLine="420" w:firstLineChars="200"/>
        <w:rPr>
          <w:rFonts w:ascii="宋体" w:hAnsi="宋体" w:eastAsia="宋体" w:cs="宋体"/>
          <w:color w:val="auto"/>
        </w:rPr>
      </w:pPr>
      <w:r>
        <w:rPr>
          <w:rFonts w:hint="eastAsia" w:ascii="宋体" w:hAnsi="宋体" w:eastAsia="宋体" w:cs="宋体"/>
          <w:color w:val="auto"/>
        </w:rPr>
        <w:t>一、项目基本情况</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项目编号：FCZC2024-C2-10011-GLGC(Y)</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项目名称：防城港市中医医院四楼日间手术室工程</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采购方式：□竞争性谈判 ☑竞争性磋商 □询价</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建设内容：包含手术室装修装饰、电气、给排水、暖通及医用气体安装等，具体详见设计图纸及工程量清单；</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建设地点：防城港市中医医院</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施工期限：自签订合同之日起60个日历日；</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xml:space="preserve">工程质量：符合有关国家质量标准、技术规范及规程要求。 </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资金来源：业务用房改造专项资金</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2.预算控制价（人民币）：肆拾伍万壹仟叁佰柒拾叁元壹角捌分（</w:t>
      </w:r>
      <w:r>
        <w:rPr>
          <w:rFonts w:hint="eastAsia" w:ascii="宋体" w:hAnsi="宋体" w:eastAsia="宋体" w:cs="宋体"/>
          <w:bCs/>
          <w:color w:val="auto"/>
          <w:szCs w:val="21"/>
        </w:rPr>
        <w:t>¥</w:t>
      </w:r>
      <w:r>
        <w:rPr>
          <w:rFonts w:hint="eastAsia" w:ascii="宋体" w:hAnsi="宋体" w:eastAsia="宋体" w:cs="宋体"/>
          <w:color w:val="auto"/>
        </w:rPr>
        <w:t>451373.18元）</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二、申请人的资格要求：</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1.满足《中华人民共和国政府采购法》第二十二条规定；且为境内注册（指按国家有关规定要求注册的）的供应商。</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2.供应商的特定要求：</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1.具备建筑装修装饰工程专业承包二级以上（含二级）资质，并同时具有省级或以上建设行政主管部门颁发的建筑施工企业安全生产许可证，并在人员、设备、资金等方面具有相应能力的施工企业；</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xml:space="preserve">2.拟派驻本工程的项目经理必须具有建筑工程专业二级以上（含二级）注册建造师资格并获得有效的安全生产考核合格证（B证）； </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3.供应商按《医疗器械监督管理条例》（国务院令第739号）医疗器械分类管理要求提供有效的医疗器械经营备案凭证或者经营许可证，且经营范围必须包含采购标的（符合《医疗器械监督管理条例》第四十一条第二款规定的除外）；</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5.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5.本项目不接受联合体投标。</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三、获取采购文件</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时间：2024年</w:t>
      </w:r>
      <w:r>
        <w:rPr>
          <w:rFonts w:hint="eastAsia" w:ascii="宋体" w:hAnsi="宋体" w:eastAsia="宋体" w:cs="宋体"/>
          <w:color w:val="auto"/>
          <w:lang w:val="en-US" w:eastAsia="zh-CN"/>
        </w:rPr>
        <w:t>6</w:t>
      </w:r>
      <w:r>
        <w:rPr>
          <w:rFonts w:hint="eastAsia" w:ascii="宋体" w:hAnsi="宋体" w:eastAsia="宋体" w:cs="宋体"/>
          <w:color w:val="auto"/>
        </w:rPr>
        <w:t>月</w:t>
      </w:r>
      <w:r>
        <w:rPr>
          <w:rFonts w:hint="eastAsia" w:ascii="宋体" w:hAnsi="宋体" w:eastAsia="宋体" w:cs="宋体"/>
          <w:color w:val="auto"/>
          <w:lang w:val="en-US" w:eastAsia="zh-CN"/>
        </w:rPr>
        <w:t>14</w:t>
      </w:r>
      <w:r>
        <w:rPr>
          <w:rFonts w:hint="eastAsia" w:ascii="宋体" w:hAnsi="宋体" w:eastAsia="宋体" w:cs="宋体"/>
          <w:color w:val="auto"/>
        </w:rPr>
        <w:t>日至2024年</w:t>
      </w:r>
      <w:r>
        <w:rPr>
          <w:rFonts w:hint="eastAsia" w:ascii="宋体" w:hAnsi="宋体" w:eastAsia="宋体" w:cs="宋体"/>
          <w:color w:val="auto"/>
          <w:lang w:val="en-US" w:eastAsia="zh-CN"/>
        </w:rPr>
        <w:t>6</w:t>
      </w:r>
      <w:r>
        <w:rPr>
          <w:rFonts w:hint="eastAsia" w:ascii="宋体" w:hAnsi="宋体" w:eastAsia="宋体" w:cs="宋体"/>
          <w:color w:val="auto"/>
        </w:rPr>
        <w:t>月</w:t>
      </w:r>
      <w:r>
        <w:rPr>
          <w:rFonts w:hint="eastAsia" w:ascii="宋体" w:hAnsi="宋体" w:eastAsia="宋体" w:cs="宋体"/>
          <w:color w:val="auto"/>
          <w:lang w:val="en-US" w:eastAsia="zh-CN"/>
        </w:rPr>
        <w:t>21</w:t>
      </w:r>
      <w:r>
        <w:rPr>
          <w:rFonts w:hint="eastAsia" w:ascii="宋体" w:hAnsi="宋体" w:eastAsia="宋体" w:cs="宋体"/>
          <w:color w:val="auto"/>
        </w:rPr>
        <w:t>日，每天上午8:00至12:00，下午15:00至18:00（北京时间，法定节假日除外）</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方式：本项目采用线下填表报名方式购买竞争性</w:t>
      </w:r>
      <w:r>
        <w:rPr>
          <w:rFonts w:hint="eastAsia" w:ascii="宋体" w:hAnsi="宋体" w:eastAsia="宋体" w:cs="宋体"/>
          <w:color w:val="auto"/>
          <w:lang w:eastAsia="zh-CN"/>
        </w:rPr>
        <w:t>磋商</w:t>
      </w:r>
      <w:r>
        <w:rPr>
          <w:rFonts w:hint="eastAsia" w:ascii="宋体" w:hAnsi="宋体" w:eastAsia="宋体" w:cs="宋体"/>
          <w:color w:val="auto"/>
        </w:rPr>
        <w:t>采购文件。请潜在供应商到采购代理机构处现场报名（投标人并将资质证明报名材料扫描发送至电子邮箱2294353460@qq.com）,并电话联系（严工：18977002756）确认报名结果。</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售价：200元，售后不退。</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四、响应文件提交</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截止时间：2024年</w:t>
      </w:r>
      <w:r>
        <w:rPr>
          <w:rFonts w:hint="eastAsia" w:ascii="宋体" w:hAnsi="宋体" w:eastAsia="宋体" w:cs="宋体"/>
          <w:color w:val="auto"/>
          <w:szCs w:val="21"/>
          <w:lang w:val="en-US" w:eastAsia="zh-CN"/>
        </w:rPr>
        <w:t>6</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26</w:t>
      </w:r>
      <w:r>
        <w:rPr>
          <w:rFonts w:hint="eastAsia" w:ascii="宋体" w:hAnsi="宋体" w:eastAsia="宋体" w:cs="宋体"/>
          <w:color w:val="auto"/>
          <w:szCs w:val="21"/>
        </w:rPr>
        <w:t>日15点00分</w:t>
      </w:r>
      <w:r>
        <w:rPr>
          <w:rFonts w:hint="eastAsia" w:ascii="宋体" w:hAnsi="宋体" w:eastAsia="宋体" w:cs="宋体"/>
          <w:color w:val="auto"/>
        </w:rPr>
        <w:t>（北京时间）</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地点：广西国立工程咨询有限公司(防城港市防城区市场监督管理局大门直入50米)　　</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注：供应商应当在响应文件提交截止时间前，将响应文件密封送达响应文件提交地点。在响应文件提交截止时间后送达的响应文件为无效文件，采购代理机构应当拒收。</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五、开启</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时间：2024年</w:t>
      </w:r>
      <w:r>
        <w:rPr>
          <w:rFonts w:hint="eastAsia" w:ascii="宋体" w:hAnsi="宋体" w:eastAsia="宋体" w:cs="宋体"/>
          <w:color w:val="auto"/>
          <w:szCs w:val="21"/>
          <w:lang w:val="en-US" w:eastAsia="zh-CN"/>
        </w:rPr>
        <w:t>6</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26</w:t>
      </w:r>
      <w:r>
        <w:rPr>
          <w:rFonts w:hint="eastAsia" w:ascii="宋体" w:hAnsi="宋体" w:eastAsia="宋体" w:cs="宋体"/>
          <w:color w:val="auto"/>
          <w:szCs w:val="21"/>
        </w:rPr>
        <w:t>日15点00分</w:t>
      </w:r>
      <w:r>
        <w:rPr>
          <w:rFonts w:hint="eastAsia" w:ascii="宋体" w:hAnsi="宋体" w:eastAsia="宋体" w:cs="宋体"/>
          <w:color w:val="auto"/>
        </w:rPr>
        <w:t>（北京时间）截标后为与磋商人谈判时间，具体时间由采购代理机构另行通知。</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地点：广西国立工程咨询有限公司(防城港市防城区市场监督管理局大门直入50米，参加法定代表人或被授权人必须持证件（法定代表人须凭法定代表人身份证明书原件、身份证原件及身份证复印件（加盖公章）出席；被授权人须凭法定代表人授权委托书原件、被授权人身份证原件及身份证复印件（加盖公章）出席）依时到达指定地点等候当面谈判。</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六、公告期限</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自本公告发布之日起5个工作日。</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七、其他补充事宜</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1.本采购项目落实的政府采购政策：</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（1）政府采购促进中小企业发展。</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（2）政府采购支持采用本国产品的政策。</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（3）强制采购节能产品；优先采购节能产品、环境标志产品。</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（4）政府采购促进残疾人就业政策。</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（5）政府采购支持监狱企业发展。</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2.网上公告媒体查询：中国政府采购网。</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3.单位负责人为同一人或者存在直接控股、管理关系的不同投标人，不得参加同一合同项下的政府采购活动。为本项目提供过整体设计、规范编制或者项目管理、监理、检测等服务的投标人，不得再参加本项目上述服务以外的其他采购活动；</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4.对在“信用中国”网站、中国政府采购网被列入失信被执行人、重大税收违法案件当事人名单、政府采购严重违法失信行为记录名单及其他不符合《中华人民共和国政府采购法》第二十二条规定条件的投标人，不得参与政府采购活动。</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八、凡对本次采购提出询问，请按以下方式联系。</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1.采购人信息</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名称：防城港市中医医院</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地址：防城港市防城区二桥东路8号</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联系人及电话：曾宪武 ,何明珠0770-3270106</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2.采购代理机构信息</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名 称：广西国立工程咨询有限公司</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地 址：防城港市防城区市场监督管理局大门直入50米</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联系方式：18977002756</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3.项目联系方式</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项目联系人：黄丽艳</w:t>
      </w:r>
    </w:p>
    <w:p>
      <w:pPr>
        <w:spacing w:line="420" w:lineRule="exact"/>
        <w:ind w:firstLine="420" w:firstLineChars="200"/>
        <w:rPr>
          <w:rFonts w:ascii="宋体" w:hAnsi="宋体" w:eastAsia="宋体" w:cs="宋体"/>
          <w:color w:val="auto"/>
        </w:rPr>
      </w:pPr>
      <w:r>
        <w:rPr>
          <w:rFonts w:hint="eastAsia" w:ascii="宋体" w:hAnsi="宋体" w:eastAsia="宋体" w:cs="宋体"/>
          <w:color w:val="auto"/>
        </w:rPr>
        <w:t>　　电 话：18977002756　　</w:t>
      </w:r>
    </w:p>
    <w:p>
      <w:pPr>
        <w:spacing w:line="400" w:lineRule="exact"/>
        <w:jc w:val="right"/>
        <w:rPr>
          <w:rFonts w:ascii="宋体" w:hAnsi="宋体" w:eastAsia="宋体" w:cs="宋体"/>
          <w:color w:val="auto"/>
          <w:szCs w:val="21"/>
        </w:rPr>
      </w:pPr>
      <w:r>
        <w:rPr>
          <w:rFonts w:hint="eastAsia" w:ascii="宋体" w:hAnsi="宋体" w:eastAsia="宋体" w:cs="宋体"/>
          <w:color w:val="auto"/>
          <w:szCs w:val="21"/>
        </w:rPr>
        <w:t>采购人：防城港市中医医院</w:t>
      </w:r>
    </w:p>
    <w:p>
      <w:pPr>
        <w:pStyle w:val="59"/>
        <w:spacing w:line="400" w:lineRule="exact"/>
        <w:rPr>
          <w:rFonts w:ascii="宋体" w:hAnsi="宋体" w:eastAsia="宋体" w:cs="宋体"/>
          <w:color w:val="auto"/>
          <w:sz w:val="21"/>
          <w:szCs w:val="21"/>
        </w:rPr>
      </w:pPr>
    </w:p>
    <w:p>
      <w:pPr>
        <w:snapToGrid w:val="0"/>
        <w:spacing w:line="400" w:lineRule="exact"/>
        <w:jc w:val="right"/>
        <w:outlineLvl w:val="0"/>
        <w:rPr>
          <w:rFonts w:ascii="宋体" w:hAnsi="宋体" w:eastAsia="宋体" w:cs="宋体"/>
          <w:color w:val="auto"/>
          <w:szCs w:val="21"/>
        </w:rPr>
      </w:pPr>
      <w:r>
        <w:rPr>
          <w:rFonts w:hint="eastAsia" w:ascii="宋体" w:hAnsi="宋体" w:eastAsia="宋体" w:cs="宋体"/>
          <w:color w:val="auto"/>
          <w:szCs w:val="21"/>
        </w:rPr>
        <w:t>采购代理机构：广西国立工程咨询有限公司</w:t>
      </w:r>
    </w:p>
    <w:p>
      <w:pPr>
        <w:snapToGrid w:val="0"/>
        <w:spacing w:line="400" w:lineRule="exact"/>
        <w:jc w:val="right"/>
        <w:outlineLvl w:val="0"/>
        <w:rPr>
          <w:rFonts w:ascii="宋体" w:hAnsi="宋体" w:eastAsia="宋体" w:cs="宋体"/>
          <w:color w:val="auto"/>
          <w:szCs w:val="21"/>
        </w:rPr>
      </w:pPr>
      <w:r>
        <w:rPr>
          <w:rFonts w:hint="eastAsia" w:ascii="宋体" w:hAnsi="宋体" w:eastAsia="宋体" w:cs="宋体"/>
          <w:color w:val="auto"/>
          <w:szCs w:val="21"/>
        </w:rPr>
        <w:t xml:space="preserve"> 2024年</w:t>
      </w:r>
      <w:r>
        <w:rPr>
          <w:rFonts w:hint="eastAsia" w:ascii="宋体" w:hAnsi="宋体" w:eastAsia="宋体" w:cs="宋体"/>
          <w:color w:val="auto"/>
          <w:szCs w:val="21"/>
          <w:lang w:val="en-US" w:eastAsia="zh-CN"/>
        </w:rPr>
        <w:t>6</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14</w:t>
      </w:r>
      <w:r>
        <w:rPr>
          <w:rFonts w:hint="eastAsia" w:ascii="宋体" w:hAnsi="宋体" w:eastAsia="宋体" w:cs="宋体"/>
          <w:color w:val="auto"/>
          <w:szCs w:val="21"/>
        </w:rPr>
        <w:t>日</w:t>
      </w:r>
    </w:p>
    <w:p>
      <w:pPr>
        <w:pStyle w:val="75"/>
        <w:spacing w:line="400" w:lineRule="exact"/>
        <w:ind w:left="0" w:firstLine="0"/>
        <w:jc w:val="center"/>
        <w:rPr>
          <w:rFonts w:ascii="宋体" w:hAnsi="宋体" w:eastAsia="宋体" w:cs="宋体"/>
          <w:b/>
          <w:bCs/>
          <w:color w:val="auto"/>
          <w:sz w:val="21"/>
          <w:szCs w:val="21"/>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auto"/>
          <w:sz w:val="32"/>
          <w:szCs w:val="32"/>
        </w:rPr>
      </w:pPr>
    </w:p>
    <w:p>
      <w:pPr>
        <w:pStyle w:val="75"/>
        <w:spacing w:line="440" w:lineRule="exact"/>
        <w:ind w:left="0" w:firstLine="0"/>
        <w:jc w:val="center"/>
        <w:rPr>
          <w:b/>
          <w:bCs/>
          <w:color w:val="000000" w:themeColor="text1"/>
          <w:sz w:val="32"/>
          <w:szCs w:val="32"/>
          <w14:textFill>
            <w14:solidFill>
              <w14:schemeClr w14:val="tx1"/>
            </w14:solidFill>
          </w14:textFill>
        </w:rPr>
      </w:pPr>
      <w:r>
        <w:rPr>
          <w:rFonts w:hint="eastAsia"/>
          <w:b/>
          <w:bCs/>
          <w:color w:val="auto"/>
          <w:sz w:val="32"/>
          <w:szCs w:val="32"/>
        </w:rPr>
        <w:t>第二章磋商须知</w:t>
      </w:r>
    </w:p>
    <w:p>
      <w:pPr>
        <w:spacing w:line="500" w:lineRule="exact"/>
        <w:ind w:firstLine="3855" w:firstLineChars="1200"/>
        <w:rPr>
          <w:rFonts w:ascii="宋体"/>
          <w:b/>
          <w:color w:val="000000" w:themeColor="text1"/>
          <w:sz w:val="32"/>
          <w:szCs w:val="32"/>
          <w14:textFill>
            <w14:solidFill>
              <w14:schemeClr w14:val="tx1"/>
            </w14:solidFill>
          </w14:textFill>
        </w:rPr>
      </w:pPr>
      <w:r>
        <w:rPr>
          <w:rFonts w:hint="eastAsia" w:ascii="宋体"/>
          <w:b/>
          <w:color w:val="000000" w:themeColor="text1"/>
          <w:sz w:val="32"/>
          <w:szCs w:val="32"/>
          <w14:textFill>
            <w14:solidFill>
              <w14:schemeClr w14:val="tx1"/>
            </w14:solidFill>
          </w14:textFill>
        </w:rPr>
        <w:t>竞标人须知前附表</w:t>
      </w:r>
    </w:p>
    <w:tbl>
      <w:tblPr>
        <w:tblStyle w:val="49"/>
        <w:tblW w:w="10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298"/>
        <w:gridCol w:w="84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5"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序号</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说明名称</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内容与要求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677" w:type="dxa"/>
            <w:tcBorders>
              <w:top w:val="single" w:color="000000" w:sz="4" w:space="0"/>
              <w:left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1</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37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项目名称及编号</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宋体" w:hAnsi="宋体" w:eastAsia="宋体" w:cs="宋体"/>
              </w:rPr>
            </w:pPr>
            <w:r>
              <w:rPr>
                <w:rFonts w:hint="eastAsia" w:ascii="宋体" w:hAnsi="宋体" w:eastAsia="宋体" w:cs="宋体"/>
              </w:rPr>
              <w:t>项目编号：FCZC2024-C2-10011-GLGC(Y)</w:t>
            </w:r>
          </w:p>
          <w:p>
            <w:pPr>
              <w:spacing w:line="42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rPr>
              <w:t>项目名称：防城港市中医医院四楼日间手术室工程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jc w:val="center"/>
        </w:trPr>
        <w:tc>
          <w:tcPr>
            <w:tcW w:w="677" w:type="dxa"/>
            <w:tcBorders>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2</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37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预算控制价（人民币）</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37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rPr>
              <w:t>肆拾伍万壹仟叁佰柒拾叁元壹角捌分（</w:t>
            </w:r>
            <w:r>
              <w:rPr>
                <w:rFonts w:hint="eastAsia" w:ascii="宋体" w:hAnsi="宋体" w:eastAsia="宋体" w:cs="宋体"/>
                <w:bCs/>
                <w:color w:val="000000" w:themeColor="text1"/>
                <w:szCs w:val="21"/>
                <w14:textFill>
                  <w14:solidFill>
                    <w14:schemeClr w14:val="tx1"/>
                  </w14:solidFill>
                </w14:textFill>
              </w:rPr>
              <w:t>¥</w:t>
            </w:r>
            <w:r>
              <w:rPr>
                <w:rFonts w:hint="eastAsia" w:ascii="宋体" w:hAnsi="宋体" w:eastAsia="宋体" w:cs="宋体"/>
              </w:rPr>
              <w:t>451373.18元）</w:t>
            </w:r>
            <w:bookmarkStart w:id="625" w:name="_GoBack"/>
            <w:bookmarkEnd w:id="62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9"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3</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37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项目简要描述</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宋体" w:hAnsi="宋体" w:eastAsia="宋体" w:cs="宋体"/>
              </w:rPr>
            </w:pPr>
            <w:r>
              <w:rPr>
                <w:rFonts w:hint="eastAsia" w:ascii="宋体" w:hAnsi="宋体" w:eastAsia="宋体" w:cs="宋体"/>
              </w:rPr>
              <w:t>建设内容：包含手术室装修装饰、电气、给排水、暖通及医用气体安装等，具体详见设计图纸及工程量清单；</w:t>
            </w:r>
          </w:p>
          <w:p>
            <w:pPr>
              <w:spacing w:line="420" w:lineRule="exact"/>
              <w:rPr>
                <w:rFonts w:ascii="宋体" w:hAnsi="宋体" w:eastAsia="宋体" w:cs="宋体"/>
              </w:rPr>
            </w:pPr>
            <w:r>
              <w:rPr>
                <w:rFonts w:hint="eastAsia" w:ascii="宋体" w:hAnsi="宋体" w:eastAsia="宋体" w:cs="宋体"/>
              </w:rPr>
              <w:t>建设地点：防城港市中医医院</w:t>
            </w:r>
          </w:p>
          <w:p>
            <w:pPr>
              <w:spacing w:line="420" w:lineRule="exact"/>
              <w:rPr>
                <w:rFonts w:ascii="宋体" w:hAnsi="宋体" w:eastAsia="宋体" w:cs="宋体"/>
              </w:rPr>
            </w:pPr>
            <w:r>
              <w:rPr>
                <w:rFonts w:hint="eastAsia" w:ascii="宋体" w:hAnsi="宋体" w:eastAsia="宋体" w:cs="宋体"/>
              </w:rPr>
              <w:t>施工期限：自签订合同之日起60个日历日；</w:t>
            </w:r>
          </w:p>
          <w:p>
            <w:pPr>
              <w:spacing w:line="420" w:lineRule="exact"/>
              <w:rPr>
                <w:rFonts w:ascii="宋体" w:hAnsi="宋体" w:eastAsia="宋体" w:cs="宋体"/>
              </w:rPr>
            </w:pPr>
            <w:r>
              <w:rPr>
                <w:rFonts w:hint="eastAsia" w:ascii="宋体" w:hAnsi="宋体" w:eastAsia="宋体" w:cs="宋体"/>
              </w:rPr>
              <w:t xml:space="preserve">工程质量：符合有关国家质量标准、技术规范及规程要求。 </w:t>
            </w:r>
          </w:p>
          <w:p>
            <w:pPr>
              <w:spacing w:line="42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rPr>
              <w:t>资金来源：业务用房改造专项资金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5"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4</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磋商竞标人资格要求</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ind w:firstLine="420" w:firstLineChars="200"/>
              <w:rPr>
                <w:rFonts w:ascii="宋体" w:hAnsi="宋体" w:eastAsia="宋体" w:cs="宋体"/>
              </w:rPr>
            </w:pPr>
            <w:r>
              <w:rPr>
                <w:rFonts w:hint="eastAsia" w:ascii="宋体" w:hAnsi="宋体" w:eastAsia="宋体" w:cs="宋体"/>
              </w:rPr>
              <w:t>1.具备建筑装修装饰工程专业承包二级以上（含二级）资质，并同时具有省级或以上建设行政主管部门颁发的建筑施工企业安全生产许可证，并在人员、设备、资金等方面具有相应能力的施工企业；</w:t>
            </w:r>
          </w:p>
          <w:p>
            <w:pPr>
              <w:spacing w:line="420" w:lineRule="exact"/>
              <w:ind w:firstLine="420" w:firstLineChars="200"/>
              <w:rPr>
                <w:rFonts w:ascii="宋体" w:hAnsi="宋体" w:eastAsia="宋体" w:cs="宋体"/>
              </w:rPr>
            </w:pPr>
            <w:r>
              <w:rPr>
                <w:rFonts w:hint="eastAsia" w:ascii="宋体" w:hAnsi="宋体" w:eastAsia="宋体" w:cs="宋体"/>
              </w:rPr>
              <w:t xml:space="preserve">2.拟派驻本工程的项目经理必须具有建筑工程专业二级以上（含二级）注册建造师资格并获得有效的安全生产考核合格证（B证）； </w:t>
            </w:r>
          </w:p>
          <w:p>
            <w:pPr>
              <w:spacing w:line="420" w:lineRule="exact"/>
              <w:ind w:firstLine="420" w:firstLineChars="200"/>
              <w:rPr>
                <w:rFonts w:ascii="宋体" w:hAnsi="宋体" w:eastAsia="宋体" w:cs="宋体"/>
              </w:rPr>
            </w:pPr>
            <w:r>
              <w:rPr>
                <w:rFonts w:hint="eastAsia" w:ascii="宋体" w:hAnsi="宋体" w:eastAsia="宋体" w:cs="宋体"/>
              </w:rPr>
              <w:t>3.供应商按《医疗器械监督管理条例》（国务院令第739号）医疗器械分类管理要求提供有效的医疗器械经营备案凭证或者经营许可证，且经营范围必须包含采购标的（符合《医疗器械监督管理条例》第四十一条第二款规定的除外）；</w:t>
            </w:r>
          </w:p>
          <w:p>
            <w:pPr>
              <w:spacing w:line="420" w:lineRule="exact"/>
              <w:ind w:firstLine="420" w:firstLineChars="200"/>
              <w:rPr>
                <w:rFonts w:ascii="宋体" w:hAnsi="宋体" w:eastAsia="宋体" w:cs="宋体"/>
              </w:rPr>
            </w:pPr>
            <w:r>
              <w:rPr>
                <w:rFonts w:hint="eastAsia" w:ascii="宋体" w:hAnsi="宋体" w:eastAsia="宋体" w:cs="宋体"/>
              </w:rPr>
              <w:t>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20" w:lineRule="exact"/>
              <w:ind w:firstLine="420" w:firstLineChars="200"/>
              <w:rPr>
                <w:rFonts w:ascii="宋体" w:hAnsi="宋体" w:eastAsia="宋体" w:cs="宋体"/>
              </w:rPr>
            </w:pPr>
            <w:r>
              <w:rPr>
                <w:rFonts w:hint="eastAsia" w:ascii="宋体" w:hAnsi="宋体" w:eastAsia="宋体" w:cs="宋体"/>
              </w:rPr>
              <w:t>5.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pPr>
              <w:spacing w:line="420" w:lineRule="exact"/>
              <w:ind w:firstLine="420" w:firstLineChars="200"/>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rPr>
              <w:t>5.本项目不接受联合体投标。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5</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履约保证金</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宋体" w:hAnsi="宋体" w:eastAsia="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ind w:firstLine="210" w:firstLineChars="100"/>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6</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磋商保证金</w:t>
            </w:r>
          </w:p>
        </w:tc>
        <w:tc>
          <w:tcPr>
            <w:tcW w:w="8464" w:type="dxa"/>
            <w:tcBorders>
              <w:top w:val="single" w:color="000000" w:sz="4" w:space="0"/>
              <w:left w:val="single" w:color="000000" w:sz="4" w:space="0"/>
              <w:bottom w:val="single" w:color="000000" w:sz="4" w:space="0"/>
              <w:right w:val="single" w:color="000000" w:sz="4" w:space="0"/>
            </w:tcBorders>
            <w:vAlign w:val="center"/>
          </w:tcPr>
          <w:p>
            <w:pPr>
              <w:snapToGrid w:val="0"/>
              <w:spacing w:line="32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磋商保证金：无，</w:t>
            </w:r>
            <w:r>
              <w:rPr>
                <w:rFonts w:hint="eastAsia" w:ascii="宋体" w:hAnsi="宋体" w:eastAsia="宋体" w:cs="Times New Roman"/>
                <w:color w:val="000000" w:themeColor="text1"/>
                <w:szCs w:val="21"/>
                <w:shd w:val="clear" w:color="auto" w:fill="FFFFFF"/>
                <w14:textFill>
                  <w14:solidFill>
                    <w14:schemeClr w14:val="tx1"/>
                  </w14:solidFill>
                </w14:textFill>
              </w:rPr>
              <w:t>按照防财采〔</w:t>
            </w:r>
            <w:r>
              <w:rPr>
                <w:rFonts w:ascii="宋体" w:hAnsi="宋体" w:eastAsia="宋体" w:cs="Times New Roman"/>
                <w:color w:val="000000" w:themeColor="text1"/>
                <w:szCs w:val="21"/>
                <w:shd w:val="clear" w:color="auto" w:fill="FFFFFF"/>
                <w14:textFill>
                  <w14:solidFill>
                    <w14:schemeClr w14:val="tx1"/>
                  </w14:solidFill>
                </w14:textFill>
              </w:rPr>
              <w:t>2020</w:t>
            </w:r>
            <w:r>
              <w:rPr>
                <w:rFonts w:hint="eastAsia" w:ascii="宋体" w:hAnsi="宋体" w:eastAsia="宋体" w:cs="Times New Roman"/>
                <w:color w:val="000000" w:themeColor="text1"/>
                <w:szCs w:val="21"/>
                <w:shd w:val="clear" w:color="auto" w:fill="FFFFFF"/>
                <w14:textFill>
                  <w14:solidFill>
                    <w14:schemeClr w14:val="tx1"/>
                  </w14:solidFill>
                </w14:textFill>
              </w:rPr>
              <w:t>〕</w:t>
            </w:r>
            <w:r>
              <w:rPr>
                <w:rFonts w:ascii="宋体" w:hAnsi="宋体" w:eastAsia="宋体" w:cs="Times New Roman"/>
                <w:color w:val="000000" w:themeColor="text1"/>
                <w:szCs w:val="21"/>
                <w:shd w:val="clear" w:color="auto" w:fill="FFFFFF"/>
                <w14:textFill>
                  <w14:solidFill>
                    <w14:schemeClr w14:val="tx1"/>
                  </w14:solidFill>
                </w14:textFill>
              </w:rPr>
              <w:t>14</w:t>
            </w:r>
            <w:r>
              <w:rPr>
                <w:rFonts w:hint="eastAsia" w:ascii="宋体" w:hAnsi="宋体" w:eastAsia="宋体" w:cs="Times New Roman"/>
                <w:color w:val="000000" w:themeColor="text1"/>
                <w:szCs w:val="21"/>
                <w:shd w:val="clear" w:color="auto" w:fill="FFFFFF"/>
                <w14:textFill>
                  <w14:solidFill>
                    <w14:schemeClr w14:val="tx1"/>
                  </w14:solidFill>
                </w14:textFill>
              </w:rPr>
              <w:t>号文件规定，本项目不收取竞标保证金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7</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响应文件份数</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lef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正本一份、副本三份。</w:t>
            </w:r>
          </w:p>
          <w:p>
            <w:pPr>
              <w:snapToGrid w:val="0"/>
              <w:spacing w:line="420" w:lineRule="exact"/>
              <w:jc w:val="left"/>
              <w:rPr>
                <w:rFonts w:ascii="宋体" w:hAnsi="宋体" w:eastAsia="宋体" w:cs="宋体"/>
                <w:szCs w:val="21"/>
              </w:rPr>
            </w:pPr>
            <w:r>
              <w:rPr>
                <w:rFonts w:hint="eastAsia" w:ascii="宋体" w:hAnsi="宋体" w:eastAsia="宋体" w:cs="宋体"/>
                <w:szCs w:val="21"/>
              </w:rPr>
              <w:t>响应文件电子版。供应商在递交响应文件时，同时递交响应文件电子版。</w:t>
            </w:r>
          </w:p>
          <w:p>
            <w:pPr>
              <w:snapToGrid w:val="0"/>
              <w:spacing w:line="420" w:lineRule="exact"/>
              <w:jc w:val="left"/>
              <w:rPr>
                <w:rFonts w:ascii="宋体" w:hAnsi="宋体" w:eastAsia="宋体" w:cs="宋体"/>
                <w:szCs w:val="21"/>
              </w:rPr>
            </w:pPr>
            <w:r>
              <w:rPr>
                <w:rFonts w:hint="eastAsia" w:ascii="宋体" w:hAnsi="宋体" w:eastAsia="宋体" w:cs="宋体"/>
                <w:szCs w:val="21"/>
              </w:rPr>
              <w:t>1.响应文件电子版内容：与纸质响应文件全部内容一致。</w:t>
            </w:r>
          </w:p>
          <w:p>
            <w:pPr>
              <w:snapToGrid w:val="0"/>
              <w:spacing w:line="420" w:lineRule="exact"/>
              <w:jc w:val="left"/>
              <w:rPr>
                <w:rFonts w:ascii="宋体" w:hAnsi="宋体" w:eastAsia="宋体" w:cs="宋体"/>
                <w:szCs w:val="21"/>
              </w:rPr>
            </w:pPr>
            <w:r>
              <w:rPr>
                <w:rFonts w:hint="eastAsia" w:ascii="宋体" w:hAnsi="宋体" w:eastAsia="宋体" w:cs="宋体"/>
                <w:szCs w:val="21"/>
              </w:rPr>
              <w:t>2.响应文件电子版形式：可编辑的word文档格式1份。</w:t>
            </w:r>
          </w:p>
          <w:p>
            <w:pPr>
              <w:pStyle w:val="75"/>
              <w:spacing w:line="420" w:lineRule="exact"/>
              <w:ind w:left="0" w:firstLine="0"/>
              <w:jc w:val="left"/>
            </w:pPr>
            <w:r>
              <w:rPr>
                <w:rFonts w:hint="eastAsia" w:ascii="宋体" w:hAnsi="宋体" w:eastAsia="宋体" w:cs="宋体"/>
                <w:sz w:val="21"/>
                <w:szCs w:val="21"/>
              </w:rPr>
              <w:t>3.响应文件电子版密封方式：响应文件电子版U盘与纸质版响应文件一并装入响应文件袋中。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5"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p>
          <w:p>
            <w:pPr>
              <w:spacing w:line="296" w:lineRule="exact"/>
              <w:jc w:val="center"/>
              <w:rPr>
                <w:rFonts w:ascii="宋体" w:hAnsi="宋体" w:eastAsia="宋体" w:cs="宋体"/>
                <w:bCs/>
                <w:color w:val="000000" w:themeColor="text1"/>
                <w:szCs w:val="21"/>
                <w14:textFill>
                  <w14:solidFill>
                    <w14:schemeClr w14:val="tx1"/>
                  </w14:solidFill>
                </w14:textFill>
              </w:rPr>
            </w:pPr>
          </w:p>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8</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响应文件递交截止时间</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lef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响应文件递交截止时间：</w:t>
            </w:r>
            <w:r>
              <w:rPr>
                <w:rFonts w:hint="eastAsia" w:ascii="宋体" w:hAnsi="宋体" w:eastAsia="宋体" w:cs="宋体"/>
                <w:color w:val="000000" w:themeColor="text1"/>
                <w:szCs w:val="21"/>
                <w14:textFill>
                  <w14:solidFill>
                    <w14:schemeClr w14:val="tx1"/>
                  </w14:solidFill>
                </w14:textFill>
              </w:rPr>
              <w:t xml:space="preserve">2024年 </w:t>
            </w:r>
            <w:r>
              <w:rPr>
                <w:rFonts w:hint="eastAsia" w:ascii="宋体" w:hAnsi="宋体" w:eastAsia="宋体" w:cs="宋体"/>
                <w:color w:val="0000FF"/>
                <w:szCs w:val="21"/>
                <w:lang w:val="en-US" w:eastAsia="zh-CN"/>
              </w:rPr>
              <w:t>6</w:t>
            </w:r>
            <w:r>
              <w:rPr>
                <w:rFonts w:hint="eastAsia" w:ascii="宋体" w:hAnsi="宋体" w:eastAsia="宋体" w:cs="宋体"/>
                <w:color w:val="0000FF"/>
                <w:szCs w:val="21"/>
              </w:rPr>
              <w:t>月</w:t>
            </w:r>
            <w:r>
              <w:rPr>
                <w:rFonts w:hint="eastAsia" w:ascii="宋体" w:hAnsi="宋体" w:eastAsia="宋体" w:cs="宋体"/>
                <w:color w:val="0000FF"/>
                <w:szCs w:val="21"/>
                <w:lang w:val="en-US" w:eastAsia="zh-CN"/>
              </w:rPr>
              <w:t>26</w:t>
            </w:r>
            <w:r>
              <w:rPr>
                <w:rFonts w:hint="eastAsia" w:ascii="宋体" w:hAnsi="宋体" w:eastAsia="宋体" w:cs="宋体"/>
                <w:color w:val="0000FF"/>
                <w:szCs w:val="21"/>
              </w:rPr>
              <w:t>日15点00分</w:t>
            </w:r>
            <w:r>
              <w:rPr>
                <w:rFonts w:hint="eastAsia" w:ascii="宋体" w:hAnsi="宋体" w:eastAsia="宋体" w:cs="宋体"/>
                <w:bCs/>
                <w:color w:val="000000" w:themeColor="text1"/>
                <w:szCs w:val="21"/>
                <w14:textFill>
                  <w14:solidFill>
                    <w14:schemeClr w14:val="tx1"/>
                  </w14:solidFill>
                </w14:textFill>
              </w:rPr>
              <w:t>；</w:t>
            </w:r>
          </w:p>
          <w:p>
            <w:pPr>
              <w:pStyle w:val="75"/>
              <w:spacing w:line="420" w:lineRule="exact"/>
              <w:ind w:left="0" w:firstLine="0"/>
              <w:jc w:val="left"/>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竞标人递交响应文件的地点：</w:t>
            </w:r>
            <w:r>
              <w:rPr>
                <w:rFonts w:hint="eastAsia" w:ascii="宋体" w:hAnsi="宋体" w:eastAsia="宋体" w:cs="宋体"/>
                <w:color w:val="000000" w:themeColor="text1"/>
                <w:sz w:val="21"/>
                <w:szCs w:val="21"/>
                <w14:textFill>
                  <w14:solidFill>
                    <w14:schemeClr w14:val="tx1"/>
                  </w14:solidFill>
                </w14:textFill>
              </w:rPr>
              <w:t>广西国立工程咨询有限公司(防城港市防城区市场监督管理局大门直入50米)</w:t>
            </w:r>
            <w:r>
              <w:rPr>
                <w:rFonts w:hint="eastAsia" w:ascii="宋体" w:hAnsi="宋体" w:eastAsia="宋体" w:cs="宋体"/>
                <w:bCs/>
                <w:color w:val="000000" w:themeColor="text1"/>
                <w:sz w:val="21"/>
                <w:szCs w:val="21"/>
                <w14:textFill>
                  <w14:solidFill>
                    <w14:schemeClr w14:val="tx1"/>
                  </w14:solidFill>
                </w14:textFill>
              </w:rPr>
              <w:t>，竞标人应按竞争性磋商文件中规定的响应截止时间前递交响应文件。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3"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9</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磋商时间</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磋商时间：响应文件递交截止时间：</w:t>
            </w:r>
            <w:r>
              <w:rPr>
                <w:rFonts w:hint="eastAsia" w:ascii="宋体" w:hAnsi="宋体" w:eastAsia="宋体" w:cs="宋体"/>
                <w:color w:val="000000" w:themeColor="text1"/>
                <w:szCs w:val="21"/>
                <w14:textFill>
                  <w14:solidFill>
                    <w14:schemeClr w14:val="tx1"/>
                  </w14:solidFill>
                </w14:textFill>
              </w:rPr>
              <w:t>2024年</w:t>
            </w:r>
            <w:r>
              <w:rPr>
                <w:rFonts w:hint="eastAsia" w:ascii="宋体" w:hAnsi="宋体" w:eastAsia="宋体" w:cs="宋体"/>
                <w:color w:val="0000FF"/>
                <w:szCs w:val="21"/>
                <w:lang w:val="en-US" w:eastAsia="zh-CN"/>
              </w:rPr>
              <w:t>6</w:t>
            </w:r>
            <w:r>
              <w:rPr>
                <w:rFonts w:hint="eastAsia" w:ascii="宋体" w:hAnsi="宋体" w:eastAsia="宋体" w:cs="宋体"/>
                <w:color w:val="0000FF"/>
                <w:szCs w:val="21"/>
              </w:rPr>
              <w:t>月</w:t>
            </w:r>
            <w:r>
              <w:rPr>
                <w:rFonts w:hint="eastAsia" w:ascii="宋体" w:hAnsi="宋体" w:eastAsia="宋体" w:cs="宋体"/>
                <w:color w:val="0000FF"/>
                <w:szCs w:val="21"/>
                <w:lang w:val="en-US" w:eastAsia="zh-CN"/>
              </w:rPr>
              <w:t>26</w:t>
            </w:r>
            <w:r>
              <w:rPr>
                <w:rFonts w:hint="eastAsia" w:ascii="宋体" w:hAnsi="宋体" w:eastAsia="宋体" w:cs="宋体"/>
                <w:color w:val="0000FF"/>
                <w:szCs w:val="21"/>
              </w:rPr>
              <w:t>日15点00分</w:t>
            </w:r>
            <w:r>
              <w:rPr>
                <w:rFonts w:hint="eastAsia" w:ascii="宋体" w:hAnsi="宋体" w:eastAsia="宋体" w:cs="宋体"/>
                <w:bCs/>
                <w:color w:val="000000" w:themeColor="text1"/>
                <w:szCs w:val="21"/>
                <w14:textFill>
                  <w14:solidFill>
                    <w14:schemeClr w14:val="tx1"/>
                  </w14:solidFill>
                </w14:textFill>
              </w:rPr>
              <w:t>截标后（具体时间由代理机构工作人员另行通知）</w:t>
            </w:r>
          </w:p>
          <w:p>
            <w:pPr>
              <w:pStyle w:val="75"/>
              <w:spacing w:line="420" w:lineRule="exact"/>
              <w:ind w:left="0" w:firstLine="0"/>
              <w:jc w:val="center"/>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磋商地点：</w:t>
            </w:r>
            <w:r>
              <w:rPr>
                <w:rFonts w:hint="eastAsia" w:ascii="宋体" w:hAnsi="宋体" w:eastAsia="宋体" w:cs="宋体"/>
                <w:color w:val="000000" w:themeColor="text1"/>
                <w:sz w:val="21"/>
                <w:szCs w:val="21"/>
                <w14:textFill>
                  <w14:solidFill>
                    <w14:schemeClr w14:val="tx1"/>
                  </w14:solidFill>
                </w14:textFill>
              </w:rPr>
              <w:t>广西国立工程咨询有限公司(防城港市防城区市场监督管理局大门直入50米)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10</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评定方法</w:t>
            </w:r>
          </w:p>
        </w:tc>
        <w:tc>
          <w:tcPr>
            <w:tcW w:w="8464" w:type="dxa"/>
            <w:tcBorders>
              <w:top w:val="single" w:color="000000" w:sz="4" w:space="0"/>
              <w:left w:val="single" w:color="000000" w:sz="4" w:space="0"/>
              <w:bottom w:val="single" w:color="000000" w:sz="4" w:space="0"/>
              <w:right w:val="single" w:color="000000" w:sz="4" w:space="0"/>
            </w:tcBorders>
            <w:vAlign w:val="center"/>
          </w:tcPr>
          <w:p>
            <w:pPr>
              <w:spacing w:line="3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评定方法：综合评估法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11</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磋商有效期</w:t>
            </w:r>
          </w:p>
        </w:tc>
        <w:tc>
          <w:tcPr>
            <w:tcW w:w="8464" w:type="dxa"/>
            <w:tcBorders>
              <w:top w:val="single" w:color="000000" w:sz="4" w:space="0"/>
              <w:left w:val="single" w:color="000000" w:sz="4" w:space="0"/>
              <w:bottom w:val="single" w:color="000000" w:sz="4" w:space="0"/>
              <w:right w:val="single" w:color="000000" w:sz="4" w:space="0"/>
            </w:tcBorders>
            <w:vAlign w:val="center"/>
          </w:tcPr>
          <w:p>
            <w:pPr>
              <w:pStyle w:val="13"/>
              <w:numPr>
                <w:ilvl w:val="0"/>
                <w:numId w:val="0"/>
              </w:numPr>
              <w:tabs>
                <w:tab w:val="left" w:pos="454"/>
                <w:tab w:val="left" w:pos="720"/>
                <w:tab w:val="left" w:pos="840"/>
                <w:tab w:val="clear" w:pos="360"/>
              </w:tabs>
              <w:snapToGrid w:val="0"/>
              <w:spacing w:line="3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磋商有效期：60日历天 （从磋商截止之日算起）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12</w:t>
            </w: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96" w:lineRule="exact"/>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采购代理服务费</w:t>
            </w:r>
          </w:p>
        </w:tc>
        <w:tc>
          <w:tcPr>
            <w:tcW w:w="8464" w:type="dxa"/>
            <w:tcBorders>
              <w:top w:val="single" w:color="000000" w:sz="4" w:space="0"/>
              <w:left w:val="single" w:color="000000" w:sz="4" w:space="0"/>
              <w:bottom w:val="single" w:color="000000" w:sz="4" w:space="0"/>
              <w:right w:val="single" w:color="000000" w:sz="4" w:space="0"/>
            </w:tcBorders>
            <w:vAlign w:val="center"/>
          </w:tcPr>
          <w:p>
            <w:pPr>
              <w:pStyle w:val="28"/>
              <w:snapToGrid w:val="0"/>
              <w:spacing w:line="440" w:lineRule="exact"/>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1.采购代理费支付方式：</w:t>
            </w:r>
          </w:p>
          <w:p>
            <w:pPr>
              <w:pStyle w:val="28"/>
              <w:snapToGrid w:val="0"/>
              <w:spacing w:line="440" w:lineRule="exact"/>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本项目代理服务费由成交供应商</w:t>
            </w:r>
            <w:r>
              <w:rPr>
                <w:rFonts w:hint="eastAsia" w:hAnsi="宋体" w:cs="宋体"/>
                <w:bCs/>
                <w:color w:val="000000" w:themeColor="text1"/>
                <w:sz w:val="21"/>
                <w14:textFill>
                  <w14:solidFill>
                    <w14:schemeClr w14:val="tx1"/>
                  </w14:solidFill>
                </w14:textFill>
              </w:rPr>
              <w:t>在发布中标公示后领取中标通知书前</w:t>
            </w:r>
            <w:r>
              <w:rPr>
                <w:rFonts w:hint="eastAsia" w:hAnsi="宋体" w:cs="宋体"/>
                <w:color w:val="000000" w:themeColor="text1"/>
                <w:sz w:val="21"/>
                <w14:textFill>
                  <w14:solidFill>
                    <w14:schemeClr w14:val="tx1"/>
                  </w14:solidFill>
                </w14:textFill>
              </w:rPr>
              <w:t>，一次性向采购代理机构支付(</w:t>
            </w:r>
            <w:r>
              <w:rPr>
                <w:rFonts w:hint="eastAsia" w:hAnsi="宋体" w:cs="宋体"/>
                <w:bCs/>
                <w:color w:val="000000" w:themeColor="text1"/>
                <w:sz w:val="21"/>
                <w14:textFill>
                  <w14:solidFill>
                    <w14:schemeClr w14:val="tx1"/>
                  </w14:solidFill>
                </w14:textFill>
              </w:rPr>
              <w:t>收费不满5000元时按5000元一个项目收取)</w:t>
            </w:r>
            <w:r>
              <w:rPr>
                <w:rFonts w:hint="eastAsia" w:hAnsi="宋体" w:cs="宋体"/>
                <w:color w:val="000000" w:themeColor="text1"/>
                <w:sz w:val="21"/>
                <w14:textFill>
                  <w14:solidFill>
                    <w14:schemeClr w14:val="tx1"/>
                  </w14:solidFill>
                </w14:textFill>
              </w:rPr>
              <w:t>。</w:t>
            </w:r>
          </w:p>
          <w:p>
            <w:pPr>
              <w:pStyle w:val="28"/>
              <w:snapToGrid w:val="0"/>
              <w:spacing w:line="440" w:lineRule="exact"/>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2.采购代理费收取标准：</w:t>
            </w:r>
          </w:p>
          <w:p>
            <w:pPr>
              <w:pStyle w:val="28"/>
              <w:snapToGrid w:val="0"/>
              <w:spacing w:line="440" w:lineRule="exact"/>
              <w:ind w:firstLine="472" w:firstLineChars="225"/>
              <w:rPr>
                <w:rFonts w:hAnsi="宋体" w:eastAsia="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参照国家发展改革委员会（原国家计委）文件 “国家计委关于印发《磋商代理服务收费管理暂行办法》的通知”（ 计价格【2002】1980号）、关于磋商代理服务收费有关问题的通知（发改办价格[2003]857号）及 “国家发展改革委关于降低部分建设项目收费标准规范收费行为等有关问题的通知”（发改价格【2011】534号）规定服</w:t>
            </w:r>
            <w:r>
              <w:rPr>
                <w:rFonts w:hint="eastAsia" w:hAnsi="宋体" w:eastAsia="宋体" w:cs="宋体"/>
                <w:color w:val="000000" w:themeColor="text1"/>
                <w:sz w:val="21"/>
                <w14:textFill>
                  <w14:solidFill>
                    <w14:schemeClr w14:val="tx1"/>
                  </w14:solidFill>
                </w14:textFill>
              </w:rPr>
              <w:t>务类标准及项目规模和特点，按服务磋商中标金额100万以下，按1.5%收取服务费，由乙方向 中标单位（成交供应商） 收取；</w:t>
            </w:r>
          </w:p>
          <w:p>
            <w:pPr>
              <w:pStyle w:val="28"/>
              <w:snapToGrid w:val="0"/>
              <w:spacing w:line="440" w:lineRule="exact"/>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 采购代理费收取银行账户</w:t>
            </w:r>
          </w:p>
          <w:p>
            <w:pPr>
              <w:pStyle w:val="28"/>
              <w:spacing w:line="440" w:lineRule="exact"/>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开户户名：</w:t>
            </w:r>
            <w:r>
              <w:rPr>
                <w:rFonts w:hint="eastAsia" w:hAnsi="宋体" w:eastAsia="宋体" w:cs="宋体"/>
                <w:bCs/>
                <w:color w:val="000000" w:themeColor="text1"/>
                <w:sz w:val="21"/>
                <w14:textFill>
                  <w14:solidFill>
                    <w14:schemeClr w14:val="tx1"/>
                  </w14:solidFill>
                </w14:textFill>
              </w:rPr>
              <w:t>广西国立工程咨询有限公司防城港分公司</w:t>
            </w:r>
          </w:p>
          <w:p>
            <w:pPr>
              <w:spacing w:line="44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开户银行：防城港防城国民村镇银行有限责任公司  </w:t>
            </w:r>
          </w:p>
          <w:p>
            <w:pPr>
              <w:widowControl/>
              <w:spacing w:line="440" w:lineRule="exact"/>
              <w:ind w:right="-512" w:rightChars="-244"/>
              <w:jc w:val="lef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银行账号：6121 0101 3020 27926</w:t>
            </w:r>
          </w:p>
          <w:p>
            <w:pPr>
              <w:autoSpaceDE w:val="0"/>
              <w:autoSpaceDN w:val="0"/>
              <w:snapToGrid w:val="0"/>
              <w:spacing w:line="300" w:lineRule="exact"/>
              <w:textAlignment w:val="bottom"/>
              <w:rPr>
                <w:rFonts w:ascii="宋体" w:hAnsi="宋体" w:eastAsia="宋体" w:cs="宋体"/>
                <w:bCs/>
                <w:color w:val="000000" w:themeColor="text1"/>
                <w:szCs w:val="21"/>
                <w14:textFill>
                  <w14:solidFill>
                    <w14:schemeClr w14:val="tx1"/>
                  </w14:solidFill>
                </w14:textFill>
              </w:rPr>
            </w:pPr>
          </w:p>
        </w:tc>
      </w:tr>
    </w:tbl>
    <w:p>
      <w:pPr>
        <w:spacing w:line="580" w:lineRule="exact"/>
        <w:jc w:val="center"/>
        <w:rPr>
          <w:rFonts w:ascii="宋体" w:hAnsi="宋体" w:eastAsia="宋体" w:cs="宋体"/>
          <w:color w:val="000000" w:themeColor="text1"/>
          <w:sz w:val="32"/>
          <w:szCs w:val="24"/>
          <w14:textFill>
            <w14:solidFill>
              <w14:schemeClr w14:val="tx1"/>
            </w14:solidFill>
          </w14:textFill>
        </w:rPr>
      </w:pPr>
    </w:p>
    <w:p>
      <w:pPr>
        <w:spacing w:line="580" w:lineRule="exact"/>
        <w:jc w:val="center"/>
        <w:rPr>
          <w:rFonts w:ascii="宋体" w:hAnsi="宋体" w:eastAsia="宋体" w:cs="宋体"/>
          <w:b/>
          <w:bCs/>
          <w:color w:val="000000" w:themeColor="text1"/>
          <w:sz w:val="32"/>
          <w:szCs w:val="24"/>
          <w14:textFill>
            <w14:solidFill>
              <w14:schemeClr w14:val="tx1"/>
            </w14:solidFill>
          </w14:textFill>
        </w:rPr>
      </w:pPr>
    </w:p>
    <w:p>
      <w:pPr>
        <w:spacing w:line="580" w:lineRule="exact"/>
        <w:jc w:val="center"/>
        <w:rPr>
          <w:rFonts w:ascii="宋体" w:hAnsi="宋体" w:eastAsia="宋体" w:cs="宋体"/>
          <w:b/>
          <w:bCs/>
          <w:color w:val="000000" w:themeColor="text1"/>
          <w:sz w:val="32"/>
          <w:szCs w:val="24"/>
          <w14:textFill>
            <w14:solidFill>
              <w14:schemeClr w14:val="tx1"/>
            </w14:solidFill>
          </w14:textFill>
        </w:rPr>
      </w:pPr>
    </w:p>
    <w:p>
      <w:pPr>
        <w:spacing w:line="580" w:lineRule="exact"/>
        <w:jc w:val="center"/>
        <w:rPr>
          <w:rFonts w:ascii="宋体" w:hAnsi="宋体" w:eastAsia="宋体" w:cs="宋体"/>
          <w:b/>
          <w:bCs/>
          <w:color w:val="000000" w:themeColor="text1"/>
          <w:sz w:val="32"/>
          <w:szCs w:val="24"/>
          <w14:textFill>
            <w14:solidFill>
              <w14:schemeClr w14:val="tx1"/>
            </w14:solidFill>
          </w14:textFill>
        </w:rPr>
      </w:pPr>
      <w:r>
        <w:rPr>
          <w:rFonts w:hint="eastAsia" w:ascii="宋体" w:hAnsi="宋体" w:eastAsia="宋体" w:cs="宋体"/>
          <w:b/>
          <w:bCs/>
          <w:color w:val="000000" w:themeColor="text1"/>
          <w:sz w:val="32"/>
          <w:szCs w:val="24"/>
          <w14:textFill>
            <w14:solidFill>
              <w14:schemeClr w14:val="tx1"/>
            </w14:solidFill>
          </w14:textFill>
        </w:rPr>
        <w:t>磋商供应商须知</w:t>
      </w:r>
    </w:p>
    <w:p>
      <w:pPr>
        <w:spacing w:before="17"/>
        <w:rPr>
          <w:rFonts w:ascii="宋体" w:hAnsi="宋体" w:eastAsia="宋体" w:cs="宋体"/>
          <w:color w:val="000000" w:themeColor="text1"/>
          <w:sz w:val="17"/>
          <w:szCs w:val="21"/>
          <w14:textFill>
            <w14:solidFill>
              <w14:schemeClr w14:val="tx1"/>
            </w14:solidFill>
          </w14:textFill>
        </w:rPr>
      </w:pPr>
    </w:p>
    <w:p>
      <w:pPr>
        <w:spacing w:line="400" w:lineRule="exact"/>
        <w:jc w:val="center"/>
        <w:rPr>
          <w:rFonts w:asciiTheme="minorEastAsia" w:hAnsiTheme="minorEastAsia"/>
          <w:b/>
          <w:color w:val="000000" w:themeColor="text1"/>
          <w:sz w:val="30"/>
          <w:szCs w:val="30"/>
          <w14:textFill>
            <w14:solidFill>
              <w14:schemeClr w14:val="tx1"/>
            </w14:solidFill>
          </w14:textFill>
        </w:rPr>
      </w:pPr>
      <w:r>
        <w:rPr>
          <w:rFonts w:hint="eastAsia" w:asciiTheme="minorEastAsia" w:hAnsiTheme="minorEastAsia"/>
          <w:b/>
          <w:color w:val="000000" w:themeColor="text1"/>
          <w:sz w:val="30"/>
          <w:szCs w:val="30"/>
          <w14:textFill>
            <w14:solidFill>
              <w14:schemeClr w14:val="tx1"/>
            </w14:solidFill>
          </w14:textFill>
        </w:rPr>
        <w:t>磋商须知</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一、总　则</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w:t>
      </w:r>
      <w:r>
        <w:rPr>
          <w:rFonts w:hint="eastAsia" w:hAnsi="宋体"/>
          <w:color w:val="000000" w:themeColor="text1"/>
          <w14:textFill>
            <w14:solidFill>
              <w14:schemeClr w14:val="tx1"/>
            </w14:solidFill>
          </w14:textFill>
        </w:rPr>
        <w:t xml:space="preserve"> </w:t>
      </w:r>
      <w:r>
        <w:rPr>
          <w:rFonts w:hint="eastAsia" w:hAnsi="宋体"/>
          <w:b/>
          <w:color w:val="000000" w:themeColor="text1"/>
          <w:szCs w:val="21"/>
          <w14:textFill>
            <w14:solidFill>
              <w14:schemeClr w14:val="tx1"/>
            </w14:solidFill>
          </w14:textFill>
        </w:rPr>
        <w:t>项目概况</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1.1</w:t>
      </w:r>
      <w:r>
        <w:rPr>
          <w:rFonts w:hAnsi="宋体"/>
          <w:color w:val="000000" w:themeColor="text1"/>
          <w:szCs w:val="21"/>
          <w14:textFill>
            <w14:solidFill>
              <w14:schemeClr w14:val="tx1"/>
            </w14:solidFill>
          </w14:textFill>
        </w:rPr>
        <w:t>本项目名称</w:t>
      </w:r>
      <w:r>
        <w:rPr>
          <w:rFonts w:hint="eastAsia" w:hAnsi="宋体"/>
          <w:color w:val="000000" w:themeColor="text1"/>
          <w:szCs w:val="21"/>
          <w14:textFill>
            <w14:solidFill>
              <w14:schemeClr w14:val="tx1"/>
            </w14:solidFill>
          </w14:textFill>
        </w:rPr>
        <w:t>及项目编号</w:t>
      </w:r>
      <w:r>
        <w:rPr>
          <w:rFonts w:hAnsi="宋体"/>
          <w:color w:val="000000" w:themeColor="text1"/>
          <w:szCs w:val="21"/>
          <w14:textFill>
            <w14:solidFill>
              <w14:schemeClr w14:val="tx1"/>
            </w14:solidFill>
          </w14:textFill>
        </w:rPr>
        <w:t>：见“</w:t>
      </w:r>
      <w:r>
        <w:rPr>
          <w:rFonts w:hint="eastAsia" w:hAnsi="宋体"/>
          <w:color w:val="000000" w:themeColor="text1"/>
          <w:szCs w:val="21"/>
          <w14:textFill>
            <w14:solidFill>
              <w14:schemeClr w14:val="tx1"/>
            </w14:solidFill>
          </w14:textFill>
        </w:rPr>
        <w:t>磋商</w:t>
      </w:r>
      <w:r>
        <w:rPr>
          <w:rFonts w:hAnsi="宋体"/>
          <w:color w:val="000000" w:themeColor="text1"/>
          <w:szCs w:val="21"/>
          <w14:textFill>
            <w14:solidFill>
              <w14:schemeClr w14:val="tx1"/>
            </w14:solidFill>
          </w14:textFill>
        </w:rPr>
        <w:t>须知前附表”。</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1.2</w:t>
      </w:r>
      <w:r>
        <w:rPr>
          <w:rFonts w:hAnsi="宋体"/>
          <w:color w:val="000000" w:themeColor="text1"/>
          <w:szCs w:val="21"/>
          <w14:textFill>
            <w14:solidFill>
              <w14:schemeClr w14:val="tx1"/>
            </w14:solidFill>
          </w14:textFill>
        </w:rPr>
        <w:t>本项目建设地点：见“</w:t>
      </w:r>
      <w:r>
        <w:rPr>
          <w:rFonts w:hint="eastAsia" w:hAnsi="宋体"/>
          <w:color w:val="000000" w:themeColor="text1"/>
          <w:szCs w:val="21"/>
          <w14:textFill>
            <w14:solidFill>
              <w14:schemeClr w14:val="tx1"/>
            </w14:solidFill>
          </w14:textFill>
        </w:rPr>
        <w:t>磋商</w:t>
      </w:r>
      <w:r>
        <w:rPr>
          <w:rFonts w:hAnsi="宋体"/>
          <w:color w:val="000000" w:themeColor="text1"/>
          <w:szCs w:val="21"/>
          <w14:textFill>
            <w14:solidFill>
              <w14:schemeClr w14:val="tx1"/>
            </w14:solidFill>
          </w14:textFill>
        </w:rPr>
        <w:t>须知前附表”。</w:t>
      </w:r>
    </w:p>
    <w:p>
      <w:pPr>
        <w:spacing w:line="400" w:lineRule="exact"/>
        <w:ind w:firstLine="420" w:firstLineChars="200"/>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1.3 本项目</w:t>
      </w:r>
      <w:r>
        <w:rPr>
          <w:rFonts w:hint="eastAsia" w:hAnsi="宋体"/>
          <w:color w:val="000000" w:themeColor="text1"/>
          <w:szCs w:val="21"/>
          <w14:textFill>
            <w14:solidFill>
              <w14:schemeClr w14:val="tx1"/>
            </w14:solidFill>
          </w14:textFill>
        </w:rPr>
        <w:t>采购</w:t>
      </w:r>
      <w:r>
        <w:rPr>
          <w:rFonts w:hAnsi="宋体"/>
          <w:color w:val="000000" w:themeColor="text1"/>
          <w:szCs w:val="21"/>
          <w14:textFill>
            <w14:solidFill>
              <w14:schemeClr w14:val="tx1"/>
            </w14:solidFill>
          </w14:textFill>
        </w:rPr>
        <w:t>范围：见“</w:t>
      </w:r>
      <w:r>
        <w:rPr>
          <w:rFonts w:hint="eastAsia" w:hAnsi="宋体"/>
          <w:color w:val="000000" w:themeColor="text1"/>
          <w:szCs w:val="21"/>
          <w14:textFill>
            <w14:solidFill>
              <w14:schemeClr w14:val="tx1"/>
            </w14:solidFill>
          </w14:textFill>
        </w:rPr>
        <w:t>磋商</w:t>
      </w:r>
      <w:r>
        <w:rPr>
          <w:rFonts w:hAnsi="宋体"/>
          <w:color w:val="000000" w:themeColor="text1"/>
          <w:szCs w:val="21"/>
          <w14:textFill>
            <w14:solidFill>
              <w14:schemeClr w14:val="tx1"/>
            </w14:solidFill>
          </w14:textFill>
        </w:rPr>
        <w:t>须知前附表”。</w:t>
      </w:r>
    </w:p>
    <w:p>
      <w:pPr>
        <w:spacing w:line="400" w:lineRule="exact"/>
        <w:ind w:firstLine="420" w:firstLineChars="200"/>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1.</w:t>
      </w:r>
      <w:r>
        <w:rPr>
          <w:rFonts w:hint="eastAsia" w:hAnsi="宋体"/>
          <w:color w:val="000000" w:themeColor="text1"/>
          <w:szCs w:val="21"/>
          <w14:textFill>
            <w14:solidFill>
              <w14:schemeClr w14:val="tx1"/>
            </w14:solidFill>
          </w14:textFill>
        </w:rPr>
        <w:t>4</w:t>
      </w:r>
      <w:r>
        <w:rPr>
          <w:rFonts w:hAnsi="宋体"/>
          <w:color w:val="000000" w:themeColor="text1"/>
          <w:szCs w:val="21"/>
          <w14:textFill>
            <w14:solidFill>
              <w14:schemeClr w14:val="tx1"/>
            </w14:solidFill>
          </w14:textFill>
        </w:rPr>
        <w:t xml:space="preserve"> 本项目的</w:t>
      </w:r>
      <w:r>
        <w:rPr>
          <w:rFonts w:hint="eastAsia" w:hAnsi="宋体"/>
          <w:color w:val="000000" w:themeColor="text1"/>
          <w:szCs w:val="21"/>
          <w14:textFill>
            <w14:solidFill>
              <w14:schemeClr w14:val="tx1"/>
            </w14:solidFill>
          </w14:textFill>
        </w:rPr>
        <w:t>要求</w:t>
      </w:r>
      <w:r>
        <w:rPr>
          <w:rFonts w:hAnsi="宋体"/>
          <w:color w:val="000000" w:themeColor="text1"/>
          <w:szCs w:val="21"/>
          <w14:textFill>
            <w14:solidFill>
              <w14:schemeClr w14:val="tx1"/>
            </w14:solidFill>
          </w14:textFill>
        </w:rPr>
        <w:t>工期：见“</w:t>
      </w:r>
      <w:r>
        <w:rPr>
          <w:rFonts w:hint="eastAsia" w:hAnsi="宋体"/>
          <w:color w:val="000000" w:themeColor="text1"/>
          <w:szCs w:val="21"/>
          <w14:textFill>
            <w14:solidFill>
              <w14:schemeClr w14:val="tx1"/>
            </w14:solidFill>
          </w14:textFill>
        </w:rPr>
        <w:t>磋商</w:t>
      </w:r>
      <w:r>
        <w:rPr>
          <w:rFonts w:hAnsi="宋体"/>
          <w:color w:val="000000" w:themeColor="text1"/>
          <w:szCs w:val="21"/>
          <w14:textFill>
            <w14:solidFill>
              <w14:schemeClr w14:val="tx1"/>
            </w14:solidFill>
          </w14:textFill>
        </w:rPr>
        <w:t>须知前附表”。</w:t>
      </w:r>
    </w:p>
    <w:p>
      <w:pPr>
        <w:spacing w:line="400" w:lineRule="exact"/>
        <w:ind w:firstLine="420" w:firstLineChars="200"/>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1.</w:t>
      </w:r>
      <w:r>
        <w:rPr>
          <w:rFonts w:hint="eastAsia" w:hAnsi="宋体"/>
          <w:color w:val="000000" w:themeColor="text1"/>
          <w:szCs w:val="21"/>
          <w14:textFill>
            <w14:solidFill>
              <w14:schemeClr w14:val="tx1"/>
            </w14:solidFill>
          </w14:textFill>
        </w:rPr>
        <w:t>5</w:t>
      </w:r>
      <w:r>
        <w:rPr>
          <w:rFonts w:hAnsi="宋体"/>
          <w:color w:val="000000" w:themeColor="text1"/>
          <w:szCs w:val="21"/>
          <w14:textFill>
            <w14:solidFill>
              <w14:schemeClr w14:val="tx1"/>
            </w14:solidFill>
          </w14:textFill>
        </w:rPr>
        <w:t xml:space="preserve"> 本项目的质量要求：见“</w:t>
      </w:r>
      <w:r>
        <w:rPr>
          <w:rFonts w:hint="eastAsia" w:hAnsi="宋体"/>
          <w:color w:val="000000" w:themeColor="text1"/>
          <w:szCs w:val="21"/>
          <w14:textFill>
            <w14:solidFill>
              <w14:schemeClr w14:val="tx1"/>
            </w14:solidFill>
          </w14:textFill>
        </w:rPr>
        <w:t>磋商</w:t>
      </w:r>
      <w:r>
        <w:rPr>
          <w:rFonts w:hAnsi="宋体"/>
          <w:color w:val="000000" w:themeColor="text1"/>
          <w:szCs w:val="21"/>
          <w14:textFill>
            <w14:solidFill>
              <w14:schemeClr w14:val="tx1"/>
            </w14:solidFill>
          </w14:textFill>
        </w:rPr>
        <w:t>须知前附表”。</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2.定义</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2.1“采购人”是指：依法进行政府采购的国家机关、事业单位、团体组织。</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2.2“采购代理机构”是指：根据采购人的委托办理采购事宜的机构。</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2.3“供应商”是指购买了竞争性磋商文件，响应本文件要求，参加磋商的法人、其他组织或者自然人。如果该供应商在本次磋商中成交，即成为“成交供应商”。</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2.4“工程”是指建设工程，包括建筑物和构筑物的新建、改建、扩建及其相关的装修、拆除、修缮等。</w:t>
      </w:r>
    </w:p>
    <w:p>
      <w:pPr>
        <w:spacing w:line="320" w:lineRule="exact"/>
        <w:ind w:firstLine="422" w:firstLineChars="201"/>
        <w:rPr>
          <w:rFonts w:ascii="Times New Roman" w:hAnsi="Times New Roman"/>
          <w:color w:val="000000" w:themeColor="text1"/>
          <w:szCs w:val="24"/>
          <w14:textFill>
            <w14:solidFill>
              <w14:schemeClr w14:val="tx1"/>
            </w14:solidFill>
          </w14:textFill>
        </w:rPr>
      </w:pPr>
      <w:r>
        <w:rPr>
          <w:rFonts w:hAnsi="宋体"/>
          <w:color w:val="000000" w:themeColor="text1"/>
          <w:szCs w:val="21"/>
          <w14:textFill>
            <w14:solidFill>
              <w14:schemeClr w14:val="tx1"/>
            </w14:solidFill>
          </w14:textFill>
        </w:rPr>
        <w:t>2.5</w:t>
      </w:r>
      <w:r>
        <w:rPr>
          <w:rFonts w:hint="eastAsia" w:hAnsi="宋体"/>
          <w:color w:val="000000" w:themeColor="text1"/>
          <w:szCs w:val="21"/>
          <w14:textFill>
            <w14:solidFill>
              <w14:schemeClr w14:val="tx1"/>
            </w14:solidFill>
          </w14:textFill>
        </w:rPr>
        <w:t>“服务”是指除货物和工程以外的其他采购对象。</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2.6“响应文件”是指：供应商根据本文件要求，编制包含报价、技术和服务等所有内容的文件。</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3.供应商的资格条件</w:t>
      </w:r>
    </w:p>
    <w:p>
      <w:pPr>
        <w:spacing w:line="400" w:lineRule="exact"/>
        <w:ind w:firstLine="420" w:firstLineChars="200"/>
        <w:rPr>
          <w:rFonts w:hAnsi="宋体" w:cs="Arial"/>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3.1</w:t>
      </w:r>
      <w:r>
        <w:rPr>
          <w:rFonts w:hint="eastAsia" w:hAnsi="宋体" w:cs="Arial"/>
          <w:color w:val="000000" w:themeColor="text1"/>
          <w:szCs w:val="21"/>
          <w14:textFill>
            <w14:solidFill>
              <w14:schemeClr w14:val="tx1"/>
            </w14:solidFill>
          </w14:textFill>
        </w:rPr>
        <w:t>参加本项目的供应商必须满足符合《中华人民共和国政府采购法》第二十二条规定。</w:t>
      </w:r>
    </w:p>
    <w:p>
      <w:pPr>
        <w:spacing w:line="400" w:lineRule="exact"/>
        <w:ind w:firstLine="420" w:firstLineChars="200"/>
        <w:rPr>
          <w:rFonts w:hAnsi="宋体" w:cs="Arial"/>
          <w:color w:val="000000" w:themeColor="text1"/>
          <w:szCs w:val="21"/>
          <w14:textFill>
            <w14:solidFill>
              <w14:schemeClr w14:val="tx1"/>
            </w14:solidFill>
          </w14:textFill>
        </w:rPr>
      </w:pPr>
      <w:r>
        <w:rPr>
          <w:rFonts w:hint="eastAsia" w:hAnsi="宋体" w:cs="Arial"/>
          <w:color w:val="000000" w:themeColor="text1"/>
          <w:szCs w:val="21"/>
          <w14:textFill>
            <w14:solidFill>
              <w14:schemeClr w14:val="tx1"/>
            </w14:solidFill>
          </w14:textFill>
        </w:rPr>
        <w:t>3.2参加本项目的供应商应满足的其它特定资格条件：见“磋商须知前附表”。</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s="Arial"/>
          <w:color w:val="000000" w:themeColor="text1"/>
          <w:szCs w:val="21"/>
          <w14:textFill>
            <w14:solidFill>
              <w14:schemeClr w14:val="tx1"/>
            </w14:solidFill>
          </w14:textFill>
        </w:rPr>
        <w:t>3.3本项目</w:t>
      </w:r>
      <w:r>
        <w:rPr>
          <w:rFonts w:hint="eastAsia" w:hAnsi="宋体"/>
          <w:color w:val="000000" w:themeColor="text1"/>
          <w:szCs w:val="21"/>
          <w14:textFill>
            <w14:solidFill>
              <w14:schemeClr w14:val="tx1"/>
            </w14:solidFill>
          </w14:textFill>
        </w:rPr>
        <w:t>不接受联合体磋商，供应商以联合体形式参加磋商的，磋商无效。</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4. 磋商费用</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4.1 </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应自行承担所有与编写和提交响应文件有关的费用，不论磋商结果如何，采购人和采购代理机构在任何情况下无义务和责任承担此类费用。</w:t>
      </w:r>
    </w:p>
    <w:p>
      <w:pPr>
        <w:spacing w:line="400" w:lineRule="exact"/>
        <w:ind w:firstLine="422" w:firstLineChars="200"/>
        <w:outlineLvl w:val="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二、竞争性磋商文件</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5.竞争性磋商文件的组成</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5.1 本竞争性磋商文件包括六个章节，各章的内容如下：</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第一章  竞争性磋商公告</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第二章  磋商须知及前附表</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第三章  评审方法</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第四章  采购项目需求</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第五章  技术标准、规范</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第六章  合同条款及格式</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第七章  响应文件基本格式</w:t>
      </w:r>
    </w:p>
    <w:p>
      <w:pPr>
        <w:spacing w:line="440" w:lineRule="exact"/>
        <w:ind w:firstLine="464" w:firstLineChars="221"/>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5.2  根据本章第6.1项的规定对竞争性磋商文件所做的澄清、修改，构成竞争性磋商文件的组成部分。当竞争性磋商文件与竞争性磋商文件的澄清和修改就同一内容的表述不一致时，以最后发出的书面文件为准。</w:t>
      </w:r>
    </w:p>
    <w:p>
      <w:pPr>
        <w:spacing w:line="440" w:lineRule="exact"/>
        <w:ind w:firstLine="466" w:firstLineChars="221"/>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6. 竞争性磋商文件的澄清和修改</w:t>
      </w:r>
    </w:p>
    <w:p>
      <w:pPr>
        <w:spacing w:line="440" w:lineRule="exact"/>
        <w:ind w:left="2" w:leftChars="1" w:firstLine="470" w:firstLineChars="224"/>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6.1 采购人或采购代理机构对已发出的竞争性磋商文件进行必要澄清或修改的，应当在提交首次响应文件截止之日5日前，以书面形式通知所有竞争性磋商文件收受人，不足5日的，应当顺延提交响应文件截止之日；同时，采购代理机构在竞争性磋商公告的发布媒体上发布更正公告。</w:t>
      </w:r>
    </w:p>
    <w:p>
      <w:pPr>
        <w:spacing w:line="440" w:lineRule="exact"/>
        <w:ind w:left="2" w:leftChars="1" w:firstLine="470" w:firstLineChars="224"/>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6.2  采购人和采购代理机构可以视采购具体情况，延长首次响应文件递交截止时间，但应当在递交首次响应文件截止之日5日前，将变更时间书面通知所有竞争性磋商文件收受人，不足5日的，应当顺延递交首次响应文件截止之日。同时，采购代理机构在竞争性磋商公告的发布媒体上发布更正公告。</w:t>
      </w:r>
    </w:p>
    <w:p>
      <w:pPr>
        <w:spacing w:line="420" w:lineRule="exact"/>
        <w:ind w:left="2" w:leftChars="1" w:firstLine="470" w:firstLineChars="224"/>
        <w:outlineLvl w:val="0"/>
        <w:rPr>
          <w:rFonts w:hAnsi="宋体"/>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w:t>
      </w:r>
      <w:r>
        <w:rPr>
          <w:rFonts w:hint="eastAsia" w:hAnsi="宋体"/>
          <w:b/>
          <w:color w:val="000000" w:themeColor="text1"/>
          <w:szCs w:val="21"/>
          <w14:textFill>
            <w14:solidFill>
              <w14:schemeClr w14:val="tx1"/>
            </w14:solidFill>
          </w14:textFill>
        </w:rPr>
        <w:t>首次响应文件</w:t>
      </w:r>
    </w:p>
    <w:p>
      <w:pPr>
        <w:spacing w:line="420" w:lineRule="exact"/>
        <w:ind w:firstLine="422" w:firstLineChars="200"/>
        <w:outlineLvl w:val="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7. 首次响应文件编制基本要求</w:t>
      </w:r>
    </w:p>
    <w:p>
      <w:pPr>
        <w:spacing w:line="42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7.1  </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应仔细阅读竞争性磋商文件，在充分了解采购的内容、服务要求和商务条款以及实质性要求和条件后，编写首次响应文件。</w:t>
      </w:r>
    </w:p>
    <w:p>
      <w:pPr>
        <w:spacing w:line="42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7.2  对竞争性磋商文件的实质性要求和条件作出响应是指</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必须对竞争性磋商文件中标注为实质性要求和条件的服务要求、商务条款及其它内容作出满足或者优于原要求和条件的承诺，必要时提供证明材料。竞争性磋商文件中标注</w:t>
      </w:r>
      <w:r>
        <w:rPr>
          <w:rFonts w:hint="eastAsia" w:hAnsi="宋体" w:cs="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号的内容为实质性要求和条件。</w:t>
      </w:r>
    </w:p>
    <w:p>
      <w:pPr>
        <w:spacing w:line="42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7.3  </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提交的首次响应文件以及</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与</w:t>
      </w:r>
      <w:r>
        <w:rPr>
          <w:rFonts w:hint="eastAsia" w:ascii="Times New Roman" w:hAnsi="Times New Roman"/>
          <w:color w:val="000000" w:themeColor="text1"/>
          <w:szCs w:val="21"/>
          <w14:textFill>
            <w14:solidFill>
              <w14:schemeClr w14:val="tx1"/>
            </w14:solidFill>
          </w14:textFill>
        </w:rPr>
        <w:t>采购代理机构</w:t>
      </w:r>
      <w:r>
        <w:rPr>
          <w:rFonts w:hint="eastAsia" w:hAnsi="宋体"/>
          <w:color w:val="000000" w:themeColor="text1"/>
          <w:szCs w:val="21"/>
          <w14:textFill>
            <w14:solidFill>
              <w14:schemeClr w14:val="tx1"/>
            </w14:solidFill>
          </w14:textFill>
        </w:rPr>
        <w:t>和采购人就有关磋商的所有来往函电均应使用中文。</w:t>
      </w:r>
      <w:r>
        <w:rPr>
          <w:rFonts w:hint="eastAsia" w:hAnsi="宋体" w:cs="Arial"/>
          <w:color w:val="000000" w:themeColor="text1"/>
          <w:szCs w:val="21"/>
          <w14:textFill>
            <w14:solidFill>
              <w14:schemeClr w14:val="tx1"/>
            </w14:solidFill>
          </w14:textFill>
        </w:rPr>
        <w:t>供应商</w:t>
      </w:r>
      <w:r>
        <w:rPr>
          <w:rFonts w:hint="eastAsia" w:hAnsi="宋体"/>
          <w:color w:val="000000" w:themeColor="text1"/>
          <w:szCs w:val="21"/>
          <w14:textFill>
            <w14:solidFill>
              <w14:schemeClr w14:val="tx1"/>
            </w14:solidFill>
          </w14:textFill>
        </w:rPr>
        <w:t>提交的支持文件和印刷的文献可以使用别的语言，但其相应内容必须附有中文翻译文本，在解释响应文件时以翻译文本为主。</w:t>
      </w:r>
    </w:p>
    <w:p>
      <w:pPr>
        <w:spacing w:line="42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7.4  第七章“响应文件基本格式”中规定了响应文件格式的，应按相应格式要求编写。</w:t>
      </w:r>
    </w:p>
    <w:p>
      <w:pPr>
        <w:pStyle w:val="28"/>
        <w:spacing w:line="420" w:lineRule="exact"/>
        <w:ind w:left="2" w:leftChars="1" w:firstLine="470" w:firstLineChars="224"/>
        <w:rPr>
          <w:rFonts w:hAnsi="宋体" w:asciiTheme="minorHAnsi"/>
          <w:color w:val="000000" w:themeColor="text1"/>
          <w:kern w:val="2"/>
          <w:sz w:val="21"/>
          <w14:textFill>
            <w14:solidFill>
              <w14:schemeClr w14:val="tx1"/>
            </w14:solidFill>
          </w14:textFill>
        </w:rPr>
      </w:pPr>
      <w:r>
        <w:rPr>
          <w:rFonts w:hint="eastAsia" w:hAnsi="宋体" w:asciiTheme="minorHAnsi"/>
          <w:color w:val="000000" w:themeColor="text1"/>
          <w:kern w:val="2"/>
          <w:sz w:val="21"/>
          <w14:textFill>
            <w14:solidFill>
              <w14:schemeClr w14:val="tx1"/>
            </w14:solidFill>
          </w14:textFill>
        </w:rPr>
        <w:t>7.5  响应文件应编制目录，且页码清晰准确。</w:t>
      </w:r>
    </w:p>
    <w:p>
      <w:pPr>
        <w:spacing w:line="420" w:lineRule="exact"/>
        <w:ind w:firstLine="422" w:firstLineChars="200"/>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8. 首次响应文件的组成</w:t>
      </w:r>
    </w:p>
    <w:p>
      <w:pPr>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8.1</w:t>
      </w:r>
      <w:r>
        <w:rPr>
          <w:rFonts w:hint="eastAsia" w:hAnsi="宋体"/>
          <w:color w:val="000000" w:themeColor="text1"/>
          <w:szCs w:val="21"/>
          <w14:textFill>
            <w14:solidFill>
              <w14:schemeClr w14:val="tx1"/>
            </w14:solidFill>
          </w14:textFill>
        </w:rPr>
        <w:t>8.1首次响应文件分为</w:t>
      </w:r>
      <w:r>
        <w:rPr>
          <w:rFonts w:hint="eastAsia" w:hAnsi="宋体"/>
          <w:b/>
          <w:bCs/>
          <w:color w:val="000000" w:themeColor="text1"/>
          <w:szCs w:val="21"/>
          <w14:textFill>
            <w14:solidFill>
              <w14:schemeClr w14:val="tx1"/>
            </w14:solidFill>
          </w14:textFill>
        </w:rPr>
        <w:t>资格文件、价格文件、商务和技术文件</w:t>
      </w:r>
      <w:r>
        <w:rPr>
          <w:rFonts w:hint="eastAsia" w:hAnsi="宋体"/>
          <w:color w:val="000000" w:themeColor="text1"/>
          <w:szCs w:val="21"/>
          <w14:textFill>
            <w14:solidFill>
              <w14:schemeClr w14:val="tx1"/>
            </w14:solidFill>
          </w14:textFill>
        </w:rPr>
        <w:t>三个部分。</w:t>
      </w:r>
      <w:r>
        <w:rPr>
          <w:rFonts w:hint="eastAsia" w:hAnsi="宋体"/>
          <w:b/>
          <w:color w:val="000000" w:themeColor="text1"/>
          <w:szCs w:val="21"/>
          <w14:textFill>
            <w14:solidFill>
              <w14:schemeClr w14:val="tx1"/>
            </w14:solidFill>
          </w14:textFill>
        </w:rPr>
        <w:t>属于必须提供的文件，如未提供或提供的文件无效，其响应文件按无效处理。</w:t>
      </w:r>
      <w:r>
        <w:rPr>
          <w:rFonts w:hint="eastAsia" w:hAnsi="宋体"/>
          <w:color w:val="000000" w:themeColor="text1"/>
          <w:szCs w:val="21"/>
          <w14:textFill>
            <w14:solidFill>
              <w14:schemeClr w14:val="tx1"/>
            </w14:solidFill>
          </w14:textFill>
        </w:rPr>
        <w:t>应递交的有关文件如未特别注明为原件的，可提交复印件。</w:t>
      </w:r>
    </w:p>
    <w:p>
      <w:pPr>
        <w:spacing w:line="420" w:lineRule="exact"/>
        <w:ind w:firstLine="422" w:firstLineChars="200"/>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8.1.1资格文件</w:t>
      </w:r>
    </w:p>
    <w:p>
      <w:pPr>
        <w:spacing w:line="42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（1）有效营业执照副本复印件</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napToGrid w:val="0"/>
        <w:spacing w:line="420" w:lineRule="exact"/>
        <w:ind w:firstLine="420" w:firstLineChars="200"/>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（2）法定代表人身份证明书及法定代表人有效身份证正反面复印件（格式后附）（</w:t>
      </w:r>
      <w:r>
        <w:rPr>
          <w:rFonts w:hint="eastAsia" w:ascii="宋体" w:hAnsi="宋体" w:eastAsia="宋体" w:cs="宋体"/>
          <w:b/>
          <w:bCs/>
          <w:color w:val="000000" w:themeColor="text1"/>
          <w:szCs w:val="21"/>
          <w14:textFill>
            <w14:solidFill>
              <w14:schemeClr w14:val="tx1"/>
            </w14:solidFill>
          </w14:textFill>
        </w:rPr>
        <w:t>除自然人竞标外</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（3）授权委托书及委托代理人有效身份证正反面复印件（格式后附）（</w:t>
      </w:r>
      <w:r>
        <w:rPr>
          <w:rFonts w:hint="eastAsia" w:ascii="宋体" w:hAnsi="宋体" w:eastAsia="宋体" w:cs="宋体"/>
          <w:b/>
          <w:color w:val="000000" w:themeColor="text1"/>
          <w:szCs w:val="21"/>
          <w14:textFill>
            <w14:solidFill>
              <w14:schemeClr w14:val="tx1"/>
            </w14:solidFill>
          </w14:textFill>
        </w:rPr>
        <w:t>委托时必须提供，否则响应文件按无效响应处理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20" w:lineRule="exact"/>
        <w:ind w:firstLine="420" w:firstLineChars="200"/>
        <w:rPr>
          <w:rFonts w:ascii="宋体" w:hAnsi="宋体" w:eastAsia="宋体" w:cs="宋体"/>
          <w:b/>
          <w:bCs/>
          <w:szCs w:val="21"/>
        </w:rPr>
      </w:pPr>
      <w:r>
        <w:rPr>
          <w:rFonts w:hint="eastAsia" w:ascii="宋体" w:hAnsi="宋体" w:eastAsia="宋体" w:cs="宋体"/>
          <w:szCs w:val="21"/>
        </w:rPr>
        <w:t>（4）投标人根据防财监〔2023〕58 号文要求提供的《防城港市政府采购供应商信用承诺函》（格式附后）</w:t>
      </w:r>
      <w:r>
        <w:rPr>
          <w:rFonts w:hint="eastAsia" w:ascii="宋体" w:hAnsi="宋体" w:eastAsia="宋体" w:cs="宋体"/>
          <w:b/>
          <w:bCs/>
          <w:szCs w:val="21"/>
        </w:rPr>
        <w:t>（必须提供，否则按无效投标处理）；</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（5）</w:t>
      </w:r>
      <w:r>
        <w:rPr>
          <w:rFonts w:hint="eastAsia" w:ascii="宋体" w:hAnsi="宋体" w:eastAsia="宋体" w:cs="宋体"/>
          <w:color w:val="000000" w:themeColor="text1"/>
          <w:szCs w:val="21"/>
          <w14:textFill>
            <w14:solidFill>
              <w14:schemeClr w14:val="tx1"/>
            </w14:solidFill>
          </w14:textFill>
        </w:rPr>
        <w:t xml:space="preserve"> 供应商直接控股、管理关系信息表（格式后附）</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（6）竞标声明（格式后附）</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2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（7）建筑装修装饰工程专业承包二级以上（含二级）资质</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2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（8）有效省级或以上建设行政主管部门颁发的建筑施工企业安全生产许可证</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2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（9）拟投入本工程四大员（施工员、质量员、安全员、材料员）具有相应施工现场专业人员职业培训合格证书及身份证正反面复印件</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（10）拟投入本工程的专职安全员具有安全生产考核合格证（C类）复印件且在有效期内</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20" w:lineRule="exact"/>
        <w:ind w:firstLine="420" w:firstLineChars="200"/>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（11）</w:t>
      </w:r>
      <w:r>
        <w:rPr>
          <w:rFonts w:hint="eastAsia" w:ascii="宋体" w:hAnsi="宋体" w:eastAsia="宋体" w:cs="宋体"/>
          <w:color w:val="000000"/>
          <w:szCs w:val="21"/>
        </w:rPr>
        <w:t>拟派驻本工程的项目经理必须具有建筑工程专业二级以上（含二级）注册建造师资格并获得有效的安全生产考核合格证（B证）</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(12)</w:t>
      </w:r>
      <w:r>
        <w:rPr>
          <w:rFonts w:hint="eastAsia" w:ascii="宋体" w:hAnsi="宋体" w:eastAsia="宋体" w:cs="宋体"/>
          <w:color w:val="000000" w:themeColor="text1"/>
          <w:szCs w:val="21"/>
          <w14:textFill>
            <w14:solidFill>
              <w14:schemeClr w14:val="tx1"/>
            </w14:solidFill>
          </w14:textFill>
        </w:rPr>
        <w:t>在最近三年内无骗取成交或严重违约（如无不正当理由拖延工程超过合同总工期三分之一以上的，不按合同履行义务的等）或重大工程质量问题的承诺书（</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 xml:space="preserve">）； </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（13）供应商对农民工工资保证金的交纳与使用承诺（按桂劳社发2009【50】文执行）（</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napToGrid w:val="0"/>
        <w:spacing w:line="420" w:lineRule="exact"/>
        <w:ind w:firstLine="420" w:firstLineChars="200"/>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w:t>
      </w:r>
      <w:r>
        <w:rPr>
          <w:rFonts w:hint="eastAsia" w:ascii="宋体" w:hAnsi="宋体" w:eastAsia="宋体" w:cs="宋体"/>
          <w:color w:val="000000" w:themeColor="text1"/>
          <w:spacing w:val="2"/>
          <w:szCs w:val="21"/>
          <w14:textFill>
            <w14:solidFill>
              <w14:schemeClr w14:val="tx1"/>
            </w14:solidFill>
          </w14:textFill>
        </w:rPr>
        <w:t>安全防护、文明施工措施方案的承诺书（按桂建质安[2015]16号文执行）</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pacing w:val="2"/>
          <w:szCs w:val="21"/>
          <w14:textFill>
            <w14:solidFill>
              <w14:schemeClr w14:val="tx1"/>
            </w14:solidFill>
          </w14:textFill>
        </w:rPr>
        <w:t>；</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（15）参加政府采购活动前3年内在经营活动中没有重大违法记录的书面声明（</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pacing w:val="2"/>
          <w:szCs w:val="21"/>
          <w14:textFill>
            <w14:solidFill>
              <w14:schemeClr w14:val="tx1"/>
            </w14:solidFill>
          </w14:textFill>
        </w:rPr>
        <w:t>；</w:t>
      </w:r>
    </w:p>
    <w:p>
      <w:pPr>
        <w:spacing w:line="42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（16）拟派的项目经理不在其他项目服务的承诺书（</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 xml:space="preserve">）； </w:t>
      </w:r>
    </w:p>
    <w:p>
      <w:pPr>
        <w:widowControl/>
        <w:spacing w:line="420" w:lineRule="exact"/>
        <w:ind w:firstLine="315"/>
        <w:jc w:val="left"/>
        <w:rPr>
          <w:rFonts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（17）</w:t>
      </w:r>
      <w:r>
        <w:rPr>
          <w:rFonts w:hint="eastAsia" w:ascii="宋体" w:hAnsi="宋体" w:eastAsia="宋体" w:cs="宋体"/>
          <w:color w:val="000000" w:themeColor="text1"/>
          <w:spacing w:val="2"/>
          <w:kern w:val="0"/>
          <w:szCs w:val="21"/>
          <w14:textFill>
            <w14:solidFill>
              <w14:schemeClr w14:val="tx1"/>
            </w14:solidFill>
          </w14:textFill>
        </w:rPr>
        <w:t>中小企业声明函或残疾人福利性单位声明函或供应商属于监狱企业的证明材料 （</w:t>
      </w:r>
      <w:r>
        <w:rPr>
          <w:rFonts w:hint="eastAsia" w:ascii="宋体" w:hAnsi="宋体" w:eastAsia="宋体" w:cs="宋体"/>
          <w:b/>
          <w:bCs/>
          <w:color w:val="000000" w:themeColor="text1"/>
          <w:spacing w:val="2"/>
          <w:kern w:val="0"/>
          <w:szCs w:val="21"/>
          <w14:textFill>
            <w14:solidFill>
              <w14:schemeClr w14:val="tx1"/>
            </w14:solidFill>
          </w14:textFill>
        </w:rPr>
        <w:t>必须提供，否则按无效响应处理</w:t>
      </w:r>
      <w:r>
        <w:rPr>
          <w:rFonts w:hint="eastAsia" w:ascii="宋体" w:hAnsi="宋体" w:eastAsia="宋体" w:cs="宋体"/>
          <w:color w:val="000000" w:themeColor="text1"/>
          <w:spacing w:val="2"/>
          <w:kern w:val="0"/>
          <w:szCs w:val="21"/>
          <w14:textFill>
            <w14:solidFill>
              <w14:schemeClr w14:val="tx1"/>
            </w14:solidFill>
          </w14:textFill>
        </w:rPr>
        <w:t>）；</w:t>
      </w:r>
    </w:p>
    <w:p>
      <w:pPr>
        <w:spacing w:line="480" w:lineRule="exact"/>
        <w:ind w:firstLine="420" w:firstLineChars="200"/>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（18)</w:t>
      </w:r>
      <w:r>
        <w:rPr>
          <w:rFonts w:hint="eastAsia" w:ascii="宋体" w:hAnsi="宋体" w:eastAsia="宋体" w:cs="宋体"/>
          <w:color w:val="000000"/>
          <w:szCs w:val="21"/>
        </w:rPr>
        <w:t>供应商按《医疗器械监督管理条例》（国务院令第739号）医疗器械分类管理要求提供有效的医疗器械经营备案凭证或者经营许可证，且经营范围必须包含采购标的（符合《医疗器械监督管理条例》第四十一条第二款规定的除外）</w:t>
      </w:r>
      <w:r>
        <w:rPr>
          <w:rFonts w:hint="eastAsia" w:ascii="宋体" w:hAnsi="宋体" w:eastAsia="宋体" w:cs="宋体"/>
          <w:color w:val="000000" w:themeColor="text1"/>
          <w:spacing w:val="2"/>
          <w:kern w:val="0"/>
          <w:szCs w:val="21"/>
          <w14:textFill>
            <w14:solidFill>
              <w14:schemeClr w14:val="tx1"/>
            </w14:solidFill>
          </w14:textFill>
        </w:rPr>
        <w:t>（</w:t>
      </w:r>
      <w:r>
        <w:rPr>
          <w:rFonts w:hint="eastAsia" w:ascii="宋体" w:hAnsi="宋体" w:eastAsia="宋体" w:cs="宋体"/>
          <w:b/>
          <w:bCs/>
          <w:color w:val="000000" w:themeColor="text1"/>
          <w:spacing w:val="2"/>
          <w:kern w:val="0"/>
          <w:szCs w:val="21"/>
          <w14:textFill>
            <w14:solidFill>
              <w14:schemeClr w14:val="tx1"/>
            </w14:solidFill>
          </w14:textFill>
        </w:rPr>
        <w:t>必须提供，否则按无效响应处理</w:t>
      </w:r>
      <w:r>
        <w:rPr>
          <w:rFonts w:hint="eastAsia" w:ascii="宋体" w:hAnsi="宋体" w:eastAsia="宋体" w:cs="宋体"/>
          <w:color w:val="000000" w:themeColor="text1"/>
          <w:spacing w:val="2"/>
          <w:kern w:val="0"/>
          <w:szCs w:val="21"/>
          <w14:textFill>
            <w14:solidFill>
              <w14:schemeClr w14:val="tx1"/>
            </w14:solidFill>
          </w14:textFill>
        </w:rPr>
        <w:t>）</w:t>
      </w:r>
      <w:r>
        <w:rPr>
          <w:rFonts w:hint="eastAsia" w:ascii="宋体" w:hAnsi="宋体" w:eastAsia="宋体" w:cs="宋体"/>
          <w:color w:val="000000" w:themeColor="text1"/>
          <w:spacing w:val="2"/>
          <w:szCs w:val="21"/>
          <w14:textFill>
            <w14:solidFill>
              <w14:schemeClr w14:val="tx1"/>
            </w14:solidFill>
          </w14:textFill>
        </w:rPr>
        <w:t>；</w:t>
      </w:r>
    </w:p>
    <w:p>
      <w:pPr>
        <w:pStyle w:val="58"/>
        <w:spacing w:line="420" w:lineRule="exact"/>
        <w:ind w:firstLine="420" w:firstLineChars="200"/>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(19)除磋商文件规定必须提供以外，供应商认为需要提供的其他证明材料；</w:t>
      </w:r>
    </w:p>
    <w:p>
      <w:pPr>
        <w:spacing w:line="420" w:lineRule="exact"/>
        <w:ind w:firstLine="344" w:firstLineChars="163"/>
        <w:rPr>
          <w:rFonts w:asciiTheme="minorEastAsia" w:hAnsiTheme="minorEastAsia"/>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8.1.2 </w:t>
      </w:r>
      <w:r>
        <w:rPr>
          <w:rFonts w:hint="eastAsia" w:asciiTheme="minorEastAsia" w:hAnsiTheme="minorEastAsia"/>
          <w:b/>
          <w:bCs/>
          <w:color w:val="000000" w:themeColor="text1"/>
          <w:szCs w:val="21"/>
          <w14:textFill>
            <w14:solidFill>
              <w14:schemeClr w14:val="tx1"/>
            </w14:solidFill>
          </w14:textFill>
        </w:rPr>
        <w:t>价格文件</w:t>
      </w:r>
    </w:p>
    <w:p>
      <w:pPr>
        <w:spacing w:line="420" w:lineRule="exact"/>
        <w:ind w:firstLine="480"/>
        <w:rPr>
          <w:rFonts w:ascii="宋体" w:hAnsi="宋体" w:cs="Courier New"/>
          <w:color w:val="000000" w:themeColor="text1"/>
          <w:spacing w:val="2"/>
          <w14:textFill>
            <w14:solidFill>
              <w14:schemeClr w14:val="tx1"/>
            </w14:solidFill>
          </w14:textFill>
        </w:rPr>
      </w:pPr>
      <w:r>
        <w:rPr>
          <w:rFonts w:hint="eastAsia" w:ascii="宋体" w:hAnsi="宋体" w:cs="Courier New"/>
          <w:color w:val="000000" w:themeColor="text1"/>
          <w:spacing w:val="2"/>
          <w14:textFill>
            <w14:solidFill>
              <w14:schemeClr w14:val="tx1"/>
            </w14:solidFill>
          </w14:textFill>
        </w:rPr>
        <w:t>（1）竞标函（格式后附）；（</w:t>
      </w:r>
      <w:r>
        <w:rPr>
          <w:rFonts w:hint="eastAsia" w:ascii="宋体" w:hAnsi="宋体" w:cs="Courier New"/>
          <w:b/>
          <w:color w:val="000000" w:themeColor="text1"/>
          <w:spacing w:val="2"/>
          <w14:textFill>
            <w14:solidFill>
              <w14:schemeClr w14:val="tx1"/>
            </w14:solidFill>
          </w14:textFill>
        </w:rPr>
        <w:t>必须提供，否则响应文件按无效处理</w:t>
      </w:r>
      <w:r>
        <w:rPr>
          <w:rFonts w:hint="eastAsia" w:ascii="宋体" w:hAnsi="宋体" w:cs="Courier New"/>
          <w:color w:val="000000" w:themeColor="text1"/>
          <w:spacing w:val="2"/>
          <w14:textFill>
            <w14:solidFill>
              <w14:schemeClr w14:val="tx1"/>
            </w14:solidFill>
          </w14:textFill>
        </w:rPr>
        <w:t>）</w:t>
      </w:r>
    </w:p>
    <w:p>
      <w:pPr>
        <w:spacing w:line="420" w:lineRule="exact"/>
        <w:ind w:firstLine="480"/>
        <w:rPr>
          <w:rFonts w:ascii="宋体" w:hAnsi="宋体" w:cs="Courier New"/>
          <w:color w:val="000000" w:themeColor="text1"/>
          <w:spacing w:val="2"/>
          <w14:textFill>
            <w14:solidFill>
              <w14:schemeClr w14:val="tx1"/>
            </w14:solidFill>
          </w14:textFill>
        </w:rPr>
      </w:pPr>
      <w:r>
        <w:rPr>
          <w:rFonts w:hint="eastAsia" w:ascii="宋体" w:hAnsi="宋体" w:cs="Courier New"/>
          <w:color w:val="000000" w:themeColor="text1"/>
          <w:spacing w:val="2"/>
          <w14:textFill>
            <w14:solidFill>
              <w14:schemeClr w14:val="tx1"/>
            </w14:solidFill>
          </w14:textFill>
        </w:rPr>
        <w:t>（2）磋商报价书文件</w:t>
      </w:r>
    </w:p>
    <w:p>
      <w:pPr>
        <w:spacing w:line="420" w:lineRule="exact"/>
        <w:ind w:firstLine="480"/>
        <w:rPr>
          <w:rFonts w:ascii="宋体" w:hAnsi="宋体" w:cs="Courier New"/>
          <w:bCs/>
          <w:color w:val="000000" w:themeColor="text1"/>
          <w:spacing w:val="2"/>
          <w14:textFill>
            <w14:solidFill>
              <w14:schemeClr w14:val="tx1"/>
            </w14:solidFill>
          </w14:textFill>
        </w:rPr>
      </w:pPr>
      <w:r>
        <w:rPr>
          <w:rFonts w:hint="eastAsia" w:ascii="宋体" w:hAnsi="宋体" w:cs="Courier New"/>
          <w:color w:val="000000" w:themeColor="text1"/>
          <w:spacing w:val="2"/>
          <w14:textFill>
            <w14:solidFill>
              <w14:schemeClr w14:val="tx1"/>
            </w14:solidFill>
          </w14:textFill>
        </w:rPr>
        <w:t>①</w:t>
      </w:r>
      <w:r>
        <w:rPr>
          <w:rFonts w:hint="eastAsia" w:ascii="宋体" w:hAnsi="宋体" w:cs="Courier New"/>
          <w:bCs/>
          <w:color w:val="000000" w:themeColor="text1"/>
          <w:spacing w:val="2"/>
          <w14:textFill>
            <w14:solidFill>
              <w14:schemeClr w14:val="tx1"/>
            </w14:solidFill>
          </w14:textFill>
        </w:rPr>
        <w:t>报价表</w:t>
      </w:r>
      <w:r>
        <w:rPr>
          <w:rFonts w:hint="eastAsia" w:ascii="宋体" w:hAnsi="宋体" w:cs="Courier New"/>
          <w:color w:val="000000" w:themeColor="text1"/>
          <w:spacing w:val="2"/>
          <w14:textFill>
            <w14:solidFill>
              <w14:schemeClr w14:val="tx1"/>
            </w14:solidFill>
          </w14:textFill>
        </w:rPr>
        <w:t>（格式后附）；（必须提供，否则响应文件按无效处理）</w:t>
      </w:r>
    </w:p>
    <w:p>
      <w:pPr>
        <w:spacing w:line="420" w:lineRule="exact"/>
        <w:ind w:firstLine="480"/>
        <w:rPr>
          <w:rFonts w:ascii="宋体" w:hAnsi="宋体" w:cs="Courier New"/>
          <w:color w:val="000000" w:themeColor="text1"/>
          <w:spacing w:val="2"/>
          <w14:textFill>
            <w14:solidFill>
              <w14:schemeClr w14:val="tx1"/>
            </w14:solidFill>
          </w14:textFill>
        </w:rPr>
      </w:pPr>
      <w:r>
        <w:rPr>
          <w:rFonts w:hint="eastAsia" w:ascii="宋体" w:hAnsi="宋体" w:cs="Courier New"/>
          <w:color w:val="000000" w:themeColor="text1"/>
          <w:spacing w:val="2"/>
          <w14:textFill>
            <w14:solidFill>
              <w14:schemeClr w14:val="tx1"/>
            </w14:solidFill>
          </w14:textFill>
        </w:rPr>
        <w:t>②工程量清单报价文件；（必须提供，否则响应文件按无效处理）</w:t>
      </w:r>
    </w:p>
    <w:p>
      <w:pPr>
        <w:numPr>
          <w:ilvl w:val="0"/>
          <w:numId w:val="2"/>
        </w:numPr>
        <w:spacing w:line="420" w:lineRule="exact"/>
        <w:ind w:firstLine="428" w:firstLineChars="200"/>
        <w:rPr>
          <w:rFonts w:ascii="宋体" w:hAnsi="宋体" w:cs="Courier New"/>
          <w:color w:val="000000" w:themeColor="text1"/>
          <w:spacing w:val="2"/>
          <w14:textFill>
            <w14:solidFill>
              <w14:schemeClr w14:val="tx1"/>
            </w14:solidFill>
          </w14:textFill>
        </w:rPr>
      </w:pPr>
      <w:r>
        <w:rPr>
          <w:rFonts w:hint="eastAsia" w:ascii="宋体" w:hAnsi="宋体" w:cs="Courier New"/>
          <w:color w:val="000000" w:themeColor="text1"/>
          <w:spacing w:val="2"/>
          <w14:textFill>
            <w14:solidFill>
              <w14:schemeClr w14:val="tx1"/>
            </w14:solidFill>
          </w14:textFill>
        </w:rPr>
        <w:t>供应商认为需要提供的其他有关资料。</w:t>
      </w:r>
    </w:p>
    <w:p>
      <w:pPr>
        <w:spacing w:line="420" w:lineRule="exact"/>
        <w:rPr>
          <w:rFonts w:hAnsi="宋体"/>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 xml:space="preserve">8.1.3 </w:t>
      </w:r>
      <w:r>
        <w:rPr>
          <w:rFonts w:hint="eastAsia" w:hAnsi="宋体"/>
          <w:b/>
          <w:bCs/>
          <w:color w:val="000000" w:themeColor="text1"/>
          <w:szCs w:val="21"/>
          <w14:textFill>
            <w14:solidFill>
              <w14:schemeClr w14:val="tx1"/>
            </w14:solidFill>
          </w14:textFill>
        </w:rPr>
        <w:t>商务和技术文件</w:t>
      </w:r>
    </w:p>
    <w:p>
      <w:pPr>
        <w:spacing w:line="42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bCs/>
          <w:iCs/>
          <w:color w:val="000000" w:themeColor="text1"/>
          <w:szCs w:val="21"/>
          <w14:textFill>
            <w14:solidFill>
              <w14:schemeClr w14:val="tx1"/>
            </w14:solidFill>
          </w14:textFill>
        </w:rPr>
        <w:t>施工组织设计</w:t>
      </w:r>
      <w:r>
        <w:rPr>
          <w:rFonts w:hint="eastAsia" w:ascii="宋体" w:hAnsi="宋体" w:cs="宋体"/>
          <w:color w:val="000000" w:themeColor="text1"/>
          <w:szCs w:val="21"/>
          <w14:textFill>
            <w14:solidFill>
              <w14:schemeClr w14:val="tx1"/>
            </w14:solidFill>
          </w14:textFill>
        </w:rPr>
        <w:t>（格式自拟）；（</w:t>
      </w:r>
      <w:r>
        <w:rPr>
          <w:rFonts w:hint="eastAsia" w:ascii="宋体" w:hAnsi="宋体" w:cs="宋体"/>
          <w:b/>
          <w:color w:val="000000" w:themeColor="text1"/>
          <w:szCs w:val="21"/>
          <w14:textFill>
            <w14:solidFill>
              <w14:schemeClr w14:val="tx1"/>
            </w14:solidFill>
          </w14:textFill>
        </w:rPr>
        <w:t>必须提供，否则响应文件按无效响应处理</w:t>
      </w:r>
      <w:r>
        <w:rPr>
          <w:rFonts w:hint="eastAsia" w:ascii="宋体" w:hAnsi="宋体" w:cs="宋体"/>
          <w:color w:val="000000" w:themeColor="text1"/>
          <w:szCs w:val="21"/>
          <w14:textFill>
            <w14:solidFill>
              <w14:schemeClr w14:val="tx1"/>
            </w14:solidFill>
          </w14:textFill>
        </w:rPr>
        <w:t>）</w:t>
      </w:r>
    </w:p>
    <w:p>
      <w:pPr>
        <w:spacing w:line="42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（2）项目管理机构配备情况（格式自拟）；（</w:t>
      </w:r>
      <w:r>
        <w:rPr>
          <w:rFonts w:hint="eastAsia" w:ascii="宋体" w:hAnsi="宋体" w:cs="宋体"/>
          <w:b/>
          <w:color w:val="000000" w:themeColor="text1"/>
          <w:szCs w:val="21"/>
          <w14:textFill>
            <w14:solidFill>
              <w14:schemeClr w14:val="tx1"/>
            </w14:solidFill>
          </w14:textFill>
        </w:rPr>
        <w:t>必须提供，否则响应文件按无效响应处理</w:t>
      </w:r>
      <w:r>
        <w:rPr>
          <w:rFonts w:hint="eastAsia" w:ascii="宋体" w:hAnsi="宋体" w:cs="宋体"/>
          <w:color w:val="000000" w:themeColor="text1"/>
          <w:szCs w:val="21"/>
          <w14:textFill>
            <w14:solidFill>
              <w14:schemeClr w14:val="tx1"/>
            </w14:solidFill>
          </w14:textFill>
        </w:rPr>
        <w:t>）</w:t>
      </w:r>
    </w:p>
    <w:p>
      <w:pPr>
        <w:spacing w:line="420" w:lineRule="exact"/>
        <w:ind w:firstLine="420" w:firstLineChars="200"/>
        <w:rPr>
          <w:rFonts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（3）供应商认为需要提供的其他有关资料。</w:t>
      </w:r>
    </w:p>
    <w:p>
      <w:pPr>
        <w:spacing w:line="400" w:lineRule="exact"/>
        <w:ind w:firstLine="344" w:firstLineChars="163"/>
        <w:rPr>
          <w:rFonts w:asciiTheme="minorEastAsia" w:hAnsiTheme="minorEastAsia"/>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注：以上标明“必须提供”的材料属于复印件的，必须加盖供应商</w:t>
      </w:r>
      <w:r>
        <w:rPr>
          <w:rFonts w:hint="eastAsia" w:ascii="宋体" w:hAnsi="宋体"/>
          <w:b/>
          <w:bCs/>
          <w:color w:val="000000" w:themeColor="text1"/>
          <w:szCs w:val="21"/>
          <w14:textFill>
            <w14:solidFill>
              <w14:schemeClr w14:val="tx1"/>
            </w14:solidFill>
          </w14:textFill>
        </w:rPr>
        <w:t>电子签章</w:t>
      </w:r>
      <w:r>
        <w:rPr>
          <w:rFonts w:hint="eastAsia" w:ascii="宋体" w:hAnsi="宋体" w:cs="宋体"/>
          <w:b/>
          <w:color w:val="000000" w:themeColor="text1"/>
          <w:szCs w:val="21"/>
          <w14:textFill>
            <w14:solidFill>
              <w14:schemeClr w14:val="tx1"/>
            </w14:solidFill>
          </w14:textFill>
        </w:rPr>
        <w:t>，否则响应文件按无效响应处理。</w:t>
      </w:r>
      <w:r>
        <w:rPr>
          <w:rFonts w:hint="eastAsia" w:hAnsi="宋体"/>
          <w:b/>
          <w:color w:val="000000" w:themeColor="text1"/>
          <w:szCs w:val="21"/>
          <w14:textFill>
            <w14:solidFill>
              <w14:schemeClr w14:val="tx1"/>
            </w14:solidFill>
          </w14:textFill>
        </w:rPr>
        <w:t>规定签字的部分先打印出来按要求由法定代表人（负责人）或授权代理人亲笔签字,</w:t>
      </w:r>
      <w:r>
        <w:rPr>
          <w:rFonts w:hint="eastAsia" w:hAnsi="宋体"/>
          <w:b/>
          <w:bCs/>
          <w:color w:val="000000" w:themeColor="text1"/>
          <w:szCs w:val="21"/>
          <w14:textFill>
            <w14:solidFill>
              <w14:schemeClr w14:val="tx1"/>
            </w14:solidFill>
          </w14:textFill>
        </w:rPr>
        <w:t>否则磋商无效。</w:t>
      </w:r>
    </w:p>
    <w:p>
      <w:pPr>
        <w:spacing w:line="400" w:lineRule="exact"/>
        <w:ind w:firstLine="342" w:firstLineChars="163"/>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8.2供应商应仔细阅读磋商文件的所有内容，按照磋商文件的要求提交响应文件，并对所提供的全部资料的真实性承担法律责任。</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8.3供应商在磋商活动中提供任何虚假材料，其磋商无效，并报监管部门查处；成交后发现的，成交人须依照《中华人民共和国消费者权益保护法》第49条之规定双倍赔偿采购人，且民事赔偿并不免除违法供应商的行政与刑事责任。</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9. 计量单位</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9.1除技术要求中另有规定外，本文件所要求使用的计量单位均应采用国家法定计量单位。</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10.响应文件的有效期</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10.1响应文件从递交首次响应文件截止日后60天内有效。</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10.2在特殊情况下，采购代理机构可酌情延长有效期。供应商可同意或不同意延长响应文件的有效期，不同意延长响应文件有效期的供应商，其保证金将在原响应文件的有效期满后5个工作日内予以退还，不计利息；同意延长响应文件有效期的供应商不能要求对原响应文件（经供应商与磋商小组磋商后确定的内容作为原响应文件的组成部分）作任何改变，并同意在延长的磋商有效期内遵循本响应文件，在延长的有效期满之前继续具有约束力。</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11.响应文件签名、盖章要求</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11.1响应文件修改处应由法定代表人（负责人）或委托代理人亲笔签名并加盖电子公章，否则其竞标无效。</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11.2字迹潦草、表达不清或未按要求填写的响应文件可能将被认定为无效的竞标。</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11.3响应文件应由法定代表人（负责人）或委托代理人在凡规定签章处逐一签名和盖公章，否则其磋商无效。</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Calibri" w:cs="宋体"/>
          <w:color w:val="000000" w:themeColor="text1"/>
          <w:kern w:val="0"/>
          <w:szCs w:val="21"/>
          <w14:textFill>
            <w14:solidFill>
              <w14:schemeClr w14:val="tx1"/>
            </w14:solidFill>
          </w14:textFill>
        </w:rPr>
        <w:t>11.4响应文件应避免涂改、行间插字或者删除，否则其响应文件按无效响应处理。</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12. 保证金</w:t>
      </w:r>
    </w:p>
    <w:p>
      <w:pPr>
        <w:snapToGrid w:val="0"/>
        <w:spacing w:line="440" w:lineRule="exact"/>
        <w:ind w:firstLine="411" w:firstLineChars="196"/>
        <w:rPr>
          <w:rFonts w:asciiTheme="minorEastAsia" w:hAnsiTheme="minorEastAsia"/>
          <w:b/>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12.1本项目不需要缴纳磋商保证金。</w:t>
      </w:r>
    </w:p>
    <w:p>
      <w:pPr>
        <w:spacing w:line="400" w:lineRule="exact"/>
        <w:ind w:firstLine="422" w:firstLineChars="200"/>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四、磋商报价要求</w:t>
      </w:r>
    </w:p>
    <w:p>
      <w:pPr>
        <w:spacing w:line="400" w:lineRule="exact"/>
        <w:ind w:firstLine="422" w:firstLineChars="200"/>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13.1磋商报价</w:t>
      </w:r>
    </w:p>
    <w:p>
      <w:pPr>
        <w:spacing w:line="40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13.1.1供应商应以人民币报价。</w:t>
      </w:r>
    </w:p>
    <w:p>
      <w:pPr>
        <w:spacing w:line="40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13.1.2磋商报价：本工程磋商报价</w:t>
      </w:r>
      <w:r>
        <w:rPr>
          <w:rFonts w:hint="eastAsia" w:hAnsi="宋体" w:cs="宋体"/>
          <w:b/>
          <w:color w:val="000000" w:themeColor="text1"/>
          <w:spacing w:val="-2"/>
          <w:szCs w:val="21"/>
          <w14:textFill>
            <w14:solidFill>
              <w14:schemeClr w14:val="tx1"/>
            </w14:solidFill>
          </w14:textFill>
        </w:rPr>
        <w:t>采用综合单价包干的方式，</w:t>
      </w:r>
      <w:r>
        <w:rPr>
          <w:rFonts w:hint="eastAsia" w:hAnsi="宋体" w:cs="宋体"/>
          <w:b/>
          <w:color w:val="000000" w:themeColor="text1"/>
          <w:szCs w:val="21"/>
          <w14:textFill>
            <w14:solidFill>
              <w14:schemeClr w14:val="tx1"/>
            </w14:solidFill>
          </w14:textFill>
        </w:rPr>
        <w:t>按工程量清单方式报价，按实际工程量结算</w:t>
      </w:r>
      <w:r>
        <w:rPr>
          <w:rFonts w:hint="eastAsia" w:hAnsi="宋体" w:cs="宋体"/>
          <w:b/>
          <w:color w:val="000000" w:themeColor="text1"/>
          <w:spacing w:val="-2"/>
          <w:szCs w:val="21"/>
          <w14:textFill>
            <w14:solidFill>
              <w14:schemeClr w14:val="tx1"/>
            </w14:solidFill>
          </w14:textFill>
        </w:rPr>
        <w:t>。磋商报价为供应商在响应文件中提出的各项支付金额的总和。</w:t>
      </w:r>
      <w:r>
        <w:rPr>
          <w:rFonts w:hint="eastAsia" w:hAnsi="宋体" w:cs="宋体"/>
          <w:color w:val="000000" w:themeColor="text1"/>
          <w:spacing w:val="-2"/>
          <w:szCs w:val="21"/>
          <w14:textFill>
            <w14:solidFill>
              <w14:schemeClr w14:val="tx1"/>
            </w14:solidFill>
          </w14:textFill>
        </w:rPr>
        <w:t>供应商的报价，应以在要求工期内完成本竞标工程范围的全部内容为依据，不得以任何理由重复计算。除非合同中另有规定，供应商的总报价应包括完成该工程项目的成本（包括施工设备、劳务、管理、材料、安装、维护、保险、交通维护等）、利润、税金、开办费、技术措施费、大型机械进出场费、试验检测费、污水、废水、建筑垃圾处理费、风险费、政策性文件规定的费用等所有费用。供应商在报价时应考虑各种风险因素和承受能力。</w:t>
      </w:r>
    </w:p>
    <w:p>
      <w:pPr>
        <w:spacing w:line="40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13.1.3供应商应在磋商报价表上标明报价。磋商报价表内容与响应文件中相应内容不一致的，以磋商报价表为准；大写金额和小写金额不一致的，以大写金额为准；单价金额小数点或者百分比有明显错位的，以磋商报价表的总价为准，并修改单价；总价金额与按单价汇总金额不一致的，以单价金额计算结果为准。同时出现两种以上不一致的，按照以上规定的顺序修正。修正后的报价经供应商确认后产生约束力，供应商不确认的，其磋商无效。对不同文字文本响应文件的解释发生异议的，以中文文本为准。除上述原因以外，如果因供应商原因引起的报价失误，并在磋商时被接受，其后果由供应商自负。</w:t>
      </w:r>
    </w:p>
    <w:p>
      <w:pPr>
        <w:tabs>
          <w:tab w:val="left" w:pos="2160"/>
        </w:tabs>
        <w:autoSpaceDE w:val="0"/>
        <w:autoSpaceDN w:val="0"/>
        <w:adjustRightInd w:val="0"/>
        <w:spacing w:line="390" w:lineRule="exact"/>
        <w:ind w:right="70" w:firstLine="420" w:firstLineChars="200"/>
        <w:rPr>
          <w:rFonts w:hAnsi="宋体" w:cs="宋体"/>
          <w:color w:val="000000" w:themeColor="text1"/>
          <w:spacing w:val="-2"/>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13.1.4</w:t>
      </w:r>
      <w:r>
        <w:rPr>
          <w:rFonts w:hint="eastAsia" w:hAnsi="宋体" w:cs="宋体"/>
          <w:color w:val="000000" w:themeColor="text1"/>
          <w:spacing w:val="-2"/>
          <w:kern w:val="0"/>
          <w:szCs w:val="21"/>
          <w14:textFill>
            <w14:solidFill>
              <w14:schemeClr w14:val="tx1"/>
            </w14:solidFill>
          </w14:textFill>
        </w:rPr>
        <w:t xml:space="preserve"> 供应商应先到工地踏勘以充分了解工地位置、情况、道路、储存空间、装卸限制及任何其他足以影响承包价的情况，任何因忽视或误解工地情况而导致的索赔或工期延长申请将不获批准。</w:t>
      </w:r>
    </w:p>
    <w:p>
      <w:pPr>
        <w:tabs>
          <w:tab w:val="left" w:pos="2160"/>
        </w:tabs>
        <w:autoSpaceDE w:val="0"/>
        <w:autoSpaceDN w:val="0"/>
        <w:adjustRightInd w:val="0"/>
        <w:spacing w:line="390" w:lineRule="exact"/>
        <w:ind w:right="70" w:firstLine="420" w:firstLineChars="200"/>
        <w:rPr>
          <w:rFonts w:hAnsi="宋体" w:cs="宋体"/>
          <w:color w:val="000000" w:themeColor="text1"/>
          <w:spacing w:val="-2"/>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13.1.5</w:t>
      </w:r>
      <w:r>
        <w:rPr>
          <w:rFonts w:hint="eastAsia" w:hAnsi="宋体" w:cs="宋体"/>
          <w:color w:val="000000" w:themeColor="text1"/>
          <w:spacing w:val="-2"/>
          <w:kern w:val="0"/>
          <w:szCs w:val="21"/>
          <w14:textFill>
            <w14:solidFill>
              <w14:schemeClr w14:val="tx1"/>
            </w14:solidFill>
          </w14:textFill>
        </w:rPr>
        <w:t xml:space="preserve"> 响应文件中，采购人不提供取土点、弃土点，有关土石方挖、填、弃的超运、青苗补偿、场地恢复、道路修复、土石方平整、压实、检测等一切作业以及运输过程中所发生的一切费用均应考虑在相关单价中，以综合单价包干，土石方按市场报价，结算时不对土方运距进行费用签证。</w:t>
      </w:r>
    </w:p>
    <w:p>
      <w:pPr>
        <w:tabs>
          <w:tab w:val="left" w:pos="2160"/>
        </w:tabs>
        <w:autoSpaceDE w:val="0"/>
        <w:autoSpaceDN w:val="0"/>
        <w:adjustRightInd w:val="0"/>
        <w:spacing w:line="400" w:lineRule="exact"/>
        <w:ind w:right="84" w:firstLine="420" w:firstLineChars="200"/>
        <w:rPr>
          <w:rFonts w:hAnsi="宋体" w:cs="宋体"/>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13.1.6</w:t>
      </w:r>
      <w:r>
        <w:rPr>
          <w:rFonts w:hint="eastAsia" w:hAnsi="宋体" w:cs="宋体"/>
          <w:color w:val="000000" w:themeColor="text1"/>
          <w:spacing w:val="-2"/>
          <w:kern w:val="0"/>
          <w:szCs w:val="21"/>
          <w14:textFill>
            <w14:solidFill>
              <w14:schemeClr w14:val="tx1"/>
            </w14:solidFill>
          </w14:textFill>
        </w:rPr>
        <w:t xml:space="preserve"> </w:t>
      </w:r>
      <w:r>
        <w:rPr>
          <w:rFonts w:hint="eastAsia" w:hAnsi="宋体" w:cs="宋体"/>
          <w:color w:val="000000" w:themeColor="text1"/>
          <w:kern w:val="0"/>
          <w:szCs w:val="21"/>
          <w14:textFill>
            <w14:solidFill>
              <w14:schemeClr w14:val="tx1"/>
            </w14:solidFill>
          </w14:textFill>
        </w:rPr>
        <w:t>供应商的临时占地（含预制厂、料厂、拌和站、借弃土场、项目部驻地等）租用费（含拆迁补偿）、临时用地的环保、恢复及所有临时性占地的青苗补偿及地面附着物发生的费用均由供应商负责；由于供应商原因引起工期延长造成供应商临时占地的租用费增加由供应商负责并在竞标报价中综合考虑。</w:t>
      </w:r>
    </w:p>
    <w:p>
      <w:pPr>
        <w:tabs>
          <w:tab w:val="left" w:pos="2160"/>
        </w:tabs>
        <w:autoSpaceDE w:val="0"/>
        <w:autoSpaceDN w:val="0"/>
        <w:adjustRightInd w:val="0"/>
        <w:spacing w:line="400" w:lineRule="exact"/>
        <w:ind w:right="84" w:firstLine="420" w:firstLineChars="200"/>
        <w:rPr>
          <w:rFonts w:hAnsi="宋体" w:cs="宋体"/>
          <w:bCs/>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13.1.7</w:t>
      </w:r>
      <w:r>
        <w:rPr>
          <w:rFonts w:hint="eastAsia" w:hAnsi="宋体" w:cs="宋体"/>
          <w:bCs/>
          <w:color w:val="000000" w:themeColor="text1"/>
          <w:kern w:val="0"/>
          <w:szCs w:val="21"/>
          <w14:textFill>
            <w14:solidFill>
              <w14:schemeClr w14:val="tx1"/>
            </w14:solidFill>
          </w14:textFill>
        </w:rPr>
        <w:t xml:space="preserve"> 供应商承担本工程所需配备的水电设备（如变压器、电路等）及其使用（如施工用电费用）、维护、拆除、修复等费用。供应商还应自备发电机，以满足停电时施工的需要，以上费用在报价中综合考虑。</w:t>
      </w:r>
    </w:p>
    <w:p>
      <w:pPr>
        <w:tabs>
          <w:tab w:val="left" w:pos="2160"/>
        </w:tabs>
        <w:autoSpaceDE w:val="0"/>
        <w:autoSpaceDN w:val="0"/>
        <w:adjustRightInd w:val="0"/>
        <w:spacing w:line="400" w:lineRule="exact"/>
        <w:ind w:right="84" w:firstLine="420" w:firstLineChars="200"/>
        <w:rPr>
          <w:rFonts w:hAnsi="宋体" w:cs="宋体"/>
          <w:color w:val="000000" w:themeColor="text1"/>
          <w:spacing w:val="-2"/>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13.1.8</w:t>
      </w:r>
      <w:r>
        <w:rPr>
          <w:rFonts w:hint="eastAsia" w:hAnsi="宋体" w:cs="宋体"/>
          <w:bCs/>
          <w:color w:val="000000" w:themeColor="text1"/>
          <w:kern w:val="0"/>
          <w:szCs w:val="21"/>
          <w14:textFill>
            <w14:solidFill>
              <w14:schemeClr w14:val="tx1"/>
            </w14:solidFill>
          </w14:textFill>
        </w:rPr>
        <w:t xml:space="preserve">  </w:t>
      </w:r>
      <w:r>
        <w:rPr>
          <w:rFonts w:hint="eastAsia" w:hAnsi="宋体" w:cs="宋体"/>
          <w:color w:val="000000" w:themeColor="text1"/>
          <w:spacing w:val="-2"/>
          <w:kern w:val="0"/>
          <w:szCs w:val="21"/>
          <w14:textFill>
            <w14:solidFill>
              <w14:schemeClr w14:val="tx1"/>
            </w14:solidFill>
          </w14:textFill>
        </w:rPr>
        <w:t>与本竞标工程项目有关的技术规范要求的费用应包括在竞标报价中。</w:t>
      </w:r>
    </w:p>
    <w:p>
      <w:pPr>
        <w:tabs>
          <w:tab w:val="left" w:pos="2160"/>
        </w:tabs>
        <w:autoSpaceDE w:val="0"/>
        <w:autoSpaceDN w:val="0"/>
        <w:adjustRightInd w:val="0"/>
        <w:spacing w:line="400" w:lineRule="exact"/>
        <w:ind w:right="84" w:firstLine="420" w:firstLineChars="200"/>
        <w:rPr>
          <w:rFonts w:hAnsi="宋体" w:cs="宋体"/>
          <w:b/>
          <w:color w:val="000000" w:themeColor="text1"/>
          <w:kern w:val="0"/>
          <w:szCs w:val="21"/>
          <w:u w:val="single"/>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13.1.9</w:t>
      </w:r>
      <w:r>
        <w:rPr>
          <w:rFonts w:hint="eastAsia" w:hAnsi="宋体" w:cs="宋体"/>
          <w:bCs/>
          <w:color w:val="000000" w:themeColor="text1"/>
          <w:kern w:val="0"/>
          <w:szCs w:val="21"/>
          <w14:textFill>
            <w14:solidFill>
              <w14:schemeClr w14:val="tx1"/>
            </w14:solidFill>
          </w14:textFill>
        </w:rPr>
        <w:t xml:space="preserve">  </w:t>
      </w:r>
      <w:r>
        <w:rPr>
          <w:rFonts w:hint="eastAsia" w:hAnsi="宋体" w:cs="宋体"/>
          <w:b/>
          <w:color w:val="000000" w:themeColor="text1"/>
          <w:kern w:val="0"/>
          <w:szCs w:val="21"/>
          <w:u w:val="single"/>
          <w14:textFill>
            <w14:solidFill>
              <w14:schemeClr w14:val="tx1"/>
            </w14:solidFill>
          </w14:textFill>
        </w:rPr>
        <w:t>供应商在报价时不能改变磋商文件规定的暂定部分价格。</w:t>
      </w:r>
    </w:p>
    <w:p>
      <w:pPr>
        <w:tabs>
          <w:tab w:val="left" w:pos="2160"/>
        </w:tabs>
        <w:autoSpaceDE w:val="0"/>
        <w:autoSpaceDN w:val="0"/>
        <w:adjustRightInd w:val="0"/>
        <w:spacing w:line="400" w:lineRule="exact"/>
        <w:ind w:right="84" w:firstLine="420" w:firstLineChars="200"/>
        <w:rPr>
          <w:rFonts w:hAnsi="宋体" w:cs="宋体"/>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13.1.10 </w:t>
      </w:r>
      <w:r>
        <w:rPr>
          <w:rFonts w:hint="eastAsia" w:hAnsi="宋体" w:cs="宋体"/>
          <w:color w:val="000000" w:themeColor="text1"/>
          <w:kern w:val="0"/>
          <w:szCs w:val="21"/>
          <w14:textFill>
            <w14:solidFill>
              <w14:schemeClr w14:val="tx1"/>
            </w14:solidFill>
          </w14:textFill>
        </w:rPr>
        <w:t>供应商所填报的各项基价中的各种材料单价在合同实施期间不因市场价格变化因素而变动，供应商在报综合单价时应考虑各种风险因素和自己的承受能力。</w:t>
      </w:r>
    </w:p>
    <w:p>
      <w:pPr>
        <w:tabs>
          <w:tab w:val="left" w:pos="2160"/>
        </w:tabs>
        <w:autoSpaceDE w:val="0"/>
        <w:autoSpaceDN w:val="0"/>
        <w:adjustRightInd w:val="0"/>
        <w:spacing w:line="400" w:lineRule="exact"/>
        <w:ind w:right="84" w:firstLine="420" w:firstLineChars="200"/>
        <w:rPr>
          <w:rFonts w:hAnsi="宋体" w:cs="宋体"/>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13.1.11 </w:t>
      </w:r>
      <w:r>
        <w:rPr>
          <w:rFonts w:hint="eastAsia" w:hAnsi="宋体" w:cs="宋体"/>
          <w:color w:val="000000" w:themeColor="text1"/>
          <w:kern w:val="0"/>
          <w:szCs w:val="21"/>
          <w14:textFill>
            <w14:solidFill>
              <w14:schemeClr w14:val="tx1"/>
            </w14:solidFill>
          </w14:textFill>
        </w:rPr>
        <w:t>供应商必须在采购人盖章的工程量清单复印件上认真填写工程量清单中所列的本合同各工程细目的单价、合价和总额价，加盖单位公章后放入响应文件之中。供应商没有填入单价、合价或总额价的工程细目，采购单位将不予支持，并认为该细目的价款已包括在工程量清单其他细目的单价或总额价中。供应商在工程量清单中多报的细目或单价、合价或总额价采购单位将不予接受，严重者将视为重大偏差，其磋商将被拒绝。</w:t>
      </w:r>
    </w:p>
    <w:p>
      <w:pPr>
        <w:tabs>
          <w:tab w:val="left" w:pos="2160"/>
        </w:tabs>
        <w:autoSpaceDE w:val="0"/>
        <w:autoSpaceDN w:val="0"/>
        <w:adjustRightInd w:val="0"/>
        <w:spacing w:line="400" w:lineRule="exact"/>
        <w:ind w:right="84" w:firstLine="420" w:firstLineChars="200"/>
        <w:rPr>
          <w:rFonts w:hAnsi="宋体" w:cs="宋体"/>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13.1.12 </w:t>
      </w:r>
      <w:r>
        <w:rPr>
          <w:rFonts w:hint="eastAsia" w:hAnsi="宋体" w:cs="宋体"/>
          <w:color w:val="000000" w:themeColor="text1"/>
          <w:kern w:val="0"/>
          <w:szCs w:val="21"/>
          <w14:textFill>
            <w14:solidFill>
              <w14:schemeClr w14:val="tx1"/>
            </w14:solidFill>
          </w14:textFill>
        </w:rPr>
        <w:t>采购人所提供的工程量清单，应认为已包括完成本工程的所有项目。凡设计图纸已指明的工程或完成图纸所示工程所必不可少的附属工程、相关工程、衔接与后续工程所需的费用，供应商应计入相关项目的单价中。</w:t>
      </w:r>
    </w:p>
    <w:p>
      <w:pPr>
        <w:tabs>
          <w:tab w:val="left" w:pos="2160"/>
        </w:tabs>
        <w:autoSpaceDE w:val="0"/>
        <w:autoSpaceDN w:val="0"/>
        <w:adjustRightInd w:val="0"/>
        <w:spacing w:line="400" w:lineRule="exact"/>
        <w:ind w:right="84" w:firstLine="420" w:firstLineChars="200"/>
        <w:rPr>
          <w:rFonts w:hAnsi="宋体" w:cs="宋体"/>
          <w:color w:val="000000" w:themeColor="text1"/>
          <w:kern w:val="0"/>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13.1.13 </w:t>
      </w:r>
      <w:r>
        <w:rPr>
          <w:rFonts w:hint="eastAsia" w:hAnsi="宋体" w:cs="宋体"/>
          <w:color w:val="000000" w:themeColor="text1"/>
          <w:kern w:val="0"/>
          <w:szCs w:val="21"/>
          <w14:textFill>
            <w14:solidFill>
              <w14:schemeClr w14:val="tx1"/>
            </w14:solidFill>
          </w14:textFill>
        </w:rPr>
        <w:t>供应商在报价中所报的单价和合价，以及报价汇总表中的价格均包括完成该工程项目的成本、利润、税金、开办费、技术措施费、大型机械进出场费、风险费、政策性文件规定费用等所有费用。</w:t>
      </w:r>
    </w:p>
    <w:p>
      <w:pPr>
        <w:tabs>
          <w:tab w:val="left" w:pos="2160"/>
        </w:tabs>
        <w:autoSpaceDE w:val="0"/>
        <w:autoSpaceDN w:val="0"/>
        <w:adjustRightInd w:val="0"/>
        <w:spacing w:line="400" w:lineRule="exact"/>
        <w:ind w:right="84" w:firstLine="420" w:firstLineChars="200"/>
        <w:rPr>
          <w:rFonts w:hAnsi="宋体" w:cs="宋体"/>
          <w:b/>
          <w:color w:val="000000" w:themeColor="text1"/>
          <w:kern w:val="0"/>
          <w:szCs w:val="21"/>
          <w:u w:val="single"/>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13.1.14 </w:t>
      </w:r>
      <w:r>
        <w:rPr>
          <w:rFonts w:hint="eastAsia" w:hAnsi="宋体" w:cs="宋体"/>
          <w:color w:val="000000" w:themeColor="text1"/>
          <w:kern w:val="0"/>
          <w:szCs w:val="21"/>
          <w14:textFill>
            <w14:solidFill>
              <w14:schemeClr w14:val="tx1"/>
            </w14:solidFill>
          </w14:textFill>
        </w:rPr>
        <w:t>供应商可先到工地踏勘现场以充分了解工地位置、情况、道路、储存空间、装卸限制及任何其他足以影响承包价的情况，任何因忽视或误解工地情况而导致的索赔或工期延长申请将不被批准。</w:t>
      </w:r>
    </w:p>
    <w:p>
      <w:pPr>
        <w:tabs>
          <w:tab w:val="left" w:pos="0"/>
        </w:tabs>
        <w:autoSpaceDE w:val="0"/>
        <w:autoSpaceDN w:val="0"/>
        <w:adjustRightInd w:val="0"/>
        <w:spacing w:line="400" w:lineRule="exact"/>
        <w:ind w:left="-4" w:leftChars="-2" w:right="170" w:firstLine="414" w:firstLineChars="200"/>
        <w:rPr>
          <w:rFonts w:hAnsi="宋体" w:cs="宋体"/>
          <w:b/>
          <w:bCs/>
          <w:color w:val="000000" w:themeColor="text1"/>
          <w:spacing w:val="-2"/>
          <w:kern w:val="0"/>
          <w:szCs w:val="21"/>
          <w14:textFill>
            <w14:solidFill>
              <w14:schemeClr w14:val="tx1"/>
            </w14:solidFill>
          </w14:textFill>
        </w:rPr>
      </w:pPr>
      <w:r>
        <w:rPr>
          <w:rFonts w:hint="eastAsia" w:hAnsi="宋体" w:cs="宋体"/>
          <w:b/>
          <w:bCs/>
          <w:color w:val="000000" w:themeColor="text1"/>
          <w:spacing w:val="-2"/>
          <w:kern w:val="0"/>
          <w:szCs w:val="21"/>
          <w14:textFill>
            <w14:solidFill>
              <w14:schemeClr w14:val="tx1"/>
            </w14:solidFill>
          </w14:textFill>
        </w:rPr>
        <w:t>13.2  工程上限控制价计算参考依据</w:t>
      </w:r>
    </w:p>
    <w:p>
      <w:pPr>
        <w:tabs>
          <w:tab w:val="left" w:pos="0"/>
        </w:tabs>
        <w:autoSpaceDE w:val="0"/>
        <w:autoSpaceDN w:val="0"/>
        <w:adjustRightInd w:val="0"/>
        <w:spacing w:line="400" w:lineRule="exact"/>
        <w:ind w:left="-4" w:leftChars="-2" w:right="170" w:firstLine="412" w:firstLineChars="200"/>
        <w:rPr>
          <w:rFonts w:hAnsi="宋体" w:cs="宋体"/>
          <w:bCs/>
          <w:color w:val="000000" w:themeColor="text1"/>
          <w:spacing w:val="-2"/>
          <w:kern w:val="0"/>
          <w:szCs w:val="21"/>
          <w14:textFill>
            <w14:solidFill>
              <w14:schemeClr w14:val="tx1"/>
            </w14:solidFill>
          </w14:textFill>
        </w:rPr>
      </w:pPr>
      <w:r>
        <w:rPr>
          <w:rFonts w:hAnsi="宋体" w:cs="宋体"/>
          <w:bCs/>
          <w:color w:val="000000" w:themeColor="text1"/>
          <w:spacing w:val="-2"/>
          <w:kern w:val="0"/>
          <w:szCs w:val="21"/>
          <w14:textFill>
            <w14:solidFill>
              <w14:schemeClr w14:val="tx1"/>
            </w14:solidFill>
          </w14:textFill>
        </w:rPr>
        <w:t>13.</w:t>
      </w:r>
      <w:r>
        <w:rPr>
          <w:rFonts w:hint="eastAsia" w:hAnsi="宋体" w:cs="宋体"/>
          <w:bCs/>
          <w:color w:val="000000" w:themeColor="text1"/>
          <w:spacing w:val="-2"/>
          <w:kern w:val="0"/>
          <w:szCs w:val="21"/>
          <w14:textFill>
            <w14:solidFill>
              <w14:schemeClr w14:val="tx1"/>
            </w14:solidFill>
          </w14:textFill>
        </w:rPr>
        <w:t>2.1.1计价依据</w:t>
      </w:r>
    </w:p>
    <w:p>
      <w:pPr>
        <w:tabs>
          <w:tab w:val="left" w:pos="0"/>
        </w:tabs>
        <w:autoSpaceDE w:val="0"/>
        <w:autoSpaceDN w:val="0"/>
        <w:adjustRightInd w:val="0"/>
        <w:spacing w:line="400" w:lineRule="exact"/>
        <w:ind w:left="-4" w:leftChars="-2" w:right="170" w:firstLine="412" w:firstLineChars="200"/>
        <w:rPr>
          <w:rFonts w:hAnsi="宋体" w:cs="宋体"/>
          <w:bCs/>
          <w:color w:val="000000" w:themeColor="text1"/>
          <w:spacing w:val="-2"/>
          <w:kern w:val="0"/>
          <w:szCs w:val="21"/>
          <w14:textFill>
            <w14:solidFill>
              <w14:schemeClr w14:val="tx1"/>
            </w14:solidFill>
          </w14:textFill>
        </w:rPr>
      </w:pPr>
      <w:r>
        <w:rPr>
          <w:rFonts w:hint="eastAsia" w:hAnsi="宋体" w:cs="宋体"/>
          <w:bCs/>
          <w:color w:val="000000" w:themeColor="text1"/>
          <w:spacing w:val="-2"/>
          <w:kern w:val="0"/>
          <w:szCs w:val="21"/>
          <w14:textFill>
            <w14:solidFill>
              <w14:schemeClr w14:val="tx1"/>
            </w14:solidFill>
          </w14:textFill>
        </w:rPr>
        <w:t>（1）设计施工图纸、送审的工程概算书等相关资料；</w:t>
      </w:r>
    </w:p>
    <w:p>
      <w:pPr>
        <w:tabs>
          <w:tab w:val="left" w:pos="2160"/>
        </w:tabs>
        <w:autoSpaceDE w:val="0"/>
        <w:autoSpaceDN w:val="0"/>
        <w:adjustRightInd w:val="0"/>
        <w:spacing w:line="400" w:lineRule="exact"/>
        <w:ind w:right="85" w:firstLine="406" w:firstLineChars="200"/>
        <w:rPr>
          <w:rFonts w:hAnsi="宋体" w:cs="宋体"/>
          <w:b/>
          <w:bCs/>
          <w:color w:val="000000" w:themeColor="text1"/>
          <w:spacing w:val="-4"/>
          <w:kern w:val="0"/>
          <w:szCs w:val="21"/>
          <w14:textFill>
            <w14:solidFill>
              <w14:schemeClr w14:val="tx1"/>
            </w14:solidFill>
          </w14:textFill>
        </w:rPr>
      </w:pPr>
      <w:r>
        <w:rPr>
          <w:rFonts w:hAnsi="宋体" w:cs="宋体"/>
          <w:b/>
          <w:bCs/>
          <w:color w:val="000000" w:themeColor="text1"/>
          <w:spacing w:val="-4"/>
          <w:kern w:val="0"/>
          <w:szCs w:val="21"/>
          <w14:textFill>
            <w14:solidFill>
              <w14:schemeClr w14:val="tx1"/>
            </w14:solidFill>
          </w14:textFill>
        </w:rPr>
        <w:t>13</w:t>
      </w:r>
      <w:r>
        <w:rPr>
          <w:rFonts w:hint="eastAsia" w:hAnsi="宋体" w:cs="宋体"/>
          <w:b/>
          <w:bCs/>
          <w:color w:val="000000" w:themeColor="text1"/>
          <w:spacing w:val="-4"/>
          <w:kern w:val="0"/>
          <w:szCs w:val="21"/>
          <w14:textFill>
            <w14:solidFill>
              <w14:schemeClr w14:val="tx1"/>
            </w14:solidFill>
          </w14:textFill>
        </w:rPr>
        <w:t xml:space="preserve">.3 </w:t>
      </w:r>
      <w:r>
        <w:rPr>
          <w:rFonts w:hint="eastAsia" w:hAnsi="宋体" w:cs="宋体"/>
          <w:b/>
          <w:color w:val="000000" w:themeColor="text1"/>
          <w:kern w:val="0"/>
          <w:szCs w:val="21"/>
          <w14:textFill>
            <w14:solidFill>
              <w14:schemeClr w14:val="tx1"/>
            </w14:solidFill>
          </w14:textFill>
        </w:rPr>
        <w:t>经磋商小组审定存在严重不平衡不合理、低于其企业成本的磋商报价采购人予以拒绝。</w:t>
      </w:r>
    </w:p>
    <w:p>
      <w:pPr>
        <w:spacing w:line="400" w:lineRule="exact"/>
        <w:ind w:firstLine="420"/>
        <w:rPr>
          <w:rFonts w:hAnsi="宋体" w:cs="宋体"/>
          <w:color w:val="000000" w:themeColor="text1"/>
          <w:spacing w:val="-4"/>
          <w:szCs w:val="21"/>
          <w14:textFill>
            <w14:solidFill>
              <w14:schemeClr w14:val="tx1"/>
            </w14:solidFill>
          </w14:textFill>
        </w:rPr>
      </w:pPr>
      <w:r>
        <w:rPr>
          <w:rFonts w:hint="eastAsia" w:hAnsi="宋体" w:cs="宋体"/>
          <w:bCs/>
          <w:color w:val="000000" w:themeColor="text1"/>
          <w:spacing w:val="-2"/>
          <w:kern w:val="0"/>
          <w:szCs w:val="21"/>
          <w14:textFill>
            <w14:solidFill>
              <w14:schemeClr w14:val="tx1"/>
            </w14:solidFill>
          </w14:textFill>
        </w:rPr>
        <w:t>13</w:t>
      </w:r>
      <w:r>
        <w:rPr>
          <w:rFonts w:hint="eastAsia" w:hAnsi="宋体" w:cs="宋体"/>
          <w:color w:val="000000" w:themeColor="text1"/>
          <w:spacing w:val="-4"/>
          <w:szCs w:val="21"/>
          <w14:textFill>
            <w14:solidFill>
              <w14:schemeClr w14:val="tx1"/>
            </w14:solidFill>
          </w14:textFill>
        </w:rPr>
        <w:t>.3.1 相应供应商的报价均超过了财政采购预算，采购人不能支付的，采购活动终止；终止后，采购人需要采取调整采购预算或项目配置标准等，或采取其它采购方式的，应当在采购活动开始前获得财政部门批准；</w:t>
      </w:r>
    </w:p>
    <w:p>
      <w:pPr>
        <w:spacing w:line="390" w:lineRule="exact"/>
        <w:ind w:firstLine="420"/>
        <w:rPr>
          <w:rFonts w:hAnsi="宋体" w:cs="宋体"/>
          <w:color w:val="000000" w:themeColor="text1"/>
          <w:spacing w:val="-4"/>
          <w:szCs w:val="21"/>
          <w14:textFill>
            <w14:solidFill>
              <w14:schemeClr w14:val="tx1"/>
            </w14:solidFill>
          </w14:textFill>
        </w:rPr>
      </w:pPr>
      <w:r>
        <w:rPr>
          <w:rFonts w:hint="eastAsia" w:hAnsi="宋体" w:cs="宋体"/>
          <w:bCs/>
          <w:color w:val="000000" w:themeColor="text1"/>
          <w:spacing w:val="-2"/>
          <w:kern w:val="0"/>
          <w:szCs w:val="21"/>
          <w14:textFill>
            <w14:solidFill>
              <w14:schemeClr w14:val="tx1"/>
            </w14:solidFill>
          </w14:textFill>
        </w:rPr>
        <w:t>13</w:t>
      </w:r>
      <w:r>
        <w:rPr>
          <w:rFonts w:hint="eastAsia" w:hAnsi="宋体" w:cs="宋体"/>
          <w:color w:val="000000" w:themeColor="text1"/>
          <w:spacing w:val="-4"/>
          <w:szCs w:val="21"/>
          <w14:textFill>
            <w14:solidFill>
              <w14:schemeClr w14:val="tx1"/>
            </w14:solidFill>
          </w14:textFill>
        </w:rPr>
        <w:t>.3.2 供应商不得以低于成本价进行磋商，也不得以他人名义磋商或者以其它方式骗取成交。</w:t>
      </w:r>
    </w:p>
    <w:p>
      <w:pPr>
        <w:spacing w:line="390" w:lineRule="exact"/>
        <w:ind w:firstLine="414" w:firstLineChars="200"/>
        <w:rPr>
          <w:rFonts w:hAnsi="宋体" w:cs="宋体"/>
          <w:b/>
          <w:bCs/>
          <w:color w:val="000000" w:themeColor="text1"/>
          <w:spacing w:val="-2"/>
          <w:kern w:val="0"/>
          <w:szCs w:val="21"/>
          <w14:textFill>
            <w14:solidFill>
              <w14:schemeClr w14:val="tx1"/>
            </w14:solidFill>
          </w14:textFill>
        </w:rPr>
      </w:pPr>
      <w:r>
        <w:rPr>
          <w:rFonts w:hAnsi="宋体" w:cs="宋体"/>
          <w:b/>
          <w:bCs/>
          <w:color w:val="000000" w:themeColor="text1"/>
          <w:spacing w:val="-2"/>
          <w:kern w:val="0"/>
          <w:szCs w:val="21"/>
          <w14:textFill>
            <w14:solidFill>
              <w14:schemeClr w14:val="tx1"/>
            </w14:solidFill>
          </w14:textFill>
        </w:rPr>
        <w:t>13</w:t>
      </w:r>
      <w:r>
        <w:rPr>
          <w:rFonts w:hint="eastAsia" w:hAnsi="宋体" w:cs="宋体"/>
          <w:b/>
          <w:bCs/>
          <w:color w:val="000000" w:themeColor="text1"/>
          <w:spacing w:val="-2"/>
          <w:kern w:val="0"/>
          <w:szCs w:val="21"/>
          <w14:textFill>
            <w14:solidFill>
              <w14:schemeClr w14:val="tx1"/>
            </w14:solidFill>
          </w14:textFill>
        </w:rPr>
        <w:t>.4  工程上限控制价</w:t>
      </w:r>
    </w:p>
    <w:p>
      <w:pPr>
        <w:tabs>
          <w:tab w:val="left" w:pos="2160"/>
        </w:tabs>
        <w:autoSpaceDE w:val="0"/>
        <w:autoSpaceDN w:val="0"/>
        <w:adjustRightInd w:val="0"/>
        <w:spacing w:line="390" w:lineRule="exact"/>
        <w:ind w:right="84" w:firstLine="422" w:firstLineChars="200"/>
        <w:rPr>
          <w:rFonts w:ascii="宋体" w:hAnsi="宋体" w:eastAsia="宋体" w:cs="宋体"/>
          <w:color w:val="000000" w:themeColor="text1"/>
          <w:kern w:val="0"/>
          <w:szCs w:val="21"/>
          <w:u w:val="single"/>
          <w14:textFill>
            <w14:solidFill>
              <w14:schemeClr w14:val="tx1"/>
            </w14:solidFill>
          </w14:textFill>
        </w:rPr>
      </w:pPr>
      <w:r>
        <w:rPr>
          <w:rFonts w:hAnsi="宋体" w:cs="宋体"/>
          <w:b/>
          <w:bCs/>
          <w:color w:val="000000" w:themeColor="text1"/>
          <w:kern w:val="0"/>
          <w:szCs w:val="21"/>
          <w14:textFill>
            <w14:solidFill>
              <w14:schemeClr w14:val="tx1"/>
            </w14:solidFill>
          </w14:textFill>
        </w:rPr>
        <w:t>13</w:t>
      </w:r>
      <w:r>
        <w:rPr>
          <w:rFonts w:hint="eastAsia" w:hAnsi="宋体" w:cs="宋体"/>
          <w:b/>
          <w:bCs/>
          <w:color w:val="000000" w:themeColor="text1"/>
          <w:kern w:val="0"/>
          <w:szCs w:val="21"/>
          <w14:textFill>
            <w14:solidFill>
              <w14:schemeClr w14:val="tx1"/>
            </w14:solidFill>
          </w14:textFill>
        </w:rPr>
        <w:t>.4.1</w:t>
      </w:r>
      <w:r>
        <w:rPr>
          <w:rFonts w:hint="eastAsia" w:ascii="宋体" w:hAnsi="宋体" w:eastAsia="宋体" w:cs="宋体"/>
          <w:b/>
          <w:bCs/>
          <w:color w:val="000000" w:themeColor="text1"/>
          <w:kern w:val="0"/>
          <w:szCs w:val="21"/>
          <w14:textFill>
            <w14:solidFill>
              <w14:schemeClr w14:val="tx1"/>
            </w14:solidFill>
          </w14:textFill>
        </w:rPr>
        <w:t xml:space="preserve"> 供应商应认真对照施工设计图纸、工程量清单等文件核对采购人公布的工程上限控制价，如发现工程上限控制价中存在明显误差或有遗漏的，必须</w:t>
      </w:r>
      <w:r>
        <w:rPr>
          <w:rFonts w:hint="eastAsia" w:ascii="宋体" w:hAnsi="宋体" w:eastAsia="宋体" w:cs="宋体"/>
          <w:b/>
          <w:bCs/>
          <w:color w:val="000000" w:themeColor="text1"/>
          <w:kern w:val="0"/>
          <w:szCs w:val="21"/>
          <w:u w:val="single"/>
          <w14:textFill>
            <w14:solidFill>
              <w14:schemeClr w14:val="tx1"/>
            </w14:solidFill>
          </w14:textFill>
        </w:rPr>
        <w:t>在提交响应文件截止时间5日前向采购人提出书面异议或修正要求</w:t>
      </w:r>
      <w:r>
        <w:rPr>
          <w:rFonts w:hint="eastAsia" w:ascii="宋体" w:hAnsi="宋体" w:eastAsia="宋体" w:cs="宋体"/>
          <w:b/>
          <w:bCs/>
          <w:color w:val="000000" w:themeColor="text1"/>
          <w:kern w:val="0"/>
          <w:szCs w:val="21"/>
          <w14:textFill>
            <w14:solidFill>
              <w14:schemeClr w14:val="tx1"/>
            </w14:solidFill>
          </w14:textFill>
        </w:rPr>
        <w:t>。如采购人认为有必要对本工程上限控制价进行修正的，必须在提交响应文件截止时间3日前重新公布修正后的本工程上限控制价。</w:t>
      </w:r>
    </w:p>
    <w:p>
      <w:pPr>
        <w:spacing w:line="400" w:lineRule="exact"/>
        <w:ind w:firstLine="422" w:firstLineChars="200"/>
        <w:outlineLvl w:val="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五、响应文件的封装和递交</w:t>
      </w:r>
    </w:p>
    <w:p>
      <w:pPr>
        <w:spacing w:line="44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14.响应文件的封装、密封与标志</w:t>
      </w:r>
    </w:p>
    <w:p>
      <w:pPr>
        <w:pStyle w:val="28"/>
        <w:spacing w:line="440" w:lineRule="exact"/>
        <w:ind w:firstLine="420" w:firstLineChars="200"/>
        <w:rPr>
          <w:color w:val="000000" w:themeColor="text1"/>
          <w14:textFill>
            <w14:solidFill>
              <w14:schemeClr w14:val="tx1"/>
            </w14:solidFill>
          </w14:textFill>
        </w:rPr>
      </w:pPr>
      <w:r>
        <w:rPr>
          <w:rFonts w:hint="eastAsia" w:hAnsi="宋体"/>
          <w:color w:val="000000" w:themeColor="text1"/>
          <w:kern w:val="2"/>
          <w:sz w:val="21"/>
          <w14:textFill>
            <w14:solidFill>
              <w14:schemeClr w14:val="tx1"/>
            </w14:solidFill>
          </w14:textFill>
        </w:rPr>
        <w:t>14.1磋商供应商应分别将竞争性磋商响应文件中“价格文件”、“商务技术文件”全部装订成一册（封面写明“价格文件”、“商务技术文件”字样），活页装订的将视为废标。</w:t>
      </w:r>
    </w:p>
    <w:p>
      <w:pPr>
        <w:numPr>
          <w:ilvl w:val="1"/>
          <w:numId w:val="0"/>
        </w:numPr>
        <w:tabs>
          <w:tab w:val="left" w:pos="1338"/>
        </w:tabs>
        <w:spacing w:line="440" w:lineRule="exact"/>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14.2 磋商供应商应将响应文件正、副本分别装订成册，在每个文本封面上标明项目名称、项目编号、磋商供应商名称等内容，并在每个文本封面上标明“正本”或“副本”字样。磋商供应商应将正、副本响应文件（正本一份、副本四份）装入响应文件袋中加以密封，并在每一封贴处密封签章（公章、密封章、法定代表人（负责人）或其委托代理人签字四种方式之一均可）。</w:t>
      </w:r>
    </w:p>
    <w:p>
      <w:pPr>
        <w:numPr>
          <w:ilvl w:val="1"/>
          <w:numId w:val="0"/>
        </w:numPr>
        <w:tabs>
          <w:tab w:val="left" w:pos="1338"/>
        </w:tabs>
        <w:spacing w:line="440" w:lineRule="exact"/>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14.3 竞争性磋商响应文件的信封上应写明：</w:t>
      </w:r>
    </w:p>
    <w:p>
      <w:pPr>
        <w:spacing w:line="44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1）竞争性磋商项目编号；</w:t>
      </w:r>
    </w:p>
    <w:p>
      <w:pPr>
        <w:spacing w:line="44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2）竞争性磋商项目名称；</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3）磋商供应商名称。</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15.响应文件的递交</w:t>
      </w:r>
    </w:p>
    <w:p>
      <w:pPr>
        <w:numPr>
          <w:ilvl w:val="1"/>
          <w:numId w:val="0"/>
        </w:numPr>
        <w:tabs>
          <w:tab w:val="left" w:pos="1338"/>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15.1 所有竞争性磋商的响应文件应于竞争性磋商文件中规定的时间前递交到本公司指定地点。</w:t>
      </w:r>
    </w:p>
    <w:p>
      <w:pPr>
        <w:numPr>
          <w:ilvl w:val="1"/>
          <w:numId w:val="0"/>
        </w:numPr>
        <w:tabs>
          <w:tab w:val="left" w:pos="1338"/>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15.2 响应文件从递交截止日期后</w:t>
      </w:r>
      <w:r>
        <w:rPr>
          <w:rFonts w:hint="eastAsia" w:ascii="宋体" w:hAnsi="宋体" w:eastAsia="宋体" w:cs="宋体"/>
          <w:color w:val="000000" w:themeColor="text1"/>
          <w:szCs w:val="24"/>
          <w:u w:val="single"/>
          <w14:textFill>
            <w14:solidFill>
              <w14:schemeClr w14:val="tx1"/>
            </w14:solidFill>
          </w14:textFill>
        </w:rPr>
        <w:t>60</w:t>
      </w:r>
      <w:r>
        <w:rPr>
          <w:rFonts w:hint="eastAsia" w:ascii="宋体" w:hAnsi="宋体" w:eastAsia="宋体" w:cs="宋体"/>
          <w:color w:val="000000" w:themeColor="text1"/>
          <w:szCs w:val="24"/>
          <w14:textFill>
            <w14:solidFill>
              <w14:schemeClr w14:val="tx1"/>
            </w14:solidFill>
          </w14:textFill>
        </w:rPr>
        <w:t>天内有效。</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15.3在响应文件提交截止时间前，除供应商补充、修改或者撤回响应文件外，任何单位和个人不得解密或提取响应文件。</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15.4 采购代理机构不可视情况延长提交响应文件的截止时间。</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16.迟交的响应文件</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按《中华人民共和国政府采购法》的规定，在规定的提交响应文件截止时间之后提交的任何响应文件将被拒收。</w:t>
      </w:r>
    </w:p>
    <w:p>
      <w:pPr>
        <w:spacing w:line="400" w:lineRule="exact"/>
        <w:ind w:firstLine="422" w:firstLineChars="200"/>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17．递交响应文件截止时间、地点</w:t>
      </w:r>
    </w:p>
    <w:p>
      <w:pPr>
        <w:spacing w:line="44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17.1响应文件的递交不得迟于本须知前附表规定的截止时间。</w:t>
      </w:r>
    </w:p>
    <w:p>
      <w:pPr>
        <w:spacing w:line="400" w:lineRule="exact"/>
        <w:ind w:firstLine="42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17.2供应商必须在规定时间内将响应文件提交到本须知前附表规定地点，超过截止时间送达的响应文件为无效文件，将拒收。</w:t>
      </w:r>
    </w:p>
    <w:p>
      <w:pPr>
        <w:spacing w:line="400" w:lineRule="exact"/>
        <w:ind w:right="168" w:rightChars="80" w:firstLine="432" w:firstLineChars="205"/>
        <w:rPr>
          <w:rFonts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18. 响应文件的修改与撤回</w:t>
      </w:r>
    </w:p>
    <w:p>
      <w:pPr>
        <w:spacing w:line="400" w:lineRule="exact"/>
        <w:ind w:right="168" w:rightChars="80" w:firstLine="430" w:firstLineChars="205"/>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18.1 供应商的修改或撤回通知，详见“竞争性磋商公告”。</w:t>
      </w:r>
    </w:p>
    <w:p>
      <w:pPr>
        <w:spacing w:line="400" w:lineRule="exact"/>
        <w:ind w:right="168" w:rightChars="80" w:firstLine="430" w:firstLineChars="205"/>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18.2 在提交响应文件截止时间以后，供应商不得修改响应文件。</w:t>
      </w:r>
    </w:p>
    <w:p>
      <w:pPr>
        <w:spacing w:line="400" w:lineRule="exact"/>
        <w:ind w:right="168" w:rightChars="80" w:firstLine="430" w:firstLineChars="205"/>
        <w:rPr>
          <w:rFonts w:asciiTheme="minorEastAsia" w:hAnsiTheme="minorEastAsia"/>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18.3 在磋商有效期内，供应商不能撤回其响应文件。</w:t>
      </w:r>
    </w:p>
    <w:p>
      <w:pPr>
        <w:spacing w:line="400" w:lineRule="exact"/>
        <w:ind w:firstLine="422" w:firstLineChars="200"/>
        <w:rPr>
          <w:rFonts w:asciiTheme="minorEastAsia" w:hAnsiTheme="minorEastAsia"/>
          <w:b/>
          <w:color w:val="000000" w:themeColor="text1"/>
          <w:szCs w:val="21"/>
          <w14:textFill>
            <w14:solidFill>
              <w14:schemeClr w14:val="tx1"/>
            </w14:solidFill>
          </w14:textFill>
        </w:rPr>
      </w:pPr>
      <w:bookmarkStart w:id="1" w:name="_Toc254970673"/>
      <w:bookmarkStart w:id="2" w:name="_Toc254970532"/>
      <w:r>
        <w:rPr>
          <w:rFonts w:hint="eastAsia" w:asciiTheme="minorEastAsia" w:hAnsiTheme="minorEastAsia"/>
          <w:b/>
          <w:color w:val="000000" w:themeColor="text1"/>
          <w:szCs w:val="21"/>
          <w14:textFill>
            <w14:solidFill>
              <w14:schemeClr w14:val="tx1"/>
            </w14:solidFill>
          </w14:textFill>
        </w:rPr>
        <w:t>六、磋商与评审</w:t>
      </w:r>
    </w:p>
    <w:bookmarkEnd w:id="1"/>
    <w:bookmarkEnd w:id="2"/>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1、磋商的步骤及评分标准</w:t>
      </w:r>
    </w:p>
    <w:p>
      <w:pPr>
        <w:numPr>
          <w:ilvl w:val="1"/>
          <w:numId w:val="0"/>
        </w:numPr>
        <w:tabs>
          <w:tab w:val="left" w:pos="1442"/>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1.1 实质审查</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（1）磋商小组审查竞争性磋商响应文件的实质性内容是否符合竞争性磋商文件的实质性要求。</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磋商小组要求供应商澄清、说明或者更正响应文件以书面形式作出。供应商的澄清、说明或者更正应当由法定代表人（负责人）或其授权代表签字或者加盖公章。</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未实质性响应磋商文件的磋商响应文件按无效处理，磋商小组应当告知有关供应商。</w:t>
      </w:r>
    </w:p>
    <w:p>
      <w:pPr>
        <w:numPr>
          <w:ilvl w:val="1"/>
          <w:numId w:val="0"/>
        </w:numPr>
        <w:tabs>
          <w:tab w:val="left" w:pos="1441"/>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1.2 磋商</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磋商时间及地点：详见本须知前附表第 8 项规定。</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（1）磋商小组所有成员应当集中与单一供应商分别进行磋商，并给予所有参加磋商的供应商平等的磋商机会。</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（2）磋商小组根据与供应商磋商情况可能实质性变动的内容包括采购需求中的技术、服务要求。实质性变动的内容，须经采购人代表确认。</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对磋商文件作出的实质性变动是磋商文件的有效组成部分，磋商小组应当及时以书面形式同时通知所有参加磋商的供应商。供应商应当按照磋商文件的变动情况和磋商小组的要求重新提交响应文件，并由其法定代表人（负责人）或授权代表签字或者加盖公章。逾时不交的，视同放弃磋商。修正文件与响应文件同具法律效力。</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（4）磋商评审在严格保密的情况下进行，磋商的任何一方不得透露与磋商有关的其他供应商的技术资料、价格和其他信息。本公司对磋商过程和重要磋商内容进行记录，磋商双方在记录上签字确认。</w:t>
      </w:r>
    </w:p>
    <w:p>
      <w:pPr>
        <w:numPr>
          <w:ilvl w:val="1"/>
          <w:numId w:val="0"/>
        </w:numPr>
        <w:tabs>
          <w:tab w:val="left" w:pos="1441"/>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1.3 最后报价</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磋商小组只要求商务评审和技术（服务）评审合格的磋商供应商在规定的时间内进行最后报价，密封递交磋商小组，由磋商小组采用综合评分法对提交最后报价的供应商的响应文件和最后报价进行综合评分，并按评分结果从高到低排序，推荐成交候选人顺序，形成评审报告。</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1"/>
          <w:numId w:val="0"/>
        </w:numPr>
        <w:tabs>
          <w:tab w:val="left" w:pos="1442"/>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1.4 响应供应商的最后报价均超过了政府采购预算，采购人不能支付的，磋商活动终止；终止后， 采购人需要采取调整采购预算或项目配置标准等，或采取其他采购方式的，应当在采购活动开始前获得广西壮族自治区财政厅政府采购监督管理处批准。</w:t>
      </w:r>
    </w:p>
    <w:p>
      <w:pPr>
        <w:numPr>
          <w:ilvl w:val="1"/>
          <w:numId w:val="0"/>
        </w:numPr>
        <w:tabs>
          <w:tab w:val="left" w:pos="1442"/>
        </w:tabs>
        <w:spacing w:line="360" w:lineRule="auto"/>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1.5 本采购项目的评标依据为竞争性磋商文件和响应文件，采用的评分标准为综合评分法。</w:t>
      </w:r>
    </w:p>
    <w:p>
      <w:pPr>
        <w:numPr>
          <w:ilvl w:val="1"/>
          <w:numId w:val="0"/>
        </w:numPr>
        <w:tabs>
          <w:tab w:val="left" w:pos="1442"/>
        </w:tabs>
        <w:spacing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2、确定成交供应商办法</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质量和服务均能满足竞争性磋商文件实质性响应要求且按评审因素的量化指标评审得分最高的磋商供应商确定成交供应商。</w:t>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3、成交结果公告</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3.1本公司在磋商工作完成后 2 个工作日内将评审报告送采购人，采购人确认后，成交结果将在网上公告媒体可查询结果。</w:t>
      </w:r>
    </w:p>
    <w:p>
      <w:pPr>
        <w:numPr>
          <w:ilvl w:val="1"/>
          <w:numId w:val="0"/>
        </w:numPr>
        <w:tabs>
          <w:tab w:val="left" w:pos="1441"/>
        </w:tabs>
        <w:spacing w:line="400" w:lineRule="exact"/>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3.2 磋商供应商如对成交结果公告有异议，可以在成交结果公告期限届满之日起七个工作日内以书面形式向本公司提出质疑。本公司将在收到磋商供应商的书面质疑后七个工作日内做出答复，但答复的内容不得涉及商业秘密。</w:t>
      </w:r>
    </w:p>
    <w:p>
      <w:pPr>
        <w:numPr>
          <w:ilvl w:val="1"/>
          <w:numId w:val="0"/>
        </w:numPr>
        <w:tabs>
          <w:tab w:val="left" w:pos="1442"/>
        </w:tabs>
        <w:spacing w:line="400" w:lineRule="exact"/>
        <w:ind w:firstLine="420" w:firstLineChars="20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3.3 质疑磋商供应商必须首先经过质疑程序，在对本公司的答复不满意或者本公司未在规定的时间内做出答复的，可以在答复期满后十五个工作日内书面向本级政府采购监督管理部门投诉。</w:t>
      </w:r>
    </w:p>
    <w:p>
      <w:pPr>
        <w:tabs>
          <w:tab w:val="left" w:pos="6410"/>
        </w:tabs>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质疑联系部门及电话为：广西国立工程咨询有限公司 18977002756</w:t>
      </w:r>
    </w:p>
    <w:p>
      <w:pPr>
        <w:spacing w:line="400" w:lineRule="exact"/>
        <w:ind w:left="420" w:leftChars="200" w:firstLine="105" w:firstLineChars="50"/>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七、签订合同</w:t>
      </w:r>
    </w:p>
    <w:p>
      <w:pPr>
        <w:pStyle w:val="28"/>
        <w:spacing w:line="420" w:lineRule="exact"/>
        <w:ind w:firstLine="420" w:firstLineChars="20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29.成交供应商接到成交通知书后，应自成交通知书发出之日起25天内与采购人签订合同。</w:t>
      </w:r>
    </w:p>
    <w:p>
      <w:pPr>
        <w:pStyle w:val="28"/>
        <w:spacing w:line="420" w:lineRule="exact"/>
        <w:ind w:firstLine="403" w:firstLineChars="192"/>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30.如成交供应商不按成交通知书的规定签订合同，则按成交供应商违约处理。</w:t>
      </w:r>
    </w:p>
    <w:p>
      <w:pPr>
        <w:pStyle w:val="28"/>
        <w:spacing w:line="420" w:lineRule="exact"/>
        <w:ind w:firstLine="420" w:firstLineChars="200"/>
        <w:outlineLvl w:val="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31.成交供应商因不可抗力或者拒绝签订政府采购合同的，采购人可以与成交供应商之后排名第一的成交候选供应商签订采购合同，以此类推。采购人也可以重新开展政府采购活动。拒绝签订政府采购合同的成交供应商不得参加对该项目重新开展的采购活动。</w:t>
      </w:r>
    </w:p>
    <w:p>
      <w:pPr>
        <w:pStyle w:val="28"/>
        <w:spacing w:line="420" w:lineRule="exact"/>
        <w:ind w:firstLine="420" w:firstLineChars="200"/>
        <w:outlineLvl w:val="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32.政府采购合同公告</w:t>
      </w:r>
    </w:p>
    <w:p>
      <w:pPr>
        <w:pStyle w:val="28"/>
        <w:spacing w:line="420" w:lineRule="exact"/>
        <w:ind w:firstLine="420" w:firstLineChars="200"/>
        <w:outlineLvl w:val="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pPr>
        <w:spacing w:line="400" w:lineRule="exact"/>
        <w:ind w:left="420" w:leftChars="200" w:firstLine="105" w:firstLineChars="5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十一、其他事项</w:t>
      </w:r>
    </w:p>
    <w:p>
      <w:pPr>
        <w:pStyle w:val="28"/>
        <w:spacing w:line="420" w:lineRule="exact"/>
        <w:ind w:firstLine="411" w:firstLineChars="196"/>
        <w:rPr>
          <w:rFonts w:hAnsi="宋体" w:eastAsia="宋体" w:cs="宋体"/>
          <w:b/>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33.</w:t>
      </w:r>
      <w:r>
        <w:rPr>
          <w:rFonts w:hint="eastAsia" w:hAnsi="宋体" w:eastAsia="宋体" w:cs="宋体"/>
          <w:b/>
          <w:color w:val="000000" w:themeColor="text1"/>
          <w:sz w:val="21"/>
          <w14:textFill>
            <w14:solidFill>
              <w14:schemeClr w14:val="tx1"/>
            </w14:solidFill>
          </w14:textFill>
        </w:rPr>
        <w:t xml:space="preserve"> 代理服务费</w:t>
      </w:r>
    </w:p>
    <w:p>
      <w:pPr>
        <w:pStyle w:val="28"/>
        <w:spacing w:line="420" w:lineRule="exact"/>
        <w:ind w:firstLine="420" w:firstLineChars="20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33.1代理服务费参照原国家发展计划委员会计价格〔2002〕1980号《磋商代理服务费管理暂行办法》及国家发改委发改价格〔2011〕534号文收费标准，收费标准以成交金额为计算基数，按“工程磋商”费率计算。签订合同前，成交人应向采购代理机构一次付清代理服务费。</w:t>
      </w:r>
    </w:p>
    <w:p>
      <w:pPr>
        <w:pStyle w:val="28"/>
        <w:spacing w:line="420" w:lineRule="exact"/>
        <w:ind w:firstLine="420" w:firstLineChars="200"/>
        <w:rPr>
          <w:rFonts w:hAnsi="宋体" w:eastAsia="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33.2代理服务收费标准(按工程磋商类)：</w:t>
      </w:r>
    </w:p>
    <w:tbl>
      <w:tblPr>
        <w:tblStyle w:val="49"/>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2"/>
        <w:gridCol w:w="2011"/>
        <w:gridCol w:w="1701"/>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-78105</wp:posOffset>
                      </wp:positionH>
                      <wp:positionV relativeFrom="paragraph">
                        <wp:posOffset>12065</wp:posOffset>
                      </wp:positionV>
                      <wp:extent cx="1971040" cy="526415"/>
                      <wp:effectExtent l="0" t="0" r="29210" b="26035"/>
                      <wp:wrapNone/>
                      <wp:docPr id="11" name="Line 17071"/>
                      <wp:cNvGraphicFramePr/>
                      <a:graphic xmlns:a="http://schemas.openxmlformats.org/drawingml/2006/main">
                        <a:graphicData uri="http://schemas.microsoft.com/office/word/2010/wordprocessingShape">
                          <wps:wsp>
                            <wps:cNvCnPr/>
                            <wps:spPr>
                              <a:xfrm>
                                <a:off x="0" y="0"/>
                                <a:ext cx="1971040" cy="5264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Line 17071" o:spid="_x0000_s1026" o:spt="20" style="position:absolute;left:0pt;margin-left:-6.15pt;margin-top:0.95pt;height:41.45pt;width:155.2pt;z-index:251665408;mso-width-relative:page;mso-height-relative:page;" filled="f" stroked="t" coordsize="21600,21600" o:gfxdata="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Tf7691wAAAAgBAAAPAAAAAAAA&#10;AAEAIAAAACIAAABkcnMvZG93bnJldi54bWxQSwECFAAUAAAACACHTuJAnFvCA9oBAADXAwAADgAA&#10;AAAAAAABACAAAAAmAQAAZHJzL2Uyb0RvYy54bWxQSwUGAAAAAAYABgBZAQAAcgUAAAAA&#10;">
                      <v:fill on="f" focussize="0,0"/>
                      <v:stroke color="#000000" joinstyle="round"/>
                      <v:imagedata o:title=""/>
                      <o:lock v:ext="edit" aspectratio="f"/>
                    </v:line>
                  </w:pict>
                </mc:Fallback>
              </mc:AlternateContent>
            </w:r>
            <w:r>
              <w:rPr>
                <w:rFonts w:hint="eastAsia" w:asciiTheme="minorEastAsia" w:hAnsiTheme="minorEastAsia"/>
                <w:color w:val="000000" w:themeColor="text1"/>
                <w:szCs w:val="21"/>
                <w14:textFill>
                  <w14:solidFill>
                    <w14:schemeClr w14:val="tx1"/>
                  </w14:solidFill>
                </w14:textFill>
              </w:rPr>
              <w:t xml:space="preserve">                       费率中标金额</w:t>
            </w:r>
          </w:p>
        </w:tc>
        <w:tc>
          <w:tcPr>
            <w:tcW w:w="2011" w:type="dxa"/>
            <w:vAlign w:val="center"/>
          </w:tcPr>
          <w:p>
            <w:pPr>
              <w:spacing w:line="420" w:lineRule="exact"/>
              <w:ind w:firstLine="105" w:firstLineChars="50"/>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货物磋商</w:t>
            </w:r>
          </w:p>
        </w:tc>
        <w:tc>
          <w:tcPr>
            <w:tcW w:w="1701" w:type="dxa"/>
            <w:vAlign w:val="center"/>
          </w:tcPr>
          <w:p>
            <w:pPr>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服务磋商</w:t>
            </w:r>
          </w:p>
        </w:tc>
        <w:tc>
          <w:tcPr>
            <w:tcW w:w="1721" w:type="dxa"/>
            <w:vAlign w:val="center"/>
          </w:tcPr>
          <w:p>
            <w:pPr>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工程磋商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100万元以下</w:t>
            </w:r>
          </w:p>
        </w:tc>
        <w:tc>
          <w:tcPr>
            <w:tcW w:w="201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1.5%                </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1.5%</w:t>
            </w:r>
          </w:p>
        </w:tc>
        <w:tc>
          <w:tcPr>
            <w:tcW w:w="172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100～500万元</w:t>
            </w:r>
          </w:p>
        </w:tc>
        <w:tc>
          <w:tcPr>
            <w:tcW w:w="201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1.1%                 </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0.8%</w:t>
            </w:r>
          </w:p>
        </w:tc>
        <w:tc>
          <w:tcPr>
            <w:tcW w:w="172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500～1000万元</w:t>
            </w:r>
          </w:p>
        </w:tc>
        <w:tc>
          <w:tcPr>
            <w:tcW w:w="201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0.8%                </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0.45%</w:t>
            </w:r>
          </w:p>
        </w:tc>
        <w:tc>
          <w:tcPr>
            <w:tcW w:w="172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1000～5000万元</w:t>
            </w:r>
          </w:p>
        </w:tc>
        <w:tc>
          <w:tcPr>
            <w:tcW w:w="201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0.5%                </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0.25%</w:t>
            </w:r>
          </w:p>
        </w:tc>
        <w:tc>
          <w:tcPr>
            <w:tcW w:w="172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0.35%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5000万元～1亿元</w:t>
            </w:r>
          </w:p>
        </w:tc>
        <w:tc>
          <w:tcPr>
            <w:tcW w:w="201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0.25%                 </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0.1%</w:t>
            </w:r>
          </w:p>
        </w:tc>
        <w:tc>
          <w:tcPr>
            <w:tcW w:w="172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1～5亿元</w:t>
            </w:r>
          </w:p>
        </w:tc>
        <w:tc>
          <w:tcPr>
            <w:tcW w:w="201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0.05%</w:t>
            </w:r>
          </w:p>
        </w:tc>
        <w:tc>
          <w:tcPr>
            <w:tcW w:w="170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0.05%</w:t>
            </w:r>
          </w:p>
        </w:tc>
        <w:tc>
          <w:tcPr>
            <w:tcW w:w="172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5～10亿元</w:t>
            </w:r>
          </w:p>
        </w:tc>
        <w:tc>
          <w:tcPr>
            <w:tcW w:w="201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0.035%</w:t>
            </w:r>
          </w:p>
        </w:tc>
        <w:tc>
          <w:tcPr>
            <w:tcW w:w="170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0.035%</w:t>
            </w:r>
          </w:p>
        </w:tc>
        <w:tc>
          <w:tcPr>
            <w:tcW w:w="172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10～50亿元</w:t>
            </w:r>
          </w:p>
        </w:tc>
        <w:tc>
          <w:tcPr>
            <w:tcW w:w="201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0.008%</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0.008%</w:t>
            </w:r>
          </w:p>
        </w:tc>
        <w:tc>
          <w:tcPr>
            <w:tcW w:w="172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50～100亿元</w:t>
            </w:r>
          </w:p>
        </w:tc>
        <w:tc>
          <w:tcPr>
            <w:tcW w:w="201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0.006%</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0.006%</w:t>
            </w:r>
          </w:p>
        </w:tc>
        <w:tc>
          <w:tcPr>
            <w:tcW w:w="172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3092"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100亿以上</w:t>
            </w:r>
          </w:p>
        </w:tc>
        <w:tc>
          <w:tcPr>
            <w:tcW w:w="2011" w:type="dxa"/>
          </w:tcPr>
          <w:p>
            <w:pPr>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0.004%</w:t>
            </w:r>
          </w:p>
        </w:tc>
        <w:tc>
          <w:tcPr>
            <w:tcW w:w="1701" w:type="dxa"/>
          </w:tcPr>
          <w:p>
            <w:pPr>
              <w:spacing w:line="42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0.004%</w:t>
            </w:r>
          </w:p>
        </w:tc>
        <w:tc>
          <w:tcPr>
            <w:tcW w:w="1721" w:type="dxa"/>
          </w:tcPr>
          <w:p>
            <w:pPr>
              <w:spacing w:line="420" w:lineRule="exact"/>
              <w:ind w:firstLine="105" w:firstLineChars="5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0.004%</w:t>
            </w:r>
          </w:p>
        </w:tc>
      </w:tr>
    </w:tbl>
    <w:p>
      <w:pPr>
        <w:pStyle w:val="28"/>
        <w:spacing w:line="420" w:lineRule="exact"/>
        <w:rPr>
          <w:rFonts w:asciiTheme="minorEastAsia" w:hAnsiTheme="minorEastAsia"/>
          <w:b/>
          <w:color w:val="000000" w:themeColor="text1"/>
          <w:sz w:val="21"/>
          <w14:textFill>
            <w14:solidFill>
              <w14:schemeClr w14:val="tx1"/>
            </w14:solidFill>
          </w14:textFill>
        </w:rPr>
      </w:pPr>
      <w:r>
        <w:rPr>
          <w:rFonts w:hint="eastAsia" w:asciiTheme="minorEastAsia" w:hAnsiTheme="minorEastAsia"/>
          <w:color w:val="000000" w:themeColor="text1"/>
          <w:sz w:val="21"/>
          <w14:textFill>
            <w14:solidFill>
              <w14:schemeClr w14:val="tx1"/>
            </w14:solidFill>
          </w14:textFill>
        </w:rPr>
        <w:t>注：磋商代理服务收费按差额定率累进法计算。</w:t>
      </w:r>
    </w:p>
    <w:p>
      <w:pPr>
        <w:widowControl/>
        <w:tabs>
          <w:tab w:val="left" w:pos="540"/>
        </w:tabs>
        <w:spacing w:line="40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34.采购当事人的一切活动均适用于《中华人民共和国政府采购法》、《中华人民共和国政府采购法实施条例》及相关规定。</w:t>
      </w:r>
    </w:p>
    <w:p>
      <w:pPr>
        <w:spacing w:line="500" w:lineRule="exact"/>
        <w:jc w:val="left"/>
        <w:rPr>
          <w:rFonts w:hAnsi="宋体"/>
          <w:b/>
          <w:color w:val="000000" w:themeColor="text1"/>
          <w:sz w:val="24"/>
          <w:szCs w:val="24"/>
          <w14:textFill>
            <w14:solidFill>
              <w14:schemeClr w14:val="tx1"/>
            </w14:solidFill>
          </w14:textFill>
        </w:rPr>
        <w:sectPr>
          <w:footerReference r:id="rId4" w:type="first"/>
          <w:footerReference r:id="rId3" w:type="default"/>
          <w:pgSz w:w="11907" w:h="16840"/>
          <w:pgMar w:top="1077" w:right="1247" w:bottom="1077" w:left="1247" w:header="964" w:footer="737" w:gutter="0"/>
          <w:pgNumType w:start="1"/>
          <w:cols w:space="0" w:num="1"/>
          <w:titlePg/>
          <w:docGrid w:linePitch="312" w:charSpace="0"/>
        </w:sectPr>
      </w:pPr>
      <w:bookmarkStart w:id="3" w:name="_Toc453681440"/>
      <w:bookmarkStart w:id="4" w:name="_Toc108836086"/>
      <w:bookmarkStart w:id="5" w:name="_Toc108835675"/>
    </w:p>
    <w:p>
      <w:pPr>
        <w:spacing w:line="500" w:lineRule="exact"/>
        <w:jc w:val="lef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附件1</w:t>
      </w:r>
    </w:p>
    <w:p>
      <w:pPr>
        <w:widowControl/>
        <w:shd w:val="clear" w:color="auto" w:fill="FFFFFF"/>
        <w:spacing w:line="480" w:lineRule="atLeast"/>
        <w:jc w:val="center"/>
        <w:rPr>
          <w:rFonts w:cs="宋体" w:asciiTheme="minorEastAsia" w:hAnsiTheme="minorEastAsia"/>
          <w:color w:val="000000" w:themeColor="text1"/>
          <w:kern w:val="0"/>
          <w:sz w:val="32"/>
          <w:szCs w:val="32"/>
          <w14:textFill>
            <w14:solidFill>
              <w14:schemeClr w14:val="tx1"/>
            </w14:solidFill>
          </w14:textFill>
        </w:rPr>
      </w:pPr>
      <w:r>
        <w:rPr>
          <w:rFonts w:hint="eastAsia" w:cs="黑体" w:asciiTheme="minorEastAsia" w:hAnsiTheme="minorEastAsia"/>
          <w:color w:val="000000" w:themeColor="text1"/>
          <w:kern w:val="0"/>
          <w:sz w:val="32"/>
          <w:szCs w:val="32"/>
          <w14:textFill>
            <w14:solidFill>
              <w14:schemeClr w14:val="tx1"/>
            </w14:solidFill>
          </w14:textFill>
        </w:rPr>
        <w:t>广西壮族自治区政府采购项目合同验收书</w:t>
      </w:r>
      <w:r>
        <w:rPr>
          <w:rFonts w:hint="eastAsia" w:cs="宋体" w:asciiTheme="minorEastAsia" w:hAnsiTheme="minorEastAsia"/>
          <w:color w:val="000000" w:themeColor="text1"/>
          <w:kern w:val="0"/>
          <w:sz w:val="32"/>
          <w:szCs w:val="32"/>
          <w14:textFill>
            <w14:solidFill>
              <w14:schemeClr w14:val="tx1"/>
            </w14:solidFill>
          </w14:textFill>
        </w:rPr>
        <w:t>（格式）</w:t>
      </w:r>
    </w:p>
    <w:p>
      <w:pPr>
        <w:widowControl/>
        <w:shd w:val="clear" w:color="auto" w:fill="FFFFFF"/>
        <w:spacing w:line="480" w:lineRule="atLeast"/>
        <w:jc w:val="center"/>
        <w:rPr>
          <w:rFonts w:ascii="仿宋" w:hAnsi="仿宋" w:eastAsia="仿宋" w:cs="宋体"/>
          <w:color w:val="000000" w:themeColor="text1"/>
          <w:kern w:val="0"/>
          <w:sz w:val="32"/>
          <w:szCs w:val="32"/>
          <w14:textFill>
            <w14:solidFill>
              <w14:schemeClr w14:val="tx1"/>
            </w14:solidFill>
          </w14:textFill>
        </w:rPr>
      </w:pPr>
    </w:p>
    <w:p>
      <w:pPr>
        <w:widowControl/>
        <w:shd w:val="clear" w:color="auto" w:fill="FFFFFF"/>
        <w:snapToGrid w:val="0"/>
        <w:spacing w:line="320" w:lineRule="atLeast"/>
        <w:ind w:firstLine="48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根据政府采购项目（</w:t>
      </w:r>
      <w:r>
        <w:rPr>
          <w:rFonts w:hint="eastAsia" w:cs="宋体" w:asciiTheme="minorEastAsia" w:hAnsiTheme="minorEastAsia"/>
          <w:color w:val="000000" w:themeColor="text1"/>
          <w:kern w:val="0"/>
          <w:szCs w:val="21"/>
          <w:u w:val="single"/>
          <w14:textFill>
            <w14:solidFill>
              <w14:schemeClr w14:val="tx1"/>
            </w14:solidFill>
          </w14:textFill>
        </w:rPr>
        <w:t>采购合同编号：</w:t>
      </w:r>
      <w:r>
        <w:rPr>
          <w:rFonts w:hint="eastAsia" w:cs="宋体" w:asciiTheme="minorEastAsia" w:hAnsiTheme="minorEastAsia"/>
          <w:color w:val="000000" w:themeColor="text1"/>
          <w:kern w:val="0"/>
          <w:szCs w:val="21"/>
          <w:u w:val="single"/>
          <w14:textFill>
            <w14:solidFill>
              <w14:schemeClr w14:val="tx1"/>
            </w14:solidFill>
          </w14:textFill>
        </w:rPr>
        <w:softHyphen/>
      </w:r>
      <w:r>
        <w:rPr>
          <w:rFonts w:hint="eastAsia" w:cs="宋体" w:asciiTheme="minorEastAsia" w:hAnsiTheme="minorEastAsia"/>
          <w:color w:val="000000" w:themeColor="text1"/>
          <w:kern w:val="0"/>
          <w:szCs w:val="21"/>
          <w:u w:val="single"/>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）的约定，我单位对（</w:t>
      </w:r>
      <w:r>
        <w:rPr>
          <w:rFonts w:hint="eastAsia" w:cs="宋体" w:asciiTheme="minorEastAsia" w:hAnsiTheme="minorEastAsia"/>
          <w:color w:val="000000" w:themeColor="text1"/>
          <w:kern w:val="0"/>
          <w:szCs w:val="21"/>
          <w:u w:val="single"/>
          <w14:textFill>
            <w14:solidFill>
              <w14:schemeClr w14:val="tx1"/>
            </w14:solidFill>
          </w14:textFill>
        </w:rPr>
        <w:t xml:space="preserve"> 项目名称 </w:t>
      </w:r>
      <w:r>
        <w:rPr>
          <w:rFonts w:hint="eastAsia" w:cs="宋体" w:asciiTheme="minorEastAsia" w:hAnsiTheme="minorEastAsia"/>
          <w:color w:val="000000" w:themeColor="text1"/>
          <w:kern w:val="0"/>
          <w:szCs w:val="21"/>
          <w14:textFill>
            <w14:solidFill>
              <w14:schemeClr w14:val="tx1"/>
            </w14:solidFill>
          </w14:textFill>
        </w:rPr>
        <w:t>） 政府采购项目中标（或成交）供应商（</w:t>
      </w:r>
      <w:r>
        <w:rPr>
          <w:rFonts w:hint="eastAsia" w:cs="宋体" w:asciiTheme="minorEastAsia" w:hAnsiTheme="minorEastAsia"/>
          <w:color w:val="000000" w:themeColor="text1"/>
          <w:kern w:val="0"/>
          <w:szCs w:val="21"/>
          <w:u w:val="single"/>
          <w14:textFill>
            <w14:solidFill>
              <w14:schemeClr w14:val="tx1"/>
            </w14:solidFill>
          </w14:textFill>
        </w:rPr>
        <w:t xml:space="preserve"> 公司名称 </w:t>
      </w:r>
      <w:r>
        <w:rPr>
          <w:rFonts w:hint="eastAsia" w:cs="宋体" w:asciiTheme="minorEastAsia" w:hAnsiTheme="minorEastAsia"/>
          <w:color w:val="000000" w:themeColor="text1"/>
          <w:kern w:val="0"/>
          <w:szCs w:val="21"/>
          <w14:textFill>
            <w14:solidFill>
              <w14:schemeClr w14:val="tx1"/>
            </w14:solidFill>
          </w14:textFill>
        </w:rPr>
        <w:t>） 提供的货物（或工程、服务）进行了验收，验收情况如下：</w:t>
      </w:r>
    </w:p>
    <w:tbl>
      <w:tblPr>
        <w:tblStyle w:val="49"/>
        <w:tblW w:w="0" w:type="auto"/>
        <w:jc w:val="center"/>
        <w:tblLayout w:type="fixed"/>
        <w:tblCellMar>
          <w:top w:w="0" w:type="dxa"/>
          <w:left w:w="0" w:type="dxa"/>
          <w:bottom w:w="0" w:type="dxa"/>
          <w:right w:w="0" w:type="dxa"/>
        </w:tblCellMar>
      </w:tblPr>
      <w:tblGrid>
        <w:gridCol w:w="1331"/>
        <w:gridCol w:w="1921"/>
        <w:gridCol w:w="798"/>
        <w:gridCol w:w="102"/>
        <w:gridCol w:w="2002"/>
        <w:gridCol w:w="178"/>
        <w:gridCol w:w="685"/>
        <w:gridCol w:w="1913"/>
      </w:tblGrid>
      <w:tr>
        <w:tblPrEx>
          <w:tblCellMar>
            <w:top w:w="0" w:type="dxa"/>
            <w:left w:w="0" w:type="dxa"/>
            <w:bottom w:w="0" w:type="dxa"/>
            <w:right w:w="0" w:type="dxa"/>
          </w:tblCellMar>
        </w:tblPrEx>
        <w:trPr>
          <w:trHeight w:val="497" w:hRule="atLeast"/>
          <w:jc w:val="center"/>
        </w:trPr>
        <w:tc>
          <w:tcPr>
            <w:tcW w:w="3252" w:type="dxa"/>
            <w:gridSpan w:val="2"/>
            <w:tcBorders>
              <w:top w:val="single" w:color="auto" w:sz="8" w:space="0"/>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atLeast"/>
              <w:ind w:firstLine="5"/>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验收方式：</w:t>
            </w:r>
          </w:p>
        </w:tc>
        <w:tc>
          <w:tcPr>
            <w:tcW w:w="5678" w:type="dxa"/>
            <w:gridSpan w:val="6"/>
            <w:tcBorders>
              <w:top w:val="single" w:color="auto" w:sz="8" w:space="0"/>
              <w:left w:val="nil"/>
              <w:bottom w:val="single" w:color="auto" w:sz="8" w:space="0"/>
              <w:right w:val="single" w:color="auto" w:sz="8" w:space="0"/>
            </w:tcBorders>
            <w:vAlign w:val="center"/>
          </w:tcPr>
          <w:p>
            <w:pPr>
              <w:widowControl/>
              <w:snapToGrid w:val="0"/>
              <w:spacing w:before="100" w:beforeAutospacing="1" w:after="100" w:afterAutospacing="1" w:line="320" w:lineRule="atLeast"/>
              <w:ind w:firstLine="480"/>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□自行验收 □委托验收</w:t>
            </w:r>
          </w:p>
        </w:tc>
      </w:tr>
      <w:tr>
        <w:tblPrEx>
          <w:tblCellMar>
            <w:top w:w="0" w:type="dxa"/>
            <w:left w:w="0" w:type="dxa"/>
            <w:bottom w:w="0" w:type="dxa"/>
            <w:right w:w="0" w:type="dxa"/>
          </w:tblCellMar>
        </w:tblPrEx>
        <w:trPr>
          <w:trHeight w:val="622" w:hRule="atLeast"/>
          <w:jc w:val="center"/>
        </w:trPr>
        <w:tc>
          <w:tcPr>
            <w:tcW w:w="1331" w:type="dxa"/>
            <w:tcBorders>
              <w:top w:val="nil"/>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序号</w:t>
            </w:r>
          </w:p>
        </w:tc>
        <w:tc>
          <w:tcPr>
            <w:tcW w:w="1921" w:type="dxa"/>
            <w:tcBorders>
              <w:top w:val="nil"/>
              <w:left w:val="nil"/>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名 称</w:t>
            </w:r>
          </w:p>
        </w:tc>
        <w:tc>
          <w:tcPr>
            <w:tcW w:w="2902" w:type="dxa"/>
            <w:gridSpan w:val="3"/>
            <w:tcBorders>
              <w:top w:val="nil"/>
              <w:left w:val="nil"/>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货物型号规格、标准及配置等（或服务内容、标准）</w:t>
            </w:r>
          </w:p>
        </w:tc>
        <w:tc>
          <w:tcPr>
            <w:tcW w:w="863" w:type="dxa"/>
            <w:gridSpan w:val="2"/>
            <w:tcBorders>
              <w:top w:val="nil"/>
              <w:left w:val="nil"/>
              <w:bottom w:val="single" w:color="auto" w:sz="8" w:space="0"/>
              <w:right w:val="single" w:color="auto" w:sz="8" w:space="0"/>
            </w:tcBorders>
            <w:vAlign w:val="center"/>
          </w:tcPr>
          <w:p>
            <w:pPr>
              <w:widowControl/>
              <w:snapToGrid w:val="0"/>
              <w:spacing w:before="100" w:beforeAutospacing="1" w:after="100" w:afterAutospacing="1" w:line="320" w:lineRule="atLeast"/>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数量</w:t>
            </w:r>
          </w:p>
        </w:tc>
        <w:tc>
          <w:tcPr>
            <w:tcW w:w="1913" w:type="dxa"/>
            <w:tcBorders>
              <w:top w:val="nil"/>
              <w:left w:val="nil"/>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金 额</w:t>
            </w:r>
          </w:p>
        </w:tc>
      </w:tr>
      <w:tr>
        <w:tblPrEx>
          <w:tblCellMar>
            <w:top w:w="0" w:type="dxa"/>
            <w:left w:w="0" w:type="dxa"/>
            <w:bottom w:w="0" w:type="dxa"/>
            <w:right w:w="0" w:type="dxa"/>
          </w:tblCellMar>
        </w:tblPrEx>
        <w:trPr>
          <w:trHeight w:val="487" w:hRule="atLeast"/>
          <w:jc w:val="center"/>
        </w:trPr>
        <w:tc>
          <w:tcPr>
            <w:tcW w:w="1331" w:type="dxa"/>
            <w:tcBorders>
              <w:top w:val="nil"/>
              <w:left w:val="single" w:color="auto" w:sz="8" w:space="0"/>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21"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902" w:type="dxa"/>
            <w:gridSpan w:val="3"/>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863"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13"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487" w:hRule="atLeast"/>
          <w:jc w:val="center"/>
        </w:trPr>
        <w:tc>
          <w:tcPr>
            <w:tcW w:w="1331" w:type="dxa"/>
            <w:tcBorders>
              <w:top w:val="nil"/>
              <w:left w:val="single" w:color="auto" w:sz="8" w:space="0"/>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21"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902" w:type="dxa"/>
            <w:gridSpan w:val="3"/>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863"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13"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487" w:hRule="atLeast"/>
          <w:jc w:val="center"/>
        </w:trPr>
        <w:tc>
          <w:tcPr>
            <w:tcW w:w="1331" w:type="dxa"/>
            <w:tcBorders>
              <w:top w:val="nil"/>
              <w:left w:val="single" w:color="auto" w:sz="8" w:space="0"/>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21"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902" w:type="dxa"/>
            <w:gridSpan w:val="3"/>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863"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13"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487" w:hRule="atLeast"/>
          <w:jc w:val="center"/>
        </w:trPr>
        <w:tc>
          <w:tcPr>
            <w:tcW w:w="6154" w:type="dxa"/>
            <w:gridSpan w:val="5"/>
            <w:tcBorders>
              <w:top w:val="nil"/>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atLeast"/>
              <w:ind w:firstLine="5"/>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合 计</w:t>
            </w:r>
          </w:p>
        </w:tc>
        <w:tc>
          <w:tcPr>
            <w:tcW w:w="863"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1913" w:type="dxa"/>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41" w:hRule="atLeast"/>
          <w:jc w:val="center"/>
        </w:trPr>
        <w:tc>
          <w:tcPr>
            <w:tcW w:w="8930" w:type="dxa"/>
            <w:gridSpan w:val="8"/>
            <w:tcBorders>
              <w:top w:val="nil"/>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合计大写金额： 仟 佰 拾 万 仟 佰 拾 元</w:t>
            </w:r>
          </w:p>
        </w:tc>
      </w:tr>
      <w:tr>
        <w:tblPrEx>
          <w:tblCellMar>
            <w:top w:w="0" w:type="dxa"/>
            <w:left w:w="0" w:type="dxa"/>
            <w:bottom w:w="0" w:type="dxa"/>
            <w:right w:w="0" w:type="dxa"/>
          </w:tblCellMar>
        </w:tblPrEx>
        <w:trPr>
          <w:trHeight w:val="641" w:hRule="atLeast"/>
          <w:jc w:val="center"/>
        </w:trPr>
        <w:tc>
          <w:tcPr>
            <w:tcW w:w="1331" w:type="dxa"/>
            <w:tcBorders>
              <w:top w:val="nil"/>
              <w:left w:val="single" w:color="auto" w:sz="8" w:space="0"/>
              <w:bottom w:val="single" w:color="auto" w:sz="8" w:space="0"/>
              <w:right w:val="single" w:color="auto" w:sz="8" w:space="0"/>
            </w:tcBorders>
            <w:vAlign w:val="center"/>
          </w:tcPr>
          <w:p>
            <w:pPr>
              <w:widowControl/>
              <w:snapToGrid w:val="0"/>
              <w:spacing w:before="100" w:beforeAutospacing="1" w:after="100" w:afterAutospacing="1" w:line="320" w:lineRule="atLeast"/>
              <w:ind w:firstLine="2"/>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实际供货日期</w:t>
            </w:r>
          </w:p>
        </w:tc>
        <w:tc>
          <w:tcPr>
            <w:tcW w:w="2719"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282" w:type="dxa"/>
            <w:gridSpan w:val="3"/>
            <w:tcBorders>
              <w:top w:val="nil"/>
              <w:left w:val="nil"/>
              <w:bottom w:val="single" w:color="auto" w:sz="8" w:space="0"/>
              <w:right w:val="single" w:color="auto" w:sz="8" w:space="0"/>
            </w:tcBorders>
            <w:vAlign w:val="center"/>
          </w:tcPr>
          <w:p>
            <w:pPr>
              <w:widowControl/>
              <w:snapToGrid w:val="0"/>
              <w:spacing w:before="100" w:beforeAutospacing="1" w:after="100" w:afterAutospacing="1" w:line="320" w:lineRule="atLeast"/>
              <w:ind w:firstLine="46"/>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合同交货验收日期</w:t>
            </w:r>
          </w:p>
        </w:tc>
        <w:tc>
          <w:tcPr>
            <w:tcW w:w="2598"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394" w:hRule="atLeast"/>
          <w:jc w:val="center"/>
        </w:trPr>
        <w:tc>
          <w:tcPr>
            <w:tcW w:w="1331" w:type="dxa"/>
            <w:tcBorders>
              <w:top w:val="nil"/>
              <w:left w:val="single" w:color="auto" w:sz="8" w:space="0"/>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719"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282" w:type="dxa"/>
            <w:gridSpan w:val="3"/>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c>
          <w:tcPr>
            <w:tcW w:w="2598" w:type="dxa"/>
            <w:gridSpan w:val="2"/>
            <w:tcBorders>
              <w:top w:val="nil"/>
              <w:left w:val="nil"/>
              <w:bottom w:val="single" w:color="auto" w:sz="8" w:space="0"/>
              <w:right w:val="single" w:color="auto" w:sz="8" w:space="0"/>
            </w:tcBorders>
            <w:vAlign w:val="center"/>
          </w:tcPr>
          <w:p>
            <w:pPr>
              <w:widowControl/>
              <w:spacing w:before="100" w:beforeAutospacing="1" w:after="100" w:afterAutospacing="1" w:line="240" w:lineRule="atLeast"/>
              <w:jc w:val="center"/>
              <w:rPr>
                <w:rFonts w:cs="宋体" w:asciiTheme="minorEastAsia" w:hAnsiTheme="minorEastAsia"/>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93" w:hRule="atLeast"/>
          <w:jc w:val="center"/>
        </w:trPr>
        <w:tc>
          <w:tcPr>
            <w:tcW w:w="133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napToGrid w:val="0"/>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验收具体内容</w:t>
            </w:r>
          </w:p>
        </w:tc>
        <w:tc>
          <w:tcPr>
            <w:tcW w:w="7599" w:type="dxa"/>
            <w:gridSpan w:val="7"/>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napToGrid w:val="0"/>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应按采购合同、采购文件、投标响应文件及验收方案等进行验收；并核对中标或者成交供应商在安装调试等方面是否违反合同约定或服务规范要求、提供的质量保证证明材料是否齐全、应有的配件及附件是否达到合同约定等。可附件)</w:t>
            </w:r>
          </w:p>
        </w:tc>
      </w:tr>
      <w:tr>
        <w:tblPrEx>
          <w:tblCellMar>
            <w:top w:w="0" w:type="dxa"/>
            <w:left w:w="0" w:type="dxa"/>
            <w:bottom w:w="0" w:type="dxa"/>
            <w:right w:w="0" w:type="dxa"/>
          </w:tblCellMar>
        </w:tblPrEx>
        <w:trPr>
          <w:trHeight w:val="1281" w:hRule="atLeast"/>
          <w:jc w:val="center"/>
        </w:trPr>
        <w:tc>
          <w:tcPr>
            <w:tcW w:w="1331"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验收小组意见</w:t>
            </w:r>
          </w:p>
        </w:tc>
        <w:tc>
          <w:tcPr>
            <w:tcW w:w="7599" w:type="dxa"/>
            <w:gridSpan w:val="7"/>
            <w:tcBorders>
              <w:top w:val="nil"/>
              <w:left w:val="nil"/>
              <w:bottom w:val="single" w:color="auto" w:sz="8" w:space="0"/>
              <w:right w:val="single" w:color="auto" w:sz="8" w:space="0"/>
            </w:tcBorders>
            <w:vAlign w:val="center"/>
          </w:tcPr>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验收结论性意见：</w:t>
            </w:r>
          </w:p>
        </w:tc>
      </w:tr>
      <w:tr>
        <w:tblPrEx>
          <w:tblCellMar>
            <w:top w:w="0" w:type="dxa"/>
            <w:left w:w="0" w:type="dxa"/>
            <w:bottom w:w="0" w:type="dxa"/>
            <w:right w:w="0" w:type="dxa"/>
          </w:tblCellMar>
        </w:tblPrEx>
        <w:trPr>
          <w:trHeight w:val="607" w:hRule="atLeast"/>
          <w:jc w:val="center"/>
        </w:trPr>
        <w:tc>
          <w:tcPr>
            <w:tcW w:w="1331" w:type="dxa"/>
            <w:vMerge w:val="continue"/>
            <w:tcBorders>
              <w:top w:val="nil"/>
              <w:left w:val="single" w:color="auto" w:sz="8" w:space="0"/>
              <w:bottom w:val="single" w:color="auto" w:sz="8" w:space="0"/>
              <w:right w:val="single" w:color="auto" w:sz="8" w:space="0"/>
            </w:tcBorders>
            <w:vAlign w:val="center"/>
          </w:tcPr>
          <w:p>
            <w:pPr>
              <w:widowControl/>
              <w:jc w:val="left"/>
              <w:rPr>
                <w:rFonts w:cs="宋体" w:asciiTheme="minorEastAsia" w:hAnsiTheme="minorEastAsia"/>
                <w:color w:val="000000" w:themeColor="text1"/>
                <w:kern w:val="0"/>
                <w:szCs w:val="21"/>
                <w14:textFill>
                  <w14:solidFill>
                    <w14:schemeClr w14:val="tx1"/>
                  </w14:solidFill>
                </w14:textFill>
              </w:rPr>
            </w:pPr>
          </w:p>
        </w:tc>
        <w:tc>
          <w:tcPr>
            <w:tcW w:w="7599" w:type="dxa"/>
            <w:gridSpan w:val="7"/>
            <w:tcBorders>
              <w:top w:val="nil"/>
              <w:left w:val="nil"/>
              <w:bottom w:val="single" w:color="auto" w:sz="8" w:space="0"/>
              <w:right w:val="single" w:color="auto" w:sz="8" w:space="0"/>
            </w:tcBorders>
            <w:vAlign w:val="center"/>
          </w:tcPr>
          <w:p>
            <w:pPr>
              <w:widowControl/>
              <w:spacing w:before="100" w:beforeAutospacing="1" w:after="100" w:afterAutospacing="1" w:line="320" w:lineRule="atLeast"/>
              <w:ind w:firstLine="96"/>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有异议的意见和说明理由：</w:t>
            </w:r>
          </w:p>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签字：</w:t>
            </w:r>
          </w:p>
        </w:tc>
      </w:tr>
      <w:tr>
        <w:tblPrEx>
          <w:tblCellMar>
            <w:top w:w="0" w:type="dxa"/>
            <w:left w:w="0" w:type="dxa"/>
            <w:bottom w:w="0" w:type="dxa"/>
            <w:right w:w="0" w:type="dxa"/>
          </w:tblCellMar>
        </w:tblPrEx>
        <w:trPr>
          <w:trHeight w:val="507" w:hRule="atLeast"/>
          <w:jc w:val="center"/>
        </w:trPr>
        <w:tc>
          <w:tcPr>
            <w:tcW w:w="8930" w:type="dxa"/>
            <w:gridSpan w:val="8"/>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验收小组成员签字：</w:t>
            </w:r>
          </w:p>
        </w:tc>
      </w:tr>
      <w:tr>
        <w:tblPrEx>
          <w:tblCellMar>
            <w:top w:w="0" w:type="dxa"/>
            <w:left w:w="0" w:type="dxa"/>
            <w:bottom w:w="0" w:type="dxa"/>
            <w:right w:w="0" w:type="dxa"/>
          </w:tblCellMar>
        </w:tblPrEx>
        <w:trPr>
          <w:trHeight w:val="736" w:hRule="atLeast"/>
          <w:jc w:val="center"/>
        </w:trPr>
        <w:tc>
          <w:tcPr>
            <w:tcW w:w="8930" w:type="dxa"/>
            <w:gridSpan w:val="8"/>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监督人员或其他相关人员签字：</w:t>
            </w:r>
          </w:p>
          <w:p>
            <w:pPr>
              <w:widowControl/>
              <w:spacing w:before="100" w:beforeAutospacing="1" w:after="100" w:afterAutospacing="1" w:line="320" w:lineRule="atLeast"/>
              <w:ind w:firstLine="74"/>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或受邀机构的意见（盖章）：</w:t>
            </w:r>
          </w:p>
        </w:tc>
      </w:tr>
      <w:tr>
        <w:tblPrEx>
          <w:tblCellMar>
            <w:top w:w="0" w:type="dxa"/>
            <w:left w:w="0" w:type="dxa"/>
            <w:bottom w:w="0" w:type="dxa"/>
            <w:right w:w="0" w:type="dxa"/>
          </w:tblCellMar>
        </w:tblPrEx>
        <w:trPr>
          <w:trHeight w:val="1879" w:hRule="atLeast"/>
          <w:jc w:val="center"/>
        </w:trPr>
        <w:tc>
          <w:tcPr>
            <w:tcW w:w="4152" w:type="dxa"/>
            <w:gridSpan w:val="4"/>
            <w:tcBorders>
              <w:top w:val="nil"/>
              <w:left w:val="single" w:color="auto" w:sz="8" w:space="0"/>
              <w:bottom w:val="single" w:color="auto" w:sz="8" w:space="0"/>
              <w:right w:val="nil"/>
            </w:tcBorders>
            <w:tcMar>
              <w:top w:w="0" w:type="dxa"/>
              <w:left w:w="108" w:type="dxa"/>
              <w:bottom w:w="0" w:type="dxa"/>
              <w:right w:w="108" w:type="dxa"/>
            </w:tcMar>
            <w:vAlign w:val="center"/>
          </w:tcPr>
          <w:p>
            <w:pPr>
              <w:widowControl/>
              <w:spacing w:before="100" w:beforeAutospacing="1" w:after="100" w:afterAutospacing="1" w:line="320" w:lineRule="atLeast"/>
              <w:ind w:firstLine="74"/>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中标或者成交供应商负责人签字或盖章：</w:t>
            </w:r>
            <w:r>
              <w:rPr>
                <w:rFonts w:hint="eastAsia" w:cs="宋体" w:asciiTheme="minorEastAsia" w:hAnsiTheme="minorEastAsia"/>
                <w:color w:val="000000" w:themeColor="text1"/>
                <w:kern w:val="0"/>
                <w:szCs w:val="21"/>
                <w14:textFill>
                  <w14:solidFill>
                    <w14:schemeClr w14:val="tx1"/>
                  </w14:solidFill>
                </w14:textFill>
              </w:rPr>
              <w:t xml:space="preserve">   </w:t>
            </w:r>
          </w:p>
          <w:p>
            <w:pPr>
              <w:widowControl/>
              <w:spacing w:before="100" w:beforeAutospacing="1" w:after="100" w:afterAutospacing="1" w:line="320" w:lineRule="atLeast"/>
              <w:jc w:val="left"/>
              <w:rPr>
                <w:rFonts w:cs="宋体" w:asciiTheme="minorEastAsia" w:hAnsiTheme="minorEastAsia"/>
                <w:color w:val="000000" w:themeColor="text1"/>
                <w:kern w:val="0"/>
                <w:szCs w:val="21"/>
                <w14:textFill>
                  <w14:solidFill>
                    <w14:schemeClr w14:val="tx1"/>
                  </w14:solidFill>
                </w14:textFill>
              </w:rPr>
            </w:pPr>
          </w:p>
          <w:p>
            <w:pPr>
              <w:widowControl/>
              <w:spacing w:before="100" w:beforeAutospacing="1" w:after="100" w:afterAutospacing="1" w:line="320" w:lineRule="atLeast"/>
              <w:ind w:firstLine="315" w:firstLineChars="150"/>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联系电话：</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年 </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月</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日</w:t>
            </w:r>
          </w:p>
        </w:tc>
        <w:tc>
          <w:tcPr>
            <w:tcW w:w="4778" w:type="dxa"/>
            <w:gridSpan w:val="4"/>
            <w:tcBorders>
              <w:top w:val="nil"/>
              <w:left w:val="nil"/>
              <w:bottom w:val="single" w:color="auto" w:sz="8" w:space="0"/>
              <w:right w:val="single" w:color="auto" w:sz="8" w:space="0"/>
            </w:tcBorders>
            <w:vAlign w:val="center"/>
          </w:tcPr>
          <w:p>
            <w:pPr>
              <w:widowControl/>
              <w:spacing w:before="100" w:beforeAutospacing="1" w:after="100" w:afterAutospacing="1" w:line="320" w:lineRule="atLeast"/>
              <w:ind w:firstLine="315" w:firstLineChars="150"/>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采购人或受托机构的意见（盖章）：</w:t>
            </w:r>
          </w:p>
          <w:p>
            <w:pPr>
              <w:widowControl/>
              <w:spacing w:before="100" w:beforeAutospacing="1" w:after="100" w:afterAutospacing="1" w:line="320" w:lineRule="atLeast"/>
              <w:ind w:firstLine="315" w:firstLineChars="150"/>
              <w:jc w:val="left"/>
              <w:rPr>
                <w:rFonts w:cs="宋体" w:asciiTheme="minorEastAsia" w:hAnsiTheme="minorEastAsia"/>
                <w:color w:val="000000" w:themeColor="text1"/>
                <w:kern w:val="0"/>
                <w:szCs w:val="21"/>
                <w14:textFill>
                  <w14:solidFill>
                    <w14:schemeClr w14:val="tx1"/>
                  </w14:solidFill>
                </w14:textFill>
              </w:rPr>
            </w:pPr>
          </w:p>
          <w:p>
            <w:pPr>
              <w:widowControl/>
              <w:spacing w:before="100" w:beforeAutospacing="1" w:after="100" w:afterAutospacing="1" w:line="320" w:lineRule="atLeast"/>
              <w:ind w:firstLine="525" w:firstLineChars="250"/>
              <w:jc w:val="left"/>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 xml:space="preserve">联系电话： </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年</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月</w:t>
            </w: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日</w:t>
            </w:r>
          </w:p>
        </w:tc>
      </w:tr>
    </w:tbl>
    <w:p>
      <w:pPr>
        <w:pStyle w:val="28"/>
        <w:snapToGrid w:val="0"/>
        <w:spacing w:line="370" w:lineRule="exact"/>
        <w:ind w:firstLine="300" w:firstLineChars="150"/>
        <w:outlineLvl w:val="1"/>
        <w:rPr>
          <w:rFonts w:hAnsi="宋体" w:cs="宋体"/>
          <w:color w:val="000000" w:themeColor="text1"/>
          <w14:textFill>
            <w14:solidFill>
              <w14:schemeClr w14:val="tx1"/>
            </w14:solidFill>
          </w14:textFill>
        </w:rPr>
        <w:sectPr>
          <w:footerReference r:id="rId5" w:type="first"/>
          <w:pgSz w:w="11907" w:h="16840"/>
          <w:pgMar w:top="1304" w:right="1304" w:bottom="1304" w:left="1304" w:header="964" w:footer="737" w:gutter="0"/>
          <w:cols w:space="720" w:num="1"/>
          <w:titlePg/>
          <w:docGrid w:linePitch="312" w:charSpace="0"/>
        </w:sectPr>
      </w:pPr>
    </w:p>
    <w:p>
      <w:pPr>
        <w:spacing w:line="360" w:lineRule="auto"/>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第三章  评审方法</w:t>
      </w:r>
      <w:bookmarkEnd w:id="3"/>
    </w:p>
    <w:p>
      <w:pPr>
        <w:spacing w:line="360" w:lineRule="auto"/>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一、评审原则：</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（一）磋商小组的构成：本采购项目的磋商小组分别由依法组成的评审专家、采购人代表等三人组成，其中专家人数不少于成员总数的三分之二。</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（二）评审依据：以磋商采购文件、响应文件为评定依据。</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本项目专门面向中小微企业采购（参加磋商的供应商应符合《政府采购促进中小企业发展管理办法》（财库[2020]46号）中关于中小微企业的相关规定；监狱企业及残疾人福利性单位视同于小微企业），不再执行价格评审优惠的扶持政策。</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（四）响应文件的报价如果出现计算或表达上的错误，修正错误的原则如下：</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（1）最终报价表内容与响应文件中相应内容不一致的，以最终报价表为准；</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（2）大写金额和小写金额不一致的，以大写金额为准；</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（3）单价金额小数点或者百分比有明显错位的，以最终报价表的总价为准，并修改单价；</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（4）总价金额与按单价汇总金额不一致的，以单价金额计算结果为准。</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同时出现两种以上不一致的，按照前款规定的顺序修正。修正后的报价经供应商确认后产生约束力，供应商不确认的，其磋商无效。</w:t>
      </w:r>
    </w:p>
    <w:p>
      <w:pPr>
        <w:spacing w:line="360" w:lineRule="auto"/>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（五）评审方式：以封闭方式进行。</w:t>
      </w:r>
    </w:p>
    <w:p>
      <w:pPr>
        <w:spacing w:line="360" w:lineRule="auto"/>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二、评分标准：</w:t>
      </w:r>
    </w:p>
    <w:p>
      <w:pPr>
        <w:adjustRightInd w:val="0"/>
        <w:spacing w:line="480" w:lineRule="exact"/>
        <w:ind w:firstLine="420" w:firstLineChars="200"/>
        <w:textAlignment w:val="baseline"/>
        <w:rPr>
          <w:rFonts w:ascii="宋体" w:hAnsi="宋体" w:eastAsia="宋体" w:cs="宋体"/>
          <w:kern w:val="0"/>
          <w:szCs w:val="21"/>
        </w:rPr>
      </w:pPr>
      <w:r>
        <w:rPr>
          <w:rFonts w:hint="eastAsia" w:ascii="宋体" w:hAnsi="宋体" w:eastAsia="宋体" w:cs="宋体"/>
          <w:kern w:val="0"/>
          <w:szCs w:val="21"/>
        </w:rPr>
        <w:t>本项目采用</w:t>
      </w:r>
      <w:r>
        <w:rPr>
          <w:rFonts w:hint="eastAsia" w:ascii="宋体" w:hAnsi="宋体" w:eastAsia="宋体" w:cs="宋体"/>
          <w:bCs/>
          <w:kern w:val="0"/>
          <w:szCs w:val="21"/>
        </w:rPr>
        <w:t>综合评分法</w:t>
      </w:r>
      <w:r>
        <w:rPr>
          <w:rFonts w:hint="eastAsia" w:ascii="宋体" w:hAnsi="宋体" w:eastAsia="宋体" w:cs="宋体"/>
          <w:kern w:val="0"/>
          <w:szCs w:val="21"/>
        </w:rPr>
        <w:t>确定成交人。供应商的最终报价不得高于工程招标控制价，</w:t>
      </w:r>
      <w:r>
        <w:rPr>
          <w:rFonts w:hint="eastAsia" w:ascii="宋体" w:hAnsi="宋体" w:eastAsia="宋体" w:cs="宋体"/>
          <w:bCs/>
          <w:kern w:val="0"/>
          <w:szCs w:val="21"/>
        </w:rPr>
        <w:t>磋商小组</w:t>
      </w:r>
      <w:r>
        <w:rPr>
          <w:rFonts w:hint="eastAsia" w:ascii="宋体" w:hAnsi="宋体" w:eastAsia="宋体" w:cs="宋体"/>
          <w:kern w:val="0"/>
          <w:szCs w:val="21"/>
        </w:rPr>
        <w:t>评定供应商以低于成本报价，报价严重不平衡、不合理，其磋商作无效处理。凡高于工程招标控制价的最终报价作无效处理。</w:t>
      </w:r>
    </w:p>
    <w:p>
      <w:pPr>
        <w:adjustRightInd w:val="0"/>
        <w:spacing w:line="480" w:lineRule="exact"/>
        <w:ind w:firstLine="443" w:firstLineChars="211"/>
        <w:textAlignment w:val="baseline"/>
        <w:rPr>
          <w:rFonts w:ascii="宋体" w:hAnsi="宋体" w:eastAsia="宋体" w:cs="宋体"/>
          <w:bCs/>
          <w:kern w:val="0"/>
          <w:szCs w:val="21"/>
        </w:rPr>
      </w:pPr>
      <w:r>
        <w:rPr>
          <w:rFonts w:hint="eastAsia" w:ascii="宋体" w:hAnsi="宋体" w:eastAsia="宋体" w:cs="宋体"/>
          <w:bCs/>
          <w:kern w:val="0"/>
          <w:szCs w:val="21"/>
        </w:rPr>
        <w:t>(一) 磋商小组对响应文件进行资格及符合性审查，对实质上不响应竞争性磋商文件的响应文件予以拒绝。</w:t>
      </w:r>
    </w:p>
    <w:p>
      <w:pPr>
        <w:adjustRightInd w:val="0"/>
        <w:spacing w:line="480" w:lineRule="exact"/>
        <w:ind w:firstLine="443" w:firstLineChars="211"/>
        <w:textAlignment w:val="baseline"/>
        <w:rPr>
          <w:rFonts w:ascii="宋体" w:hAnsi="宋体" w:eastAsia="宋体" w:cs="宋体"/>
          <w:bCs/>
          <w:kern w:val="0"/>
          <w:szCs w:val="21"/>
        </w:rPr>
      </w:pPr>
      <w:r>
        <w:rPr>
          <w:rFonts w:hint="eastAsia" w:ascii="宋体" w:hAnsi="宋体" w:eastAsia="宋体" w:cs="宋体"/>
          <w:bCs/>
          <w:kern w:val="0"/>
          <w:szCs w:val="21"/>
        </w:rPr>
        <w:t>(二)磋商小组对通过资格及符合性审查的响应文件进行详细评审（详细评审包含</w:t>
      </w:r>
      <w:r>
        <w:rPr>
          <w:rFonts w:hint="eastAsia" w:ascii="宋体" w:hAnsi="宋体" w:eastAsia="宋体" w:cs="宋体"/>
          <w:kern w:val="0"/>
          <w:szCs w:val="21"/>
        </w:rPr>
        <w:t>资信评审标准、</w:t>
      </w:r>
      <w:r>
        <w:rPr>
          <w:rFonts w:hint="eastAsia" w:ascii="宋体" w:hAnsi="宋体" w:eastAsia="宋体" w:cs="宋体"/>
          <w:bCs/>
          <w:kern w:val="0"/>
          <w:szCs w:val="21"/>
        </w:rPr>
        <w:t>技术标评审和商务标评审），详细评审如下：</w:t>
      </w:r>
    </w:p>
    <w:tbl>
      <w:tblPr>
        <w:tblStyle w:val="49"/>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1020"/>
        <w:gridCol w:w="1245"/>
        <w:gridCol w:w="3043"/>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5" w:type="dxa"/>
            <w:shd w:val="clear" w:color="auto" w:fill="E6E6E6"/>
            <w:vAlign w:val="center"/>
          </w:tcPr>
          <w:p>
            <w:pPr>
              <w:spacing w:line="480" w:lineRule="exact"/>
              <w:jc w:val="center"/>
              <w:rPr>
                <w:rFonts w:ascii="宋体" w:hAnsi="宋体" w:eastAsia="宋体" w:cs="宋体"/>
                <w:szCs w:val="21"/>
              </w:rPr>
            </w:pPr>
            <w:r>
              <w:rPr>
                <w:rFonts w:hint="eastAsia" w:ascii="宋体" w:hAnsi="宋体" w:eastAsia="宋体" w:cs="宋体"/>
                <w:szCs w:val="21"/>
              </w:rPr>
              <w:t>序号</w:t>
            </w:r>
          </w:p>
        </w:tc>
        <w:tc>
          <w:tcPr>
            <w:tcW w:w="1020" w:type="dxa"/>
            <w:shd w:val="clear" w:color="auto" w:fill="E6E6E6"/>
            <w:vAlign w:val="center"/>
          </w:tcPr>
          <w:p>
            <w:pPr>
              <w:spacing w:line="480" w:lineRule="exact"/>
              <w:jc w:val="center"/>
              <w:rPr>
                <w:rFonts w:ascii="宋体" w:hAnsi="宋体" w:eastAsia="宋体" w:cs="宋体"/>
                <w:szCs w:val="21"/>
              </w:rPr>
            </w:pPr>
            <w:r>
              <w:rPr>
                <w:rFonts w:hint="eastAsia" w:ascii="宋体" w:hAnsi="宋体" w:eastAsia="宋体" w:cs="宋体"/>
                <w:szCs w:val="21"/>
              </w:rPr>
              <w:t>评审因素</w:t>
            </w:r>
          </w:p>
        </w:tc>
        <w:tc>
          <w:tcPr>
            <w:tcW w:w="8520" w:type="dxa"/>
            <w:gridSpan w:val="3"/>
            <w:shd w:val="clear" w:color="auto" w:fill="E6E6E6"/>
            <w:vAlign w:val="center"/>
          </w:tcPr>
          <w:p>
            <w:pPr>
              <w:spacing w:line="480" w:lineRule="exact"/>
              <w:jc w:val="center"/>
              <w:rPr>
                <w:rFonts w:ascii="宋体" w:hAnsi="宋体" w:eastAsia="宋体" w:cs="宋体"/>
                <w:szCs w:val="21"/>
              </w:rPr>
            </w:pPr>
            <w:r>
              <w:rPr>
                <w:rFonts w:hint="eastAsia" w:ascii="宋体" w:hAnsi="宋体" w:eastAsia="宋体" w:cs="宋体"/>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635" w:type="dxa"/>
            <w:gridSpan w:val="2"/>
            <w:vAlign w:val="center"/>
          </w:tcPr>
          <w:p>
            <w:pPr>
              <w:spacing w:line="480" w:lineRule="exact"/>
              <w:jc w:val="center"/>
              <w:rPr>
                <w:rFonts w:ascii="宋体" w:hAnsi="宋体" w:eastAsia="宋体" w:cs="宋体"/>
                <w:szCs w:val="21"/>
              </w:rPr>
            </w:pPr>
            <w:r>
              <w:rPr>
                <w:rFonts w:hint="eastAsia" w:ascii="宋体" w:hAnsi="宋体" w:eastAsia="宋体" w:cs="宋体"/>
                <w:szCs w:val="21"/>
              </w:rPr>
              <w:t>详细评审内容</w:t>
            </w:r>
          </w:p>
        </w:tc>
        <w:tc>
          <w:tcPr>
            <w:tcW w:w="4288" w:type="dxa"/>
            <w:gridSpan w:val="2"/>
            <w:vAlign w:val="center"/>
          </w:tcPr>
          <w:p>
            <w:pPr>
              <w:spacing w:line="480" w:lineRule="exact"/>
              <w:rPr>
                <w:rFonts w:ascii="宋体" w:hAnsi="宋体" w:eastAsia="宋体" w:cs="宋体"/>
                <w:szCs w:val="21"/>
              </w:rPr>
            </w:pPr>
            <w:r>
              <w:rPr>
                <w:rFonts w:hint="eastAsia" w:ascii="宋体" w:hAnsi="宋体" w:eastAsia="宋体" w:cs="宋体"/>
                <w:szCs w:val="21"/>
              </w:rPr>
              <w:t>分值构成（总分100分）</w:t>
            </w:r>
          </w:p>
        </w:tc>
        <w:tc>
          <w:tcPr>
            <w:tcW w:w="4232" w:type="dxa"/>
          </w:tcPr>
          <w:p>
            <w:pPr>
              <w:spacing w:line="480" w:lineRule="exact"/>
              <w:rPr>
                <w:rFonts w:ascii="宋体" w:hAnsi="宋体" w:eastAsia="宋体" w:cs="宋体"/>
                <w:szCs w:val="21"/>
              </w:rPr>
            </w:pPr>
            <w:r>
              <w:rPr>
                <w:rFonts w:hint="eastAsia" w:ascii="宋体" w:hAnsi="宋体" w:eastAsia="宋体" w:cs="宋体"/>
                <w:szCs w:val="21"/>
              </w:rPr>
              <w:t>（1）价格</w:t>
            </w:r>
            <w:r>
              <w:rPr>
                <w:rFonts w:hint="eastAsia" w:ascii="宋体" w:hAnsi="宋体" w:eastAsia="宋体" w:cs="宋体"/>
                <w:szCs w:val="21"/>
                <w:u w:val="single"/>
              </w:rPr>
              <w:t>30</w:t>
            </w:r>
            <w:r>
              <w:rPr>
                <w:rFonts w:hint="eastAsia" w:ascii="宋体" w:hAnsi="宋体" w:eastAsia="宋体" w:cs="宋体"/>
                <w:szCs w:val="21"/>
              </w:rPr>
              <w:t>分</w:t>
            </w:r>
          </w:p>
          <w:p>
            <w:pPr>
              <w:spacing w:line="480" w:lineRule="exact"/>
              <w:rPr>
                <w:rFonts w:ascii="宋体" w:hAnsi="宋体" w:eastAsia="宋体" w:cs="宋体"/>
                <w:szCs w:val="21"/>
              </w:rPr>
            </w:pPr>
            <w:r>
              <w:rPr>
                <w:rFonts w:hint="eastAsia" w:ascii="宋体" w:hAnsi="宋体" w:eastAsia="宋体" w:cs="宋体"/>
                <w:szCs w:val="21"/>
              </w:rPr>
              <w:t>（2）施工组织评分</w:t>
            </w:r>
            <w:r>
              <w:rPr>
                <w:rFonts w:hint="eastAsia" w:ascii="宋体" w:hAnsi="宋体" w:eastAsia="宋体" w:cs="宋体"/>
                <w:szCs w:val="21"/>
                <w:u w:val="single"/>
              </w:rPr>
              <w:t>62</w:t>
            </w:r>
            <w:r>
              <w:rPr>
                <w:rFonts w:hint="eastAsia" w:ascii="宋体" w:hAnsi="宋体" w:eastAsia="宋体" w:cs="宋体"/>
                <w:szCs w:val="21"/>
              </w:rPr>
              <w:t>分</w:t>
            </w:r>
          </w:p>
          <w:p>
            <w:pPr>
              <w:spacing w:line="480" w:lineRule="exact"/>
              <w:rPr>
                <w:rFonts w:ascii="宋体" w:hAnsi="宋体" w:eastAsia="宋体" w:cs="宋体"/>
                <w:szCs w:val="21"/>
              </w:rPr>
            </w:pPr>
            <w:r>
              <w:rPr>
                <w:rFonts w:hint="eastAsia" w:ascii="宋体" w:hAnsi="宋体" w:eastAsia="宋体" w:cs="宋体"/>
                <w:szCs w:val="21"/>
              </w:rPr>
              <w:t>（3）商务资信业绩评分</w:t>
            </w:r>
            <w:r>
              <w:rPr>
                <w:rFonts w:hint="eastAsia" w:ascii="宋体" w:hAnsi="宋体" w:eastAsia="宋体" w:cs="宋体"/>
                <w:szCs w:val="21"/>
                <w:u w:val="single"/>
              </w:rPr>
              <w:t>8</w:t>
            </w:r>
            <w:r>
              <w:rPr>
                <w:rFonts w:hint="eastAsia" w:ascii="宋体" w:hAnsi="宋体" w:eastAsia="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615" w:type="dxa"/>
            <w:vAlign w:val="center"/>
          </w:tcPr>
          <w:p>
            <w:pPr>
              <w:spacing w:line="480" w:lineRule="exact"/>
              <w:jc w:val="center"/>
              <w:rPr>
                <w:rFonts w:ascii="宋体" w:hAnsi="宋体" w:eastAsia="宋体" w:cs="宋体"/>
                <w:b/>
                <w:szCs w:val="21"/>
              </w:rPr>
            </w:pPr>
            <w:r>
              <w:rPr>
                <w:rFonts w:hint="eastAsia" w:ascii="宋体" w:hAnsi="宋体" w:eastAsia="宋体" w:cs="宋体"/>
                <w:b/>
                <w:szCs w:val="21"/>
              </w:rPr>
              <w:t>1</w:t>
            </w:r>
          </w:p>
        </w:tc>
        <w:tc>
          <w:tcPr>
            <w:tcW w:w="1020" w:type="dxa"/>
            <w:vAlign w:val="center"/>
          </w:tcPr>
          <w:p>
            <w:pPr>
              <w:spacing w:line="480" w:lineRule="exact"/>
              <w:jc w:val="center"/>
              <w:rPr>
                <w:rFonts w:ascii="宋体" w:hAnsi="宋体" w:eastAsia="宋体" w:cs="宋体"/>
                <w:szCs w:val="21"/>
              </w:rPr>
            </w:pPr>
            <w:r>
              <w:rPr>
                <w:rFonts w:hint="eastAsia" w:ascii="宋体" w:hAnsi="宋体" w:eastAsia="宋体" w:cs="宋体"/>
                <w:szCs w:val="21"/>
              </w:rPr>
              <w:t>价格</w:t>
            </w:r>
          </w:p>
          <w:p>
            <w:pPr>
              <w:spacing w:line="480" w:lineRule="exact"/>
              <w:jc w:val="center"/>
              <w:rPr>
                <w:rFonts w:ascii="宋体" w:hAnsi="宋体" w:eastAsia="宋体" w:cs="宋体"/>
                <w:szCs w:val="21"/>
              </w:rPr>
            </w:pPr>
            <w:r>
              <w:rPr>
                <w:rFonts w:hint="eastAsia" w:ascii="宋体" w:hAnsi="宋体" w:eastAsia="宋体" w:cs="宋体"/>
                <w:szCs w:val="21"/>
              </w:rPr>
              <w:t>满分30分</w:t>
            </w:r>
          </w:p>
        </w:tc>
        <w:tc>
          <w:tcPr>
            <w:tcW w:w="4288" w:type="dxa"/>
            <w:gridSpan w:val="2"/>
            <w:vAlign w:val="center"/>
          </w:tcPr>
          <w:p>
            <w:pPr>
              <w:widowControl/>
              <w:spacing w:line="480" w:lineRule="exact"/>
              <w:rPr>
                <w:rFonts w:ascii="宋体" w:hAnsi="宋体" w:eastAsia="宋体" w:cs="宋体"/>
                <w:szCs w:val="21"/>
              </w:rPr>
            </w:pPr>
            <w:r>
              <w:rPr>
                <w:rFonts w:hint="eastAsia" w:ascii="宋体" w:hAnsi="宋体" w:eastAsia="宋体" w:cs="宋体"/>
                <w:bCs/>
                <w:szCs w:val="21"/>
              </w:rPr>
              <w:t>采用低价优先法计算，即满足磋商文件要求且最后报价最低的供应商的价格为磋商基准价，其价格分30分为满分。</w:t>
            </w:r>
            <w:r>
              <w:rPr>
                <w:rFonts w:hint="eastAsia" w:ascii="宋体" w:hAnsi="宋体" w:eastAsia="宋体" w:cs="宋体"/>
                <w:szCs w:val="21"/>
              </w:rPr>
              <w:t>）</w:t>
            </w:r>
          </w:p>
        </w:tc>
        <w:tc>
          <w:tcPr>
            <w:tcW w:w="4232" w:type="dxa"/>
            <w:vAlign w:val="center"/>
          </w:tcPr>
          <w:p>
            <w:pPr>
              <w:spacing w:line="480" w:lineRule="exact"/>
              <w:rPr>
                <w:rFonts w:ascii="宋体" w:hAnsi="宋体" w:eastAsia="宋体" w:cs="宋体"/>
                <w:bCs/>
                <w:szCs w:val="21"/>
              </w:rPr>
            </w:pPr>
            <w:r>
              <w:rPr>
                <w:rFonts w:hint="eastAsia" w:ascii="宋体" w:hAnsi="宋体" w:eastAsia="宋体" w:cs="宋体"/>
                <w:bCs/>
                <w:szCs w:val="21"/>
              </w:rPr>
              <w:t>某供应商价格分=（</w:t>
            </w:r>
            <w:r>
              <w:rPr>
                <w:rFonts w:hint="eastAsia" w:ascii="宋体" w:hAnsi="宋体" w:eastAsia="宋体" w:cs="宋体"/>
                <w:szCs w:val="21"/>
              </w:rPr>
              <w:t>磋商基准价</w:t>
            </w:r>
            <w:r>
              <w:rPr>
                <w:rFonts w:hint="eastAsia" w:ascii="宋体" w:hAnsi="宋体" w:eastAsia="宋体" w:cs="宋体"/>
                <w:bCs/>
                <w:szCs w:val="21"/>
              </w:rPr>
              <w:t>/</w:t>
            </w:r>
            <w:r>
              <w:rPr>
                <w:rFonts w:hint="eastAsia" w:ascii="宋体" w:hAnsi="宋体" w:eastAsia="宋体" w:cs="宋体"/>
                <w:szCs w:val="21"/>
              </w:rPr>
              <w:t>最后磋商报价）</w:t>
            </w:r>
            <w:r>
              <w:rPr>
                <w:rFonts w:hint="eastAsia" w:ascii="宋体" w:hAnsi="宋体" w:eastAsia="宋体" w:cs="宋体"/>
                <w:bCs/>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0155" w:type="dxa"/>
            <w:gridSpan w:val="5"/>
            <w:vAlign w:val="center"/>
          </w:tcPr>
          <w:p>
            <w:pPr>
              <w:spacing w:line="480" w:lineRule="exact"/>
              <w:rPr>
                <w:rFonts w:ascii="宋体" w:hAnsi="宋体" w:eastAsia="宋体" w:cs="宋体"/>
                <w:color w:val="000000"/>
                <w:szCs w:val="21"/>
              </w:rPr>
            </w:pPr>
            <w:r>
              <w:rPr>
                <w:rFonts w:hint="eastAsia" w:ascii="宋体" w:hAnsi="宋体" w:eastAsia="宋体" w:cs="宋体"/>
                <w:bCs/>
                <w:color w:val="000000"/>
                <w:szCs w:val="21"/>
              </w:rPr>
              <w:t>（1）本项目为专门面向中小企业采购的项目，按照《政府采购促进中小企业发展管理办法》（财库〔2020〕46号）的规定，对供应商最后报价不再执行价格评审优惠的扶持政策</w:t>
            </w:r>
            <w:r>
              <w:rPr>
                <w:rFonts w:hint="eastAsia" w:ascii="宋体" w:hAnsi="宋体" w:eastAsia="宋体" w:cs="宋体"/>
                <w:color w:val="000000"/>
                <w:szCs w:val="21"/>
              </w:rPr>
              <w:t>。</w:t>
            </w:r>
          </w:p>
          <w:p>
            <w:pPr>
              <w:spacing w:line="480" w:lineRule="exact"/>
              <w:rPr>
                <w:rFonts w:ascii="宋体" w:hAnsi="宋体" w:eastAsia="宋体" w:cs="宋体"/>
                <w:szCs w:val="21"/>
              </w:rPr>
            </w:pPr>
            <w:r>
              <w:rPr>
                <w:rFonts w:hint="eastAsia" w:ascii="宋体" w:hAnsi="宋体" w:eastAsia="宋体" w:cs="宋体"/>
                <w:bCs/>
                <w:color w:val="000000"/>
                <w:szCs w:val="21"/>
              </w:rPr>
              <w:t>（2）以进入综合评分环节的最低的评标报价为基准价，基准价报价得分为30分。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15" w:type="dxa"/>
            <w:vMerge w:val="restart"/>
            <w:vAlign w:val="center"/>
          </w:tcPr>
          <w:p>
            <w:pPr>
              <w:spacing w:line="480" w:lineRule="exact"/>
              <w:jc w:val="center"/>
              <w:rPr>
                <w:rFonts w:ascii="宋体" w:hAnsi="宋体" w:eastAsia="宋体" w:cs="宋体"/>
                <w:szCs w:val="21"/>
              </w:rPr>
            </w:pPr>
            <w:r>
              <w:rPr>
                <w:rFonts w:hint="eastAsia" w:ascii="宋体" w:hAnsi="宋体" w:eastAsia="宋体" w:cs="宋体"/>
                <w:szCs w:val="21"/>
              </w:rPr>
              <w:t>2</w:t>
            </w:r>
          </w:p>
        </w:tc>
        <w:tc>
          <w:tcPr>
            <w:tcW w:w="1020" w:type="dxa"/>
            <w:vMerge w:val="restart"/>
            <w:vAlign w:val="center"/>
          </w:tcPr>
          <w:p>
            <w:pPr>
              <w:spacing w:line="480" w:lineRule="exact"/>
              <w:rPr>
                <w:rFonts w:ascii="宋体" w:hAnsi="宋体" w:eastAsia="宋体" w:cs="宋体"/>
                <w:szCs w:val="21"/>
              </w:rPr>
            </w:pPr>
            <w:r>
              <w:rPr>
                <w:rFonts w:hint="eastAsia" w:ascii="宋体" w:hAnsi="宋体" w:eastAsia="宋体" w:cs="宋体"/>
                <w:szCs w:val="21"/>
              </w:rPr>
              <w:t>施工组织评分标准满分62分</w:t>
            </w:r>
          </w:p>
        </w:tc>
        <w:tc>
          <w:tcPr>
            <w:tcW w:w="1245" w:type="dxa"/>
            <w:vAlign w:val="center"/>
          </w:tcPr>
          <w:p>
            <w:pPr>
              <w:spacing w:line="480" w:lineRule="exact"/>
              <w:jc w:val="left"/>
              <w:rPr>
                <w:rFonts w:ascii="宋体" w:hAnsi="宋体" w:eastAsia="宋体" w:cs="宋体"/>
                <w:kern w:val="0"/>
                <w:szCs w:val="21"/>
              </w:rPr>
            </w:pPr>
            <w:r>
              <w:rPr>
                <w:rFonts w:hint="eastAsia" w:ascii="宋体" w:hAnsi="宋体" w:eastAsia="宋体" w:cs="宋体"/>
                <w:kern w:val="0"/>
                <w:szCs w:val="21"/>
              </w:rPr>
              <w:t>主要施工方法</w:t>
            </w:r>
          </w:p>
          <w:p>
            <w:pPr>
              <w:spacing w:line="480" w:lineRule="exact"/>
              <w:jc w:val="left"/>
              <w:rPr>
                <w:rFonts w:ascii="宋体" w:hAnsi="宋体" w:eastAsia="宋体" w:cs="宋体"/>
                <w:kern w:val="0"/>
                <w:szCs w:val="21"/>
              </w:rPr>
            </w:pPr>
            <w:r>
              <w:rPr>
                <w:rFonts w:hint="eastAsia" w:ascii="宋体" w:hAnsi="宋体" w:eastAsia="宋体" w:cs="宋体"/>
                <w:szCs w:val="21"/>
              </w:rPr>
              <w:t>（满分6分）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分）各主要分部施工方法针对性差，施工技术方案差，工艺落后、方法不合理，不能指导具体施工和确保安全；</w:t>
            </w:r>
          </w:p>
          <w:p>
            <w:pPr>
              <w:widowControl/>
              <w:spacing w:line="480" w:lineRule="exact"/>
              <w:jc w:val="left"/>
              <w:rPr>
                <w:rFonts w:ascii="宋体" w:hAnsi="宋体" w:eastAsia="宋体" w:cs="宋体"/>
                <w:szCs w:val="21"/>
              </w:rPr>
            </w:pPr>
            <w:r>
              <w:rPr>
                <w:rFonts w:hint="eastAsia" w:ascii="宋体" w:hAnsi="宋体" w:eastAsia="宋体" w:cs="宋体"/>
                <w:szCs w:val="21"/>
              </w:rPr>
              <w:t>二档（2分）各主要分部施工方法基本符合项目实际，施工技术方案基本齐全，方法基本合理、基本可行，基本能指导具体施工并确保安全；</w:t>
            </w:r>
          </w:p>
          <w:p>
            <w:pPr>
              <w:widowControl/>
              <w:spacing w:line="480" w:lineRule="exact"/>
              <w:jc w:val="left"/>
              <w:rPr>
                <w:rFonts w:ascii="宋体" w:hAnsi="宋体" w:eastAsia="宋体" w:cs="宋体"/>
                <w:szCs w:val="21"/>
              </w:rPr>
            </w:pPr>
            <w:r>
              <w:rPr>
                <w:rFonts w:hint="eastAsia" w:ascii="宋体" w:hAnsi="宋体" w:eastAsia="宋体" w:cs="宋体"/>
                <w:szCs w:val="21"/>
              </w:rPr>
              <w:t>三档（4 分）各主要分部施工方法符合项目实际，施工技术方案齐全，工艺成熟、方法合理、可行，能指导具体施工并确保安全；</w:t>
            </w:r>
          </w:p>
          <w:p>
            <w:pPr>
              <w:widowControl/>
              <w:spacing w:line="480" w:lineRule="exact"/>
              <w:jc w:val="left"/>
              <w:rPr>
                <w:rFonts w:ascii="宋体" w:hAnsi="宋体" w:eastAsia="宋体" w:cs="宋体"/>
                <w:szCs w:val="21"/>
              </w:rPr>
            </w:pPr>
            <w:r>
              <w:rPr>
                <w:rFonts w:hint="eastAsia" w:ascii="宋体" w:hAnsi="宋体" w:eastAsia="宋体" w:cs="宋体"/>
                <w:szCs w:val="21"/>
              </w:rPr>
              <w:t xml:space="preserve">四档（6分）各主要分部施工方法针对性强，施工技术方案详尽周密，工艺先进、方法科学、可行，能很好的指导具体施工并确保安全。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szCs w:val="21"/>
              </w:rPr>
            </w:pPr>
            <w:r>
              <w:rPr>
                <w:rFonts w:hint="eastAsia" w:ascii="宋体" w:hAnsi="宋体" w:eastAsia="宋体" w:cs="宋体"/>
                <w:kern w:val="0"/>
                <w:szCs w:val="21"/>
              </w:rPr>
              <w:t>拟投入的主要物资计划</w:t>
            </w:r>
            <w:r>
              <w:rPr>
                <w:rFonts w:hint="eastAsia" w:ascii="宋体" w:hAnsi="宋体" w:eastAsia="宋体" w:cs="宋体"/>
                <w:szCs w:val="21"/>
              </w:rPr>
              <w:t>（满分6分）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分）：投入的施工材料的组织计划差，投入计划与进度计划不呼应，不能满足施工需要。</w:t>
            </w:r>
          </w:p>
          <w:p>
            <w:pPr>
              <w:widowControl/>
              <w:spacing w:line="480" w:lineRule="exact"/>
              <w:jc w:val="left"/>
              <w:rPr>
                <w:rFonts w:ascii="宋体" w:hAnsi="宋体" w:eastAsia="宋体" w:cs="宋体"/>
                <w:szCs w:val="21"/>
              </w:rPr>
            </w:pPr>
            <w:r>
              <w:rPr>
                <w:rFonts w:hint="eastAsia" w:ascii="宋体" w:hAnsi="宋体" w:eastAsia="宋体" w:cs="宋体"/>
                <w:szCs w:val="21"/>
              </w:rPr>
              <w:t>二档（2 分）：投入的施工材料有详细的组织计划，投入计划与进度计划呼应，基本满足施工需要，调配投入计划基本合理。</w:t>
            </w:r>
          </w:p>
          <w:p>
            <w:pPr>
              <w:widowControl/>
              <w:spacing w:line="480" w:lineRule="exact"/>
              <w:jc w:val="left"/>
              <w:rPr>
                <w:rFonts w:ascii="宋体" w:hAnsi="宋体" w:eastAsia="宋体" w:cs="宋体"/>
                <w:szCs w:val="21"/>
              </w:rPr>
            </w:pPr>
            <w:r>
              <w:rPr>
                <w:rFonts w:hint="eastAsia" w:ascii="宋体" w:hAnsi="宋体" w:eastAsia="宋体" w:cs="宋体"/>
                <w:szCs w:val="21"/>
              </w:rPr>
              <w:t>三档（4分）：投入的施工材料有详细的组织计划，投入计划与进度计划呼应，基本满足施工需要，调配投入计划基本合理、准确。</w:t>
            </w:r>
          </w:p>
          <w:p>
            <w:pPr>
              <w:widowControl/>
              <w:spacing w:line="480" w:lineRule="exact"/>
              <w:jc w:val="left"/>
              <w:rPr>
                <w:rFonts w:ascii="宋体" w:hAnsi="宋体" w:eastAsia="宋体" w:cs="宋体"/>
                <w:szCs w:val="21"/>
              </w:rPr>
            </w:pPr>
            <w:r>
              <w:rPr>
                <w:rFonts w:hint="eastAsia" w:ascii="宋体" w:hAnsi="宋体" w:eastAsia="宋体" w:cs="宋体"/>
                <w:szCs w:val="21"/>
              </w:rPr>
              <w:t xml:space="preserve">四档（6 分）：投入的施工材料有详细的组织计划且计划周密，投入计划与进度计划呼应，较好满足施工需要，调配投入计划合理、准确。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szCs w:val="21"/>
              </w:rPr>
            </w:pPr>
            <w:r>
              <w:rPr>
                <w:rFonts w:hint="eastAsia" w:ascii="宋体" w:hAnsi="宋体" w:eastAsia="宋体" w:cs="宋体"/>
                <w:kern w:val="0"/>
                <w:szCs w:val="21"/>
              </w:rPr>
              <w:t>拟投入人员配置（满分 8分）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一档（2分）：持证专职安全生产管理人员满足项目要求，其他项目班子人员不齐备或搭配不合理。</w:t>
            </w:r>
          </w:p>
          <w:p>
            <w:pPr>
              <w:widowControl/>
              <w:spacing w:line="480" w:lineRule="exact"/>
              <w:jc w:val="left"/>
              <w:rPr>
                <w:rFonts w:ascii="宋体" w:hAnsi="宋体" w:eastAsia="宋体" w:cs="宋体"/>
                <w:szCs w:val="21"/>
              </w:rPr>
            </w:pPr>
            <w:r>
              <w:rPr>
                <w:rFonts w:hint="eastAsia" w:ascii="宋体" w:hAnsi="宋体" w:eastAsia="宋体" w:cs="宋体"/>
                <w:szCs w:val="21"/>
              </w:rPr>
              <w:t>二档（4 分）：项目管理班子各专业技术人员配备基本齐全，主要管理人员基本满足工程施工需要。</w:t>
            </w:r>
          </w:p>
          <w:p>
            <w:pPr>
              <w:widowControl/>
              <w:spacing w:line="480" w:lineRule="exact"/>
              <w:jc w:val="left"/>
              <w:rPr>
                <w:rFonts w:ascii="宋体" w:hAnsi="宋体" w:eastAsia="宋体" w:cs="宋体"/>
                <w:szCs w:val="21"/>
              </w:rPr>
            </w:pPr>
            <w:r>
              <w:rPr>
                <w:rFonts w:hint="eastAsia" w:ascii="宋体" w:hAnsi="宋体" w:eastAsia="宋体" w:cs="宋体"/>
                <w:szCs w:val="21"/>
              </w:rPr>
              <w:t>三档（6 分）： 技术负责人有中级及以上职称；持证专职安全生产管理人员满足项目要求，项目管理班子各专业技术人员配备齐全，主要管理人员完全满足工程施工需要。</w:t>
            </w:r>
          </w:p>
          <w:p>
            <w:pPr>
              <w:widowControl/>
              <w:spacing w:line="480" w:lineRule="exact"/>
              <w:jc w:val="left"/>
              <w:rPr>
                <w:rFonts w:ascii="宋体" w:hAnsi="宋体" w:eastAsia="宋体" w:cs="宋体"/>
                <w:szCs w:val="21"/>
              </w:rPr>
            </w:pPr>
            <w:r>
              <w:rPr>
                <w:rFonts w:hint="eastAsia" w:ascii="宋体" w:hAnsi="宋体" w:eastAsia="宋体" w:cs="宋体"/>
                <w:szCs w:val="21"/>
              </w:rPr>
              <w:t>四档（8分）：项目经理具有中级及以上职称，技术负责人中级及以上职称；其他项目班子人员齐备、搭配合理，都有岗位证书。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kern w:val="0"/>
                <w:szCs w:val="21"/>
              </w:rPr>
            </w:pPr>
            <w:r>
              <w:rPr>
                <w:rFonts w:hint="eastAsia" w:ascii="宋体" w:hAnsi="宋体" w:eastAsia="宋体" w:cs="宋体"/>
                <w:kern w:val="0"/>
                <w:szCs w:val="21"/>
              </w:rPr>
              <w:t>劳动力安排计划</w:t>
            </w:r>
          </w:p>
          <w:p>
            <w:pPr>
              <w:widowControl/>
              <w:spacing w:line="480" w:lineRule="exact"/>
              <w:jc w:val="left"/>
              <w:rPr>
                <w:rFonts w:ascii="宋体" w:hAnsi="宋体" w:eastAsia="宋体" w:cs="宋体"/>
                <w:szCs w:val="21"/>
              </w:rPr>
            </w:pPr>
            <w:r>
              <w:rPr>
                <w:rFonts w:hint="eastAsia" w:ascii="宋体" w:hAnsi="宋体" w:eastAsia="宋体" w:cs="宋体"/>
                <w:szCs w:val="21"/>
              </w:rPr>
              <w:t>（满分6分）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分）：各主要施工工序劳动力安排计划不全，无各工种劳动力安排计划或计划不全，劳动力投入不合理，不能满足施工需要。</w:t>
            </w:r>
          </w:p>
          <w:p>
            <w:pPr>
              <w:widowControl/>
              <w:spacing w:line="480" w:lineRule="exact"/>
              <w:jc w:val="left"/>
              <w:rPr>
                <w:rFonts w:ascii="宋体" w:hAnsi="宋体" w:eastAsia="宋体" w:cs="宋体"/>
                <w:szCs w:val="21"/>
              </w:rPr>
            </w:pPr>
            <w:r>
              <w:rPr>
                <w:rFonts w:hint="eastAsia" w:ascii="宋体" w:hAnsi="宋体" w:eastAsia="宋体" w:cs="宋体"/>
                <w:szCs w:val="21"/>
              </w:rPr>
              <w:t>二档（2 分）：各主要施工工序应有劳动力安排计划，有各工种劳动力安排计划，劳动力投入基本合理，基本满足施工需要。</w:t>
            </w:r>
          </w:p>
          <w:p>
            <w:pPr>
              <w:widowControl/>
              <w:spacing w:line="480" w:lineRule="exact"/>
              <w:jc w:val="left"/>
              <w:rPr>
                <w:rFonts w:ascii="宋体" w:hAnsi="宋体" w:eastAsia="宋体" w:cs="宋体"/>
                <w:szCs w:val="21"/>
              </w:rPr>
            </w:pPr>
            <w:r>
              <w:rPr>
                <w:rFonts w:hint="eastAsia" w:ascii="宋体" w:hAnsi="宋体" w:eastAsia="宋体" w:cs="宋体"/>
                <w:szCs w:val="21"/>
              </w:rPr>
              <w:t>三档（4分）： 各主要施工工序有详细的劳动力安排计划，有各工种劳动力安排计划，劳动力投入合理，满足施工需要。</w:t>
            </w:r>
          </w:p>
          <w:p>
            <w:pPr>
              <w:widowControl/>
              <w:spacing w:line="480" w:lineRule="exact"/>
              <w:jc w:val="left"/>
              <w:rPr>
                <w:rFonts w:ascii="宋体" w:hAnsi="宋体" w:eastAsia="宋体" w:cs="宋体"/>
                <w:szCs w:val="21"/>
              </w:rPr>
            </w:pPr>
            <w:r>
              <w:rPr>
                <w:rFonts w:hint="eastAsia" w:ascii="宋体" w:hAnsi="宋体" w:eastAsia="宋体" w:cs="宋体"/>
                <w:szCs w:val="21"/>
              </w:rPr>
              <w:t xml:space="preserve">四档（6 分）：各主要施工工序有详细周密的劳动力安排计划，各工种劳动力安排计划齐全，劳动力投入与进度计划呼应合理，满足施工需要。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kern w:val="0"/>
                <w:szCs w:val="21"/>
              </w:rPr>
            </w:pPr>
            <w:r>
              <w:rPr>
                <w:rFonts w:hint="eastAsia" w:ascii="宋体" w:hAnsi="宋体" w:eastAsia="宋体" w:cs="宋体"/>
                <w:kern w:val="0"/>
                <w:szCs w:val="21"/>
              </w:rPr>
              <w:t>确保工程质量的技术组织措施</w:t>
            </w:r>
            <w:r>
              <w:rPr>
                <w:rFonts w:hint="eastAsia" w:ascii="宋体" w:hAnsi="宋体" w:eastAsia="宋体" w:cs="宋体"/>
                <w:szCs w:val="21"/>
              </w:rPr>
              <w:t>（满分6分）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分）：质量技术管理班子人员配备不合理，制度不健全。质量技术保证措施和手段不可行，没有质量违约责任承诺。</w:t>
            </w:r>
          </w:p>
          <w:p>
            <w:pPr>
              <w:widowControl/>
              <w:spacing w:line="480" w:lineRule="exact"/>
              <w:jc w:val="left"/>
              <w:rPr>
                <w:rFonts w:ascii="宋体" w:hAnsi="宋体" w:eastAsia="宋体" w:cs="宋体"/>
                <w:szCs w:val="21"/>
              </w:rPr>
            </w:pPr>
            <w:r>
              <w:rPr>
                <w:rFonts w:hint="eastAsia" w:ascii="宋体" w:hAnsi="宋体" w:eastAsia="宋体" w:cs="宋体"/>
                <w:szCs w:val="21"/>
              </w:rPr>
              <w:t>二档（2 分）：质量技术管理班子人员配备基本合理，制度基本健全。主要工序有质量技术保证措施和手段，能有效保证技术质量，满足招标文件的质量要求。</w:t>
            </w:r>
          </w:p>
          <w:p>
            <w:pPr>
              <w:widowControl/>
              <w:spacing w:line="480" w:lineRule="exact"/>
              <w:jc w:val="left"/>
              <w:rPr>
                <w:rFonts w:ascii="宋体" w:hAnsi="宋体" w:eastAsia="宋体" w:cs="宋体"/>
                <w:szCs w:val="21"/>
              </w:rPr>
            </w:pPr>
            <w:r>
              <w:rPr>
                <w:rFonts w:hint="eastAsia" w:ascii="宋体" w:hAnsi="宋体" w:eastAsia="宋体" w:cs="宋体"/>
                <w:szCs w:val="21"/>
              </w:rPr>
              <w:t>三档（4 分）： 有专门的质量技术管理班子和制度，且人员配备合理，制度健全。主要工序有质量技术保证措施和手段，自控体系完整，能有效保证技术质量，达到承诺的质量标准。</w:t>
            </w:r>
          </w:p>
          <w:p>
            <w:pPr>
              <w:widowControl/>
              <w:spacing w:line="480" w:lineRule="exact"/>
              <w:jc w:val="left"/>
              <w:rPr>
                <w:rFonts w:ascii="宋体" w:hAnsi="宋体" w:eastAsia="宋体" w:cs="宋体"/>
                <w:szCs w:val="21"/>
              </w:rPr>
            </w:pPr>
            <w:r>
              <w:rPr>
                <w:rFonts w:hint="eastAsia" w:ascii="宋体" w:hAnsi="宋体" w:eastAsia="宋体" w:cs="宋体"/>
                <w:szCs w:val="21"/>
              </w:rPr>
              <w:t>四档（6 分）：有专门的质量技术管理班子和制度，且人员配备合理，制度健全。主要工序有质量技术保证措施和手段，且先进、可行、具体，高于招标文件的质量要求及施工验收规范要求，达到承诺的质量标准。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kern w:val="0"/>
                <w:szCs w:val="21"/>
              </w:rPr>
            </w:pPr>
            <w:r>
              <w:rPr>
                <w:rFonts w:hint="eastAsia" w:ascii="宋体" w:hAnsi="宋体" w:eastAsia="宋体" w:cs="宋体"/>
                <w:kern w:val="0"/>
                <w:szCs w:val="21"/>
              </w:rPr>
              <w:t>确保安全生产的技术组织措施</w:t>
            </w:r>
            <w:r>
              <w:rPr>
                <w:rFonts w:hint="eastAsia" w:ascii="宋体" w:hAnsi="宋体" w:eastAsia="宋体" w:cs="宋体"/>
                <w:szCs w:val="21"/>
              </w:rPr>
              <w:t>（满分6分）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分）：安全生产管理人员配备不合理，安全管理制度不健全，各道工序安全技术措施基本符合实际，不能满足有关安全技术标准要求。现场防火、应急救援、社会治安安全措施不合理。</w:t>
            </w:r>
          </w:p>
          <w:p>
            <w:pPr>
              <w:widowControl/>
              <w:spacing w:line="480" w:lineRule="exact"/>
              <w:jc w:val="left"/>
              <w:rPr>
                <w:rFonts w:ascii="宋体" w:hAnsi="宋体" w:eastAsia="宋体" w:cs="宋体"/>
                <w:szCs w:val="21"/>
              </w:rPr>
            </w:pPr>
            <w:r>
              <w:rPr>
                <w:rFonts w:hint="eastAsia" w:ascii="宋体" w:hAnsi="宋体" w:eastAsia="宋体" w:cs="宋体"/>
                <w:szCs w:val="21"/>
              </w:rPr>
              <w:t>二档（2 分）：安全生产管理人员配备基本合理，安全管理制度基本健全，各道工序安全技术措施基本符合实际，基本满足有关安全技术标准要求。现场防火、应急救援、社会治安安全措施基本合理。</w:t>
            </w:r>
          </w:p>
          <w:p>
            <w:pPr>
              <w:widowControl/>
              <w:spacing w:line="480" w:lineRule="exact"/>
              <w:jc w:val="left"/>
              <w:rPr>
                <w:rFonts w:ascii="宋体" w:hAnsi="宋体" w:eastAsia="宋体" w:cs="宋体"/>
                <w:szCs w:val="21"/>
              </w:rPr>
            </w:pPr>
            <w:r>
              <w:rPr>
                <w:rFonts w:hint="eastAsia" w:ascii="宋体" w:hAnsi="宋体" w:eastAsia="宋体" w:cs="宋体"/>
                <w:szCs w:val="21"/>
              </w:rPr>
              <w:t>三档（4 分）：安全生产管理人员配备合理；有健全的安全管理制度，各道工序安全技术措施符合实际且满足有关安全技术标准要求。现场防火、应急救援、社会治安安全措施合理。</w:t>
            </w:r>
          </w:p>
          <w:p>
            <w:pPr>
              <w:widowControl/>
              <w:spacing w:line="480" w:lineRule="exact"/>
              <w:jc w:val="left"/>
              <w:rPr>
                <w:rFonts w:ascii="宋体" w:hAnsi="宋体" w:eastAsia="宋体" w:cs="宋体"/>
                <w:szCs w:val="21"/>
              </w:rPr>
            </w:pPr>
            <w:r>
              <w:rPr>
                <w:rFonts w:hint="eastAsia" w:ascii="宋体" w:hAnsi="宋体" w:eastAsia="宋体" w:cs="宋体"/>
                <w:szCs w:val="21"/>
              </w:rPr>
              <w:t>四档（6分）：安全生产管理人员配备合理；有健全的安全管理制度，各道工序安全技术措施针对性强，符合实际且高于国家有关安全技术标准要求。现场防火、应急救援、社会治安安全措施得力。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spacing w:line="480" w:lineRule="exact"/>
              <w:jc w:val="left"/>
              <w:rPr>
                <w:rFonts w:ascii="宋体" w:hAnsi="宋体" w:eastAsia="宋体" w:cs="宋体"/>
                <w:kern w:val="0"/>
                <w:szCs w:val="21"/>
              </w:rPr>
            </w:pPr>
            <w:r>
              <w:rPr>
                <w:rFonts w:hint="eastAsia" w:ascii="宋体" w:hAnsi="宋体" w:eastAsia="宋体" w:cs="宋体"/>
                <w:kern w:val="0"/>
                <w:szCs w:val="21"/>
              </w:rPr>
              <w:t>确保工期的技术组织措施</w:t>
            </w:r>
            <w:r>
              <w:rPr>
                <w:rFonts w:hint="eastAsia" w:ascii="宋体" w:hAnsi="宋体" w:eastAsia="宋体" w:cs="宋体"/>
                <w:szCs w:val="21"/>
              </w:rPr>
              <w:t>（满分10分）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一档（1 分）：有保证工期的具体措施。各项计划图表编制不完善，安排不合理，不能满足本项目施工实际要求。</w:t>
            </w:r>
          </w:p>
          <w:p>
            <w:pPr>
              <w:widowControl/>
              <w:spacing w:line="480" w:lineRule="exact"/>
              <w:jc w:val="left"/>
              <w:rPr>
                <w:rFonts w:ascii="宋体" w:hAnsi="宋体" w:eastAsia="宋体" w:cs="宋体"/>
                <w:szCs w:val="21"/>
              </w:rPr>
            </w:pPr>
            <w:r>
              <w:rPr>
                <w:rFonts w:hint="eastAsia" w:ascii="宋体" w:hAnsi="宋体" w:eastAsia="宋体" w:cs="宋体"/>
                <w:szCs w:val="21"/>
              </w:rPr>
              <w:t>二档（4 分）：有保证工期的具体措施，措施基本得当。各项计划图表编制基本齐全，安排基本合理，基本符合本项目施工实际要求。</w:t>
            </w:r>
          </w:p>
          <w:p>
            <w:pPr>
              <w:widowControl/>
              <w:spacing w:line="480" w:lineRule="exact"/>
              <w:jc w:val="left"/>
              <w:rPr>
                <w:rFonts w:ascii="宋体" w:hAnsi="宋体" w:eastAsia="宋体" w:cs="宋体"/>
                <w:szCs w:val="21"/>
              </w:rPr>
            </w:pPr>
            <w:r>
              <w:rPr>
                <w:rFonts w:hint="eastAsia" w:ascii="宋体" w:hAnsi="宋体" w:eastAsia="宋体" w:cs="宋体"/>
                <w:szCs w:val="21"/>
              </w:rPr>
              <w:t>三档（7 分）： 有保证工期的具体措施且措施得当。各项计划图表编制完善，安排较合理，符合本项目施工实际要求。</w:t>
            </w:r>
          </w:p>
          <w:p>
            <w:pPr>
              <w:widowControl/>
              <w:spacing w:line="480" w:lineRule="exact"/>
              <w:jc w:val="left"/>
              <w:rPr>
                <w:rFonts w:ascii="宋体" w:hAnsi="宋体" w:eastAsia="宋体" w:cs="宋体"/>
                <w:szCs w:val="21"/>
              </w:rPr>
            </w:pPr>
            <w:r>
              <w:rPr>
                <w:rFonts w:hint="eastAsia" w:ascii="宋体" w:hAnsi="宋体" w:eastAsia="宋体" w:cs="宋体"/>
                <w:szCs w:val="21"/>
              </w:rPr>
              <w:t>四档（10 分）：有保证工期的具体措施且措施得力。各项计划图表编制详尽周密，安排科学合理，符合本项目施工实际要求。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kern w:val="0"/>
                <w:szCs w:val="21"/>
              </w:rPr>
            </w:pPr>
            <w:r>
              <w:rPr>
                <w:rFonts w:hint="eastAsia" w:ascii="宋体" w:hAnsi="宋体" w:eastAsia="宋体" w:cs="宋体"/>
                <w:kern w:val="0"/>
                <w:szCs w:val="21"/>
              </w:rPr>
              <w:t>确保文明施工的技术组织措施</w:t>
            </w:r>
            <w:r>
              <w:rPr>
                <w:rFonts w:hint="eastAsia" w:ascii="宋体" w:hAnsi="宋体" w:eastAsia="宋体" w:cs="宋体"/>
                <w:szCs w:val="21"/>
              </w:rPr>
              <w:t>（6分）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一档（0 分）：现场文明施工、环境保护措施和内容与《建筑施工安全生产检查标准》、《广西壮族自治区建筑工程文明施工导则》的要求偏差大，无现场文明施工目标的承诺。</w:t>
            </w:r>
          </w:p>
          <w:p>
            <w:pPr>
              <w:widowControl/>
              <w:spacing w:line="480" w:lineRule="exact"/>
              <w:jc w:val="left"/>
              <w:rPr>
                <w:rFonts w:ascii="宋体" w:hAnsi="宋体" w:eastAsia="宋体" w:cs="宋体"/>
                <w:szCs w:val="21"/>
              </w:rPr>
            </w:pPr>
            <w:r>
              <w:rPr>
                <w:rFonts w:hint="eastAsia" w:ascii="宋体" w:hAnsi="宋体" w:eastAsia="宋体" w:cs="宋体"/>
                <w:szCs w:val="21"/>
              </w:rPr>
              <w:t>二档（2分）：现场文明施工、环境保护措施和内容基本达到《建筑施工安全生产检查标准》、《广西壮族自治区建筑工程文明施工导则》；有具体实现现场文明施工目标的承诺，而且各项措施基本全面、具体、有效的。</w:t>
            </w:r>
          </w:p>
          <w:p>
            <w:pPr>
              <w:widowControl/>
              <w:spacing w:line="480" w:lineRule="exact"/>
              <w:jc w:val="left"/>
              <w:rPr>
                <w:rFonts w:ascii="宋体" w:hAnsi="宋体" w:eastAsia="宋体" w:cs="宋体"/>
                <w:szCs w:val="21"/>
              </w:rPr>
            </w:pPr>
            <w:r>
              <w:rPr>
                <w:rFonts w:hint="eastAsia" w:ascii="宋体" w:hAnsi="宋体" w:eastAsia="宋体" w:cs="宋体"/>
                <w:szCs w:val="21"/>
              </w:rPr>
              <w:t>三档（4 分）：现场文明施工、环境保护措施和内容达到《建筑施工安全生产检查标准》、《广西壮族自治区建筑工程文明施工导则》；有具体实现现场文明施工目标的承诺，而且各项措施周全、具体、有效的。</w:t>
            </w:r>
          </w:p>
          <w:p>
            <w:pPr>
              <w:widowControl/>
              <w:spacing w:line="480" w:lineRule="exact"/>
              <w:jc w:val="left"/>
              <w:rPr>
                <w:rFonts w:ascii="宋体" w:hAnsi="宋体" w:eastAsia="宋体" w:cs="宋体"/>
                <w:szCs w:val="21"/>
              </w:rPr>
            </w:pPr>
            <w:r>
              <w:rPr>
                <w:rFonts w:hint="eastAsia" w:ascii="宋体" w:hAnsi="宋体" w:eastAsia="宋体" w:cs="宋体"/>
                <w:szCs w:val="21"/>
              </w:rPr>
              <w:t>四档（6 分）: 现场文明施工、环境保护措施和内容达到且高于《建筑施工安全生产检查标准》、《广西壮族自治区建筑工程文明施工导则》要求；有具体实现现场文明施工目标的承诺，而且各项措施科学、具体、得力的。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15" w:type="dxa"/>
            <w:vMerge w:val="continue"/>
            <w:vAlign w:val="center"/>
          </w:tcPr>
          <w:p>
            <w:pPr>
              <w:widowControl/>
              <w:jc w:val="left"/>
              <w:rPr>
                <w:rFonts w:ascii="宋体" w:hAnsi="宋体" w:eastAsia="宋体" w:cs="宋体"/>
                <w:szCs w:val="21"/>
              </w:rPr>
            </w:pPr>
          </w:p>
        </w:tc>
        <w:tc>
          <w:tcPr>
            <w:tcW w:w="1020" w:type="dxa"/>
            <w:vMerge w:val="continue"/>
            <w:vAlign w:val="center"/>
          </w:tcPr>
          <w:p>
            <w:pPr>
              <w:widowControl/>
              <w:jc w:val="left"/>
              <w:rPr>
                <w:rFonts w:ascii="宋体" w:hAnsi="宋体" w:eastAsia="宋体" w:cs="宋体"/>
                <w:szCs w:val="21"/>
              </w:rPr>
            </w:pPr>
          </w:p>
        </w:tc>
        <w:tc>
          <w:tcPr>
            <w:tcW w:w="1245" w:type="dxa"/>
            <w:vAlign w:val="center"/>
          </w:tcPr>
          <w:p>
            <w:pPr>
              <w:widowControl/>
              <w:spacing w:line="480" w:lineRule="exact"/>
              <w:jc w:val="left"/>
              <w:rPr>
                <w:rFonts w:ascii="宋体" w:hAnsi="宋体" w:eastAsia="宋体" w:cs="宋体"/>
                <w:kern w:val="0"/>
                <w:szCs w:val="21"/>
              </w:rPr>
            </w:pPr>
            <w:r>
              <w:rPr>
                <w:rFonts w:hint="eastAsia" w:ascii="宋体" w:hAnsi="宋体" w:eastAsia="宋体" w:cs="宋体"/>
                <w:kern w:val="0"/>
                <w:szCs w:val="21"/>
              </w:rPr>
              <w:t>工程施工的重点和难点及保证措施</w:t>
            </w:r>
          </w:p>
          <w:p>
            <w:pPr>
              <w:widowControl/>
              <w:spacing w:line="480" w:lineRule="exact"/>
              <w:jc w:val="left"/>
              <w:rPr>
                <w:rFonts w:ascii="宋体" w:hAnsi="宋体" w:eastAsia="宋体" w:cs="宋体"/>
                <w:kern w:val="0"/>
                <w:szCs w:val="21"/>
              </w:rPr>
            </w:pPr>
            <w:r>
              <w:rPr>
                <w:rFonts w:hint="eastAsia" w:ascii="宋体" w:hAnsi="宋体" w:eastAsia="宋体" w:cs="宋体"/>
                <w:szCs w:val="21"/>
              </w:rPr>
              <w:t>（满分8分）</w:t>
            </w:r>
          </w:p>
        </w:tc>
        <w:tc>
          <w:tcPr>
            <w:tcW w:w="7275" w:type="dxa"/>
            <w:gridSpan w:val="2"/>
            <w:vAlign w:val="center"/>
          </w:tcPr>
          <w:p>
            <w:pPr>
              <w:widowControl/>
              <w:spacing w:line="480" w:lineRule="exact"/>
              <w:jc w:val="left"/>
              <w:rPr>
                <w:rFonts w:ascii="宋体" w:hAnsi="宋体" w:eastAsia="宋体" w:cs="宋体"/>
                <w:szCs w:val="21"/>
              </w:rPr>
            </w:pPr>
            <w:r>
              <w:rPr>
                <w:rFonts w:hint="eastAsia" w:ascii="宋体" w:hAnsi="宋体" w:eastAsia="宋体" w:cs="宋体"/>
                <w:szCs w:val="21"/>
              </w:rPr>
              <w:t>一档（2 分）：对项目关键技术有表述，对重点、难点有建议，解决方案不可行。</w:t>
            </w:r>
          </w:p>
          <w:p>
            <w:pPr>
              <w:widowControl/>
              <w:spacing w:line="480" w:lineRule="exact"/>
              <w:jc w:val="left"/>
              <w:rPr>
                <w:rFonts w:ascii="宋体" w:hAnsi="宋体" w:eastAsia="宋体" w:cs="宋体"/>
                <w:szCs w:val="21"/>
              </w:rPr>
            </w:pPr>
            <w:r>
              <w:rPr>
                <w:rFonts w:hint="eastAsia" w:ascii="宋体" w:hAnsi="宋体" w:eastAsia="宋体" w:cs="宋体"/>
                <w:szCs w:val="21"/>
              </w:rPr>
              <w:t>二档（4 分）：对项目关键技术有一定了解，对重点、难点有建议，解决方案基本可行。</w:t>
            </w:r>
          </w:p>
          <w:p>
            <w:pPr>
              <w:widowControl/>
              <w:spacing w:line="480" w:lineRule="exact"/>
              <w:jc w:val="left"/>
              <w:rPr>
                <w:rFonts w:ascii="宋体" w:hAnsi="宋体" w:eastAsia="宋体" w:cs="宋体"/>
                <w:szCs w:val="21"/>
              </w:rPr>
            </w:pPr>
            <w:r>
              <w:rPr>
                <w:rFonts w:hint="eastAsia" w:ascii="宋体" w:hAnsi="宋体" w:eastAsia="宋体" w:cs="宋体"/>
                <w:szCs w:val="21"/>
              </w:rPr>
              <w:t>三档（6 分）：对项目关键技术、工艺有深入的表述，对重点、难点有合理的建议，解决方案经济、安全、基本可行。</w:t>
            </w:r>
          </w:p>
          <w:p>
            <w:pPr>
              <w:widowControl/>
              <w:spacing w:line="480" w:lineRule="exact"/>
              <w:jc w:val="left"/>
              <w:rPr>
                <w:rFonts w:ascii="宋体" w:hAnsi="宋体" w:eastAsia="宋体" w:cs="宋体"/>
                <w:szCs w:val="21"/>
              </w:rPr>
            </w:pPr>
            <w:r>
              <w:rPr>
                <w:rFonts w:hint="eastAsia" w:ascii="宋体" w:hAnsi="宋体" w:eastAsia="宋体" w:cs="宋体"/>
                <w:szCs w:val="21"/>
              </w:rPr>
              <w:t xml:space="preserve">四档（8 分）：对项目关键技术、工艺有深入的表述。对重点、难点有先进合理的施工措施并有可行的安全措施，解决方案完整、经济、安全、切实可行，措施得力。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jc w:val="center"/>
        </w:trPr>
        <w:tc>
          <w:tcPr>
            <w:tcW w:w="615" w:type="dxa"/>
            <w:vAlign w:val="center"/>
          </w:tcPr>
          <w:p>
            <w:pPr>
              <w:spacing w:line="480" w:lineRule="exact"/>
              <w:jc w:val="center"/>
              <w:rPr>
                <w:rFonts w:ascii="宋体" w:hAnsi="宋体" w:eastAsia="宋体" w:cs="宋体"/>
                <w:szCs w:val="21"/>
              </w:rPr>
            </w:pPr>
            <w:r>
              <w:rPr>
                <w:rFonts w:hint="eastAsia" w:ascii="宋体" w:hAnsi="宋体" w:eastAsia="宋体" w:cs="宋体"/>
                <w:szCs w:val="21"/>
              </w:rPr>
              <w:t>3</w:t>
            </w:r>
          </w:p>
        </w:tc>
        <w:tc>
          <w:tcPr>
            <w:tcW w:w="1020" w:type="dxa"/>
            <w:vAlign w:val="center"/>
          </w:tcPr>
          <w:p>
            <w:pPr>
              <w:spacing w:line="480" w:lineRule="exact"/>
              <w:rPr>
                <w:rFonts w:ascii="宋体" w:hAnsi="宋体" w:eastAsia="宋体" w:cs="宋体"/>
                <w:szCs w:val="21"/>
              </w:rPr>
            </w:pPr>
            <w:r>
              <w:rPr>
                <w:rFonts w:hint="eastAsia" w:ascii="宋体" w:hAnsi="宋体" w:eastAsia="宋体" w:cs="宋体"/>
                <w:szCs w:val="21"/>
              </w:rPr>
              <w:t>商务资信业绩评分标准（满分8分）</w:t>
            </w:r>
          </w:p>
        </w:tc>
        <w:tc>
          <w:tcPr>
            <w:tcW w:w="1245" w:type="dxa"/>
            <w:vAlign w:val="center"/>
          </w:tcPr>
          <w:p>
            <w:pPr>
              <w:spacing w:line="480" w:lineRule="exact"/>
              <w:jc w:val="left"/>
              <w:rPr>
                <w:rFonts w:ascii="宋体" w:hAnsi="宋体" w:eastAsia="宋体" w:cs="宋体"/>
                <w:szCs w:val="21"/>
              </w:rPr>
            </w:pPr>
            <w:r>
              <w:rPr>
                <w:rFonts w:hint="eastAsia" w:ascii="宋体" w:hAnsi="宋体" w:eastAsia="宋体" w:cs="宋体"/>
                <w:szCs w:val="21"/>
              </w:rPr>
              <w:t>项目业绩（满分8分）</w:t>
            </w:r>
          </w:p>
        </w:tc>
        <w:tc>
          <w:tcPr>
            <w:tcW w:w="7275" w:type="dxa"/>
            <w:gridSpan w:val="2"/>
            <w:vAlign w:val="center"/>
          </w:tcPr>
          <w:p>
            <w:pPr>
              <w:spacing w:line="480" w:lineRule="exact"/>
              <w:jc w:val="left"/>
              <w:rPr>
                <w:rFonts w:ascii="宋体" w:hAnsi="宋体" w:eastAsia="宋体" w:cs="宋体"/>
                <w:bCs/>
                <w:szCs w:val="21"/>
              </w:rPr>
            </w:pPr>
            <w:r>
              <w:rPr>
                <w:rFonts w:hint="eastAsia" w:ascii="宋体" w:hAnsi="宋体" w:eastAsia="宋体" w:cs="宋体"/>
                <w:szCs w:val="21"/>
              </w:rPr>
              <w:t>从 2021 年 1 月 1 日至投标截止时间止在建或已完成过类似工程项目的，每提供 1 个有效业绩得2 分，满分 8分。(必须提供建设合同或中标通知书证明材料,不提供的不得分)</w:t>
            </w:r>
            <w:r>
              <w:rPr>
                <w:rFonts w:hint="eastAsia" w:ascii="宋体" w:hAnsi="宋体" w:eastAsia="宋体" w:cs="宋体"/>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880" w:type="dxa"/>
            <w:gridSpan w:val="3"/>
            <w:vAlign w:val="center"/>
          </w:tcPr>
          <w:p>
            <w:pPr>
              <w:spacing w:line="480" w:lineRule="exact"/>
              <w:jc w:val="center"/>
              <w:rPr>
                <w:rFonts w:ascii="宋体" w:hAnsi="宋体" w:eastAsia="宋体" w:cs="宋体"/>
                <w:szCs w:val="21"/>
              </w:rPr>
            </w:pPr>
            <w:r>
              <w:rPr>
                <w:rFonts w:hint="eastAsia" w:ascii="宋体" w:hAnsi="宋体" w:eastAsia="宋体" w:cs="宋体"/>
                <w:szCs w:val="21"/>
              </w:rPr>
              <w:t>供应商汇总得分</w:t>
            </w:r>
          </w:p>
        </w:tc>
        <w:tc>
          <w:tcPr>
            <w:tcW w:w="7275" w:type="dxa"/>
            <w:gridSpan w:val="2"/>
            <w:vAlign w:val="center"/>
          </w:tcPr>
          <w:p>
            <w:pPr>
              <w:spacing w:line="480" w:lineRule="exact"/>
              <w:rPr>
                <w:rFonts w:ascii="宋体" w:hAnsi="宋体" w:eastAsia="宋体" w:cs="宋体"/>
                <w:szCs w:val="21"/>
              </w:rPr>
            </w:pPr>
            <w:r>
              <w:rPr>
                <w:rFonts w:hint="eastAsia" w:ascii="宋体" w:hAnsi="宋体" w:eastAsia="宋体" w:cs="宋体"/>
                <w:szCs w:val="21"/>
              </w:rPr>
              <w:t>供应商汇总得分=1+2+3</w:t>
            </w:r>
          </w:p>
        </w:tc>
      </w:tr>
    </w:tbl>
    <w:p>
      <w:pPr>
        <w:adjustRightInd w:val="0"/>
        <w:spacing w:line="480" w:lineRule="exact"/>
        <w:ind w:firstLine="426" w:firstLineChars="202"/>
        <w:textAlignment w:val="baseline"/>
        <w:rPr>
          <w:rFonts w:ascii="宋体" w:hAnsi="宋体" w:eastAsia="宋体" w:cs="宋体"/>
          <w:b/>
          <w:bCs/>
          <w:kern w:val="0"/>
          <w:szCs w:val="21"/>
        </w:rPr>
      </w:pPr>
      <w:r>
        <w:rPr>
          <w:rFonts w:hint="eastAsia" w:ascii="宋体" w:hAnsi="宋体" w:eastAsia="宋体" w:cs="宋体"/>
          <w:b/>
          <w:bCs/>
          <w:kern w:val="0"/>
          <w:szCs w:val="21"/>
        </w:rPr>
        <w:t>三、推荐成交候选供应商原则</w:t>
      </w:r>
    </w:p>
    <w:p>
      <w:pPr>
        <w:adjustRightInd w:val="0"/>
        <w:spacing w:line="480" w:lineRule="exact"/>
        <w:ind w:firstLine="424" w:firstLineChars="202"/>
        <w:textAlignment w:val="baseline"/>
        <w:rPr>
          <w:rFonts w:ascii="宋体" w:hAnsi="宋体" w:eastAsia="宋体" w:cs="宋体"/>
          <w:bCs/>
          <w:kern w:val="0"/>
          <w:szCs w:val="21"/>
        </w:rPr>
      </w:pPr>
      <w:r>
        <w:rPr>
          <w:rFonts w:hint="eastAsia" w:ascii="宋体" w:hAnsi="宋体" w:eastAsia="宋体" w:cs="宋体"/>
          <w:bCs/>
          <w:kern w:val="0"/>
          <w:szCs w:val="21"/>
        </w:rPr>
        <w:t>（1）磋商小组应当根据综合评分情况，按照评审得分由高到低顺序推荐至少2名成交候选供应商，并编写评审报告。磋商小组根据综合得分由高到低排列次序，若得分相同时，以评审报价由低到高顺序排列；若得分相同且评审报价相同的，以最后报价由低到高顺序排列；若仍相同的，按技术标得分由高到低顺序排列并推荐成交候选供应商。</w:t>
      </w:r>
    </w:p>
    <w:p>
      <w:pPr>
        <w:adjustRightInd w:val="0"/>
        <w:spacing w:line="480" w:lineRule="exact"/>
        <w:ind w:firstLine="424" w:firstLineChars="202"/>
        <w:textAlignment w:val="baseline"/>
        <w:rPr>
          <w:rFonts w:ascii="宋体" w:hAnsi="宋体" w:eastAsia="宋体" w:cs="宋体"/>
          <w:bCs/>
          <w:kern w:val="0"/>
          <w:szCs w:val="21"/>
        </w:rPr>
      </w:pPr>
      <w:r>
        <w:rPr>
          <w:rFonts w:hint="eastAsia" w:ascii="宋体" w:hAnsi="宋体" w:eastAsia="宋体" w:cs="宋体"/>
          <w:bCs/>
          <w:kern w:val="0"/>
          <w:szCs w:val="21"/>
        </w:rPr>
        <w:t>（2）成交供应商放弃成交、因不可抗力提出不能履行合同，采购单位可以顺延取排名后一位的成交候选供应商为成交供应商或重新组织采购。</w:t>
      </w:r>
    </w:p>
    <w:p>
      <w:pPr>
        <w:spacing w:line="480" w:lineRule="exact"/>
        <w:ind w:firstLine="420" w:firstLineChars="200"/>
        <w:rPr>
          <w:rFonts w:ascii="宋体" w:hAnsi="宋体" w:eastAsia="宋体" w:cs="宋体"/>
          <w:color w:val="000000"/>
          <w:kern w:val="0"/>
          <w:szCs w:val="21"/>
        </w:rPr>
      </w:pPr>
      <w:r>
        <w:rPr>
          <w:rFonts w:hint="eastAsia" w:ascii="宋体" w:hAnsi="宋体" w:eastAsia="宋体" w:cs="宋体"/>
          <w:bCs/>
          <w:kern w:val="0"/>
          <w:szCs w:val="21"/>
        </w:rPr>
        <w:t>（3）磋商小组认为，某磋商人的有效报价或者某些分项报价明显不合理或者低于成本，有可能影响服务质量和不能诚信履约的，应要求其在规定的期限内提供书面文件予以解释说明，并提交相关证明材料，否则，磋商小组不推荐该磋商人为成交候选人。</w:t>
      </w:r>
    </w:p>
    <w:p>
      <w:pPr>
        <w:spacing w:line="400" w:lineRule="exact"/>
        <w:rPr>
          <w:rFonts w:ascii="宋体" w:hAnsi="宋体" w:eastAsia="宋体" w:cs="宋体"/>
          <w:b/>
          <w:color w:val="000000" w:themeColor="text1"/>
          <w:szCs w:val="21"/>
          <w14:textFill>
            <w14:solidFill>
              <w14:schemeClr w14:val="tx1"/>
            </w14:solidFill>
          </w14:textFill>
        </w:rPr>
      </w:pPr>
    </w:p>
    <w:p>
      <w:pPr>
        <w:spacing w:line="360" w:lineRule="auto"/>
        <w:jc w:val="center"/>
        <w:rPr>
          <w:rFonts w:ascii="宋体" w:hAnsi="宋体" w:eastAsia="宋体" w:cs="宋体"/>
          <w:b/>
          <w:color w:val="000000" w:themeColor="text1"/>
          <w:szCs w:val="21"/>
          <w14:textFill>
            <w14:solidFill>
              <w14:schemeClr w14:val="tx1"/>
            </w14:solidFill>
          </w14:textFill>
        </w:rPr>
      </w:pPr>
      <w:bookmarkStart w:id="6" w:name="_Toc453681441"/>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hint="eastAsia" w:asciiTheme="minorEastAsia" w:hAnsiTheme="minorEastAsia"/>
          <w:b/>
          <w:color w:val="000000" w:themeColor="text1"/>
          <w:sz w:val="32"/>
          <w:szCs w:val="32"/>
          <w14:textFill>
            <w14:solidFill>
              <w14:schemeClr w14:val="tx1"/>
            </w14:solidFill>
          </w14:textFill>
        </w:rPr>
      </w:pPr>
    </w:p>
    <w:p>
      <w:pPr>
        <w:pStyle w:val="2"/>
        <w:rPr>
          <w:rFonts w:hint="eastAsia" w:asciiTheme="minorEastAsia" w:hAnsiTheme="minorEastAsia"/>
          <w:b/>
          <w:color w:val="000000" w:themeColor="text1"/>
          <w:sz w:val="32"/>
          <w:szCs w:val="32"/>
          <w14:textFill>
            <w14:solidFill>
              <w14:schemeClr w14:val="tx1"/>
            </w14:solidFill>
          </w14:textFill>
        </w:rPr>
      </w:pPr>
    </w:p>
    <w:p>
      <w:pPr>
        <w:pStyle w:val="2"/>
        <w:rPr>
          <w:rFonts w:hint="eastAsia" w:asciiTheme="minorEastAsia" w:hAnsiTheme="minorEastAsia"/>
          <w:b/>
          <w:color w:val="000000" w:themeColor="text1"/>
          <w:sz w:val="32"/>
          <w:szCs w:val="32"/>
          <w14:textFill>
            <w14:solidFill>
              <w14:schemeClr w14:val="tx1"/>
            </w14:solidFill>
          </w14:textFill>
        </w:rPr>
      </w:pPr>
    </w:p>
    <w:p>
      <w:pPr>
        <w:pStyle w:val="2"/>
        <w:rPr>
          <w:rFonts w:hint="eastAsia"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pStyle w:val="2"/>
        <w:rPr>
          <w:rFonts w:asciiTheme="minorEastAsia" w:hAnsiTheme="minorEastAsia"/>
          <w:b/>
          <w:color w:val="000000" w:themeColor="text1"/>
          <w:sz w:val="32"/>
          <w:szCs w:val="32"/>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 xml:space="preserve">第四章  </w:t>
      </w:r>
      <w:bookmarkEnd w:id="6"/>
      <w:r>
        <w:rPr>
          <w:rFonts w:hint="eastAsia" w:asciiTheme="minorEastAsia" w:hAnsiTheme="minorEastAsia"/>
          <w:b/>
          <w:color w:val="000000" w:themeColor="text1"/>
          <w:sz w:val="32"/>
          <w:szCs w:val="32"/>
          <w14:textFill>
            <w14:solidFill>
              <w14:schemeClr w14:val="tx1"/>
            </w14:solidFill>
          </w14:textFill>
        </w:rPr>
        <w:t>采购项目需求</w:t>
      </w:r>
    </w:p>
    <w:tbl>
      <w:tblPr>
        <w:tblStyle w:val="49"/>
        <w:tblW w:w="9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6840"/>
        <w:gridCol w:w="705"/>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689" w:type="dxa"/>
            <w:vAlign w:val="center"/>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w:t>
            </w:r>
          </w:p>
        </w:tc>
        <w:tc>
          <w:tcPr>
            <w:tcW w:w="6840" w:type="dxa"/>
            <w:vAlign w:val="center"/>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服务内容/参数</w:t>
            </w:r>
          </w:p>
        </w:tc>
        <w:tc>
          <w:tcPr>
            <w:tcW w:w="705" w:type="dxa"/>
            <w:vAlign w:val="center"/>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单位</w:t>
            </w:r>
          </w:p>
        </w:tc>
        <w:tc>
          <w:tcPr>
            <w:tcW w:w="668" w:type="dxa"/>
            <w:vAlign w:val="center"/>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0" w:hRule="atLeast"/>
          <w:jc w:val="center"/>
        </w:trPr>
        <w:tc>
          <w:tcPr>
            <w:tcW w:w="1689" w:type="dxa"/>
            <w:vAlign w:val="center"/>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防城港市中医医院四楼日间手术室工程</w:t>
            </w:r>
          </w:p>
        </w:tc>
        <w:tc>
          <w:tcPr>
            <w:tcW w:w="6840" w:type="dxa"/>
            <w:vAlign w:val="center"/>
          </w:tcPr>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本采购工程，应该认真按施工图纸要求进行施工；同时也要严格执行</w:t>
            </w:r>
            <w:r>
              <w:rPr>
                <w:rFonts w:hint="eastAsia" w:ascii="宋体" w:hAnsi="宋体" w:eastAsia="宋体" w:cs="宋体"/>
                <w:color w:val="000000"/>
                <w:szCs w:val="21"/>
              </w:rPr>
              <w:t>建筑装修装饰</w:t>
            </w:r>
            <w:r>
              <w:rPr>
                <w:rFonts w:hint="eastAsia" w:ascii="宋体" w:hAnsi="宋体" w:eastAsia="宋体" w:cs="宋体"/>
                <w:color w:val="000000" w:themeColor="text1"/>
                <w:szCs w:val="21"/>
                <w14:textFill>
                  <w14:solidFill>
                    <w14:schemeClr w14:val="tx1"/>
                  </w14:solidFill>
                </w14:textFill>
              </w:rPr>
              <w:t>专业有关的现行标准和技术规范。</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一、图纸（另册发放）</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二、工程量清单（另册发放）</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三、项目情况：</w:t>
            </w:r>
            <w:r>
              <w:rPr>
                <w:rFonts w:hint="eastAsia" w:ascii="宋体" w:hAnsi="宋体" w:eastAsia="宋体" w:cs="宋体"/>
                <w:szCs w:val="21"/>
              </w:rPr>
              <w:t>包含手术室装修装饰、电气、给排水、暖通及医用气体安装等，具体详见设计图纸及工程量清单；</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四、资金来源：</w:t>
            </w:r>
            <w:r>
              <w:rPr>
                <w:rFonts w:hint="eastAsia" w:ascii="宋体" w:hAnsi="宋体" w:eastAsia="宋体" w:cs="宋体"/>
                <w:szCs w:val="21"/>
              </w:rPr>
              <w:t>业务用房改造专项资金</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五、项目预算控制价金额：</w:t>
            </w:r>
            <w:r>
              <w:rPr>
                <w:rFonts w:hint="eastAsia" w:ascii="宋体" w:hAnsi="宋体" w:eastAsia="宋体" w:cs="宋体"/>
                <w:szCs w:val="21"/>
              </w:rPr>
              <w:t>451373.18元</w:t>
            </w:r>
            <w:r>
              <w:rPr>
                <w:rFonts w:hint="eastAsia" w:ascii="宋体" w:hAnsi="宋体" w:eastAsia="宋体" w:cs="宋体"/>
                <w:color w:val="000000" w:themeColor="text1"/>
                <w:szCs w:val="21"/>
                <w14:textFill>
                  <w14:solidFill>
                    <w14:schemeClr w14:val="tx1"/>
                  </w14:solidFill>
                </w14:textFill>
              </w:rPr>
              <w:t>（详见工程量清单）。</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六、本项目的资质要求：</w:t>
            </w:r>
          </w:p>
          <w:p>
            <w:pPr>
              <w:spacing w:line="480" w:lineRule="exact"/>
              <w:ind w:firstLine="420" w:firstLineChars="200"/>
              <w:rPr>
                <w:rFonts w:ascii="宋体" w:hAnsi="宋体" w:eastAsia="宋体" w:cs="宋体"/>
                <w:color w:val="000000"/>
                <w:szCs w:val="21"/>
              </w:rPr>
            </w:pPr>
            <w:r>
              <w:rPr>
                <w:rFonts w:hint="eastAsia" w:ascii="宋体" w:hAnsi="宋体" w:eastAsia="宋体" w:cs="宋体"/>
                <w:color w:val="000000"/>
                <w:szCs w:val="21"/>
              </w:rPr>
              <w:t>1.具备建筑装修装饰工程专业承包二级以上（含二级）资质，</w:t>
            </w:r>
            <w:r>
              <w:rPr>
                <w:rFonts w:hint="eastAsia" w:ascii="宋体" w:hAnsi="宋体" w:eastAsia="宋体" w:cs="宋体"/>
                <w:color w:val="000000" w:themeColor="text1"/>
                <w:szCs w:val="21"/>
                <w14:textFill>
                  <w14:solidFill>
                    <w14:schemeClr w14:val="tx1"/>
                  </w14:solidFill>
                </w14:textFill>
              </w:rPr>
              <w:t>并同时具有省级或以上建设行政主管部门颁发的建筑施工企业安全生产许可证</w:t>
            </w:r>
            <w:r>
              <w:rPr>
                <w:rFonts w:hint="eastAsia" w:ascii="宋体" w:hAnsi="宋体" w:eastAsia="宋体" w:cs="宋体"/>
                <w:color w:val="000000"/>
                <w:szCs w:val="21"/>
              </w:rPr>
              <w:t>，并在人员、设备、资金等方面具有相应能力的施工企业；</w:t>
            </w:r>
          </w:p>
          <w:p>
            <w:pPr>
              <w:spacing w:line="480" w:lineRule="exact"/>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2.拟派驻本工程的项目经理必须具有建筑工程专业二级以上（含二级）注册建造师资格并获得有效的安全生产考核合格证（B证）； </w:t>
            </w:r>
          </w:p>
          <w:p>
            <w:pPr>
              <w:spacing w:line="480" w:lineRule="exact"/>
              <w:ind w:firstLine="420" w:firstLineChars="200"/>
              <w:rPr>
                <w:rFonts w:ascii="宋体" w:hAnsi="宋体" w:eastAsia="宋体" w:cs="宋体"/>
                <w:color w:val="000000"/>
                <w:szCs w:val="21"/>
              </w:rPr>
            </w:pPr>
            <w:r>
              <w:rPr>
                <w:rFonts w:hint="eastAsia" w:ascii="宋体" w:hAnsi="宋体" w:eastAsia="宋体" w:cs="宋体"/>
                <w:color w:val="000000"/>
                <w:szCs w:val="21"/>
              </w:rPr>
              <w:t>3.供应商按《医疗器械监督管理条例》（国务院令第739号）医疗器械分类管理要求提供有效的医疗器械经营备案凭证或者经营许可证，且经营范围必须包含采购标的（符合《医疗器械监督管理条例》第四十一条第二款规定的除外）；</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七、商务要求：</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（1）工程要求：按照工程量清单及图纸改造施工</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（2）合同签订期：自成交通知书发出之日起 3个工作日内。</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（3）施工期限：自签订合同之日</w:t>
            </w:r>
            <w:r>
              <w:rPr>
                <w:rFonts w:hint="eastAsia" w:ascii="宋体" w:hAnsi="宋体" w:eastAsia="宋体" w:cs="宋体"/>
                <w:kern w:val="0"/>
                <w:szCs w:val="21"/>
              </w:rPr>
              <w:t>60</w:t>
            </w:r>
            <w:r>
              <w:rPr>
                <w:rFonts w:hint="eastAsia" w:ascii="宋体" w:hAnsi="宋体" w:eastAsia="宋体" w:cs="宋体"/>
                <w:color w:val="000000"/>
                <w:kern w:val="0"/>
                <w:szCs w:val="21"/>
              </w:rPr>
              <w:t>个日历日</w:t>
            </w:r>
            <w:r>
              <w:rPr>
                <w:rFonts w:hint="eastAsia" w:ascii="宋体" w:hAnsi="宋体" w:eastAsia="宋体" w:cs="宋体"/>
                <w:color w:val="000000" w:themeColor="text1"/>
                <w:szCs w:val="21"/>
                <w14:textFill>
                  <w14:solidFill>
                    <w14:schemeClr w14:val="tx1"/>
                  </w14:solidFill>
                </w14:textFill>
              </w:rPr>
              <w:t xml:space="preserve">。  </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（4）工程质量要求：符合有关国家质量标准、技术规范及规程要求 ；</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（5）质保期：1年</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（6）验收标准：本工程应该认真按照工程量清单的要求进行施工，同时也要严格执行国家相关的专业现行标准和技术规范验收。</w:t>
            </w:r>
          </w:p>
          <w:p>
            <w:pPr>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（7）付款方式：</w:t>
            </w:r>
          </w:p>
          <w:p>
            <w:pPr>
              <w:widowControl/>
              <w:spacing w:line="480" w:lineRule="exact"/>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自合同签订之日起15个工作日内采购人预付合同总额的30%，项目竣工验收合格后，承包人按照经审结算金额开具全额发票，采购人在收到发票之日起6个月内支付至经审结算金额的97%，尾款在竣工验收之日起，保质期满后15个工作日内付清结算金额的3%（自验收合格之日起计算，不计息）。</w:t>
            </w:r>
          </w:p>
          <w:p>
            <w:pPr>
              <w:spacing w:line="360" w:lineRule="auto"/>
              <w:rPr>
                <w:rFonts w:ascii="宋体" w:hAnsi="宋体" w:eastAsia="宋体" w:cs="宋体"/>
                <w:color w:val="000000" w:themeColor="text1"/>
                <w:szCs w:val="21"/>
                <w14:textFill>
                  <w14:solidFill>
                    <w14:schemeClr w14:val="tx1"/>
                  </w14:solidFill>
                </w14:textFill>
              </w:rPr>
            </w:pPr>
          </w:p>
        </w:tc>
        <w:tc>
          <w:tcPr>
            <w:tcW w:w="705" w:type="dxa"/>
            <w:vAlign w:val="center"/>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w:t>
            </w:r>
          </w:p>
        </w:tc>
        <w:tc>
          <w:tcPr>
            <w:tcW w:w="668" w:type="dxa"/>
            <w:vAlign w:val="center"/>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r>
    </w:tbl>
    <w:p>
      <w:pPr>
        <w:rPr>
          <w:rFonts w:asciiTheme="minorEastAsia" w:hAnsiTheme="minorEastAsia"/>
          <w:b/>
          <w:color w:val="000000" w:themeColor="text1"/>
          <w:sz w:val="24"/>
          <w:szCs w:val="24"/>
          <w14:textFill>
            <w14:solidFill>
              <w14:schemeClr w14:val="tx1"/>
            </w14:solidFill>
          </w14:textFill>
        </w:rPr>
      </w:pPr>
    </w:p>
    <w:p>
      <w:pPr>
        <w:spacing w:line="420" w:lineRule="exact"/>
        <w:ind w:firstLine="413" w:firstLineChars="196"/>
        <w:rPr>
          <w:rFonts w:ascii="宋体" w:hAnsi="宋体"/>
          <w:b/>
          <w:color w:val="000000" w:themeColor="text1"/>
          <w14:textFill>
            <w14:solidFill>
              <w14:schemeClr w14:val="tx1"/>
            </w14:solidFill>
          </w14:textFill>
        </w:rPr>
      </w:pPr>
      <w:bookmarkStart w:id="7" w:name="_Toc453681445"/>
      <w:r>
        <w:rPr>
          <w:rFonts w:hint="eastAsia" w:ascii="宋体" w:hAnsi="宋体"/>
          <w:b/>
          <w:color w:val="000000" w:themeColor="text1"/>
          <w14:textFill>
            <w14:solidFill>
              <w14:schemeClr w14:val="tx1"/>
            </w14:solidFill>
          </w14:textFill>
        </w:rPr>
        <w:t>四、工程建设地点的现场条件：</w:t>
      </w:r>
    </w:p>
    <w:p>
      <w:pPr>
        <w:spacing w:line="420" w:lineRule="exact"/>
        <w:ind w:firstLine="457" w:firstLineChars="21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（一）现场自然条件：满足施工要求。</w:t>
      </w:r>
    </w:p>
    <w:p>
      <w:pPr>
        <w:spacing w:line="420" w:lineRule="exact"/>
        <w:ind w:firstLine="457" w:firstLineChars="21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（二）现场施工条件：符合施工要求。</w:t>
      </w:r>
    </w:p>
    <w:p>
      <w:pPr>
        <w:spacing w:line="420" w:lineRule="exact"/>
        <w:ind w:firstLine="460" w:firstLineChars="218"/>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五、技术规范：</w:t>
      </w:r>
    </w:p>
    <w:p>
      <w:pPr>
        <w:spacing w:line="420" w:lineRule="exact"/>
        <w:ind w:firstLine="420" w:firstLineChars="200"/>
        <w:rPr>
          <w:color w:val="000000" w:themeColor="text1"/>
          <w14:textFill>
            <w14:solidFill>
              <w14:schemeClr w14:val="tx1"/>
            </w14:solidFill>
          </w14:textFill>
        </w:rPr>
        <w:sectPr>
          <w:headerReference r:id="rId6" w:type="default"/>
          <w:footerReference r:id="rId7" w:type="default"/>
          <w:pgSz w:w="11910" w:h="16840"/>
          <w:pgMar w:top="567" w:right="850" w:bottom="567" w:left="850" w:header="550" w:footer="471" w:gutter="0"/>
          <w:cols w:space="0" w:num="1"/>
        </w:sectPr>
      </w:pPr>
      <w:r>
        <w:rPr>
          <w:rFonts w:hint="eastAsia" w:ascii="宋体" w:hAnsi="宋体"/>
          <w:color w:val="000000" w:themeColor="text1"/>
          <w14:textFill>
            <w14:solidFill>
              <w14:schemeClr w14:val="tx1"/>
            </w14:solidFill>
          </w14:textFill>
        </w:rPr>
        <w:t>本工程应该认真按照工程量清单的要求进行施工，同时也要严格执行国家相关的专业现行标准和技术规范。</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第五章  技术标准、规范</w:t>
      </w:r>
      <w:bookmarkEnd w:id="7"/>
    </w:p>
    <w:p>
      <w:pPr>
        <w:spacing w:line="400" w:lineRule="exact"/>
        <w:rPr>
          <w:bCs/>
          <w:color w:val="000000" w:themeColor="text1"/>
          <w:szCs w:val="21"/>
          <w14:textFill>
            <w14:solidFill>
              <w14:schemeClr w14:val="tx1"/>
            </w14:solidFill>
          </w14:textFill>
        </w:rPr>
      </w:pPr>
    </w:p>
    <w:p>
      <w:pPr>
        <w:spacing w:line="400" w:lineRule="exact"/>
        <w:rPr>
          <w:bCs/>
          <w:color w:val="000000" w:themeColor="text1"/>
          <w:szCs w:val="21"/>
          <w14:textFill>
            <w14:solidFill>
              <w14:schemeClr w14:val="tx1"/>
            </w14:solidFill>
          </w14:textFill>
        </w:rPr>
      </w:pPr>
    </w:p>
    <w:p>
      <w:pPr>
        <w:spacing w:line="400" w:lineRule="exact"/>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一、图纸（另册</w:t>
      </w:r>
      <w:r>
        <w:rPr>
          <w:bCs/>
          <w:color w:val="000000" w:themeColor="text1"/>
          <w:szCs w:val="21"/>
          <w14:textFill>
            <w14:solidFill>
              <w14:schemeClr w14:val="tx1"/>
            </w14:solidFill>
          </w14:textFill>
        </w:rPr>
        <w:t>发放</w:t>
      </w:r>
      <w:r>
        <w:rPr>
          <w:rFonts w:hint="eastAsia"/>
          <w:bCs/>
          <w:color w:val="000000" w:themeColor="text1"/>
          <w:szCs w:val="21"/>
          <w14:textFill>
            <w14:solidFill>
              <w14:schemeClr w14:val="tx1"/>
            </w14:solidFill>
          </w14:textFill>
        </w:rPr>
        <w:t>）</w:t>
      </w:r>
    </w:p>
    <w:p>
      <w:pPr>
        <w:spacing w:line="400" w:lineRule="exact"/>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二、工程量清单（另册</w:t>
      </w:r>
      <w:r>
        <w:rPr>
          <w:bCs/>
          <w:color w:val="000000" w:themeColor="text1"/>
          <w:szCs w:val="21"/>
          <w14:textFill>
            <w14:solidFill>
              <w14:schemeClr w14:val="tx1"/>
            </w14:solidFill>
          </w14:textFill>
        </w:rPr>
        <w:t>发放</w:t>
      </w:r>
      <w:r>
        <w:rPr>
          <w:rFonts w:hint="eastAsia"/>
          <w:bCs/>
          <w:color w:val="000000" w:themeColor="text1"/>
          <w:szCs w:val="21"/>
          <w14:textFill>
            <w14:solidFill>
              <w14:schemeClr w14:val="tx1"/>
            </w14:solidFill>
          </w14:textFill>
        </w:rPr>
        <w:t>）</w:t>
      </w:r>
    </w:p>
    <w:p>
      <w:pPr>
        <w:pStyle w:val="28"/>
        <w:spacing w:line="360" w:lineRule="auto"/>
        <w:ind w:right="384" w:rightChars="183" w:firstLine="400" w:firstLineChars="200"/>
        <w:rPr>
          <w:rFonts w:asciiTheme="minorEastAsia" w:hAnsiTheme="minorEastAsia"/>
          <w:color w:val="000000" w:themeColor="text1"/>
          <w14:textFill>
            <w14:solidFill>
              <w14:schemeClr w14:val="tx1"/>
            </w14:solidFill>
          </w14:textFill>
        </w:rPr>
      </w:pPr>
    </w:p>
    <w:p>
      <w:pPr>
        <w:pStyle w:val="28"/>
        <w:spacing w:line="360" w:lineRule="auto"/>
        <w:ind w:right="384" w:rightChars="183" w:firstLine="400" w:firstLineChars="200"/>
        <w:rPr>
          <w:rFonts w:asciiTheme="minorEastAsia" w:hAnsiTheme="minorEastAsia"/>
          <w:color w:val="000000" w:themeColor="text1"/>
          <w14:textFill>
            <w14:solidFill>
              <w14:schemeClr w14:val="tx1"/>
            </w14:solidFill>
          </w14:textFill>
        </w:rPr>
      </w:pPr>
    </w:p>
    <w:p>
      <w:pPr>
        <w:pStyle w:val="28"/>
        <w:spacing w:line="360" w:lineRule="auto"/>
        <w:ind w:right="384" w:rightChars="183"/>
        <w:jc w:val="center"/>
        <w:rPr>
          <w:rFonts w:asciiTheme="minorEastAsia" w:hAnsiTheme="minorEastAsia"/>
          <w:b/>
          <w:color w:val="000000" w:themeColor="text1"/>
          <w:sz w:val="48"/>
          <w:szCs w:val="48"/>
          <w14:textFill>
            <w14:solidFill>
              <w14:schemeClr w14:val="tx1"/>
            </w14:solidFill>
          </w14:textFill>
        </w:rPr>
      </w:pPr>
    </w:p>
    <w:p>
      <w:pPr>
        <w:pStyle w:val="28"/>
        <w:spacing w:line="360" w:lineRule="auto"/>
        <w:ind w:right="384" w:rightChars="183"/>
        <w:jc w:val="center"/>
        <w:rPr>
          <w:rFonts w:asciiTheme="minorEastAsia" w:hAnsiTheme="minorEastAsia"/>
          <w:b/>
          <w:color w:val="000000" w:themeColor="text1"/>
          <w:sz w:val="32"/>
          <w:szCs w:val="32"/>
          <w14:textFill>
            <w14:solidFill>
              <w14:schemeClr w14:val="tx1"/>
            </w14:solidFill>
          </w14:textFill>
        </w:rPr>
        <w:sectPr>
          <w:pgSz w:w="11907" w:h="16840"/>
          <w:pgMar w:top="1304" w:right="1304" w:bottom="1304" w:left="1304" w:header="964" w:footer="737" w:gutter="0"/>
          <w:cols w:space="720" w:num="1"/>
          <w:titlePg/>
          <w:docGrid w:linePitch="312" w:charSpace="0"/>
        </w:sectPr>
      </w:pPr>
    </w:p>
    <w:p>
      <w:pPr>
        <w:pStyle w:val="3"/>
        <w:numPr>
          <w:ilvl w:val="0"/>
          <w:numId w:val="3"/>
        </w:numPr>
        <w:jc w:val="center"/>
        <w:rPr>
          <w:color w:val="000000" w:themeColor="text1"/>
          <w14:textFill>
            <w14:solidFill>
              <w14:schemeClr w14:val="tx1"/>
            </w14:solidFill>
          </w14:textFill>
        </w:rPr>
      </w:pPr>
      <w:bookmarkStart w:id="8" w:name="_Toc453681446"/>
      <w:r>
        <w:rPr>
          <w:rFonts w:hint="eastAsia" w:asciiTheme="minorEastAsia" w:hAnsiTheme="minorEastAsia"/>
          <w:color w:val="000000" w:themeColor="text1"/>
          <w:sz w:val="32"/>
          <w:szCs w:val="32"/>
          <w14:textFill>
            <w14:solidFill>
              <w14:schemeClr w14:val="tx1"/>
            </w14:solidFill>
          </w14:textFill>
        </w:rPr>
        <w:t xml:space="preserve"> </w:t>
      </w:r>
      <w:bookmarkEnd w:id="4"/>
      <w:bookmarkEnd w:id="5"/>
      <w:bookmarkEnd w:id="8"/>
      <w:bookmarkStart w:id="9" w:name="bookmark1576"/>
      <w:bookmarkStart w:id="10" w:name="_Toc1972"/>
      <w:bookmarkStart w:id="11" w:name="_Toc14907"/>
      <w:bookmarkStart w:id="12" w:name="bookmark1578"/>
      <w:bookmarkStart w:id="13" w:name="_Toc256000178"/>
      <w:bookmarkStart w:id="14" w:name="bookmark1577"/>
      <w:bookmarkStart w:id="15" w:name="_Toc27368"/>
      <w:bookmarkStart w:id="16" w:name="_Toc453681539"/>
      <w:bookmarkStart w:id="17" w:name="_Toc108835678"/>
      <w:bookmarkStart w:id="18" w:name="_Toc108836089"/>
      <w:r>
        <w:rPr>
          <w:rFonts w:hint="eastAsia"/>
          <w:color w:val="000000" w:themeColor="text1"/>
          <w14:textFill>
            <w14:solidFill>
              <w14:schemeClr w14:val="tx1"/>
            </w14:solidFill>
          </w14:textFill>
        </w:rPr>
        <w:t>第一部分</w:t>
      </w:r>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一、合同协议书</w:t>
      </w:r>
    </w:p>
    <w:bookmarkEnd w:id="9"/>
    <w:bookmarkEnd w:id="10"/>
    <w:bookmarkEnd w:id="11"/>
    <w:bookmarkEnd w:id="12"/>
    <w:bookmarkEnd w:id="13"/>
    <w:bookmarkEnd w:id="14"/>
    <w:bookmarkEnd w:id="15"/>
    <w:p>
      <w:pPr>
        <w:pStyle w:val="3"/>
        <w:jc w:val="center"/>
        <w:rPr>
          <w:color w:val="000000" w:themeColor="text1"/>
          <w14:textFill>
            <w14:solidFill>
              <w14:schemeClr w14:val="tx1"/>
            </w14:solidFill>
          </w14:textFill>
        </w:rPr>
      </w:pPr>
      <w:bookmarkStart w:id="19" w:name="bookmark1917"/>
      <w:bookmarkStart w:id="20" w:name="_Toc21416"/>
      <w:bookmarkStart w:id="21" w:name="_Toc7161"/>
      <w:bookmarkStart w:id="22" w:name="bookmark1915"/>
      <w:bookmarkStart w:id="23" w:name="_Toc10532"/>
      <w:bookmarkStart w:id="24" w:name="bookmark1916"/>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合同协议书</w:t>
      </w:r>
    </w:p>
    <w:p>
      <w:pPr>
        <w:spacing w:line="360" w:lineRule="auto"/>
        <w:rPr>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发包人（全称）：</w:t>
      </w:r>
      <w:r>
        <w:rPr>
          <w:rFonts w:hint="eastAsia" w:ascii="宋体" w:hAnsi="宋体"/>
          <w:color w:val="000000" w:themeColor="text1"/>
          <w:u w:val="single"/>
          <w14:textFill>
            <w14:solidFill>
              <w14:schemeClr w14:val="tx1"/>
            </w14:solidFill>
          </w14:textFill>
        </w:rPr>
        <w:t xml:space="preserve">                                   </w:t>
      </w:r>
    </w:p>
    <w:p>
      <w:pPr>
        <w:spacing w:line="360" w:lineRule="auto"/>
        <w:rPr>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承包人（全称）：</w:t>
      </w:r>
      <w:r>
        <w:rPr>
          <w:rFonts w:hAnsi="宋体"/>
          <w:color w:val="000000" w:themeColor="text1"/>
          <w:u w:val="single"/>
          <w14:textFill>
            <w14:solidFill>
              <w14:schemeClr w14:val="tx1"/>
            </w14:solidFill>
          </w14:textFill>
        </w:rPr>
        <w:t xml:space="preserve">                              </w:t>
      </w:r>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根据《中华人民共和国民法典》、《中华人民共和国建筑法》及有关法律规定，遵循平等、自愿、公平和诚实信用的原则，双方就 </w:t>
      </w:r>
      <w:r>
        <w:rPr>
          <w:rFonts w:hint="eastAsia" w:hAnsi="宋体" w:cs="宋体"/>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施工及有关事项协商一致，共同达成如下协议：</w:t>
      </w:r>
      <w:bookmarkStart w:id="25" w:name="_Toc351203481"/>
    </w:p>
    <w:p>
      <w:pPr>
        <w:spacing w:line="360" w:lineRule="auto"/>
        <w:ind w:firstLine="422" w:firstLineChars="200"/>
        <w:outlineLvl w:val="0"/>
        <w:rPr>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一、工程概况</w:t>
      </w:r>
      <w:bookmarkEnd w:id="25"/>
    </w:p>
    <w:p>
      <w:pPr>
        <w:spacing w:line="360" w:lineRule="auto"/>
        <w:ind w:firstLine="411" w:firstLineChars="196"/>
        <w:rPr>
          <w:rFonts w:ascii="宋体" w:hAnsi="宋体" w:eastAsia="宋体" w:cs="宋体"/>
          <w:color w:val="000000" w:themeColor="text1"/>
          <w:szCs w:val="21"/>
          <w:u w:val="single"/>
          <w14:textFill>
            <w14:solidFill>
              <w14:schemeClr w14:val="tx1"/>
            </w14:solidFill>
          </w14:textFill>
        </w:rPr>
      </w:pPr>
      <w:r>
        <w:rPr>
          <w:color w:val="000000" w:themeColor="text1"/>
          <w14:textFill>
            <w14:solidFill>
              <w14:schemeClr w14:val="tx1"/>
            </w14:solidFill>
          </w14:textFill>
        </w:rPr>
        <w:t xml:space="preserve">1. </w:t>
      </w:r>
      <w:r>
        <w:rPr>
          <w:rFonts w:hint="eastAsia" w:hAnsi="宋体" w:cs="宋体"/>
          <w:color w:val="000000" w:themeColor="text1"/>
          <w14:textFill>
            <w14:solidFill>
              <w14:schemeClr w14:val="tx1"/>
            </w14:solidFill>
          </w14:textFill>
        </w:rPr>
        <w:t>工程名称：</w:t>
      </w:r>
      <w:r>
        <w:rPr>
          <w:rFonts w:hint="eastAsia" w:ascii="宋体" w:hAnsi="宋体" w:eastAsia="宋体" w:cs="宋体"/>
          <w:color w:val="000000" w:themeColor="text1"/>
          <w:szCs w:val="21"/>
          <w:u w:val="single"/>
          <w14:textFill>
            <w14:solidFill>
              <w14:schemeClr w14:val="tx1"/>
            </w14:solidFill>
          </w14:textFill>
        </w:rPr>
        <w:t xml:space="preserve">                                         。</w:t>
      </w:r>
    </w:p>
    <w:p>
      <w:pPr>
        <w:spacing w:line="360" w:lineRule="auto"/>
        <w:ind w:firstLine="411" w:firstLineChars="196"/>
        <w:rPr>
          <w:color w:val="000000" w:themeColor="text1"/>
          <w14:textFill>
            <w14:solidFill>
              <w14:schemeClr w14:val="tx1"/>
            </w14:solidFill>
          </w14:textFill>
        </w:rPr>
      </w:pPr>
      <w:r>
        <w:rPr>
          <w:color w:val="000000" w:themeColor="text1"/>
          <w14:textFill>
            <w14:solidFill>
              <w14:schemeClr w14:val="tx1"/>
            </w14:solidFill>
          </w14:textFill>
        </w:rPr>
        <w:t xml:space="preserve">2. </w:t>
      </w:r>
      <w:r>
        <w:rPr>
          <w:rFonts w:hint="eastAsia" w:hAnsi="宋体" w:cs="宋体"/>
          <w:color w:val="000000" w:themeColor="text1"/>
          <w14:textFill>
            <w14:solidFill>
              <w14:schemeClr w14:val="tx1"/>
            </w14:solidFill>
          </w14:textFill>
        </w:rPr>
        <w:t>工程地点：</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11" w:firstLineChars="196"/>
        <w:rPr>
          <w:color w:val="000000" w:themeColor="text1"/>
          <w14:textFill>
            <w14:solidFill>
              <w14:schemeClr w14:val="tx1"/>
            </w14:solidFill>
          </w14:textFill>
        </w:rPr>
      </w:pPr>
      <w:r>
        <w:rPr>
          <w:color w:val="000000" w:themeColor="text1"/>
          <w14:textFill>
            <w14:solidFill>
              <w14:schemeClr w14:val="tx1"/>
            </w14:solidFill>
          </w14:textFill>
        </w:rPr>
        <w:t xml:space="preserve">3. </w:t>
      </w:r>
      <w:r>
        <w:rPr>
          <w:rFonts w:hint="eastAsia" w:hAnsi="宋体" w:cs="宋体"/>
          <w:color w:val="000000" w:themeColor="text1"/>
          <w14:textFill>
            <w14:solidFill>
              <w14:schemeClr w14:val="tx1"/>
            </w14:solidFill>
          </w14:textFill>
        </w:rPr>
        <w:t>工程立项批准文号：</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11" w:firstLineChars="196"/>
        <w:rPr>
          <w:color w:val="000000" w:themeColor="text1"/>
          <w14:textFill>
            <w14:solidFill>
              <w14:schemeClr w14:val="tx1"/>
            </w14:solidFill>
          </w14:textFill>
        </w:rPr>
      </w:pPr>
      <w:r>
        <w:rPr>
          <w:color w:val="000000" w:themeColor="text1"/>
          <w14:textFill>
            <w14:solidFill>
              <w14:schemeClr w14:val="tx1"/>
            </w14:solidFill>
          </w14:textFill>
        </w:rPr>
        <w:t xml:space="preserve">4. </w:t>
      </w:r>
      <w:r>
        <w:rPr>
          <w:rFonts w:hint="eastAsia" w:hAnsi="宋体" w:cs="宋体"/>
          <w:color w:val="000000" w:themeColor="text1"/>
          <w14:textFill>
            <w14:solidFill>
              <w14:schemeClr w14:val="tx1"/>
            </w14:solidFill>
          </w14:textFill>
        </w:rPr>
        <w:t>资金来源：</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11" w:firstLineChars="196"/>
        <w:rPr>
          <w:color w:val="000000" w:themeColor="text1"/>
          <w14:textFill>
            <w14:solidFill>
              <w14:schemeClr w14:val="tx1"/>
            </w14:solidFill>
          </w14:textFill>
        </w:rPr>
      </w:pPr>
      <w:r>
        <w:rPr>
          <w:color w:val="000000" w:themeColor="text1"/>
          <w14:textFill>
            <w14:solidFill>
              <w14:schemeClr w14:val="tx1"/>
            </w14:solidFill>
          </w14:textFill>
        </w:rPr>
        <w:t xml:space="preserve">5. </w:t>
      </w:r>
      <w:r>
        <w:rPr>
          <w:rFonts w:hint="eastAsia" w:hAnsi="宋体" w:cs="宋体"/>
          <w:color w:val="000000" w:themeColor="text1"/>
          <w14:textFill>
            <w14:solidFill>
              <w14:schemeClr w14:val="tx1"/>
            </w14:solidFill>
          </w14:textFill>
        </w:rPr>
        <w:t>工程内容：</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11" w:firstLineChars="196"/>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群体工程应附《承包人承揽工程项目一览表》（附件</w:t>
      </w:r>
      <w:r>
        <w:rPr>
          <w:color w:val="000000" w:themeColor="text1"/>
          <w14:textFill>
            <w14:solidFill>
              <w14:schemeClr w14:val="tx1"/>
            </w14:solidFill>
          </w14:textFill>
        </w:rPr>
        <w:t>1</w:t>
      </w:r>
      <w:r>
        <w:rPr>
          <w:rFonts w:hint="eastAsia" w:hAnsi="宋体" w:cs="宋体"/>
          <w:color w:val="000000" w:themeColor="text1"/>
          <w14:textFill>
            <w14:solidFill>
              <w14:schemeClr w14:val="tx1"/>
            </w14:solidFill>
          </w14:textFill>
        </w:rPr>
        <w:t>）。</w:t>
      </w:r>
    </w:p>
    <w:p>
      <w:pPr>
        <w:spacing w:line="360" w:lineRule="auto"/>
        <w:ind w:firstLine="411" w:firstLineChars="196"/>
        <w:rPr>
          <w:color w:val="000000" w:themeColor="text1"/>
          <w14:textFill>
            <w14:solidFill>
              <w14:schemeClr w14:val="tx1"/>
            </w14:solidFill>
          </w14:textFill>
        </w:rPr>
      </w:pPr>
      <w:r>
        <w:rPr>
          <w:color w:val="000000" w:themeColor="text1"/>
          <w14:textFill>
            <w14:solidFill>
              <w14:schemeClr w14:val="tx1"/>
            </w14:solidFill>
          </w14:textFill>
        </w:rPr>
        <w:t xml:space="preserve">6. </w:t>
      </w:r>
      <w:r>
        <w:rPr>
          <w:rFonts w:hint="eastAsia" w:hAnsi="宋体" w:cs="宋体"/>
          <w:color w:val="000000" w:themeColor="text1"/>
          <w14:textFill>
            <w14:solidFill>
              <w14:schemeClr w14:val="tx1"/>
            </w14:solidFill>
          </w14:textFill>
        </w:rPr>
        <w:t>工程承包范围：</w:t>
      </w:r>
    </w:p>
    <w:p>
      <w:pPr>
        <w:spacing w:line="360" w:lineRule="auto"/>
        <w:ind w:firstLine="405" w:firstLineChars="193"/>
        <w:rPr>
          <w:rFonts w:hAnsi="宋体"/>
          <w:color w:val="000000" w:themeColor="text1"/>
          <w14:textFill>
            <w14:solidFill>
              <w14:schemeClr w14:val="tx1"/>
            </w14:solidFill>
          </w14:textFill>
        </w:rPr>
      </w:pP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07" w:firstLineChars="193"/>
        <w:outlineLvl w:val="0"/>
        <w:rPr>
          <w:b/>
          <w:bCs/>
          <w:color w:val="000000" w:themeColor="text1"/>
          <w14:textFill>
            <w14:solidFill>
              <w14:schemeClr w14:val="tx1"/>
            </w14:solidFill>
          </w14:textFill>
        </w:rPr>
      </w:pPr>
      <w:bookmarkStart w:id="26" w:name="_Toc351203482"/>
      <w:r>
        <w:rPr>
          <w:rFonts w:hint="eastAsia" w:hAnsi="宋体" w:cs="宋体"/>
          <w:b/>
          <w:bCs/>
          <w:color w:val="000000" w:themeColor="text1"/>
          <w14:textFill>
            <w14:solidFill>
              <w14:schemeClr w14:val="tx1"/>
            </w14:solidFill>
          </w14:textFill>
        </w:rPr>
        <w:t>二、合同工期</w:t>
      </w:r>
      <w:bookmarkEnd w:id="26"/>
    </w:p>
    <w:p>
      <w:pPr>
        <w:spacing w:line="360" w:lineRule="auto"/>
        <w:ind w:firstLine="459"/>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计划开工日期：</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年</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月</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日。</w:t>
      </w:r>
      <w:r>
        <w:rPr>
          <w:rFonts w:hint="eastAsia" w:hAnsi="宋体" w:cs="宋体"/>
          <w:color w:val="000000" w:themeColor="text1"/>
          <w14:textFill>
            <w14:solidFill>
              <w14:schemeClr w14:val="tx1"/>
            </w14:solidFill>
          </w14:textFill>
        </w:rPr>
        <w:t>（具体以发包人书面通知为准）</w:t>
      </w:r>
    </w:p>
    <w:p>
      <w:pPr>
        <w:spacing w:line="360" w:lineRule="auto"/>
        <w:ind w:firstLine="459"/>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计划竣工日期：</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年</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月</w:t>
      </w:r>
      <w:r>
        <w:rPr>
          <w:rFonts w:hAnsi="宋体"/>
          <w:color w:val="000000" w:themeColor="text1"/>
          <w:u w:val="single"/>
          <w14:textFill>
            <w14:solidFill>
              <w14:schemeClr w14:val="tx1"/>
            </w14:solidFill>
          </w14:textFill>
        </w:rPr>
        <w:t></w:t>
      </w:r>
      <w:r>
        <w:rPr>
          <w:rFonts w:hAnsi="宋体"/>
          <w:color w:val="000000" w:themeColor="text1"/>
          <w14:textFill>
            <w14:solidFill>
              <w14:schemeClr w14:val="tx1"/>
            </w14:solidFill>
          </w14:textFill>
        </w:rPr>
        <w:t>日</w:t>
      </w:r>
      <w:r>
        <w:rPr>
          <w:rFonts w:hint="eastAsia" w:hAnsi="宋体" w:cs="宋体"/>
          <w:color w:val="000000" w:themeColor="text1"/>
          <w14:textFill>
            <w14:solidFill>
              <w14:schemeClr w14:val="tx1"/>
            </w14:solidFill>
          </w14:textFill>
        </w:rPr>
        <w:t>。</w:t>
      </w:r>
    </w:p>
    <w:p>
      <w:pPr>
        <w:spacing w:line="360" w:lineRule="auto"/>
        <w:ind w:firstLine="459"/>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工期总日历天数：</w:t>
      </w:r>
      <w:r>
        <w:rPr>
          <w:rFonts w:hint="eastAsia" w:hAnsi="宋体" w:cs="宋体"/>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天。工期总日历天数与根据前述计划开竣工日期计算的工期天数不一致的，以工期总日历天数为准。</w:t>
      </w:r>
    </w:p>
    <w:p>
      <w:pPr>
        <w:spacing w:line="360" w:lineRule="auto"/>
        <w:ind w:firstLine="459"/>
        <w:outlineLvl w:val="0"/>
        <w:rPr>
          <w:b/>
          <w:bCs/>
          <w:color w:val="000000" w:themeColor="text1"/>
          <w14:textFill>
            <w14:solidFill>
              <w14:schemeClr w14:val="tx1"/>
            </w14:solidFill>
          </w14:textFill>
        </w:rPr>
      </w:pPr>
      <w:bookmarkStart w:id="27" w:name="_Toc351203483"/>
      <w:r>
        <w:rPr>
          <w:rFonts w:hint="eastAsia" w:hAnsi="宋体" w:cs="宋体"/>
          <w:b/>
          <w:bCs/>
          <w:color w:val="000000" w:themeColor="text1"/>
          <w14:textFill>
            <w14:solidFill>
              <w14:schemeClr w14:val="tx1"/>
            </w14:solidFill>
          </w14:textFill>
        </w:rPr>
        <w:t>三、质量标准</w:t>
      </w:r>
      <w:bookmarkEnd w:id="27"/>
    </w:p>
    <w:p>
      <w:pPr>
        <w:spacing w:line="360" w:lineRule="auto"/>
        <w:ind w:firstLine="459"/>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工程质量符合</w:t>
      </w:r>
      <w:r>
        <w:rPr>
          <w:rFonts w:eastAsia="仿宋_GB2312"/>
          <w:color w:val="000000" w:themeColor="text1"/>
          <w:u w:val="single"/>
          <w14:textFill>
            <w14:solidFill>
              <w14:schemeClr w14:val="tx1"/>
            </w14:solidFill>
          </w14:textFill>
        </w:rPr>
        <w:t></w:t>
      </w:r>
      <w:r>
        <w:rPr>
          <w:rFonts w:hint="eastAsia" w:eastAsia="仿宋_GB2312"/>
          <w:color w:val="000000" w:themeColor="text1"/>
          <w:u w:val="single"/>
          <w14:textFill>
            <w14:solidFill>
              <w14:schemeClr w14:val="tx1"/>
            </w14:solidFill>
          </w14:textFill>
        </w:rPr>
        <w:t xml:space="preserve">           </w:t>
      </w:r>
      <w:r>
        <w:rPr>
          <w:rFonts w:eastAsia="仿宋_GB2312"/>
          <w:color w:val="000000" w:themeColor="text1"/>
          <w:u w:val="single"/>
          <w14:textFill>
            <w14:solidFill>
              <w14:schemeClr w14:val="tx1"/>
            </w14:solidFill>
          </w14:textFill>
        </w:rPr>
        <w:t></w:t>
      </w:r>
      <w:r>
        <w:rPr>
          <w:rFonts w:hint="eastAsia" w:hAnsi="宋体" w:cs="宋体"/>
          <w:color w:val="000000" w:themeColor="text1"/>
          <w14:textFill>
            <w14:solidFill>
              <w14:schemeClr w14:val="tx1"/>
            </w14:solidFill>
          </w14:textFill>
        </w:rPr>
        <w:t>标准。</w:t>
      </w:r>
    </w:p>
    <w:p>
      <w:pPr>
        <w:spacing w:line="360" w:lineRule="auto"/>
        <w:ind w:firstLine="459"/>
        <w:outlineLvl w:val="0"/>
        <w:rPr>
          <w:rFonts w:hAnsi="宋体"/>
          <w:b/>
          <w:bCs/>
          <w:color w:val="000000" w:themeColor="text1"/>
          <w14:textFill>
            <w14:solidFill>
              <w14:schemeClr w14:val="tx1"/>
            </w14:solidFill>
          </w14:textFill>
        </w:rPr>
      </w:pPr>
      <w:bookmarkStart w:id="28" w:name="_Toc351203484"/>
      <w:r>
        <w:rPr>
          <w:rFonts w:hint="eastAsia" w:hAnsi="宋体" w:cs="宋体"/>
          <w:b/>
          <w:bCs/>
          <w:color w:val="000000" w:themeColor="text1"/>
          <w14:textFill>
            <w14:solidFill>
              <w14:schemeClr w14:val="tx1"/>
            </w14:solidFill>
          </w14:textFill>
        </w:rPr>
        <w:t>四、签约合同价与合同价格形式</w:t>
      </w:r>
      <w:bookmarkEnd w:id="28"/>
    </w:p>
    <w:p>
      <w:pPr>
        <w:spacing w:line="360" w:lineRule="auto"/>
        <w:ind w:firstLine="459"/>
        <w:rPr>
          <w:color w:val="000000" w:themeColor="text1"/>
          <w14:textFill>
            <w14:solidFill>
              <w14:schemeClr w14:val="tx1"/>
            </w14:solidFill>
          </w14:textFill>
        </w:rPr>
      </w:pPr>
      <w:r>
        <w:rPr>
          <w:color w:val="000000" w:themeColor="text1"/>
          <w14:textFill>
            <w14:solidFill>
              <w14:schemeClr w14:val="tx1"/>
            </w14:solidFill>
          </w14:textFill>
        </w:rPr>
        <w:t xml:space="preserve">1. </w:t>
      </w:r>
      <w:r>
        <w:rPr>
          <w:rFonts w:hint="eastAsia" w:hAnsi="宋体" w:cs="宋体"/>
          <w:color w:val="000000" w:themeColor="text1"/>
          <w14:textFill>
            <w14:solidFill>
              <w14:schemeClr w14:val="tx1"/>
            </w14:solidFill>
          </w14:textFill>
        </w:rPr>
        <w:t>签约合同价为：</w:t>
      </w:r>
    </w:p>
    <w:p>
      <w:pPr>
        <w:spacing w:line="360" w:lineRule="auto"/>
        <w:ind w:firstLine="525" w:firstLineChars="25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人民币（大写）</w:t>
      </w:r>
      <w:r>
        <w:rPr>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元</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w:t>
      </w:r>
    </w:p>
    <w:p>
      <w:pPr>
        <w:spacing w:line="360" w:lineRule="auto"/>
        <w:ind w:firstLine="525" w:firstLineChars="25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其中：</w:t>
      </w:r>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rFonts w:hAnsi="宋体"/>
          <w:color w:val="000000" w:themeColor="text1"/>
          <w14:textFill>
            <w14:solidFill>
              <w14:schemeClr w14:val="tx1"/>
            </w14:solidFill>
          </w14:textFill>
        </w:rPr>
        <w:t>1</w:t>
      </w:r>
      <w:r>
        <w:rPr>
          <w:rFonts w:hint="eastAsia" w:hAnsi="宋体" w:cs="宋体"/>
          <w:color w:val="000000" w:themeColor="text1"/>
          <w14:textFill>
            <w14:solidFill>
              <w14:schemeClr w14:val="tx1"/>
            </w14:solidFill>
          </w14:textFill>
        </w:rPr>
        <w:t>）安全文明施工费：</w:t>
      </w:r>
    </w:p>
    <w:p>
      <w:pPr>
        <w:spacing w:line="360" w:lineRule="auto"/>
        <w:ind w:left="420" w:leftChars="200" w:firstLine="525" w:firstLineChars="25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人民币（大写）</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元</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w:t>
      </w:r>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hAnsi="宋体" w:cs="宋体"/>
          <w:color w:val="000000" w:themeColor="text1"/>
          <w14:textFill>
            <w14:solidFill>
              <w14:schemeClr w14:val="tx1"/>
            </w14:solidFill>
          </w14:textFill>
        </w:rPr>
        <w:t>）材料和工程设备暂估价金额：</w:t>
      </w:r>
    </w:p>
    <w:p>
      <w:pPr>
        <w:spacing w:line="360" w:lineRule="auto"/>
        <w:ind w:firstLine="945" w:firstLineChars="45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人民币（大写）</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元</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w:t>
      </w:r>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hAnsi="宋体" w:cs="宋体"/>
          <w:color w:val="000000" w:themeColor="text1"/>
          <w14:textFill>
            <w14:solidFill>
              <w14:schemeClr w14:val="tx1"/>
            </w14:solidFill>
          </w14:textFill>
        </w:rPr>
        <w:t>）专业工程暂估价金额：</w:t>
      </w:r>
    </w:p>
    <w:p>
      <w:pPr>
        <w:spacing w:line="360" w:lineRule="auto"/>
        <w:ind w:firstLine="945" w:firstLineChars="45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人民币（大写）</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元</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w:t>
      </w:r>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hAnsi="宋体" w:cs="宋体"/>
          <w:color w:val="000000" w:themeColor="text1"/>
          <w14:textFill>
            <w14:solidFill>
              <w14:schemeClr w14:val="tx1"/>
            </w14:solidFill>
          </w14:textFill>
        </w:rPr>
        <w:t>）暂列金额：</w:t>
      </w:r>
    </w:p>
    <w:p>
      <w:pPr>
        <w:spacing w:line="360" w:lineRule="auto"/>
        <w:ind w:firstLine="945" w:firstLineChars="45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人民币（大写）</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元</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w:t>
      </w:r>
    </w:p>
    <w:p>
      <w:pPr>
        <w:spacing w:line="360" w:lineRule="auto"/>
        <w:ind w:firstLine="420" w:firstLineChars="200"/>
        <w:rPr>
          <w:rFonts w:hAnsi="宋体"/>
          <w:color w:val="000000" w:themeColor="text1"/>
          <w14:textFill>
            <w14:solidFill>
              <w14:schemeClr w14:val="tx1"/>
            </w14:solidFill>
          </w14:textFill>
        </w:rPr>
      </w:pPr>
      <w:r>
        <w:rPr>
          <w:color w:val="000000" w:themeColor="text1"/>
          <w14:textFill>
            <w14:solidFill>
              <w14:schemeClr w14:val="tx1"/>
            </w14:solidFill>
          </w14:textFill>
        </w:rPr>
        <w:t xml:space="preserve">2. </w:t>
      </w:r>
      <w:r>
        <w:rPr>
          <w:rFonts w:hint="eastAsia" w:hAnsi="宋体" w:cs="宋体"/>
          <w:color w:val="000000" w:themeColor="text1"/>
          <w14:textFill>
            <w14:solidFill>
              <w14:schemeClr w14:val="tx1"/>
            </w14:solidFill>
          </w14:textFill>
        </w:rPr>
        <w:t>合同价格形式：</w:t>
      </w:r>
      <w:r>
        <w:rPr>
          <w:color w:val="000000" w:themeColor="text1"/>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22" w:firstLineChars="200"/>
        <w:outlineLvl w:val="0"/>
        <w:rPr>
          <w:b/>
          <w:bCs/>
          <w:color w:val="000000" w:themeColor="text1"/>
          <w14:textFill>
            <w14:solidFill>
              <w14:schemeClr w14:val="tx1"/>
            </w14:solidFill>
          </w14:textFill>
        </w:rPr>
      </w:pPr>
      <w:bookmarkStart w:id="29" w:name="_Toc351203485"/>
      <w:r>
        <w:rPr>
          <w:rFonts w:hint="eastAsia" w:hAnsi="宋体" w:cs="宋体"/>
          <w:b/>
          <w:bCs/>
          <w:color w:val="000000" w:themeColor="text1"/>
          <w14:textFill>
            <w14:solidFill>
              <w14:schemeClr w14:val="tx1"/>
            </w14:solidFill>
          </w14:textFill>
        </w:rPr>
        <w:t>五、</w:t>
      </w:r>
      <w:bookmarkEnd w:id="29"/>
      <w:r>
        <w:rPr>
          <w:rFonts w:hint="eastAsia" w:hAnsi="宋体" w:cs="宋体"/>
          <w:b/>
          <w:bCs/>
          <w:color w:val="000000" w:themeColor="text1"/>
          <w14:textFill>
            <w14:solidFill>
              <w14:schemeClr w14:val="tx1"/>
            </w14:solidFill>
          </w14:textFill>
        </w:rPr>
        <w:t>项目经理</w:t>
      </w:r>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承包人项目经理：</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w:t>
      </w:r>
    </w:p>
    <w:p>
      <w:pPr>
        <w:spacing w:line="360" w:lineRule="auto"/>
        <w:ind w:firstLine="422" w:firstLineChars="200"/>
        <w:outlineLvl w:val="0"/>
        <w:rPr>
          <w:b/>
          <w:bCs/>
          <w:color w:val="000000" w:themeColor="text1"/>
          <w14:textFill>
            <w14:solidFill>
              <w14:schemeClr w14:val="tx1"/>
            </w14:solidFill>
          </w14:textFill>
        </w:rPr>
      </w:pPr>
      <w:bookmarkStart w:id="30" w:name="_Toc351203486"/>
      <w:r>
        <w:rPr>
          <w:rFonts w:hint="eastAsia" w:hAnsi="宋体" w:cs="宋体"/>
          <w:b/>
          <w:bCs/>
          <w:color w:val="000000" w:themeColor="text1"/>
          <w14:textFill>
            <w14:solidFill>
              <w14:schemeClr w14:val="tx1"/>
            </w14:solidFill>
          </w14:textFill>
        </w:rPr>
        <w:t>六、合同文件构成</w:t>
      </w:r>
      <w:bookmarkEnd w:id="30"/>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本协议书与下列文件一起构成合同文件：</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hAnsi="宋体" w:cs="宋体"/>
          <w:color w:val="000000" w:themeColor="text1"/>
          <w14:textFill>
            <w14:solidFill>
              <w14:schemeClr w14:val="tx1"/>
            </w14:solidFill>
          </w14:textFill>
        </w:rPr>
        <w:t>）中标通知书（如有）；</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hAnsi="宋体" w:cs="宋体"/>
          <w:color w:val="000000" w:themeColor="text1"/>
          <w14:textFill>
            <w14:solidFill>
              <w14:schemeClr w14:val="tx1"/>
            </w14:solidFill>
          </w14:textFill>
        </w:rPr>
        <w:t>）投标函及其附录（如有）；</w:t>
      </w:r>
      <w:r>
        <w:rPr>
          <w:color w:val="000000" w:themeColor="text1"/>
          <w14:textFill>
            <w14:solidFill>
              <w14:schemeClr w14:val="tx1"/>
            </w14:solidFill>
          </w14:textFill>
        </w:rPr>
        <w:t xml:space="preserve"> </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hAnsi="宋体" w:cs="宋体"/>
          <w:color w:val="000000" w:themeColor="text1"/>
          <w14:textFill>
            <w14:solidFill>
              <w14:schemeClr w14:val="tx1"/>
            </w14:solidFill>
          </w14:textFill>
        </w:rPr>
        <w:t>）专用合同条款及其附件；</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hAnsi="宋体" w:cs="宋体"/>
          <w:color w:val="000000" w:themeColor="text1"/>
          <w14:textFill>
            <w14:solidFill>
              <w14:schemeClr w14:val="tx1"/>
            </w14:solidFill>
          </w14:textFill>
        </w:rPr>
        <w:t>）通用合同条款；</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hAnsi="宋体" w:cs="宋体"/>
          <w:color w:val="000000" w:themeColor="text1"/>
          <w14:textFill>
            <w14:solidFill>
              <w14:schemeClr w14:val="tx1"/>
            </w14:solidFill>
          </w14:textFill>
        </w:rPr>
        <w:t>）技术标准和要求；</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6</w:t>
      </w:r>
      <w:r>
        <w:rPr>
          <w:rFonts w:hint="eastAsia" w:hAnsi="宋体" w:cs="宋体"/>
          <w:color w:val="000000" w:themeColor="text1"/>
          <w14:textFill>
            <w14:solidFill>
              <w14:schemeClr w14:val="tx1"/>
            </w14:solidFill>
          </w14:textFill>
        </w:rPr>
        <w:t>）已标价工程量清单或预算书；</w:t>
      </w:r>
      <w:r>
        <w:rPr>
          <w:color w:val="000000" w:themeColor="text1"/>
          <w14:textFill>
            <w14:solidFill>
              <w14:schemeClr w14:val="tx1"/>
            </w14:solidFill>
          </w14:textFill>
        </w:rPr>
        <w:t xml:space="preserve"> </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7</w:t>
      </w:r>
      <w:r>
        <w:rPr>
          <w:rFonts w:hint="eastAsia" w:hAnsi="宋体" w:cs="宋体"/>
          <w:color w:val="000000" w:themeColor="text1"/>
          <w14:textFill>
            <w14:solidFill>
              <w14:schemeClr w14:val="tx1"/>
            </w14:solidFill>
          </w14:textFill>
        </w:rPr>
        <w:t>）图纸；</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w:t>
      </w:r>
      <w:r>
        <w:rPr>
          <w:color w:val="000000" w:themeColor="text1"/>
          <w14:textFill>
            <w14:solidFill>
              <w14:schemeClr w14:val="tx1"/>
            </w14:solidFill>
          </w14:textFill>
        </w:rPr>
        <w:t>8</w:t>
      </w:r>
      <w:r>
        <w:rPr>
          <w:rFonts w:hint="eastAsia" w:hAnsi="宋体" w:cs="宋体"/>
          <w:color w:val="000000" w:themeColor="text1"/>
          <w14:textFill>
            <w14:solidFill>
              <w14:schemeClr w14:val="tx1"/>
            </w14:solidFill>
          </w14:textFill>
        </w:rPr>
        <w:t>）其他合同文件：</w:t>
      </w:r>
    </w:p>
    <w:p>
      <w:pPr>
        <w:autoSpaceDE w:val="0"/>
        <w:autoSpaceDN w:val="0"/>
        <w:adjustRightInd w:val="0"/>
        <w:spacing w:line="360" w:lineRule="auto"/>
        <w:ind w:firstLine="420" w:firstLineChars="200"/>
        <w:jc w:val="left"/>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邀标文件及附件（含所有补充通知）；</w:t>
      </w:r>
    </w:p>
    <w:p>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pPr>
        <w:autoSpaceDE w:val="0"/>
        <w:autoSpaceDN w:val="0"/>
        <w:adjustRightInd w:val="0"/>
        <w:spacing w:line="360" w:lineRule="auto"/>
        <w:ind w:firstLine="422" w:firstLineChars="200"/>
        <w:jc w:val="left"/>
        <w:outlineLvl w:val="0"/>
        <w:rPr>
          <w:b/>
          <w:bCs/>
          <w:color w:val="000000" w:themeColor="text1"/>
          <w14:textFill>
            <w14:solidFill>
              <w14:schemeClr w14:val="tx1"/>
            </w14:solidFill>
          </w14:textFill>
        </w:rPr>
      </w:pPr>
      <w:bookmarkStart w:id="31" w:name="_Toc351203487"/>
      <w:r>
        <w:rPr>
          <w:rFonts w:hint="eastAsia" w:hAnsi="宋体" w:cs="宋体"/>
          <w:b/>
          <w:bCs/>
          <w:color w:val="000000" w:themeColor="text1"/>
          <w14:textFill>
            <w14:solidFill>
              <w14:schemeClr w14:val="tx1"/>
            </w14:solidFill>
          </w14:textFill>
        </w:rPr>
        <w:t>七、承诺</w:t>
      </w:r>
      <w:bookmarkEnd w:id="31"/>
    </w:p>
    <w:p>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 </w:t>
      </w:r>
      <w:r>
        <w:rPr>
          <w:rFonts w:hint="eastAsia" w:hAnsi="宋体" w:cs="宋体"/>
          <w:color w:val="000000" w:themeColor="text1"/>
          <w14:textFill>
            <w14:solidFill>
              <w14:schemeClr w14:val="tx1"/>
            </w14:solidFill>
          </w14:textFill>
        </w:rPr>
        <w:t>发包人承诺按照法律规定履行项目审批手续、筹集工程建设资金并按照合同约定的期限和方式支付合同价款。</w:t>
      </w:r>
    </w:p>
    <w:p>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2. </w:t>
      </w:r>
      <w:r>
        <w:rPr>
          <w:rFonts w:hint="eastAsia" w:hAnsi="宋体" w:cs="宋体"/>
          <w:color w:val="000000" w:themeColor="text1"/>
          <w14:textFill>
            <w14:solidFill>
              <w14:schemeClr w14:val="tx1"/>
            </w14:solidFill>
          </w14:textFill>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hAnsi="宋体"/>
          <w:color w:val="000000" w:themeColor="text1"/>
          <w14:textFill>
            <w14:solidFill>
              <w14:schemeClr w14:val="tx1"/>
            </w14:solidFill>
          </w14:textFill>
        </w:rPr>
      </w:pPr>
      <w:r>
        <w:rPr>
          <w:color w:val="000000" w:themeColor="text1"/>
          <w14:textFill>
            <w14:solidFill>
              <w14:schemeClr w14:val="tx1"/>
            </w14:solidFill>
          </w14:textFill>
        </w:rPr>
        <w:t xml:space="preserve">3. </w:t>
      </w:r>
      <w:r>
        <w:rPr>
          <w:rFonts w:hint="eastAsia" w:hAnsi="宋体" w:cs="宋体"/>
          <w:color w:val="000000" w:themeColor="text1"/>
          <w14:textFill>
            <w14:solidFill>
              <w14:schemeClr w14:val="tx1"/>
            </w14:solidFill>
          </w14:textFill>
        </w:rPr>
        <w:t>发包人和承包人通过邀投标形式签订合同的，双方理解并承诺不再就同一工程另行签订与合同实质性内容相背离的协议。</w:t>
      </w:r>
      <w:bookmarkStart w:id="32" w:name="_Toc351203488"/>
    </w:p>
    <w:p>
      <w:pPr>
        <w:spacing w:line="360" w:lineRule="auto"/>
        <w:ind w:firstLine="422" w:firstLineChars="200"/>
        <w:outlineLvl w:val="0"/>
        <w:rPr>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八、词语含义</w:t>
      </w:r>
      <w:bookmarkEnd w:id="32"/>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本协议书中词语含义与第二部分通用合同条款中赋予的含义相同。</w:t>
      </w:r>
    </w:p>
    <w:p>
      <w:pPr>
        <w:spacing w:line="360" w:lineRule="auto"/>
        <w:ind w:firstLine="422" w:firstLineChars="200"/>
        <w:outlineLvl w:val="0"/>
        <w:rPr>
          <w:b/>
          <w:bCs/>
          <w:color w:val="000000" w:themeColor="text1"/>
          <w14:textFill>
            <w14:solidFill>
              <w14:schemeClr w14:val="tx1"/>
            </w14:solidFill>
          </w14:textFill>
        </w:rPr>
      </w:pPr>
      <w:bookmarkStart w:id="33" w:name="_Toc351203489"/>
      <w:r>
        <w:rPr>
          <w:rFonts w:hint="eastAsia" w:hAnsi="宋体" w:cs="宋体"/>
          <w:b/>
          <w:bCs/>
          <w:color w:val="000000" w:themeColor="text1"/>
          <w14:textFill>
            <w14:solidFill>
              <w14:schemeClr w14:val="tx1"/>
            </w14:solidFill>
          </w14:textFill>
        </w:rPr>
        <w:t>九、签订时间</w:t>
      </w:r>
      <w:bookmarkEnd w:id="33"/>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本合同于</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日签订。</w:t>
      </w:r>
    </w:p>
    <w:p>
      <w:pPr>
        <w:spacing w:line="360" w:lineRule="auto"/>
        <w:ind w:firstLine="422" w:firstLineChars="200"/>
        <w:outlineLvl w:val="0"/>
        <w:rPr>
          <w:b/>
          <w:bCs/>
          <w:color w:val="000000" w:themeColor="text1"/>
          <w14:textFill>
            <w14:solidFill>
              <w14:schemeClr w14:val="tx1"/>
            </w14:solidFill>
          </w14:textFill>
        </w:rPr>
      </w:pPr>
      <w:bookmarkStart w:id="34" w:name="_Toc351203490"/>
      <w:r>
        <w:rPr>
          <w:rFonts w:hint="eastAsia" w:hAnsi="宋体" w:cs="宋体"/>
          <w:b/>
          <w:bCs/>
          <w:color w:val="000000" w:themeColor="text1"/>
          <w14:textFill>
            <w14:solidFill>
              <w14:schemeClr w14:val="tx1"/>
            </w14:solidFill>
          </w14:textFill>
        </w:rPr>
        <w:t>十、签订地点</w:t>
      </w:r>
      <w:bookmarkEnd w:id="34"/>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本合同在</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签订。</w:t>
      </w:r>
    </w:p>
    <w:p>
      <w:pPr>
        <w:spacing w:line="360" w:lineRule="auto"/>
        <w:ind w:firstLine="422" w:firstLineChars="200"/>
        <w:outlineLvl w:val="0"/>
        <w:rPr>
          <w:b/>
          <w:bCs/>
          <w:color w:val="000000" w:themeColor="text1"/>
          <w14:textFill>
            <w14:solidFill>
              <w14:schemeClr w14:val="tx1"/>
            </w14:solidFill>
          </w14:textFill>
        </w:rPr>
      </w:pPr>
      <w:bookmarkStart w:id="35" w:name="_Toc351203491"/>
      <w:r>
        <w:rPr>
          <w:rFonts w:hint="eastAsia" w:hAnsi="宋体" w:cs="宋体"/>
          <w:b/>
          <w:bCs/>
          <w:color w:val="000000" w:themeColor="text1"/>
          <w14:textFill>
            <w14:solidFill>
              <w14:schemeClr w14:val="tx1"/>
            </w14:solidFill>
          </w14:textFill>
        </w:rPr>
        <w:t>十一、补充协议</w:t>
      </w:r>
      <w:bookmarkEnd w:id="35"/>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合同未尽事宜，合同当事人另行签订补充协议，补充协议是合同的组成部分。</w:t>
      </w:r>
    </w:p>
    <w:p>
      <w:pPr>
        <w:spacing w:line="360" w:lineRule="auto"/>
        <w:ind w:firstLine="422" w:firstLineChars="200"/>
        <w:outlineLvl w:val="0"/>
        <w:rPr>
          <w:b/>
          <w:bCs/>
          <w:color w:val="000000" w:themeColor="text1"/>
          <w14:textFill>
            <w14:solidFill>
              <w14:schemeClr w14:val="tx1"/>
            </w14:solidFill>
          </w14:textFill>
        </w:rPr>
      </w:pPr>
      <w:bookmarkStart w:id="36" w:name="_Toc351203492"/>
      <w:r>
        <w:rPr>
          <w:rFonts w:hint="eastAsia" w:hAnsi="宋体" w:cs="宋体"/>
          <w:b/>
          <w:bCs/>
          <w:color w:val="000000" w:themeColor="text1"/>
          <w14:textFill>
            <w14:solidFill>
              <w14:schemeClr w14:val="tx1"/>
            </w14:solidFill>
          </w14:textFill>
        </w:rPr>
        <w:t>十二、合同生效</w:t>
      </w:r>
      <w:bookmarkEnd w:id="36"/>
    </w:p>
    <w:p>
      <w:pPr>
        <w:spacing w:line="360" w:lineRule="auto"/>
        <w:ind w:firstLine="420" w:firstLineChars="200"/>
        <w:rPr>
          <w:rFonts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本合同自</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生效。</w:t>
      </w:r>
    </w:p>
    <w:p>
      <w:pPr>
        <w:spacing w:line="360" w:lineRule="auto"/>
        <w:ind w:firstLine="422" w:firstLineChars="200"/>
        <w:outlineLvl w:val="0"/>
        <w:rPr>
          <w:b/>
          <w:bCs/>
          <w:color w:val="000000" w:themeColor="text1"/>
          <w14:textFill>
            <w14:solidFill>
              <w14:schemeClr w14:val="tx1"/>
            </w14:solidFill>
          </w14:textFill>
        </w:rPr>
      </w:pPr>
      <w:bookmarkStart w:id="37" w:name="_Toc351203493"/>
      <w:r>
        <w:rPr>
          <w:rFonts w:hint="eastAsia" w:hAnsi="宋体" w:cs="宋体"/>
          <w:b/>
          <w:bCs/>
          <w:color w:val="000000" w:themeColor="text1"/>
          <w14:textFill>
            <w14:solidFill>
              <w14:schemeClr w14:val="tx1"/>
            </w14:solidFill>
          </w14:textFill>
        </w:rPr>
        <w:t>十三、合同份数</w:t>
      </w:r>
      <w:bookmarkEnd w:id="37"/>
    </w:p>
    <w:p>
      <w:pPr>
        <w:spacing w:line="360" w:lineRule="auto"/>
        <w:ind w:firstLine="420" w:firstLineChars="200"/>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本合同一式</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份，均具有同等法律效力，发包人执</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份，承包人执</w:t>
      </w:r>
      <w:r>
        <w:rPr>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份。</w:t>
      </w:r>
    </w:p>
    <w:p>
      <w:pPr>
        <w:spacing w:line="360" w:lineRule="auto"/>
        <w:rPr>
          <w:color w:val="000000" w:themeColor="text1"/>
          <w14:textFill>
            <w14:solidFill>
              <w14:schemeClr w14:val="tx1"/>
            </w14:solidFill>
          </w14:textFill>
        </w:rPr>
      </w:pPr>
    </w:p>
    <w:p>
      <w:pPr>
        <w:spacing w:line="360" w:lineRule="auto"/>
        <w:rPr>
          <w:color w:val="000000" w:themeColor="text1"/>
          <w14:textFill>
            <w14:solidFill>
              <w14:schemeClr w14:val="tx1"/>
            </w14:solidFill>
          </w14:textFill>
        </w:rPr>
      </w:pPr>
    </w:p>
    <w:p>
      <w:pPr>
        <w:spacing w:line="360" w:lineRule="auto"/>
        <w:rPr>
          <w:rFonts w:ascii="宋体" w:hAnsi="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发包人：</w:t>
      </w:r>
      <w:r>
        <w:rPr>
          <w:rFonts w:hint="eastAsia" w:ascii="宋体" w:hAnsi="宋体"/>
          <w:color w:val="000000" w:themeColor="text1"/>
          <w14:textFill>
            <w14:solidFill>
              <w14:schemeClr w14:val="tx1"/>
            </w14:solidFill>
          </w14:textFill>
        </w:rPr>
        <w:t xml:space="preserve">防城港市中医医院                      </w:t>
      </w:r>
      <w:r>
        <w:rPr>
          <w:rFonts w:hint="eastAsia" w:hAnsi="宋体" w:cs="宋体"/>
          <w:color w:val="000000" w:themeColor="text1"/>
          <w14:textFill>
            <w14:solidFill>
              <w14:schemeClr w14:val="tx1"/>
            </w14:solidFill>
          </w14:textFill>
        </w:rPr>
        <w:t>承包人：</w:t>
      </w:r>
      <w:r>
        <w:rPr>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公章</w:t>
      </w:r>
      <w:r>
        <w:rPr>
          <w:rFonts w:hint="eastAsia" w:cs="宋体"/>
          <w:color w:val="000000" w:themeColor="text1"/>
          <w14:textFill>
            <w14:solidFill>
              <w14:schemeClr w14:val="tx1"/>
            </w14:solidFill>
          </w14:textFill>
        </w:rPr>
        <w:t>）</w:t>
      </w:r>
    </w:p>
    <w:p>
      <w:pPr>
        <w:spacing w:line="360" w:lineRule="auto"/>
        <w:rPr>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r>
        <w:rPr>
          <w:rFonts w:hint="eastAsia" w:hAnsi="宋体" w:cs="宋体"/>
          <w:color w:val="000000" w:themeColor="text1"/>
          <w14:textFill>
            <w14:solidFill>
              <w14:schemeClr w14:val="tx1"/>
            </w14:solidFill>
          </w14:textFill>
        </w:rPr>
        <w:t>公章</w:t>
      </w:r>
      <w:r>
        <w:rPr>
          <w:rFonts w:hint="eastAsia" w:cs="宋体"/>
          <w:color w:val="000000" w:themeColor="text1"/>
          <w14:textFill>
            <w14:solidFill>
              <w14:schemeClr w14:val="tx1"/>
            </w14:solidFill>
          </w14:textFill>
        </w:rPr>
        <w:t>）</w:t>
      </w:r>
      <w:r>
        <w:rPr>
          <w:color w:val="000000" w:themeColor="text1"/>
          <w14:textFill>
            <w14:solidFill>
              <w14:schemeClr w14:val="tx1"/>
            </w14:solidFill>
          </w14:textFill>
        </w:rPr>
        <w:t xml:space="preserve">                              </w:t>
      </w:r>
    </w:p>
    <w:p>
      <w:pPr>
        <w:spacing w:line="360" w:lineRule="auto"/>
        <w:rPr>
          <w:color w:val="000000" w:themeColor="text1"/>
          <w:u w:val="single"/>
          <w14:textFill>
            <w14:solidFill>
              <w14:schemeClr w14:val="tx1"/>
            </w14:solidFill>
          </w14:textFill>
        </w:rPr>
      </w:pPr>
      <w:r>
        <w:rPr>
          <w:color w:val="000000" w:themeColor="text1"/>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法定代表人或其委托代理人：</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法定代表人或其委托代理人：</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（签字）</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（签字）</w:t>
      </w:r>
    </w:p>
    <w:p>
      <w:pPr>
        <w:spacing w:line="360" w:lineRule="auto"/>
        <w:rPr>
          <w:color w:val="000000" w:themeColor="text1"/>
          <w:u w:val="single"/>
          <w14:textFill>
            <w14:solidFill>
              <w14:schemeClr w14:val="tx1"/>
            </w14:solidFill>
          </w14:textFill>
        </w:rPr>
      </w:pPr>
    </w:p>
    <w:p>
      <w:pPr>
        <w:tabs>
          <w:tab w:val="left" w:pos="4410"/>
        </w:tabs>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统一社会信用代码：</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统一</w:t>
      </w:r>
      <w:r>
        <w:rPr>
          <w:rFonts w:hint="eastAsia" w:hAnsi="宋体" w:cs="宋体"/>
          <w:color w:val="000000" w:themeColor="text1"/>
          <w14:textFill>
            <w14:solidFill>
              <w14:schemeClr w14:val="tx1"/>
            </w14:solidFill>
          </w14:textFill>
        </w:rPr>
        <w:t>社会信用代码：</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p>
    <w:p>
      <w:pPr>
        <w:spacing w:line="360" w:lineRule="auto"/>
        <w:rPr>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地</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址：</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地</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址：</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邮政编码：</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邮政编码：</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法定代表人：</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法定代表人：</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委托代理人：</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委托代理人：</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电</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话：</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电</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话：</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传</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真：</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传</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真：</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电子信箱：</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电子信箱：</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开户银行：</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开户银行：</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rPr>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账</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号：</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账</w:t>
      </w:r>
      <w:r>
        <w:rPr>
          <w:color w:val="000000" w:themeColor="text1"/>
          <w14:textFill>
            <w14:solidFill>
              <w14:schemeClr w14:val="tx1"/>
            </w14:solidFill>
          </w14:textFill>
        </w:rPr>
        <w:t xml:space="preserve">  </w:t>
      </w:r>
      <w:r>
        <w:rPr>
          <w:rFonts w:hint="eastAsia" w:hAnsi="宋体" w:cs="宋体"/>
          <w:color w:val="000000" w:themeColor="text1"/>
          <w14:textFill>
            <w14:solidFill>
              <w14:schemeClr w14:val="tx1"/>
            </w14:solidFill>
          </w14:textFill>
        </w:rPr>
        <w:t>号：</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p>
    <w:p>
      <w:pPr>
        <w:widowControl/>
        <w:jc w:val="left"/>
        <w:rPr>
          <w:color w:val="000000" w:themeColor="text1"/>
          <w:u w:val="single"/>
          <w14:textFill>
            <w14:solidFill>
              <w14:schemeClr w14:val="tx1"/>
            </w14:solidFill>
          </w14:textFill>
        </w:rPr>
      </w:pPr>
      <w:r>
        <w:rPr>
          <w:color w:val="000000" w:themeColor="text1"/>
          <w14:textFill>
            <w14:solidFill>
              <w14:schemeClr w14:val="tx1"/>
            </w14:solidFill>
          </w14:textFill>
        </w:rPr>
        <w:br w:type="page"/>
      </w:r>
    </w:p>
    <w:p>
      <w:pPr>
        <w:jc w:val="center"/>
        <w:rPr>
          <w:rFonts w:hint="eastAsia" w:ascii="Times New Roman" w:hAnsi="Times New Roman" w:eastAsia="宋体" w:cs="Times New Roman"/>
          <w:b/>
          <w:sz w:val="32"/>
          <w:szCs w:val="32"/>
        </w:rPr>
      </w:pPr>
      <w:bookmarkStart w:id="38" w:name="_Toc351203494"/>
      <w:bookmarkStart w:id="39" w:name="_Toc351203652"/>
      <w:r>
        <w:rPr>
          <w:rFonts w:ascii="Times New Roman" w:hAnsi="Times New Roman" w:eastAsia="宋体" w:cs="Times New Roman"/>
          <w:b/>
          <w:sz w:val="32"/>
          <w:szCs w:val="32"/>
        </w:rPr>
        <w:t>第二部分 通用合同条款</w:t>
      </w:r>
      <w:bookmarkEnd w:id="38"/>
    </w:p>
    <w:p>
      <w:pPr>
        <w:spacing w:line="420" w:lineRule="exact"/>
        <w:ind w:firstLine="409" w:firstLineChars="195"/>
        <w:rPr>
          <w:rFonts w:ascii="宋体" w:hAnsi="宋体" w:eastAsia="宋体" w:cs="Times New Roman"/>
          <w:szCs w:val="21"/>
        </w:rPr>
      </w:pPr>
      <w:r>
        <w:rPr>
          <w:rFonts w:hint="eastAsia" w:ascii="宋体" w:hAnsi="宋体" w:eastAsia="宋体" w:cs="Times New Roman"/>
          <w:szCs w:val="21"/>
        </w:rPr>
        <w:t>本工程的施工合同通用条款按国家工商行政管理局和建设部颁布的现行最新通用条款执行。</w:t>
      </w:r>
    </w:p>
    <w:p>
      <w:pPr>
        <w:spacing w:line="340" w:lineRule="exact"/>
        <w:rPr>
          <w:rFonts w:hint="eastAsia" w:ascii="宋体" w:hAnsi="宋体" w:eastAsia="宋体" w:cs="Times New Roman"/>
          <w:b/>
          <w:szCs w:val="21"/>
        </w:rPr>
      </w:pPr>
    </w:p>
    <w:p>
      <w:pPr>
        <w:jc w:val="center"/>
        <w:rPr>
          <w:rFonts w:ascii="Times New Roman" w:hAnsi="Times New Roman" w:eastAsia="宋体" w:cs="Times New Roman"/>
          <w:b/>
          <w:sz w:val="32"/>
          <w:szCs w:val="32"/>
        </w:rPr>
      </w:pPr>
      <w:r>
        <w:rPr>
          <w:rFonts w:ascii="Times New Roman" w:hAnsi="Times New Roman" w:eastAsia="宋体" w:cs="Times New Roman"/>
          <w:b/>
          <w:sz w:val="32"/>
          <w:szCs w:val="32"/>
        </w:rPr>
        <w:t xml:space="preserve">第三部分 </w:t>
      </w:r>
      <w:r>
        <w:rPr>
          <w:rFonts w:hint="eastAsia" w:ascii="Times New Roman" w:hAnsi="Times New Roman" w:eastAsia="宋体" w:cs="Times New Roman"/>
          <w:b/>
          <w:sz w:val="32"/>
          <w:szCs w:val="32"/>
        </w:rPr>
        <w:t>专用合同条款</w:t>
      </w:r>
    </w:p>
    <w:p>
      <w:pPr>
        <w:spacing w:after="120" w:line="400" w:lineRule="exact"/>
        <w:rPr>
          <w:rFonts w:ascii="宋体" w:hAnsi="宋体" w:eastAsia="宋体" w:cs="Times New Roman"/>
          <w:b/>
          <w:szCs w:val="21"/>
        </w:rPr>
      </w:pPr>
      <w:bookmarkStart w:id="40" w:name="_Toc351203633"/>
      <w:r>
        <w:rPr>
          <w:rFonts w:ascii="宋体" w:hAnsi="宋体" w:eastAsia="宋体" w:cs="Times New Roman"/>
          <w:b/>
          <w:szCs w:val="21"/>
        </w:rPr>
        <w:t>1</w:t>
      </w:r>
      <w:bookmarkStart w:id="41" w:name="_Toc296944495"/>
      <w:bookmarkStart w:id="42" w:name="_Toc297048342"/>
      <w:bookmarkStart w:id="43" w:name="_Toc292559361"/>
      <w:bookmarkStart w:id="44" w:name="_Toc292559866"/>
      <w:bookmarkStart w:id="45" w:name="_Toc296346657"/>
      <w:bookmarkStart w:id="46" w:name="_Toc296347155"/>
      <w:bookmarkStart w:id="47" w:name="_Toc296890984"/>
      <w:bookmarkStart w:id="48" w:name="_Toc296891196"/>
      <w:bookmarkStart w:id="49" w:name="_Toc297120456"/>
      <w:bookmarkStart w:id="50" w:name="_Toc296503156"/>
      <w:r>
        <w:rPr>
          <w:rFonts w:ascii="宋体" w:hAnsi="宋体" w:eastAsia="宋体" w:cs="Times New Roman"/>
          <w:b/>
          <w:szCs w:val="21"/>
        </w:rPr>
        <w:t>. 一般约定</w:t>
      </w:r>
      <w:bookmarkEnd w:id="40"/>
    </w:p>
    <w:bookmarkEnd w:id="41"/>
    <w:bookmarkEnd w:id="42"/>
    <w:bookmarkEnd w:id="43"/>
    <w:bookmarkEnd w:id="44"/>
    <w:bookmarkEnd w:id="45"/>
    <w:bookmarkEnd w:id="46"/>
    <w:bookmarkEnd w:id="47"/>
    <w:bookmarkEnd w:id="48"/>
    <w:bookmarkEnd w:id="49"/>
    <w:bookmarkEnd w:id="50"/>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1.1 词语定义</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1.1.1合同</w:t>
      </w:r>
    </w:p>
    <w:p>
      <w:pPr>
        <w:spacing w:line="400" w:lineRule="exact"/>
        <w:ind w:left="1155" w:leftChars="200" w:hanging="735" w:hangingChars="350"/>
        <w:rPr>
          <w:rFonts w:ascii="宋体" w:hAnsi="宋体" w:eastAsia="宋体" w:cs="Times New Roman"/>
          <w:szCs w:val="21"/>
        </w:rPr>
      </w:pPr>
      <w:r>
        <w:rPr>
          <w:rFonts w:ascii="宋体" w:hAnsi="宋体" w:eastAsia="宋体" w:cs="Times New Roman"/>
          <w:szCs w:val="21"/>
        </w:rPr>
        <w:t>1.1.1.10其他合同文件包括：</w:t>
      </w:r>
      <w:r>
        <w:rPr>
          <w:rFonts w:hint="eastAsia" w:ascii="宋体" w:hAnsi="宋体" w:eastAsia="宋体" w:cs="Times New Roman"/>
          <w:szCs w:val="21"/>
          <w:u w:val="single"/>
        </w:rPr>
        <w:t>合同履行中发包人和承包人有关工程的洽商、变更等书面协议或文件</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1.1.2 合同当事人及其他相关方</w:t>
      </w:r>
    </w:p>
    <w:p>
      <w:pPr>
        <w:spacing w:line="400" w:lineRule="exact"/>
        <w:ind w:firstLine="420" w:firstLineChars="200"/>
        <w:rPr>
          <w:rFonts w:hint="eastAsia" w:ascii="宋体" w:hAnsi="宋体" w:eastAsia="宋体" w:cs="Times New Roman"/>
          <w:szCs w:val="21"/>
          <w:u w:val="single"/>
        </w:rPr>
      </w:pPr>
      <w:r>
        <w:rPr>
          <w:rFonts w:ascii="宋体" w:hAnsi="宋体" w:eastAsia="宋体" w:cs="Times New Roman"/>
          <w:szCs w:val="21"/>
        </w:rPr>
        <w:t>1.1.2.4监理人：</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名    称：</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资质类别和等级：</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联系电话：</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电子信箱：</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通信地址：</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1.1.2.5 设计人：</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名    称：</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资质类别和等级：</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联系电话：</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电子信箱：</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通信地址：</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1.1.3 工程和设备</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1.1.3.7 作为施工现场组成部分的其他场所包括：</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1.1.3.9 永久占地包括：</w:t>
      </w:r>
      <w:r>
        <w:rPr>
          <w:rFonts w:ascii="宋体" w:hAnsi="宋体" w:eastAsia="宋体" w:cs="Times New Roman"/>
          <w:szCs w:val="21"/>
          <w:u w:val="single"/>
        </w:rPr>
        <w:t xml:space="preserve"> </w:t>
      </w:r>
      <w:r>
        <w:rPr>
          <w:rFonts w:hint="eastAsia" w:ascii="宋体" w:hAnsi="宋体" w:eastAsia="宋体" w:cs="Times New Roman"/>
          <w:szCs w:val="21"/>
          <w:u w:val="single"/>
        </w:rPr>
        <w:t>实施工程需永久占用的土地</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1.1.3.10 临时占地包括：</w:t>
      </w:r>
      <w:r>
        <w:rPr>
          <w:rFonts w:ascii="宋体" w:hAnsi="宋体" w:eastAsia="宋体" w:cs="Times New Roman"/>
          <w:szCs w:val="21"/>
          <w:u w:val="single"/>
        </w:rPr>
        <w:t xml:space="preserve"> </w:t>
      </w:r>
      <w:r>
        <w:rPr>
          <w:rFonts w:hint="eastAsia" w:ascii="宋体" w:hAnsi="宋体" w:eastAsia="宋体" w:cs="Times New Roman"/>
          <w:szCs w:val="21"/>
          <w:u w:val="single"/>
        </w:rPr>
        <w:t>实施工程需要临时占用的土地</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 xml:space="preserve">1.3法律 </w:t>
      </w:r>
    </w:p>
    <w:p>
      <w:pPr>
        <w:autoSpaceDE w:val="0"/>
        <w:autoSpaceDN w:val="0"/>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适用于合同的其他规范性文件：</w:t>
      </w:r>
      <w:r>
        <w:rPr>
          <w:rFonts w:hint="eastAsia" w:ascii="Times New Roman" w:hAnsi="宋体" w:eastAsia="宋体" w:cs="Times New Roman"/>
          <w:szCs w:val="21"/>
          <w:u w:val="single"/>
        </w:rPr>
        <w:t>现行的国家法律和行政法规，工程所在地政府的有关法规和规章</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1.4 标准和规范</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1.4.1适用于工程的标准规范包括：</w:t>
      </w:r>
      <w:r>
        <w:rPr>
          <w:rFonts w:hint="eastAsia" w:ascii="宋体" w:hAnsi="宋体" w:eastAsia="宋体" w:cs="Times New Roman"/>
          <w:szCs w:val="21"/>
          <w:u w:val="single"/>
        </w:rPr>
        <w:t>现行的国家标准、规范及行业标准、规范等</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1.4.2 发包人提供国外标准、规范的名称：</w:t>
      </w:r>
      <w:r>
        <w:rPr>
          <w:rFonts w:ascii="宋体" w:hAnsi="宋体" w:eastAsia="宋体" w:cs="Times New Roman"/>
          <w:szCs w:val="21"/>
          <w:u w:val="single"/>
        </w:rPr>
        <w:t xml:space="preserve">  </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发包人提供国外标准、规范的份数：</w:t>
      </w:r>
      <w:r>
        <w:rPr>
          <w:rFonts w:ascii="宋体" w:hAnsi="宋体" w:eastAsia="宋体" w:cs="Times New Roman"/>
          <w:szCs w:val="21"/>
          <w:u w:val="single"/>
        </w:rPr>
        <w:t xml:space="preserve">  </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发包人提供国外标准、规范的名称：</w:t>
      </w:r>
      <w:r>
        <w:rPr>
          <w:rFonts w:ascii="宋体" w:hAnsi="宋体" w:eastAsia="宋体" w:cs="Times New Roman"/>
          <w:szCs w:val="21"/>
          <w:u w:val="single"/>
        </w:rPr>
        <w:t xml:space="preserve">  </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1.4.3发包人对工程的技术标准和功能要求的特殊要求：</w:t>
      </w:r>
      <w:r>
        <w:rPr>
          <w:rFonts w:hint="eastAsia" w:ascii="宋体" w:hAnsi="宋体" w:eastAsia="宋体" w:cs="Times New Roman"/>
          <w:szCs w:val="21"/>
          <w:u w:val="single"/>
        </w:rPr>
        <w:t>待定</w:t>
      </w:r>
      <w:r>
        <w:rPr>
          <w:rFonts w:ascii="宋体" w:hAnsi="宋体" w:eastAsia="宋体" w:cs="Times New Roman"/>
          <w:szCs w:val="21"/>
        </w:rPr>
        <w:t>。</w:t>
      </w:r>
    </w:p>
    <w:p>
      <w:pPr>
        <w:spacing w:after="120" w:line="400" w:lineRule="exact"/>
        <w:ind w:firstLine="420" w:firstLineChars="200"/>
        <w:rPr>
          <w:rFonts w:hint="eastAsia" w:ascii="宋体" w:hAnsi="宋体" w:eastAsia="宋体" w:cs="Times New Roman"/>
          <w:szCs w:val="24"/>
          <w:u w:val="single"/>
        </w:rPr>
      </w:pPr>
      <w:r>
        <w:rPr>
          <w:rFonts w:ascii="宋体" w:hAnsi="宋体" w:eastAsia="宋体" w:cs="Times New Roman"/>
          <w:szCs w:val="24"/>
        </w:rPr>
        <w:t>1.5 合同文件的优先顺序</w:t>
      </w:r>
      <w:r>
        <w:rPr>
          <w:rFonts w:hint="eastAsia" w:ascii="宋体" w:hAnsi="宋体" w:eastAsia="宋体" w:cs="Times New Roman"/>
          <w:szCs w:val="24"/>
          <w:u w:val="single"/>
        </w:rPr>
        <w:t>：（1）合同协议书；（2）中标通知书；（3）投标函及其附录；（4）专用合同条款及其附件；（5）通用合同条款；（6）技术标准和要求；（7）图纸；（8）已标价工程量清单；（9）其他合同文件。</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1.6 图纸和承包人文件</w:t>
      </w:r>
      <w:r>
        <w:rPr>
          <w:rFonts w:ascii="宋体" w:hAnsi="宋体" w:eastAsia="宋体" w:cs="Times New Roman"/>
          <w:szCs w:val="21"/>
        </w:rPr>
        <w:tab/>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1.6.1 图纸的提供</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发包人向承包人提供图纸的期限：</w:t>
      </w:r>
      <w:r>
        <w:rPr>
          <w:rFonts w:hint="eastAsia" w:ascii="宋体" w:hAnsi="宋体" w:eastAsia="宋体" w:cs="Times New Roman"/>
          <w:szCs w:val="21"/>
          <w:u w:val="single"/>
        </w:rPr>
        <w:t>开工日期前7天向承包人提供图纸</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发包人向承包人提供图纸的数量：</w:t>
      </w:r>
      <w:r>
        <w:rPr>
          <w:rFonts w:hint="eastAsia" w:ascii="MingLiU_HKSCS" w:hAnsi="MingLiU_HKSCS" w:eastAsia="宋体" w:cs="MingLiU_HKSCS"/>
          <w:szCs w:val="21"/>
          <w:u w:val="single"/>
        </w:rPr>
        <w:t xml:space="preserve">   </w:t>
      </w:r>
      <w:r>
        <w:rPr>
          <w:rFonts w:hint="eastAsia" w:ascii="Times New Roman" w:hAnsi="宋体" w:eastAsia="宋体" w:cs="Times New Roman"/>
          <w:szCs w:val="21"/>
        </w:rPr>
        <w:t>份</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发包人向承包人提供图纸的内容：</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1.6.4 承包人文件</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需要由承包人提供的文件，包括：</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承包人提供的文件的期限为：</w:t>
      </w:r>
      <w:r>
        <w:rPr>
          <w:rFonts w:hint="eastAsia" w:ascii="宋体" w:hAnsi="宋体" w:eastAsia="宋体" w:cs="Times New Roman"/>
          <w:szCs w:val="21"/>
          <w:u w:val="single"/>
        </w:rPr>
        <w:t>监理人应在收到承包人文件后   天内审查完毕，监理人对承包人文件有异议的，承包人应予以修改，并重新报送监理人</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承包人提供的文件的数量为：</w:t>
      </w:r>
      <w:r>
        <w:rPr>
          <w:rFonts w:hint="eastAsia" w:ascii="Times New Roman"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承包人提供的文件的形式为：</w:t>
      </w:r>
      <w:r>
        <w:rPr>
          <w:rFonts w:hint="eastAsia" w:ascii="Times New Roman"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w:t>
      </w:r>
      <w:r>
        <w:rPr>
          <w:rFonts w:hint="eastAsia" w:ascii="宋体" w:hAnsi="宋体" w:eastAsia="宋体" w:cs="Times New Roman"/>
          <w:szCs w:val="21"/>
        </w:rPr>
        <w:t>审批</w:t>
      </w:r>
      <w:r>
        <w:rPr>
          <w:rFonts w:ascii="宋体" w:hAnsi="宋体" w:eastAsia="宋体" w:cs="Times New Roman"/>
          <w:szCs w:val="21"/>
        </w:rPr>
        <w:t>承包人文件的期限：</w:t>
      </w:r>
      <w:r>
        <w:rPr>
          <w:rFonts w:hint="eastAsia" w:ascii="宋体" w:hAnsi="宋体" w:eastAsia="宋体" w:cs="Times New Roman"/>
          <w:szCs w:val="21"/>
          <w:u w:val="single"/>
        </w:rPr>
        <w:t>接到</w:t>
      </w:r>
      <w:r>
        <w:rPr>
          <w:rFonts w:ascii="宋体" w:hAnsi="宋体" w:eastAsia="宋体" w:cs="Times New Roman"/>
          <w:szCs w:val="21"/>
          <w:u w:val="single"/>
        </w:rPr>
        <w:t>承包人文件</w:t>
      </w:r>
      <w:r>
        <w:rPr>
          <w:rFonts w:hint="eastAsia" w:ascii="宋体" w:hAnsi="宋体" w:eastAsia="宋体" w:cs="Times New Roman"/>
          <w:szCs w:val="21"/>
          <w:u w:val="single"/>
        </w:rPr>
        <w:t xml:space="preserve">    日内</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1.6.5 现场图纸准备</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关于现场图纸准备的约定：</w:t>
      </w:r>
      <w:r>
        <w:rPr>
          <w:rFonts w:hint="eastAsia" w:ascii="宋体" w:hAnsi="宋体" w:eastAsia="宋体" w:cs="Times New Roman"/>
          <w:szCs w:val="21"/>
          <w:u w:val="single"/>
        </w:rPr>
        <w:t>承包人应在施工现场另外保存一套完整的图纸和承包人文件，供发包人、监理人及有关人员进行工程检查时使用</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1.7 联络</w:t>
      </w:r>
    </w:p>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1.7.1发包人和承包人应当在</w:t>
      </w:r>
      <w:r>
        <w:rPr>
          <w:rFonts w:hint="eastAsia" w:ascii="宋体" w:hAnsi="宋体" w:eastAsia="宋体" w:cs="Times New Roman"/>
          <w:szCs w:val="21"/>
          <w:u w:val="single"/>
        </w:rPr>
        <w:t xml:space="preserve">         </w:t>
      </w:r>
      <w:r>
        <w:rPr>
          <w:rFonts w:ascii="宋体" w:hAnsi="宋体" w:eastAsia="宋体" w:cs="Times New Roman"/>
          <w:szCs w:val="21"/>
        </w:rPr>
        <w:t>天内将与合同有关的通知、批准、证明、证书、指示、指令、要求、请求、同意、意见、确定和决定等书面函件送达对方当事人</w:t>
      </w:r>
      <w:r>
        <w:rPr>
          <w:rFonts w:hint="eastAsia"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1.7.2 发包人接收文件的地点：</w:t>
      </w:r>
      <w:r>
        <w:rPr>
          <w:rFonts w:hint="eastAsia" w:ascii="Times New Roman" w:hAnsi="宋体" w:eastAsia="宋体" w:cs="Times New Roman"/>
          <w:szCs w:val="21"/>
          <w:u w:val="single"/>
        </w:rPr>
        <w:t xml:space="preserve">待定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发包人指定的接收人为：</w:t>
      </w:r>
      <w:r>
        <w:rPr>
          <w:rFonts w:hint="eastAsia" w:ascii="Times New Roman" w:hAnsi="宋体" w:eastAsia="宋体" w:cs="Times New Roman"/>
          <w:szCs w:val="21"/>
          <w:u w:val="single"/>
        </w:rPr>
        <w:t xml:space="preserve">待定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承包人接收文件的地点：</w:t>
      </w:r>
      <w:r>
        <w:rPr>
          <w:rFonts w:hint="eastAsia" w:ascii="Times New Roman" w:hAnsi="宋体" w:eastAsia="宋体" w:cs="Times New Roman"/>
          <w:szCs w:val="21"/>
          <w:u w:val="single"/>
        </w:rPr>
        <w:t>待定</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承包人指定的接收人为：</w:t>
      </w:r>
      <w:r>
        <w:rPr>
          <w:rFonts w:hint="eastAsia" w:ascii="Times New Roman"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监理人接收文件的地点：</w:t>
      </w:r>
      <w:r>
        <w:rPr>
          <w:rFonts w:hint="eastAsia" w:ascii="Times New Roman" w:hAnsi="宋体" w:eastAsia="宋体" w:cs="Times New Roman"/>
          <w:szCs w:val="21"/>
          <w:u w:val="single"/>
        </w:rPr>
        <w:t xml:space="preserve">待定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监理人指定的接收人为：</w:t>
      </w:r>
      <w:r>
        <w:rPr>
          <w:rFonts w:hint="eastAsia" w:ascii="Times New Roman" w:hAnsi="宋体" w:eastAsia="宋体" w:cs="Times New Roman"/>
          <w:szCs w:val="21"/>
          <w:u w:val="single"/>
        </w:rPr>
        <w:t xml:space="preserve">待定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1.10 交通运输</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w:t>
      </w:r>
      <w:bookmarkStart w:id="51" w:name="_Toc303539100"/>
      <w:bookmarkStart w:id="52" w:name="_Toc300934943"/>
      <w:bookmarkStart w:id="53" w:name="_Toc318581155"/>
      <w:bookmarkStart w:id="54" w:name="_Toc312677986"/>
      <w:bookmarkStart w:id="55" w:name="_Toc304295521"/>
      <w:r>
        <w:rPr>
          <w:rFonts w:ascii="宋体" w:hAnsi="宋体" w:eastAsia="宋体" w:cs="Times New Roman"/>
          <w:szCs w:val="21"/>
        </w:rPr>
        <w:t>.10.1 出入现场的权利</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关于出入现场的权利的约定：</w:t>
      </w:r>
      <w:r>
        <w:rPr>
          <w:rFonts w:hint="eastAsia" w:ascii="宋体" w:hAnsi="宋体" w:eastAsia="宋体" w:cs="Times New Roman"/>
          <w:szCs w:val="21"/>
          <w:u w:val="single"/>
        </w:rPr>
        <w:t>按通用合同条款1.10.1执行</w:t>
      </w:r>
      <w:r>
        <w:rPr>
          <w:rFonts w:ascii="宋体" w:hAnsi="宋体" w:eastAsia="宋体" w:cs="Times New Roman"/>
          <w:szCs w:val="21"/>
        </w:rPr>
        <w:t>。</w:t>
      </w:r>
    </w:p>
    <w:bookmarkEnd w:id="51"/>
    <w:bookmarkEnd w:id="52"/>
    <w:bookmarkEnd w:id="53"/>
    <w:bookmarkEnd w:id="54"/>
    <w:bookmarkEnd w:id="55"/>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w:t>
      </w:r>
      <w:bookmarkStart w:id="56" w:name="_Toc300934944"/>
      <w:bookmarkStart w:id="57" w:name="_Toc303539101"/>
      <w:bookmarkStart w:id="58" w:name="_Toc304295522"/>
      <w:bookmarkStart w:id="59" w:name="_Toc312677987"/>
      <w:bookmarkStart w:id="60" w:name="_Toc318581156"/>
      <w:r>
        <w:rPr>
          <w:rFonts w:ascii="宋体" w:hAnsi="宋体" w:eastAsia="宋体" w:cs="Times New Roman"/>
          <w:szCs w:val="21"/>
        </w:rPr>
        <w:t>.10.3 场内交通</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关于场外交通和场内交通的边界的约定：</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关于发包人向承包人免费提供满足工程施工需要的场内道路和交通设施的约定：</w:t>
      </w:r>
      <w:r>
        <w:rPr>
          <w:rFonts w:hint="eastAsia" w:ascii="宋体" w:hAnsi="宋体" w:eastAsia="宋体" w:cs="Times New Roman"/>
          <w:szCs w:val="21"/>
          <w:u w:val="single"/>
        </w:rPr>
        <w:t xml:space="preserve">      </w:t>
      </w:r>
      <w:r>
        <w:rPr>
          <w:rFonts w:ascii="宋体" w:hAnsi="宋体" w:eastAsia="宋体" w:cs="Times New Roman"/>
          <w:szCs w:val="21"/>
        </w:rPr>
        <w:t>。</w:t>
      </w:r>
      <w:bookmarkEnd w:id="56"/>
      <w:bookmarkEnd w:id="57"/>
      <w:bookmarkEnd w:id="58"/>
      <w:bookmarkEnd w:id="59"/>
      <w:bookmarkEnd w:id="60"/>
      <w:r>
        <w:rPr>
          <w:rFonts w:ascii="宋体" w:hAnsi="宋体" w:eastAsia="宋体" w:cs="Times New Roman"/>
          <w:szCs w:val="21"/>
        </w:rPr>
        <w:t xml:space="preserve">  </w:t>
      </w:r>
      <w:bookmarkStart w:id="61" w:name="_Toc318581157"/>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1.10.4超大件和超重件的运输</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运输超大件或超重件所需的道路和桥梁临时加固改造费用和其他有关费用由</w:t>
      </w:r>
      <w:r>
        <w:rPr>
          <w:rFonts w:ascii="宋体" w:hAnsi="宋体" w:eastAsia="宋体" w:cs="Times New Roman"/>
          <w:szCs w:val="21"/>
          <w:u w:val="single"/>
        </w:rPr>
        <w:t xml:space="preserve"> </w:t>
      </w:r>
      <w:r>
        <w:rPr>
          <w:rFonts w:hint="eastAsia" w:ascii="宋体" w:hAnsi="宋体" w:eastAsia="宋体" w:cs="Times New Roman"/>
          <w:szCs w:val="21"/>
          <w:u w:val="single"/>
        </w:rPr>
        <w:t>承包人</w:t>
      </w:r>
      <w:r>
        <w:rPr>
          <w:rFonts w:ascii="宋体" w:hAnsi="宋体" w:eastAsia="宋体" w:cs="Times New Roman"/>
          <w:szCs w:val="21"/>
          <w:u w:val="single"/>
        </w:rPr>
        <w:t xml:space="preserve"> </w:t>
      </w:r>
      <w:r>
        <w:rPr>
          <w:rFonts w:ascii="宋体" w:hAnsi="宋体" w:eastAsia="宋体" w:cs="Times New Roman"/>
          <w:szCs w:val="21"/>
        </w:rPr>
        <w:t>承担。</w:t>
      </w:r>
    </w:p>
    <w:bookmarkEnd w:id="61"/>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1.11 知识产权</w:t>
      </w:r>
    </w:p>
    <w:p>
      <w:pPr>
        <w:spacing w:line="400" w:lineRule="exact"/>
        <w:ind w:firstLine="420" w:firstLineChars="200"/>
        <w:rPr>
          <w:rFonts w:ascii="宋体" w:hAnsi="宋体" w:eastAsia="宋体" w:cs="Times New Roman"/>
          <w:szCs w:val="21"/>
          <w:u w:val="single"/>
        </w:rPr>
      </w:pPr>
      <w:r>
        <w:rPr>
          <w:rFonts w:ascii="宋体" w:hAnsi="宋体" w:eastAsia="宋体" w:cs="Times New Roman"/>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szCs w:val="21"/>
          <w:u w:val="single"/>
        </w:rPr>
        <w:t>按通用合同条款1.11.1执行</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关于发包人提供的上述文件的使用限制的要求：</w:t>
      </w:r>
      <w:r>
        <w:rPr>
          <w:rFonts w:hint="eastAsia" w:ascii="宋体" w:hAnsi="宋体" w:eastAsia="宋体" w:cs="Times New Roman"/>
          <w:szCs w:val="21"/>
          <w:u w:val="single"/>
        </w:rPr>
        <w:t>按通用合同条款1.11.1执行</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1.11.2 关于承包人为实施工程所编制文件的著作权的归属：</w:t>
      </w:r>
      <w:r>
        <w:rPr>
          <w:rFonts w:hint="eastAsia" w:ascii="宋体" w:hAnsi="宋体" w:eastAsia="宋体" w:cs="Times New Roman"/>
          <w:szCs w:val="21"/>
          <w:u w:val="single"/>
        </w:rPr>
        <w:t>按通用合同条款1.11.2执行</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关于承包人提供的上述文件的使用限制的要求：</w:t>
      </w:r>
      <w:r>
        <w:rPr>
          <w:rFonts w:hint="eastAsia" w:ascii="宋体" w:hAnsi="宋体" w:eastAsia="宋体" w:cs="Times New Roman"/>
          <w:szCs w:val="21"/>
          <w:u w:val="single"/>
        </w:rPr>
        <w:t>按通用合同条款1.11.2执行</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1.11.4 承包人在施工过程中所采用的专利、专有技术、技术秘密的使用费的承担方式：</w:t>
      </w:r>
      <w:r>
        <w:rPr>
          <w:rFonts w:hint="eastAsia" w:ascii="宋体" w:hAnsi="宋体" w:eastAsia="宋体" w:cs="Times New Roman"/>
          <w:szCs w:val="21"/>
          <w:u w:val="single"/>
        </w:rPr>
        <w:t>按通用合同条款1.11.4执行</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1.13工程量清单错误的修正</w:t>
      </w:r>
    </w:p>
    <w:p>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出现工程量清单错误时，是否调整合同价格：</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是 </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允许调整合同价格的工程量偏差范围：</w:t>
      </w:r>
      <w:r>
        <w:rPr>
          <w:rFonts w:hint="eastAsia" w:ascii="宋体" w:hAnsi="宋体" w:eastAsia="宋体" w:cs="Times New Roman"/>
          <w:szCs w:val="21"/>
          <w:u w:val="single"/>
        </w:rPr>
        <w:t xml:space="preserve">±5%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after="120" w:line="400" w:lineRule="exact"/>
        <w:rPr>
          <w:rFonts w:ascii="宋体" w:hAnsi="宋体" w:eastAsia="宋体" w:cs="Times New Roman"/>
          <w:b/>
          <w:szCs w:val="21"/>
        </w:rPr>
      </w:pPr>
      <w:bookmarkStart w:id="62" w:name="_Toc351203634"/>
      <w:r>
        <w:rPr>
          <w:rFonts w:ascii="宋体" w:hAnsi="宋体" w:eastAsia="宋体" w:cs="Times New Roman"/>
          <w:b/>
          <w:szCs w:val="21"/>
        </w:rPr>
        <w:t>2</w:t>
      </w:r>
      <w:bookmarkStart w:id="63" w:name="_Toc292559867"/>
      <w:bookmarkStart w:id="64" w:name="_Toc296503157"/>
      <w:bookmarkStart w:id="65" w:name="_Toc296890985"/>
      <w:bookmarkStart w:id="66" w:name="_Toc296891197"/>
      <w:bookmarkStart w:id="67" w:name="_Toc296944496"/>
      <w:bookmarkStart w:id="68" w:name="_Toc297048343"/>
      <w:bookmarkStart w:id="69" w:name="_Toc297120457"/>
      <w:bookmarkStart w:id="70" w:name="_Toc292559362"/>
      <w:bookmarkStart w:id="71" w:name="_Toc296346658"/>
      <w:bookmarkStart w:id="72" w:name="_Toc296347156"/>
      <w:r>
        <w:rPr>
          <w:rFonts w:ascii="宋体" w:hAnsi="宋体" w:eastAsia="宋体" w:cs="Times New Roman"/>
          <w:b/>
          <w:szCs w:val="21"/>
        </w:rPr>
        <w:t>. 发包人</w:t>
      </w:r>
      <w:bookmarkEnd w:id="62"/>
    </w:p>
    <w:bookmarkEnd w:id="63"/>
    <w:bookmarkEnd w:id="64"/>
    <w:bookmarkEnd w:id="65"/>
    <w:bookmarkEnd w:id="66"/>
    <w:bookmarkEnd w:id="67"/>
    <w:bookmarkEnd w:id="68"/>
    <w:bookmarkEnd w:id="69"/>
    <w:bookmarkEnd w:id="70"/>
    <w:bookmarkEnd w:id="71"/>
    <w:bookmarkEnd w:id="72"/>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2.2 发包人代表</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发包人代表：</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姓    名：</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身份证号：</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职    务：</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联系电话：</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电子信箱：</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通信地址：</w:t>
      </w:r>
      <w:r>
        <w:rPr>
          <w:rFonts w:hint="eastAsia" w:ascii="MingLiU_HKSCS" w:hAnsi="MingLiU_HKSCS" w:eastAsia="宋体" w:cs="MingLiU_HKSCS"/>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b/>
          <w:szCs w:val="21"/>
        </w:rPr>
      </w:pPr>
      <w:r>
        <w:rPr>
          <w:rFonts w:ascii="宋体" w:hAnsi="宋体" w:eastAsia="宋体" w:cs="Times New Roman"/>
          <w:szCs w:val="21"/>
        </w:rPr>
        <w:t>发包人对发包人代表的授权范围如下：</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2.4 施工现场、施工条件和基础资料的提供</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2.4.1 提供施工现场</w:t>
      </w:r>
    </w:p>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关于发包人移交施工现场的期限要求：</w:t>
      </w:r>
      <w:r>
        <w:rPr>
          <w:rFonts w:hint="eastAsia" w:ascii="宋体" w:hAnsi="宋体" w:eastAsia="宋体" w:cs="Times New Roman"/>
          <w:szCs w:val="21"/>
          <w:u w:val="single"/>
        </w:rPr>
        <w:t>发包人应最迟于开工日期      天前向承包人移交施工现场。</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2.4.2 提供施工条件</w:t>
      </w:r>
    </w:p>
    <w:p>
      <w:pPr>
        <w:spacing w:line="400" w:lineRule="exact"/>
        <w:ind w:firstLine="540"/>
        <w:rPr>
          <w:rFonts w:hint="eastAsia" w:ascii="宋体" w:hAnsi="宋体" w:eastAsia="宋体" w:cs="Times New Roman"/>
          <w:szCs w:val="21"/>
        </w:rPr>
      </w:pPr>
      <w:r>
        <w:rPr>
          <w:rFonts w:ascii="宋体" w:hAnsi="宋体" w:eastAsia="宋体" w:cs="Times New Roman"/>
          <w:szCs w:val="21"/>
        </w:rPr>
        <w:t>关于发包人应负责提供施工</w:t>
      </w:r>
      <w:r>
        <w:rPr>
          <w:rFonts w:hint="eastAsia" w:ascii="宋体" w:hAnsi="宋体" w:eastAsia="宋体" w:cs="Times New Roman"/>
          <w:szCs w:val="21"/>
        </w:rPr>
        <w:t>所需要的条件，</w:t>
      </w:r>
      <w:r>
        <w:rPr>
          <w:rFonts w:ascii="宋体" w:hAnsi="宋体" w:eastAsia="宋体" w:cs="Times New Roman"/>
          <w:szCs w:val="21"/>
        </w:rPr>
        <w:t>包括：</w:t>
      </w:r>
    </w:p>
    <w:p>
      <w:pPr>
        <w:spacing w:line="400" w:lineRule="exact"/>
        <w:ind w:firstLine="540"/>
        <w:rPr>
          <w:rFonts w:hint="eastAsia" w:ascii="宋体" w:hAnsi="宋体" w:eastAsia="宋体" w:cs="Times New Roman"/>
          <w:szCs w:val="21"/>
          <w:u w:val="single"/>
        </w:rPr>
      </w:pPr>
      <w:r>
        <w:rPr>
          <w:rFonts w:hint="eastAsia" w:ascii="宋体" w:hAnsi="宋体" w:eastAsia="宋体" w:cs="Times New Roman"/>
          <w:szCs w:val="21"/>
          <w:u w:val="single"/>
        </w:rPr>
        <w:t>（1）将施工用水、电、通讯线路等施工所必需的条件接至施工现场内的要求：无</w:t>
      </w:r>
    </w:p>
    <w:p>
      <w:pPr>
        <w:spacing w:line="400" w:lineRule="exact"/>
        <w:ind w:firstLine="540"/>
        <w:rPr>
          <w:rFonts w:hint="eastAsia" w:ascii="宋体" w:hAnsi="宋体" w:eastAsia="宋体" w:cs="Times New Roman"/>
          <w:szCs w:val="21"/>
          <w:u w:val="single"/>
        </w:rPr>
      </w:pPr>
      <w:r>
        <w:rPr>
          <w:rFonts w:hint="eastAsia" w:ascii="宋体" w:hAnsi="宋体" w:eastAsia="宋体" w:cs="Times New Roman"/>
          <w:szCs w:val="21"/>
          <w:u w:val="single"/>
        </w:rPr>
        <w:t>（2）保证向承包人提供正常施工所需要的进入施工现场的交通条件的要求：无</w:t>
      </w:r>
    </w:p>
    <w:p>
      <w:pPr>
        <w:spacing w:line="400" w:lineRule="exact"/>
        <w:ind w:firstLine="540"/>
        <w:rPr>
          <w:rFonts w:hint="eastAsia" w:ascii="宋体" w:hAnsi="宋体" w:eastAsia="宋体" w:cs="Times New Roman"/>
          <w:szCs w:val="21"/>
          <w:u w:val="single"/>
        </w:rPr>
      </w:pPr>
      <w:r>
        <w:rPr>
          <w:rFonts w:hint="eastAsia" w:ascii="宋体" w:hAnsi="宋体" w:eastAsia="宋体" w:cs="Times New Roman"/>
          <w:szCs w:val="21"/>
          <w:u w:val="single"/>
        </w:rPr>
        <w:t>（3）协调处理施工现场周围地下管线和邻近建筑物、构筑物、古树名木的保护工作，并承担相关费用的要求：无</w:t>
      </w:r>
    </w:p>
    <w:p>
      <w:pPr>
        <w:spacing w:line="400" w:lineRule="exact"/>
        <w:ind w:firstLine="540"/>
        <w:rPr>
          <w:rFonts w:hint="eastAsia" w:ascii="宋体" w:hAnsi="Courier New" w:eastAsia="宋体" w:cs="Times New Roman"/>
          <w:szCs w:val="20"/>
          <w:u w:val="single"/>
        </w:rPr>
      </w:pPr>
      <w:r>
        <w:rPr>
          <w:rFonts w:hint="eastAsia" w:ascii="宋体" w:hAnsi="Courier New" w:eastAsia="宋体" w:cs="Times New Roman"/>
          <w:szCs w:val="20"/>
        </w:rPr>
        <w:t>(4)双方约定发包人约定应提供的其他设施和条件：</w:t>
      </w:r>
      <w:r>
        <w:rPr>
          <w:rFonts w:hint="eastAsia" w:ascii="宋体" w:hAnsi="Courier New" w:eastAsia="宋体" w:cs="Times New Roman"/>
          <w:szCs w:val="20"/>
          <w:u w:val="single"/>
        </w:rPr>
        <w:t xml:space="preserve">      待定       </w:t>
      </w:r>
      <w:r>
        <w:rPr>
          <w:rFonts w:hint="eastAsia" w:ascii="宋体" w:hAnsi="宋体" w:eastAsia="宋体" w:cs="Times New Roman"/>
          <w:szCs w:val="21"/>
          <w:u w:val="single"/>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2.5 资金来源证明及支付担保</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发包人提供资金来源证明的期限要求：</w:t>
      </w:r>
      <w:r>
        <w:rPr>
          <w:rFonts w:hint="eastAsia" w:ascii="宋体" w:hAnsi="宋体" w:eastAsia="宋体" w:cs="Times New Roman"/>
          <w:szCs w:val="21"/>
          <w:u w:val="single"/>
        </w:rPr>
        <w:t xml:space="preserve">       无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发包人是否提供支付担保：</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u w:val="single"/>
        </w:rPr>
      </w:pPr>
      <w:r>
        <w:rPr>
          <w:rFonts w:ascii="宋体" w:hAnsi="宋体" w:eastAsia="宋体" w:cs="Times New Roman"/>
          <w:szCs w:val="21"/>
        </w:rPr>
        <w:t>发包人提供支付担保的形式：</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rPr>
          <w:rFonts w:ascii="宋体" w:hAnsi="宋体" w:eastAsia="宋体" w:cs="Times New Roman"/>
          <w:b/>
          <w:szCs w:val="21"/>
        </w:rPr>
      </w:pPr>
      <w:bookmarkStart w:id="73" w:name="_Toc351203635"/>
      <w:r>
        <w:rPr>
          <w:rFonts w:ascii="宋体" w:hAnsi="宋体" w:eastAsia="宋体" w:cs="Times New Roman"/>
          <w:b/>
          <w:szCs w:val="21"/>
        </w:rPr>
        <w:t>3</w:t>
      </w:r>
      <w:bookmarkStart w:id="74" w:name="_Toc296346659"/>
      <w:bookmarkStart w:id="75" w:name="_Toc292559868"/>
      <w:bookmarkStart w:id="76" w:name="_Toc297120458"/>
      <w:bookmarkStart w:id="77" w:name="_Toc296891198"/>
      <w:bookmarkStart w:id="78" w:name="_Toc297048344"/>
      <w:bookmarkStart w:id="79" w:name="_Toc296944497"/>
      <w:bookmarkStart w:id="80" w:name="_Toc296890986"/>
      <w:bookmarkStart w:id="81" w:name="_Toc296503158"/>
      <w:bookmarkStart w:id="82" w:name="_Toc296347157"/>
      <w:bookmarkStart w:id="83" w:name="_Toc292559363"/>
      <w:r>
        <w:rPr>
          <w:rFonts w:ascii="宋体" w:hAnsi="宋体" w:eastAsia="宋体" w:cs="Times New Roman"/>
          <w:b/>
          <w:szCs w:val="21"/>
        </w:rPr>
        <w:t>. 承包人</w:t>
      </w:r>
      <w:bookmarkEnd w:id="73"/>
    </w:p>
    <w:bookmarkEnd w:id="74"/>
    <w:bookmarkEnd w:id="75"/>
    <w:bookmarkEnd w:id="76"/>
    <w:bookmarkEnd w:id="77"/>
    <w:bookmarkEnd w:id="78"/>
    <w:bookmarkEnd w:id="79"/>
    <w:bookmarkEnd w:id="80"/>
    <w:bookmarkEnd w:id="81"/>
    <w:bookmarkEnd w:id="82"/>
    <w:bookmarkEnd w:id="83"/>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3.1 承包人的一般义务</w:t>
      </w:r>
    </w:p>
    <w:p>
      <w:pPr>
        <w:spacing w:line="400" w:lineRule="exact"/>
        <w:ind w:firstLine="315" w:firstLineChars="150"/>
        <w:jc w:val="left"/>
        <w:rPr>
          <w:rFonts w:ascii="宋体" w:hAnsi="宋体" w:eastAsia="宋体" w:cs="Times New Roman"/>
          <w:szCs w:val="21"/>
        </w:rPr>
      </w:pPr>
      <w:r>
        <w:rPr>
          <w:rFonts w:ascii="宋体" w:hAnsi="宋体" w:eastAsia="宋体" w:cs="Times New Roman"/>
          <w:szCs w:val="21"/>
        </w:rPr>
        <w:t>（5）承包人提交的竣工资料的内容：</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承包人需要提交的竣工资料套数：</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承包人提交的竣工资料的费用承担：</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承包人提交的竣工资料移交时间：</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承包人提交的竣工资料形式要求：</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（6）承包人应履行的其他义务</w:t>
      </w:r>
      <w:r>
        <w:rPr>
          <w:rFonts w:hint="eastAsia" w:ascii="宋体" w:hAnsi="宋体" w:eastAsia="宋体" w:cs="Times New Roman"/>
          <w:szCs w:val="21"/>
        </w:rPr>
        <w:t xml:space="preserve">: </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3.2 项目经理</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3.2.1 项目经理：</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姓    名：</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身份证号：</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建造师执业资格等级：</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建造师注册证书号：</w:t>
      </w:r>
      <w:r>
        <w:rPr>
          <w:rFonts w:hint="eastAsia" w:ascii="MingLiU_HKSCS" w:hAnsi="MingLiU_HKSCS"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建造师执业印章号：</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安全生产考核合格证书号：</w:t>
      </w:r>
      <w:r>
        <w:rPr>
          <w:rFonts w:hint="eastAsia" w:ascii="MingLiU_HKSCS" w:hAnsi="MingLiU_HKSCS"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联系电话：</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hint="eastAsia" w:ascii="宋体" w:hAnsi="宋体" w:eastAsia="宋体" w:cs="Times New Roman"/>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电子信箱：</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通信地址：</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承包人对项目经理的授权范围如下：</w:t>
      </w:r>
      <w:r>
        <w:rPr>
          <w:rFonts w:hint="eastAsia" w:ascii="宋体" w:hAnsi="宋体" w:eastAsia="宋体" w:cs="Times New Roman"/>
          <w:szCs w:val="21"/>
          <w:u w:val="single"/>
        </w:rPr>
        <w:t xml:space="preserve">待定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关于项目经理每月在施工现场的时间要求：</w:t>
      </w:r>
      <w:r>
        <w:rPr>
          <w:rFonts w:hint="eastAsia" w:ascii="宋体" w:hAnsi="宋体" w:eastAsia="宋体" w:cs="Times New Roman"/>
          <w:szCs w:val="21"/>
          <w:u w:val="single"/>
        </w:rPr>
        <w:t>待定</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承包人未提交劳动合同，以及没有为项目经理缴纳社会保险证明的违约责任：</w:t>
      </w:r>
      <w:r>
        <w:rPr>
          <w:rFonts w:hint="eastAsia" w:ascii="宋体" w:hAnsi="宋体" w:eastAsia="宋体" w:cs="Times New Roman"/>
          <w:szCs w:val="21"/>
          <w:u w:val="single"/>
        </w:rPr>
        <w:t>待定</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u w:val="single"/>
        </w:rPr>
      </w:pPr>
      <w:r>
        <w:rPr>
          <w:rFonts w:ascii="宋体" w:hAnsi="宋体" w:eastAsia="宋体" w:cs="Times New Roman"/>
          <w:szCs w:val="21"/>
        </w:rPr>
        <w:t>项目经理未经批准，擅自离开施工现场的违约责任：</w:t>
      </w:r>
      <w:r>
        <w:rPr>
          <w:rFonts w:hint="eastAsia" w:ascii="宋体" w:hAnsi="宋体" w:eastAsia="宋体" w:cs="Times New Roman"/>
          <w:szCs w:val="21"/>
          <w:u w:val="single"/>
        </w:rPr>
        <w:t>待定</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3.2.3 承包人擅自更换项目经理的违约责任：</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rPr>
          <w:rFonts w:ascii="宋体" w:hAnsi="宋体" w:eastAsia="宋体" w:cs="Times New Roman"/>
          <w:szCs w:val="21"/>
        </w:rPr>
      </w:pPr>
      <w:r>
        <w:rPr>
          <w:rFonts w:ascii="宋体" w:hAnsi="宋体" w:eastAsia="宋体" w:cs="Times New Roman"/>
          <w:szCs w:val="21"/>
        </w:rPr>
        <w:t xml:space="preserve">    3.2.4 承包人无正当理由拒绝更换项目经理的违约责任：</w:t>
      </w:r>
      <w:r>
        <w:rPr>
          <w:rFonts w:hint="eastAsia" w:ascii="宋体" w:hAnsi="宋体" w:eastAsia="宋体" w:cs="Times New Roman"/>
          <w:szCs w:val="21"/>
          <w:u w:val="single"/>
        </w:rPr>
        <w:t xml:space="preserve">待定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3.3 承包人人员</w:t>
      </w:r>
    </w:p>
    <w:p>
      <w:pPr>
        <w:spacing w:line="400" w:lineRule="exact"/>
        <w:ind w:firstLine="420" w:firstLineChars="200"/>
        <w:rPr>
          <w:rFonts w:hint="eastAsia" w:ascii="宋体" w:hAnsi="宋体" w:eastAsia="宋体" w:cs="Times New Roman"/>
          <w:szCs w:val="21"/>
          <w:u w:val="single"/>
        </w:rPr>
      </w:pPr>
      <w:r>
        <w:rPr>
          <w:rFonts w:ascii="宋体" w:hAnsi="宋体" w:eastAsia="宋体" w:cs="Times New Roman"/>
          <w:szCs w:val="21"/>
        </w:rPr>
        <w:t>3.3.1 承包人提交项目管理机构及施工现场管理人员安排报告的期限：</w:t>
      </w:r>
      <w:r>
        <w:rPr>
          <w:rFonts w:ascii="宋体" w:hAnsi="宋体" w:eastAsia="宋体" w:cs="Times New Roman"/>
          <w:szCs w:val="21"/>
          <w:u w:val="single"/>
        </w:rPr>
        <w:t>承包人应在接到开工通知后</w:t>
      </w:r>
      <w:r>
        <w:rPr>
          <w:rFonts w:hint="eastAsia" w:ascii="宋体" w:hAnsi="宋体" w:eastAsia="宋体" w:cs="Times New Roman"/>
          <w:szCs w:val="21"/>
          <w:u w:val="single"/>
        </w:rPr>
        <w:t xml:space="preserve">    </w:t>
      </w:r>
      <w:r>
        <w:rPr>
          <w:rFonts w:ascii="宋体" w:hAnsi="宋体" w:eastAsia="宋体" w:cs="Times New Roman"/>
          <w:szCs w:val="21"/>
          <w:u w:val="single"/>
        </w:rPr>
        <w:t>天内</w:t>
      </w:r>
      <w:r>
        <w:rPr>
          <w:rFonts w:hint="eastAsia" w:ascii="宋体" w:hAnsi="宋体" w:eastAsia="宋体" w:cs="Times New Roman"/>
          <w:szCs w:val="21"/>
          <w:u w:val="single"/>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3.3.3 承包人无正当理由拒绝撤换主要施工管理人员的违约责任：</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u w:val="single"/>
        </w:rPr>
      </w:pPr>
      <w:r>
        <w:rPr>
          <w:rFonts w:ascii="宋体" w:hAnsi="宋体" w:eastAsia="宋体" w:cs="Times New Roman"/>
          <w:szCs w:val="21"/>
        </w:rPr>
        <w:t>3.3.4 承包人主要施工管理人员离开施工现场的批准要求：</w:t>
      </w:r>
      <w:r>
        <w:rPr>
          <w:rFonts w:hint="eastAsia" w:ascii="宋体" w:hAnsi="宋体" w:eastAsia="宋体" w:cs="Times New Roman"/>
          <w:szCs w:val="21"/>
          <w:u w:val="single"/>
        </w:rPr>
        <w:t>按通用合同条款3.3.4执行。</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3.3.5承包人擅自更换主要施工管理人员的违约责任：</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承包人主要施工管理人员擅自离开施工现场的违约责任：</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w:t>
      </w:r>
      <w:bookmarkStart w:id="84" w:name="_Toc304295523"/>
      <w:bookmarkStart w:id="85" w:name="_Toc303539102"/>
      <w:bookmarkStart w:id="86" w:name="_Toc312677988"/>
      <w:bookmarkStart w:id="87" w:name="_Toc297120459"/>
      <w:bookmarkStart w:id="88" w:name="_Toc300934945"/>
      <w:bookmarkStart w:id="89" w:name="_Toc297048345"/>
      <w:bookmarkStart w:id="90" w:name="_Toc297216151"/>
      <w:bookmarkStart w:id="91" w:name="_Toc297123492"/>
      <w:bookmarkStart w:id="92" w:name="_Toc296944498"/>
      <w:bookmarkStart w:id="93" w:name="_Toc296891199"/>
      <w:bookmarkStart w:id="94" w:name="_Toc296890987"/>
      <w:bookmarkStart w:id="95" w:name="_Toc296347158"/>
      <w:bookmarkStart w:id="96" w:name="_Toc296503159"/>
      <w:bookmarkStart w:id="97" w:name="_Toc296346660"/>
      <w:bookmarkStart w:id="98" w:name="_Toc292559869"/>
      <w:bookmarkStart w:id="99" w:name="_Toc292559364"/>
      <w:r>
        <w:rPr>
          <w:rFonts w:ascii="宋体" w:hAnsi="宋体" w:eastAsia="宋体" w:cs="Times New Roman"/>
          <w:szCs w:val="21"/>
        </w:rPr>
        <w:t>.5 分包</w:t>
      </w:r>
    </w:p>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3</w:t>
      </w:r>
      <w:bookmarkStart w:id="100" w:name="_Toc318581158"/>
      <w:bookmarkStart w:id="101" w:name="_Toc297120460"/>
      <w:bookmarkStart w:id="102" w:name="_Toc297048346"/>
      <w:bookmarkStart w:id="103" w:name="_Toc312677989"/>
      <w:bookmarkStart w:id="104" w:name="_Toc300934946"/>
      <w:bookmarkStart w:id="105" w:name="_Toc304295524"/>
      <w:bookmarkStart w:id="106" w:name="_Toc303539103"/>
      <w:bookmarkStart w:id="107" w:name="_Toc297216152"/>
      <w:bookmarkStart w:id="108" w:name="_Toc292559870"/>
      <w:bookmarkStart w:id="109" w:name="_Toc292559365"/>
      <w:bookmarkStart w:id="110" w:name="_Toc296890988"/>
      <w:bookmarkStart w:id="111" w:name="_Toc296944499"/>
      <w:bookmarkStart w:id="112" w:name="_Toc296891200"/>
      <w:bookmarkStart w:id="113" w:name="_Toc296503160"/>
      <w:bookmarkStart w:id="114" w:name="_Toc296347159"/>
      <w:bookmarkStart w:id="115" w:name="_Toc296346661"/>
      <w:bookmarkStart w:id="116" w:name="_Toc297123493"/>
      <w:r>
        <w:rPr>
          <w:rFonts w:ascii="宋体" w:hAnsi="宋体" w:eastAsia="宋体" w:cs="Times New Roman"/>
          <w:szCs w:val="21"/>
        </w:rPr>
        <w:t>.5.1 分包的一般约定</w:t>
      </w:r>
      <w:r>
        <w:rPr>
          <w:rFonts w:hint="eastAsia" w:ascii="宋体" w:hAnsi="宋体" w:eastAsia="宋体" w:cs="Times New Roman"/>
          <w:szCs w:val="21"/>
        </w:rPr>
        <w:t>:</w:t>
      </w:r>
      <w:r>
        <w:rPr>
          <w:rFonts w:hint="eastAsia" w:ascii="宋体" w:hAnsi="宋体" w:eastAsia="宋体" w:cs="Times New Roman"/>
          <w:szCs w:val="21"/>
          <w:u w:val="single"/>
        </w:rPr>
        <w:t>本工程允许合法分包</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312677990"/>
      <w:bookmarkStart w:id="118" w:name="_Toc318581159"/>
      <w:r>
        <w:rPr>
          <w:rFonts w:hint="eastAsia" w:ascii="宋体" w:hAnsi="宋体" w:eastAsia="宋体" w:cs="Times New Roman"/>
          <w:szCs w:val="21"/>
        </w:rPr>
        <w:t>.</w:t>
      </w:r>
    </w:p>
    <w:bookmarkEnd w:id="117"/>
    <w:bookmarkEnd w:id="118"/>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3.6 工程照管与成品、半成品保护</w:t>
      </w:r>
    </w:p>
    <w:p>
      <w:pPr>
        <w:spacing w:before="120" w:after="120" w:line="400" w:lineRule="exact"/>
        <w:ind w:firstLine="420" w:firstLineChars="200"/>
        <w:rPr>
          <w:rFonts w:ascii="宋体" w:hAnsi="宋体" w:eastAsia="宋体" w:cs="Times New Roman"/>
          <w:szCs w:val="21"/>
          <w:u w:val="single"/>
        </w:rPr>
      </w:pPr>
      <w:r>
        <w:rPr>
          <w:rFonts w:ascii="宋体" w:hAnsi="宋体" w:eastAsia="宋体" w:cs="Times New Roman"/>
          <w:szCs w:val="21"/>
        </w:rPr>
        <w:t>承包人负责照管工程及工程相关的材料、工程设备的起始时间：</w:t>
      </w:r>
      <w:r>
        <w:rPr>
          <w:rFonts w:hint="eastAsia" w:ascii="宋体" w:hAnsi="宋体" w:eastAsia="宋体" w:cs="Times New Roman"/>
          <w:szCs w:val="21"/>
          <w:u w:val="single"/>
        </w:rPr>
        <w:t>按通用合同条款3.6执行</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3.7 履约担保</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承包人是否提供履约担保：</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承包人提供履约担保的形式</w:t>
      </w:r>
      <w:r>
        <w:rPr>
          <w:rFonts w:hint="eastAsia" w:ascii="宋体" w:hAnsi="宋体" w:eastAsia="宋体" w:cs="Times New Roman"/>
          <w:szCs w:val="21"/>
        </w:rPr>
        <w:t>、金额及期限的</w:t>
      </w:r>
      <w:r>
        <w:rPr>
          <w:rFonts w:ascii="宋体" w:hAnsi="宋体" w:eastAsia="宋体" w:cs="Times New Roman"/>
          <w:szCs w:val="21"/>
        </w:rPr>
        <w:t>：</w:t>
      </w:r>
      <w:r>
        <w:rPr>
          <w:rFonts w:hint="eastAsia" w:ascii="宋体" w:hAnsi="宋体" w:eastAsia="宋体" w:cs="Times New Roman"/>
          <w:szCs w:val="21"/>
          <w:u w:val="single"/>
        </w:rPr>
        <w:t xml:space="preserve">         </w:t>
      </w:r>
      <w:r>
        <w:rPr>
          <w:rFonts w:ascii="宋体" w:hAnsi="宋体" w:eastAsia="宋体" w:cs="Times New Roman"/>
          <w:szCs w:val="21"/>
        </w:rPr>
        <w:t>。</w:t>
      </w:r>
    </w:p>
    <w:p>
      <w:pPr>
        <w:spacing w:after="120" w:line="400" w:lineRule="exact"/>
        <w:rPr>
          <w:rFonts w:ascii="宋体" w:hAnsi="宋体" w:eastAsia="宋体" w:cs="Times New Roman"/>
          <w:b/>
          <w:szCs w:val="21"/>
        </w:rPr>
      </w:pPr>
      <w:bookmarkStart w:id="119" w:name="_Toc351203636"/>
      <w:r>
        <w:rPr>
          <w:rFonts w:ascii="宋体" w:hAnsi="宋体" w:eastAsia="宋体" w:cs="Times New Roman"/>
          <w:b/>
          <w:szCs w:val="21"/>
        </w:rPr>
        <w:t>4</w:t>
      </w:r>
      <w:bookmarkStart w:id="120" w:name="_Toc292559366"/>
      <w:bookmarkStart w:id="121" w:name="_Toc292559871"/>
      <w:bookmarkStart w:id="122" w:name="_Toc267251413"/>
      <w:bookmarkStart w:id="123" w:name="_Toc296346663"/>
      <w:bookmarkStart w:id="124" w:name="_Toc296347161"/>
      <w:bookmarkStart w:id="125" w:name="_Toc296890990"/>
      <w:bookmarkStart w:id="126" w:name="_Toc296891202"/>
      <w:bookmarkStart w:id="127" w:name="_Toc296944501"/>
      <w:bookmarkStart w:id="128" w:name="_Toc297048348"/>
      <w:bookmarkStart w:id="129" w:name="_Toc297120462"/>
      <w:bookmarkStart w:id="130" w:name="_Toc296503162"/>
      <w:r>
        <w:rPr>
          <w:rFonts w:ascii="宋体" w:hAnsi="宋体" w:eastAsia="宋体" w:cs="Times New Roman"/>
          <w:b/>
          <w:szCs w:val="21"/>
        </w:rPr>
        <w:t>. 监</w:t>
      </w:r>
      <w:bookmarkEnd w:id="120"/>
      <w:bookmarkEnd w:id="121"/>
      <w:bookmarkEnd w:id="122"/>
      <w:bookmarkEnd w:id="123"/>
      <w:bookmarkEnd w:id="124"/>
      <w:bookmarkEnd w:id="125"/>
      <w:bookmarkEnd w:id="126"/>
      <w:bookmarkEnd w:id="127"/>
      <w:bookmarkEnd w:id="128"/>
      <w:bookmarkEnd w:id="129"/>
      <w:bookmarkEnd w:id="130"/>
      <w:r>
        <w:rPr>
          <w:rFonts w:ascii="宋体" w:hAnsi="宋体" w:eastAsia="宋体" w:cs="Times New Roman"/>
          <w:b/>
          <w:szCs w:val="21"/>
        </w:rPr>
        <w:t>理人</w:t>
      </w:r>
      <w:bookmarkEnd w:id="119"/>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4.1监理人的一般规定</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关于监理人的监理内容：</w:t>
      </w:r>
      <w:r>
        <w:rPr>
          <w:rFonts w:hint="eastAsia" w:ascii="宋体" w:hAnsi="宋体" w:eastAsia="宋体" w:cs="Times New Roman"/>
          <w:szCs w:val="21"/>
          <w:u w:val="single"/>
        </w:rPr>
        <w:t xml:space="preserve">按通用合同条款4.1执行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关于监理人的监理权限：</w:t>
      </w:r>
      <w:r>
        <w:rPr>
          <w:rFonts w:hint="eastAsia" w:ascii="宋体" w:hAnsi="宋体" w:eastAsia="宋体" w:cs="Times New Roman"/>
          <w:szCs w:val="21"/>
          <w:u w:val="single"/>
        </w:rPr>
        <w:t xml:space="preserve">按通用合同条款4.1执行 </w:t>
      </w:r>
      <w:r>
        <w:rPr>
          <w:rFonts w:ascii="宋体" w:hAnsi="宋体" w:eastAsia="宋体" w:cs="Times New Roman"/>
          <w:szCs w:val="21"/>
          <w:u w:val="single"/>
        </w:rPr>
        <w:t xml:space="preserve">         </w:t>
      </w:r>
      <w:r>
        <w:rPr>
          <w:rFonts w:ascii="宋体" w:hAnsi="宋体" w:eastAsia="宋体" w:cs="Times New Roman"/>
          <w:szCs w:val="21"/>
        </w:rPr>
        <w:t xml:space="preserve">。 </w:t>
      </w:r>
    </w:p>
    <w:p>
      <w:pPr>
        <w:spacing w:line="400" w:lineRule="exact"/>
        <w:ind w:firstLine="420" w:firstLineChars="200"/>
        <w:rPr>
          <w:rFonts w:hint="eastAsia" w:ascii="宋体" w:hAnsi="宋体" w:eastAsia="宋体" w:cs="Times New Roman"/>
          <w:szCs w:val="21"/>
        </w:rPr>
      </w:pPr>
      <w:r>
        <w:rPr>
          <w:rFonts w:ascii="宋体" w:hAnsi="宋体" w:eastAsia="宋体" w:cs="Times New Roman"/>
          <w:szCs w:val="21"/>
        </w:rPr>
        <w:t>关于监理人在施工现场的办公场所、生活场所的提供和费用承担的约定：</w:t>
      </w:r>
      <w:r>
        <w:rPr>
          <w:rFonts w:hint="eastAsia" w:ascii="宋体" w:hAnsi="宋体" w:eastAsia="宋体" w:cs="Times New Roman"/>
          <w:szCs w:val="21"/>
          <w:u w:val="single"/>
        </w:rPr>
        <w:t>按通用合同条款4.1执行</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4.2 监理人员</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总监理工程师：</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姓    名：</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职    务：</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监理工程师执业资格证书号：</w:t>
      </w:r>
      <w:r>
        <w:rPr>
          <w:rFonts w:hint="eastAsia" w:ascii="MingLiU_HKSCS" w:hAnsi="MingLiU_HKSCS"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联系电话：</w:t>
      </w:r>
      <w:r>
        <w:rPr>
          <w:rFonts w:hint="eastAsia" w:ascii="MingLiU_HKSCS" w:hAnsi="MingLiU_HKSCS"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电子信箱：</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通信地址：</w:t>
      </w:r>
      <w:r>
        <w:rPr>
          <w:rFonts w:hint="eastAsia" w:ascii="MingLiU_HKSCS" w:hAnsi="MingLiU_HKSCS" w:eastAsia="宋体" w:cs="MingLiU_HKSCS"/>
          <w:szCs w:val="21"/>
          <w:u w:val="single"/>
        </w:rPr>
        <w:t xml:space="preserve">  </w:t>
      </w:r>
      <w:r>
        <w:rPr>
          <w:rFonts w:hint="eastAsia" w:ascii="宋体" w:hAnsi="宋体" w:eastAsia="宋体" w:cs="宋体"/>
          <w:szCs w:val="21"/>
          <w:u w:val="single"/>
        </w:rPr>
        <w:t xml:space="preserve">  </w:t>
      </w:r>
      <w:r>
        <w:rPr>
          <w:rFonts w:hint="eastAsia" w:ascii="MingLiU_HKSCS" w:hAnsi="MingLiU_HKSCS" w:eastAsia="宋体" w:cs="MingLiU_HKSCS"/>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ascii="宋体" w:hAnsi="宋体" w:eastAsia="宋体" w:cs="Times New Roman"/>
          <w:szCs w:val="21"/>
        </w:rPr>
        <w:t>关于监理人的其他约定：</w:t>
      </w:r>
      <w:r>
        <w:rPr>
          <w:rFonts w:hint="eastAsia" w:ascii="宋体" w:hAnsi="宋体" w:eastAsia="宋体" w:cs="Times New Roman"/>
          <w:szCs w:val="21"/>
          <w:u w:val="single"/>
        </w:rPr>
        <w:t>按通用合同条款4.2和4.3执行</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4.4 商定或确定</w:t>
      </w:r>
    </w:p>
    <w:p>
      <w:pPr>
        <w:spacing w:line="400" w:lineRule="exact"/>
        <w:ind w:firstLine="420" w:firstLineChars="200"/>
        <w:rPr>
          <w:rFonts w:hint="eastAsia" w:ascii="宋体" w:hAnsi="宋体" w:eastAsia="宋体" w:cs="Times New Roman"/>
          <w:szCs w:val="21"/>
        </w:rPr>
      </w:pPr>
      <w:bookmarkStart w:id="131" w:name="_Toc267251418"/>
      <w:r>
        <w:rPr>
          <w:rFonts w:ascii="宋体" w:hAnsi="宋体" w:eastAsia="宋体" w:cs="Times New Roman"/>
          <w:szCs w:val="21"/>
        </w:rPr>
        <w:t>在发包人和承包人不能通过协商达成一致意见时，发包人授权监理人对以下事项进行确定：</w:t>
      </w:r>
      <w:r>
        <w:rPr>
          <w:rFonts w:hint="eastAsia" w:ascii="宋体" w:hAnsi="宋体" w:eastAsia="宋体" w:cs="Times New Roman"/>
          <w:szCs w:val="21"/>
          <w:u w:val="single"/>
        </w:rPr>
        <w:t>按通用合同条款4.4执行。</w:t>
      </w:r>
    </w:p>
    <w:p>
      <w:pPr>
        <w:spacing w:after="120" w:line="400" w:lineRule="exact"/>
        <w:rPr>
          <w:rFonts w:ascii="宋体" w:hAnsi="宋体" w:eastAsia="宋体" w:cs="Times New Roman"/>
          <w:b/>
          <w:szCs w:val="21"/>
        </w:rPr>
      </w:pPr>
      <w:bookmarkStart w:id="132" w:name="_Toc351203637"/>
      <w:r>
        <w:rPr>
          <w:rFonts w:ascii="宋体" w:hAnsi="宋体" w:eastAsia="宋体" w:cs="Times New Roman"/>
          <w:b/>
          <w:szCs w:val="21"/>
        </w:rPr>
        <w:t>5</w:t>
      </w:r>
      <w:bookmarkEnd w:id="131"/>
      <w:bookmarkStart w:id="133" w:name="_Toc297048349"/>
      <w:bookmarkStart w:id="134" w:name="_Toc296347162"/>
      <w:bookmarkStart w:id="135" w:name="_Toc292559367"/>
      <w:bookmarkStart w:id="136" w:name="_Toc296944502"/>
      <w:bookmarkStart w:id="137" w:name="_Toc296346664"/>
      <w:bookmarkStart w:id="138" w:name="_Toc296890991"/>
      <w:bookmarkStart w:id="139" w:name="_Toc297120463"/>
      <w:bookmarkStart w:id="140" w:name="_Toc296891203"/>
      <w:bookmarkStart w:id="141" w:name="_Toc296503163"/>
      <w:bookmarkStart w:id="142" w:name="_Toc292559872"/>
      <w:r>
        <w:rPr>
          <w:rFonts w:ascii="宋体" w:hAnsi="宋体" w:eastAsia="宋体" w:cs="Times New Roman"/>
          <w:b/>
          <w:szCs w:val="21"/>
        </w:rPr>
        <w:t>. 工程质量</w:t>
      </w:r>
      <w:bookmarkEnd w:id="132"/>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5.1 质量要求</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5</w:t>
      </w:r>
      <w:bookmarkStart w:id="143" w:name="_Toc297216155"/>
      <w:bookmarkStart w:id="144" w:name="_Toc304295527"/>
      <w:bookmarkStart w:id="145" w:name="_Toc297123496"/>
      <w:bookmarkStart w:id="146" w:name="_Toc300934949"/>
      <w:bookmarkStart w:id="147" w:name="_Toc312677997"/>
      <w:bookmarkStart w:id="148" w:name="_Toc303539106"/>
      <w:bookmarkStart w:id="149" w:name="_Toc318581164"/>
      <w:r>
        <w:rPr>
          <w:rFonts w:ascii="宋体" w:hAnsi="宋体" w:eastAsia="宋体" w:cs="Times New Roman"/>
          <w:szCs w:val="21"/>
        </w:rPr>
        <w:t>.1.1质量标准和要求：</w:t>
      </w:r>
      <w:r>
        <w:rPr>
          <w:rFonts w:hint="eastAsia" w:ascii="宋体" w:hAnsi="宋体" w:eastAsia="宋体" w:cs="Times New Roman"/>
          <w:szCs w:val="21"/>
          <w:u w:val="single"/>
        </w:rPr>
        <w:t>合格</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关于工程奖项的约定：</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5.3 隐蔽工程检查</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5.3.2承包人提前通知监理人隐蔽工程检查的期限的约定：</w:t>
      </w:r>
      <w:r>
        <w:rPr>
          <w:rFonts w:hint="eastAsia" w:ascii="宋体" w:hAnsi="宋体" w:eastAsia="宋体" w:cs="Times New Roman"/>
          <w:szCs w:val="21"/>
          <w:u w:val="single"/>
        </w:rPr>
        <w:t>按通用合同条款5.3.2执行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监理人不能按时进行检查时，应提前</w:t>
      </w:r>
      <w:r>
        <w:rPr>
          <w:rFonts w:hint="eastAsia" w:ascii="宋体" w:hAnsi="宋体" w:eastAsia="宋体" w:cs="Times New Roman"/>
          <w:szCs w:val="21"/>
          <w:u w:val="single"/>
        </w:rPr>
        <w:t>12</w:t>
      </w:r>
      <w:r>
        <w:rPr>
          <w:rFonts w:ascii="宋体" w:hAnsi="宋体" w:eastAsia="宋体" w:cs="Times New Roman"/>
          <w:szCs w:val="21"/>
        </w:rPr>
        <w:t>小时提交书面延期要求。</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关于延期最长不得超过：</w:t>
      </w:r>
      <w:r>
        <w:rPr>
          <w:rFonts w:hint="eastAsia" w:ascii="宋体" w:hAnsi="宋体" w:eastAsia="宋体" w:cs="Times New Roman"/>
          <w:szCs w:val="21"/>
          <w:u w:val="single"/>
        </w:rPr>
        <w:t>48</w:t>
      </w:r>
      <w:r>
        <w:rPr>
          <w:rFonts w:ascii="宋体" w:hAnsi="宋体" w:eastAsia="宋体" w:cs="Times New Roman"/>
          <w:szCs w:val="21"/>
        </w:rPr>
        <w:t>小时。</w:t>
      </w:r>
    </w:p>
    <w:p>
      <w:pPr>
        <w:spacing w:after="120" w:line="400" w:lineRule="exact"/>
        <w:rPr>
          <w:rFonts w:ascii="宋体" w:hAnsi="宋体" w:eastAsia="宋体" w:cs="Times New Roman"/>
          <w:b/>
          <w:szCs w:val="21"/>
        </w:rPr>
      </w:pPr>
      <w:bookmarkStart w:id="150" w:name="_Toc351203638"/>
      <w:r>
        <w:rPr>
          <w:rFonts w:ascii="宋体" w:hAnsi="宋体" w:eastAsia="宋体" w:cs="Times New Roman"/>
          <w:b/>
          <w:szCs w:val="21"/>
        </w:rPr>
        <w:t>6. 安全文明施工与环境保护</w:t>
      </w:r>
      <w:bookmarkEnd w:id="150"/>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6.1安全文明施工</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6.1.1 项目安全生产的达标目标及相应事项的约定：</w:t>
      </w:r>
      <w:r>
        <w:rPr>
          <w:rFonts w:hint="eastAsia" w:ascii="宋体" w:hAnsi="宋体" w:eastAsia="宋体" w:cs="Times New Roman"/>
          <w:szCs w:val="21"/>
          <w:u w:val="single"/>
        </w:rPr>
        <w:t>按通用合同条款6.1执行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6.1.4 关于治安保卫的特别约定：</w:t>
      </w:r>
      <w:r>
        <w:rPr>
          <w:rFonts w:hint="eastAsia" w:ascii="宋体" w:hAnsi="宋体" w:eastAsia="宋体" w:cs="Times New Roman"/>
          <w:szCs w:val="21"/>
          <w:u w:val="single"/>
        </w:rPr>
        <w:t>按通用合同条款6.1.4执行</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关于编制施工场地治安管理计划的约定：</w:t>
      </w:r>
      <w:r>
        <w:rPr>
          <w:rFonts w:hint="eastAsia" w:ascii="宋体" w:hAnsi="宋体" w:eastAsia="宋体" w:cs="Times New Roman"/>
          <w:szCs w:val="21"/>
          <w:u w:val="single"/>
        </w:rPr>
        <w:t>按通用合同条款6.1.4执行</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6.1.5 文明施工</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合同当事人对文明施工的要求：</w:t>
      </w:r>
      <w:r>
        <w:rPr>
          <w:rFonts w:hint="eastAsia" w:ascii="宋体" w:hAnsi="宋体" w:eastAsia="宋体" w:cs="Times New Roman"/>
          <w:szCs w:val="21"/>
          <w:u w:val="single"/>
        </w:rPr>
        <w:t>按通用合同条款6.1.5执行</w:t>
      </w:r>
      <w:r>
        <w:rPr>
          <w:rFonts w:hint="eastAsia"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6.1.6 关于安全文明施工费支付比例和支付期限的约定：</w:t>
      </w:r>
      <w:r>
        <w:rPr>
          <w:rFonts w:hint="eastAsia" w:ascii="宋体" w:hAnsi="宋体" w:eastAsia="宋体" w:cs="Times New Roman"/>
          <w:szCs w:val="21"/>
          <w:u w:val="single"/>
        </w:rPr>
        <w:t>按通用合同条款6.1.6执行</w:t>
      </w:r>
      <w:r>
        <w:rPr>
          <w:rFonts w:ascii="宋体" w:hAnsi="宋体" w:eastAsia="宋体" w:cs="Times New Roman"/>
          <w:szCs w:val="21"/>
        </w:rPr>
        <w:t>。</w:t>
      </w:r>
    </w:p>
    <w:bookmarkEnd w:id="143"/>
    <w:bookmarkEnd w:id="144"/>
    <w:bookmarkEnd w:id="145"/>
    <w:bookmarkEnd w:id="146"/>
    <w:bookmarkEnd w:id="147"/>
    <w:bookmarkEnd w:id="148"/>
    <w:bookmarkEnd w:id="149"/>
    <w:p>
      <w:pPr>
        <w:spacing w:after="120" w:line="400" w:lineRule="exact"/>
        <w:rPr>
          <w:rFonts w:ascii="宋体" w:hAnsi="宋体" w:eastAsia="宋体" w:cs="Times New Roman"/>
          <w:b/>
          <w:szCs w:val="21"/>
        </w:rPr>
      </w:pPr>
      <w:bookmarkStart w:id="151" w:name="_Toc351203639"/>
      <w:r>
        <w:rPr>
          <w:rFonts w:ascii="宋体" w:hAnsi="宋体" w:eastAsia="宋体" w:cs="Times New Roman"/>
          <w:b/>
          <w:szCs w:val="21"/>
        </w:rPr>
        <w:t>7. 工期和进度</w:t>
      </w:r>
      <w:bookmarkEnd w:id="151"/>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7.1 施工组织设计</w:t>
      </w:r>
    </w:p>
    <w:p>
      <w:pPr>
        <w:autoSpaceDE w:val="0"/>
        <w:autoSpaceDN w:val="0"/>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7.1.</w:t>
      </w:r>
      <w:r>
        <w:rPr>
          <w:rFonts w:hint="eastAsia" w:ascii="宋体" w:hAnsi="宋体" w:eastAsia="宋体" w:cs="Times New Roman"/>
          <w:szCs w:val="21"/>
        </w:rPr>
        <w:t>1 合同当事人约定的</w:t>
      </w:r>
      <w:r>
        <w:rPr>
          <w:rFonts w:ascii="宋体" w:hAnsi="宋体" w:eastAsia="宋体" w:cs="Times New Roman"/>
          <w:szCs w:val="21"/>
        </w:rPr>
        <w:t>施工组织设计</w:t>
      </w:r>
      <w:r>
        <w:rPr>
          <w:rFonts w:hint="eastAsia" w:ascii="宋体" w:hAnsi="宋体" w:eastAsia="宋体" w:cs="Times New Roman"/>
          <w:szCs w:val="21"/>
        </w:rPr>
        <w:t>应包括的其他内容</w:t>
      </w:r>
      <w:r>
        <w:rPr>
          <w:rFonts w:ascii="宋体" w:hAnsi="宋体" w:eastAsia="宋体" w:cs="Times New Roman"/>
          <w:szCs w:val="21"/>
        </w:rPr>
        <w:t>：</w:t>
      </w:r>
      <w:r>
        <w:rPr>
          <w:rFonts w:hint="eastAsia" w:ascii="宋体" w:hAnsi="宋体" w:eastAsia="宋体" w:cs="Times New Roman"/>
          <w:szCs w:val="21"/>
          <w:u w:val="single"/>
        </w:rPr>
        <w:t>（1）施工方案； （2）施工现场平面布置图；（3）施工进度计划和保证措施； （4）劳动力及材料供应计划；（5）施工机械设备的选用；（6）质量保证体系及措施；（7）安全生产、文明施工措施；（8）环境保护、成本控制措施；（9）合同当事人约定的其他内容</w:t>
      </w:r>
      <w:r>
        <w:rPr>
          <w:rFonts w:ascii="宋体" w:hAnsi="宋体" w:eastAsia="宋体" w:cs="Times New Roman"/>
          <w:szCs w:val="21"/>
        </w:rPr>
        <w:t>。</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7.1.2 施工组织设计的提交和修改</w:t>
      </w:r>
    </w:p>
    <w:p>
      <w:pPr>
        <w:autoSpaceDE w:val="0"/>
        <w:autoSpaceDN w:val="0"/>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承包人提交详细施工组织设计的期限的约定：</w:t>
      </w:r>
      <w:r>
        <w:rPr>
          <w:rFonts w:hint="eastAsia" w:ascii="宋体" w:hAnsi="宋体" w:eastAsia="宋体" w:cs="Times New Roman"/>
          <w:szCs w:val="21"/>
          <w:u w:val="single"/>
        </w:rPr>
        <w:t>承包人应在合同签订后   天内，但至迟不得晚于开工日期前    天</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发包人和监理人在收到</w:t>
      </w:r>
      <w:r>
        <w:rPr>
          <w:rFonts w:hint="eastAsia" w:ascii="宋体" w:hAnsi="宋体" w:eastAsia="宋体" w:cs="Times New Roman"/>
          <w:szCs w:val="21"/>
        </w:rPr>
        <w:t>详细的施工组织设计</w:t>
      </w:r>
      <w:r>
        <w:rPr>
          <w:rFonts w:ascii="宋体" w:hAnsi="宋体" w:eastAsia="宋体" w:cs="Times New Roman"/>
          <w:szCs w:val="21"/>
        </w:rPr>
        <w:t>后确认或提出修改意见的期限：</w:t>
      </w:r>
      <w:r>
        <w:rPr>
          <w:rFonts w:hint="eastAsia" w:ascii="宋体" w:hAnsi="宋体" w:eastAsia="宋体" w:cs="Times New Roman"/>
          <w:szCs w:val="21"/>
          <w:u w:val="single"/>
        </w:rPr>
        <w:t>发包人和监理人应在监理人收到施工组织设计后     天内确认或提出修改意见</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w:t>
      </w:r>
      <w:bookmarkStart w:id="152" w:name="_Toc312678005"/>
      <w:bookmarkStart w:id="153" w:name="_Toc312677479"/>
      <w:bookmarkStart w:id="154" w:name="_Toc297216173"/>
      <w:bookmarkStart w:id="155" w:name="_Toc300934966"/>
      <w:bookmarkStart w:id="156" w:name="_Toc304295541"/>
      <w:bookmarkStart w:id="157" w:name="_Toc303539123"/>
      <w:bookmarkStart w:id="158" w:name="_Toc297123514"/>
      <w:r>
        <w:rPr>
          <w:rFonts w:ascii="宋体" w:hAnsi="宋体" w:eastAsia="宋体" w:cs="Times New Roman"/>
          <w:szCs w:val="21"/>
        </w:rPr>
        <w:t>.2 施工进度计划</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7.2.2 施工进度计划的修订</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发包人和监理人在收到修订的施工进度计划后确认或提出修改意见的期限：</w:t>
      </w:r>
      <w:r>
        <w:rPr>
          <w:rFonts w:hint="eastAsia" w:ascii="宋体" w:hAnsi="宋体" w:eastAsia="宋体" w:cs="Times New Roman"/>
          <w:szCs w:val="21"/>
          <w:u w:val="single"/>
        </w:rPr>
        <w:t>发包人和监理人应在收到修订的施工进度计划后     天内完成审核和批准或提出修改意见</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7.3 开工</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7.3.1 开工准备</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关于承包人提交工程开工报审表的期限：</w:t>
      </w:r>
      <w:r>
        <w:rPr>
          <w:rFonts w:hint="eastAsia" w:ascii="宋体" w:hAnsi="宋体" w:eastAsia="宋体" w:cs="Times New Roman"/>
          <w:szCs w:val="21"/>
          <w:u w:val="single"/>
        </w:rPr>
        <w:t>按通用合同条款7.3.1执行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关于发包人应完成的其他开工准备工作及期限：</w:t>
      </w:r>
      <w:r>
        <w:rPr>
          <w:rFonts w:hint="eastAsia" w:ascii="宋体" w:hAnsi="宋体" w:eastAsia="宋体" w:cs="Times New Roman"/>
          <w:szCs w:val="21"/>
          <w:u w:val="single"/>
        </w:rPr>
        <w:t>按通用合同条款7.3.1执行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关于承包人应完成的其他开工准备工作及期限：</w:t>
      </w:r>
      <w:r>
        <w:rPr>
          <w:rFonts w:hint="eastAsia" w:ascii="宋体" w:hAnsi="宋体" w:eastAsia="宋体" w:cs="Times New Roman"/>
          <w:szCs w:val="21"/>
          <w:u w:val="single"/>
        </w:rPr>
        <w:t>按通用合同条款7.3.1执行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7.3.2开工通知</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因发包人原因造成监理人未能在计划开工日期之日起</w:t>
      </w:r>
      <w:r>
        <w:rPr>
          <w:rFonts w:ascii="宋体" w:hAnsi="宋体" w:eastAsia="宋体" w:cs="Times New Roman"/>
          <w:szCs w:val="21"/>
          <w:u w:val="single"/>
        </w:rPr>
        <w:t xml:space="preserve">     </w:t>
      </w:r>
      <w:r>
        <w:rPr>
          <w:rFonts w:ascii="宋体" w:hAnsi="宋体" w:eastAsia="宋体" w:cs="Times New Roman"/>
          <w:szCs w:val="21"/>
        </w:rPr>
        <w:t>天内发出开工通知的，承包人有权提出价格调整要求，或者解除合同。</w:t>
      </w:r>
    </w:p>
    <w:bookmarkEnd w:id="152"/>
    <w:bookmarkEnd w:id="153"/>
    <w:bookmarkEnd w:id="154"/>
    <w:bookmarkEnd w:id="155"/>
    <w:bookmarkEnd w:id="156"/>
    <w:bookmarkEnd w:id="157"/>
    <w:bookmarkEnd w:id="158"/>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7.4 测量放线</w:t>
      </w:r>
    </w:p>
    <w:p>
      <w:pPr>
        <w:spacing w:line="400" w:lineRule="exact"/>
        <w:ind w:firstLine="420" w:firstLineChars="200"/>
        <w:jc w:val="left"/>
        <w:rPr>
          <w:rFonts w:hint="eastAsia" w:ascii="宋体" w:hAnsi="宋体" w:eastAsia="宋体" w:cs="Times New Roman"/>
          <w:szCs w:val="21"/>
          <w:u w:val="single"/>
        </w:rPr>
      </w:pPr>
      <w:r>
        <w:rPr>
          <w:rFonts w:ascii="宋体" w:hAnsi="宋体" w:eastAsia="宋体" w:cs="Times New Roman"/>
          <w:szCs w:val="21"/>
        </w:rPr>
        <w:t>7.4.1发包人通过监理人向承包人提供测量基准点、基准线和水准点及其书面资料的期限：</w:t>
      </w:r>
      <w:r>
        <w:rPr>
          <w:rFonts w:hint="eastAsia" w:ascii="宋体" w:hAnsi="宋体" w:eastAsia="宋体" w:cs="Times New Roman"/>
          <w:szCs w:val="21"/>
          <w:u w:val="single"/>
        </w:rPr>
        <w:t>发包人应在至迟不得晚于开工日期前    天通过监理人向承包人提供测量基准点、基准线和水准点及其书面资料</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w:t>
      </w:r>
      <w:bookmarkStart w:id="159" w:name="_Toc304295546"/>
      <w:bookmarkStart w:id="160" w:name="_Toc297216175"/>
      <w:bookmarkStart w:id="161" w:name="_Toc312677484"/>
      <w:bookmarkStart w:id="162" w:name="_Toc312678010"/>
      <w:bookmarkStart w:id="163" w:name="_Toc303539125"/>
      <w:bookmarkStart w:id="164" w:name="_Toc300934968"/>
      <w:bookmarkStart w:id="165" w:name="_Toc297123516"/>
      <w:r>
        <w:rPr>
          <w:rFonts w:ascii="宋体" w:hAnsi="宋体" w:eastAsia="宋体" w:cs="Times New Roman"/>
          <w:szCs w:val="21"/>
        </w:rPr>
        <w:t>.5 工期延误</w:t>
      </w:r>
    </w:p>
    <w:bookmarkEnd w:id="159"/>
    <w:bookmarkEnd w:id="160"/>
    <w:bookmarkEnd w:id="161"/>
    <w:bookmarkEnd w:id="162"/>
    <w:bookmarkEnd w:id="163"/>
    <w:bookmarkEnd w:id="164"/>
    <w:bookmarkEnd w:id="165"/>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7.5.1 因发包人原因导致工期延误</w:t>
      </w:r>
    </w:p>
    <w:p>
      <w:pPr>
        <w:spacing w:line="400" w:lineRule="exact"/>
        <w:ind w:firstLine="315" w:firstLineChars="150"/>
        <w:jc w:val="left"/>
        <w:rPr>
          <w:rFonts w:ascii="宋体" w:hAnsi="宋体" w:eastAsia="宋体" w:cs="Times New Roman"/>
          <w:szCs w:val="21"/>
        </w:rPr>
      </w:pPr>
      <w:r>
        <w:rPr>
          <w:rFonts w:ascii="宋体" w:hAnsi="宋体" w:eastAsia="宋体" w:cs="Times New Roman"/>
          <w:szCs w:val="21"/>
        </w:rPr>
        <w:t>（7）因发包人原因导致工期延误的其他情形：</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w:t>
      </w:r>
      <w:bookmarkStart w:id="166" w:name="_Toc312678012"/>
      <w:bookmarkStart w:id="167" w:name="_Toc312677486"/>
      <w:bookmarkStart w:id="168" w:name="_Toc318581169"/>
      <w:bookmarkStart w:id="169" w:name="_Toc297216177"/>
      <w:bookmarkStart w:id="170" w:name="_Toc297123518"/>
      <w:bookmarkStart w:id="171" w:name="_Toc304295548"/>
      <w:bookmarkStart w:id="172" w:name="_Toc303539127"/>
      <w:bookmarkStart w:id="173" w:name="_Toc300934970"/>
      <w:r>
        <w:rPr>
          <w:rFonts w:ascii="宋体" w:hAnsi="宋体" w:eastAsia="宋体" w:cs="Times New Roman"/>
          <w:szCs w:val="21"/>
        </w:rPr>
        <w:t>.5.2 因承包人原因导致工期延误</w:t>
      </w:r>
    </w:p>
    <w:bookmarkEnd w:id="166"/>
    <w:bookmarkEnd w:id="167"/>
    <w:bookmarkEnd w:id="168"/>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因</w:t>
      </w:r>
      <w:bookmarkStart w:id="174" w:name="_Toc312678013"/>
      <w:bookmarkStart w:id="175" w:name="_Toc312677487"/>
      <w:bookmarkStart w:id="176" w:name="_Toc318581170"/>
      <w:r>
        <w:rPr>
          <w:rFonts w:ascii="宋体" w:hAnsi="宋体" w:eastAsia="宋体" w:cs="Times New Roman"/>
          <w:szCs w:val="21"/>
        </w:rPr>
        <w:t>承包人原因造成工期延误，逾期竣工违约金的计算方法为：</w:t>
      </w:r>
      <w:r>
        <w:rPr>
          <w:rFonts w:hint="eastAsia" w:ascii="宋体" w:hAnsi="宋体" w:eastAsia="宋体" w:cs="Times New Roman"/>
          <w:szCs w:val="21"/>
          <w:u w:val="single"/>
        </w:rPr>
        <w:t>逾期竣工应向发包人支付误期赔偿费（每逾期一天赔偿金额为合同总价的万分之四），误期时间从规定竣工日期起直到全部工程或相应部分工程的移交竣工报告的批准日期之间的天数（不足一天的按一天计算）</w:t>
      </w:r>
      <w:r>
        <w:rPr>
          <w:rFonts w:ascii="宋体" w:hAnsi="宋体" w:eastAsia="宋体" w:cs="Times New Roman"/>
          <w:szCs w:val="21"/>
        </w:rPr>
        <w:t>。</w:t>
      </w:r>
      <w:bookmarkEnd w:id="169"/>
      <w:bookmarkEnd w:id="170"/>
      <w:bookmarkEnd w:id="171"/>
      <w:bookmarkEnd w:id="172"/>
      <w:bookmarkEnd w:id="173"/>
      <w:bookmarkEnd w:id="174"/>
      <w:bookmarkEnd w:id="175"/>
    </w:p>
    <w:bookmarkEnd w:id="176"/>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因承包人原因造成工期延误，逾</w:t>
      </w:r>
      <w:bookmarkStart w:id="177" w:name="_Toc318581171"/>
      <w:bookmarkStart w:id="178" w:name="_Toc312678014"/>
      <w:r>
        <w:rPr>
          <w:rFonts w:ascii="宋体" w:hAnsi="宋体" w:eastAsia="宋体" w:cs="Times New Roman"/>
          <w:szCs w:val="21"/>
        </w:rPr>
        <w:t>期竣工违约金的上限：</w:t>
      </w:r>
      <w:r>
        <w:rPr>
          <w:rFonts w:hint="eastAsia" w:ascii="宋体" w:hAnsi="宋体" w:eastAsia="宋体" w:cs="Times New Roman"/>
          <w:szCs w:val="21"/>
          <w:u w:val="single"/>
        </w:rPr>
        <w:t>合同价的10%</w:t>
      </w:r>
      <w:r>
        <w:rPr>
          <w:rFonts w:ascii="宋体" w:hAnsi="宋体" w:eastAsia="宋体" w:cs="Times New Roman"/>
          <w:szCs w:val="21"/>
        </w:rPr>
        <w:t>。</w:t>
      </w:r>
    </w:p>
    <w:bookmarkEnd w:id="177"/>
    <w:bookmarkEnd w:id="178"/>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w:t>
      </w:r>
      <w:bookmarkStart w:id="179" w:name="_Toc297216178"/>
      <w:bookmarkStart w:id="180" w:name="_Toc303539128"/>
      <w:bookmarkStart w:id="181" w:name="_Toc300934971"/>
      <w:bookmarkStart w:id="182" w:name="_Toc312678015"/>
      <w:bookmarkStart w:id="183" w:name="_Toc297123519"/>
      <w:bookmarkStart w:id="184" w:name="_Toc304295549"/>
      <w:r>
        <w:rPr>
          <w:rFonts w:ascii="宋体" w:hAnsi="宋体" w:eastAsia="宋体" w:cs="Times New Roman"/>
          <w:szCs w:val="21"/>
        </w:rPr>
        <w:t>.6 不</w:t>
      </w:r>
      <w:bookmarkEnd w:id="179"/>
      <w:bookmarkEnd w:id="180"/>
      <w:bookmarkEnd w:id="181"/>
      <w:bookmarkEnd w:id="182"/>
      <w:bookmarkEnd w:id="183"/>
      <w:bookmarkEnd w:id="184"/>
      <w:r>
        <w:rPr>
          <w:rFonts w:ascii="宋体" w:hAnsi="宋体" w:eastAsia="宋体" w:cs="Times New Roman"/>
          <w:szCs w:val="21"/>
        </w:rPr>
        <w:t>利物质条件</w:t>
      </w:r>
    </w:p>
    <w:p>
      <w:pPr>
        <w:spacing w:line="400" w:lineRule="exact"/>
        <w:ind w:firstLine="420" w:firstLineChars="200"/>
        <w:jc w:val="left"/>
        <w:rPr>
          <w:rFonts w:ascii="宋体" w:hAnsi="宋体" w:eastAsia="宋体" w:cs="Times New Roman"/>
          <w:szCs w:val="21"/>
        </w:rPr>
      </w:pPr>
      <w:bookmarkStart w:id="185" w:name="_Toc312678016"/>
      <w:bookmarkStart w:id="186" w:name="_Toc304295550"/>
      <w:bookmarkStart w:id="187" w:name="_Toc300934972"/>
      <w:bookmarkStart w:id="188" w:name="_Toc297216179"/>
      <w:bookmarkStart w:id="189" w:name="_Toc303539129"/>
      <w:bookmarkStart w:id="190" w:name="_Toc297123520"/>
      <w:bookmarkStart w:id="191" w:name="_Toc318581172"/>
      <w:r>
        <w:rPr>
          <w:rFonts w:ascii="宋体" w:hAnsi="宋体" w:eastAsia="宋体" w:cs="Times New Roman"/>
          <w:szCs w:val="21"/>
        </w:rPr>
        <w:t>不利物质条件的其他情形和有关约定：</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bookmarkEnd w:id="185"/>
    <w:bookmarkEnd w:id="186"/>
    <w:bookmarkEnd w:id="187"/>
    <w:bookmarkEnd w:id="188"/>
    <w:bookmarkEnd w:id="189"/>
    <w:bookmarkEnd w:id="190"/>
    <w:bookmarkEnd w:id="191"/>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w:t>
      </w:r>
      <w:bookmarkStart w:id="192" w:name="_Toc312678017"/>
      <w:bookmarkStart w:id="193" w:name="_Toc303539130"/>
      <w:bookmarkStart w:id="194" w:name="_Toc297216180"/>
      <w:bookmarkStart w:id="195" w:name="_Toc300934973"/>
      <w:bookmarkStart w:id="196" w:name="_Toc297123521"/>
      <w:bookmarkStart w:id="197" w:name="_Toc304295551"/>
      <w:r>
        <w:rPr>
          <w:rFonts w:ascii="宋体" w:hAnsi="宋体" w:eastAsia="宋体" w:cs="Times New Roman"/>
          <w:szCs w:val="21"/>
        </w:rPr>
        <w:t>.7异常恶劣的气候条件</w:t>
      </w:r>
    </w:p>
    <w:bookmarkEnd w:id="192"/>
    <w:bookmarkEnd w:id="193"/>
    <w:bookmarkEnd w:id="194"/>
    <w:bookmarkEnd w:id="195"/>
    <w:bookmarkEnd w:id="196"/>
    <w:bookmarkEnd w:id="197"/>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发包人和承包人同意以下情形视为异常恶劣的气候条件：</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（3）</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7.9 提前竣工的奖励</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7.9.2提前竣工的奖励：</w:t>
      </w:r>
      <w:r>
        <w:rPr>
          <w:rFonts w:hint="eastAsia" w:ascii="宋体" w:hAnsi="宋体" w:eastAsia="宋体" w:cs="Times New Roman"/>
          <w:szCs w:val="21"/>
          <w:u w:val="single"/>
        </w:rPr>
        <w:t>无</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rPr>
          <w:rFonts w:ascii="宋体" w:hAnsi="宋体" w:eastAsia="宋体" w:cs="Times New Roman"/>
          <w:b/>
          <w:szCs w:val="21"/>
        </w:rPr>
      </w:pPr>
      <w:bookmarkStart w:id="198" w:name="_Toc351203640"/>
      <w:r>
        <w:rPr>
          <w:rFonts w:ascii="宋体" w:hAnsi="宋体" w:eastAsia="宋体" w:cs="Times New Roman"/>
          <w:b/>
          <w:szCs w:val="21"/>
        </w:rPr>
        <w:t>8. 材料与设备</w:t>
      </w:r>
      <w:bookmarkEnd w:id="198"/>
    </w:p>
    <w:bookmarkEnd w:id="133"/>
    <w:bookmarkEnd w:id="134"/>
    <w:bookmarkEnd w:id="135"/>
    <w:bookmarkEnd w:id="136"/>
    <w:bookmarkEnd w:id="137"/>
    <w:bookmarkEnd w:id="138"/>
    <w:bookmarkEnd w:id="139"/>
    <w:bookmarkEnd w:id="140"/>
    <w:bookmarkEnd w:id="141"/>
    <w:bookmarkEnd w:id="142"/>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8</w:t>
      </w:r>
      <w:bookmarkStart w:id="199" w:name="_Toc296347166"/>
      <w:bookmarkStart w:id="200" w:name="_Toc296503167"/>
      <w:bookmarkStart w:id="201" w:name="_Toc296890995"/>
      <w:bookmarkStart w:id="202" w:name="_Toc296891207"/>
      <w:bookmarkStart w:id="203" w:name="_Toc296944506"/>
      <w:bookmarkStart w:id="204" w:name="_Toc297048353"/>
      <w:bookmarkStart w:id="205" w:name="_Toc297120467"/>
      <w:bookmarkStart w:id="206" w:name="_Toc297123527"/>
      <w:bookmarkStart w:id="207" w:name="_Toc297216186"/>
      <w:bookmarkStart w:id="208" w:name="_Toc300934979"/>
      <w:bookmarkStart w:id="209" w:name="_Toc296346668"/>
      <w:bookmarkStart w:id="210" w:name="_Toc304295556"/>
      <w:bookmarkStart w:id="211" w:name="_Toc312677493"/>
      <w:bookmarkStart w:id="212" w:name="_Toc312678019"/>
      <w:bookmarkStart w:id="213" w:name="_Toc280868654"/>
      <w:bookmarkStart w:id="214" w:name="_Toc292559372"/>
      <w:bookmarkStart w:id="215" w:name="_Toc292559877"/>
      <w:bookmarkStart w:id="216" w:name="_Toc303539136"/>
      <w:bookmarkStart w:id="217" w:name="_Toc280868656"/>
      <w:bookmarkStart w:id="218" w:name="_Toc280868655"/>
      <w:bookmarkStart w:id="219" w:name="_Toc267251424"/>
      <w:r>
        <w:rPr>
          <w:rFonts w:ascii="宋体" w:hAnsi="宋体" w:eastAsia="宋体" w:cs="Times New Roman"/>
          <w:szCs w:val="21"/>
        </w:rPr>
        <w:t>.4材料与工程设备的保管与使用</w:t>
      </w:r>
    </w:p>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8</w:t>
      </w:r>
      <w:bookmarkStart w:id="220" w:name="_Toc292559373"/>
      <w:bookmarkStart w:id="221" w:name="_Toc292559878"/>
      <w:bookmarkStart w:id="222" w:name="_Toc300934980"/>
      <w:bookmarkStart w:id="223" w:name="_Toc304295557"/>
      <w:bookmarkStart w:id="224" w:name="_Toc303539137"/>
      <w:bookmarkStart w:id="225" w:name="_Toc312678020"/>
      <w:bookmarkStart w:id="226" w:name="_Toc318581173"/>
      <w:bookmarkStart w:id="227" w:name="_Toc296346669"/>
      <w:bookmarkStart w:id="228" w:name="_Toc296347167"/>
      <w:bookmarkStart w:id="229" w:name="_Toc296503168"/>
      <w:bookmarkStart w:id="230" w:name="_Toc296890996"/>
      <w:bookmarkStart w:id="231" w:name="_Toc296891208"/>
      <w:bookmarkStart w:id="232" w:name="_Toc297216187"/>
      <w:bookmarkStart w:id="233" w:name="_Toc297048354"/>
      <w:bookmarkStart w:id="234" w:name="_Toc296944507"/>
      <w:bookmarkStart w:id="235" w:name="_Toc312677494"/>
      <w:bookmarkStart w:id="236" w:name="_Toc297120468"/>
      <w:bookmarkStart w:id="237" w:name="_Toc297123528"/>
      <w:r>
        <w:rPr>
          <w:rFonts w:ascii="宋体" w:hAnsi="宋体" w:eastAsia="宋体" w:cs="Times New Roman"/>
          <w:szCs w:val="21"/>
        </w:rPr>
        <w:t>.4.1发包人供应的材料设备</w:t>
      </w:r>
      <w:r>
        <w:rPr>
          <w:rFonts w:hint="eastAsia" w:ascii="宋体" w:hAnsi="宋体" w:eastAsia="宋体" w:cs="Times New Roman"/>
          <w:szCs w:val="21"/>
        </w:rPr>
        <w:t>以及</w:t>
      </w:r>
      <w:r>
        <w:rPr>
          <w:rFonts w:ascii="宋体" w:hAnsi="宋体" w:eastAsia="宋体" w:cs="Times New Roman"/>
          <w:szCs w:val="21"/>
        </w:rPr>
        <w:t>保管费用的承担：</w:t>
      </w:r>
      <w:r>
        <w:rPr>
          <w:rFonts w:hint="eastAsia" w:ascii="宋体" w:hAnsi="宋体" w:eastAsia="宋体" w:cs="Times New Roman"/>
          <w:szCs w:val="21"/>
          <w:u w:val="single"/>
        </w:rPr>
        <w:t xml:space="preserve">无 </w:t>
      </w:r>
      <w:r>
        <w:rPr>
          <w:rFonts w:ascii="宋体" w:hAnsi="宋体" w:eastAsia="宋体" w:cs="Times New Roman"/>
          <w:szCs w:val="21"/>
        </w:rPr>
        <w:t>。</w:t>
      </w:r>
      <w:bookmarkEnd w:id="220"/>
      <w:bookmarkEnd w:id="221"/>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8.4.2</w:t>
      </w:r>
      <w:r>
        <w:rPr>
          <w:rFonts w:hint="eastAsia" w:ascii="Times New Roman" w:hAnsi="Times New Roman" w:eastAsia="宋体" w:cs="Times New Roman"/>
          <w:szCs w:val="24"/>
        </w:rPr>
        <w:t>承包人采购材料设备的约定：</w:t>
      </w:r>
      <w:r>
        <w:rPr>
          <w:rFonts w:hint="eastAsia" w:ascii="Times New Roman" w:hAnsi="Times New Roman" w:eastAsia="宋体" w:cs="Times New Roman"/>
          <w:szCs w:val="24"/>
          <w:u w:val="single"/>
        </w:rPr>
        <w:t>本合同工程实行承包人材料设备包干方式，由承包人自购。所购材料必须有产品合格证，实验或检验报告，并由发包人派驻的工程师验证后才能进入施工。</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8.6 样品</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8.6.1</w:t>
      </w:r>
      <w:r>
        <w:rPr>
          <w:rFonts w:hint="eastAsia" w:ascii="宋体" w:hAnsi="宋体" w:eastAsia="宋体" w:cs="Times New Roman"/>
          <w:szCs w:val="21"/>
        </w:rPr>
        <w:t xml:space="preserve"> </w:t>
      </w:r>
      <w:r>
        <w:rPr>
          <w:rFonts w:ascii="宋体" w:hAnsi="宋体" w:eastAsia="宋体" w:cs="Times New Roman"/>
          <w:szCs w:val="21"/>
        </w:rPr>
        <w:t>样品的报送</w:t>
      </w:r>
      <w:r>
        <w:rPr>
          <w:rFonts w:hint="eastAsia" w:ascii="宋体" w:hAnsi="宋体" w:eastAsia="宋体" w:cs="Times New Roman"/>
          <w:szCs w:val="21"/>
        </w:rPr>
        <w:t>与封存</w:t>
      </w:r>
    </w:p>
    <w:p>
      <w:pPr>
        <w:autoSpaceDE w:val="0"/>
        <w:autoSpaceDN w:val="0"/>
        <w:spacing w:line="400" w:lineRule="exact"/>
        <w:jc w:val="left"/>
        <w:rPr>
          <w:rFonts w:ascii="宋体" w:hAnsi="宋体" w:eastAsia="宋体" w:cs="Times New Roman"/>
          <w:szCs w:val="21"/>
        </w:rPr>
      </w:pPr>
      <w:r>
        <w:rPr>
          <w:rFonts w:ascii="宋体" w:hAnsi="宋体" w:eastAsia="宋体" w:cs="Times New Roman"/>
          <w:szCs w:val="21"/>
        </w:rPr>
        <w:t>需要承包人报送样品的材料或工程设备，样品的种类、名称、规格、数量要求：</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8.8 施工设备和临时设施</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8.8.1 承包人提供的施工设备和临时设施</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关于修建临时设施费用承担的约定：</w:t>
      </w:r>
      <w:r>
        <w:rPr>
          <w:rFonts w:hint="eastAsia" w:ascii="宋体" w:hAnsi="宋体" w:eastAsia="宋体" w:cs="Times New Roman"/>
          <w:szCs w:val="21"/>
          <w:u w:val="single"/>
        </w:rPr>
        <w:t>承包人应自行承担修建临时设施的费用，需要临时占地的，应由承包人办理申请手续并承担相应费用</w:t>
      </w:r>
      <w:r>
        <w:rPr>
          <w:rFonts w:ascii="宋体" w:hAnsi="宋体" w:eastAsia="宋体" w:cs="Times New Roman"/>
          <w:szCs w:val="21"/>
        </w:rPr>
        <w:t>。</w:t>
      </w:r>
    </w:p>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Pr>
        <w:spacing w:after="120" w:line="400" w:lineRule="exact"/>
        <w:rPr>
          <w:rFonts w:ascii="宋体" w:hAnsi="宋体" w:eastAsia="宋体" w:cs="Times New Roman"/>
          <w:b/>
          <w:szCs w:val="21"/>
        </w:rPr>
      </w:pPr>
      <w:bookmarkStart w:id="238" w:name="_Toc351203641"/>
      <w:r>
        <w:rPr>
          <w:rFonts w:ascii="宋体" w:hAnsi="宋体" w:eastAsia="宋体" w:cs="Times New Roman"/>
          <w:b/>
          <w:szCs w:val="21"/>
        </w:rPr>
        <w:t>9</w:t>
      </w:r>
      <w:bookmarkEnd w:id="217"/>
      <w:bookmarkEnd w:id="218"/>
      <w:bookmarkEnd w:id="219"/>
      <w:bookmarkStart w:id="239" w:name="_Toc312677495"/>
      <w:bookmarkStart w:id="240" w:name="_Toc304295559"/>
      <w:bookmarkStart w:id="241" w:name="_Toc303539139"/>
      <w:bookmarkStart w:id="242" w:name="_Toc300934982"/>
      <w:bookmarkStart w:id="243" w:name="_Toc297216192"/>
      <w:bookmarkStart w:id="244" w:name="_Toc297123533"/>
      <w:bookmarkStart w:id="245" w:name="_Toc312678021"/>
      <w:bookmarkStart w:id="246" w:name="_Toc267251428"/>
      <w:bookmarkStart w:id="247" w:name="_Toc292559883"/>
      <w:bookmarkStart w:id="248" w:name="_Toc292559378"/>
      <w:bookmarkStart w:id="249" w:name="_Toc297120473"/>
      <w:bookmarkStart w:id="250" w:name="_Toc296347172"/>
      <w:bookmarkStart w:id="251" w:name="_Toc296503173"/>
      <w:bookmarkStart w:id="252" w:name="_Toc267251427"/>
      <w:bookmarkStart w:id="253" w:name="_Toc297048359"/>
      <w:bookmarkStart w:id="254" w:name="_Toc296891213"/>
      <w:bookmarkStart w:id="255" w:name="_Toc296944512"/>
      <w:bookmarkStart w:id="256" w:name="_Toc296891001"/>
      <w:bookmarkStart w:id="257" w:name="_Toc296346674"/>
      <w:r>
        <w:rPr>
          <w:rFonts w:ascii="宋体" w:hAnsi="宋体" w:eastAsia="宋体" w:cs="Times New Roman"/>
          <w:b/>
          <w:szCs w:val="21"/>
        </w:rPr>
        <w:t>. 试验与检验</w:t>
      </w:r>
      <w:bookmarkEnd w:id="238"/>
    </w:p>
    <w:bookmarkEnd w:id="239"/>
    <w:bookmarkEnd w:id="240"/>
    <w:bookmarkEnd w:id="241"/>
    <w:bookmarkEnd w:id="242"/>
    <w:bookmarkEnd w:id="243"/>
    <w:bookmarkEnd w:id="244"/>
    <w:bookmarkEnd w:id="245"/>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9</w:t>
      </w:r>
      <w:bookmarkStart w:id="258" w:name="_Toc297123534"/>
      <w:bookmarkStart w:id="259" w:name="_Toc300934983"/>
      <w:bookmarkStart w:id="260" w:name="_Toc312677496"/>
      <w:bookmarkStart w:id="261" w:name="_Toc304295560"/>
      <w:bookmarkStart w:id="262" w:name="_Toc303539140"/>
      <w:bookmarkStart w:id="263" w:name="_Toc297216193"/>
      <w:bookmarkStart w:id="264" w:name="_Toc312678022"/>
      <w:r>
        <w:rPr>
          <w:rFonts w:ascii="宋体" w:hAnsi="宋体" w:eastAsia="宋体" w:cs="Times New Roman"/>
          <w:szCs w:val="21"/>
        </w:rPr>
        <w:t>.1试验设备与试验人员</w:t>
      </w:r>
    </w:p>
    <w:bookmarkEnd w:id="258"/>
    <w:bookmarkEnd w:id="259"/>
    <w:bookmarkEnd w:id="260"/>
    <w:bookmarkEnd w:id="261"/>
    <w:bookmarkEnd w:id="262"/>
    <w:bookmarkEnd w:id="263"/>
    <w:bookmarkEnd w:id="264"/>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9</w:t>
      </w:r>
      <w:bookmarkStart w:id="265" w:name="_Toc304295561"/>
      <w:bookmarkStart w:id="266" w:name="_Toc297216194"/>
      <w:bookmarkStart w:id="267" w:name="_Toc300934984"/>
      <w:bookmarkStart w:id="268" w:name="_Toc312677497"/>
      <w:bookmarkStart w:id="269" w:name="_Toc297123535"/>
      <w:bookmarkStart w:id="270" w:name="_Toc312678023"/>
      <w:bookmarkStart w:id="271" w:name="_Toc303539141"/>
      <w:bookmarkStart w:id="272" w:name="_Toc318581174"/>
      <w:r>
        <w:rPr>
          <w:rFonts w:ascii="宋体" w:hAnsi="宋体" w:eastAsia="宋体" w:cs="Times New Roman"/>
          <w:szCs w:val="21"/>
        </w:rPr>
        <w:t>.1.2 试验设备</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施工现场需要配置的试验场所：</w:t>
      </w:r>
      <w:bookmarkEnd w:id="265"/>
      <w:bookmarkEnd w:id="266"/>
      <w:bookmarkEnd w:id="267"/>
      <w:bookmarkEnd w:id="268"/>
      <w:bookmarkEnd w:id="269"/>
      <w:bookmarkEnd w:id="270"/>
      <w:bookmarkEnd w:id="271"/>
      <w:bookmarkStart w:id="273" w:name="_Toc300934985"/>
      <w:bookmarkStart w:id="274" w:name="_Toc303539142"/>
      <w:bookmarkStart w:id="275" w:name="_Toc312678024"/>
      <w:bookmarkStart w:id="276" w:name="_Toc304295562"/>
      <w:bookmarkStart w:id="277" w:name="_Toc312677498"/>
      <w:bookmarkStart w:id="278" w:name="_Toc297123536"/>
      <w:bookmarkStart w:id="279" w:name="_Toc297216195"/>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r>
        <w:rPr>
          <w:rFonts w:hint="eastAsia" w:ascii="宋体" w:hAnsi="宋体" w:eastAsia="宋体" w:cs="Times New Roman"/>
          <w:szCs w:val="21"/>
        </w:rPr>
        <w:t xml:space="preserve"> </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施工现场需要配备的试验设备：</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施工现场需要具备的其他试验条件：</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9.4 现场工艺试验</w:t>
      </w:r>
      <w:r>
        <w:rPr>
          <w:rFonts w:hint="eastAsia" w:ascii="宋体" w:hAnsi="宋体" w:eastAsia="宋体" w:cs="Times New Roman"/>
          <w:szCs w:val="21"/>
        </w:rPr>
        <w:t xml:space="preserve"> </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现场工艺试验的有关约定：</w:t>
      </w:r>
      <w:r>
        <w:rPr>
          <w:rFonts w:hint="eastAsia" w:ascii="宋体" w:hAnsi="宋体" w:eastAsia="宋体" w:cs="Times New Roman"/>
          <w:szCs w:val="21"/>
          <w:u w:val="single"/>
        </w:rPr>
        <w:t>承包人应按合同约定或监理人指示进行现场工艺试验。对大型的现场工艺试验，监理人认为必要时，承包人应根据监理人提出的工艺试验要求，编制工艺试验措施计划，报送监理人审查</w:t>
      </w:r>
      <w:r>
        <w:rPr>
          <w:rFonts w:ascii="宋体" w:hAnsi="宋体" w:eastAsia="宋体" w:cs="Times New Roman"/>
          <w:szCs w:val="21"/>
        </w:rPr>
        <w:t>。</w:t>
      </w:r>
    </w:p>
    <w:bookmarkEnd w:id="272"/>
    <w:bookmarkEnd w:id="273"/>
    <w:bookmarkEnd w:id="274"/>
    <w:bookmarkEnd w:id="275"/>
    <w:bookmarkEnd w:id="276"/>
    <w:bookmarkEnd w:id="277"/>
    <w:bookmarkEnd w:id="278"/>
    <w:bookmarkEnd w:id="279"/>
    <w:p>
      <w:pPr>
        <w:spacing w:after="120" w:line="400" w:lineRule="exact"/>
        <w:rPr>
          <w:rFonts w:ascii="宋体" w:hAnsi="宋体" w:eastAsia="宋体" w:cs="Times New Roman"/>
          <w:b/>
          <w:szCs w:val="21"/>
        </w:rPr>
      </w:pPr>
      <w:bookmarkStart w:id="280" w:name="_Toc351203642"/>
      <w:r>
        <w:rPr>
          <w:rFonts w:ascii="宋体" w:hAnsi="宋体" w:eastAsia="宋体" w:cs="Times New Roman"/>
          <w:b/>
          <w:szCs w:val="21"/>
        </w:rPr>
        <w:t>1</w:t>
      </w:r>
      <w:bookmarkEnd w:id="246"/>
      <w:bookmarkEnd w:id="247"/>
      <w:bookmarkEnd w:id="248"/>
      <w:bookmarkEnd w:id="249"/>
      <w:bookmarkEnd w:id="250"/>
      <w:bookmarkEnd w:id="251"/>
      <w:bookmarkEnd w:id="252"/>
      <w:bookmarkEnd w:id="253"/>
      <w:bookmarkEnd w:id="254"/>
      <w:bookmarkEnd w:id="255"/>
      <w:bookmarkEnd w:id="256"/>
      <w:bookmarkEnd w:id="257"/>
      <w:bookmarkStart w:id="281" w:name="_Toc296503193"/>
      <w:bookmarkStart w:id="282" w:name="_Toc296891021"/>
      <w:bookmarkStart w:id="283" w:name="_Toc296891233"/>
      <w:bookmarkStart w:id="284" w:name="_Toc296944532"/>
      <w:bookmarkStart w:id="285" w:name="_Toc297048379"/>
      <w:bookmarkStart w:id="286" w:name="_Toc297120493"/>
      <w:bookmarkStart w:id="287" w:name="_Toc297123540"/>
      <w:bookmarkStart w:id="288" w:name="_Toc297216199"/>
      <w:bookmarkStart w:id="289" w:name="_Toc300934989"/>
      <w:bookmarkStart w:id="290" w:name="_Toc303539146"/>
      <w:bookmarkStart w:id="291" w:name="_Toc304295566"/>
      <w:bookmarkStart w:id="292" w:name="_Toc292559398"/>
      <w:bookmarkStart w:id="293" w:name="_Toc292559903"/>
      <w:bookmarkStart w:id="294" w:name="_Toc296346694"/>
      <w:bookmarkStart w:id="295" w:name="_Toc296347192"/>
      <w:bookmarkStart w:id="296" w:name="_Toc312677499"/>
      <w:bookmarkStart w:id="297" w:name="_Toc312678025"/>
      <w:bookmarkStart w:id="298" w:name="_Toc267251439"/>
      <w:bookmarkStart w:id="299" w:name="_Toc267251437"/>
      <w:bookmarkStart w:id="300" w:name="_Toc267251435"/>
      <w:bookmarkStart w:id="301" w:name="_Toc267251433"/>
      <w:bookmarkStart w:id="302" w:name="_Toc267251441"/>
      <w:bookmarkStart w:id="303" w:name="_Toc267251440"/>
      <w:bookmarkStart w:id="304" w:name="_Toc267251442"/>
      <w:r>
        <w:rPr>
          <w:rFonts w:ascii="宋体" w:hAnsi="宋体" w:eastAsia="宋体" w:cs="Times New Roman"/>
          <w:b/>
          <w:szCs w:val="21"/>
        </w:rPr>
        <w:t>0. 变更</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bookmarkEnd w:id="296"/>
    <w:bookmarkEnd w:id="297"/>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w:t>
      </w:r>
      <w:bookmarkStart w:id="305" w:name="_Toc312678026"/>
      <w:bookmarkStart w:id="306" w:name="_Toc312677500"/>
      <w:bookmarkStart w:id="307" w:name="_Toc304295567"/>
      <w:bookmarkStart w:id="308" w:name="_Toc292559399"/>
      <w:bookmarkStart w:id="309" w:name="_Toc296891022"/>
      <w:bookmarkStart w:id="310" w:name="_Toc300934990"/>
      <w:bookmarkStart w:id="311" w:name="_Toc297216200"/>
      <w:bookmarkStart w:id="312" w:name="_Toc296346695"/>
      <w:bookmarkStart w:id="313" w:name="_Toc297048380"/>
      <w:bookmarkStart w:id="314" w:name="_Toc296347193"/>
      <w:bookmarkStart w:id="315" w:name="_Toc296891234"/>
      <w:bookmarkStart w:id="316" w:name="_Toc297120494"/>
      <w:bookmarkStart w:id="317" w:name="_Toc292559904"/>
      <w:bookmarkStart w:id="318" w:name="_Toc296503194"/>
      <w:bookmarkStart w:id="319" w:name="_Toc296944533"/>
      <w:bookmarkStart w:id="320" w:name="_Toc297123541"/>
      <w:bookmarkStart w:id="321" w:name="_Toc303539147"/>
      <w:r>
        <w:rPr>
          <w:rFonts w:ascii="宋体" w:hAnsi="宋体" w:eastAsia="宋体" w:cs="Times New Roman"/>
          <w:szCs w:val="21"/>
        </w:rPr>
        <w:t>0.1变更的范围</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关于变更的范围的约定：</w:t>
      </w:r>
      <w:r>
        <w:rPr>
          <w:rFonts w:hint="eastAsia" w:ascii="宋体" w:hAnsi="宋体" w:eastAsia="宋体" w:cs="Times New Roman"/>
          <w:szCs w:val="21"/>
          <w:u w:val="single"/>
        </w:rPr>
        <w:t>按通用合同条款10.1执行</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10.4 变更估价</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10.4.1 变更估价原则</w:t>
      </w:r>
    </w:p>
    <w:p>
      <w:pPr>
        <w:spacing w:line="360" w:lineRule="auto"/>
        <w:ind w:firstLine="420" w:firstLineChars="200"/>
        <w:rPr>
          <w:rFonts w:hint="eastAsia" w:ascii="宋体" w:hAnsi="宋体" w:eastAsia="宋体" w:cs="Times New Roman"/>
          <w:szCs w:val="21"/>
        </w:rPr>
      </w:pPr>
      <w:r>
        <w:rPr>
          <w:rFonts w:ascii="宋体" w:hAnsi="宋体" w:eastAsia="宋体" w:cs="Times New Roman"/>
          <w:szCs w:val="21"/>
        </w:rPr>
        <w:t>关于变更估价的约定:</w:t>
      </w:r>
      <w:r>
        <w:rPr>
          <w:rFonts w:hint="eastAsia" w:ascii="Times New Roman" w:hAnsi="Times New Roman" w:eastAsia="宋体" w:cs="Times New Roman"/>
          <w:szCs w:val="24"/>
        </w:rPr>
        <w:t xml:space="preserve"> </w:t>
      </w:r>
      <w:r>
        <w:rPr>
          <w:rFonts w:hint="eastAsia" w:ascii="宋体" w:hAnsi="宋体" w:eastAsia="宋体" w:cs="Times New Roman"/>
          <w:szCs w:val="21"/>
        </w:rPr>
        <w:t>（1）合同中已有适用于变更工程的价格，按合同已有的价格变更合同价款；（2）合同中只有类似于变更工程的价格，可以参照类似价格变更合同价款；（3）合同中没有适用或类似于变更工程的价格，由建设单位将预算清单及变更的相关资料送上级主管部门审核，经上级主管部门审定后，按磋商时成交价与工程招标控制价的统一下调比例调整确定价格。（4）新增项目在原合同金额10%以内（不含10%）的，须报防城港市政府采购管理部门备案；新增项目在原合同金额10%以上（含10%）的，须报上级主管部门批准或另行组织采购。</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2" w:name="_Toc300934993"/>
      <w:bookmarkStart w:id="323" w:name="_Toc296944536"/>
      <w:bookmarkStart w:id="324" w:name="_Toc297048383"/>
      <w:bookmarkStart w:id="325" w:name="_Toc292559907"/>
      <w:bookmarkStart w:id="326" w:name="_Toc297216203"/>
      <w:bookmarkStart w:id="327" w:name="_Toc297123544"/>
      <w:bookmarkStart w:id="328" w:name="_Toc303539150"/>
      <w:bookmarkStart w:id="329" w:name="_Toc296503197"/>
      <w:bookmarkStart w:id="330" w:name="_Toc296891025"/>
      <w:bookmarkStart w:id="331" w:name="_Toc292559402"/>
      <w:bookmarkStart w:id="332" w:name="_Toc297120497"/>
      <w:bookmarkStart w:id="333" w:name="_Toc296346698"/>
      <w:bookmarkStart w:id="334" w:name="_Toc296347196"/>
      <w:bookmarkStart w:id="335" w:name="_Toc296891237"/>
      <w:bookmarkStart w:id="336" w:name="_Toc312677503"/>
      <w:bookmarkStart w:id="337" w:name="_Toc304295570"/>
      <w:bookmarkStart w:id="338" w:name="_Toc312678029"/>
      <w:r>
        <w:rPr>
          <w:rFonts w:ascii="宋体" w:hAnsi="宋体" w:eastAsia="宋体" w:cs="Times New Roman"/>
          <w:szCs w:val="21"/>
        </w:rPr>
        <w:t>0.5承</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Start w:id="339" w:name="_Toc296891243"/>
      <w:bookmarkStart w:id="340" w:name="_Toc297048389"/>
      <w:bookmarkStart w:id="341" w:name="_Toc297123545"/>
      <w:bookmarkStart w:id="342" w:name="_Toc292559913"/>
      <w:bookmarkStart w:id="343" w:name="_Toc297120503"/>
      <w:bookmarkStart w:id="344" w:name="_Toc303539151"/>
      <w:bookmarkStart w:id="345" w:name="_Toc296347202"/>
      <w:bookmarkStart w:id="346" w:name="_Toc296346704"/>
      <w:bookmarkStart w:id="347" w:name="_Toc296944542"/>
      <w:bookmarkStart w:id="348" w:name="_Toc300934994"/>
      <w:bookmarkStart w:id="349" w:name="_Toc296503203"/>
      <w:bookmarkStart w:id="350" w:name="_Toc297216204"/>
      <w:bookmarkStart w:id="351" w:name="_Toc292559408"/>
      <w:bookmarkStart w:id="352" w:name="_Toc296891031"/>
      <w:r>
        <w:rPr>
          <w:rFonts w:ascii="宋体" w:hAnsi="宋体" w:eastAsia="宋体" w:cs="Times New Roman"/>
          <w:szCs w:val="21"/>
        </w:rPr>
        <w:t>包人的合理化建议</w:t>
      </w: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监理人审查承包人合理化建议的期限：</w:t>
      </w:r>
      <w:r>
        <w:rPr>
          <w:rFonts w:hint="eastAsia" w:ascii="宋体"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发包人审批承包人合理化建议的期限：</w:t>
      </w:r>
      <w:r>
        <w:rPr>
          <w:rFonts w:hint="eastAsia" w:ascii="宋体"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u w:val="single"/>
        </w:rPr>
      </w:pPr>
      <w:r>
        <w:rPr>
          <w:rFonts w:ascii="宋体" w:hAnsi="宋体" w:eastAsia="宋体" w:cs="Times New Roman"/>
          <w:szCs w:val="21"/>
        </w:rPr>
        <w:t>承</w:t>
      </w:r>
      <w:bookmarkStart w:id="353" w:name="_Toc300934995"/>
      <w:bookmarkStart w:id="354" w:name="_Toc292559409"/>
      <w:bookmarkStart w:id="355" w:name="_Toc292559914"/>
      <w:bookmarkStart w:id="356" w:name="_Toc303539152"/>
      <w:bookmarkStart w:id="357" w:name="_Toc304295571"/>
      <w:bookmarkStart w:id="358" w:name="_Toc296346705"/>
      <w:bookmarkStart w:id="359" w:name="_Toc312677504"/>
      <w:bookmarkStart w:id="360" w:name="_Toc312678030"/>
      <w:bookmarkStart w:id="361" w:name="_Toc318581175"/>
      <w:bookmarkStart w:id="362" w:name="_Toc296891244"/>
      <w:bookmarkStart w:id="363" w:name="_Toc296944543"/>
      <w:bookmarkStart w:id="364" w:name="_Toc297048390"/>
      <w:bookmarkStart w:id="365" w:name="_Toc297120504"/>
      <w:bookmarkStart w:id="366" w:name="_Toc296347203"/>
      <w:bookmarkStart w:id="367" w:name="_Toc296503204"/>
      <w:bookmarkStart w:id="368" w:name="_Toc296891032"/>
      <w:bookmarkStart w:id="369" w:name="_Toc297123546"/>
      <w:bookmarkStart w:id="370" w:name="_Toc297216205"/>
      <w:r>
        <w:rPr>
          <w:rFonts w:ascii="宋体" w:hAnsi="宋体" w:eastAsia="宋体" w:cs="Times New Roman"/>
          <w:szCs w:val="21"/>
        </w:rPr>
        <w:t>包人提出的合理化建议降低了合同价格或者提高了工程经济效益的奖励的方法和金额为：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exact"/>
        <w:jc w:val="left"/>
        <w:rPr>
          <w:rFonts w:ascii="宋体" w:hAnsi="宋体" w:eastAsia="宋体" w:cs="Times New Roman"/>
          <w:szCs w:val="21"/>
          <w:u w:val="single"/>
        </w:rPr>
      </w:pPr>
      <w:r>
        <w:rPr>
          <w:rFonts w:hint="eastAsia" w:ascii="宋体" w:hAnsi="宋体" w:eastAsia="宋体" w:cs="Times New Roman"/>
          <w:szCs w:val="21"/>
          <w:u w:val="single"/>
        </w:rPr>
        <w:t xml:space="preserve">无  </w:t>
      </w:r>
      <w:r>
        <w:rPr>
          <w:rFonts w:ascii="宋体" w:hAnsi="宋体" w:eastAsia="宋体" w:cs="Times New Roman"/>
          <w:szCs w:val="21"/>
        </w:rPr>
        <w:t>。</w:t>
      </w:r>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w:t>
      </w:r>
      <w:bookmarkStart w:id="371" w:name="_Toc297123548"/>
      <w:bookmarkStart w:id="372" w:name="_Toc296346700"/>
      <w:bookmarkStart w:id="373" w:name="_Toc296891027"/>
      <w:bookmarkStart w:id="374" w:name="_Toc303539154"/>
      <w:bookmarkStart w:id="375" w:name="_Toc304295574"/>
      <w:bookmarkStart w:id="376" w:name="_Toc296503199"/>
      <w:bookmarkStart w:id="377" w:name="_Toc297048385"/>
      <w:bookmarkStart w:id="378" w:name="_Toc292559909"/>
      <w:bookmarkStart w:id="379" w:name="_Toc297120499"/>
      <w:bookmarkStart w:id="380" w:name="_Toc296891239"/>
      <w:bookmarkStart w:id="381" w:name="_Toc296944538"/>
      <w:bookmarkStart w:id="382" w:name="_Toc296347198"/>
      <w:bookmarkStart w:id="383" w:name="_Toc300934997"/>
      <w:bookmarkStart w:id="384" w:name="_Toc312677507"/>
      <w:bookmarkStart w:id="385" w:name="_Toc312678033"/>
      <w:bookmarkStart w:id="386" w:name="_Toc297216207"/>
      <w:bookmarkStart w:id="387" w:name="_Toc292559404"/>
      <w:r>
        <w:rPr>
          <w:rFonts w:ascii="宋体" w:hAnsi="宋体" w:eastAsia="宋体" w:cs="Times New Roman"/>
          <w:szCs w:val="21"/>
        </w:rPr>
        <w:t>0.7 暂估价</w:t>
      </w:r>
    </w:p>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暂</w:t>
      </w:r>
      <w:bookmarkStart w:id="388" w:name="_Toc318581176"/>
      <w:bookmarkStart w:id="389" w:name="_Toc312677508"/>
      <w:bookmarkStart w:id="390" w:name="_Toc312678034"/>
      <w:r>
        <w:rPr>
          <w:rFonts w:ascii="宋体" w:hAnsi="宋体" w:eastAsia="宋体" w:cs="Times New Roman"/>
          <w:szCs w:val="21"/>
        </w:rPr>
        <w:t>估价材料和工程设备的明细详见附件</w:t>
      </w:r>
      <w:r>
        <w:rPr>
          <w:rFonts w:hint="eastAsia" w:ascii="宋体" w:hAnsi="宋体" w:eastAsia="宋体" w:cs="Times New Roman"/>
          <w:szCs w:val="21"/>
        </w:rPr>
        <w:t>11：《</w:t>
      </w:r>
      <w:r>
        <w:rPr>
          <w:rFonts w:ascii="宋体" w:hAnsi="宋体" w:eastAsia="宋体" w:cs="Times New Roman"/>
          <w:szCs w:val="21"/>
        </w:rPr>
        <w:t>暂估价一览表</w:t>
      </w:r>
      <w:r>
        <w:rPr>
          <w:rFonts w:hint="eastAsia" w:ascii="宋体" w:hAnsi="宋体" w:eastAsia="宋体" w:cs="Times New Roman"/>
          <w:szCs w:val="21"/>
        </w:rPr>
        <w:t>》。</w:t>
      </w:r>
    </w:p>
    <w:bookmarkEnd w:id="388"/>
    <w:bookmarkEnd w:id="389"/>
    <w:bookmarkEnd w:id="390"/>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w:t>
      </w:r>
      <w:bookmarkStart w:id="391" w:name="_Toc312678035"/>
      <w:bookmarkStart w:id="392" w:name="_Toc318581177"/>
      <w:bookmarkStart w:id="393" w:name="_Toc312677509"/>
      <w:r>
        <w:rPr>
          <w:rFonts w:ascii="宋体" w:hAnsi="宋体" w:eastAsia="宋体" w:cs="Times New Roman"/>
          <w:szCs w:val="21"/>
        </w:rPr>
        <w:t>0.7.1 依法必须招标的暂估价项目</w:t>
      </w:r>
    </w:p>
    <w:bookmarkEnd w:id="391"/>
    <w:bookmarkEnd w:id="392"/>
    <w:bookmarkEnd w:id="393"/>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对于依法必须招标的暂估价项目的确认和批准采取第</w:t>
      </w:r>
      <w:r>
        <w:rPr>
          <w:rFonts w:ascii="宋体" w:hAnsi="宋体" w:eastAsia="宋体" w:cs="Times New Roman"/>
          <w:szCs w:val="21"/>
          <w:u w:val="single"/>
        </w:rPr>
        <w:t xml:space="preserve">    </w:t>
      </w:r>
      <w:r>
        <w:rPr>
          <w:rFonts w:ascii="宋体" w:hAnsi="宋体" w:eastAsia="宋体" w:cs="Times New Roman"/>
          <w:szCs w:val="21"/>
        </w:rPr>
        <w:t>种方式确定。</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10.7.2 不属于依法必须招标的暂估价项目</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对于不属于依法必须招标的暂估价项目的确认和批准采取第</w:t>
      </w:r>
      <w:r>
        <w:rPr>
          <w:rFonts w:ascii="宋体" w:hAnsi="宋体" w:eastAsia="宋体" w:cs="Times New Roman"/>
          <w:szCs w:val="21"/>
          <w:u w:val="single"/>
        </w:rPr>
        <w:t xml:space="preserve">   </w:t>
      </w:r>
      <w:r>
        <w:rPr>
          <w:rFonts w:ascii="宋体" w:hAnsi="宋体" w:eastAsia="宋体" w:cs="Times New Roman"/>
          <w:szCs w:val="21"/>
        </w:rPr>
        <w:t xml:space="preserve"> 种方式确定。</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第3种方式：承包人直接实施的暂估价项目</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承包人直接实施的暂估价项目的约定：</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10.8 暂列金额</w:t>
      </w:r>
    </w:p>
    <w:p>
      <w:pPr>
        <w:autoSpaceDE w:val="0"/>
        <w:autoSpaceDN w:val="0"/>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合同当事人关于暂列金额使用的约定：</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w:t>
      </w:r>
    </w:p>
    <w:p>
      <w:pPr>
        <w:spacing w:after="120" w:line="400" w:lineRule="exact"/>
        <w:rPr>
          <w:rFonts w:ascii="宋体" w:hAnsi="宋体" w:eastAsia="宋体" w:cs="Times New Roman"/>
          <w:b/>
          <w:szCs w:val="21"/>
        </w:rPr>
      </w:pPr>
      <w:bookmarkStart w:id="394" w:name="_Toc351203643"/>
      <w:r>
        <w:rPr>
          <w:rFonts w:ascii="宋体" w:hAnsi="宋体" w:eastAsia="宋体" w:cs="Times New Roman"/>
          <w:b/>
          <w:szCs w:val="21"/>
        </w:rPr>
        <w:t>11. 价格调整</w:t>
      </w:r>
      <w:bookmarkEnd w:id="394"/>
    </w:p>
    <w:p>
      <w:pPr>
        <w:spacing w:after="120" w:line="400" w:lineRule="exact"/>
        <w:ind w:firstLine="420" w:firstLineChars="200"/>
        <w:rPr>
          <w:rFonts w:ascii="宋体" w:hAnsi="宋体" w:eastAsia="宋体" w:cs="Times New Roman"/>
          <w:szCs w:val="21"/>
        </w:rPr>
      </w:pPr>
      <w:bookmarkStart w:id="395" w:name="_Toc296891029"/>
      <w:bookmarkStart w:id="396" w:name="_Toc297216209"/>
      <w:bookmarkStart w:id="397" w:name="_Toc296346702"/>
      <w:bookmarkStart w:id="398" w:name="_Toc297123550"/>
      <w:bookmarkStart w:id="399" w:name="_Toc303539157"/>
      <w:bookmarkStart w:id="400" w:name="_Toc292559406"/>
      <w:bookmarkStart w:id="401" w:name="_Toc304295577"/>
      <w:bookmarkStart w:id="402" w:name="_Toc296944540"/>
      <w:bookmarkStart w:id="403" w:name="_Toc297048387"/>
      <w:bookmarkStart w:id="404" w:name="_Toc296347200"/>
      <w:bookmarkStart w:id="405" w:name="_Toc296503201"/>
      <w:bookmarkStart w:id="406" w:name="_Toc312678039"/>
      <w:bookmarkStart w:id="407" w:name="_Toc296891241"/>
      <w:bookmarkStart w:id="408" w:name="_Toc300935000"/>
      <w:bookmarkStart w:id="409" w:name="_Toc297120501"/>
      <w:bookmarkStart w:id="410" w:name="_Toc292559911"/>
      <w:r>
        <w:rPr>
          <w:rFonts w:ascii="宋体" w:hAnsi="宋体" w:eastAsia="宋体" w:cs="Times New Roman"/>
          <w:szCs w:val="21"/>
        </w:rPr>
        <w:t>11.1 市场价格波动引起的调整</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市场价格波动是否调整合同价格的约定：</w:t>
      </w:r>
      <w:r>
        <w:rPr>
          <w:rFonts w:hint="eastAsia" w:ascii="宋体" w:hAnsi="宋体" w:eastAsia="宋体" w:cs="Times New Roman"/>
          <w:szCs w:val="21"/>
          <w:u w:val="single"/>
        </w:rPr>
        <w:t>不调价，承包人所填报的各项基价中的各种材料单价及综合单价在合同实施期间不因市场价格变化因素而变动，报价人在填报综合单价时应充分考虑各种风险因素和自己的承受能力。</w:t>
      </w:r>
    </w:p>
    <w:bookmarkEnd w:id="298"/>
    <w:bookmarkEnd w:id="299"/>
    <w:bookmarkEnd w:id="300"/>
    <w:bookmarkEnd w:id="301"/>
    <w:bookmarkEnd w:id="302"/>
    <w:bookmarkEnd w:id="303"/>
    <w:p>
      <w:pPr>
        <w:spacing w:after="120" w:line="400" w:lineRule="exact"/>
        <w:rPr>
          <w:rFonts w:ascii="宋体" w:hAnsi="宋体" w:eastAsia="宋体" w:cs="Times New Roman"/>
          <w:b/>
          <w:szCs w:val="21"/>
        </w:rPr>
      </w:pPr>
      <w:bookmarkStart w:id="411" w:name="_Toc297120505"/>
      <w:bookmarkStart w:id="412" w:name="_Toc292559915"/>
      <w:bookmarkStart w:id="413" w:name="_Toc296503205"/>
      <w:bookmarkStart w:id="414" w:name="_Toc296347204"/>
      <w:bookmarkStart w:id="415" w:name="_Toc296944544"/>
      <w:bookmarkStart w:id="416" w:name="_Toc292559410"/>
      <w:bookmarkStart w:id="417" w:name="_Toc296346706"/>
      <w:bookmarkStart w:id="418" w:name="_Toc296891033"/>
      <w:bookmarkStart w:id="419" w:name="_Toc296891245"/>
      <w:bookmarkStart w:id="420" w:name="_Toc297048391"/>
      <w:bookmarkStart w:id="421" w:name="_Toc351203644"/>
      <w:bookmarkStart w:id="422" w:name="_Toc312678040"/>
      <w:bookmarkStart w:id="423" w:name="_Toc297123552"/>
      <w:bookmarkStart w:id="424" w:name="_Toc300935002"/>
      <w:bookmarkStart w:id="425" w:name="_Toc303539159"/>
      <w:bookmarkStart w:id="426" w:name="_Toc304295579"/>
      <w:bookmarkStart w:id="427" w:name="_Toc297216211"/>
      <w:r>
        <w:rPr>
          <w:rFonts w:ascii="宋体" w:hAnsi="宋体" w:eastAsia="宋体" w:cs="Times New Roman"/>
          <w:b/>
          <w:szCs w:val="21"/>
        </w:rPr>
        <w:t xml:space="preserve">12. </w:t>
      </w:r>
      <w:bookmarkEnd w:id="411"/>
      <w:bookmarkEnd w:id="412"/>
      <w:bookmarkEnd w:id="413"/>
      <w:bookmarkEnd w:id="414"/>
      <w:bookmarkEnd w:id="415"/>
      <w:bookmarkEnd w:id="416"/>
      <w:bookmarkEnd w:id="417"/>
      <w:bookmarkEnd w:id="418"/>
      <w:bookmarkEnd w:id="419"/>
      <w:bookmarkEnd w:id="420"/>
      <w:r>
        <w:rPr>
          <w:rFonts w:ascii="宋体" w:hAnsi="宋体" w:eastAsia="宋体" w:cs="Times New Roman"/>
          <w:b/>
          <w:szCs w:val="21"/>
        </w:rPr>
        <w:t>合同价格、计量与支付</w:t>
      </w:r>
      <w:bookmarkEnd w:id="421"/>
    </w:p>
    <w:bookmarkEnd w:id="422"/>
    <w:bookmarkEnd w:id="423"/>
    <w:bookmarkEnd w:id="424"/>
    <w:bookmarkEnd w:id="425"/>
    <w:bookmarkEnd w:id="426"/>
    <w:bookmarkEnd w:id="427"/>
    <w:p>
      <w:pPr>
        <w:spacing w:after="120" w:line="400" w:lineRule="exact"/>
        <w:ind w:firstLine="420" w:firstLineChars="200"/>
        <w:rPr>
          <w:rFonts w:ascii="宋体" w:hAnsi="宋体" w:eastAsia="宋体" w:cs="Times New Roman"/>
          <w:szCs w:val="21"/>
        </w:rPr>
      </w:pPr>
      <w:bookmarkStart w:id="428" w:name="_Toc292559916"/>
      <w:bookmarkStart w:id="429" w:name="_Toc267251461"/>
      <w:bookmarkStart w:id="430" w:name="_Toc292559411"/>
      <w:bookmarkStart w:id="431" w:name="_Toc296346707"/>
      <w:bookmarkStart w:id="432" w:name="_Toc296347205"/>
      <w:bookmarkStart w:id="433" w:name="_Toc296503206"/>
      <w:bookmarkStart w:id="434" w:name="_Toc296891034"/>
      <w:bookmarkStart w:id="435" w:name="_Toc296891246"/>
      <w:bookmarkStart w:id="436" w:name="_Toc296944545"/>
      <w:bookmarkStart w:id="437" w:name="_Toc297120506"/>
      <w:bookmarkStart w:id="438" w:name="_Toc297048392"/>
      <w:bookmarkStart w:id="439" w:name="_Toc297123553"/>
      <w:bookmarkStart w:id="440" w:name="_Toc297216212"/>
      <w:bookmarkStart w:id="441" w:name="_Toc300935003"/>
      <w:bookmarkStart w:id="442" w:name="_Toc303539160"/>
      <w:bookmarkStart w:id="443" w:name="_Toc304295580"/>
      <w:bookmarkStart w:id="444" w:name="_Toc312678041"/>
      <w:r>
        <w:rPr>
          <w:rFonts w:ascii="宋体" w:hAnsi="宋体" w:eastAsia="宋体" w:cs="Times New Roman"/>
          <w:szCs w:val="21"/>
        </w:rPr>
        <w:t>12.1 合</w:t>
      </w:r>
      <w:bookmarkEnd w:id="428"/>
      <w:bookmarkEnd w:id="429"/>
      <w:bookmarkEnd w:id="430"/>
      <w:r>
        <w:rPr>
          <w:rFonts w:ascii="宋体" w:hAnsi="宋体" w:eastAsia="宋体" w:cs="Times New Roman"/>
          <w:szCs w:val="21"/>
        </w:rPr>
        <w:t>同价</w:t>
      </w:r>
      <w:bookmarkEnd w:id="431"/>
      <w:bookmarkEnd w:id="432"/>
      <w:bookmarkEnd w:id="433"/>
      <w:bookmarkEnd w:id="434"/>
      <w:bookmarkEnd w:id="435"/>
      <w:bookmarkEnd w:id="436"/>
      <w:bookmarkEnd w:id="437"/>
      <w:bookmarkEnd w:id="438"/>
      <w:r>
        <w:rPr>
          <w:rFonts w:ascii="宋体" w:hAnsi="宋体" w:eastAsia="宋体" w:cs="Times New Roman"/>
          <w:szCs w:val="21"/>
        </w:rPr>
        <w:t>格形式</w:t>
      </w:r>
    </w:p>
    <w:bookmarkEnd w:id="439"/>
    <w:bookmarkEnd w:id="440"/>
    <w:bookmarkEnd w:id="441"/>
    <w:bookmarkEnd w:id="442"/>
    <w:bookmarkEnd w:id="443"/>
    <w:bookmarkEnd w:id="444"/>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1、单价合同。</w:t>
      </w:r>
    </w:p>
    <w:p>
      <w:pPr>
        <w:spacing w:line="360" w:lineRule="auto"/>
        <w:ind w:firstLine="420" w:firstLineChars="200"/>
        <w:jc w:val="left"/>
        <w:rPr>
          <w:rFonts w:ascii="宋体" w:hAnsi="宋体" w:eastAsia="宋体" w:cs="Times New Roman"/>
          <w:szCs w:val="21"/>
        </w:rPr>
      </w:pPr>
      <w:r>
        <w:rPr>
          <w:rFonts w:ascii="宋体" w:hAnsi="宋体" w:eastAsia="宋体" w:cs="Times New Roman"/>
          <w:szCs w:val="21"/>
        </w:rPr>
        <w:t>综合单价包含的风险范围</w:t>
      </w:r>
      <w:r>
        <w:rPr>
          <w:rFonts w:hint="eastAsia" w:ascii="宋体" w:hAnsi="宋体" w:eastAsia="宋体" w:cs="Times New Roman"/>
          <w:szCs w:val="21"/>
        </w:rPr>
        <w:t>：</w:t>
      </w:r>
      <w:r>
        <w:rPr>
          <w:rFonts w:hint="eastAsia" w:ascii="宋体" w:hAnsi="宋体" w:eastAsia="宋体" w:cs="Times New Roman"/>
          <w:szCs w:val="21"/>
          <w:u w:val="single"/>
        </w:rPr>
        <w:t>除工程变更和政策性调整以外的其他风险</w:t>
      </w:r>
      <w:r>
        <w:rPr>
          <w:rFonts w:ascii="宋体" w:hAnsi="宋体" w:eastAsia="宋体" w:cs="Times New Roman"/>
          <w:szCs w:val="21"/>
        </w:rPr>
        <w:t>。</w:t>
      </w:r>
    </w:p>
    <w:p>
      <w:pPr>
        <w:spacing w:line="360" w:lineRule="auto"/>
        <w:ind w:firstLine="420" w:firstLineChars="200"/>
        <w:jc w:val="left"/>
        <w:rPr>
          <w:rFonts w:ascii="宋体" w:hAnsi="宋体" w:eastAsia="宋体" w:cs="Times New Roman"/>
          <w:szCs w:val="21"/>
        </w:rPr>
      </w:pPr>
      <w:r>
        <w:rPr>
          <w:rFonts w:ascii="宋体" w:hAnsi="宋体" w:eastAsia="宋体" w:cs="Times New Roman"/>
          <w:szCs w:val="21"/>
        </w:rPr>
        <w:t>风险费用的计算方法：</w:t>
      </w:r>
      <w:r>
        <w:rPr>
          <w:rFonts w:hint="eastAsia" w:ascii="宋体" w:hAnsi="宋体" w:eastAsia="宋体" w:cs="Times New Roman"/>
          <w:szCs w:val="21"/>
          <w:u w:val="single"/>
        </w:rPr>
        <w:t>单价采用固定单价，各种风险费用已综合考虑在单价中</w:t>
      </w:r>
      <w:r>
        <w:rPr>
          <w:rFonts w:ascii="宋体" w:hAnsi="宋体" w:eastAsia="宋体" w:cs="Times New Roman"/>
          <w:szCs w:val="21"/>
        </w:rPr>
        <w:t>。</w:t>
      </w:r>
    </w:p>
    <w:p>
      <w:pPr>
        <w:spacing w:line="320" w:lineRule="exact"/>
        <w:ind w:firstLine="420" w:firstLineChars="200"/>
        <w:rPr>
          <w:rFonts w:hint="eastAsia" w:ascii="宋体" w:hAnsi="宋体" w:eastAsia="宋体" w:cs="Times New Roman"/>
          <w:b/>
          <w:szCs w:val="21"/>
          <w:u w:val="single"/>
        </w:rPr>
      </w:pPr>
      <w:r>
        <w:rPr>
          <w:rFonts w:ascii="宋体" w:hAnsi="宋体" w:eastAsia="宋体" w:cs="Times New Roman"/>
          <w:szCs w:val="21"/>
        </w:rPr>
        <w:t>风险范围以外合同价格的调整方法：</w:t>
      </w:r>
      <w:r>
        <w:rPr>
          <w:rFonts w:hint="eastAsia" w:ascii="宋体" w:hAnsi="宋体" w:eastAsia="宋体" w:cs="Times New Roman"/>
          <w:szCs w:val="21"/>
        </w:rPr>
        <w:t>因设计变更引起工程项目、工程量变化的，变更合同价款按下列方法进行。</w:t>
      </w:r>
      <w:bookmarkStart w:id="445" w:name="_Toc300935004"/>
      <w:bookmarkStart w:id="446" w:name="_Toc303539161"/>
      <w:bookmarkStart w:id="447" w:name="_Toc304295581"/>
      <w:bookmarkStart w:id="448" w:name="_Toc297216213"/>
      <w:bookmarkStart w:id="449" w:name="_Toc297123554"/>
      <w:bookmarkStart w:id="450" w:name="_Toc312678042"/>
      <w:bookmarkStart w:id="451" w:name="_Toc292559412"/>
      <w:bookmarkStart w:id="452" w:name="_Toc292559917"/>
      <w:bookmarkStart w:id="453" w:name="_Toc296346708"/>
      <w:bookmarkStart w:id="454" w:name="_Toc296347206"/>
      <w:bookmarkStart w:id="455" w:name="_Toc296891035"/>
      <w:bookmarkStart w:id="456" w:name="_Toc296891247"/>
      <w:bookmarkStart w:id="457" w:name="_Toc296944546"/>
      <w:bookmarkStart w:id="458" w:name="_Toc297048393"/>
      <w:bookmarkStart w:id="459" w:name="_Toc297120507"/>
      <w:bookmarkStart w:id="460" w:name="_Toc296503207"/>
      <w:r>
        <w:rPr>
          <w:rFonts w:hint="eastAsia" w:ascii="宋体" w:hAnsi="宋体" w:eastAsia="宋体" w:cs="Times New Roman"/>
          <w:szCs w:val="21"/>
        </w:rPr>
        <w:t>（1）合同中已有适用于变更工程的价格，按合同已有的价格变更合同价款；（2）合同中只有类似于变更工程的价格，可以参照类似价格变更合同价款；（3）合同中没有适用或类似于变更工程的价格，由建设单位将预算清单及变更的相关资料送上级主管部门审核，经上级主管部门审定后，按磋商时成交价与工程招标控制价的统一下调比例调整确定价格。（4）新增项目在原合同金额10%以内（不含10%）的，须报防城港市政府采购管理部门备案；新增项目在原合同金额10%以上（含10%）的，须报上级主管部门批准或另行组织采购。</w:t>
      </w:r>
    </w:p>
    <w:p>
      <w:pPr>
        <w:spacing w:line="360" w:lineRule="auto"/>
        <w:ind w:firstLine="420" w:firstLineChars="200"/>
        <w:jc w:val="left"/>
        <w:rPr>
          <w:rFonts w:ascii="宋体" w:hAnsi="宋体" w:eastAsia="宋体" w:cs="Times New Roman"/>
          <w:szCs w:val="21"/>
        </w:rPr>
      </w:pPr>
      <w:r>
        <w:rPr>
          <w:rFonts w:ascii="宋体" w:hAnsi="宋体" w:eastAsia="宋体" w:cs="Times New Roman"/>
          <w:szCs w:val="21"/>
        </w:rPr>
        <w:t>12.2 预付款</w:t>
      </w:r>
    </w:p>
    <w:bookmarkEnd w:id="445"/>
    <w:bookmarkEnd w:id="446"/>
    <w:bookmarkEnd w:id="447"/>
    <w:bookmarkEnd w:id="448"/>
    <w:bookmarkEnd w:id="449"/>
    <w:bookmarkEnd w:id="450"/>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12.2.1 预付款的支付</w:t>
      </w:r>
    </w:p>
    <w:p>
      <w:pPr>
        <w:spacing w:line="400" w:lineRule="exact"/>
        <w:ind w:firstLine="422" w:firstLineChars="200"/>
        <w:jc w:val="left"/>
        <w:rPr>
          <w:rFonts w:ascii="宋体" w:hAnsi="宋体" w:eastAsia="宋体" w:cs="Times New Roman"/>
          <w:b/>
          <w:szCs w:val="21"/>
          <w:highlight w:val="yellow"/>
        </w:rPr>
      </w:pPr>
      <w:r>
        <w:rPr>
          <w:rFonts w:ascii="宋体" w:hAnsi="宋体" w:eastAsia="宋体" w:cs="Times New Roman"/>
          <w:b/>
          <w:szCs w:val="21"/>
        </w:rPr>
        <w:t>预付款支付比例或金额</w:t>
      </w:r>
      <w:r>
        <w:rPr>
          <w:rFonts w:ascii="宋体" w:hAnsi="宋体" w:eastAsia="宋体" w:cs="Times New Roman"/>
          <w:b/>
          <w:szCs w:val="21"/>
          <w:u w:val="single"/>
        </w:rPr>
        <w:t>：</w:t>
      </w:r>
      <w:r>
        <w:rPr>
          <w:rFonts w:hint="eastAsia" w:ascii="宋体" w:hAnsi="宋体" w:eastAsia="宋体" w:cs="Times New Roman"/>
          <w:b/>
          <w:szCs w:val="21"/>
          <w:u w:val="single"/>
        </w:rPr>
        <w:t xml:space="preserve"> </w:t>
      </w:r>
      <w:r>
        <w:rPr>
          <w:rFonts w:hint="eastAsia" w:ascii="宋体" w:hAnsi="宋体" w:eastAsia="宋体" w:cs="Times New Roman"/>
          <w:b/>
          <w:szCs w:val="21"/>
          <w:highlight w:val="yellow"/>
          <w:u w:val="single"/>
        </w:rPr>
        <w:t>30%</w:t>
      </w:r>
      <w:r>
        <w:rPr>
          <w:rFonts w:ascii="宋体" w:hAnsi="宋体" w:eastAsia="宋体" w:cs="Times New Roman"/>
          <w:b/>
          <w:szCs w:val="21"/>
          <w:highlight w:val="yellow"/>
        </w:rPr>
        <w:t>。</w:t>
      </w:r>
    </w:p>
    <w:p>
      <w:pPr>
        <w:spacing w:line="400" w:lineRule="exact"/>
        <w:ind w:firstLine="422" w:firstLineChars="200"/>
        <w:jc w:val="left"/>
        <w:rPr>
          <w:rFonts w:ascii="宋体" w:hAnsi="宋体" w:eastAsia="宋体" w:cs="Times New Roman"/>
          <w:b/>
          <w:szCs w:val="21"/>
        </w:rPr>
      </w:pPr>
      <w:r>
        <w:rPr>
          <w:rFonts w:ascii="宋体" w:hAnsi="宋体" w:eastAsia="宋体" w:cs="Times New Roman"/>
          <w:b/>
          <w:szCs w:val="21"/>
          <w:highlight w:val="yellow"/>
        </w:rPr>
        <w:t>预付款支付期限：</w:t>
      </w:r>
      <w:r>
        <w:rPr>
          <w:rFonts w:hint="eastAsia" w:ascii="宋体" w:hAnsi="宋体" w:eastAsia="宋体" w:cs="Times New Roman"/>
          <w:b/>
          <w:szCs w:val="21"/>
          <w:highlight w:val="yellow"/>
          <w:u w:val="single"/>
        </w:rPr>
        <w:t>自合同签订之日起15个工作日内</w:t>
      </w:r>
      <w:r>
        <w:rPr>
          <w:rFonts w:ascii="宋体" w:hAnsi="宋体" w:eastAsia="宋体" w:cs="Times New Roman"/>
          <w:b/>
          <w:szCs w:val="21"/>
          <w:highlight w:val="yellow"/>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12.2.2 预付款担保</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承包人提交预付款担保的期限：</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无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预付款担保的形式为：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无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bookmarkEnd w:id="451"/>
      <w:bookmarkEnd w:id="452"/>
      <w:bookmarkEnd w:id="453"/>
      <w:bookmarkEnd w:id="454"/>
      <w:bookmarkEnd w:id="455"/>
      <w:bookmarkEnd w:id="456"/>
      <w:bookmarkEnd w:id="457"/>
      <w:bookmarkEnd w:id="458"/>
      <w:bookmarkEnd w:id="459"/>
      <w:bookmarkEnd w:id="460"/>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12.3 计量</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12.3.1 计量原则</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工程量计算规则：</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12.3.2 计量周期</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关于计量周期的约定：</w:t>
      </w:r>
      <w:r>
        <w:rPr>
          <w:rFonts w:ascii="宋体" w:hAnsi="宋体" w:eastAsia="宋体" w:cs="Times New Roman"/>
          <w:szCs w:val="21"/>
          <w:u w:val="single"/>
        </w:rPr>
        <w:t xml:space="preserve">   </w:t>
      </w:r>
      <w:r>
        <w:rPr>
          <w:rFonts w:hint="eastAsia" w:ascii="宋体" w:hAnsi="宋体" w:eastAsia="宋体" w:cs="Times New Roman"/>
          <w:szCs w:val="21"/>
          <w:u w:val="single"/>
        </w:rPr>
        <w:t>一个月。提交已完工程量报告的时间为每月25日，逾期不予受理。该报告应完整、准确的统计上月20日至当月20日工作量完成情况，并提交相应的中期付款申请单（月度请款单）</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12.3.3 单价合同的计量</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关于单价合同计量的约定：</w:t>
      </w:r>
      <w:r>
        <w:rPr>
          <w:rFonts w:ascii="宋体" w:hAnsi="宋体" w:eastAsia="宋体" w:cs="Times New Roman"/>
          <w:szCs w:val="21"/>
          <w:u w:val="single"/>
        </w:rPr>
        <w:t xml:space="preserve">   </w:t>
      </w:r>
      <w:r>
        <w:rPr>
          <w:rFonts w:hint="eastAsia" w:ascii="宋体" w:hAnsi="宋体" w:eastAsia="宋体" w:cs="Times New Roman"/>
          <w:szCs w:val="21"/>
          <w:u w:val="single"/>
        </w:rPr>
        <w:t>按通用合同条款12.3.3执行</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12.4 工程进度款支付</w:t>
      </w:r>
    </w:p>
    <w:p>
      <w:pPr>
        <w:spacing w:line="400" w:lineRule="exact"/>
        <w:ind w:firstLine="420" w:firstLineChars="200"/>
        <w:jc w:val="left"/>
        <w:rPr>
          <w:rFonts w:ascii="宋体" w:hAnsi="宋体" w:eastAsia="宋体" w:cs="Times New Roman"/>
          <w:szCs w:val="21"/>
        </w:rPr>
      </w:pPr>
      <w:bookmarkStart w:id="461" w:name="_Toc296891251"/>
      <w:bookmarkStart w:id="462" w:name="_Toc296944550"/>
      <w:bookmarkStart w:id="463" w:name="_Toc297048397"/>
      <w:bookmarkStart w:id="464" w:name="_Toc297120511"/>
      <w:bookmarkStart w:id="465" w:name="_Toc297123556"/>
      <w:bookmarkStart w:id="466" w:name="_Toc297216215"/>
      <w:bookmarkStart w:id="467" w:name="_Toc300935006"/>
      <w:bookmarkStart w:id="468" w:name="_Toc303539163"/>
      <w:bookmarkStart w:id="469" w:name="_Toc296346712"/>
      <w:bookmarkStart w:id="470" w:name="_Toc296347210"/>
      <w:bookmarkStart w:id="471" w:name="_Toc292559921"/>
      <w:bookmarkStart w:id="472" w:name="_Toc296503211"/>
      <w:bookmarkStart w:id="473" w:name="_Toc292559416"/>
      <w:bookmarkStart w:id="474" w:name="_Toc296891039"/>
      <w:r>
        <w:rPr>
          <w:rFonts w:ascii="宋体" w:hAnsi="宋体" w:eastAsia="宋体" w:cs="Times New Roman"/>
          <w:szCs w:val="21"/>
        </w:rPr>
        <w:t>12.4.1 付款周期</w:t>
      </w:r>
    </w:p>
    <w:p>
      <w:pPr>
        <w:spacing w:line="340" w:lineRule="exact"/>
        <w:ind w:firstLine="422" w:firstLineChars="200"/>
        <w:rPr>
          <w:rFonts w:hint="eastAsia" w:ascii="宋体" w:hAnsi="宋体" w:eastAsia="宋体" w:cs="Times New Roman"/>
          <w:b/>
          <w:szCs w:val="21"/>
        </w:rPr>
      </w:pPr>
      <w:r>
        <w:rPr>
          <w:rFonts w:ascii="宋体" w:hAnsi="宋体" w:eastAsia="宋体" w:cs="Times New Roman"/>
          <w:b/>
          <w:szCs w:val="21"/>
        </w:rPr>
        <w:t>关于付款周期的约定：</w:t>
      </w:r>
      <w:r>
        <w:rPr>
          <w:rFonts w:hint="eastAsia" w:ascii="宋体" w:hAnsi="宋体" w:eastAsia="宋体" w:cs="Times New Roman"/>
          <w:szCs w:val="21"/>
          <w:highlight w:val="yellow"/>
          <w:u w:val="single"/>
        </w:rPr>
        <w:t>按照建设工程完工进度支付工程款，每次进度款支付限额为当次完成并确认工程量的80%，合同骏工验收后，合同内进度款支付额度不超过合同总价的80%，合同外进度款支付额度不超过合同外总价的70%，在工程竣工决算（结算）审计后支付至工程款结算总额的97%，预留工程款结算总额的3%作为质量保证金。</w:t>
      </w:r>
    </w:p>
    <w:p>
      <w:pPr>
        <w:spacing w:line="340" w:lineRule="exact"/>
        <w:ind w:firstLine="422" w:firstLineChars="200"/>
        <w:rPr>
          <w:rFonts w:hint="eastAsia" w:ascii="宋体" w:hAnsi="宋体" w:eastAsia="宋体" w:cs="Times New Roman"/>
          <w:b/>
          <w:szCs w:val="21"/>
          <w:u w:val="single"/>
        </w:rPr>
      </w:pPr>
      <w:r>
        <w:rPr>
          <w:rFonts w:hint="eastAsia" w:ascii="宋体" w:hAnsi="宋体" w:eastAsia="宋体" w:cs="Times New Roman"/>
          <w:b/>
          <w:szCs w:val="21"/>
        </w:rPr>
        <w:t xml:space="preserve">  工程款支付方式：</w:t>
      </w:r>
      <w:r>
        <w:rPr>
          <w:rFonts w:hint="eastAsia" w:ascii="宋体" w:hAnsi="宋体" w:eastAsia="宋体" w:cs="Times New Roman"/>
          <w:b/>
          <w:szCs w:val="21"/>
          <w:u w:val="single"/>
        </w:rPr>
        <w:t>银行转账或电汇</w:t>
      </w:r>
      <w:r>
        <w:rPr>
          <w:rFonts w:hint="eastAsia" w:ascii="宋体" w:hAnsi="宋体" w:eastAsia="宋体" w:cs="Times New Roman"/>
          <w:b/>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12.4.2 进度付款申请单的编制</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关于进度付款申请单编制的约定：</w:t>
      </w:r>
      <w:r>
        <w:rPr>
          <w:rFonts w:ascii="宋体" w:hAnsi="宋体" w:eastAsia="宋体" w:cs="Times New Roman"/>
          <w:szCs w:val="21"/>
          <w:u w:val="single"/>
        </w:rPr>
        <w:t xml:space="preserve">    </w:t>
      </w:r>
      <w:r>
        <w:rPr>
          <w:rFonts w:hint="eastAsia" w:ascii="宋体" w:hAnsi="宋体" w:eastAsia="宋体" w:cs="Times New Roman"/>
          <w:szCs w:val="21"/>
          <w:u w:val="single"/>
        </w:rPr>
        <w:t>按通用合同条款12.4.2执行</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rFonts w:ascii="宋体" w:hAnsi="宋体" w:eastAsia="宋体" w:cs="Times New Roman"/>
          <w:szCs w:val="21"/>
        </w:rPr>
        <w:t>2.4.3 进度付款申请单的提交</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（1）单价合同进度付款申请单提交的约定</w:t>
      </w:r>
      <w:r>
        <w:rPr>
          <w:rFonts w:hint="eastAsia" w:ascii="宋体" w:hAnsi="宋体" w:eastAsia="宋体" w:cs="Times New Roman"/>
          <w:szCs w:val="21"/>
        </w:rPr>
        <w:t>：</w:t>
      </w:r>
      <w:r>
        <w:rPr>
          <w:rFonts w:hint="eastAsia" w:ascii="宋体" w:hAnsi="宋体" w:eastAsia="宋体" w:cs="Times New Roman"/>
          <w:szCs w:val="21"/>
          <w:u w:val="single"/>
        </w:rPr>
        <w:t>按通用合同条款12.4.3执行</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12.4.4 进度款审核和支付</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（1）监理人审查并报送发包人的期限：</w:t>
      </w:r>
      <w:r>
        <w:rPr>
          <w:rFonts w:hint="eastAsia" w:ascii="宋体" w:hAnsi="宋体" w:eastAsia="宋体" w:cs="Times New Roman"/>
          <w:szCs w:val="21"/>
          <w:u w:val="single"/>
        </w:rPr>
        <w:t>监理人应在收到承包人进度付款申请单以及相关资料后   天内完成审查并报送发包人</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发包人完成审批并签发进度款支付证书的期限：</w:t>
      </w:r>
      <w:r>
        <w:rPr>
          <w:rFonts w:hint="eastAsia" w:ascii="宋体" w:hAnsi="宋体" w:eastAsia="宋体" w:cs="Times New Roman"/>
          <w:szCs w:val="21"/>
          <w:u w:val="single"/>
        </w:rPr>
        <w:t>发包人应在收到后   天内完成审批并签发进度款支付证书</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（2）发包人支付进度款的期限：</w:t>
      </w:r>
      <w:r>
        <w:rPr>
          <w:rFonts w:hint="eastAsia" w:ascii="宋体"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发包人逾期支付进度款的违约金的计算方式：</w:t>
      </w:r>
      <w:r>
        <w:rPr>
          <w:rFonts w:hint="eastAsia" w:ascii="宋体" w:hAnsi="宋体" w:eastAsia="宋体" w:cs="Times New Roman"/>
          <w:szCs w:val="21"/>
          <w:u w:val="single"/>
        </w:rPr>
        <w:t>待定</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12.4.5进度付款的修正</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在对已签发的进度款支付证书进行阶段汇总和复核中发现错误、遗漏或重复的，发包人和承包人均有权提出修正申请。经发包人和承包人同意的修正，应在下期进度付款中支付和扣除。</w:t>
      </w:r>
    </w:p>
    <w:p>
      <w:pPr>
        <w:spacing w:line="400" w:lineRule="exact"/>
        <w:ind w:firstLine="525" w:firstLineChars="250"/>
        <w:jc w:val="left"/>
        <w:rPr>
          <w:rFonts w:hint="eastAsia" w:ascii="宋体" w:hAnsi="宋体" w:eastAsia="宋体" w:cs="Times New Roman"/>
          <w:szCs w:val="21"/>
        </w:rPr>
      </w:pPr>
      <w:r>
        <w:rPr>
          <w:rFonts w:ascii="宋体" w:hAnsi="宋体" w:eastAsia="宋体" w:cs="Times New Roman"/>
          <w:szCs w:val="21"/>
        </w:rPr>
        <w:t>12.4.6 支付分解表的编制</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3、单价合同的总价项目支付分解表的编制与审批：</w:t>
      </w:r>
      <w:r>
        <w:rPr>
          <w:rFonts w:hint="eastAsia" w:ascii="宋体" w:hAnsi="宋体" w:eastAsia="宋体" w:cs="Times New Roman"/>
          <w:szCs w:val="21"/>
          <w:u w:val="single"/>
        </w:rPr>
        <w:t>按通用合同条款12.4.6执行</w:t>
      </w:r>
      <w:r>
        <w:rPr>
          <w:rFonts w:ascii="宋体" w:hAnsi="宋体" w:eastAsia="宋体" w:cs="Times New Roman"/>
          <w:szCs w:val="21"/>
        </w:rPr>
        <w:t>。</w:t>
      </w:r>
    </w:p>
    <w:bookmarkEnd w:id="304"/>
    <w:p>
      <w:pPr>
        <w:spacing w:after="120" w:line="400" w:lineRule="exact"/>
        <w:rPr>
          <w:rFonts w:ascii="宋体" w:hAnsi="宋体" w:eastAsia="宋体" w:cs="Times New Roman"/>
          <w:b/>
          <w:szCs w:val="21"/>
        </w:rPr>
      </w:pPr>
      <w:bookmarkStart w:id="475" w:name="_Toc351203645"/>
      <w:bookmarkStart w:id="476" w:name="_Toc297123564"/>
      <w:bookmarkStart w:id="477" w:name="_Toc292559424"/>
      <w:bookmarkStart w:id="478" w:name="_Toc297120519"/>
      <w:bookmarkStart w:id="479" w:name="_Toc296944558"/>
      <w:bookmarkStart w:id="480" w:name="_Toc297216223"/>
      <w:bookmarkStart w:id="481" w:name="_Toc300935015"/>
      <w:bookmarkStart w:id="482" w:name="_Toc297048405"/>
      <w:bookmarkStart w:id="483" w:name="_Toc303539172"/>
      <w:bookmarkStart w:id="484" w:name="_Toc304295593"/>
      <w:bookmarkStart w:id="485" w:name="_Toc312678053"/>
      <w:bookmarkStart w:id="486" w:name="_Toc292559929"/>
      <w:bookmarkStart w:id="487" w:name="_Toc296346720"/>
      <w:bookmarkStart w:id="488" w:name="_Toc296891047"/>
      <w:bookmarkStart w:id="489" w:name="_Toc296891259"/>
      <w:bookmarkStart w:id="490" w:name="_Toc296347218"/>
      <w:bookmarkStart w:id="491" w:name="_Toc296503219"/>
      <w:r>
        <w:rPr>
          <w:rFonts w:ascii="宋体" w:hAnsi="宋体" w:eastAsia="宋体" w:cs="Times New Roman"/>
          <w:b/>
          <w:szCs w:val="21"/>
        </w:rPr>
        <w:t>13.</w:t>
      </w:r>
      <w:r>
        <w:rPr>
          <w:rFonts w:hint="eastAsia" w:ascii="宋体" w:hAnsi="宋体" w:eastAsia="宋体" w:cs="Times New Roman"/>
          <w:b/>
          <w:szCs w:val="21"/>
        </w:rPr>
        <w:t xml:space="preserve"> </w:t>
      </w:r>
      <w:r>
        <w:rPr>
          <w:rFonts w:ascii="宋体" w:hAnsi="宋体" w:eastAsia="宋体" w:cs="Times New Roman"/>
          <w:b/>
          <w:szCs w:val="21"/>
        </w:rPr>
        <w:t>验收和工程试车</w:t>
      </w:r>
      <w:bookmarkEnd w:id="475"/>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13.1 分部分项工程验收</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13.1.2监理人不能按时进行验收时，应提前</w:t>
      </w:r>
      <w:r>
        <w:rPr>
          <w:rFonts w:hint="eastAsia" w:ascii="宋体" w:hAnsi="宋体" w:eastAsia="宋体" w:cs="Times New Roman"/>
          <w:szCs w:val="21"/>
          <w:u w:val="single"/>
        </w:rPr>
        <w:t>12</w:t>
      </w:r>
      <w:r>
        <w:rPr>
          <w:rFonts w:ascii="宋体" w:hAnsi="宋体" w:eastAsia="宋体" w:cs="Times New Roman"/>
          <w:szCs w:val="21"/>
        </w:rPr>
        <w:t>小时提交书面延期要求。</w:t>
      </w:r>
    </w:p>
    <w:p>
      <w:pPr>
        <w:spacing w:line="400" w:lineRule="exact"/>
        <w:ind w:firstLine="420" w:firstLineChars="200"/>
        <w:jc w:val="left"/>
        <w:rPr>
          <w:rFonts w:ascii="宋体" w:hAnsi="宋体" w:eastAsia="宋体" w:cs="Times New Roman"/>
          <w:b/>
          <w:szCs w:val="21"/>
        </w:rPr>
      </w:pPr>
      <w:r>
        <w:rPr>
          <w:rFonts w:ascii="宋体" w:hAnsi="宋体" w:eastAsia="宋体" w:cs="Times New Roman"/>
          <w:szCs w:val="21"/>
        </w:rPr>
        <w:t>关于延期最长不得超过：</w:t>
      </w:r>
      <w:r>
        <w:rPr>
          <w:rFonts w:hint="eastAsia" w:ascii="宋体" w:hAnsi="宋体" w:eastAsia="宋体" w:cs="Times New Roman"/>
          <w:szCs w:val="21"/>
          <w:u w:val="single"/>
        </w:rPr>
        <w:t>48</w:t>
      </w:r>
      <w:r>
        <w:rPr>
          <w:rFonts w:ascii="宋体" w:hAnsi="宋体" w:eastAsia="宋体" w:cs="Times New Roman"/>
          <w:szCs w:val="21"/>
        </w:rPr>
        <w:t>小时。</w:t>
      </w:r>
    </w:p>
    <w:p>
      <w:pPr>
        <w:spacing w:after="120" w:line="400" w:lineRule="exact"/>
        <w:ind w:firstLine="420" w:firstLineChars="200"/>
        <w:rPr>
          <w:rFonts w:ascii="宋体" w:hAnsi="宋体" w:eastAsia="宋体" w:cs="Times New Roman"/>
          <w:szCs w:val="21"/>
        </w:rPr>
      </w:pPr>
      <w:bookmarkStart w:id="492" w:name="_Toc297123565"/>
      <w:bookmarkStart w:id="493" w:name="_Toc297120523"/>
      <w:bookmarkStart w:id="494" w:name="_Toc296503223"/>
      <w:bookmarkStart w:id="495" w:name="_Toc296891051"/>
      <w:bookmarkStart w:id="496" w:name="_Toc296891263"/>
      <w:bookmarkStart w:id="497" w:name="_Toc296944562"/>
      <w:bookmarkStart w:id="498" w:name="_Toc297048409"/>
      <w:bookmarkStart w:id="499" w:name="_Toc292559933"/>
      <w:bookmarkStart w:id="500" w:name="_Toc296346724"/>
      <w:bookmarkStart w:id="501" w:name="_Toc297216224"/>
      <w:bookmarkStart w:id="502" w:name="_Toc300935016"/>
      <w:bookmarkStart w:id="503" w:name="_Toc303539173"/>
      <w:bookmarkStart w:id="504" w:name="_Toc296347222"/>
      <w:bookmarkStart w:id="505" w:name="_Toc312678056"/>
      <w:bookmarkStart w:id="506" w:name="_Toc292559428"/>
      <w:bookmarkStart w:id="507" w:name="_Toc304295596"/>
      <w:bookmarkStart w:id="508" w:name="_Toc267251476"/>
      <w:bookmarkStart w:id="509" w:name="_Toc267251474"/>
      <w:bookmarkStart w:id="510" w:name="_Toc267251473"/>
      <w:bookmarkStart w:id="511" w:name="_Toc267251472"/>
      <w:bookmarkStart w:id="512" w:name="_Toc267251471"/>
      <w:bookmarkStart w:id="513" w:name="_Toc267251470"/>
      <w:bookmarkStart w:id="514" w:name="_Toc267251475"/>
      <w:r>
        <w:rPr>
          <w:rFonts w:ascii="宋体" w:hAnsi="宋体" w:eastAsia="宋体" w:cs="Times New Roman"/>
          <w:szCs w:val="21"/>
        </w:rPr>
        <w:t>13.2 竣工验收</w:t>
      </w:r>
    </w:p>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Pr>
        <w:spacing w:line="400" w:lineRule="exact"/>
        <w:ind w:firstLine="420" w:firstLineChars="200"/>
        <w:jc w:val="left"/>
        <w:rPr>
          <w:rFonts w:ascii="宋体" w:hAnsi="宋体" w:eastAsia="宋体" w:cs="Times New Roman"/>
          <w:szCs w:val="21"/>
        </w:rPr>
      </w:pPr>
      <w:bookmarkStart w:id="515" w:name="_Toc280868704"/>
      <w:bookmarkStart w:id="516" w:name="_Toc280868705"/>
      <w:bookmarkStart w:id="517" w:name="_Toc280868706"/>
      <w:bookmarkStart w:id="518" w:name="_Toc280868707"/>
      <w:bookmarkStart w:id="519" w:name="_Toc280868708"/>
      <w:bookmarkStart w:id="520" w:name="_Toc280868709"/>
      <w:r>
        <w:rPr>
          <w:rFonts w:ascii="宋体" w:hAnsi="宋体" w:eastAsia="宋体" w:cs="Times New Roman"/>
          <w:szCs w:val="21"/>
        </w:rPr>
        <w:t>13.2.2竣工验收程序</w:t>
      </w:r>
    </w:p>
    <w:bookmarkEnd w:id="515"/>
    <w:p>
      <w:pPr>
        <w:spacing w:line="400" w:lineRule="exact"/>
        <w:ind w:left="4200" w:leftChars="200" w:hanging="3780" w:hangingChars="1800"/>
        <w:jc w:val="left"/>
        <w:rPr>
          <w:rFonts w:ascii="宋体" w:hAnsi="宋体" w:eastAsia="宋体" w:cs="Times New Roman"/>
          <w:szCs w:val="21"/>
        </w:rPr>
      </w:pPr>
      <w:r>
        <w:rPr>
          <w:rFonts w:ascii="宋体" w:hAnsi="宋体" w:eastAsia="宋体" w:cs="Times New Roman"/>
          <w:szCs w:val="21"/>
        </w:rPr>
        <w:t>关于竣工验收程序的约定：</w:t>
      </w:r>
      <w:r>
        <w:rPr>
          <w:rFonts w:hint="eastAsia" w:ascii="宋体" w:hAnsi="宋体" w:eastAsia="宋体" w:cs="Times New Roman"/>
          <w:szCs w:val="21"/>
          <w:u w:val="single"/>
        </w:rPr>
        <w:t>按通用合同条款12.2.2执行</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发包人不按照本项约定组织竣工验收、颁发工程接收证书的违约金的计算方法：</w:t>
      </w:r>
      <w:r>
        <w:rPr>
          <w:rFonts w:hint="eastAsia" w:ascii="宋体" w:hAnsi="宋体" w:eastAsia="宋体" w:cs="Times New Roman"/>
          <w:szCs w:val="21"/>
          <w:u w:val="single"/>
        </w:rPr>
        <w:t>待定</w:t>
      </w:r>
      <w:r>
        <w:rPr>
          <w:rFonts w:ascii="宋体" w:hAnsi="宋体" w:eastAsia="宋体" w:cs="Times New Roman"/>
          <w:szCs w:val="21"/>
        </w:rPr>
        <w:t>。</w:t>
      </w:r>
    </w:p>
    <w:bookmarkEnd w:id="516"/>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13.2.5移交、接收全部与部分工程</w:t>
      </w:r>
    </w:p>
    <w:bookmarkEnd w:id="517"/>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承包人向发包人移交工程的期限：</w:t>
      </w:r>
      <w:r>
        <w:rPr>
          <w:rFonts w:hint="eastAsia" w:ascii="宋体" w:hAnsi="宋体" w:eastAsia="宋体" w:cs="Times New Roman"/>
          <w:szCs w:val="21"/>
          <w:u w:val="single"/>
        </w:rPr>
        <w:t>同当事人应当在颁发工程接收证书后     天内完成工程的移交</w:t>
      </w:r>
      <w:r>
        <w:rPr>
          <w:rFonts w:hint="eastAsia" w:ascii="宋体" w:hAnsi="宋体" w:eastAsia="宋体" w:cs="Times New Roman"/>
          <w:szCs w:val="21"/>
        </w:rPr>
        <w:t>。</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发包人未按本合同约定接收全部或部分工程的，违约金的计算方法为：</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rPr>
        <w:t>。</w:t>
      </w:r>
    </w:p>
    <w:bookmarkEnd w:id="518"/>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承包人未按时移交工程的，违约金的计算方法为：</w:t>
      </w:r>
      <w:r>
        <w:rPr>
          <w:rFonts w:hint="eastAsia" w:ascii="宋体" w:hAnsi="宋体" w:eastAsia="宋体" w:cs="Times New Roman"/>
          <w:szCs w:val="21"/>
          <w:u w:val="single"/>
        </w:rPr>
        <w:t xml:space="preserve">  待定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13.3 工程试车</w:t>
      </w:r>
    </w:p>
    <w:bookmarkEnd w:id="519"/>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13.3.1 试车程序</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工程试车内容：</w:t>
      </w:r>
      <w:r>
        <w:rPr>
          <w:rFonts w:hint="eastAsia" w:ascii="宋体" w:hAnsi="宋体" w:eastAsia="宋体" w:cs="Times New Roman"/>
          <w:szCs w:val="21"/>
          <w:u w:val="single"/>
        </w:rPr>
        <w:t>试车内容应与承包人承包范围相一致</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（1）单机无负荷试车费用由</w:t>
      </w:r>
      <w:r>
        <w:rPr>
          <w:rFonts w:ascii="宋体" w:hAnsi="宋体" w:eastAsia="宋体" w:cs="Times New Roman"/>
          <w:szCs w:val="21"/>
          <w:u w:val="single"/>
        </w:rPr>
        <w:t xml:space="preserve">    </w:t>
      </w:r>
      <w:r>
        <w:rPr>
          <w:rFonts w:hint="eastAsia" w:ascii="宋体" w:hAnsi="宋体" w:eastAsia="宋体" w:cs="Times New Roman"/>
          <w:szCs w:val="21"/>
          <w:u w:val="single"/>
        </w:rPr>
        <w:t>承包人</w:t>
      </w:r>
      <w:r>
        <w:rPr>
          <w:rFonts w:ascii="宋体" w:hAnsi="宋体" w:eastAsia="宋体" w:cs="Times New Roman"/>
          <w:szCs w:val="21"/>
          <w:u w:val="single"/>
        </w:rPr>
        <w:t xml:space="preserve">   </w:t>
      </w:r>
      <w:r>
        <w:rPr>
          <w:rFonts w:ascii="宋体" w:hAnsi="宋体" w:eastAsia="宋体" w:cs="Times New Roman"/>
          <w:szCs w:val="21"/>
        </w:rPr>
        <w:t>承担；</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（2）无负荷联动试车费用由</w:t>
      </w:r>
      <w:r>
        <w:rPr>
          <w:rFonts w:ascii="宋体" w:hAnsi="宋体" w:eastAsia="宋体" w:cs="Times New Roman"/>
          <w:szCs w:val="21"/>
          <w:u w:val="single"/>
        </w:rPr>
        <w:t xml:space="preserve">      </w:t>
      </w:r>
      <w:r>
        <w:rPr>
          <w:rFonts w:hint="eastAsia" w:ascii="宋体" w:hAnsi="宋体" w:eastAsia="宋体" w:cs="Times New Roman"/>
          <w:szCs w:val="21"/>
          <w:u w:val="single"/>
        </w:rPr>
        <w:t>承包人</w:t>
      </w:r>
      <w:r>
        <w:rPr>
          <w:rFonts w:ascii="宋体" w:hAnsi="宋体" w:eastAsia="宋体" w:cs="Times New Roman"/>
          <w:szCs w:val="21"/>
          <w:u w:val="single"/>
        </w:rPr>
        <w:t xml:space="preserve">  </w:t>
      </w:r>
      <w:r>
        <w:rPr>
          <w:rFonts w:ascii="宋体" w:hAnsi="宋体" w:eastAsia="宋体" w:cs="Times New Roman"/>
          <w:szCs w:val="21"/>
        </w:rPr>
        <w:t>承担。</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13.3.3 投料试车</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关于投料试车相关事项的约定：</w:t>
      </w:r>
      <w:r>
        <w:rPr>
          <w:rFonts w:hint="eastAsia" w:ascii="宋体" w:hAnsi="宋体" w:eastAsia="宋体" w:cs="Times New Roman"/>
          <w:szCs w:val="21"/>
          <w:u w:val="single"/>
        </w:rPr>
        <w:t xml:space="preserve">     待定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13.6 竣工退场</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13.6.1 竣工退场</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承包人完成竣工退场的期限：</w:t>
      </w:r>
      <w:r>
        <w:rPr>
          <w:rFonts w:hint="eastAsia" w:ascii="宋体" w:hAnsi="宋体" w:eastAsia="宋体" w:cs="Times New Roman"/>
          <w:szCs w:val="21"/>
          <w:u w:val="single"/>
        </w:rPr>
        <w:t>承包人应在     内完成竣工退场</w:t>
      </w:r>
      <w:r>
        <w:rPr>
          <w:rFonts w:ascii="宋体" w:hAnsi="宋体" w:eastAsia="宋体" w:cs="Times New Roman"/>
          <w:szCs w:val="21"/>
        </w:rPr>
        <w:t>。</w:t>
      </w:r>
    </w:p>
    <w:p>
      <w:pPr>
        <w:spacing w:after="120" w:line="400" w:lineRule="exact"/>
        <w:rPr>
          <w:rFonts w:ascii="宋体" w:hAnsi="宋体" w:eastAsia="宋体" w:cs="Times New Roman"/>
          <w:b/>
          <w:szCs w:val="21"/>
        </w:rPr>
      </w:pPr>
      <w:bookmarkStart w:id="521" w:name="_Toc351203646"/>
      <w:r>
        <w:rPr>
          <w:rFonts w:ascii="宋体" w:hAnsi="宋体" w:eastAsia="宋体" w:cs="Times New Roman"/>
          <w:b/>
          <w:szCs w:val="21"/>
        </w:rPr>
        <w:t>14. 竣工结算</w:t>
      </w:r>
      <w:bookmarkEnd w:id="521"/>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14.1 竣工付款申请</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承包人提交竣工付款申请单的期限：</w:t>
      </w:r>
      <w:r>
        <w:rPr>
          <w:rFonts w:hint="eastAsia" w:ascii="宋体" w:hAnsi="宋体" w:eastAsia="宋体" w:cs="Times New Roman"/>
          <w:szCs w:val="21"/>
          <w:u w:val="single"/>
        </w:rPr>
        <w:t>承包人应在工程竣工验收合格后    天内向发包人和监理人提交竣工结算申请单</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u w:val="single"/>
        </w:rPr>
      </w:pPr>
      <w:r>
        <w:rPr>
          <w:rFonts w:ascii="宋体" w:hAnsi="宋体" w:eastAsia="宋体" w:cs="Times New Roman"/>
          <w:szCs w:val="21"/>
        </w:rPr>
        <w:t>竣工付款申请单应包括的内容：</w:t>
      </w:r>
      <w:r>
        <w:rPr>
          <w:rFonts w:hint="eastAsia" w:ascii="宋体" w:hAnsi="宋体" w:eastAsia="宋体" w:cs="Times New Roman"/>
          <w:szCs w:val="21"/>
          <w:u w:val="single"/>
        </w:rPr>
        <w:t>（1）竣工结算合同价格；（2）发包人已支付承包人的款项；（3）应扣留的质量保证金； （4）发包人应支付承包人的合同价款。</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14.2 竣工结算审核</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w:t>
      </w:r>
      <w:r>
        <w:rPr>
          <w:rFonts w:hint="eastAsia" w:ascii="宋体" w:hAnsi="宋体" w:eastAsia="宋体" w:cs="Times New Roman"/>
          <w:szCs w:val="21"/>
        </w:rPr>
        <w:t>审批</w:t>
      </w:r>
      <w:r>
        <w:rPr>
          <w:rFonts w:ascii="宋体" w:hAnsi="宋体" w:eastAsia="宋体" w:cs="Times New Roman"/>
          <w:szCs w:val="21"/>
        </w:rPr>
        <w:t>竣工付款申请单的期限：</w:t>
      </w:r>
      <w:r>
        <w:rPr>
          <w:rFonts w:hint="eastAsia" w:ascii="宋体" w:hAnsi="宋体" w:eastAsia="宋体" w:cs="Times New Roman"/>
          <w:szCs w:val="21"/>
          <w:u w:val="single"/>
        </w:rPr>
        <w:t>监理人应在收到竣工结算申请单后   天内完成核查并报送发包人</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发包人完成竣工付款的期限：</w:t>
      </w:r>
      <w:r>
        <w:rPr>
          <w:rFonts w:hint="eastAsia" w:ascii="宋体" w:hAnsi="宋体" w:eastAsia="宋体" w:cs="Times New Roman"/>
          <w:szCs w:val="21"/>
          <w:u w:val="single"/>
        </w:rPr>
        <w:t>发包人应在收到监理人提交的经审核的竣工结算申请单后   天内完成审批，并由监理人向承包人签发经发包人签认的竣工付款证书</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关于竣工付款证书异议部分复核的方式和程序：</w:t>
      </w:r>
      <w:r>
        <w:rPr>
          <w:rFonts w:hint="eastAsia" w:ascii="宋体" w:hAnsi="宋体" w:eastAsia="宋体" w:cs="Times New Roman"/>
          <w:szCs w:val="21"/>
          <w:u w:val="single"/>
        </w:rPr>
        <w:t>按通用合同条款14.2执行</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关于高估冒算的约定</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施工单位编制的结算书高估冒算超出报审结算总造价10%以上的，由施工单位负责支付建设单位与造价咨询单位约定的审核全部费用；施工单位高估冒算超出报审结算总造价5%-10%的，由施工单位负责支付建设单位与造价咨询单位约定的审核费用50%。</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14.4 最终结清</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14.4.1 最终结清申请单</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承包人提交最终结清申请单的份数：</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承包人提交最终结算申请单的期限：</w:t>
      </w:r>
      <w:r>
        <w:rPr>
          <w:rFonts w:ascii="宋体" w:hAnsi="宋体" w:eastAsia="宋体" w:cs="Times New Roman"/>
          <w:szCs w:val="21"/>
          <w:u w:val="single"/>
        </w:rPr>
        <w:t>承包人应在缺陷责任期终止证书颁发后</w:t>
      </w:r>
      <w:r>
        <w:rPr>
          <w:rFonts w:hint="eastAsia" w:ascii="宋体" w:hAnsi="宋体" w:eastAsia="宋体" w:cs="Times New Roman"/>
          <w:szCs w:val="21"/>
          <w:u w:val="single"/>
        </w:rPr>
        <w:t xml:space="preserve">    </w:t>
      </w:r>
      <w:r>
        <w:rPr>
          <w:rFonts w:ascii="宋体" w:hAnsi="宋体" w:eastAsia="宋体" w:cs="Times New Roman"/>
          <w:szCs w:val="21"/>
          <w:u w:val="single"/>
        </w:rPr>
        <w:t>天内，按专用合同条款约定的份数向发包人提交最终结清申请单，并提供相关证明材料。</w:t>
      </w:r>
      <w:r>
        <w:rPr>
          <w:rFonts w:ascii="宋体" w:hAnsi="宋体" w:eastAsia="宋体" w:cs="Times New Roman"/>
          <w:szCs w:val="21"/>
        </w:rPr>
        <w:t xml:space="preserve"> </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14.4.2 最终结清证书和支付</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（1）发包人完成最终结清申请单的</w:t>
      </w:r>
      <w:r>
        <w:rPr>
          <w:rFonts w:hint="eastAsia" w:ascii="宋体" w:hAnsi="宋体" w:eastAsia="宋体" w:cs="Times New Roman"/>
          <w:szCs w:val="21"/>
        </w:rPr>
        <w:t>审批</w:t>
      </w:r>
      <w:r>
        <w:rPr>
          <w:rFonts w:ascii="宋体" w:hAnsi="宋体" w:eastAsia="宋体" w:cs="Times New Roman"/>
          <w:szCs w:val="21"/>
        </w:rPr>
        <w:t>并颁发最终结清证书的期限：</w:t>
      </w:r>
      <w:r>
        <w:rPr>
          <w:rFonts w:hint="eastAsia" w:ascii="宋体" w:hAnsi="宋体" w:eastAsia="宋体" w:cs="Times New Roman"/>
          <w:szCs w:val="21"/>
          <w:u w:val="single"/>
        </w:rPr>
        <w:t>发包人应在收到承包人提交的最终结清申请单后     天内完成审批并向承包人颁发最终结清证书</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（2）发包人完成支付的期限：</w:t>
      </w:r>
      <w:r>
        <w:rPr>
          <w:rFonts w:hint="eastAsia" w:ascii="宋体" w:hAnsi="宋体" w:eastAsia="宋体" w:cs="Times New Roman"/>
          <w:szCs w:val="21"/>
          <w:u w:val="single"/>
        </w:rPr>
        <w:t>发包人应在颁发最终结清证书后    天内完成支付</w:t>
      </w:r>
      <w:r>
        <w:rPr>
          <w:rFonts w:ascii="宋体" w:hAnsi="宋体" w:eastAsia="宋体" w:cs="Times New Roman"/>
          <w:szCs w:val="21"/>
        </w:rPr>
        <w:t>。</w:t>
      </w:r>
    </w:p>
    <w:bookmarkEnd w:id="508"/>
    <w:bookmarkEnd w:id="509"/>
    <w:bookmarkEnd w:id="510"/>
    <w:bookmarkEnd w:id="511"/>
    <w:bookmarkEnd w:id="512"/>
    <w:bookmarkEnd w:id="513"/>
    <w:bookmarkEnd w:id="514"/>
    <w:bookmarkEnd w:id="520"/>
    <w:p>
      <w:pPr>
        <w:spacing w:after="120" w:line="400" w:lineRule="exact"/>
        <w:rPr>
          <w:rFonts w:ascii="宋体" w:hAnsi="宋体" w:eastAsia="宋体" w:cs="Times New Roman"/>
          <w:b/>
          <w:szCs w:val="21"/>
        </w:rPr>
      </w:pPr>
      <w:bookmarkStart w:id="522" w:name="_Toc351203647"/>
      <w:bookmarkStart w:id="523" w:name="_Toc267251483"/>
      <w:bookmarkStart w:id="524" w:name="_Toc267251482"/>
      <w:bookmarkStart w:id="525" w:name="_Toc267251484"/>
      <w:bookmarkStart w:id="526" w:name="_Toc267251485"/>
      <w:bookmarkStart w:id="527" w:name="_Toc267251490"/>
      <w:bookmarkStart w:id="528" w:name="_Toc267251489"/>
      <w:bookmarkStart w:id="529" w:name="_Toc267251488"/>
      <w:bookmarkStart w:id="530" w:name="_Toc267251486"/>
      <w:bookmarkStart w:id="531" w:name="_Toc267251498"/>
      <w:bookmarkStart w:id="532" w:name="_Toc267251491"/>
      <w:bookmarkStart w:id="533" w:name="_Toc267251492"/>
      <w:bookmarkStart w:id="534" w:name="_Toc267251497"/>
      <w:bookmarkStart w:id="535" w:name="_Toc267251493"/>
      <w:bookmarkStart w:id="536" w:name="_Toc267251494"/>
      <w:bookmarkStart w:id="537" w:name="_Toc267251495"/>
      <w:bookmarkStart w:id="538" w:name="_Toc267251496"/>
      <w:bookmarkStart w:id="539" w:name="_Toc267251499"/>
      <w:bookmarkStart w:id="540" w:name="_Toc267251503"/>
      <w:bookmarkStart w:id="541" w:name="_Toc267251502"/>
      <w:bookmarkStart w:id="542" w:name="_Toc267251501"/>
      <w:bookmarkStart w:id="543" w:name="_Toc267251504"/>
      <w:bookmarkStart w:id="544" w:name="_Toc267251506"/>
      <w:bookmarkStart w:id="545" w:name="_Toc267251507"/>
      <w:bookmarkStart w:id="546" w:name="_Toc267251508"/>
      <w:bookmarkStart w:id="547" w:name="_Toc267251515"/>
      <w:bookmarkStart w:id="548" w:name="_Toc267251509"/>
      <w:bookmarkStart w:id="549" w:name="_Toc267251510"/>
      <w:bookmarkStart w:id="550" w:name="_Toc267251511"/>
      <w:bookmarkStart w:id="551" w:name="_Toc267251514"/>
      <w:bookmarkStart w:id="552" w:name="_Toc267251513"/>
      <w:r>
        <w:rPr>
          <w:rFonts w:ascii="宋体" w:hAnsi="宋体" w:eastAsia="宋体" w:cs="Times New Roman"/>
          <w:b/>
          <w:szCs w:val="21"/>
        </w:rPr>
        <w:t>15. 缺陷责任期与保修</w:t>
      </w:r>
      <w:bookmarkEnd w:id="522"/>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15.2缺陷责任期</w:t>
      </w:r>
      <w:bookmarkEnd w:id="523"/>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缺陷责任期的具体期限：</w:t>
      </w:r>
      <w:r>
        <w:rPr>
          <w:rFonts w:hint="eastAsia" w:ascii="宋体" w:hAnsi="宋体" w:eastAsia="宋体" w:cs="Times New Roman"/>
          <w:szCs w:val="21"/>
          <w:u w:val="single"/>
        </w:rPr>
        <w:t>24个月</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15.3 质量保证金</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关于是否扣留质量保证金的约定：</w:t>
      </w:r>
      <w:r>
        <w:rPr>
          <w:rFonts w:hint="eastAsia" w:ascii="宋体" w:hAnsi="宋体" w:eastAsia="宋体" w:cs="Times New Roman"/>
          <w:szCs w:val="21"/>
          <w:u w:val="single"/>
        </w:rPr>
        <w:t>是。</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 xml:space="preserve">15.3.1 </w:t>
      </w:r>
      <w:r>
        <w:rPr>
          <w:rFonts w:hint="eastAsia" w:ascii="宋体" w:hAnsi="宋体" w:eastAsia="宋体" w:cs="Times New Roman"/>
          <w:szCs w:val="21"/>
        </w:rPr>
        <w:t>承包人提供</w:t>
      </w:r>
      <w:r>
        <w:rPr>
          <w:rFonts w:ascii="宋体" w:hAnsi="宋体" w:eastAsia="宋体" w:cs="Times New Roman"/>
          <w:szCs w:val="21"/>
        </w:rPr>
        <w:t>质量保证金的</w:t>
      </w:r>
      <w:r>
        <w:rPr>
          <w:rFonts w:hint="eastAsia" w:ascii="宋体" w:hAnsi="宋体" w:eastAsia="宋体" w:cs="Times New Roman"/>
          <w:szCs w:val="21"/>
        </w:rPr>
        <w:t>方</w:t>
      </w:r>
      <w:r>
        <w:rPr>
          <w:rFonts w:ascii="宋体" w:hAnsi="宋体" w:eastAsia="宋体" w:cs="Times New Roman"/>
          <w:szCs w:val="21"/>
        </w:rPr>
        <w:t>式</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质量保证金采用以下第</w:t>
      </w:r>
      <w:r>
        <w:rPr>
          <w:rFonts w:hint="eastAsia" w:ascii="宋体" w:hAnsi="宋体" w:eastAsia="宋体" w:cs="Times New Roman"/>
          <w:szCs w:val="21"/>
          <w:u w:val="single"/>
        </w:rPr>
        <w:t>（1）</w:t>
      </w:r>
      <w:r>
        <w:rPr>
          <w:rFonts w:ascii="宋体" w:hAnsi="宋体" w:eastAsia="宋体" w:cs="Times New Roman"/>
          <w:szCs w:val="21"/>
        </w:rPr>
        <w:t>种方式：</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w:t>
      </w:r>
      <w:r>
        <w:rPr>
          <w:rFonts w:hint="eastAsia" w:ascii="宋体" w:hAnsi="宋体" w:eastAsia="宋体" w:cs="Times New Roman"/>
          <w:szCs w:val="21"/>
        </w:rPr>
        <w:t>1</w:t>
      </w:r>
      <w:r>
        <w:rPr>
          <w:rFonts w:ascii="宋体" w:hAnsi="宋体" w:eastAsia="宋体" w:cs="Times New Roman"/>
          <w:szCs w:val="21"/>
        </w:rPr>
        <w:t>）</w:t>
      </w:r>
      <w:r>
        <w:rPr>
          <w:rFonts w:ascii="宋体" w:hAnsi="宋体" w:eastAsia="宋体" w:cs="Times New Roman"/>
          <w:szCs w:val="21"/>
          <w:u w:val="single"/>
        </w:rPr>
        <w:t xml:space="preserve"> </w:t>
      </w:r>
      <w:r>
        <w:rPr>
          <w:rFonts w:hint="eastAsia" w:ascii="宋体" w:hAnsi="宋体" w:eastAsia="宋体" w:cs="Times New Roman"/>
          <w:szCs w:val="21"/>
          <w:u w:val="single"/>
        </w:rPr>
        <w:t>3</w:t>
      </w:r>
      <w:r>
        <w:rPr>
          <w:rFonts w:ascii="宋体" w:hAnsi="宋体" w:eastAsia="宋体" w:cs="Times New Roman"/>
          <w:szCs w:val="21"/>
        </w:rPr>
        <w:t>%的工程款；</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 xml:space="preserve">15.3.2 质量保证金的扣留 </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质量保证金的扣留采取以下第</w:t>
      </w:r>
      <w:r>
        <w:rPr>
          <w:rFonts w:ascii="宋体" w:hAnsi="宋体" w:eastAsia="宋体" w:cs="Times New Roman"/>
          <w:szCs w:val="21"/>
          <w:u w:val="single"/>
        </w:rPr>
        <w:t xml:space="preserve"> </w:t>
      </w:r>
      <w:r>
        <w:rPr>
          <w:rFonts w:hint="eastAsia" w:ascii="宋体" w:hAnsi="宋体" w:eastAsia="宋体" w:cs="Times New Roman"/>
          <w:szCs w:val="21"/>
          <w:u w:val="single"/>
        </w:rPr>
        <w:t>（1）</w:t>
      </w:r>
      <w:r>
        <w:rPr>
          <w:rFonts w:ascii="宋体" w:hAnsi="宋体" w:eastAsia="宋体" w:cs="Times New Roman"/>
          <w:szCs w:val="21"/>
        </w:rPr>
        <w:t>种方式：</w:t>
      </w:r>
    </w:p>
    <w:p>
      <w:pPr>
        <w:autoSpaceDE w:val="0"/>
        <w:autoSpaceDN w:val="0"/>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w:t>
      </w:r>
      <w:r>
        <w:rPr>
          <w:rFonts w:hint="eastAsia" w:ascii="宋体" w:hAnsi="宋体" w:eastAsia="宋体" w:cs="Times New Roman"/>
          <w:szCs w:val="21"/>
        </w:rPr>
        <w:t>1</w:t>
      </w:r>
      <w:r>
        <w:rPr>
          <w:rFonts w:ascii="宋体" w:hAnsi="宋体" w:eastAsia="宋体" w:cs="Times New Roman"/>
          <w:szCs w:val="21"/>
        </w:rPr>
        <w:t>）工程竣工结算时一次性扣留质量保证金；</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关于质量保证金的补充约定：</w:t>
      </w:r>
      <w:r>
        <w:rPr>
          <w:rFonts w:hint="eastAsia" w:ascii="宋体" w:hAnsi="宋体" w:eastAsia="宋体" w:cs="Times New Roman"/>
          <w:szCs w:val="21"/>
          <w:u w:val="single"/>
        </w:rPr>
        <w:t xml:space="preserve">  待定   </w:t>
      </w:r>
      <w:r>
        <w:rPr>
          <w:rFonts w:ascii="宋体" w:hAnsi="宋体" w:eastAsia="宋体" w:cs="Times New Roman"/>
          <w:szCs w:val="21"/>
        </w:rPr>
        <w:t>。</w:t>
      </w:r>
    </w:p>
    <w:bookmarkEnd w:id="524"/>
    <w:bookmarkEnd w:id="525"/>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15.4保修</w:t>
      </w:r>
    </w:p>
    <w:bookmarkEnd w:id="526"/>
    <w:p>
      <w:pPr>
        <w:spacing w:line="400" w:lineRule="exact"/>
        <w:ind w:firstLine="409" w:firstLineChars="195"/>
        <w:jc w:val="left"/>
        <w:rPr>
          <w:rFonts w:ascii="宋体" w:hAnsi="宋体" w:eastAsia="宋体" w:cs="Times New Roman"/>
          <w:szCs w:val="21"/>
        </w:rPr>
      </w:pPr>
      <w:r>
        <w:rPr>
          <w:rFonts w:ascii="宋体" w:hAnsi="宋体" w:eastAsia="宋体" w:cs="Times New Roman"/>
          <w:szCs w:val="21"/>
        </w:rPr>
        <w:t>15.4.1 保修责任</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工程保修期为：</w:t>
      </w:r>
      <w:r>
        <w:rPr>
          <w:rFonts w:ascii="宋体" w:hAnsi="宋体" w:eastAsia="宋体" w:cs="Times New Roman"/>
          <w:szCs w:val="21"/>
          <w:u w:val="single"/>
        </w:rPr>
        <w:t xml:space="preserve"> </w:t>
      </w:r>
      <w:r>
        <w:rPr>
          <w:rFonts w:hint="eastAsia" w:ascii="宋体" w:hAnsi="宋体" w:eastAsia="宋体" w:cs="Times New Roman"/>
          <w:szCs w:val="21"/>
          <w:u w:val="single"/>
        </w:rPr>
        <w:t>2</w:t>
      </w:r>
      <w:r>
        <w:rPr>
          <w:rFonts w:ascii="宋体" w:hAnsi="宋体" w:eastAsia="宋体" w:cs="Times New Roman"/>
          <w:szCs w:val="21"/>
          <w:u w:val="single"/>
        </w:rPr>
        <w:t xml:space="preserve"> </w:t>
      </w:r>
      <w:r>
        <w:rPr>
          <w:rFonts w:hint="eastAsia" w:ascii="宋体" w:hAnsi="宋体" w:eastAsia="宋体" w:cs="Times New Roman"/>
          <w:szCs w:val="21"/>
          <w:u w:val="single"/>
        </w:rPr>
        <w:t>年</w:t>
      </w:r>
      <w:r>
        <w:rPr>
          <w:rFonts w:ascii="宋体" w:hAnsi="宋体" w:eastAsia="宋体" w:cs="Times New Roman"/>
          <w:szCs w:val="21"/>
        </w:rPr>
        <w:t>。</w:t>
      </w:r>
    </w:p>
    <w:p>
      <w:pPr>
        <w:spacing w:line="400" w:lineRule="exact"/>
        <w:ind w:firstLine="409" w:firstLineChars="195"/>
        <w:jc w:val="left"/>
        <w:rPr>
          <w:rFonts w:ascii="宋体" w:hAnsi="宋体" w:eastAsia="宋体" w:cs="Times New Roman"/>
          <w:szCs w:val="21"/>
        </w:rPr>
      </w:pPr>
      <w:r>
        <w:rPr>
          <w:rFonts w:ascii="宋体" w:hAnsi="宋体" w:eastAsia="宋体" w:cs="Times New Roman"/>
          <w:szCs w:val="21"/>
        </w:rPr>
        <w:t>15.4.3 修复通知</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承包人收到保修通知并到达工程现场的合理时间：</w:t>
      </w:r>
      <w:r>
        <w:rPr>
          <w:rFonts w:hint="eastAsia" w:ascii="宋体" w:hAnsi="宋体" w:eastAsia="宋体" w:cs="Times New Roman"/>
          <w:szCs w:val="21"/>
        </w:rPr>
        <w:t>接到发包人通知之日起</w:t>
      </w:r>
      <w:r>
        <w:rPr>
          <w:rFonts w:ascii="宋体" w:hAnsi="宋体" w:eastAsia="宋体" w:cs="Times New Roman"/>
          <w:szCs w:val="21"/>
          <w:u w:val="single"/>
        </w:rPr>
        <w:t xml:space="preserve">     </w:t>
      </w:r>
      <w:r>
        <w:rPr>
          <w:rFonts w:hint="eastAsia" w:ascii="宋体" w:hAnsi="宋体" w:eastAsia="宋体" w:cs="Times New Roman"/>
          <w:szCs w:val="21"/>
          <w:u w:val="single"/>
        </w:rPr>
        <w:t>日内到达</w:t>
      </w:r>
      <w:r>
        <w:rPr>
          <w:rFonts w:ascii="宋体" w:hAnsi="宋体" w:eastAsia="宋体" w:cs="Times New Roman"/>
          <w:szCs w:val="21"/>
        </w:rPr>
        <w:t>。</w:t>
      </w:r>
    </w:p>
    <w:bookmarkEnd w:id="527"/>
    <w:bookmarkEnd w:id="528"/>
    <w:bookmarkEnd w:id="529"/>
    <w:bookmarkEnd w:id="530"/>
    <w:p>
      <w:pPr>
        <w:spacing w:after="120" w:line="400" w:lineRule="exact"/>
        <w:rPr>
          <w:rFonts w:ascii="宋体" w:hAnsi="宋体" w:eastAsia="宋体" w:cs="Times New Roman"/>
          <w:b/>
          <w:szCs w:val="21"/>
        </w:rPr>
      </w:pPr>
      <w:bookmarkStart w:id="553" w:name="_Toc351203648"/>
      <w:bookmarkStart w:id="554" w:name="_Toc280868717"/>
      <w:bookmarkStart w:id="555" w:name="_Toc280868718"/>
      <w:r>
        <w:rPr>
          <w:rFonts w:ascii="宋体" w:hAnsi="宋体" w:eastAsia="宋体" w:cs="Times New Roman"/>
          <w:b/>
          <w:szCs w:val="21"/>
        </w:rPr>
        <w:t>16. 违约</w:t>
      </w:r>
      <w:bookmarkEnd w:id="553"/>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16.1 发包人违约</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16.1.1发包人违约的情形</w:t>
      </w:r>
    </w:p>
    <w:p>
      <w:pPr>
        <w:spacing w:line="400" w:lineRule="exact"/>
        <w:ind w:left="1050" w:leftChars="200" w:hanging="630" w:hangingChars="300"/>
        <w:jc w:val="left"/>
        <w:rPr>
          <w:rFonts w:hint="eastAsia" w:ascii="宋体" w:hAnsi="宋体" w:eastAsia="宋体" w:cs="Times New Roman"/>
          <w:szCs w:val="21"/>
        </w:rPr>
      </w:pPr>
      <w:r>
        <w:rPr>
          <w:rFonts w:ascii="宋体" w:hAnsi="宋体" w:eastAsia="宋体" w:cs="Times New Roman"/>
          <w:szCs w:val="21"/>
        </w:rPr>
        <w:t>发包人违约的其他情形：</w:t>
      </w:r>
      <w:r>
        <w:rPr>
          <w:rFonts w:hint="eastAsia" w:ascii="宋体" w:hAnsi="宋体" w:eastAsia="宋体" w:cs="Times New Roman"/>
          <w:szCs w:val="21"/>
          <w:u w:val="single"/>
        </w:rPr>
        <w:t>按通用合同条款16.1.1执行</w:t>
      </w:r>
      <w:r>
        <w:rPr>
          <w:rFonts w:ascii="宋体" w:hAnsi="宋体" w:eastAsia="宋体" w:cs="Times New Roman"/>
          <w:szCs w:val="21"/>
        </w:rPr>
        <w:t>。</w:t>
      </w:r>
    </w:p>
    <w:p>
      <w:pPr>
        <w:spacing w:line="400" w:lineRule="exact"/>
        <w:ind w:left="1050" w:hanging="1050" w:hangingChars="500"/>
        <w:jc w:val="left"/>
        <w:rPr>
          <w:rFonts w:ascii="宋体" w:hAnsi="宋体" w:eastAsia="宋体" w:cs="Times New Roman"/>
          <w:szCs w:val="21"/>
        </w:rPr>
      </w:pPr>
      <w:r>
        <w:rPr>
          <w:rFonts w:ascii="宋体" w:hAnsi="宋体" w:eastAsia="宋体" w:cs="Times New Roman"/>
          <w:szCs w:val="21"/>
        </w:rPr>
        <w:t xml:space="preserve">    16.1.2 发包人违约的责任</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发包人违约责任的承担方式和计算方法：</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（1）因发包人原因未能在计划开工日期前7天内下达开工通知的违约责任：</w:t>
      </w:r>
      <w:r>
        <w:rPr>
          <w:rFonts w:hint="eastAsia" w:ascii="宋体" w:hAnsi="宋体" w:eastAsia="宋体" w:cs="Times New Roman"/>
          <w:szCs w:val="21"/>
          <w:u w:val="single"/>
        </w:rPr>
        <w:t xml:space="preserve">  待定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（2）因发包人原因未能按合同约定支付合同价款的违约责任：</w:t>
      </w:r>
      <w:r>
        <w:rPr>
          <w:rFonts w:hint="eastAsia" w:ascii="宋体" w:hAnsi="宋体" w:eastAsia="宋体" w:cs="Times New Roman"/>
          <w:szCs w:val="21"/>
          <w:u w:val="single"/>
        </w:rPr>
        <w:t xml:space="preserve">  待定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（3）发包人违反第10.1款</w:t>
      </w:r>
      <w:r>
        <w:rPr>
          <w:rFonts w:hint="eastAsia" w:ascii="宋体" w:hAnsi="宋体" w:eastAsia="宋体" w:cs="Times New Roman"/>
          <w:szCs w:val="21"/>
        </w:rPr>
        <w:t>〔</w:t>
      </w:r>
      <w:r>
        <w:rPr>
          <w:rFonts w:ascii="宋体" w:hAnsi="宋体" w:eastAsia="宋体" w:cs="Times New Roman"/>
          <w:szCs w:val="21"/>
        </w:rPr>
        <w:t>变更的范围</w:t>
      </w:r>
      <w:r>
        <w:rPr>
          <w:rFonts w:hint="eastAsia" w:ascii="宋体" w:hAnsi="宋体" w:eastAsia="宋体" w:cs="Times New Roman"/>
          <w:szCs w:val="21"/>
        </w:rPr>
        <w:t>〕</w:t>
      </w:r>
      <w:r>
        <w:rPr>
          <w:rFonts w:ascii="宋体" w:hAnsi="宋体" w:eastAsia="宋体" w:cs="Times New Roman"/>
          <w:szCs w:val="21"/>
        </w:rPr>
        <w:t>第（2）项约定，自行实施被取消的工作或转由他人实施的违约责任：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（4）发包人提供的材料、工程设备的规格、数量或质量不符合合同约定，或因发包人原因导致交货日期延误或交货地点变更等情况的违约责任：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（5）因发包人违反合同约定造成暂停施工的违约责任：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（6）发包人无正当理由没有在约定期限内发出复工指示，导致承包人无法复工的违约责任：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其他：</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16.1.3 因发包人违约解除合同</w:t>
      </w:r>
    </w:p>
    <w:p>
      <w:pPr>
        <w:autoSpaceDE w:val="0"/>
        <w:autoSpaceDN w:val="0"/>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承包人按16.1.1项</w:t>
      </w:r>
      <w:r>
        <w:rPr>
          <w:rFonts w:hint="eastAsia" w:ascii="宋体" w:hAnsi="宋体" w:eastAsia="宋体" w:cs="Times New Roman"/>
          <w:szCs w:val="21"/>
        </w:rPr>
        <w:t>〔</w:t>
      </w:r>
      <w:r>
        <w:rPr>
          <w:rFonts w:ascii="宋体" w:hAnsi="宋体" w:eastAsia="宋体" w:cs="Times New Roman"/>
          <w:szCs w:val="21"/>
        </w:rPr>
        <w:t>发包人违约的情形</w:t>
      </w:r>
      <w:r>
        <w:rPr>
          <w:rFonts w:hint="eastAsia" w:ascii="宋体" w:hAnsi="宋体" w:eastAsia="宋体" w:cs="Times New Roman"/>
          <w:szCs w:val="21"/>
        </w:rPr>
        <w:t>〕</w:t>
      </w:r>
      <w:r>
        <w:rPr>
          <w:rFonts w:ascii="宋体" w:hAnsi="宋体" w:eastAsia="宋体" w:cs="Times New Roman"/>
          <w:szCs w:val="21"/>
        </w:rPr>
        <w:t>约定暂停施工满</w:t>
      </w:r>
      <w:r>
        <w:rPr>
          <w:rFonts w:hint="eastAsia" w:ascii="宋体" w:hAnsi="宋体" w:eastAsia="宋体" w:cs="Times New Roman"/>
          <w:szCs w:val="21"/>
          <w:u w:val="single"/>
        </w:rPr>
        <w:t>28</w:t>
      </w:r>
      <w:r>
        <w:rPr>
          <w:rFonts w:ascii="宋体" w:hAnsi="宋体" w:eastAsia="宋体" w:cs="Times New Roman"/>
          <w:szCs w:val="21"/>
        </w:rPr>
        <w:t>天后发包人仍不纠正其违约行为并致使合同目的不能实现的，承包人有权解除合同。</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16.2 承包人违约</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16.2.1 承包人违约的情形</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承包人违约的其他情形：</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16.2.2承包人违约的责任</w:t>
      </w:r>
    </w:p>
    <w:p>
      <w:pPr>
        <w:spacing w:line="400" w:lineRule="exact"/>
        <w:ind w:left="1050" w:leftChars="200" w:hanging="630" w:hangingChars="300"/>
        <w:jc w:val="left"/>
        <w:rPr>
          <w:rFonts w:ascii="宋体" w:hAnsi="宋体" w:eastAsia="宋体" w:cs="Times New Roman"/>
          <w:szCs w:val="21"/>
          <w:u w:val="single"/>
        </w:rPr>
      </w:pPr>
      <w:r>
        <w:rPr>
          <w:rFonts w:ascii="宋体" w:hAnsi="宋体" w:eastAsia="宋体" w:cs="Times New Roman"/>
          <w:szCs w:val="21"/>
        </w:rPr>
        <w:t>承包人违约责任的承担方式和计算方法：</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ascii="宋体" w:hAnsi="宋体" w:eastAsia="宋体" w:cs="Times New Roman"/>
          <w:szCs w:val="21"/>
        </w:rPr>
        <w:t xml:space="preserve">。    </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16.2.3 因承包人违约解除合同</w:t>
      </w:r>
    </w:p>
    <w:p>
      <w:pPr>
        <w:spacing w:before="120" w:after="120" w:line="400" w:lineRule="exact"/>
        <w:ind w:firstLine="420" w:firstLineChars="200"/>
        <w:rPr>
          <w:rFonts w:hint="eastAsia" w:ascii="宋体" w:hAnsi="宋体" w:eastAsia="宋体" w:cs="Times New Roman"/>
          <w:szCs w:val="21"/>
        </w:rPr>
      </w:pPr>
      <w:r>
        <w:rPr>
          <w:rFonts w:ascii="宋体" w:hAnsi="宋体" w:eastAsia="宋体" w:cs="Times New Roman"/>
          <w:szCs w:val="21"/>
        </w:rPr>
        <w:t>关于承包人违约解除合同的特别约定：</w:t>
      </w:r>
      <w:r>
        <w:rPr>
          <w:rFonts w:ascii="宋体" w:hAnsi="宋体" w:eastAsia="宋体" w:cs="Times New Roman"/>
          <w:szCs w:val="21"/>
          <w:u w:val="single"/>
        </w:rPr>
        <w:t xml:space="preserve">    </w:t>
      </w:r>
      <w:r>
        <w:rPr>
          <w:rFonts w:hint="eastAsia" w:ascii="宋体" w:hAnsi="宋体" w:eastAsia="宋体" w:cs="Times New Roman"/>
          <w:szCs w:val="21"/>
          <w:u w:val="single"/>
        </w:rPr>
        <w:t>按通用合同条款16.2.3执行</w:t>
      </w:r>
      <w:r>
        <w:rPr>
          <w:rFonts w:ascii="宋体" w:hAnsi="宋体" w:eastAsia="宋体" w:cs="Times New Roman"/>
          <w:szCs w:val="21"/>
          <w:u w:val="single"/>
        </w:rPr>
        <w:t xml:space="preserve">   </w:t>
      </w:r>
      <w:r>
        <w:rPr>
          <w:rFonts w:ascii="宋体" w:hAnsi="宋体" w:eastAsia="宋体" w:cs="Times New Roman"/>
          <w:szCs w:val="21"/>
        </w:rPr>
        <w:t>。</w:t>
      </w:r>
    </w:p>
    <w:p>
      <w:pPr>
        <w:spacing w:before="120" w:after="120" w:line="400" w:lineRule="exact"/>
        <w:ind w:firstLine="420" w:firstLineChars="200"/>
        <w:rPr>
          <w:rFonts w:ascii="宋体" w:hAnsi="宋体" w:eastAsia="宋体" w:cs="Times New Roman"/>
          <w:szCs w:val="21"/>
        </w:rPr>
      </w:pPr>
      <w:r>
        <w:rPr>
          <w:rFonts w:ascii="宋体" w:hAnsi="宋体" w:eastAsia="宋体" w:cs="Times New Roman"/>
          <w:szCs w:val="21"/>
        </w:rPr>
        <w:t>发包人</w:t>
      </w:r>
      <w:r>
        <w:rPr>
          <w:rFonts w:hint="eastAsia" w:ascii="宋体" w:hAnsi="宋体" w:eastAsia="宋体" w:cs="Times New Roman"/>
          <w:szCs w:val="21"/>
        </w:rPr>
        <w:t>继续</w:t>
      </w:r>
      <w:r>
        <w:rPr>
          <w:rFonts w:ascii="宋体" w:hAnsi="宋体" w:eastAsia="宋体" w:cs="Times New Roman"/>
          <w:szCs w:val="21"/>
        </w:rPr>
        <w:t>使用承包人在施工现场的材料、设备、临时工程、承包人文件和由承包人或以其名义编制的其他文件</w:t>
      </w:r>
      <w:r>
        <w:rPr>
          <w:rFonts w:hint="eastAsia" w:ascii="宋体" w:hAnsi="宋体" w:eastAsia="宋体" w:cs="Times New Roman"/>
          <w:szCs w:val="21"/>
        </w:rPr>
        <w:t>的费用承担方式</w:t>
      </w:r>
      <w:r>
        <w:rPr>
          <w:rFonts w:ascii="宋体" w:hAnsi="宋体" w:eastAsia="宋体" w:cs="Times New Roman"/>
          <w:szCs w:val="21"/>
        </w:rPr>
        <w:t>：</w:t>
      </w:r>
      <w:r>
        <w:rPr>
          <w:rFonts w:hint="eastAsia" w:ascii="宋体" w:hAnsi="宋体" w:eastAsia="宋体" w:cs="Times New Roman"/>
          <w:szCs w:val="21"/>
          <w:u w:val="single"/>
        </w:rPr>
        <w:t xml:space="preserve">   由承包人承担      </w:t>
      </w:r>
      <w:r>
        <w:rPr>
          <w:rFonts w:ascii="宋体" w:hAnsi="宋体" w:eastAsia="宋体" w:cs="Times New Roman"/>
          <w:szCs w:val="21"/>
          <w:u w:val="single"/>
        </w:rPr>
        <w:t xml:space="preserve">   </w:t>
      </w:r>
      <w:r>
        <w:rPr>
          <w:rFonts w:hint="eastAsia" w:ascii="宋体" w:hAnsi="宋体" w:eastAsia="宋体" w:cs="Times New Roman"/>
          <w:szCs w:val="21"/>
        </w:rPr>
        <w:t>。</w:t>
      </w:r>
    </w:p>
    <w:p>
      <w:pPr>
        <w:spacing w:after="120" w:line="400" w:lineRule="exact"/>
        <w:rPr>
          <w:rFonts w:ascii="宋体" w:hAnsi="宋体" w:eastAsia="宋体" w:cs="Times New Roman"/>
          <w:b/>
          <w:szCs w:val="21"/>
        </w:rPr>
      </w:pPr>
      <w:bookmarkStart w:id="556" w:name="_Toc351203649"/>
      <w:r>
        <w:rPr>
          <w:rFonts w:ascii="宋体" w:hAnsi="宋体" w:eastAsia="宋体" w:cs="Times New Roman"/>
          <w:b/>
          <w:szCs w:val="21"/>
        </w:rPr>
        <w:t>17. 不可抗力</w:t>
      </w:r>
      <w:bookmarkEnd w:id="556"/>
      <w:r>
        <w:rPr>
          <w:rFonts w:ascii="宋体" w:hAnsi="宋体" w:eastAsia="宋体" w:cs="Times New Roman"/>
          <w:b/>
          <w:szCs w:val="21"/>
        </w:rPr>
        <w:t xml:space="preserve"> </w:t>
      </w:r>
      <w:bookmarkEnd w:id="554"/>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17.1 不可抗力的确认</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除通用合同条款约定的不可抗力事件之外，视为不可抗力的其他情形：</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17.4 因不可抗力解除合同</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合同解除后，发包人应在商定或确定发包人应支付款项后</w:t>
      </w:r>
      <w:r>
        <w:rPr>
          <w:rFonts w:ascii="宋体" w:hAnsi="宋体" w:eastAsia="宋体" w:cs="Times New Roman"/>
          <w:szCs w:val="21"/>
          <w:u w:val="single"/>
        </w:rPr>
        <w:t xml:space="preserve"> </w:t>
      </w:r>
      <w:r>
        <w:rPr>
          <w:rFonts w:hint="eastAsia" w:ascii="宋体" w:hAnsi="宋体" w:eastAsia="宋体" w:cs="Times New Roman"/>
          <w:szCs w:val="21"/>
          <w:u w:val="single"/>
        </w:rPr>
        <w:t>28</w:t>
      </w:r>
      <w:r>
        <w:rPr>
          <w:rFonts w:ascii="宋体" w:hAnsi="宋体" w:eastAsia="宋体" w:cs="Times New Roman"/>
          <w:szCs w:val="21"/>
        </w:rPr>
        <w:t>天内完成款项的支付。</w:t>
      </w:r>
    </w:p>
    <w:p>
      <w:pPr>
        <w:spacing w:after="120" w:line="400" w:lineRule="exact"/>
        <w:rPr>
          <w:rFonts w:ascii="宋体" w:hAnsi="宋体" w:eastAsia="宋体" w:cs="Times New Roman"/>
          <w:b/>
          <w:szCs w:val="21"/>
        </w:rPr>
      </w:pPr>
      <w:bookmarkStart w:id="557" w:name="_Toc351203650"/>
      <w:r>
        <w:rPr>
          <w:rFonts w:ascii="宋体" w:hAnsi="宋体" w:eastAsia="宋体" w:cs="Times New Roman"/>
          <w:b/>
          <w:szCs w:val="21"/>
        </w:rPr>
        <w:t>18. 保险</w:t>
      </w:r>
      <w:bookmarkEnd w:id="557"/>
    </w:p>
    <w:bookmarkEnd w:id="555"/>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18.1 工程保险</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关于工程保险的特别约定：</w:t>
      </w:r>
      <w:r>
        <w:rPr>
          <w:rFonts w:hint="eastAsia" w:ascii="宋体" w:hAnsi="宋体" w:eastAsia="宋体" w:cs="Times New Roman"/>
          <w:szCs w:val="21"/>
        </w:rPr>
        <w:t>由</w:t>
      </w:r>
      <w:r>
        <w:rPr>
          <w:rFonts w:hint="eastAsia" w:ascii="宋体" w:hAnsi="宋体" w:eastAsia="宋体" w:cs="Times New Roman"/>
          <w:szCs w:val="21"/>
          <w:u w:val="single"/>
        </w:rPr>
        <w:t>承包人承担</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18.3 其他保险</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关于其他保险的约定：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待定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承包人是否应为其施工设备等办理财产保险：</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18.7 通知义务</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关于变更保险合同时的通知义务的约定：</w:t>
      </w:r>
      <w:r>
        <w:rPr>
          <w:rFonts w:hint="eastAsia" w:ascii="宋体" w:hAnsi="宋体" w:eastAsia="宋体" w:cs="Times New Roman"/>
          <w:szCs w:val="21"/>
          <w:u w:val="single"/>
        </w:rPr>
        <w:t>按通用合同条款18.7执行</w:t>
      </w:r>
      <w:r>
        <w:rPr>
          <w:rFonts w:ascii="宋体" w:hAnsi="宋体" w:eastAsia="宋体" w:cs="Times New Roman"/>
          <w:szCs w:val="21"/>
        </w:rPr>
        <w:t>。</w:t>
      </w:r>
    </w:p>
    <w:bookmarkEnd w:id="531"/>
    <w:bookmarkEnd w:id="532"/>
    <w:bookmarkEnd w:id="533"/>
    <w:bookmarkEnd w:id="534"/>
    <w:bookmarkEnd w:id="535"/>
    <w:bookmarkEnd w:id="536"/>
    <w:bookmarkEnd w:id="537"/>
    <w:bookmarkEnd w:id="538"/>
    <w:bookmarkEnd w:id="539"/>
    <w:bookmarkEnd w:id="540"/>
    <w:bookmarkEnd w:id="541"/>
    <w:bookmarkEnd w:id="542"/>
    <w:p>
      <w:pPr>
        <w:spacing w:after="120" w:line="400" w:lineRule="exact"/>
        <w:rPr>
          <w:rFonts w:ascii="宋体" w:hAnsi="宋体" w:eastAsia="宋体" w:cs="Times New Roman"/>
          <w:b/>
          <w:szCs w:val="21"/>
        </w:rPr>
      </w:pPr>
      <w:bookmarkStart w:id="558" w:name="_Toc351203651"/>
      <w:r>
        <w:rPr>
          <w:rFonts w:ascii="宋体" w:hAnsi="宋体" w:eastAsia="宋体" w:cs="Times New Roman"/>
          <w:b/>
          <w:szCs w:val="21"/>
        </w:rPr>
        <w:t>20. 争议解决</w:t>
      </w:r>
      <w:bookmarkEnd w:id="558"/>
    </w:p>
    <w:bookmarkEnd w:id="543"/>
    <w:bookmarkEnd w:id="544"/>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20.3 争</w:t>
      </w:r>
      <w:bookmarkEnd w:id="545"/>
      <w:r>
        <w:rPr>
          <w:rFonts w:ascii="宋体" w:hAnsi="宋体" w:eastAsia="宋体" w:cs="Times New Roman"/>
          <w:szCs w:val="21"/>
        </w:rPr>
        <w:t>议评审</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合同当事人是否同意将工程争议提交争议评审小组决</w:t>
      </w:r>
      <w:r>
        <w:rPr>
          <w:rFonts w:hint="eastAsia" w:ascii="宋体" w:hAnsi="宋体" w:eastAsia="宋体" w:cs="Times New Roman"/>
          <w:szCs w:val="21"/>
        </w:rPr>
        <w:t>定：</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20.3.1 争议评审小组的确定</w:t>
      </w:r>
    </w:p>
    <w:p>
      <w:pPr>
        <w:spacing w:line="400" w:lineRule="exact"/>
        <w:ind w:firstLine="420" w:firstLineChars="200"/>
        <w:jc w:val="left"/>
        <w:rPr>
          <w:rFonts w:ascii="宋体" w:hAnsi="宋体" w:eastAsia="宋体" w:cs="Times New Roman"/>
          <w:szCs w:val="21"/>
          <w:u w:val="single"/>
        </w:rPr>
      </w:pPr>
      <w:r>
        <w:rPr>
          <w:rFonts w:ascii="宋体" w:hAnsi="宋体" w:eastAsia="宋体" w:cs="Times New Roman"/>
          <w:szCs w:val="21"/>
        </w:rPr>
        <w:t>争议评审小组成员的确定：</w:t>
      </w:r>
      <w:r>
        <w:rPr>
          <w:rFonts w:hint="eastAsia" w:ascii="宋体" w:hAnsi="宋体" w:eastAsia="宋体" w:cs="Times New Roman"/>
          <w:szCs w:val="21"/>
          <w:u w:val="single"/>
        </w:rPr>
        <w:t>合同当事人可以共同选择一名或三名争议评审员，组成争议评审小组</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选定争议评审员的期限：</w:t>
      </w:r>
      <w:r>
        <w:rPr>
          <w:rFonts w:hint="eastAsia" w:ascii="宋体" w:hAnsi="宋体" w:eastAsia="宋体" w:cs="Times New Roman"/>
          <w:szCs w:val="21"/>
          <w:u w:val="single"/>
        </w:rPr>
        <w:t>合同当事人应当自合同签订后    天内，或者争议发生后   天内，选定争议评审员</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争议评审小组成员的报酬承担方式：</w:t>
      </w:r>
      <w:r>
        <w:rPr>
          <w:rFonts w:ascii="宋体" w:hAnsi="宋体" w:eastAsia="宋体" w:cs="Times New Roman"/>
          <w:szCs w:val="21"/>
          <w:u w:val="single"/>
        </w:rPr>
        <w:t xml:space="preserve">  </w:t>
      </w:r>
      <w:r>
        <w:rPr>
          <w:rFonts w:hint="eastAsia" w:ascii="宋体" w:hAnsi="宋体" w:eastAsia="宋体" w:cs="Times New Roman"/>
          <w:szCs w:val="21"/>
          <w:u w:val="single"/>
        </w:rPr>
        <w:t>待定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其他事项的约定：</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autoSpaceDE w:val="0"/>
        <w:autoSpaceDN w:val="0"/>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20.3.2 争议评审小组的决定</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合同当事人关于本项的约定：</w:t>
      </w:r>
      <w:r>
        <w:rPr>
          <w:rFonts w:hint="eastAsia" w:ascii="宋体" w:hAnsi="宋体" w:eastAsia="宋体" w:cs="Times New Roman"/>
          <w:szCs w:val="21"/>
          <w:u w:val="single"/>
        </w:rPr>
        <w:t>按通用合同条款20.3.2执行</w:t>
      </w:r>
      <w:r>
        <w:rPr>
          <w:rFonts w:ascii="宋体" w:hAnsi="宋体" w:eastAsia="宋体" w:cs="Times New Roman"/>
          <w:szCs w:val="21"/>
          <w:u w:val="single"/>
        </w:rPr>
        <w:t xml:space="preserve">  </w:t>
      </w:r>
      <w:r>
        <w:rPr>
          <w:rFonts w:ascii="宋体" w:hAnsi="宋体" w:eastAsia="宋体" w:cs="Times New Roman"/>
          <w:szCs w:val="21"/>
        </w:rPr>
        <w:t>。</w:t>
      </w:r>
    </w:p>
    <w:p>
      <w:pPr>
        <w:spacing w:after="120" w:line="400" w:lineRule="exact"/>
        <w:ind w:firstLine="420" w:firstLineChars="200"/>
        <w:rPr>
          <w:rFonts w:hint="eastAsia" w:ascii="宋体" w:hAnsi="宋体" w:eastAsia="宋体" w:cs="Times New Roman"/>
          <w:szCs w:val="21"/>
        </w:rPr>
      </w:pPr>
      <w:r>
        <w:rPr>
          <w:rFonts w:ascii="宋体" w:hAnsi="宋体" w:eastAsia="宋体" w:cs="Times New Roman"/>
          <w:szCs w:val="21"/>
        </w:rPr>
        <w:t>20.4仲裁或诉讼</w:t>
      </w:r>
      <w:bookmarkEnd w:id="546"/>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因合同及合同有关事项发生的争议，按下列第</w:t>
      </w:r>
      <w:r>
        <w:rPr>
          <w:rFonts w:ascii="宋体" w:hAnsi="宋体" w:eastAsia="宋体" w:cs="Times New Roman"/>
          <w:szCs w:val="21"/>
          <w:u w:val="single"/>
        </w:rPr>
        <w:t xml:space="preserve">     </w:t>
      </w:r>
      <w:r>
        <w:rPr>
          <w:rFonts w:ascii="宋体" w:hAnsi="宋体" w:eastAsia="宋体" w:cs="Times New Roman"/>
          <w:szCs w:val="21"/>
        </w:rPr>
        <w:t>种方式</w:t>
      </w:r>
      <w:r>
        <w:rPr>
          <w:rFonts w:hint="eastAsia" w:ascii="宋体" w:hAnsi="宋体" w:eastAsia="宋体" w:cs="Times New Roman"/>
          <w:szCs w:val="21"/>
        </w:rPr>
        <w:t>解</w:t>
      </w:r>
      <w:r>
        <w:rPr>
          <w:rFonts w:ascii="宋体" w:hAnsi="宋体" w:eastAsia="宋体" w:cs="Times New Roman"/>
          <w:szCs w:val="21"/>
        </w:rPr>
        <w:t>决：</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（1）向</w:t>
      </w:r>
      <w:r>
        <w:rPr>
          <w:rFonts w:hint="eastAsia" w:ascii="宋体" w:hAnsi="宋体" w:eastAsia="宋体" w:cs="Times New Roman"/>
          <w:szCs w:val="21"/>
          <w:u w:val="single"/>
        </w:rPr>
        <w:t>防城港市市</w:t>
      </w:r>
      <w:r>
        <w:rPr>
          <w:rFonts w:ascii="宋体" w:hAnsi="宋体" w:eastAsia="宋体" w:cs="Times New Roman"/>
          <w:szCs w:val="21"/>
          <w:u w:val="single"/>
        </w:rPr>
        <w:t>仲裁委员</w:t>
      </w:r>
      <w:r>
        <w:rPr>
          <w:rFonts w:ascii="宋体" w:hAnsi="宋体" w:eastAsia="宋体" w:cs="Times New Roman"/>
          <w:szCs w:val="21"/>
        </w:rPr>
        <w:t>会申请仲裁；</w:t>
      </w:r>
    </w:p>
    <w:p>
      <w:pPr>
        <w:spacing w:line="400" w:lineRule="exact"/>
        <w:ind w:firstLine="420" w:firstLineChars="200"/>
        <w:jc w:val="left"/>
        <w:rPr>
          <w:rFonts w:hint="eastAsia" w:ascii="宋体" w:hAnsi="宋体" w:eastAsia="宋体" w:cs="Times New Roman"/>
          <w:szCs w:val="21"/>
        </w:rPr>
      </w:pPr>
      <w:r>
        <w:rPr>
          <w:rFonts w:ascii="宋体" w:hAnsi="宋体" w:eastAsia="宋体" w:cs="Times New Roman"/>
          <w:szCs w:val="21"/>
        </w:rPr>
        <w:t>（2）向</w:t>
      </w:r>
      <w:r>
        <w:rPr>
          <w:rFonts w:hint="eastAsia" w:ascii="宋体" w:hAnsi="宋体" w:eastAsia="宋体" w:cs="Times New Roman"/>
          <w:szCs w:val="21"/>
          <w:u w:val="single"/>
        </w:rPr>
        <w:t>防城港市</w:t>
      </w:r>
      <w:r>
        <w:rPr>
          <w:rFonts w:ascii="宋体" w:hAnsi="宋体" w:eastAsia="宋体" w:cs="Times New Roman"/>
          <w:szCs w:val="21"/>
          <w:u w:val="single"/>
        </w:rPr>
        <w:t>人民法院</w:t>
      </w:r>
      <w:r>
        <w:rPr>
          <w:rFonts w:ascii="宋体" w:hAnsi="宋体" w:eastAsia="宋体" w:cs="Times New Roman"/>
          <w:szCs w:val="21"/>
        </w:rPr>
        <w:t>起诉。</w:t>
      </w:r>
      <w:bookmarkEnd w:id="547"/>
      <w:bookmarkEnd w:id="548"/>
      <w:bookmarkEnd w:id="549"/>
      <w:bookmarkEnd w:id="550"/>
      <w:bookmarkEnd w:id="551"/>
      <w:bookmarkEnd w:id="552"/>
    </w:p>
    <w:p>
      <w:pPr>
        <w:spacing w:line="400" w:lineRule="exact"/>
        <w:jc w:val="left"/>
        <w:rPr>
          <w:rFonts w:hint="eastAsia" w:ascii="宋体" w:hAnsi="宋体" w:eastAsia="宋体" w:cs="Times New Roman"/>
          <w:szCs w:val="21"/>
        </w:rPr>
      </w:pPr>
    </w:p>
    <w:p>
      <w:pPr>
        <w:spacing w:line="400" w:lineRule="exact"/>
        <w:jc w:val="left"/>
        <w:rPr>
          <w:rFonts w:ascii="宋体" w:hAnsi="宋体" w:eastAsia="宋体" w:cs="Times New Roman"/>
          <w:szCs w:val="21"/>
        </w:rPr>
      </w:pPr>
      <w:r>
        <w:rPr>
          <w:rFonts w:ascii="宋体" w:hAnsi="宋体" w:eastAsia="宋体" w:cs="Times New Roman"/>
          <w:b/>
          <w:szCs w:val="21"/>
        </w:rPr>
        <w:t>附件</w:t>
      </w:r>
    </w:p>
    <w:p>
      <w:pPr>
        <w:spacing w:line="360" w:lineRule="auto"/>
        <w:jc w:val="left"/>
        <w:rPr>
          <w:rFonts w:ascii="宋体" w:hAnsi="宋体" w:eastAsia="宋体" w:cs="Times New Roman"/>
          <w:szCs w:val="21"/>
        </w:rPr>
      </w:pPr>
      <w:r>
        <w:rPr>
          <w:rFonts w:hint="eastAsia" w:ascii="宋体" w:hAnsi="宋体" w:eastAsia="宋体" w:cs="Times New Roman"/>
          <w:szCs w:val="21"/>
        </w:rPr>
        <w:t>专用合同条款附件：</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1</w:t>
      </w:r>
      <w:r>
        <w:rPr>
          <w:rFonts w:ascii="宋体" w:hAnsi="宋体" w:eastAsia="宋体" w:cs="Times New Roman"/>
          <w:szCs w:val="21"/>
        </w:rPr>
        <w:t>：工程质量保修书</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2</w:t>
      </w:r>
      <w:r>
        <w:rPr>
          <w:rFonts w:ascii="宋体" w:hAnsi="宋体" w:eastAsia="宋体" w:cs="Times New Roman"/>
          <w:szCs w:val="21"/>
        </w:rPr>
        <w:t>：主要建设工程文件目录</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3</w:t>
      </w:r>
      <w:r>
        <w:rPr>
          <w:rFonts w:ascii="宋体" w:hAnsi="宋体" w:eastAsia="宋体" w:cs="Times New Roman"/>
          <w:szCs w:val="21"/>
        </w:rPr>
        <w:t>：承包人用于本工程施工的机械设备表</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4</w:t>
      </w:r>
      <w:r>
        <w:rPr>
          <w:rFonts w:ascii="宋体" w:hAnsi="宋体" w:eastAsia="宋体" w:cs="Times New Roman"/>
          <w:szCs w:val="21"/>
        </w:rPr>
        <w:t>：承包人主要施工管理人员表</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5</w:t>
      </w:r>
      <w:r>
        <w:rPr>
          <w:rFonts w:ascii="宋体" w:hAnsi="宋体" w:eastAsia="宋体" w:cs="Times New Roman"/>
          <w:szCs w:val="21"/>
        </w:rPr>
        <w:t>：履约担保格式</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6</w:t>
      </w:r>
      <w:r>
        <w:rPr>
          <w:rFonts w:ascii="宋体" w:hAnsi="宋体" w:eastAsia="宋体" w:cs="Times New Roman"/>
          <w:szCs w:val="21"/>
        </w:rPr>
        <w:t>：预付款担保格式</w:t>
      </w:r>
    </w:p>
    <w:p>
      <w:pPr>
        <w:spacing w:line="360" w:lineRule="auto"/>
        <w:jc w:val="left"/>
        <w:rPr>
          <w:rFonts w:ascii="宋体" w:hAnsi="宋体" w:eastAsia="宋体" w:cs="Times New Roman"/>
          <w:szCs w:val="21"/>
        </w:rPr>
      </w:pPr>
      <w:r>
        <w:rPr>
          <w:rFonts w:ascii="宋体" w:hAnsi="宋体" w:eastAsia="宋体" w:cs="Times New Roman"/>
          <w:szCs w:val="21"/>
        </w:rPr>
        <w:t>附件</w:t>
      </w:r>
      <w:r>
        <w:rPr>
          <w:rFonts w:hint="eastAsia" w:ascii="宋体" w:hAnsi="宋体" w:eastAsia="宋体" w:cs="Times New Roman"/>
          <w:szCs w:val="21"/>
        </w:rPr>
        <w:t>7</w:t>
      </w:r>
      <w:r>
        <w:rPr>
          <w:rFonts w:ascii="宋体" w:hAnsi="宋体" w:eastAsia="宋体" w:cs="Times New Roman"/>
          <w:szCs w:val="21"/>
        </w:rPr>
        <w:t>：支付担保格式</w:t>
      </w:r>
    </w:p>
    <w:p>
      <w:pPr>
        <w:spacing w:line="360" w:lineRule="auto"/>
        <w:jc w:val="left"/>
        <w:rPr>
          <w:rFonts w:ascii="宋体" w:hAnsi="宋体"/>
          <w:color w:val="000000" w:themeColor="text1"/>
          <w14:textFill>
            <w14:solidFill>
              <w14:schemeClr w14:val="tx1"/>
            </w14:solidFill>
          </w14:textFill>
        </w:rPr>
      </w:pPr>
      <w:r>
        <w:rPr>
          <w:rFonts w:ascii="宋体" w:hAnsi="宋体" w:eastAsia="宋体" w:cs="Times New Roman"/>
          <w:szCs w:val="21"/>
        </w:rPr>
        <w:t>附件</w:t>
      </w:r>
      <w:r>
        <w:rPr>
          <w:rFonts w:hint="eastAsia" w:ascii="宋体" w:hAnsi="宋体" w:eastAsia="宋体" w:cs="Times New Roman"/>
          <w:szCs w:val="21"/>
        </w:rPr>
        <w:t>8</w:t>
      </w:r>
      <w:r>
        <w:rPr>
          <w:rFonts w:ascii="宋体" w:hAnsi="宋体" w:eastAsia="宋体" w:cs="Times New Roman"/>
          <w:szCs w:val="21"/>
        </w:rPr>
        <w:t>：暂估价一览表</w:t>
      </w:r>
    </w:p>
    <w:p>
      <w:pPr>
        <w:spacing w:line="360" w:lineRule="auto"/>
        <w:jc w:val="lef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bookmarkEnd w:id="39"/>
    <w:p>
      <w:pPr>
        <w:spacing w:line="440" w:lineRule="exact"/>
        <w:rPr>
          <w:rFonts w:ascii="Times New Roman" w:hAnsi="Times New Roman" w:eastAsia="黑体" w:cs="Times New Roman"/>
          <w:sz w:val="30"/>
          <w:szCs w:val="30"/>
        </w:rPr>
      </w:pPr>
      <w:r>
        <w:rPr>
          <w:rFonts w:ascii="Times New Roman" w:hAnsi="Times New Roman" w:eastAsia="仿宋_GB2312" w:cs="Times New Roman"/>
          <w:sz w:val="30"/>
          <w:szCs w:val="30"/>
        </w:rPr>
        <w:t>附</w:t>
      </w:r>
      <w:bookmarkStart w:id="559" w:name="_Toc296503226"/>
      <w:bookmarkStart w:id="560" w:name="_Toc296347225"/>
      <w:bookmarkStart w:id="561" w:name="_Toc296346727"/>
      <w:bookmarkStart w:id="562" w:name="_Toc267261693"/>
      <w:bookmarkStart w:id="563" w:name="_Toc296891266"/>
      <w:bookmarkStart w:id="564" w:name="_Toc296891054"/>
      <w:bookmarkStart w:id="565" w:name="_Toc296944565"/>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1</w:t>
      </w:r>
      <w:r>
        <w:rPr>
          <w:rFonts w:ascii="Times New Roman" w:hAnsi="Times New Roman" w:eastAsia="仿宋_GB2312" w:cs="Times New Roman"/>
          <w:sz w:val="30"/>
          <w:szCs w:val="30"/>
        </w:rPr>
        <w:t>：</w:t>
      </w:r>
      <w:bookmarkEnd w:id="559"/>
      <w:bookmarkEnd w:id="560"/>
      <w:bookmarkEnd w:id="561"/>
      <w:bookmarkEnd w:id="562"/>
      <w:bookmarkEnd w:id="563"/>
      <w:bookmarkEnd w:id="564"/>
      <w:bookmarkEnd w:id="565"/>
      <w:r>
        <w:rPr>
          <w:rFonts w:ascii="Times New Roman" w:hAnsi="Times New Roman" w:eastAsia="黑体" w:cs="Times New Roman"/>
          <w:sz w:val="30"/>
          <w:szCs w:val="30"/>
        </w:rPr>
        <w:t xml:space="preserve">    </w:t>
      </w:r>
    </w:p>
    <w:p>
      <w:pPr>
        <w:spacing w:before="120" w:beforeLines="50" w:after="120" w:afterLines="50" w:line="440" w:lineRule="exact"/>
        <w:jc w:val="center"/>
        <w:rPr>
          <w:rFonts w:ascii="宋体" w:hAnsi="宋体" w:eastAsia="宋体" w:cs="Times New Roman"/>
          <w:b/>
          <w:sz w:val="30"/>
          <w:szCs w:val="30"/>
        </w:rPr>
      </w:pPr>
      <w:r>
        <w:rPr>
          <w:rFonts w:ascii="宋体" w:hAnsi="宋体" w:eastAsia="宋体" w:cs="Times New Roman"/>
          <w:b/>
          <w:sz w:val="30"/>
          <w:szCs w:val="30"/>
        </w:rPr>
        <w:t>工程质量保修书</w:t>
      </w:r>
    </w:p>
    <w:p>
      <w:pPr>
        <w:spacing w:line="400" w:lineRule="atLeast"/>
        <w:ind w:firstLine="420" w:firstLineChars="200"/>
        <w:rPr>
          <w:rFonts w:ascii="宋体" w:hAnsi="宋体" w:eastAsia="宋体" w:cs="Times New Roman"/>
          <w:szCs w:val="21"/>
        </w:rPr>
      </w:pPr>
      <w:r>
        <w:rPr>
          <w:rFonts w:ascii="宋体" w:hAnsi="宋体" w:eastAsia="宋体" w:cs="Times New Roman"/>
          <w:szCs w:val="21"/>
        </w:rPr>
        <w:t>发包人（全称）：</w:t>
      </w:r>
      <w:r>
        <w:rPr>
          <w:rFonts w:ascii="宋体" w:hAnsi="宋体" w:eastAsia="宋体" w:cs="Times New Roman"/>
          <w:szCs w:val="21"/>
          <w:u w:val="single"/>
        </w:rPr>
        <w:t xml:space="preserve">                                </w:t>
      </w:r>
      <w:r>
        <w:rPr>
          <w:rFonts w:ascii="宋体" w:hAnsi="宋体" w:eastAsia="宋体" w:cs="Times New Roman"/>
          <w:szCs w:val="21"/>
        </w:rPr>
        <w:t xml:space="preserve"> </w:t>
      </w:r>
    </w:p>
    <w:p>
      <w:pPr>
        <w:spacing w:line="400" w:lineRule="atLeast"/>
        <w:rPr>
          <w:rFonts w:ascii="宋体" w:hAnsi="宋体" w:eastAsia="宋体" w:cs="Times New Roman"/>
          <w:szCs w:val="21"/>
        </w:rPr>
      </w:pPr>
      <w:r>
        <w:rPr>
          <w:rFonts w:ascii="宋体" w:hAnsi="宋体" w:eastAsia="宋体" w:cs="Times New Roman"/>
          <w:szCs w:val="21"/>
        </w:rPr>
        <w:t>　　承包人（全称）：</w:t>
      </w:r>
      <w:r>
        <w:rPr>
          <w:rFonts w:ascii="宋体" w:hAnsi="宋体" w:eastAsia="宋体" w:cs="Times New Roman"/>
          <w:szCs w:val="21"/>
          <w:u w:val="single"/>
        </w:rPr>
        <w:t xml:space="preserve">                                </w:t>
      </w:r>
      <w:r>
        <w:rPr>
          <w:rFonts w:ascii="宋体" w:hAnsi="宋体" w:eastAsia="宋体" w:cs="Times New Roman"/>
          <w:szCs w:val="21"/>
        </w:rPr>
        <w:t xml:space="preserve"> </w:t>
      </w:r>
    </w:p>
    <w:p>
      <w:pPr>
        <w:spacing w:line="400" w:lineRule="atLeast"/>
        <w:rPr>
          <w:rFonts w:ascii="宋体" w:hAnsi="宋体" w:eastAsia="宋体" w:cs="Times New Roman"/>
          <w:szCs w:val="21"/>
        </w:rPr>
      </w:pPr>
    </w:p>
    <w:p>
      <w:pPr>
        <w:spacing w:line="400" w:lineRule="atLeast"/>
        <w:rPr>
          <w:rFonts w:ascii="宋体" w:hAnsi="宋体" w:eastAsia="宋体" w:cs="Times New Roman"/>
          <w:szCs w:val="21"/>
        </w:rPr>
      </w:pPr>
      <w:r>
        <w:rPr>
          <w:rFonts w:ascii="宋体" w:hAnsi="宋体" w:eastAsia="宋体" w:cs="Times New Roman"/>
          <w:szCs w:val="21"/>
        </w:rPr>
        <w:t>　　发包人和承包人根据《中华人民共和国建筑法》和《建设工程质量管理条例》，经协商一致就</w:t>
      </w:r>
      <w:r>
        <w:rPr>
          <w:rFonts w:ascii="宋体" w:hAnsi="宋体" w:eastAsia="宋体" w:cs="Times New Roman"/>
          <w:szCs w:val="21"/>
          <w:u w:val="single"/>
        </w:rPr>
        <w:t xml:space="preserve">                </w:t>
      </w:r>
      <w:r>
        <w:rPr>
          <w:rFonts w:ascii="宋体" w:hAnsi="宋体" w:eastAsia="宋体" w:cs="Times New Roman"/>
          <w:szCs w:val="21"/>
        </w:rPr>
        <w:t>（工程全称）签订工程质量保修书。</w:t>
      </w:r>
    </w:p>
    <w:p>
      <w:pPr>
        <w:spacing w:line="400" w:lineRule="atLeast"/>
        <w:rPr>
          <w:rFonts w:ascii="宋体" w:hAnsi="宋体" w:eastAsia="宋体" w:cs="Times New Roman"/>
          <w:szCs w:val="21"/>
        </w:rPr>
      </w:pPr>
      <w:r>
        <w:rPr>
          <w:rFonts w:ascii="宋体" w:hAnsi="宋体" w:eastAsia="宋体" w:cs="Times New Roman"/>
          <w:szCs w:val="21"/>
        </w:rPr>
        <w:t>　　一、工程质量保修范围和内容</w:t>
      </w:r>
    </w:p>
    <w:p>
      <w:pPr>
        <w:spacing w:line="400" w:lineRule="atLeast"/>
        <w:rPr>
          <w:rFonts w:ascii="宋体" w:hAnsi="宋体" w:eastAsia="宋体" w:cs="Times New Roman"/>
          <w:szCs w:val="21"/>
        </w:rPr>
      </w:pPr>
      <w:r>
        <w:rPr>
          <w:rFonts w:ascii="宋体" w:hAnsi="宋体" w:eastAsia="宋体" w:cs="Times New Roman"/>
          <w:szCs w:val="21"/>
        </w:rPr>
        <w:t>　　承包人在质量保修期内，按照有关法律规定和合同约定，承担工程质量保修责任。</w:t>
      </w:r>
    </w:p>
    <w:p>
      <w:pPr>
        <w:spacing w:line="400" w:lineRule="atLeast"/>
        <w:rPr>
          <w:rFonts w:ascii="宋体" w:hAnsi="宋体" w:eastAsia="宋体" w:cs="Times New Roman"/>
          <w:szCs w:val="21"/>
        </w:rPr>
      </w:pPr>
      <w:r>
        <w:rPr>
          <w:rFonts w:ascii="宋体" w:hAnsi="宋体" w:eastAsia="宋体" w:cs="Times New Roman"/>
          <w:szCs w:val="21"/>
        </w:rPr>
        <w:t>　　</w:t>
      </w:r>
      <w:r>
        <w:rPr>
          <w:rFonts w:hint="eastAsia" w:ascii="宋体" w:hAnsi="宋体" w:eastAsia="宋体" w:cs="Times New Roman"/>
          <w:szCs w:val="21"/>
        </w:rPr>
        <w:t>质量保修范围包括合同及施工图纸所包括的工程。具体质量保修内容双方约定如下</w:t>
      </w:r>
      <w:r>
        <w:rPr>
          <w:rFonts w:ascii="宋体" w:hAnsi="宋体" w:eastAsia="宋体" w:cs="Times New Roman"/>
          <w:szCs w:val="21"/>
        </w:rPr>
        <w:t>：</w:t>
      </w:r>
    </w:p>
    <w:p>
      <w:pPr>
        <w:spacing w:line="400" w:lineRule="atLeast"/>
        <w:rPr>
          <w:rFonts w:ascii="宋体" w:hAnsi="宋体" w:eastAsia="宋体" w:cs="Times New Roman"/>
          <w:szCs w:val="21"/>
        </w:rPr>
      </w:pPr>
      <w:r>
        <w:rPr>
          <w:rFonts w:ascii="宋体" w:hAnsi="宋体" w:eastAsia="宋体" w:cs="Times New Roman"/>
          <w:szCs w:val="21"/>
        </w:rPr>
        <w:t>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atLeast"/>
        <w:rPr>
          <w:rFonts w:ascii="宋体" w:hAnsi="宋体" w:eastAsia="宋体" w:cs="Times New Roman"/>
          <w:szCs w:val="21"/>
        </w:rPr>
      </w:pPr>
      <w:r>
        <w:rPr>
          <w:rFonts w:ascii="宋体" w:hAnsi="宋体" w:eastAsia="宋体" w:cs="Times New Roman"/>
          <w:b/>
          <w:szCs w:val="21"/>
        </w:rPr>
        <w:t>　　</w:t>
      </w:r>
      <w:r>
        <w:rPr>
          <w:rFonts w:ascii="宋体" w:hAnsi="宋体" w:eastAsia="宋体" w:cs="Times New Roman"/>
          <w:szCs w:val="21"/>
        </w:rPr>
        <w:t>二、质量保修期</w:t>
      </w:r>
    </w:p>
    <w:p>
      <w:pPr>
        <w:spacing w:line="400" w:lineRule="atLeast"/>
        <w:ind w:firstLine="420" w:firstLineChars="200"/>
        <w:rPr>
          <w:rFonts w:ascii="宋体" w:hAnsi="宋体" w:eastAsia="宋体" w:cs="Times New Roman"/>
          <w:szCs w:val="21"/>
        </w:rPr>
      </w:pPr>
      <w:r>
        <w:rPr>
          <w:rFonts w:ascii="宋体" w:hAnsi="宋体" w:eastAsia="宋体" w:cs="Times New Roman"/>
          <w:szCs w:val="21"/>
        </w:rPr>
        <w:t>根据《建设工程质量管理条例》及有关规定，工程的质量保修期如下：</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（1）地基基础工程、主体结构工程为设计文件规定的合理使用年限；</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（2）屋面防水工程、有防水要求的卫生间、房间和外墙面的防渗漏为5年；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（3）供热及供冷系统为 2 个采暖期及供冷期；</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（4）电气管线、给排水管道、设备安装为 2 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（5）装修工程为 2 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（6）室外的上下水和小区道路等市政公用工程为 2 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（7）所有项目工程的质量保修期不少于 1 年；</w:t>
      </w:r>
    </w:p>
    <w:p>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（8）桥梁工程为2年；            </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（9）道路工程为2年；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（10）排水(雨水)工程为2年；</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（11）绿化工程为工程竣工综合验收合格后12个月 ；</w:t>
      </w:r>
    </w:p>
    <w:p>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（12）在没有明文规定下，参照建设工程质量保修条例，双方协商为设计文件规定的该工程的合理使用年限内保修；</w:t>
      </w:r>
    </w:p>
    <w:p>
      <w:pPr>
        <w:spacing w:line="360" w:lineRule="exact"/>
        <w:ind w:firstLine="315" w:firstLineChars="150"/>
        <w:rPr>
          <w:rFonts w:hint="eastAsia" w:ascii="宋体" w:hAnsi="宋体" w:eastAsia="宋体" w:cs="Times New Roman"/>
          <w:szCs w:val="21"/>
        </w:rPr>
      </w:pPr>
      <w:r>
        <w:rPr>
          <w:rFonts w:hint="eastAsia" w:ascii="宋体" w:hAnsi="宋体" w:eastAsia="宋体" w:cs="Times New Roman"/>
          <w:szCs w:val="21"/>
        </w:rPr>
        <w:t>（13）其他约定：</w:t>
      </w:r>
      <w:r>
        <w:rPr>
          <w:rFonts w:hint="eastAsia" w:ascii="宋体" w:hAnsi="宋体" w:eastAsia="宋体" w:cs="Times New Roman"/>
          <w:szCs w:val="21"/>
          <w:u w:val="single"/>
        </w:rPr>
        <w:t xml:space="preserve">            </w:t>
      </w:r>
      <w:r>
        <w:rPr>
          <w:rFonts w:hint="eastAsia" w:ascii="宋体" w:hAnsi="宋体" w:eastAsia="宋体" w:cs="Times New Roman"/>
          <w:szCs w:val="21"/>
        </w:rPr>
        <w:t>。</w:t>
      </w:r>
    </w:p>
    <w:p>
      <w:pPr>
        <w:spacing w:line="400" w:lineRule="atLeast"/>
        <w:rPr>
          <w:rFonts w:ascii="宋体" w:hAnsi="宋体" w:eastAsia="宋体" w:cs="Times New Roman"/>
          <w:szCs w:val="21"/>
        </w:rPr>
      </w:pPr>
      <w:r>
        <w:rPr>
          <w:rFonts w:ascii="宋体" w:hAnsi="宋体" w:eastAsia="宋体" w:cs="Times New Roman"/>
          <w:szCs w:val="21"/>
        </w:rPr>
        <w:t>　　质量保修期自工程竣工验收合格之日起计算。</w:t>
      </w:r>
    </w:p>
    <w:p>
      <w:pPr>
        <w:spacing w:line="400" w:lineRule="atLeast"/>
        <w:ind w:firstLine="420" w:firstLineChars="200"/>
        <w:rPr>
          <w:rFonts w:ascii="宋体" w:hAnsi="宋体" w:eastAsia="宋体" w:cs="Times New Roman"/>
          <w:szCs w:val="21"/>
        </w:rPr>
      </w:pPr>
      <w:r>
        <w:rPr>
          <w:rFonts w:ascii="宋体" w:hAnsi="宋体" w:eastAsia="宋体" w:cs="Times New Roman"/>
          <w:szCs w:val="21"/>
        </w:rPr>
        <w:t>三、缺陷责任期</w:t>
      </w:r>
    </w:p>
    <w:p>
      <w:pPr>
        <w:spacing w:line="400" w:lineRule="atLeast"/>
        <w:ind w:firstLine="420" w:firstLineChars="200"/>
        <w:rPr>
          <w:rFonts w:ascii="宋体" w:hAnsi="宋体" w:eastAsia="宋体" w:cs="Times New Roman"/>
          <w:szCs w:val="21"/>
        </w:rPr>
      </w:pPr>
      <w:r>
        <w:rPr>
          <w:rFonts w:ascii="宋体" w:hAnsi="宋体" w:eastAsia="宋体" w:cs="Times New Roman"/>
          <w:szCs w:val="21"/>
        </w:rPr>
        <w:t>工程缺陷责任期为</w:t>
      </w:r>
      <w:r>
        <w:rPr>
          <w:rFonts w:ascii="宋体" w:hAnsi="宋体" w:eastAsia="宋体" w:cs="Times New Roman"/>
          <w:szCs w:val="21"/>
          <w:u w:val="single"/>
        </w:rPr>
        <w:t xml:space="preserve">         </w:t>
      </w:r>
      <w:r>
        <w:rPr>
          <w:rFonts w:ascii="宋体" w:hAnsi="宋体" w:eastAsia="宋体" w:cs="Times New Roman"/>
          <w:szCs w:val="21"/>
        </w:rPr>
        <w:t>个月，缺陷责任期自工程竣工验收合格之日起计算。单位工程先于全部工程进行验收，单位工程缺陷责任期自单位工程验收合格之日起算。</w:t>
      </w:r>
    </w:p>
    <w:p>
      <w:pPr>
        <w:spacing w:line="400" w:lineRule="atLeast"/>
        <w:ind w:firstLine="420" w:firstLineChars="200"/>
        <w:rPr>
          <w:rFonts w:ascii="宋体" w:hAnsi="宋体" w:eastAsia="宋体" w:cs="Times New Roman"/>
          <w:szCs w:val="21"/>
        </w:rPr>
      </w:pPr>
      <w:r>
        <w:rPr>
          <w:rFonts w:ascii="宋体" w:hAnsi="宋体" w:eastAsia="宋体" w:cs="Times New Roman"/>
          <w:szCs w:val="21"/>
        </w:rPr>
        <w:t>缺陷责任期终止后，发包人应退还剩余的质量保证金。</w:t>
      </w:r>
    </w:p>
    <w:p>
      <w:pPr>
        <w:spacing w:line="400" w:lineRule="atLeast"/>
        <w:rPr>
          <w:rFonts w:ascii="宋体" w:hAnsi="宋体" w:eastAsia="宋体" w:cs="Times New Roman"/>
          <w:szCs w:val="21"/>
        </w:rPr>
      </w:pPr>
      <w:r>
        <w:rPr>
          <w:rFonts w:ascii="宋体" w:hAnsi="宋体" w:eastAsia="宋体" w:cs="Times New Roman"/>
          <w:szCs w:val="21"/>
        </w:rPr>
        <w:t xml:space="preserve">    四、质量保修责任</w:t>
      </w:r>
    </w:p>
    <w:p>
      <w:pPr>
        <w:spacing w:line="400" w:lineRule="atLeast"/>
        <w:ind w:left="105" w:leftChars="50" w:firstLine="430" w:firstLineChars="205"/>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属于保修范围、内容的项目，承包人应当在接到保修通知之日起7天内派人保修。承包人不在约定期限内派人保修的，发包人可以委托他人修理。</w:t>
      </w:r>
    </w:p>
    <w:p>
      <w:pPr>
        <w:spacing w:line="400" w:lineRule="atLeast"/>
        <w:ind w:left="105" w:leftChars="50" w:firstLine="430" w:firstLineChars="205"/>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发生紧急事故需抢修的，承包人在接到事故通知后，应当立即到达事故现场抢修。</w:t>
      </w:r>
    </w:p>
    <w:p>
      <w:pPr>
        <w:spacing w:line="400" w:lineRule="atLeast"/>
        <w:ind w:left="105" w:leftChars="50" w:firstLine="430" w:firstLineChars="205"/>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400" w:lineRule="atLeast"/>
        <w:ind w:left="420" w:leftChars="200" w:firstLine="105" w:firstLineChars="5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质量保修完成后，由发包人组织验收。</w:t>
      </w:r>
    </w:p>
    <w:p>
      <w:pPr>
        <w:spacing w:line="400" w:lineRule="atLeast"/>
        <w:rPr>
          <w:rFonts w:ascii="宋体" w:hAnsi="宋体" w:eastAsia="宋体" w:cs="Times New Roman"/>
          <w:szCs w:val="21"/>
        </w:rPr>
      </w:pPr>
      <w:r>
        <w:rPr>
          <w:rFonts w:ascii="宋体" w:hAnsi="宋体" w:eastAsia="宋体" w:cs="Times New Roman"/>
          <w:szCs w:val="21"/>
        </w:rPr>
        <w:t>　　五、保修费用</w:t>
      </w:r>
    </w:p>
    <w:p>
      <w:pPr>
        <w:spacing w:line="400" w:lineRule="atLeast"/>
        <w:rPr>
          <w:rFonts w:ascii="宋体" w:hAnsi="宋体" w:eastAsia="宋体" w:cs="Times New Roman"/>
          <w:szCs w:val="21"/>
        </w:rPr>
      </w:pPr>
      <w:r>
        <w:rPr>
          <w:rFonts w:ascii="宋体" w:hAnsi="宋体" w:eastAsia="宋体" w:cs="Times New Roman"/>
          <w:szCs w:val="21"/>
        </w:rPr>
        <w:t>　　保修费用由造成质量缺陷的责任方承担。</w:t>
      </w:r>
    </w:p>
    <w:p>
      <w:pPr>
        <w:spacing w:line="400" w:lineRule="atLeast"/>
        <w:ind w:firstLine="413" w:firstLineChars="196"/>
        <w:jc w:val="left"/>
        <w:rPr>
          <w:rFonts w:ascii="宋体" w:hAnsi="宋体" w:eastAsia="宋体" w:cs="Times New Roman"/>
          <w:szCs w:val="21"/>
        </w:rPr>
      </w:pPr>
      <w:r>
        <w:rPr>
          <w:rFonts w:ascii="宋体" w:hAnsi="宋体" w:eastAsia="宋体" w:cs="Times New Roman"/>
          <w:b/>
          <w:szCs w:val="21"/>
        </w:rPr>
        <w:t>六</w:t>
      </w:r>
      <w:r>
        <w:rPr>
          <w:rFonts w:ascii="宋体" w:hAnsi="宋体" w:eastAsia="宋体" w:cs="Times New Roman"/>
          <w:szCs w:val="21"/>
        </w:rPr>
        <w:t>、双方约定的其他工程质量保修事项：</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atLeast"/>
        <w:ind w:firstLine="399" w:firstLineChars="190"/>
        <w:rPr>
          <w:rFonts w:ascii="宋体" w:hAnsi="宋体" w:eastAsia="宋体" w:cs="Times New Roman"/>
          <w:szCs w:val="21"/>
        </w:rPr>
      </w:pPr>
      <w:r>
        <w:rPr>
          <w:rFonts w:ascii="宋体" w:hAnsi="宋体" w:eastAsia="宋体" w:cs="Times New Roman"/>
          <w:szCs w:val="21"/>
        </w:rPr>
        <w:t>工程质量保修书由发包人、承包人在工程竣工验收前共同签署，作为施工合同附件，其有效期限至保修期满。</w:t>
      </w:r>
    </w:p>
    <w:p>
      <w:pPr>
        <w:spacing w:line="400" w:lineRule="atLeast"/>
        <w:ind w:firstLine="420"/>
        <w:rPr>
          <w:rFonts w:ascii="宋体" w:hAnsi="宋体" w:eastAsia="宋体" w:cs="Times New Roman"/>
          <w:szCs w:val="21"/>
        </w:rPr>
      </w:pPr>
    </w:p>
    <w:p>
      <w:pPr>
        <w:spacing w:line="400" w:lineRule="atLeast"/>
        <w:rPr>
          <w:rFonts w:ascii="宋体" w:hAnsi="宋体" w:eastAsia="宋体" w:cs="Times New Roman"/>
          <w:szCs w:val="21"/>
        </w:rPr>
      </w:pPr>
      <w:r>
        <w:rPr>
          <w:rFonts w:ascii="宋体" w:hAnsi="宋体" w:eastAsia="宋体" w:cs="Times New Roman"/>
          <w:szCs w:val="21"/>
        </w:rPr>
        <w:t>发包人(公章)：</w:t>
      </w:r>
      <w:r>
        <w:rPr>
          <w:rFonts w:ascii="宋体" w:hAnsi="宋体" w:eastAsia="宋体" w:cs="Times New Roman"/>
          <w:szCs w:val="21"/>
          <w:u w:val="single"/>
        </w:rPr>
        <w:t xml:space="preserve"> </w:t>
      </w:r>
      <w:r>
        <w:rPr>
          <w:rFonts w:hint="eastAsia" w:ascii="宋体" w:hAnsi="宋体" w:eastAsia="宋体" w:cs="宋体"/>
          <w:szCs w:val="21"/>
          <w:u w:val="single"/>
        </w:rPr>
        <w:t xml:space="preserve">       </w:t>
      </w:r>
      <w:r>
        <w:rPr>
          <w:rFonts w:ascii="宋体" w:hAnsi="宋体" w:eastAsia="宋体" w:cs="Times New Roman"/>
          <w:szCs w:val="21"/>
        </w:rPr>
        <w:t xml:space="preserve"> 承包人(公章)：</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地  址：</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地  址：</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法定代表人(签字)：</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 xml:space="preserve"> 法定代表人(签字)：</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委托代理人(签字)：</w:t>
      </w:r>
      <w:r>
        <w:rPr>
          <w:rFonts w:hint="eastAsia" w:ascii="宋体" w:hAnsi="宋体" w:eastAsia="宋体" w:cs="宋体"/>
          <w:szCs w:val="21"/>
          <w:u w:val="single"/>
        </w:rPr>
        <w:t xml:space="preserve">      </w:t>
      </w:r>
      <w:r>
        <w:rPr>
          <w:rFonts w:ascii="宋体" w:hAnsi="宋体" w:eastAsia="宋体" w:cs="Times New Roman"/>
          <w:szCs w:val="21"/>
        </w:rPr>
        <w:t xml:space="preserve"> 委托代理人(签字)：</w:t>
      </w:r>
      <w:r>
        <w:rPr>
          <w:rFonts w:hint="eastAsia" w:ascii="宋体" w:hAnsi="宋体" w:eastAsia="宋体" w:cs="宋体"/>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电  话：</w:t>
      </w:r>
      <w:r>
        <w:rPr>
          <w:rFonts w:hint="eastAsia" w:ascii="宋体" w:hAnsi="宋体" w:eastAsia="宋体" w:cs="宋体"/>
          <w:szCs w:val="21"/>
          <w:u w:val="single"/>
        </w:rPr>
        <w:t xml:space="preserve">   </w:t>
      </w:r>
      <w:r>
        <w:rPr>
          <w:rFonts w:ascii="宋体" w:hAnsi="宋体" w:eastAsia="宋体" w:cs="Times New Roman"/>
          <w:szCs w:val="21"/>
        </w:rPr>
        <w:t xml:space="preserve"> 电  话：</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传  真：</w:t>
      </w:r>
      <w:r>
        <w:rPr>
          <w:rFonts w:hint="eastAsia" w:ascii="宋体" w:hAnsi="宋体" w:eastAsia="宋体" w:cs="宋体"/>
          <w:szCs w:val="21"/>
          <w:u w:val="single"/>
        </w:rPr>
        <w:t xml:space="preserve">   </w:t>
      </w:r>
      <w:r>
        <w:rPr>
          <w:rFonts w:ascii="宋体" w:hAnsi="宋体" w:eastAsia="宋体" w:cs="Times New Roman"/>
          <w:szCs w:val="21"/>
        </w:rPr>
        <w:t xml:space="preserve"> 传  真：</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hint="eastAsia" w:ascii="宋体" w:hAnsi="宋体" w:eastAsia="宋体" w:cs="宋体"/>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开户银行：</w:t>
      </w:r>
      <w:r>
        <w:rPr>
          <w:rFonts w:hint="eastAsia" w:ascii="宋体" w:hAnsi="宋体" w:eastAsia="宋体" w:cs="宋体"/>
          <w:szCs w:val="21"/>
          <w:u w:val="single"/>
        </w:rPr>
        <w:t xml:space="preserve">   </w:t>
      </w:r>
      <w:r>
        <w:rPr>
          <w:rFonts w:ascii="宋体" w:hAnsi="宋体" w:eastAsia="宋体" w:cs="Times New Roman"/>
          <w:szCs w:val="21"/>
        </w:rPr>
        <w:t xml:space="preserve"> 开户银行：</w:t>
      </w:r>
      <w:r>
        <w:rPr>
          <w:rFonts w:hint="eastAsia" w:ascii="宋体" w:hAnsi="宋体" w:eastAsia="宋体" w:cs="宋体"/>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账  号：</w:t>
      </w:r>
      <w:r>
        <w:rPr>
          <w:rFonts w:hint="eastAsia" w:ascii="宋体" w:hAnsi="宋体" w:eastAsia="宋体" w:cs="宋体"/>
          <w:szCs w:val="21"/>
          <w:u w:val="single"/>
        </w:rPr>
        <w:t xml:space="preserve">       </w:t>
      </w:r>
      <w:r>
        <w:rPr>
          <w:rFonts w:hint="eastAsia" w:ascii="宋体" w:hAnsi="宋体" w:eastAsia="宋体" w:cs="Times New Roman"/>
          <w:szCs w:val="21"/>
        </w:rPr>
        <w:t xml:space="preserve">  </w:t>
      </w:r>
      <w:r>
        <w:rPr>
          <w:rFonts w:ascii="宋体" w:hAnsi="宋体" w:eastAsia="宋体" w:cs="Times New Roman"/>
          <w:szCs w:val="21"/>
        </w:rPr>
        <w:t>账</w:t>
      </w:r>
      <w:r>
        <w:rPr>
          <w:rFonts w:hint="eastAsia" w:ascii="宋体" w:hAnsi="宋体" w:eastAsia="宋体" w:cs="Times New Roman"/>
          <w:szCs w:val="21"/>
        </w:rPr>
        <w:t xml:space="preserve"> </w:t>
      </w:r>
      <w:r>
        <w:rPr>
          <w:rFonts w:ascii="宋体" w:hAnsi="宋体" w:eastAsia="宋体" w:cs="Times New Roman"/>
          <w:szCs w:val="21"/>
        </w:rPr>
        <w:t xml:space="preserve"> 号：</w:t>
      </w:r>
      <w:r>
        <w:rPr>
          <w:rFonts w:hint="eastAsia" w:ascii="宋体" w:hAnsi="宋体" w:eastAsia="宋体" w:cs="宋体"/>
          <w:szCs w:val="21"/>
          <w:u w:val="single"/>
        </w:rPr>
        <w:t></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pPr>
        <w:spacing w:line="400" w:lineRule="atLeast"/>
        <w:rPr>
          <w:rFonts w:ascii="宋体" w:hAnsi="宋体" w:eastAsia="宋体" w:cs="Times New Roman"/>
          <w:szCs w:val="21"/>
        </w:rPr>
      </w:pPr>
      <w:r>
        <w:rPr>
          <w:rFonts w:ascii="宋体" w:hAnsi="宋体" w:eastAsia="宋体" w:cs="Times New Roman"/>
          <w:szCs w:val="21"/>
        </w:rPr>
        <w:t>邮政编码：</w:t>
      </w:r>
      <w:r>
        <w:rPr>
          <w:rFonts w:ascii="宋体" w:hAnsi="宋体" w:eastAsia="宋体" w:cs="Times New Roman"/>
          <w:szCs w:val="21"/>
          <w:u w:val="single"/>
        </w:rPr>
        <w:t xml:space="preserve"> </w:t>
      </w:r>
      <w:r>
        <w:rPr>
          <w:rFonts w:hint="eastAsia" w:ascii="宋体" w:hAnsi="宋体" w:eastAsia="宋体" w:cs="宋体"/>
          <w:szCs w:val="21"/>
          <w:u w:val="single"/>
        </w:rPr>
        <w:t xml:space="preserve">    </w:t>
      </w:r>
      <w:r>
        <w:rPr>
          <w:rFonts w:ascii="宋体" w:hAnsi="宋体" w:eastAsia="宋体" w:cs="Times New Roman"/>
          <w:szCs w:val="21"/>
        </w:rPr>
        <w:t xml:space="preserve"> 邮政编码：</w:t>
      </w:r>
      <w:r>
        <w:rPr>
          <w:rFonts w:hint="eastAsia" w:ascii="宋体" w:hAnsi="宋体" w:eastAsia="宋体" w:cs="宋体"/>
          <w:szCs w:val="21"/>
          <w:u w:val="single"/>
        </w:rPr>
        <w:t xml:space="preserve">   </w:t>
      </w:r>
    </w:p>
    <w:p>
      <w:pPr>
        <w:spacing w:line="440" w:lineRule="exact"/>
        <w:rPr>
          <w:rFonts w:ascii="Times New Roman" w:hAnsi="Times New Roman" w:eastAsia="黑体" w:cs="Times New Roman"/>
          <w:sz w:val="30"/>
          <w:szCs w:val="30"/>
        </w:rPr>
      </w:pPr>
      <w:r>
        <w:rPr>
          <w:rFonts w:ascii="Times New Roman" w:hAnsi="Times New Roman" w:eastAsia="仿宋_GB2312" w:cs="Times New Roman"/>
          <w:b/>
          <w:sz w:val="30"/>
          <w:szCs w:val="30"/>
        </w:rPr>
        <w:br w:type="page"/>
      </w:r>
      <w:r>
        <w:rPr>
          <w:rFonts w:ascii="Times New Roman" w:hAnsi="Times New Roman" w:eastAsia="仿宋_GB2312" w:cs="Times New Roman"/>
          <w:sz w:val="30"/>
          <w:szCs w:val="30"/>
        </w:rPr>
        <w:t>附件</w:t>
      </w:r>
      <w:r>
        <w:rPr>
          <w:rFonts w:hint="eastAsia" w:ascii="Times New Roman" w:hAnsi="Times New Roman" w:eastAsia="仿宋_GB2312" w:cs="Times New Roman"/>
          <w:sz w:val="30"/>
          <w:szCs w:val="30"/>
        </w:rPr>
        <w:t>2</w:t>
      </w:r>
      <w:r>
        <w:rPr>
          <w:rFonts w:ascii="Times New Roman" w:hAnsi="Times New Roman" w:eastAsia="仿宋_GB2312" w:cs="Times New Roman"/>
          <w:sz w:val="30"/>
          <w:szCs w:val="30"/>
        </w:rPr>
        <w:t>：</w:t>
      </w:r>
    </w:p>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主要建设工程文件目录</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41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keepNext/>
              <w:spacing w:line="440" w:lineRule="exact"/>
              <w:ind w:left="63" w:right="63"/>
              <w:jc w:val="center"/>
              <w:rPr>
                <w:rFonts w:ascii="宋体" w:hAnsi="宋体" w:eastAsia="宋体" w:cs="Times New Roman"/>
                <w:sz w:val="24"/>
                <w:szCs w:val="24"/>
              </w:rPr>
            </w:pPr>
            <w:r>
              <w:rPr>
                <w:rFonts w:ascii="宋体" w:hAnsi="宋体" w:eastAsia="宋体" w:cs="Times New Roman"/>
                <w:sz w:val="24"/>
                <w:szCs w:val="24"/>
              </w:rPr>
              <w:t>文件名称</w:t>
            </w:r>
          </w:p>
        </w:tc>
        <w:tc>
          <w:tcPr>
            <w:tcW w:w="1276" w:type="dxa"/>
            <w:tcBorders>
              <w:top w:val="single" w:color="auto" w:sz="12" w:space="0"/>
              <w:bottom w:val="double" w:color="auto" w:sz="6" w:space="0"/>
            </w:tcBorders>
            <w:vAlign w:val="center"/>
          </w:tcPr>
          <w:p>
            <w:pPr>
              <w:keepNext/>
              <w:spacing w:line="440" w:lineRule="exact"/>
              <w:ind w:left="63" w:right="63"/>
              <w:jc w:val="center"/>
              <w:rPr>
                <w:rFonts w:ascii="宋体" w:hAnsi="宋体" w:eastAsia="宋体" w:cs="Times New Roman"/>
                <w:sz w:val="24"/>
                <w:szCs w:val="24"/>
              </w:rPr>
            </w:pPr>
            <w:r>
              <w:rPr>
                <w:rFonts w:ascii="宋体" w:hAnsi="宋体" w:eastAsia="宋体" w:cs="Times New Roman"/>
                <w:sz w:val="24"/>
                <w:szCs w:val="24"/>
              </w:rPr>
              <w:t>套数</w:t>
            </w:r>
          </w:p>
        </w:tc>
        <w:tc>
          <w:tcPr>
            <w:tcW w:w="1450" w:type="dxa"/>
            <w:tcBorders>
              <w:top w:val="single" w:color="auto" w:sz="12" w:space="0"/>
              <w:bottom w:val="double" w:color="auto" w:sz="6" w:space="0"/>
            </w:tcBorders>
            <w:vAlign w:val="center"/>
          </w:tcPr>
          <w:p>
            <w:pPr>
              <w:keepNext/>
              <w:spacing w:line="440" w:lineRule="exact"/>
              <w:ind w:left="63" w:right="63"/>
              <w:jc w:val="center"/>
              <w:rPr>
                <w:rFonts w:ascii="宋体" w:hAnsi="宋体" w:eastAsia="宋体" w:cs="Times New Roman"/>
                <w:sz w:val="24"/>
                <w:szCs w:val="24"/>
              </w:rPr>
            </w:pPr>
            <w:r>
              <w:rPr>
                <w:rFonts w:ascii="宋体" w:hAnsi="宋体" w:eastAsia="宋体" w:cs="Times New Roman"/>
                <w:sz w:val="24"/>
                <w:szCs w:val="24"/>
              </w:rPr>
              <w:t>费用</w:t>
            </w:r>
            <w:r>
              <w:rPr>
                <w:rFonts w:hint="eastAsia" w:ascii="宋体" w:hAnsi="宋体" w:eastAsia="宋体" w:cs="Times New Roman"/>
                <w:sz w:val="24"/>
                <w:szCs w:val="24"/>
              </w:rPr>
              <w:t>（元）</w:t>
            </w:r>
          </w:p>
        </w:tc>
        <w:tc>
          <w:tcPr>
            <w:tcW w:w="1243" w:type="dxa"/>
            <w:tcBorders>
              <w:top w:val="single" w:color="auto" w:sz="12" w:space="0"/>
              <w:bottom w:val="double" w:color="auto" w:sz="6" w:space="0"/>
            </w:tcBorders>
            <w:vAlign w:val="center"/>
          </w:tcPr>
          <w:p>
            <w:pPr>
              <w:keepNext/>
              <w:spacing w:line="440" w:lineRule="exact"/>
              <w:ind w:left="63" w:right="63"/>
              <w:jc w:val="center"/>
              <w:rPr>
                <w:rFonts w:ascii="宋体" w:hAnsi="宋体" w:eastAsia="宋体" w:cs="Times New Roman"/>
                <w:sz w:val="24"/>
                <w:szCs w:val="24"/>
              </w:rPr>
            </w:pPr>
            <w:r>
              <w:rPr>
                <w:rFonts w:ascii="宋体" w:hAnsi="宋体" w:eastAsia="宋体" w:cs="Times New Roman"/>
                <w:sz w:val="24"/>
                <w:szCs w:val="24"/>
              </w:rPr>
              <w:t>质量</w:t>
            </w:r>
          </w:p>
        </w:tc>
        <w:tc>
          <w:tcPr>
            <w:tcW w:w="1450" w:type="dxa"/>
            <w:tcBorders>
              <w:top w:val="single" w:color="auto" w:sz="12" w:space="0"/>
              <w:bottom w:val="double" w:color="auto" w:sz="6" w:space="0"/>
            </w:tcBorders>
          </w:tcPr>
          <w:p>
            <w:pPr>
              <w:spacing w:line="440" w:lineRule="exact"/>
              <w:jc w:val="center"/>
              <w:rPr>
                <w:rFonts w:ascii="宋体" w:hAnsi="宋体" w:eastAsia="宋体" w:cs="Times New Roman"/>
                <w:sz w:val="24"/>
                <w:szCs w:val="24"/>
              </w:rPr>
            </w:pPr>
            <w:r>
              <w:rPr>
                <w:rFonts w:ascii="宋体" w:hAnsi="宋体" w:eastAsia="宋体" w:cs="Times New Roman"/>
                <w:sz w:val="24"/>
                <w:szCs w:val="24"/>
              </w:rPr>
              <w:t>移交时间</w:t>
            </w:r>
          </w:p>
        </w:tc>
        <w:tc>
          <w:tcPr>
            <w:tcW w:w="1410" w:type="dxa"/>
            <w:tcBorders>
              <w:top w:val="single" w:color="auto" w:sz="12" w:space="0"/>
              <w:bottom w:val="double" w:color="auto" w:sz="6" w:space="0"/>
            </w:tcBorders>
          </w:tcPr>
          <w:p>
            <w:pPr>
              <w:spacing w:line="440" w:lineRule="exact"/>
              <w:jc w:val="center"/>
              <w:rPr>
                <w:rFonts w:ascii="宋体" w:hAnsi="宋体" w:eastAsia="宋体" w:cs="Times New Roman"/>
                <w:sz w:val="24"/>
                <w:szCs w:val="24"/>
              </w:rPr>
            </w:pPr>
            <w:r>
              <w:rPr>
                <w:rFonts w:ascii="宋体" w:hAnsi="宋体" w:eastAsia="宋体" w:cs="Times New Roman"/>
                <w:sz w:val="24"/>
                <w:szCs w:val="24"/>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c>
          <w:tcPr>
            <w:tcW w:w="1276"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c>
          <w:tcPr>
            <w:tcW w:w="1450"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c>
          <w:tcPr>
            <w:tcW w:w="1243"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c>
          <w:tcPr>
            <w:tcW w:w="1450"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c>
          <w:tcPr>
            <w:tcW w:w="1410" w:type="dxa"/>
            <w:tcBorders>
              <w:top w:val="double" w:color="auto" w:sz="6" w:space="0"/>
              <w:bottom w:val="single" w:color="auto" w:sz="6" w:space="0"/>
            </w:tcBorders>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keepNext/>
              <w:spacing w:line="440" w:lineRule="exact"/>
              <w:ind w:left="63" w:right="63"/>
              <w:jc w:val="center"/>
              <w:rPr>
                <w:rFonts w:ascii="宋体" w:hAnsi="宋体" w:eastAsia="宋体" w:cs="Times New Roman"/>
                <w:sz w:val="24"/>
                <w:szCs w:val="24"/>
              </w:rPr>
            </w:pPr>
          </w:p>
        </w:tc>
        <w:tc>
          <w:tcPr>
            <w:tcW w:w="1276" w:type="dxa"/>
            <w:tcBorders>
              <w:top w:val="nil"/>
            </w:tcBorders>
            <w:vAlign w:val="center"/>
          </w:tcPr>
          <w:p>
            <w:pPr>
              <w:keepNext/>
              <w:spacing w:line="440" w:lineRule="exact"/>
              <w:ind w:left="63" w:right="63"/>
              <w:jc w:val="center"/>
              <w:rPr>
                <w:rFonts w:ascii="宋体" w:hAnsi="宋体" w:eastAsia="宋体" w:cs="Times New Roman"/>
                <w:sz w:val="24"/>
                <w:szCs w:val="24"/>
              </w:rPr>
            </w:pPr>
          </w:p>
        </w:tc>
        <w:tc>
          <w:tcPr>
            <w:tcW w:w="1450" w:type="dxa"/>
            <w:tcBorders>
              <w:top w:val="nil"/>
            </w:tcBorders>
            <w:vAlign w:val="center"/>
          </w:tcPr>
          <w:p>
            <w:pPr>
              <w:keepNext/>
              <w:spacing w:line="440" w:lineRule="exact"/>
              <w:ind w:left="63" w:right="63"/>
              <w:jc w:val="center"/>
              <w:rPr>
                <w:rFonts w:ascii="宋体" w:hAnsi="宋体" w:eastAsia="宋体" w:cs="Times New Roman"/>
                <w:sz w:val="24"/>
                <w:szCs w:val="24"/>
              </w:rPr>
            </w:pPr>
          </w:p>
        </w:tc>
        <w:tc>
          <w:tcPr>
            <w:tcW w:w="1243" w:type="dxa"/>
            <w:tcBorders>
              <w:top w:val="nil"/>
            </w:tcBorders>
            <w:vAlign w:val="center"/>
          </w:tcPr>
          <w:p>
            <w:pPr>
              <w:keepNext/>
              <w:spacing w:line="440" w:lineRule="exact"/>
              <w:ind w:left="63" w:right="63"/>
              <w:jc w:val="center"/>
              <w:rPr>
                <w:rFonts w:ascii="宋体" w:hAnsi="宋体" w:eastAsia="宋体" w:cs="Times New Roman"/>
                <w:sz w:val="24"/>
                <w:szCs w:val="24"/>
              </w:rPr>
            </w:pPr>
          </w:p>
        </w:tc>
        <w:tc>
          <w:tcPr>
            <w:tcW w:w="1450" w:type="dxa"/>
            <w:tcBorders>
              <w:top w:val="nil"/>
            </w:tcBorders>
            <w:vAlign w:val="center"/>
          </w:tcPr>
          <w:p>
            <w:pPr>
              <w:keepNext/>
              <w:spacing w:line="440" w:lineRule="exact"/>
              <w:ind w:left="63" w:right="63"/>
              <w:jc w:val="center"/>
              <w:rPr>
                <w:rFonts w:ascii="宋体" w:hAnsi="宋体" w:eastAsia="宋体" w:cs="Times New Roman"/>
                <w:sz w:val="24"/>
                <w:szCs w:val="24"/>
              </w:rPr>
            </w:pPr>
          </w:p>
        </w:tc>
        <w:tc>
          <w:tcPr>
            <w:tcW w:w="1410" w:type="dxa"/>
            <w:tcBorders>
              <w:top w:val="nil"/>
            </w:tcBorders>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left="63" w:right="63"/>
              <w:jc w:val="center"/>
              <w:rPr>
                <w:rFonts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left="63" w:right="63"/>
              <w:jc w:val="center"/>
              <w:rPr>
                <w:rFonts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right="63"/>
              <w:jc w:val="center"/>
              <w:rPr>
                <w:rFonts w:hint="eastAsia"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right="63"/>
              <w:jc w:val="center"/>
              <w:rPr>
                <w:rFonts w:hint="eastAsia"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right="63"/>
              <w:jc w:val="center"/>
              <w:rPr>
                <w:rFonts w:hint="eastAsia"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keepNext/>
              <w:spacing w:line="440" w:lineRule="exact"/>
              <w:ind w:left="63" w:right="63"/>
              <w:jc w:val="center"/>
              <w:rPr>
                <w:rFonts w:ascii="宋体" w:hAnsi="宋体" w:eastAsia="宋体" w:cs="Times New Roman"/>
                <w:sz w:val="24"/>
                <w:szCs w:val="24"/>
              </w:rPr>
            </w:pPr>
          </w:p>
        </w:tc>
        <w:tc>
          <w:tcPr>
            <w:tcW w:w="1276"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243" w:type="dxa"/>
            <w:vAlign w:val="center"/>
          </w:tcPr>
          <w:p>
            <w:pPr>
              <w:keepNext/>
              <w:spacing w:line="440" w:lineRule="exact"/>
              <w:ind w:left="63" w:right="63"/>
              <w:jc w:val="center"/>
              <w:rPr>
                <w:rFonts w:ascii="宋体" w:hAnsi="宋体" w:eastAsia="宋体" w:cs="Times New Roman"/>
                <w:sz w:val="24"/>
                <w:szCs w:val="24"/>
              </w:rPr>
            </w:pPr>
          </w:p>
        </w:tc>
        <w:tc>
          <w:tcPr>
            <w:tcW w:w="1450" w:type="dxa"/>
            <w:vAlign w:val="center"/>
          </w:tcPr>
          <w:p>
            <w:pPr>
              <w:keepNext/>
              <w:spacing w:line="440" w:lineRule="exact"/>
              <w:ind w:left="63" w:right="63"/>
              <w:jc w:val="center"/>
              <w:rPr>
                <w:rFonts w:ascii="宋体" w:hAnsi="宋体" w:eastAsia="宋体" w:cs="Times New Roman"/>
                <w:sz w:val="24"/>
                <w:szCs w:val="24"/>
              </w:rPr>
            </w:pPr>
          </w:p>
        </w:tc>
        <w:tc>
          <w:tcPr>
            <w:tcW w:w="1410" w:type="dxa"/>
            <w:vAlign w:val="center"/>
          </w:tcPr>
          <w:p>
            <w:pPr>
              <w:keepNext/>
              <w:spacing w:line="440" w:lineRule="exact"/>
              <w:ind w:left="63" w:right="63"/>
              <w:jc w:val="center"/>
              <w:rPr>
                <w:rFonts w:ascii="宋体" w:hAnsi="宋体" w:eastAsia="宋体" w:cs="Times New Roman"/>
                <w:sz w:val="24"/>
                <w:szCs w:val="24"/>
              </w:rPr>
            </w:pPr>
          </w:p>
        </w:tc>
      </w:tr>
    </w:tbl>
    <w:p>
      <w:pPr>
        <w:spacing w:line="440" w:lineRule="exact"/>
        <w:rPr>
          <w:rFonts w:hint="eastAsia" w:ascii="Times New Roman" w:hAnsi="Times New Roman" w:eastAsia="仿宋_GB2312" w:cs="Times New Roman"/>
          <w:sz w:val="30"/>
          <w:szCs w:val="30"/>
        </w:rPr>
      </w:pPr>
    </w:p>
    <w:p>
      <w:pPr>
        <w:spacing w:line="440" w:lineRule="exact"/>
        <w:rPr>
          <w:rFonts w:hint="eastAsia" w:ascii="Times New Roman" w:hAnsi="Times New Roman" w:eastAsia="仿宋_GB2312" w:cs="Times New Roman"/>
          <w:sz w:val="30"/>
          <w:szCs w:val="30"/>
        </w:rPr>
      </w:pPr>
    </w:p>
    <w:p>
      <w:pPr>
        <w:spacing w:line="440" w:lineRule="exact"/>
        <w:rPr>
          <w:rFonts w:ascii="Times New Roman" w:hAnsi="Times New Roman" w:eastAsia="黑体" w:cs="Times New Roman"/>
          <w:sz w:val="30"/>
          <w:szCs w:val="30"/>
        </w:rPr>
      </w:pPr>
      <w:r>
        <w:rPr>
          <w:rFonts w:ascii="Times New Roman" w:hAnsi="Times New Roman" w:eastAsia="仿宋_GB2312" w:cs="Times New Roman"/>
          <w:sz w:val="30"/>
          <w:szCs w:val="30"/>
        </w:rPr>
        <w:t>附</w:t>
      </w:r>
      <w:bookmarkStart w:id="566" w:name="_Toc267261698"/>
      <w:bookmarkStart w:id="567" w:name="_Toc296891055"/>
      <w:bookmarkStart w:id="568" w:name="_Toc296891267"/>
      <w:bookmarkStart w:id="569" w:name="_Toc296944566"/>
      <w:bookmarkStart w:id="570" w:name="_Toc296503227"/>
      <w:bookmarkStart w:id="571" w:name="_Toc296347226"/>
      <w:bookmarkStart w:id="572" w:name="_Toc296346728"/>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3</w:t>
      </w:r>
      <w:r>
        <w:rPr>
          <w:rFonts w:ascii="Times New Roman" w:hAnsi="Times New Roman" w:eastAsia="仿宋_GB2312" w:cs="Times New Roman"/>
          <w:sz w:val="30"/>
          <w:szCs w:val="30"/>
        </w:rPr>
        <w:t>：</w:t>
      </w:r>
    </w:p>
    <w:bookmarkEnd w:id="566"/>
    <w:bookmarkEnd w:id="567"/>
    <w:bookmarkEnd w:id="568"/>
    <w:bookmarkEnd w:id="569"/>
    <w:bookmarkEnd w:id="570"/>
    <w:bookmarkEnd w:id="571"/>
    <w:bookmarkEnd w:id="572"/>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承包人用于本工程施工的机械设备表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2"/>
        <w:gridCol w:w="1418"/>
        <w:gridCol w:w="850"/>
        <w:gridCol w:w="1058"/>
        <w:gridCol w:w="880"/>
        <w:gridCol w:w="1020"/>
        <w:gridCol w:w="1271"/>
        <w:gridCol w:w="887"/>
        <w:gridCol w:w="8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62"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序号</w:t>
            </w:r>
          </w:p>
        </w:tc>
        <w:tc>
          <w:tcPr>
            <w:tcW w:w="1418"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机械或设备名称</w:t>
            </w:r>
          </w:p>
        </w:tc>
        <w:tc>
          <w:tcPr>
            <w:tcW w:w="850"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规格型号</w:t>
            </w:r>
          </w:p>
        </w:tc>
        <w:tc>
          <w:tcPr>
            <w:tcW w:w="1058"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数量</w:t>
            </w:r>
          </w:p>
        </w:tc>
        <w:tc>
          <w:tcPr>
            <w:tcW w:w="880"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产地</w:t>
            </w:r>
          </w:p>
        </w:tc>
        <w:tc>
          <w:tcPr>
            <w:tcW w:w="1020"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制造年份</w:t>
            </w:r>
          </w:p>
        </w:tc>
        <w:tc>
          <w:tcPr>
            <w:tcW w:w="1271"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额定功率(kW)</w:t>
            </w:r>
          </w:p>
        </w:tc>
        <w:tc>
          <w:tcPr>
            <w:tcW w:w="887"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生产能力</w:t>
            </w:r>
          </w:p>
        </w:tc>
        <w:tc>
          <w:tcPr>
            <w:tcW w:w="859"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850"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058"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880"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020"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271"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887"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859" w:type="dxa"/>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5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058"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8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02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271"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87"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59"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5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058"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8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020"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271"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87"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859"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850" w:type="dxa"/>
            <w:vAlign w:val="center"/>
          </w:tcPr>
          <w:p>
            <w:pPr>
              <w:keepNext/>
              <w:spacing w:line="440" w:lineRule="exact"/>
              <w:ind w:left="63" w:right="63"/>
              <w:jc w:val="center"/>
              <w:rPr>
                <w:rFonts w:ascii="Times New Roman" w:hAnsi="宋体" w:eastAsia="宋体" w:cs="Times New Roman"/>
                <w:sz w:val="24"/>
                <w:szCs w:val="24"/>
              </w:rPr>
            </w:pPr>
          </w:p>
        </w:tc>
        <w:tc>
          <w:tcPr>
            <w:tcW w:w="1058" w:type="dxa"/>
            <w:vAlign w:val="center"/>
          </w:tcPr>
          <w:p>
            <w:pPr>
              <w:keepNext/>
              <w:spacing w:line="440" w:lineRule="exact"/>
              <w:ind w:left="63" w:right="63"/>
              <w:jc w:val="center"/>
              <w:rPr>
                <w:rFonts w:ascii="Times New Roman" w:hAnsi="宋体" w:eastAsia="宋体" w:cs="Times New Roman"/>
                <w:sz w:val="24"/>
                <w:szCs w:val="24"/>
              </w:rPr>
            </w:pPr>
          </w:p>
        </w:tc>
        <w:tc>
          <w:tcPr>
            <w:tcW w:w="880" w:type="dxa"/>
            <w:vAlign w:val="center"/>
          </w:tcPr>
          <w:p>
            <w:pPr>
              <w:keepNext/>
              <w:spacing w:line="440" w:lineRule="exact"/>
              <w:ind w:left="63" w:right="63"/>
              <w:jc w:val="center"/>
              <w:rPr>
                <w:rFonts w:ascii="Times New Roman" w:hAnsi="宋体" w:eastAsia="宋体" w:cs="Times New Roman"/>
                <w:sz w:val="24"/>
                <w:szCs w:val="24"/>
              </w:rPr>
            </w:pPr>
          </w:p>
        </w:tc>
        <w:tc>
          <w:tcPr>
            <w:tcW w:w="1020" w:type="dxa"/>
            <w:vAlign w:val="center"/>
          </w:tcPr>
          <w:p>
            <w:pPr>
              <w:keepNext/>
              <w:spacing w:line="440" w:lineRule="exact"/>
              <w:ind w:left="63" w:right="63"/>
              <w:jc w:val="center"/>
              <w:rPr>
                <w:rFonts w:ascii="Times New Roman" w:hAnsi="宋体" w:eastAsia="宋体" w:cs="Times New Roman"/>
                <w:sz w:val="24"/>
                <w:szCs w:val="24"/>
              </w:rPr>
            </w:pPr>
          </w:p>
        </w:tc>
        <w:tc>
          <w:tcPr>
            <w:tcW w:w="1271" w:type="dxa"/>
            <w:vAlign w:val="center"/>
          </w:tcPr>
          <w:p>
            <w:pPr>
              <w:keepNext/>
              <w:spacing w:line="440" w:lineRule="exact"/>
              <w:ind w:left="63" w:right="63"/>
              <w:jc w:val="center"/>
              <w:rPr>
                <w:rFonts w:ascii="Times New Roman" w:hAnsi="宋体" w:eastAsia="宋体" w:cs="Times New Roman"/>
                <w:sz w:val="24"/>
                <w:szCs w:val="24"/>
              </w:rPr>
            </w:pPr>
          </w:p>
        </w:tc>
        <w:tc>
          <w:tcPr>
            <w:tcW w:w="887" w:type="dxa"/>
            <w:vAlign w:val="center"/>
          </w:tcPr>
          <w:p>
            <w:pPr>
              <w:keepNext/>
              <w:spacing w:line="440" w:lineRule="exact"/>
              <w:ind w:left="63" w:right="63"/>
              <w:jc w:val="center"/>
              <w:rPr>
                <w:rFonts w:ascii="Times New Roman" w:hAnsi="宋体" w:eastAsia="宋体" w:cs="Times New Roman"/>
                <w:sz w:val="24"/>
                <w:szCs w:val="24"/>
              </w:rPr>
            </w:pPr>
          </w:p>
        </w:tc>
        <w:tc>
          <w:tcPr>
            <w:tcW w:w="859"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850" w:type="dxa"/>
            <w:vAlign w:val="center"/>
          </w:tcPr>
          <w:p>
            <w:pPr>
              <w:keepNext/>
              <w:spacing w:line="440" w:lineRule="exact"/>
              <w:ind w:left="63" w:right="63"/>
              <w:jc w:val="center"/>
              <w:rPr>
                <w:rFonts w:ascii="Times New Roman" w:hAnsi="宋体" w:eastAsia="宋体" w:cs="Times New Roman"/>
                <w:sz w:val="24"/>
                <w:szCs w:val="24"/>
              </w:rPr>
            </w:pPr>
          </w:p>
        </w:tc>
        <w:tc>
          <w:tcPr>
            <w:tcW w:w="1058" w:type="dxa"/>
            <w:vAlign w:val="center"/>
          </w:tcPr>
          <w:p>
            <w:pPr>
              <w:keepNext/>
              <w:spacing w:line="440" w:lineRule="exact"/>
              <w:ind w:left="63" w:right="63"/>
              <w:jc w:val="center"/>
              <w:rPr>
                <w:rFonts w:ascii="Times New Roman" w:hAnsi="宋体" w:eastAsia="宋体" w:cs="Times New Roman"/>
                <w:sz w:val="24"/>
                <w:szCs w:val="24"/>
              </w:rPr>
            </w:pPr>
          </w:p>
        </w:tc>
        <w:tc>
          <w:tcPr>
            <w:tcW w:w="880" w:type="dxa"/>
            <w:vAlign w:val="center"/>
          </w:tcPr>
          <w:p>
            <w:pPr>
              <w:keepNext/>
              <w:spacing w:line="440" w:lineRule="exact"/>
              <w:ind w:left="63" w:right="63"/>
              <w:jc w:val="center"/>
              <w:rPr>
                <w:rFonts w:ascii="Times New Roman" w:hAnsi="宋体" w:eastAsia="宋体" w:cs="Times New Roman"/>
                <w:sz w:val="24"/>
                <w:szCs w:val="24"/>
              </w:rPr>
            </w:pPr>
          </w:p>
        </w:tc>
        <w:tc>
          <w:tcPr>
            <w:tcW w:w="1020" w:type="dxa"/>
            <w:vAlign w:val="center"/>
          </w:tcPr>
          <w:p>
            <w:pPr>
              <w:keepNext/>
              <w:spacing w:line="440" w:lineRule="exact"/>
              <w:ind w:left="63" w:right="63"/>
              <w:jc w:val="center"/>
              <w:rPr>
                <w:rFonts w:ascii="Times New Roman" w:hAnsi="宋体" w:eastAsia="宋体" w:cs="Times New Roman"/>
                <w:sz w:val="24"/>
                <w:szCs w:val="24"/>
              </w:rPr>
            </w:pPr>
          </w:p>
        </w:tc>
        <w:tc>
          <w:tcPr>
            <w:tcW w:w="1271" w:type="dxa"/>
            <w:vAlign w:val="center"/>
          </w:tcPr>
          <w:p>
            <w:pPr>
              <w:keepNext/>
              <w:spacing w:line="440" w:lineRule="exact"/>
              <w:ind w:left="63" w:right="63"/>
              <w:jc w:val="center"/>
              <w:rPr>
                <w:rFonts w:ascii="Times New Roman" w:hAnsi="宋体" w:eastAsia="宋体" w:cs="Times New Roman"/>
                <w:sz w:val="24"/>
                <w:szCs w:val="24"/>
              </w:rPr>
            </w:pPr>
          </w:p>
        </w:tc>
        <w:tc>
          <w:tcPr>
            <w:tcW w:w="887" w:type="dxa"/>
            <w:vAlign w:val="center"/>
          </w:tcPr>
          <w:p>
            <w:pPr>
              <w:keepNext/>
              <w:spacing w:line="440" w:lineRule="exact"/>
              <w:ind w:left="63" w:right="63"/>
              <w:jc w:val="center"/>
              <w:rPr>
                <w:rFonts w:ascii="Times New Roman" w:hAnsi="宋体" w:eastAsia="宋体" w:cs="Times New Roman"/>
                <w:sz w:val="24"/>
                <w:szCs w:val="24"/>
              </w:rPr>
            </w:pPr>
          </w:p>
        </w:tc>
        <w:tc>
          <w:tcPr>
            <w:tcW w:w="859"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62" w:type="dxa"/>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850" w:type="dxa"/>
            <w:vAlign w:val="center"/>
          </w:tcPr>
          <w:p>
            <w:pPr>
              <w:keepNext/>
              <w:spacing w:line="440" w:lineRule="exact"/>
              <w:ind w:left="63" w:right="63"/>
              <w:jc w:val="center"/>
              <w:rPr>
                <w:rFonts w:ascii="Times New Roman" w:hAnsi="宋体" w:eastAsia="宋体" w:cs="Times New Roman"/>
                <w:sz w:val="24"/>
                <w:szCs w:val="24"/>
              </w:rPr>
            </w:pPr>
          </w:p>
        </w:tc>
        <w:tc>
          <w:tcPr>
            <w:tcW w:w="1058" w:type="dxa"/>
            <w:vAlign w:val="center"/>
          </w:tcPr>
          <w:p>
            <w:pPr>
              <w:keepNext/>
              <w:spacing w:line="440" w:lineRule="exact"/>
              <w:ind w:left="63" w:right="63"/>
              <w:jc w:val="center"/>
              <w:rPr>
                <w:rFonts w:ascii="Times New Roman" w:hAnsi="宋体" w:eastAsia="宋体" w:cs="Times New Roman"/>
                <w:sz w:val="24"/>
                <w:szCs w:val="24"/>
              </w:rPr>
            </w:pPr>
          </w:p>
        </w:tc>
        <w:tc>
          <w:tcPr>
            <w:tcW w:w="880" w:type="dxa"/>
            <w:vAlign w:val="center"/>
          </w:tcPr>
          <w:p>
            <w:pPr>
              <w:keepNext/>
              <w:spacing w:line="440" w:lineRule="exact"/>
              <w:ind w:left="63" w:right="63"/>
              <w:jc w:val="center"/>
              <w:rPr>
                <w:rFonts w:ascii="Times New Roman" w:hAnsi="宋体" w:eastAsia="宋体" w:cs="Times New Roman"/>
                <w:sz w:val="24"/>
                <w:szCs w:val="24"/>
              </w:rPr>
            </w:pPr>
          </w:p>
        </w:tc>
        <w:tc>
          <w:tcPr>
            <w:tcW w:w="1020" w:type="dxa"/>
            <w:vAlign w:val="center"/>
          </w:tcPr>
          <w:p>
            <w:pPr>
              <w:keepNext/>
              <w:spacing w:line="440" w:lineRule="exact"/>
              <w:ind w:left="63" w:right="63"/>
              <w:jc w:val="center"/>
              <w:rPr>
                <w:rFonts w:ascii="Times New Roman" w:hAnsi="宋体" w:eastAsia="宋体" w:cs="Times New Roman"/>
                <w:sz w:val="24"/>
                <w:szCs w:val="24"/>
              </w:rPr>
            </w:pPr>
          </w:p>
        </w:tc>
        <w:tc>
          <w:tcPr>
            <w:tcW w:w="1271" w:type="dxa"/>
            <w:vAlign w:val="center"/>
          </w:tcPr>
          <w:p>
            <w:pPr>
              <w:keepNext/>
              <w:spacing w:line="440" w:lineRule="exact"/>
              <w:ind w:left="63" w:right="63"/>
              <w:jc w:val="center"/>
              <w:rPr>
                <w:rFonts w:ascii="Times New Roman" w:hAnsi="宋体" w:eastAsia="宋体" w:cs="Times New Roman"/>
                <w:sz w:val="24"/>
                <w:szCs w:val="24"/>
              </w:rPr>
            </w:pPr>
          </w:p>
        </w:tc>
        <w:tc>
          <w:tcPr>
            <w:tcW w:w="887" w:type="dxa"/>
            <w:vAlign w:val="center"/>
          </w:tcPr>
          <w:p>
            <w:pPr>
              <w:keepNext/>
              <w:spacing w:line="440" w:lineRule="exact"/>
              <w:ind w:left="63" w:right="63"/>
              <w:jc w:val="center"/>
              <w:rPr>
                <w:rFonts w:ascii="Times New Roman" w:hAnsi="宋体" w:eastAsia="宋体" w:cs="Times New Roman"/>
                <w:sz w:val="24"/>
                <w:szCs w:val="24"/>
              </w:rPr>
            </w:pPr>
          </w:p>
        </w:tc>
        <w:tc>
          <w:tcPr>
            <w:tcW w:w="859" w:type="dxa"/>
            <w:vAlign w:val="center"/>
          </w:tcPr>
          <w:p>
            <w:pPr>
              <w:keepNext/>
              <w:spacing w:line="440" w:lineRule="exact"/>
              <w:ind w:left="63" w:right="63"/>
              <w:jc w:val="center"/>
              <w:rPr>
                <w:rFonts w:ascii="Times New Roman" w:hAnsi="宋体" w:eastAsia="宋体" w:cs="Times New Roman"/>
                <w:sz w:val="24"/>
                <w:szCs w:val="24"/>
              </w:rPr>
            </w:pPr>
          </w:p>
        </w:tc>
      </w:tr>
    </w:tbl>
    <w:p>
      <w:pPr>
        <w:spacing w:line="440" w:lineRule="exact"/>
        <w:rPr>
          <w:rFonts w:hint="eastAsia" w:ascii="Times New Roman" w:hAnsi="Times New Roman" w:eastAsia="仿宋_GB2312" w:cs="Times New Roman"/>
          <w:sz w:val="30"/>
          <w:szCs w:val="30"/>
        </w:rPr>
      </w:pPr>
    </w:p>
    <w:p>
      <w:pPr>
        <w:spacing w:line="440" w:lineRule="exact"/>
        <w:rPr>
          <w:rFonts w:hint="eastAsia" w:ascii="Times New Roman" w:hAnsi="Times New Roman" w:eastAsia="仿宋_GB2312" w:cs="Times New Roman"/>
          <w:sz w:val="30"/>
          <w:szCs w:val="30"/>
        </w:rPr>
      </w:pPr>
    </w:p>
    <w:p>
      <w:pPr>
        <w:spacing w:line="440" w:lineRule="exact"/>
        <w:rPr>
          <w:rFonts w:hint="eastAsia" w:ascii="Times New Roman" w:hAnsi="Times New Roman" w:eastAsia="仿宋_GB2312" w:cs="Times New Roman"/>
          <w:sz w:val="30"/>
          <w:szCs w:val="30"/>
        </w:rPr>
      </w:pPr>
    </w:p>
    <w:p>
      <w:pPr>
        <w:spacing w:line="440" w:lineRule="exact"/>
        <w:rPr>
          <w:rFonts w:ascii="Times New Roman" w:hAnsi="Times New Roman" w:eastAsia="黑体" w:cs="Times New Roman"/>
          <w:sz w:val="30"/>
          <w:szCs w:val="30"/>
        </w:rPr>
      </w:pPr>
      <w:r>
        <w:rPr>
          <w:rFonts w:ascii="Times New Roman" w:hAnsi="Times New Roman" w:eastAsia="仿宋_GB2312" w:cs="Times New Roman"/>
          <w:sz w:val="30"/>
          <w:szCs w:val="30"/>
        </w:rPr>
        <w:t>附</w:t>
      </w:r>
      <w:bookmarkStart w:id="573" w:name="_Toc296346729"/>
      <w:bookmarkStart w:id="574" w:name="_Toc296347227"/>
      <w:bookmarkStart w:id="575" w:name="_Toc296503228"/>
      <w:bookmarkStart w:id="576" w:name="_Toc296891056"/>
      <w:bookmarkStart w:id="577" w:name="_Toc296891268"/>
      <w:bookmarkStart w:id="578" w:name="_Toc296944567"/>
      <w:bookmarkStart w:id="579" w:name="_Toc267261699"/>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4</w:t>
      </w:r>
      <w:r>
        <w:rPr>
          <w:rFonts w:ascii="Times New Roman" w:hAnsi="Times New Roman" w:eastAsia="仿宋_GB2312" w:cs="Times New Roman"/>
          <w:sz w:val="30"/>
          <w:szCs w:val="30"/>
        </w:rPr>
        <w:t>：</w:t>
      </w:r>
    </w:p>
    <w:bookmarkEnd w:id="573"/>
    <w:bookmarkEnd w:id="574"/>
    <w:bookmarkEnd w:id="575"/>
    <w:bookmarkEnd w:id="576"/>
    <w:bookmarkEnd w:id="577"/>
    <w:bookmarkEnd w:id="578"/>
    <w:bookmarkEnd w:id="579"/>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承包人主要施工管理人员表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81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名    称</w:t>
            </w:r>
          </w:p>
        </w:tc>
        <w:tc>
          <w:tcPr>
            <w:tcW w:w="1418"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姓名</w:t>
            </w:r>
          </w:p>
        </w:tc>
        <w:tc>
          <w:tcPr>
            <w:tcW w:w="1134"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职务</w:t>
            </w:r>
          </w:p>
        </w:tc>
        <w:tc>
          <w:tcPr>
            <w:tcW w:w="1134"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职称</w:t>
            </w:r>
          </w:p>
        </w:tc>
        <w:tc>
          <w:tcPr>
            <w:tcW w:w="3816" w:type="dxa"/>
            <w:tcBorders>
              <w:top w:val="single" w:color="auto" w:sz="12" w:space="0"/>
              <w:bottom w:val="doub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373" w:type="dxa"/>
            <w:gridSpan w:val="5"/>
            <w:tcBorders>
              <w:top w:val="doub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项目主管</w:t>
            </w:r>
          </w:p>
        </w:tc>
        <w:tc>
          <w:tcPr>
            <w:tcW w:w="1418"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c>
          <w:tcPr>
            <w:tcW w:w="3816" w:type="dxa"/>
            <w:tcBorders>
              <w:top w:val="nil"/>
            </w:tcBorders>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其他人员</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373" w:type="dxa"/>
            <w:gridSpan w:val="5"/>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项目经理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项目副经理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技术负责人</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造价管理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质量管理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材料管理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计划管理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安全管理</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其他人员</w:t>
            </w: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keepNext/>
              <w:spacing w:line="440" w:lineRule="exact"/>
              <w:ind w:left="63" w:right="63"/>
              <w:jc w:val="center"/>
              <w:rPr>
                <w:rFonts w:ascii="Times New Roman" w:hAnsi="宋体" w:eastAsia="宋体" w:cs="Times New Roman"/>
                <w:sz w:val="24"/>
                <w:szCs w:val="24"/>
              </w:rPr>
            </w:pPr>
          </w:p>
        </w:tc>
        <w:tc>
          <w:tcPr>
            <w:tcW w:w="1418" w:type="dxa"/>
            <w:tcBorders>
              <w:bottom w:val="nil"/>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bottom w:val="nil"/>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bottom w:val="nil"/>
            </w:tcBorders>
            <w:vAlign w:val="center"/>
          </w:tcPr>
          <w:p>
            <w:pPr>
              <w:keepNext/>
              <w:spacing w:line="440" w:lineRule="exact"/>
              <w:ind w:left="63" w:right="63"/>
              <w:jc w:val="center"/>
              <w:rPr>
                <w:rFonts w:ascii="Times New Roman" w:hAnsi="宋体" w:eastAsia="宋体" w:cs="Times New Roman"/>
                <w:sz w:val="24"/>
                <w:szCs w:val="24"/>
              </w:rPr>
            </w:pPr>
          </w:p>
        </w:tc>
        <w:tc>
          <w:tcPr>
            <w:tcW w:w="3816" w:type="dxa"/>
            <w:tcBorders>
              <w:bottom w:val="nil"/>
            </w:tcBorders>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keepNext/>
              <w:spacing w:line="440" w:lineRule="exact"/>
              <w:ind w:left="63" w:right="63"/>
              <w:jc w:val="center"/>
              <w:rPr>
                <w:rFonts w:ascii="Times New Roman" w:hAnsi="宋体" w:eastAsia="宋体" w:cs="Times New Roman"/>
                <w:sz w:val="24"/>
                <w:szCs w:val="24"/>
              </w:rPr>
            </w:pPr>
          </w:p>
        </w:tc>
        <w:tc>
          <w:tcPr>
            <w:tcW w:w="1418"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1134" w:type="dxa"/>
            <w:vAlign w:val="center"/>
          </w:tcPr>
          <w:p>
            <w:pPr>
              <w:keepNext/>
              <w:spacing w:line="440" w:lineRule="exact"/>
              <w:ind w:left="63" w:right="63"/>
              <w:jc w:val="center"/>
              <w:rPr>
                <w:rFonts w:ascii="Times New Roman" w:hAnsi="宋体" w:eastAsia="宋体" w:cs="Times New Roman"/>
                <w:sz w:val="24"/>
                <w:szCs w:val="24"/>
              </w:rPr>
            </w:pPr>
          </w:p>
        </w:tc>
        <w:tc>
          <w:tcPr>
            <w:tcW w:w="3816" w:type="dxa"/>
            <w:vAlign w:val="center"/>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keepNext/>
              <w:spacing w:line="440" w:lineRule="exact"/>
              <w:ind w:left="63" w:right="63"/>
              <w:jc w:val="center"/>
              <w:rPr>
                <w:rFonts w:ascii="Times New Roman" w:hAnsi="宋体" w:eastAsia="宋体" w:cs="Times New Roman"/>
                <w:sz w:val="24"/>
                <w:szCs w:val="24"/>
              </w:rPr>
            </w:pPr>
          </w:p>
        </w:tc>
        <w:tc>
          <w:tcPr>
            <w:tcW w:w="1418" w:type="dxa"/>
            <w:tcBorders>
              <w:bottom w:val="single" w:color="auto" w:sz="12" w:space="0"/>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bottom w:val="single" w:color="auto" w:sz="12" w:space="0"/>
            </w:tcBorders>
            <w:vAlign w:val="center"/>
          </w:tcPr>
          <w:p>
            <w:pPr>
              <w:keepNext/>
              <w:spacing w:line="440" w:lineRule="exact"/>
              <w:ind w:left="63" w:right="63"/>
              <w:jc w:val="center"/>
              <w:rPr>
                <w:rFonts w:ascii="Times New Roman" w:hAnsi="宋体" w:eastAsia="宋体" w:cs="Times New Roman"/>
                <w:sz w:val="24"/>
                <w:szCs w:val="24"/>
              </w:rPr>
            </w:pPr>
          </w:p>
        </w:tc>
        <w:tc>
          <w:tcPr>
            <w:tcW w:w="1134" w:type="dxa"/>
            <w:tcBorders>
              <w:bottom w:val="single" w:color="auto" w:sz="12" w:space="0"/>
            </w:tcBorders>
            <w:vAlign w:val="center"/>
          </w:tcPr>
          <w:p>
            <w:pPr>
              <w:keepNext/>
              <w:spacing w:line="440" w:lineRule="exact"/>
              <w:ind w:left="63" w:right="63"/>
              <w:jc w:val="center"/>
              <w:rPr>
                <w:rFonts w:ascii="Times New Roman" w:hAnsi="宋体" w:eastAsia="宋体" w:cs="Times New Roman"/>
                <w:sz w:val="24"/>
                <w:szCs w:val="24"/>
              </w:rPr>
            </w:pPr>
          </w:p>
        </w:tc>
        <w:tc>
          <w:tcPr>
            <w:tcW w:w="3816" w:type="dxa"/>
            <w:tcBorders>
              <w:bottom w:val="single" w:color="auto" w:sz="12" w:space="0"/>
            </w:tcBorders>
            <w:vAlign w:val="center"/>
          </w:tcPr>
          <w:p>
            <w:pPr>
              <w:keepNext/>
              <w:spacing w:line="440" w:lineRule="exact"/>
              <w:ind w:left="63" w:right="63"/>
              <w:jc w:val="center"/>
              <w:rPr>
                <w:rFonts w:ascii="Times New Roman" w:hAnsi="宋体" w:eastAsia="宋体" w:cs="Times New Roman"/>
                <w:sz w:val="24"/>
                <w:szCs w:val="24"/>
              </w:rPr>
            </w:pPr>
          </w:p>
        </w:tc>
      </w:tr>
    </w:tbl>
    <w:p>
      <w:pPr>
        <w:spacing w:line="440" w:lineRule="exact"/>
        <w:rPr>
          <w:rFonts w:ascii="Times New Roman" w:hAnsi="Times New Roman" w:eastAsia="黑体" w:cs="Times New Roman"/>
          <w:sz w:val="30"/>
          <w:szCs w:val="30"/>
        </w:rPr>
      </w:pPr>
      <w:r>
        <w:rPr>
          <w:rFonts w:ascii="Times New Roman" w:hAnsi="Times New Roman" w:eastAsia="仿宋_GB2312" w:cs="Times New Roman"/>
          <w:sz w:val="30"/>
          <w:szCs w:val="30"/>
        </w:rPr>
        <w:br w:type="page"/>
      </w:r>
      <w:bookmarkStart w:id="580" w:name="_Toc267261701"/>
      <w:r>
        <w:rPr>
          <w:rFonts w:ascii="Times New Roman" w:hAnsi="Times New Roman" w:eastAsia="仿宋_GB2312" w:cs="Times New Roman"/>
          <w:sz w:val="30"/>
          <w:szCs w:val="30"/>
        </w:rPr>
        <w:t>附</w:t>
      </w:r>
      <w:bookmarkStart w:id="581" w:name="_Toc296347230"/>
      <w:bookmarkStart w:id="582" w:name="_Toc296503231"/>
      <w:bookmarkStart w:id="583" w:name="_Toc296346732"/>
      <w:bookmarkStart w:id="584" w:name="_Toc296891059"/>
      <w:bookmarkStart w:id="585" w:name="_Toc296891271"/>
      <w:bookmarkStart w:id="586" w:name="_Toc296944570"/>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5</w:t>
      </w:r>
      <w:r>
        <w:rPr>
          <w:rFonts w:ascii="Times New Roman" w:hAnsi="Times New Roman" w:eastAsia="仿宋_GB2312" w:cs="Times New Roman"/>
          <w:sz w:val="30"/>
          <w:szCs w:val="30"/>
        </w:rPr>
        <w:t>：</w:t>
      </w:r>
    </w:p>
    <w:bookmarkEnd w:id="580"/>
    <w:bookmarkEnd w:id="581"/>
    <w:bookmarkEnd w:id="582"/>
    <w:bookmarkEnd w:id="583"/>
    <w:bookmarkEnd w:id="584"/>
    <w:bookmarkEnd w:id="585"/>
    <w:bookmarkEnd w:id="586"/>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履约担保</w:t>
      </w:r>
    </w:p>
    <w:p>
      <w:pPr>
        <w:spacing w:line="440" w:lineRule="exact"/>
        <w:rPr>
          <w:rFonts w:ascii="宋体" w:hAnsi="宋体" w:eastAsia="宋体" w:cs="Times New Roman"/>
          <w:szCs w:val="21"/>
        </w:rPr>
      </w:pP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（发包人名称）：</w:t>
      </w:r>
    </w:p>
    <w:p>
      <w:pPr>
        <w:spacing w:line="440" w:lineRule="exact"/>
        <w:rPr>
          <w:rFonts w:ascii="宋体" w:hAnsi="宋体" w:eastAsia="宋体" w:cs="Times New Roman"/>
          <w:szCs w:val="21"/>
        </w:rPr>
      </w:pPr>
    </w:p>
    <w:p>
      <w:pPr>
        <w:spacing w:line="360" w:lineRule="auto"/>
        <w:ind w:firstLine="420" w:firstLineChars="200"/>
        <w:rPr>
          <w:rFonts w:ascii="宋体" w:hAnsi="宋体" w:eastAsia="宋体" w:cs="Times New Roman"/>
          <w:szCs w:val="21"/>
        </w:rPr>
      </w:pPr>
      <w:r>
        <w:rPr>
          <w:rFonts w:ascii="宋体" w:hAnsi="宋体" w:eastAsia="宋体" w:cs="Times New Roman"/>
          <w:szCs w:val="21"/>
        </w:rPr>
        <w:t>鉴于</w:t>
      </w:r>
      <w:r>
        <w:rPr>
          <w:rFonts w:ascii="宋体" w:hAnsi="宋体" w:eastAsia="宋体" w:cs="Times New Roman"/>
          <w:szCs w:val="21"/>
          <w:u w:val="single"/>
        </w:rPr>
        <w:t xml:space="preserve">            </w:t>
      </w:r>
      <w:r>
        <w:rPr>
          <w:rFonts w:ascii="宋体" w:hAnsi="宋体" w:eastAsia="宋体" w:cs="Times New Roman"/>
          <w:szCs w:val="21"/>
        </w:rPr>
        <w:t>（发包人名称，以下简称“发包人”）与</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（承包人名称）（以下称“承包人”）于</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日就</w:t>
      </w:r>
      <w:r>
        <w:rPr>
          <w:rFonts w:ascii="宋体" w:hAnsi="宋体" w:eastAsia="宋体" w:cs="Times New Roman"/>
          <w:szCs w:val="21"/>
          <w:u w:val="single"/>
        </w:rPr>
        <w:t xml:space="preserve">                         </w:t>
      </w:r>
      <w:r>
        <w:rPr>
          <w:rFonts w:ascii="宋体" w:hAnsi="宋体" w:eastAsia="宋体" w:cs="Times New Roman"/>
          <w:szCs w:val="21"/>
        </w:rPr>
        <w:t xml:space="preserve">（工程名称）施工及有关事项协商一致共同签订《建设工程施工合同》。我方愿意无条件地、不可撤销地就承包人履行与你方签订的合同，向你方提供连带责任担保。 </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1. 担保金额人民币（大写）</w:t>
      </w:r>
      <w:r>
        <w:rPr>
          <w:rFonts w:ascii="宋体" w:hAnsi="宋体" w:eastAsia="宋体" w:cs="Times New Roman"/>
          <w:szCs w:val="21"/>
          <w:u w:val="single"/>
        </w:rPr>
        <w:t xml:space="preserve">                 </w:t>
      </w:r>
      <w:r>
        <w:rPr>
          <w:rFonts w:ascii="宋体" w:hAnsi="宋体" w:eastAsia="宋体" w:cs="Times New Roman"/>
          <w:szCs w:val="21"/>
        </w:rPr>
        <w:t>元（¥</w:t>
      </w:r>
      <w:r>
        <w:rPr>
          <w:rFonts w:ascii="宋体" w:hAnsi="宋体" w:eastAsia="宋体" w:cs="Times New Roman"/>
          <w:szCs w:val="21"/>
          <w:u w:val="single"/>
        </w:rPr>
        <w:t xml:space="preserve">             </w:t>
      </w:r>
      <w:r>
        <w:rPr>
          <w:rFonts w:ascii="宋体" w:hAnsi="宋体" w:eastAsia="宋体" w:cs="Times New Roman"/>
          <w:szCs w:val="21"/>
        </w:rPr>
        <w:t>）。</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2. 担保有效期自你方与承包人签订的合同生效之日起至你方签发或应签发工程接收证书之日止。</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3. 在本担保有效期内，因承包人违反合同约定的义务给你方造成经济损失时，我方在收到你方以书面形式提出的在担保金额内的赔偿要求后，在7天内无条件支付。</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4. 你方和承包人按合同约定变更合同时，我方承担本担保规定的义务不变。</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5. 因本保函发生的纠纷，可由双方协商解决，协商不成的，任何一方均可提请</w:t>
      </w:r>
      <w:r>
        <w:rPr>
          <w:rFonts w:ascii="宋体" w:hAnsi="宋体" w:eastAsia="宋体" w:cs="Times New Roman"/>
          <w:szCs w:val="21"/>
          <w:u w:val="single"/>
        </w:rPr>
        <w:t xml:space="preserve">        </w:t>
      </w:r>
      <w:r>
        <w:rPr>
          <w:rFonts w:ascii="宋体" w:hAnsi="宋体" w:eastAsia="宋体" w:cs="Times New Roman"/>
          <w:szCs w:val="21"/>
        </w:rPr>
        <w:t>仲裁委员会仲裁。</w:t>
      </w:r>
    </w:p>
    <w:p>
      <w:pPr>
        <w:spacing w:line="360" w:lineRule="auto"/>
        <w:ind w:firstLine="420" w:firstLineChars="200"/>
        <w:rPr>
          <w:rFonts w:hint="eastAsia" w:ascii="宋体" w:hAnsi="宋体" w:eastAsia="宋体" w:cs="Times New Roman"/>
          <w:szCs w:val="21"/>
        </w:rPr>
      </w:pPr>
      <w:r>
        <w:rPr>
          <w:rFonts w:ascii="宋体" w:hAnsi="宋体" w:eastAsia="宋体" w:cs="Times New Roman"/>
          <w:szCs w:val="21"/>
        </w:rPr>
        <w:t>6. 本保函自我方法定代表人（或其授权代理人）签字并加盖公章之日起生效。</w:t>
      </w:r>
    </w:p>
    <w:p>
      <w:pPr>
        <w:spacing w:line="360" w:lineRule="auto"/>
        <w:rPr>
          <w:rFonts w:hint="eastAsia" w:ascii="宋体" w:hAnsi="宋体" w:eastAsia="宋体" w:cs="Times New Roman"/>
          <w:szCs w:val="21"/>
        </w:rPr>
      </w:pPr>
    </w:p>
    <w:p>
      <w:pPr>
        <w:spacing w:line="360" w:lineRule="auto"/>
        <w:rPr>
          <w:rFonts w:ascii="宋体" w:hAnsi="宋体" w:eastAsia="宋体" w:cs="Times New Roman"/>
          <w:szCs w:val="21"/>
        </w:rPr>
      </w:pPr>
      <w:r>
        <w:rPr>
          <w:rFonts w:ascii="宋体" w:hAnsi="宋体" w:eastAsia="宋体" w:cs="Times New Roman"/>
          <w:szCs w:val="21"/>
        </w:rPr>
        <w:t>担 保 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（盖单位章）</w:t>
      </w:r>
    </w:p>
    <w:p>
      <w:pPr>
        <w:spacing w:line="360" w:lineRule="auto"/>
        <w:rPr>
          <w:rFonts w:ascii="宋体" w:hAnsi="宋体" w:eastAsia="宋体" w:cs="Times New Roman"/>
          <w:szCs w:val="21"/>
        </w:rPr>
      </w:pPr>
      <w:r>
        <w:rPr>
          <w:rFonts w:ascii="宋体" w:hAnsi="宋体" w:eastAsia="宋体" w:cs="Times New Roman"/>
          <w:szCs w:val="21"/>
        </w:rPr>
        <w:t>法定代表人或其委托代理人：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（签字）</w:t>
      </w:r>
    </w:p>
    <w:p>
      <w:pPr>
        <w:spacing w:line="360" w:lineRule="auto"/>
        <w:rPr>
          <w:rFonts w:ascii="宋体" w:hAnsi="宋体" w:eastAsia="宋体" w:cs="Times New Roman"/>
          <w:szCs w:val="21"/>
        </w:rPr>
      </w:pPr>
      <w:r>
        <w:rPr>
          <w:rFonts w:ascii="宋体" w:hAnsi="宋体" w:eastAsia="宋体" w:cs="Times New Roman"/>
          <w:szCs w:val="21"/>
        </w:rPr>
        <w:t>地    址：</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360" w:lineRule="auto"/>
        <w:rPr>
          <w:rFonts w:ascii="宋体" w:hAnsi="宋体" w:eastAsia="宋体" w:cs="Times New Roman"/>
          <w:szCs w:val="21"/>
        </w:rPr>
      </w:pPr>
      <w:r>
        <w:rPr>
          <w:rFonts w:ascii="宋体" w:hAnsi="宋体" w:eastAsia="宋体" w:cs="Times New Roman"/>
          <w:szCs w:val="21"/>
        </w:rPr>
        <w:t>邮政编码：</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360" w:lineRule="auto"/>
        <w:rPr>
          <w:rFonts w:ascii="宋体" w:hAnsi="宋体" w:eastAsia="宋体" w:cs="Times New Roman"/>
          <w:szCs w:val="21"/>
          <w:u w:val="single"/>
        </w:rPr>
      </w:pPr>
      <w:r>
        <w:rPr>
          <w:rFonts w:ascii="宋体" w:hAnsi="宋体" w:eastAsia="宋体" w:cs="Times New Roman"/>
          <w:szCs w:val="21"/>
        </w:rPr>
        <w:t>电    话：</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360" w:lineRule="auto"/>
        <w:rPr>
          <w:rFonts w:ascii="宋体" w:hAnsi="宋体" w:eastAsia="宋体" w:cs="Times New Roman"/>
          <w:szCs w:val="21"/>
        </w:rPr>
      </w:pPr>
      <w:r>
        <w:rPr>
          <w:rFonts w:ascii="宋体" w:hAnsi="宋体" w:eastAsia="宋体" w:cs="Times New Roman"/>
          <w:szCs w:val="21"/>
        </w:rPr>
        <w:t>传    真：</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360" w:lineRule="auto"/>
        <w:jc w:val="left"/>
        <w:rPr>
          <w:rFonts w:ascii="宋体" w:hAnsi="宋体" w:eastAsia="宋体" w:cs="Times New Roman"/>
          <w:szCs w:val="21"/>
          <w:u w:val="single"/>
        </w:rPr>
      </w:pPr>
    </w:p>
    <w:p>
      <w:pPr>
        <w:spacing w:line="360" w:lineRule="auto"/>
        <w:ind w:left="1329" w:hanging="1329" w:hangingChars="633"/>
        <w:rPr>
          <w:rFonts w:ascii="宋体" w:hAnsi="宋体" w:eastAsia="宋体" w:cs="Times New Roman"/>
          <w:szCs w:val="21"/>
        </w:rPr>
      </w:pP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w:t>
      </w:r>
    </w:p>
    <w:p>
      <w:pPr>
        <w:spacing w:line="360" w:lineRule="auto"/>
        <w:ind w:left="1899" w:hanging="1899" w:hangingChars="633"/>
        <w:rPr>
          <w:rFonts w:hint="eastAsia" w:ascii="Times New Roman" w:hAnsi="Times New Roman" w:eastAsia="仿宋_GB2312" w:cs="Times New Roman"/>
          <w:sz w:val="30"/>
          <w:szCs w:val="30"/>
        </w:rPr>
      </w:pPr>
    </w:p>
    <w:p>
      <w:pPr>
        <w:spacing w:line="360" w:lineRule="auto"/>
        <w:ind w:left="1899" w:hanging="1899" w:hangingChars="633"/>
        <w:rPr>
          <w:rFonts w:hint="eastAsia" w:ascii="Times New Roman" w:hAnsi="Times New Roman" w:eastAsia="仿宋_GB2312" w:cs="Times New Roman"/>
          <w:sz w:val="30"/>
          <w:szCs w:val="30"/>
        </w:rPr>
      </w:pPr>
    </w:p>
    <w:p>
      <w:pPr>
        <w:spacing w:line="360" w:lineRule="auto"/>
        <w:ind w:left="1899" w:hanging="1899" w:hangingChars="633"/>
        <w:rPr>
          <w:rFonts w:hint="eastAsia" w:ascii="Times New Roman" w:hAnsi="Times New Roman" w:eastAsia="仿宋_GB2312" w:cs="Times New Roman"/>
          <w:sz w:val="30"/>
          <w:szCs w:val="30"/>
        </w:rPr>
      </w:pPr>
    </w:p>
    <w:p>
      <w:pPr>
        <w:spacing w:line="360" w:lineRule="auto"/>
        <w:ind w:left="1899" w:hanging="1899" w:hangingChars="633"/>
        <w:rPr>
          <w:rFonts w:hint="eastAsia" w:ascii="Times New Roman" w:hAnsi="Times New Roman" w:eastAsia="仿宋_GB2312" w:cs="Times New Roman"/>
          <w:sz w:val="30"/>
          <w:szCs w:val="30"/>
        </w:rPr>
      </w:pPr>
    </w:p>
    <w:p>
      <w:pPr>
        <w:spacing w:line="360" w:lineRule="auto"/>
        <w:ind w:left="1899" w:hanging="1899" w:hangingChars="633"/>
        <w:rPr>
          <w:rFonts w:hint="eastAsia" w:ascii="Times New Roman" w:hAnsi="Times New Roman" w:eastAsia="仿宋_GB2312" w:cs="Times New Roman"/>
          <w:sz w:val="30"/>
          <w:szCs w:val="30"/>
        </w:rPr>
      </w:pPr>
    </w:p>
    <w:p>
      <w:pPr>
        <w:spacing w:line="360" w:lineRule="auto"/>
        <w:rPr>
          <w:rFonts w:ascii="Times New Roman" w:hAnsi="Times New Roman" w:eastAsia="黑体" w:cs="Times New Roman"/>
          <w:sz w:val="30"/>
          <w:szCs w:val="30"/>
        </w:rPr>
      </w:pPr>
      <w:r>
        <w:rPr>
          <w:rFonts w:ascii="Times New Roman" w:hAnsi="Times New Roman" w:eastAsia="仿宋_GB2312" w:cs="Times New Roman"/>
          <w:sz w:val="30"/>
          <w:szCs w:val="30"/>
        </w:rPr>
        <w:t>附</w:t>
      </w:r>
      <w:bookmarkStart w:id="587" w:name="_Toc296347231"/>
      <w:bookmarkStart w:id="588" w:name="_Toc296346733"/>
      <w:bookmarkStart w:id="589" w:name="_Toc267261702"/>
      <w:bookmarkStart w:id="590" w:name="_Toc296944571"/>
      <w:bookmarkStart w:id="591" w:name="_Toc296891272"/>
      <w:bookmarkStart w:id="592" w:name="_Toc296891060"/>
      <w:bookmarkStart w:id="593" w:name="_Toc296503232"/>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6</w:t>
      </w:r>
      <w:r>
        <w:rPr>
          <w:rFonts w:ascii="Times New Roman" w:hAnsi="Times New Roman" w:eastAsia="仿宋_GB2312" w:cs="Times New Roman"/>
          <w:sz w:val="30"/>
          <w:szCs w:val="30"/>
        </w:rPr>
        <w:t>：</w:t>
      </w:r>
    </w:p>
    <w:bookmarkEnd w:id="587"/>
    <w:bookmarkEnd w:id="588"/>
    <w:bookmarkEnd w:id="589"/>
    <w:bookmarkEnd w:id="590"/>
    <w:bookmarkEnd w:id="591"/>
    <w:bookmarkEnd w:id="592"/>
    <w:bookmarkEnd w:id="593"/>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预付款担保</w:t>
      </w:r>
    </w:p>
    <w:p>
      <w:pPr>
        <w:spacing w:line="400" w:lineRule="exact"/>
        <w:rPr>
          <w:rFonts w:ascii="宋体" w:hAnsi="宋体" w:eastAsia="宋体" w:cs="Times New Roman"/>
          <w:szCs w:val="21"/>
        </w:rPr>
      </w:pP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ascii="宋体" w:hAnsi="宋体" w:eastAsia="宋体" w:cs="Times New Roman"/>
          <w:szCs w:val="21"/>
          <w:u w:val="single"/>
        </w:rPr>
        <w:t xml:space="preserve"> </w:t>
      </w:r>
      <w:r>
        <w:rPr>
          <w:rFonts w:ascii="宋体" w:hAnsi="宋体" w:eastAsia="宋体" w:cs="Times New Roman"/>
          <w:szCs w:val="21"/>
        </w:rPr>
        <w:t xml:space="preserve"> （发包人名称）：</w:t>
      </w:r>
    </w:p>
    <w:p>
      <w:pPr>
        <w:spacing w:line="400" w:lineRule="exact"/>
        <w:rPr>
          <w:rFonts w:ascii="宋体" w:hAnsi="宋体" w:eastAsia="宋体" w:cs="Times New Roman"/>
          <w:szCs w:val="21"/>
        </w:rPr>
      </w:pPr>
    </w:p>
    <w:p>
      <w:pPr>
        <w:spacing w:line="400" w:lineRule="exact"/>
        <w:ind w:firstLine="420" w:firstLineChars="200"/>
        <w:rPr>
          <w:rFonts w:ascii="宋体" w:hAnsi="宋体" w:eastAsia="宋体" w:cs="Times New Roman"/>
          <w:szCs w:val="21"/>
        </w:rPr>
      </w:pPr>
      <w:r>
        <w:rPr>
          <w:rFonts w:ascii="宋体" w:hAnsi="宋体" w:eastAsia="宋体" w:cs="Times New Roman"/>
          <w:szCs w:val="21"/>
        </w:rPr>
        <w:t>根据</w:t>
      </w:r>
      <w:r>
        <w:rPr>
          <w:rFonts w:ascii="宋体" w:hAnsi="宋体" w:eastAsia="宋体" w:cs="Times New Roman"/>
          <w:szCs w:val="21"/>
          <w:u w:val="single"/>
        </w:rPr>
        <w:t xml:space="preserve">                 </w:t>
      </w:r>
      <w:r>
        <w:rPr>
          <w:rFonts w:ascii="宋体" w:hAnsi="宋体" w:eastAsia="宋体" w:cs="Times New Roman"/>
          <w:szCs w:val="21"/>
        </w:rPr>
        <w:t>（承包人名称）（以下称</w:t>
      </w:r>
      <w:r>
        <w:rPr>
          <w:rFonts w:hint="eastAsia" w:ascii="宋体" w:hAnsi="宋体" w:eastAsia="宋体" w:cs="Times New Roman"/>
          <w:szCs w:val="21"/>
        </w:rPr>
        <w:t>“</w:t>
      </w:r>
      <w:r>
        <w:rPr>
          <w:rFonts w:ascii="宋体" w:hAnsi="宋体" w:eastAsia="宋体" w:cs="Times New Roman"/>
          <w:szCs w:val="21"/>
        </w:rPr>
        <w:t>承包人</w:t>
      </w:r>
      <w:r>
        <w:rPr>
          <w:rFonts w:hint="eastAsia" w:ascii="宋体" w:hAnsi="宋体" w:eastAsia="宋体" w:cs="Times New Roman"/>
          <w:szCs w:val="21"/>
        </w:rPr>
        <w:t>”</w:t>
      </w:r>
      <w:r>
        <w:rPr>
          <w:rFonts w:ascii="宋体" w:hAnsi="宋体" w:eastAsia="宋体" w:cs="Times New Roman"/>
          <w:szCs w:val="21"/>
        </w:rPr>
        <w:t>）与</w:t>
      </w:r>
      <w:r>
        <w:rPr>
          <w:rFonts w:ascii="宋体" w:hAnsi="宋体" w:eastAsia="宋体" w:cs="Times New Roman"/>
          <w:szCs w:val="21"/>
          <w:u w:val="single"/>
        </w:rPr>
        <w:t xml:space="preserve">                        </w:t>
      </w:r>
      <w:r>
        <w:rPr>
          <w:rFonts w:ascii="宋体" w:hAnsi="宋体" w:eastAsia="宋体" w:cs="Times New Roman"/>
          <w:szCs w:val="21"/>
        </w:rPr>
        <w:t>（发包人名称）（以下简称</w:t>
      </w:r>
      <w:r>
        <w:rPr>
          <w:rFonts w:hint="eastAsia" w:ascii="宋体" w:hAnsi="宋体" w:eastAsia="宋体" w:cs="Times New Roman"/>
          <w:szCs w:val="21"/>
        </w:rPr>
        <w:t>“</w:t>
      </w:r>
      <w:r>
        <w:rPr>
          <w:rFonts w:ascii="宋体" w:hAnsi="宋体" w:eastAsia="宋体" w:cs="Times New Roman"/>
          <w:szCs w:val="21"/>
        </w:rPr>
        <w:t>发包人</w:t>
      </w:r>
      <w:r>
        <w:rPr>
          <w:rFonts w:hint="eastAsia" w:ascii="宋体" w:hAnsi="宋体" w:eastAsia="宋体" w:cs="Times New Roman"/>
          <w:szCs w:val="21"/>
        </w:rPr>
        <w:t>”</w:t>
      </w:r>
      <w:r>
        <w:rPr>
          <w:rFonts w:ascii="宋体" w:hAnsi="宋体" w:eastAsia="宋体" w:cs="Times New Roman"/>
          <w:szCs w:val="21"/>
        </w:rPr>
        <w:t>）于</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日签订的</w:t>
      </w:r>
      <w:r>
        <w:rPr>
          <w:rFonts w:ascii="宋体" w:hAnsi="宋体" w:eastAsia="宋体" w:cs="Times New Roman"/>
          <w:szCs w:val="21"/>
          <w:u w:val="single"/>
        </w:rPr>
        <w:t xml:space="preserve">          </w:t>
      </w:r>
      <w:r>
        <w:rPr>
          <w:rFonts w:ascii="宋体" w:hAnsi="宋体" w:eastAsia="宋体" w:cs="Times New Roman"/>
          <w:szCs w:val="21"/>
        </w:rPr>
        <w:t>（工程名称</w:t>
      </w:r>
      <w:r>
        <w:rPr>
          <w:rFonts w:hint="eastAsia" w:ascii="宋体" w:hAnsi="宋体" w:eastAsia="宋体" w:cs="Times New Roman"/>
          <w:szCs w:val="21"/>
        </w:rPr>
        <w:t>）</w:t>
      </w:r>
      <w:r>
        <w:rPr>
          <w:rFonts w:ascii="宋体" w:hAnsi="宋体" w:eastAsia="宋体" w:cs="Times New Roman"/>
          <w:szCs w:val="21"/>
        </w:rPr>
        <w:t>《建设工程施工合同》，承包人按约定的金额向</w:t>
      </w:r>
      <w:r>
        <w:rPr>
          <w:rFonts w:hint="eastAsia" w:ascii="宋体" w:hAnsi="宋体" w:eastAsia="宋体" w:cs="Times New Roman"/>
          <w:szCs w:val="21"/>
        </w:rPr>
        <w:t>你方</w:t>
      </w:r>
      <w:r>
        <w:rPr>
          <w:rFonts w:ascii="宋体" w:hAnsi="宋体" w:eastAsia="宋体" w:cs="Times New Roman"/>
          <w:szCs w:val="21"/>
        </w:rPr>
        <w:t>提交一份预付款担保，即有权得到</w:t>
      </w:r>
      <w:r>
        <w:rPr>
          <w:rFonts w:hint="eastAsia" w:ascii="宋体" w:hAnsi="宋体" w:eastAsia="宋体" w:cs="Times New Roman"/>
          <w:szCs w:val="21"/>
        </w:rPr>
        <w:t>你方</w:t>
      </w:r>
      <w:r>
        <w:rPr>
          <w:rFonts w:ascii="宋体" w:hAnsi="宋体" w:eastAsia="宋体" w:cs="Times New Roman"/>
          <w:szCs w:val="21"/>
        </w:rPr>
        <w:t>支付相等金额的预付款。我方愿意就你方提供给承包人的预付款</w:t>
      </w:r>
      <w:r>
        <w:rPr>
          <w:rFonts w:hint="eastAsia" w:ascii="宋体" w:hAnsi="宋体" w:eastAsia="宋体" w:cs="Times New Roman"/>
          <w:szCs w:val="21"/>
        </w:rPr>
        <w:t>为承包人</w:t>
      </w:r>
      <w:r>
        <w:rPr>
          <w:rFonts w:ascii="宋体" w:hAnsi="宋体" w:eastAsia="宋体" w:cs="Times New Roman"/>
          <w:szCs w:val="21"/>
        </w:rPr>
        <w:t>提供连带责任担保。</w:t>
      </w:r>
    </w:p>
    <w:p>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担保金额人民币（大写）</w:t>
      </w:r>
      <w:r>
        <w:rPr>
          <w:rFonts w:ascii="宋体" w:hAnsi="宋体" w:eastAsia="宋体" w:cs="Times New Roman"/>
          <w:szCs w:val="21"/>
          <w:u w:val="single"/>
        </w:rPr>
        <w:t xml:space="preserve">                </w:t>
      </w:r>
      <w:r>
        <w:rPr>
          <w:rFonts w:hint="eastAsia" w:ascii="宋体" w:hAnsi="宋体" w:eastAsia="宋体" w:cs="Times New Roman"/>
          <w:szCs w:val="21"/>
        </w:rPr>
        <w:t>元</w:t>
      </w:r>
      <w:r>
        <w:rPr>
          <w:rFonts w:ascii="宋体" w:hAnsi="宋体" w:eastAsia="宋体" w:cs="Times New Roman"/>
          <w:szCs w:val="21"/>
        </w:rPr>
        <w:t>（¥</w:t>
      </w:r>
      <w:r>
        <w:rPr>
          <w:rFonts w:ascii="宋体" w:hAnsi="宋体" w:eastAsia="宋体" w:cs="Times New Roman"/>
          <w:szCs w:val="21"/>
          <w:u w:val="single"/>
        </w:rPr>
        <w:t xml:space="preserve">             </w:t>
      </w:r>
      <w:r>
        <w:rPr>
          <w:rFonts w:ascii="宋体" w:hAnsi="宋体" w:eastAsia="宋体" w:cs="Times New Roman"/>
          <w:szCs w:val="21"/>
        </w:rPr>
        <w:t>）。</w:t>
      </w:r>
    </w:p>
    <w:p>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担保有效期自预付款支付给承包人起生效，至</w:t>
      </w:r>
      <w:r>
        <w:rPr>
          <w:rFonts w:hint="eastAsia" w:ascii="宋体" w:hAnsi="宋体" w:eastAsia="宋体" w:cs="Times New Roman"/>
          <w:szCs w:val="21"/>
        </w:rPr>
        <w:t>你方</w:t>
      </w:r>
      <w:r>
        <w:rPr>
          <w:rFonts w:ascii="宋体" w:hAnsi="宋体" w:eastAsia="宋体" w:cs="Times New Roman"/>
          <w:szCs w:val="21"/>
        </w:rPr>
        <w:t>签发的</w:t>
      </w:r>
      <w:r>
        <w:rPr>
          <w:rFonts w:hint="eastAsia" w:ascii="宋体" w:hAnsi="宋体" w:eastAsia="宋体" w:cs="Times New Roman"/>
          <w:szCs w:val="21"/>
        </w:rPr>
        <w:t>进</w:t>
      </w:r>
      <w:r>
        <w:rPr>
          <w:rFonts w:ascii="宋体" w:hAnsi="宋体" w:eastAsia="宋体" w:cs="Times New Roman"/>
          <w:szCs w:val="21"/>
        </w:rPr>
        <w:t>度款支付证书说明已完全扣清止。</w:t>
      </w:r>
    </w:p>
    <w:p>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在本保函有效期内，因承包人违反合同约定的义务而要求</w:t>
      </w:r>
      <w:r>
        <w:rPr>
          <w:rFonts w:hint="eastAsia" w:ascii="宋体" w:hAnsi="宋体" w:eastAsia="宋体" w:cs="Times New Roman"/>
          <w:szCs w:val="21"/>
        </w:rPr>
        <w:t>收</w:t>
      </w:r>
      <w:r>
        <w:rPr>
          <w:rFonts w:ascii="宋体" w:hAnsi="宋体" w:eastAsia="宋体" w:cs="Times New Roman"/>
          <w:szCs w:val="21"/>
        </w:rPr>
        <w:t>回预付款时，我方在收到你方的书面通知后，在７天内无条件支付。但本保函的担保金额，在任何时候不应超过预付款金额减去</w:t>
      </w:r>
      <w:r>
        <w:rPr>
          <w:rFonts w:hint="eastAsia" w:ascii="宋体" w:hAnsi="宋体" w:eastAsia="宋体" w:cs="Times New Roman"/>
          <w:szCs w:val="21"/>
        </w:rPr>
        <w:t>你方</w:t>
      </w:r>
      <w:r>
        <w:rPr>
          <w:rFonts w:ascii="宋体" w:hAnsi="宋体" w:eastAsia="宋体" w:cs="Times New Roman"/>
          <w:szCs w:val="21"/>
        </w:rPr>
        <w:t>按合同约定在向承包人签发的进度款支付证书中扣除的金额。</w:t>
      </w:r>
    </w:p>
    <w:p>
      <w:pPr>
        <w:spacing w:line="400" w:lineRule="exact"/>
        <w:ind w:firstLine="420" w:firstLineChars="200"/>
        <w:rPr>
          <w:rFonts w:hint="eastAsia" w:ascii="宋体" w:hAnsi="宋体" w:eastAsia="宋体" w:cs="Times New Roman"/>
          <w:szCs w:val="21"/>
        </w:rPr>
      </w:pPr>
      <w:r>
        <w:rPr>
          <w:rFonts w:hint="eastAsia" w:ascii="宋体" w:hAnsi="宋体" w:eastAsia="宋体" w:cs="Times New Roman"/>
          <w:szCs w:val="21"/>
        </w:rPr>
        <w:t>4. 你方</w:t>
      </w:r>
      <w:r>
        <w:rPr>
          <w:rFonts w:ascii="宋体" w:hAnsi="宋体" w:eastAsia="宋体" w:cs="Times New Roman"/>
          <w:szCs w:val="21"/>
        </w:rPr>
        <w:t>和承包人按合同约定变更合同时，我方承担本保函规定的义务不变。</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5. </w:t>
      </w:r>
      <w:r>
        <w:rPr>
          <w:rFonts w:ascii="宋体" w:hAnsi="宋体" w:eastAsia="宋体" w:cs="Times New Roman"/>
          <w:szCs w:val="21"/>
        </w:rPr>
        <w:t>因本保函发生的纠纷，可由双方协商解决，协商不成的，任何一方均可提请</w:t>
      </w:r>
      <w:r>
        <w:rPr>
          <w:rFonts w:ascii="宋体" w:hAnsi="宋体" w:eastAsia="宋体" w:cs="Times New Roman"/>
          <w:szCs w:val="21"/>
          <w:u w:val="single"/>
        </w:rPr>
        <w:t xml:space="preserve">        </w:t>
      </w:r>
      <w:r>
        <w:rPr>
          <w:rFonts w:ascii="宋体" w:hAnsi="宋体" w:eastAsia="宋体" w:cs="Times New Roman"/>
          <w:szCs w:val="21"/>
        </w:rPr>
        <w:t>仲裁委员会仲裁。</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6. </w:t>
      </w:r>
      <w:r>
        <w:rPr>
          <w:rFonts w:ascii="宋体" w:hAnsi="宋体" w:eastAsia="宋体" w:cs="Times New Roman"/>
          <w:szCs w:val="21"/>
        </w:rPr>
        <w:t>本保函自我方法定代表人（或其授权代理人）签字并加盖公章之日起生效。</w:t>
      </w:r>
    </w:p>
    <w:p>
      <w:pPr>
        <w:spacing w:line="400" w:lineRule="exact"/>
        <w:rPr>
          <w:rFonts w:hint="eastAsia" w:ascii="宋体" w:hAnsi="宋体" w:eastAsia="宋体" w:cs="Times New Roman"/>
          <w:szCs w:val="21"/>
        </w:rPr>
      </w:pPr>
    </w:p>
    <w:p>
      <w:pPr>
        <w:spacing w:line="400" w:lineRule="exact"/>
        <w:rPr>
          <w:rFonts w:hint="eastAsia" w:ascii="宋体" w:hAnsi="宋体" w:eastAsia="宋体" w:cs="Times New Roman"/>
          <w:szCs w:val="21"/>
        </w:rPr>
      </w:pPr>
    </w:p>
    <w:p>
      <w:pPr>
        <w:spacing w:line="400" w:lineRule="exact"/>
        <w:rPr>
          <w:rFonts w:ascii="宋体" w:hAnsi="宋体" w:eastAsia="宋体" w:cs="Times New Roman"/>
          <w:szCs w:val="21"/>
        </w:rPr>
      </w:pPr>
      <w:r>
        <w:rPr>
          <w:rFonts w:ascii="宋体" w:hAnsi="宋体" w:eastAsia="宋体" w:cs="Times New Roman"/>
          <w:szCs w:val="21"/>
        </w:rPr>
        <w:t>担保人：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（盖单位章）</w:t>
      </w:r>
    </w:p>
    <w:p>
      <w:pPr>
        <w:spacing w:line="400" w:lineRule="exact"/>
        <w:rPr>
          <w:rFonts w:ascii="宋体" w:hAnsi="宋体" w:eastAsia="宋体" w:cs="Times New Roman"/>
          <w:szCs w:val="21"/>
        </w:rPr>
      </w:pPr>
      <w:r>
        <w:rPr>
          <w:rFonts w:ascii="宋体" w:hAnsi="宋体" w:eastAsia="宋体" w:cs="Times New Roman"/>
          <w:szCs w:val="21"/>
        </w:rPr>
        <w:t>法定代表人或其委托代理人：</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（签字）</w:t>
      </w:r>
    </w:p>
    <w:p>
      <w:pPr>
        <w:spacing w:line="400" w:lineRule="exact"/>
        <w:rPr>
          <w:rFonts w:ascii="宋体" w:hAnsi="宋体" w:eastAsia="宋体" w:cs="Times New Roman"/>
          <w:szCs w:val="21"/>
        </w:rPr>
      </w:pPr>
      <w:r>
        <w:rPr>
          <w:rFonts w:ascii="宋体" w:hAnsi="宋体" w:eastAsia="宋体" w:cs="Times New Roman"/>
          <w:szCs w:val="21"/>
        </w:rPr>
        <w:t>地    址：</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ascii="宋体" w:hAnsi="宋体" w:eastAsia="宋体" w:cs="Times New Roman"/>
          <w:szCs w:val="21"/>
          <w:u w:val="single"/>
        </w:rPr>
        <w:tab/>
      </w:r>
    </w:p>
    <w:p>
      <w:pPr>
        <w:spacing w:line="400" w:lineRule="exact"/>
        <w:rPr>
          <w:rFonts w:ascii="宋体" w:hAnsi="宋体" w:eastAsia="宋体" w:cs="Times New Roman"/>
          <w:szCs w:val="21"/>
          <w:u w:val="single"/>
        </w:rPr>
      </w:pPr>
      <w:r>
        <w:rPr>
          <w:rFonts w:ascii="宋体" w:hAnsi="宋体" w:eastAsia="宋体" w:cs="Times New Roman"/>
          <w:szCs w:val="21"/>
        </w:rPr>
        <w:t>邮政编码：</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ascii="宋体" w:hAnsi="宋体" w:eastAsia="宋体" w:cs="Times New Roman"/>
          <w:szCs w:val="21"/>
          <w:u w:val="single"/>
        </w:rPr>
        <w:tab/>
      </w:r>
    </w:p>
    <w:p>
      <w:pPr>
        <w:spacing w:line="400" w:lineRule="exact"/>
        <w:rPr>
          <w:rFonts w:ascii="宋体" w:hAnsi="宋体" w:eastAsia="宋体" w:cs="Times New Roman"/>
          <w:szCs w:val="21"/>
          <w:u w:val="single"/>
        </w:rPr>
      </w:pPr>
      <w:r>
        <w:rPr>
          <w:rFonts w:ascii="宋体" w:hAnsi="宋体" w:eastAsia="宋体" w:cs="Times New Roman"/>
          <w:szCs w:val="21"/>
        </w:rPr>
        <w:t>电    话：</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ascii="宋体" w:hAnsi="宋体" w:eastAsia="宋体" w:cs="Times New Roman"/>
          <w:szCs w:val="21"/>
          <w:u w:val="single"/>
        </w:rPr>
        <w:tab/>
      </w:r>
    </w:p>
    <w:p>
      <w:pPr>
        <w:spacing w:line="400" w:lineRule="exact"/>
        <w:rPr>
          <w:rFonts w:ascii="宋体" w:hAnsi="宋体" w:eastAsia="宋体" w:cs="Times New Roman"/>
          <w:szCs w:val="21"/>
          <w:u w:val="single"/>
        </w:rPr>
      </w:pPr>
      <w:r>
        <w:rPr>
          <w:rFonts w:ascii="宋体" w:hAnsi="宋体" w:eastAsia="宋体" w:cs="Times New Roman"/>
          <w:szCs w:val="21"/>
        </w:rPr>
        <w:t>传    真：</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hint="eastAsia"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u w:val="single"/>
        </w:rPr>
        <w:tab/>
      </w:r>
      <w:r>
        <w:rPr>
          <w:rFonts w:ascii="宋体" w:hAnsi="宋体" w:eastAsia="宋体" w:cs="Times New Roman"/>
          <w:szCs w:val="21"/>
          <w:u w:val="single"/>
        </w:rPr>
        <w:tab/>
      </w:r>
    </w:p>
    <w:p>
      <w:pPr>
        <w:spacing w:line="400" w:lineRule="exact"/>
        <w:rPr>
          <w:rFonts w:ascii="宋体" w:hAnsi="宋体" w:eastAsia="宋体" w:cs="Times New Roman"/>
          <w:szCs w:val="21"/>
        </w:rPr>
      </w:pPr>
      <w:r>
        <w:rPr>
          <w:rFonts w:ascii="宋体" w:hAnsi="宋体" w:eastAsia="宋体" w:cs="Times New Roman"/>
          <w:szCs w:val="21"/>
        </w:rPr>
        <w:t xml:space="preserve">  </w:t>
      </w:r>
    </w:p>
    <w:p>
      <w:pPr>
        <w:spacing w:line="400" w:lineRule="exact"/>
        <w:rPr>
          <w:rFonts w:ascii="宋体" w:hAnsi="宋体" w:eastAsia="宋体" w:cs="Times New Roman"/>
          <w:szCs w:val="21"/>
          <w:u w:val="single"/>
        </w:rPr>
      </w:pPr>
    </w:p>
    <w:p>
      <w:pPr>
        <w:spacing w:line="400" w:lineRule="exact"/>
        <w:rPr>
          <w:rFonts w:ascii="宋体" w:hAnsi="宋体" w:eastAsia="宋体" w:cs="Times New Roman"/>
          <w:szCs w:val="21"/>
        </w:rPr>
      </w:pPr>
      <w:r>
        <w:rPr>
          <w:rFonts w:ascii="宋体" w:hAnsi="宋体" w:eastAsia="宋体" w:cs="Times New Roman"/>
          <w:szCs w:val="21"/>
        </w:rPr>
        <w:t xml:space="preserve">            </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w:t>
      </w:r>
    </w:p>
    <w:p>
      <w:pPr>
        <w:spacing w:line="440" w:lineRule="exact"/>
        <w:rPr>
          <w:rFonts w:ascii="Times New Roman" w:hAnsi="Times New Roman" w:eastAsia="黑体" w:cs="Times New Roman"/>
          <w:sz w:val="30"/>
          <w:szCs w:val="30"/>
        </w:rPr>
      </w:pPr>
      <w:r>
        <w:rPr>
          <w:rFonts w:ascii="Times New Roman" w:hAnsi="Times New Roman" w:eastAsia="仿宋_GB2312" w:cs="Times New Roman"/>
          <w:b/>
          <w:sz w:val="30"/>
          <w:szCs w:val="30"/>
        </w:rPr>
        <w:br w:type="page"/>
      </w:r>
      <w:r>
        <w:rPr>
          <w:rFonts w:ascii="Times New Roman" w:hAnsi="Times New Roman" w:eastAsia="仿宋_GB2312" w:cs="Times New Roman"/>
          <w:sz w:val="30"/>
          <w:szCs w:val="30"/>
        </w:rPr>
        <w:t>附</w:t>
      </w:r>
      <w:bookmarkStart w:id="594" w:name="_Toc296891061"/>
      <w:bookmarkStart w:id="595" w:name="_Toc296891273"/>
      <w:bookmarkStart w:id="596" w:name="_Toc296944572"/>
      <w:bookmarkStart w:id="597" w:name="_Toc296346734"/>
      <w:bookmarkStart w:id="598" w:name="_Toc296347232"/>
      <w:bookmarkStart w:id="599" w:name="_Toc296503233"/>
      <w:r>
        <w:rPr>
          <w:rFonts w:ascii="Times New Roman" w:hAnsi="Times New Roman" w:eastAsia="仿宋_GB2312" w:cs="Times New Roman"/>
          <w:sz w:val="30"/>
          <w:szCs w:val="30"/>
        </w:rPr>
        <w:t>件</w:t>
      </w:r>
      <w:r>
        <w:rPr>
          <w:rFonts w:hint="eastAsia" w:ascii="Times New Roman" w:hAnsi="Times New Roman" w:eastAsia="仿宋_GB2312" w:cs="Times New Roman"/>
          <w:sz w:val="30"/>
          <w:szCs w:val="30"/>
        </w:rPr>
        <w:t>7</w:t>
      </w:r>
      <w:r>
        <w:rPr>
          <w:rFonts w:ascii="Times New Roman" w:hAnsi="Times New Roman" w:eastAsia="仿宋_GB2312" w:cs="Times New Roman"/>
          <w:sz w:val="30"/>
          <w:szCs w:val="30"/>
        </w:rPr>
        <w:t xml:space="preserve">: </w:t>
      </w:r>
      <w:r>
        <w:rPr>
          <w:rFonts w:ascii="Times New Roman" w:hAnsi="Times New Roman" w:eastAsia="黑体" w:cs="Times New Roman"/>
          <w:sz w:val="30"/>
          <w:szCs w:val="30"/>
        </w:rPr>
        <w:t xml:space="preserve"> </w:t>
      </w:r>
    </w:p>
    <w:bookmarkEnd w:id="594"/>
    <w:bookmarkEnd w:id="595"/>
    <w:bookmarkEnd w:id="596"/>
    <w:bookmarkEnd w:id="597"/>
    <w:bookmarkEnd w:id="598"/>
    <w:bookmarkEnd w:id="599"/>
    <w:p>
      <w:pPr>
        <w:spacing w:before="120" w:beforeLines="50" w:after="120" w:afterLines="50" w:line="40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支付担保</w:t>
      </w:r>
    </w:p>
    <w:p>
      <w:pPr>
        <w:spacing w:line="400" w:lineRule="exact"/>
        <w:jc w:val="left"/>
        <w:rPr>
          <w:rFonts w:ascii="宋体" w:hAnsi="宋体" w:eastAsia="宋体" w:cs="Times New Roman"/>
          <w:szCs w:val="21"/>
        </w:rPr>
      </w:pPr>
      <w:r>
        <w:rPr>
          <w:rFonts w:ascii="宋体" w:hAnsi="宋体" w:eastAsia="宋体" w:cs="Times New Roman"/>
          <w:szCs w:val="21"/>
          <w:u w:val="single"/>
        </w:rPr>
        <w:t xml:space="preserve">             </w:t>
      </w:r>
      <w:r>
        <w:rPr>
          <w:rFonts w:ascii="宋体" w:hAnsi="宋体" w:eastAsia="宋体" w:cs="Times New Roman"/>
          <w:szCs w:val="21"/>
        </w:rPr>
        <w:t>（承包人）：</w:t>
      </w:r>
    </w:p>
    <w:p>
      <w:pPr>
        <w:spacing w:line="400" w:lineRule="exact"/>
        <w:jc w:val="left"/>
        <w:rPr>
          <w:rFonts w:ascii="宋体" w:hAnsi="宋体" w:eastAsia="宋体" w:cs="Times New Roman"/>
          <w:szCs w:val="21"/>
        </w:rPr>
      </w:pP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鉴于你方作为承包人已经与</w:t>
      </w:r>
      <w:r>
        <w:rPr>
          <w:rFonts w:ascii="宋体" w:hAnsi="宋体" w:eastAsia="宋体" w:cs="Times New Roman"/>
          <w:szCs w:val="21"/>
          <w:u w:val="single"/>
        </w:rPr>
        <w:t xml:space="preserve">          </w:t>
      </w:r>
      <w:r>
        <w:rPr>
          <w:rFonts w:ascii="宋体" w:hAnsi="宋体" w:eastAsia="宋体" w:cs="Times New Roman"/>
          <w:szCs w:val="21"/>
        </w:rPr>
        <w:t>（发包人名称）（以下称</w:t>
      </w:r>
      <w:r>
        <w:rPr>
          <w:rFonts w:hint="eastAsia" w:ascii="宋体" w:hAnsi="宋体" w:eastAsia="宋体" w:cs="Times New Roman"/>
          <w:szCs w:val="21"/>
        </w:rPr>
        <w:t>“</w:t>
      </w:r>
      <w:r>
        <w:rPr>
          <w:rFonts w:ascii="宋体" w:hAnsi="宋体" w:eastAsia="宋体" w:cs="Times New Roman"/>
          <w:szCs w:val="21"/>
        </w:rPr>
        <w:t>发包人</w:t>
      </w:r>
      <w:r>
        <w:rPr>
          <w:rFonts w:hint="eastAsia" w:ascii="宋体" w:hAnsi="宋体" w:eastAsia="宋体" w:cs="Times New Roman"/>
          <w:szCs w:val="21"/>
        </w:rPr>
        <w:t>”</w:t>
      </w:r>
      <w:r>
        <w:rPr>
          <w:rFonts w:ascii="宋体" w:hAnsi="宋体" w:eastAsia="宋体" w:cs="Times New Roman"/>
          <w:szCs w:val="21"/>
        </w:rPr>
        <w:t>）于</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日签订了</w:t>
      </w:r>
      <w:r>
        <w:rPr>
          <w:rFonts w:ascii="宋体" w:hAnsi="宋体" w:eastAsia="宋体" w:cs="Times New Roman"/>
          <w:szCs w:val="21"/>
          <w:u w:val="single"/>
        </w:rPr>
        <w:t xml:space="preserve">             </w:t>
      </w:r>
      <w:r>
        <w:rPr>
          <w:rFonts w:ascii="宋体" w:hAnsi="宋体" w:eastAsia="宋体" w:cs="Times New Roman"/>
          <w:szCs w:val="21"/>
        </w:rPr>
        <w:t>（工程名称）《建设工程施工合同》（以下称</w:t>
      </w:r>
      <w:r>
        <w:rPr>
          <w:rFonts w:hint="eastAsia" w:ascii="宋体" w:hAnsi="宋体" w:eastAsia="宋体" w:cs="Times New Roman"/>
          <w:szCs w:val="21"/>
        </w:rPr>
        <w:t>“</w:t>
      </w:r>
      <w:r>
        <w:rPr>
          <w:rFonts w:ascii="宋体" w:hAnsi="宋体" w:eastAsia="宋体" w:cs="Times New Roman"/>
          <w:szCs w:val="21"/>
        </w:rPr>
        <w:t>主合同</w:t>
      </w:r>
      <w:r>
        <w:rPr>
          <w:rFonts w:hint="eastAsia" w:ascii="宋体" w:hAnsi="宋体" w:eastAsia="宋体" w:cs="Times New Roman"/>
          <w:szCs w:val="21"/>
        </w:rPr>
        <w:t>”</w:t>
      </w:r>
      <w:r>
        <w:rPr>
          <w:rFonts w:ascii="宋体" w:hAnsi="宋体" w:eastAsia="宋体" w:cs="Times New Roman"/>
          <w:szCs w:val="21"/>
        </w:rPr>
        <w:t>），应发包人的申请，我方愿就发包人履行主合同约定的工程款支付义务以保证的方式向你方提供如下担保：</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一、保证的范围及保证金额</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我方的保证范围是主合同约定的工程款。</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本保函所称主合同约定的工程款是指主合同约定的除工程质量保证金以外的合同价款。</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我方保证的金额是主合同约定的工程款的</w:t>
      </w:r>
      <w:r>
        <w:rPr>
          <w:rFonts w:ascii="宋体" w:hAnsi="宋体" w:eastAsia="宋体" w:cs="Times New Roman"/>
          <w:szCs w:val="21"/>
          <w:u w:val="single"/>
        </w:rPr>
        <w:t xml:space="preserve">      </w:t>
      </w:r>
      <w:r>
        <w:rPr>
          <w:rFonts w:ascii="宋体" w:hAnsi="宋体" w:eastAsia="宋体" w:cs="Times New Roman"/>
          <w:szCs w:val="21"/>
        </w:rPr>
        <w:t>%，数额最高不超过人民币元（大写）</w:t>
      </w:r>
      <w:r>
        <w:rPr>
          <w:rFonts w:hint="eastAsia" w:ascii="宋体" w:hAnsi="宋体" w:eastAsia="宋体" w:cs="Times New Roman"/>
          <w:szCs w:val="21"/>
          <w:u w:val="single"/>
        </w:rPr>
        <w:t xml:space="preserve">        </w:t>
      </w:r>
      <w:r>
        <w:rPr>
          <w:rFonts w:hint="eastAsia" w:ascii="宋体" w:hAnsi="宋体" w:eastAsia="宋体" w:cs="Times New Roman"/>
          <w:szCs w:val="21"/>
        </w:rPr>
        <w:t>（¥</w:t>
      </w:r>
      <w:r>
        <w:rPr>
          <w:rFonts w:ascii="宋体" w:hAnsi="宋体" w:eastAsia="宋体" w:cs="Times New Roman"/>
          <w:szCs w:val="21"/>
          <w:u w:val="single"/>
        </w:rPr>
        <w:t xml:space="preserve">        </w:t>
      </w:r>
      <w:r>
        <w:rPr>
          <w:rFonts w:hint="eastAsia" w:ascii="宋体" w:hAnsi="宋体" w:eastAsia="宋体" w:cs="Times New Roman"/>
          <w:szCs w:val="21"/>
          <w:u w:val="single"/>
        </w:rPr>
        <w:t>）</w:t>
      </w:r>
      <w:r>
        <w:rPr>
          <w:rFonts w:ascii="宋体" w:hAnsi="宋体" w:eastAsia="宋体" w:cs="Times New Roman"/>
          <w:szCs w:val="21"/>
        </w:rPr>
        <w:t>。</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二、保证的方式及保证期间</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我方保证的方式为：连带责任保证。</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我方保证的期间为：自本合同生效之日起至主合同约定的工程款支付完毕之日后</w:t>
      </w:r>
      <w:r>
        <w:rPr>
          <w:rFonts w:ascii="宋体" w:hAnsi="宋体" w:eastAsia="宋体" w:cs="Times New Roman"/>
          <w:szCs w:val="21"/>
          <w:u w:val="single"/>
        </w:rPr>
        <w:t xml:space="preserve">    </w:t>
      </w:r>
      <w:r>
        <w:rPr>
          <w:rFonts w:ascii="宋体" w:hAnsi="宋体" w:eastAsia="宋体" w:cs="Times New Roman"/>
          <w:szCs w:val="21"/>
        </w:rPr>
        <w:t>日内。</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你方与发包人协议变更工程款支付日期的，经我方书面同意后，保证期间按照变更后的支付日期做相应调整。</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三、承担保证责任的形式</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我方承担保证责任的形式是代为支付。发包人未按主合同约定向你方支付工程款的，由我方在保证金额内代为支付。</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四、代偿的安排</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你方要求我方承担保证责任的，应向我方发出书面索赔通知及发包人未支付主合同约定工程款的证明材料。索赔通知应写明要求索赔的金额，支付款项应到达的账号。</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在出现你方与发包人因工程质量发生争议，发包人拒绝向你方支付工程款的情形时，你方要求我方履行保证责任代为支付的，需提供符合相应条件要求的工程质量检测机构出具的质量说明材料。</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我方收到你方的书面索赔通知及相应的证明材料后７天内无条件支付。</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五、保证责任的解除</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在本保函承诺的保证期间内，你方未书面向我方主张保证责任的，自保证期间届满次日起，我方保证责任解除。</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发包人按主合同约定履行了工程款的全部支付义务的，自本保函承诺的保证期间届满次日起，我方保证责任解除。</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我方按照本保函向你方履行保证责任所支付金额达到本保函保证金额时，自我方向你方支付（支付款项从我方账户划出）之日起，保证责任即解除。</w:t>
      </w:r>
    </w:p>
    <w:p>
      <w:pPr>
        <w:spacing w:line="40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 xml:space="preserve">4. </w:t>
      </w:r>
      <w:r>
        <w:rPr>
          <w:rFonts w:ascii="宋体" w:hAnsi="宋体" w:eastAsia="宋体" w:cs="Times New Roman"/>
          <w:szCs w:val="21"/>
        </w:rPr>
        <w:t>按照法律法规的规定或出现应解除我方保证责任的其他情形的，我方在本保函项下的保证责任亦解除。</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5. </w:t>
      </w:r>
      <w:r>
        <w:rPr>
          <w:rFonts w:ascii="宋体" w:hAnsi="宋体" w:eastAsia="宋体" w:cs="Times New Roman"/>
          <w:szCs w:val="21"/>
        </w:rPr>
        <w:t>我方解除保证责任后，你方应自我方保证责任解除之日起</w:t>
      </w:r>
      <w:r>
        <w:rPr>
          <w:rFonts w:hint="eastAsia" w:ascii="宋体" w:hAnsi="宋体" w:eastAsia="宋体" w:cs="Times New Roman"/>
          <w:szCs w:val="21"/>
          <w:u w:val="single"/>
        </w:rPr>
        <w:t xml:space="preserve">  </w:t>
      </w:r>
      <w:r>
        <w:rPr>
          <w:rFonts w:ascii="宋体" w:hAnsi="宋体" w:eastAsia="宋体" w:cs="Times New Roman"/>
          <w:szCs w:val="21"/>
        </w:rPr>
        <w:t>个工作日内，将本保函原件返还我方。</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六、免责条款</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1. </w:t>
      </w:r>
      <w:r>
        <w:rPr>
          <w:rFonts w:ascii="宋体" w:hAnsi="宋体" w:eastAsia="宋体" w:cs="Times New Roman"/>
          <w:szCs w:val="21"/>
        </w:rPr>
        <w:t>因你方违约致使发包人不能履行义务的，我方不承担保证责任。</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2. </w:t>
      </w:r>
      <w:r>
        <w:rPr>
          <w:rFonts w:ascii="宋体" w:hAnsi="宋体" w:eastAsia="宋体" w:cs="Times New Roman"/>
          <w:szCs w:val="21"/>
        </w:rPr>
        <w:t>依照法律法规的规定或你方与发包人的另行约定，免除发包人部分或全部义务的，我方亦免除其相应的保证责任。</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3. </w:t>
      </w:r>
      <w:r>
        <w:rPr>
          <w:rFonts w:ascii="宋体" w:hAnsi="宋体" w:eastAsia="宋体" w:cs="Times New Roman"/>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szCs w:val="21"/>
        </w:rPr>
        <w:t>〔</w:t>
      </w:r>
      <w:r>
        <w:rPr>
          <w:rFonts w:ascii="宋体" w:hAnsi="宋体" w:eastAsia="宋体" w:cs="Times New Roman"/>
          <w:szCs w:val="21"/>
        </w:rPr>
        <w:t>变更</w:t>
      </w:r>
      <w:r>
        <w:rPr>
          <w:rFonts w:hint="eastAsia" w:ascii="宋体" w:hAnsi="宋体" w:eastAsia="宋体" w:cs="Times New Roman"/>
          <w:szCs w:val="21"/>
        </w:rPr>
        <w:t>〕</w:t>
      </w:r>
      <w:r>
        <w:rPr>
          <w:rFonts w:ascii="宋体" w:hAnsi="宋体" w:eastAsia="宋体" w:cs="Times New Roman"/>
          <w:szCs w:val="21"/>
        </w:rPr>
        <w:t>约定的变更不受本款限制。</w:t>
      </w:r>
    </w:p>
    <w:p>
      <w:pPr>
        <w:spacing w:line="400" w:lineRule="exact"/>
        <w:ind w:firstLine="420" w:firstLineChars="200"/>
        <w:jc w:val="left"/>
        <w:rPr>
          <w:rFonts w:ascii="宋体" w:hAnsi="宋体" w:eastAsia="宋体" w:cs="Times New Roman"/>
          <w:szCs w:val="21"/>
        </w:rPr>
      </w:pPr>
      <w:r>
        <w:rPr>
          <w:rFonts w:hint="eastAsia" w:ascii="宋体" w:hAnsi="宋体" w:eastAsia="宋体" w:cs="Times New Roman"/>
          <w:szCs w:val="21"/>
        </w:rPr>
        <w:t xml:space="preserve">4. </w:t>
      </w:r>
      <w:r>
        <w:rPr>
          <w:rFonts w:ascii="宋体" w:hAnsi="宋体" w:eastAsia="宋体" w:cs="Times New Roman"/>
          <w:szCs w:val="21"/>
        </w:rPr>
        <w:t>因不可抗力造成发包人不能履行义务的，我方不承担保证责任。</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七、争议解决</w:t>
      </w:r>
    </w:p>
    <w:p>
      <w:pPr>
        <w:spacing w:after="120" w:line="400" w:lineRule="exact"/>
        <w:ind w:firstLine="420" w:firstLineChars="200"/>
        <w:rPr>
          <w:rFonts w:ascii="宋体" w:hAnsi="宋体" w:eastAsia="宋体" w:cs="Times New Roman"/>
          <w:szCs w:val="21"/>
        </w:rPr>
      </w:pPr>
      <w:r>
        <w:rPr>
          <w:rFonts w:ascii="宋体" w:hAnsi="宋体" w:eastAsia="宋体" w:cs="Times New Roman"/>
          <w:szCs w:val="21"/>
        </w:rPr>
        <w:t>因本保函</w:t>
      </w:r>
      <w:r>
        <w:rPr>
          <w:rFonts w:hint="eastAsia" w:ascii="宋体" w:hAnsi="宋体" w:eastAsia="宋体" w:cs="Times New Roman"/>
          <w:szCs w:val="21"/>
        </w:rPr>
        <w:t>或本保函相关事项</w:t>
      </w:r>
      <w:r>
        <w:rPr>
          <w:rFonts w:ascii="宋体" w:hAnsi="宋体" w:eastAsia="宋体" w:cs="Times New Roman"/>
          <w:szCs w:val="21"/>
        </w:rPr>
        <w:t>发生的纠纷，可由双方协商解决，协商不成的，按下列第</w:t>
      </w:r>
      <w:r>
        <w:rPr>
          <w:rFonts w:ascii="宋体" w:hAnsi="宋体" w:eastAsia="宋体" w:cs="Times New Roman"/>
          <w:szCs w:val="21"/>
          <w:u w:val="single"/>
        </w:rPr>
        <w:t xml:space="preserve">     </w:t>
      </w:r>
      <w:r>
        <w:rPr>
          <w:rFonts w:ascii="宋体" w:hAnsi="宋体" w:eastAsia="宋体" w:cs="Times New Roman"/>
          <w:szCs w:val="21"/>
        </w:rPr>
        <w:t>种方式</w:t>
      </w:r>
      <w:r>
        <w:rPr>
          <w:rFonts w:hint="eastAsia" w:ascii="宋体" w:hAnsi="宋体" w:eastAsia="宋体" w:cs="Times New Roman"/>
          <w:szCs w:val="21"/>
        </w:rPr>
        <w:t>解</w:t>
      </w:r>
      <w:r>
        <w:rPr>
          <w:rFonts w:ascii="宋体" w:hAnsi="宋体" w:eastAsia="宋体" w:cs="Times New Roman"/>
          <w:szCs w:val="21"/>
        </w:rPr>
        <w:t>决：</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（1）向</w:t>
      </w:r>
      <w:r>
        <w:rPr>
          <w:rFonts w:ascii="宋体" w:hAnsi="宋体" w:eastAsia="宋体" w:cs="Times New Roman"/>
          <w:szCs w:val="21"/>
          <w:u w:val="single"/>
        </w:rPr>
        <w:t xml:space="preserve">                     </w:t>
      </w:r>
      <w:r>
        <w:rPr>
          <w:rFonts w:ascii="宋体" w:hAnsi="宋体" w:eastAsia="宋体" w:cs="Times New Roman"/>
          <w:szCs w:val="21"/>
        </w:rPr>
        <w:t>仲裁委员会申请仲裁；</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（2）向</w:t>
      </w:r>
      <w:r>
        <w:rPr>
          <w:rFonts w:ascii="宋体" w:hAnsi="宋体" w:eastAsia="宋体" w:cs="Times New Roman"/>
          <w:szCs w:val="21"/>
          <w:u w:val="single"/>
        </w:rPr>
        <w:t xml:space="preserve">                     </w:t>
      </w:r>
      <w:r>
        <w:rPr>
          <w:rFonts w:ascii="宋体" w:hAnsi="宋体" w:eastAsia="宋体" w:cs="Times New Roman"/>
          <w:szCs w:val="21"/>
        </w:rPr>
        <w:t>人民法院起诉。</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八、保函的生效</w:t>
      </w:r>
    </w:p>
    <w:p>
      <w:pPr>
        <w:spacing w:line="400" w:lineRule="exact"/>
        <w:ind w:firstLine="420" w:firstLineChars="200"/>
        <w:jc w:val="left"/>
        <w:rPr>
          <w:rFonts w:ascii="宋体" w:hAnsi="宋体" w:eastAsia="宋体" w:cs="Times New Roman"/>
          <w:szCs w:val="21"/>
        </w:rPr>
      </w:pPr>
      <w:r>
        <w:rPr>
          <w:rFonts w:ascii="宋体" w:hAnsi="宋体" w:eastAsia="宋体" w:cs="Times New Roman"/>
          <w:szCs w:val="21"/>
        </w:rPr>
        <w:t>本保函自我方法定代表人（或其授权代理人）签字并加盖公章之日起生效。</w:t>
      </w:r>
    </w:p>
    <w:p>
      <w:pPr>
        <w:spacing w:line="400" w:lineRule="exact"/>
        <w:ind w:firstLine="420" w:firstLineChars="200"/>
        <w:jc w:val="left"/>
        <w:rPr>
          <w:rFonts w:hint="eastAsia" w:ascii="宋体" w:hAnsi="宋体" w:eastAsia="宋体" w:cs="Times New Roman"/>
          <w:szCs w:val="21"/>
        </w:rPr>
      </w:pPr>
    </w:p>
    <w:p>
      <w:pPr>
        <w:spacing w:line="400" w:lineRule="exact"/>
        <w:ind w:right="600"/>
        <w:jc w:val="left"/>
        <w:rPr>
          <w:rFonts w:hint="eastAsia" w:ascii="宋体" w:hAnsi="宋体" w:eastAsia="宋体" w:cs="Times New Roman"/>
          <w:szCs w:val="21"/>
        </w:rPr>
      </w:pPr>
    </w:p>
    <w:p>
      <w:pPr>
        <w:spacing w:line="400" w:lineRule="exact"/>
        <w:ind w:right="600"/>
        <w:jc w:val="left"/>
        <w:rPr>
          <w:rFonts w:ascii="宋体" w:hAnsi="宋体" w:eastAsia="宋体" w:cs="Times New Roman"/>
          <w:szCs w:val="21"/>
        </w:rPr>
      </w:pPr>
      <w:r>
        <w:rPr>
          <w:rFonts w:ascii="宋体" w:hAnsi="宋体" w:eastAsia="宋体" w:cs="Times New Roman"/>
          <w:szCs w:val="21"/>
        </w:rPr>
        <w:t>担保人：</w:t>
      </w:r>
      <w:r>
        <w:rPr>
          <w:rFonts w:ascii="宋体" w:hAnsi="宋体" w:eastAsia="宋体" w:cs="Times New Roman"/>
          <w:szCs w:val="21"/>
          <w:u w:val="single"/>
        </w:rPr>
        <w:t xml:space="preserve">                                   </w:t>
      </w:r>
      <w:r>
        <w:rPr>
          <w:rFonts w:ascii="宋体" w:hAnsi="宋体" w:eastAsia="宋体" w:cs="Times New Roman"/>
          <w:szCs w:val="21"/>
        </w:rPr>
        <w:t>（盖章）</w:t>
      </w:r>
    </w:p>
    <w:p>
      <w:pPr>
        <w:spacing w:line="400" w:lineRule="exact"/>
        <w:ind w:right="1200"/>
        <w:rPr>
          <w:rFonts w:ascii="宋体" w:hAnsi="宋体" w:eastAsia="宋体" w:cs="Times New Roman"/>
          <w:szCs w:val="21"/>
        </w:rPr>
      </w:pPr>
      <w:r>
        <w:rPr>
          <w:rFonts w:ascii="宋体" w:hAnsi="宋体" w:eastAsia="宋体" w:cs="Times New Roman"/>
          <w:szCs w:val="21"/>
        </w:rPr>
        <w:t>法定代表人或委托代理人：</w:t>
      </w:r>
      <w:r>
        <w:rPr>
          <w:rFonts w:ascii="宋体" w:hAnsi="宋体" w:eastAsia="宋体" w:cs="Times New Roman"/>
          <w:szCs w:val="21"/>
          <w:u w:val="single"/>
        </w:rPr>
        <w:t xml:space="preserve">                   </w:t>
      </w:r>
      <w:r>
        <w:rPr>
          <w:rFonts w:ascii="宋体" w:hAnsi="宋体" w:eastAsia="宋体" w:cs="Times New Roman"/>
          <w:szCs w:val="21"/>
        </w:rPr>
        <w:t>（签字）</w:t>
      </w:r>
    </w:p>
    <w:p>
      <w:pPr>
        <w:spacing w:line="400" w:lineRule="exact"/>
        <w:jc w:val="left"/>
        <w:rPr>
          <w:rFonts w:ascii="宋体" w:hAnsi="宋体" w:eastAsia="宋体" w:cs="Times New Roman"/>
          <w:szCs w:val="21"/>
        </w:rPr>
      </w:pPr>
      <w:r>
        <w:rPr>
          <w:rFonts w:ascii="宋体" w:hAnsi="宋体" w:eastAsia="宋体" w:cs="Times New Roman"/>
          <w:szCs w:val="21"/>
        </w:rPr>
        <w:t>地    址：</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exact"/>
        <w:jc w:val="left"/>
        <w:rPr>
          <w:rFonts w:ascii="宋体" w:hAnsi="宋体" w:eastAsia="宋体" w:cs="Times New Roman"/>
          <w:szCs w:val="21"/>
        </w:rPr>
      </w:pPr>
      <w:r>
        <w:rPr>
          <w:rFonts w:ascii="宋体" w:hAnsi="宋体" w:eastAsia="宋体" w:cs="Times New Roman"/>
          <w:szCs w:val="21"/>
        </w:rPr>
        <w:t>邮政编码：</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exact"/>
        <w:jc w:val="left"/>
        <w:rPr>
          <w:rFonts w:ascii="宋体" w:hAnsi="宋体" w:eastAsia="宋体" w:cs="Times New Roman"/>
          <w:szCs w:val="21"/>
        </w:rPr>
      </w:pPr>
      <w:r>
        <w:rPr>
          <w:rFonts w:ascii="宋体" w:hAnsi="宋体" w:eastAsia="宋体" w:cs="Times New Roman"/>
          <w:szCs w:val="21"/>
        </w:rPr>
        <w:t>传    真：</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pPr>
        <w:spacing w:line="400" w:lineRule="exact"/>
        <w:ind w:right="150" w:firstLine="420" w:firstLineChars="200"/>
        <w:jc w:val="left"/>
        <w:rPr>
          <w:rFonts w:ascii="宋体" w:hAnsi="宋体" w:eastAsia="宋体" w:cs="Times New Roman"/>
          <w:szCs w:val="21"/>
          <w:u w:val="single"/>
        </w:rPr>
      </w:pPr>
    </w:p>
    <w:p>
      <w:pPr>
        <w:spacing w:line="400" w:lineRule="exact"/>
        <w:ind w:right="150" w:firstLine="420" w:firstLineChars="200"/>
        <w:jc w:val="left"/>
        <w:rPr>
          <w:rFonts w:ascii="宋体" w:hAnsi="宋体" w:eastAsia="宋体" w:cs="Times New Roman"/>
          <w:szCs w:val="21"/>
        </w:rPr>
      </w:pPr>
      <w:r>
        <w:rPr>
          <w:rFonts w:ascii="宋体" w:hAnsi="宋体" w:eastAsia="宋体" w:cs="Times New Roman"/>
          <w:szCs w:val="21"/>
        </w:rPr>
        <w:t xml:space="preserve">             </w:t>
      </w:r>
      <w:r>
        <w:rPr>
          <w:rFonts w:ascii="宋体" w:hAnsi="宋体" w:eastAsia="宋体" w:cs="Times New Roman"/>
          <w:szCs w:val="21"/>
          <w:u w:val="single"/>
        </w:rPr>
        <w:t xml:space="preserve">               </w:t>
      </w:r>
      <w:r>
        <w:rPr>
          <w:rFonts w:ascii="宋体" w:hAnsi="宋体" w:eastAsia="宋体" w:cs="Times New Roman"/>
          <w:szCs w:val="21"/>
        </w:rPr>
        <w:t>年</w:t>
      </w:r>
      <w:r>
        <w:rPr>
          <w:rFonts w:ascii="宋体" w:hAnsi="宋体" w:eastAsia="宋体" w:cs="Times New Roman"/>
          <w:szCs w:val="21"/>
          <w:u w:val="single"/>
        </w:rPr>
        <w:t xml:space="preserve">      </w:t>
      </w:r>
      <w:r>
        <w:rPr>
          <w:rFonts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Times New Roman"/>
          <w:szCs w:val="21"/>
        </w:rPr>
        <w:t>日</w:t>
      </w:r>
    </w:p>
    <w:p>
      <w:pPr>
        <w:spacing w:line="440" w:lineRule="exact"/>
        <w:rPr>
          <w:rFonts w:ascii="Times New Roman" w:hAnsi="Times New Roman" w:eastAsia="黑体" w:cs="Times New Roman"/>
          <w:sz w:val="30"/>
          <w:szCs w:val="30"/>
        </w:rPr>
      </w:pPr>
      <w:r>
        <w:rPr>
          <w:rFonts w:ascii="Times New Roman" w:hAnsi="Times New Roman" w:eastAsia="仿宋_GB2312" w:cs="Times New Roman"/>
          <w:sz w:val="30"/>
          <w:szCs w:val="30"/>
        </w:rPr>
        <w:br w:type="page"/>
      </w:r>
      <w:r>
        <w:rPr>
          <w:rFonts w:ascii="Times New Roman" w:hAnsi="Times New Roman" w:eastAsia="仿宋_GB2312" w:cs="Times New Roman"/>
          <w:sz w:val="30"/>
          <w:szCs w:val="30"/>
        </w:rPr>
        <w:t>附件</w:t>
      </w:r>
      <w:r>
        <w:rPr>
          <w:rFonts w:hint="eastAsia" w:ascii="Times New Roman" w:hAnsi="Times New Roman" w:eastAsia="仿宋_GB2312" w:cs="Times New Roman"/>
          <w:sz w:val="30"/>
          <w:szCs w:val="30"/>
        </w:rPr>
        <w:t>8</w:t>
      </w:r>
      <w:r>
        <w:rPr>
          <w:rFonts w:ascii="Times New Roman" w:hAnsi="Times New Roman" w:eastAsia="仿宋_GB2312" w:cs="Times New Roman"/>
          <w:sz w:val="30"/>
          <w:szCs w:val="30"/>
        </w:rPr>
        <w:t>：</w:t>
      </w:r>
    </w:p>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11-1：材料暂估价表</w:t>
      </w:r>
    </w:p>
    <w:tbl>
      <w:tblPr>
        <w:tblStyle w:val="4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序号</w:t>
            </w:r>
          </w:p>
        </w:tc>
        <w:tc>
          <w:tcPr>
            <w:tcW w:w="198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名称</w:t>
            </w:r>
          </w:p>
        </w:tc>
        <w:tc>
          <w:tcPr>
            <w:tcW w:w="85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单位</w:t>
            </w:r>
          </w:p>
        </w:tc>
        <w:tc>
          <w:tcPr>
            <w:tcW w:w="77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数量</w:t>
            </w:r>
          </w:p>
        </w:tc>
        <w:tc>
          <w:tcPr>
            <w:tcW w:w="1352"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单价</w:t>
            </w:r>
            <w:r>
              <w:rPr>
                <w:rFonts w:hint="eastAsia" w:ascii="Times New Roman" w:hAnsi="宋体" w:eastAsia="宋体" w:cs="Times New Roman"/>
                <w:sz w:val="24"/>
                <w:szCs w:val="24"/>
              </w:rPr>
              <w:t>（元）</w:t>
            </w:r>
          </w:p>
        </w:tc>
        <w:tc>
          <w:tcPr>
            <w:tcW w:w="1418"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合价</w:t>
            </w:r>
            <w:r>
              <w:rPr>
                <w:rFonts w:hint="eastAsia" w:ascii="Times New Roman" w:hAnsi="宋体" w:eastAsia="宋体" w:cs="Times New Roman"/>
                <w:sz w:val="24"/>
                <w:szCs w:val="24"/>
              </w:rPr>
              <w:t>（元）</w:t>
            </w:r>
          </w:p>
        </w:tc>
        <w:tc>
          <w:tcPr>
            <w:tcW w:w="170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nil"/>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bl>
    <w:p>
      <w:pPr>
        <w:spacing w:before="120" w:beforeLines="50" w:after="120" w:afterLines="50" w:line="440" w:lineRule="exact"/>
        <w:rPr>
          <w:rFonts w:hint="eastAsia" w:ascii="Times New Roman" w:hAnsi="Times New Roman" w:eastAsia="黑体" w:cs="Times New Roman"/>
          <w:sz w:val="30"/>
          <w:szCs w:val="30"/>
        </w:rPr>
      </w:pPr>
    </w:p>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11-2：工程设备暂估价表</w:t>
      </w:r>
    </w:p>
    <w:tbl>
      <w:tblPr>
        <w:tblStyle w:val="4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序号</w:t>
            </w:r>
          </w:p>
        </w:tc>
        <w:tc>
          <w:tcPr>
            <w:tcW w:w="198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名称</w:t>
            </w:r>
          </w:p>
        </w:tc>
        <w:tc>
          <w:tcPr>
            <w:tcW w:w="85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单位</w:t>
            </w:r>
          </w:p>
        </w:tc>
        <w:tc>
          <w:tcPr>
            <w:tcW w:w="77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数量</w:t>
            </w:r>
          </w:p>
        </w:tc>
        <w:tc>
          <w:tcPr>
            <w:tcW w:w="1352"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单价</w:t>
            </w:r>
            <w:r>
              <w:rPr>
                <w:rFonts w:hint="eastAsia" w:ascii="Times New Roman" w:hAnsi="宋体" w:eastAsia="宋体" w:cs="Times New Roman"/>
                <w:sz w:val="24"/>
                <w:szCs w:val="24"/>
              </w:rPr>
              <w:t>（元）</w:t>
            </w:r>
          </w:p>
        </w:tc>
        <w:tc>
          <w:tcPr>
            <w:tcW w:w="1418"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合价</w:t>
            </w:r>
            <w:r>
              <w:rPr>
                <w:rFonts w:hint="eastAsia" w:ascii="Times New Roman" w:hAnsi="宋体" w:eastAsia="宋体" w:cs="Times New Roman"/>
                <w:sz w:val="24"/>
                <w:szCs w:val="24"/>
              </w:rPr>
              <w:t>（元）</w:t>
            </w:r>
          </w:p>
        </w:tc>
        <w:tc>
          <w:tcPr>
            <w:tcW w:w="170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nil"/>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bl>
    <w:p>
      <w:pPr>
        <w:spacing w:line="440" w:lineRule="exact"/>
        <w:rPr>
          <w:rFonts w:hint="eastAsia" w:ascii="Times New Roman" w:hAnsi="Times New Roman" w:eastAsia="仿宋_GB2312" w:cs="Times New Roman"/>
          <w:sz w:val="30"/>
          <w:szCs w:val="30"/>
        </w:rPr>
      </w:pPr>
    </w:p>
    <w:p>
      <w:pPr>
        <w:spacing w:line="440" w:lineRule="exact"/>
        <w:jc w:val="center"/>
        <w:rPr>
          <w:rFonts w:hint="eastAsia" w:ascii="Times New Roman" w:hAnsi="Times New Roman" w:eastAsia="仿宋_GB2312" w:cs="Times New Roman"/>
          <w:sz w:val="30"/>
          <w:szCs w:val="30"/>
        </w:rPr>
      </w:pPr>
    </w:p>
    <w:p>
      <w:pPr>
        <w:spacing w:before="120" w:beforeLines="50" w:after="120" w:afterLines="50" w:line="440" w:lineRule="exact"/>
        <w:jc w:val="center"/>
        <w:rPr>
          <w:rFonts w:ascii="Times New Roman" w:hAnsi="Times New Roman" w:eastAsia="黑体" w:cs="Times New Roman"/>
          <w:sz w:val="30"/>
          <w:szCs w:val="30"/>
        </w:rPr>
      </w:pPr>
      <w:r>
        <w:rPr>
          <w:rFonts w:ascii="Times New Roman" w:hAnsi="Times New Roman" w:eastAsia="黑体" w:cs="Times New Roman"/>
          <w:sz w:val="30"/>
          <w:szCs w:val="30"/>
        </w:rPr>
        <w:t>11-3：专业工程暂估价表</w:t>
      </w:r>
    </w:p>
    <w:tbl>
      <w:tblPr>
        <w:tblStyle w:val="4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序号</w:t>
            </w:r>
          </w:p>
        </w:tc>
        <w:tc>
          <w:tcPr>
            <w:tcW w:w="198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名称</w:t>
            </w:r>
          </w:p>
        </w:tc>
        <w:tc>
          <w:tcPr>
            <w:tcW w:w="85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单位</w:t>
            </w:r>
          </w:p>
        </w:tc>
        <w:tc>
          <w:tcPr>
            <w:tcW w:w="774"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数量</w:t>
            </w:r>
          </w:p>
        </w:tc>
        <w:tc>
          <w:tcPr>
            <w:tcW w:w="1352"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单价</w:t>
            </w:r>
            <w:r>
              <w:rPr>
                <w:rFonts w:hint="eastAsia" w:ascii="Times New Roman" w:hAnsi="宋体" w:eastAsia="宋体" w:cs="Times New Roman"/>
                <w:sz w:val="24"/>
                <w:szCs w:val="24"/>
              </w:rPr>
              <w:t>（元）</w:t>
            </w:r>
          </w:p>
        </w:tc>
        <w:tc>
          <w:tcPr>
            <w:tcW w:w="1418"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合价</w:t>
            </w:r>
            <w:r>
              <w:rPr>
                <w:rFonts w:hint="eastAsia" w:ascii="Times New Roman" w:hAnsi="宋体" w:eastAsia="宋体" w:cs="Times New Roman"/>
                <w:sz w:val="24"/>
                <w:szCs w:val="24"/>
              </w:rPr>
              <w:t>（元）</w:t>
            </w:r>
          </w:p>
        </w:tc>
        <w:tc>
          <w:tcPr>
            <w:tcW w:w="1701" w:type="dxa"/>
            <w:tcBorders>
              <w:top w:val="single" w:color="auto" w:sz="12" w:space="0"/>
              <w:bottom w:val="double" w:color="auto" w:sz="6" w:space="0"/>
            </w:tcBorders>
          </w:tcPr>
          <w:p>
            <w:pPr>
              <w:keepNext/>
              <w:spacing w:line="440" w:lineRule="exact"/>
              <w:ind w:left="63" w:right="63"/>
              <w:jc w:val="center"/>
              <w:rPr>
                <w:rFonts w:ascii="Times New Roman" w:hAnsi="宋体" w:eastAsia="宋体" w:cs="Times New Roman"/>
                <w:sz w:val="24"/>
                <w:szCs w:val="24"/>
              </w:rPr>
            </w:pPr>
            <w:r>
              <w:rPr>
                <w:rFonts w:ascii="Times New Roman" w:hAnsi="宋体" w:eastAsia="宋体" w:cs="Times New Roman"/>
                <w:sz w:val="24"/>
                <w:szCs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double" w:color="auto" w:sz="6" w:space="0"/>
              <w:bottom w:val="single" w:color="auto" w:sz="6" w:space="0"/>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98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851"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774"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352"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418" w:type="dxa"/>
            <w:tcBorders>
              <w:top w:val="nil"/>
            </w:tcBorders>
          </w:tcPr>
          <w:p>
            <w:pPr>
              <w:keepNext/>
              <w:spacing w:line="440" w:lineRule="exact"/>
              <w:ind w:left="63" w:right="63"/>
              <w:jc w:val="center"/>
              <w:rPr>
                <w:rFonts w:ascii="Times New Roman" w:hAnsi="宋体" w:eastAsia="宋体" w:cs="Times New Roman"/>
                <w:sz w:val="24"/>
                <w:szCs w:val="24"/>
              </w:rPr>
            </w:pPr>
          </w:p>
        </w:tc>
        <w:tc>
          <w:tcPr>
            <w:tcW w:w="1701" w:type="dxa"/>
            <w:tcBorders>
              <w:top w:val="nil"/>
            </w:tcBorders>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keepNext/>
              <w:spacing w:line="440" w:lineRule="exact"/>
              <w:ind w:left="63" w:right="63"/>
              <w:jc w:val="center"/>
              <w:rPr>
                <w:rFonts w:ascii="Times New Roman" w:hAnsi="宋体" w:eastAsia="宋体" w:cs="Times New Roman"/>
                <w:sz w:val="24"/>
                <w:szCs w:val="24"/>
              </w:rPr>
            </w:pPr>
          </w:p>
        </w:tc>
        <w:tc>
          <w:tcPr>
            <w:tcW w:w="1984" w:type="dxa"/>
          </w:tcPr>
          <w:p>
            <w:pPr>
              <w:keepNext/>
              <w:spacing w:line="440" w:lineRule="exact"/>
              <w:ind w:left="63" w:right="63"/>
              <w:jc w:val="center"/>
              <w:rPr>
                <w:rFonts w:ascii="Times New Roman" w:hAnsi="宋体" w:eastAsia="宋体" w:cs="Times New Roman"/>
                <w:sz w:val="24"/>
                <w:szCs w:val="24"/>
              </w:rPr>
            </w:pPr>
          </w:p>
        </w:tc>
        <w:tc>
          <w:tcPr>
            <w:tcW w:w="851" w:type="dxa"/>
          </w:tcPr>
          <w:p>
            <w:pPr>
              <w:keepNext/>
              <w:spacing w:line="440" w:lineRule="exact"/>
              <w:ind w:left="63" w:right="63"/>
              <w:jc w:val="center"/>
              <w:rPr>
                <w:rFonts w:ascii="Times New Roman" w:hAnsi="宋体" w:eastAsia="宋体" w:cs="Times New Roman"/>
                <w:sz w:val="24"/>
                <w:szCs w:val="24"/>
              </w:rPr>
            </w:pPr>
          </w:p>
        </w:tc>
        <w:tc>
          <w:tcPr>
            <w:tcW w:w="774" w:type="dxa"/>
          </w:tcPr>
          <w:p>
            <w:pPr>
              <w:keepNext/>
              <w:spacing w:line="440" w:lineRule="exact"/>
              <w:ind w:left="63" w:right="63"/>
              <w:jc w:val="center"/>
              <w:rPr>
                <w:rFonts w:ascii="Times New Roman" w:hAnsi="宋体" w:eastAsia="宋体" w:cs="Times New Roman"/>
                <w:sz w:val="24"/>
                <w:szCs w:val="24"/>
              </w:rPr>
            </w:pPr>
          </w:p>
        </w:tc>
        <w:tc>
          <w:tcPr>
            <w:tcW w:w="1352" w:type="dxa"/>
          </w:tcPr>
          <w:p>
            <w:pPr>
              <w:keepNext/>
              <w:spacing w:line="440" w:lineRule="exact"/>
              <w:ind w:left="63" w:right="63"/>
              <w:jc w:val="center"/>
              <w:rPr>
                <w:rFonts w:ascii="Times New Roman" w:hAnsi="宋体" w:eastAsia="宋体" w:cs="Times New Roman"/>
                <w:sz w:val="24"/>
                <w:szCs w:val="24"/>
              </w:rPr>
            </w:pPr>
          </w:p>
        </w:tc>
        <w:tc>
          <w:tcPr>
            <w:tcW w:w="1418" w:type="dxa"/>
          </w:tcPr>
          <w:p>
            <w:pPr>
              <w:keepNext/>
              <w:spacing w:line="440" w:lineRule="exact"/>
              <w:ind w:left="63" w:right="63"/>
              <w:jc w:val="center"/>
              <w:rPr>
                <w:rFonts w:ascii="Times New Roman" w:hAnsi="宋体" w:eastAsia="宋体" w:cs="Times New Roman"/>
                <w:sz w:val="24"/>
                <w:szCs w:val="24"/>
              </w:rPr>
            </w:pPr>
          </w:p>
        </w:tc>
        <w:tc>
          <w:tcPr>
            <w:tcW w:w="1701" w:type="dxa"/>
          </w:tcPr>
          <w:p>
            <w:pPr>
              <w:keepNext/>
              <w:spacing w:line="440" w:lineRule="exact"/>
              <w:ind w:left="63" w:right="63"/>
              <w:jc w:val="center"/>
              <w:rPr>
                <w:rFonts w:ascii="Times New Roman" w:hAnsi="宋体" w:eastAsia="宋体" w:cs="Times New Roman"/>
                <w:sz w:val="24"/>
                <w:szCs w:val="24"/>
              </w:rPr>
            </w:pPr>
          </w:p>
        </w:tc>
      </w:tr>
    </w:tbl>
    <w:p>
      <w:pPr>
        <w:spacing w:line="360" w:lineRule="auto"/>
        <w:rPr>
          <w:color w:val="000000" w:themeColor="text1"/>
          <w14:textFill>
            <w14:solidFill>
              <w14:schemeClr w14:val="tx1"/>
            </w14:solidFill>
          </w14:textFill>
        </w:rPr>
        <w:sectPr>
          <w:pgSz w:w="11907" w:h="16840"/>
          <w:pgMar w:top="1440" w:right="1440" w:bottom="1797" w:left="1440" w:header="851" w:footer="850" w:gutter="0"/>
          <w:cols w:space="720" w:num="1"/>
          <w:docGrid w:linePitch="312" w:charSpace="0"/>
        </w:sectPr>
      </w:pPr>
    </w:p>
    <w:p>
      <w:pPr>
        <w:spacing w:line="400" w:lineRule="exact"/>
        <w:ind w:firstLine="420" w:firstLineChars="200"/>
        <w:jc w:val="center"/>
        <w:rPr>
          <w:rFonts w:ascii="宋体" w:hAnsi="宋体" w:cs="宋体"/>
          <w:color w:val="000000" w:themeColor="text1"/>
          <w:szCs w:val="21"/>
          <w14:textFill>
            <w14:solidFill>
              <w14:schemeClr w14:val="tx1"/>
            </w14:solidFill>
          </w14:textFill>
        </w:rPr>
      </w:pPr>
    </w:p>
    <w:bookmarkEnd w:id="19"/>
    <w:bookmarkEnd w:id="20"/>
    <w:bookmarkEnd w:id="21"/>
    <w:bookmarkEnd w:id="22"/>
    <w:bookmarkEnd w:id="23"/>
    <w:bookmarkEnd w:id="24"/>
    <w:p>
      <w:pPr>
        <w:spacing w:line="360" w:lineRule="auto"/>
        <w:rPr>
          <w:rFonts w:ascii="宋体" w:hAnsi="宋体"/>
          <w:b/>
          <w:color w:val="000000" w:themeColor="text1"/>
          <w:sz w:val="24"/>
          <w:highlight w:val="yellow"/>
          <w14:textFill>
            <w14:solidFill>
              <w14:schemeClr w14:val="tx1"/>
            </w14:solidFill>
          </w14:textFill>
        </w:rPr>
      </w:pPr>
    </w:p>
    <w:p>
      <w:pPr>
        <w:pStyle w:val="3"/>
        <w:spacing w:line="360" w:lineRule="auto"/>
        <w:ind w:right="384" w:rightChars="183"/>
        <w:jc w:val="center"/>
        <w:rPr>
          <w:rFonts w:asciiTheme="minorEastAsia" w:hAnsiTheme="minorEastAsia"/>
          <w:color w:val="000000" w:themeColor="text1"/>
          <w:sz w:val="32"/>
          <w:szCs w:val="32"/>
          <w14:textFill>
            <w14:solidFill>
              <w14:schemeClr w14:val="tx1"/>
            </w14:solidFill>
          </w14:textFill>
        </w:rPr>
      </w:pPr>
      <w:r>
        <w:rPr>
          <w:rFonts w:hint="eastAsia" w:asciiTheme="minorEastAsia" w:hAnsiTheme="minorEastAsia"/>
          <w:color w:val="000000" w:themeColor="text1"/>
          <w:sz w:val="32"/>
          <w:szCs w:val="32"/>
          <w14:textFill>
            <w14:solidFill>
              <w14:schemeClr w14:val="tx1"/>
            </w14:solidFill>
          </w14:textFill>
        </w:rPr>
        <w:t>第七章  磋商响应文件格式</w:t>
      </w:r>
      <w:bookmarkEnd w:id="16"/>
    </w:p>
    <w:bookmarkEnd w:id="17"/>
    <w:bookmarkEnd w:id="18"/>
    <w:p>
      <w:pPr>
        <w:spacing w:line="500" w:lineRule="exact"/>
        <w:jc w:val="right"/>
        <w:rPr>
          <w:rFonts w:hAnsi="宋体"/>
          <w:color w:val="000000" w:themeColor="text1"/>
          <w:sz w:val="28"/>
          <w:szCs w:val="28"/>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0"/>
          <w:szCs w:val="32"/>
          <w14:textFill>
            <w14:solidFill>
              <w14:schemeClr w14:val="tx1"/>
            </w14:solidFill>
          </w14:textFill>
        </w:rPr>
      </w:pPr>
      <w:r>
        <w:rPr>
          <w:rFonts w:hint="eastAsia" w:hAnsi="宋体"/>
          <w:b/>
          <w:color w:val="000000" w:themeColor="text1"/>
          <w:sz w:val="40"/>
          <w:szCs w:val="32"/>
          <w14:textFill>
            <w14:solidFill>
              <w14:schemeClr w14:val="tx1"/>
            </w14:solidFill>
          </w14:textFill>
        </w:rPr>
        <w:t>磋商响应文件</w:t>
      </w: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ind w:firstLine="2125" w:firstLineChars="759"/>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项目编号：</w:t>
      </w:r>
      <w:r>
        <w:rPr>
          <w:rFonts w:hint="eastAsia" w:hAnsi="宋体"/>
          <w:color w:val="000000" w:themeColor="text1"/>
          <w:sz w:val="28"/>
          <w:szCs w:val="28"/>
          <w:u w:val="single"/>
          <w14:textFill>
            <w14:solidFill>
              <w14:schemeClr w14:val="tx1"/>
            </w14:solidFill>
          </w14:textFill>
        </w:rPr>
        <w:t xml:space="preserve">                       </w:t>
      </w:r>
    </w:p>
    <w:p>
      <w:pPr>
        <w:tabs>
          <w:tab w:val="left" w:pos="3240"/>
        </w:tabs>
        <w:spacing w:line="500" w:lineRule="exact"/>
        <w:ind w:firstLine="2125" w:firstLineChars="759"/>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125" w:firstLineChars="759"/>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125" w:firstLineChars="759"/>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供应商地址：</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jc w:val="center"/>
        <w:rPr>
          <w:rFonts w:hAnsi="宋体"/>
          <w:color w:val="000000" w:themeColor="text1"/>
          <w:sz w:val="28"/>
          <w:szCs w:val="28"/>
          <w14:textFill>
            <w14:solidFill>
              <w14:schemeClr w14:val="tx1"/>
            </w14:solidFill>
          </w14:textFill>
        </w:rPr>
      </w:pPr>
    </w:p>
    <w:p>
      <w:pPr>
        <w:tabs>
          <w:tab w:val="left" w:pos="2625"/>
        </w:tabs>
        <w:spacing w:line="500" w:lineRule="exact"/>
        <w:jc w:val="center"/>
        <w:rPr>
          <w:rFonts w:hAnsi="宋体"/>
          <w:color w:val="000000" w:themeColor="text1"/>
          <w:sz w:val="28"/>
          <w:szCs w:val="28"/>
          <w14:textFill>
            <w14:solidFill>
              <w14:schemeClr w14:val="tx1"/>
            </w14:solidFill>
          </w14:textFill>
        </w:rPr>
      </w:pPr>
    </w:p>
    <w:p>
      <w:pPr>
        <w:tabs>
          <w:tab w:val="left" w:pos="2625"/>
        </w:tabs>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首次响应文件提交截止时间前不得解密</w:t>
      </w:r>
    </w:p>
    <w:p>
      <w:pPr>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                                    </w:t>
      </w:r>
    </w:p>
    <w:p>
      <w:pPr>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年</w:t>
      </w:r>
      <w:r>
        <w:rPr>
          <w:rFonts w:hint="eastAsia" w:hAnsi="宋体" w:cs="宋体"/>
          <w:color w:val="000000" w:themeColor="text1"/>
          <w:sz w:val="28"/>
          <w:szCs w:val="28"/>
          <w14:textFill>
            <w14:solidFill>
              <w14:schemeClr w14:val="tx1"/>
            </w14:solidFill>
          </w14:textFill>
        </w:rPr>
        <w:t xml:space="preserve">    </w:t>
      </w:r>
      <w:r>
        <w:rPr>
          <w:rFonts w:hint="eastAsia" w:hAnsi="宋体"/>
          <w:color w:val="000000" w:themeColor="text1"/>
          <w:sz w:val="28"/>
          <w:szCs w:val="28"/>
          <w14:textFill>
            <w14:solidFill>
              <w14:schemeClr w14:val="tx1"/>
            </w14:solidFill>
          </w14:textFill>
        </w:rPr>
        <w:t>月    日</w:t>
      </w:r>
    </w:p>
    <w:p>
      <w:pPr>
        <w:spacing w:after="120"/>
        <w:ind w:firstLine="210" w:firstLineChars="100"/>
        <w:rPr>
          <w:rFonts w:ascii="Calibri" w:hAnsi="Calibri"/>
          <w:color w:val="000000" w:themeColor="text1"/>
          <w:szCs w:val="24"/>
          <w14:textFill>
            <w14:solidFill>
              <w14:schemeClr w14:val="tx1"/>
            </w14:solidFill>
          </w14:textFill>
        </w:rPr>
        <w:sectPr>
          <w:pgSz w:w="11906" w:h="16838"/>
          <w:pgMar w:top="1304" w:right="1304" w:bottom="1304" w:left="1304" w:header="720" w:footer="720" w:gutter="0"/>
          <w:cols w:space="720" w:num="1"/>
          <w:docGrid w:type="lines" w:linePitch="312" w:charSpace="0"/>
        </w:sectPr>
      </w:pPr>
    </w:p>
    <w:p>
      <w:pPr>
        <w:spacing w:line="500" w:lineRule="exact"/>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r>
        <w:rPr>
          <w:rFonts w:hint="eastAsia" w:hAnsi="宋体"/>
          <w:b/>
          <w:color w:val="000000" w:themeColor="text1"/>
          <w:sz w:val="44"/>
          <w:szCs w:val="32"/>
          <w14:textFill>
            <w14:solidFill>
              <w14:schemeClr w14:val="tx1"/>
            </w14:solidFill>
          </w14:textFill>
        </w:rPr>
        <w:t>资格文件（封面）</w:t>
      </w: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项目编号：</w:t>
      </w:r>
      <w:r>
        <w:rPr>
          <w:rFonts w:hint="eastAsia" w:hAnsi="宋体"/>
          <w:color w:val="000000" w:themeColor="text1"/>
          <w:sz w:val="28"/>
          <w:szCs w:val="28"/>
          <w:u w:val="single"/>
          <w14:textFill>
            <w14:solidFill>
              <w14:schemeClr w14:val="tx1"/>
            </w14:solidFill>
          </w14:textFill>
        </w:rPr>
        <w:t xml:space="preserve">                       </w:t>
      </w:r>
    </w:p>
    <w:p>
      <w:pPr>
        <w:tabs>
          <w:tab w:val="left" w:pos="3240"/>
        </w:tabs>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供应商地址：</w:t>
      </w:r>
      <w:r>
        <w:rPr>
          <w:rFonts w:hint="eastAsia" w:hAnsi="宋体"/>
          <w:color w:val="000000" w:themeColor="text1"/>
          <w:sz w:val="28"/>
          <w:szCs w:val="28"/>
          <w:u w:val="single"/>
          <w14:textFill>
            <w14:solidFill>
              <w14:schemeClr w14:val="tx1"/>
            </w14:solidFill>
          </w14:textFill>
        </w:rPr>
        <w:t xml:space="preserve">                     </w:t>
      </w:r>
    </w:p>
    <w:p>
      <w:pPr>
        <w:spacing w:line="500" w:lineRule="exact"/>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年</w:t>
      </w:r>
      <w:r>
        <w:rPr>
          <w:rFonts w:hint="eastAsia" w:hAnsi="宋体" w:cs="宋体"/>
          <w:color w:val="000000" w:themeColor="text1"/>
          <w:sz w:val="28"/>
          <w:szCs w:val="28"/>
          <w14:textFill>
            <w14:solidFill>
              <w14:schemeClr w14:val="tx1"/>
            </w14:solidFill>
          </w14:textFill>
        </w:rPr>
        <w:t xml:space="preserve">    </w:t>
      </w:r>
      <w:r>
        <w:rPr>
          <w:rFonts w:hint="eastAsia" w:hAnsi="宋体"/>
          <w:color w:val="000000" w:themeColor="text1"/>
          <w:sz w:val="28"/>
          <w:szCs w:val="28"/>
          <w14:textFill>
            <w14:solidFill>
              <w14:schemeClr w14:val="tx1"/>
            </w14:solidFill>
          </w14:textFill>
        </w:rPr>
        <w:t>月    日</w:t>
      </w:r>
    </w:p>
    <w:p>
      <w:pPr>
        <w:spacing w:line="320" w:lineRule="exact"/>
        <w:jc w:val="center"/>
        <w:rPr>
          <w:rFonts w:hAnsi="宋体"/>
          <w:color w:val="000000" w:themeColor="text1"/>
          <w:szCs w:val="21"/>
          <w14:textFill>
            <w14:solidFill>
              <w14:schemeClr w14:val="tx1"/>
            </w14:solidFill>
          </w14:textFill>
        </w:rPr>
        <w:sectPr>
          <w:pgSz w:w="11906" w:h="16838"/>
          <w:pgMar w:top="1304" w:right="1304" w:bottom="1304" w:left="1304" w:header="720" w:footer="720" w:gutter="0"/>
          <w:cols w:space="720" w:num="1"/>
          <w:docGrid w:type="lines" w:linePitch="312" w:charSpace="0"/>
        </w:sect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bookmarkStart w:id="600" w:name="_Toc317578549"/>
      <w:r>
        <w:rPr>
          <w:rFonts w:hint="eastAsia" w:ascii="宋体" w:hAnsi="宋体"/>
          <w:b/>
          <w:bCs/>
          <w:color w:val="000000" w:themeColor="text1"/>
          <w:sz w:val="32"/>
          <w:szCs w:val="32"/>
          <w14:textFill>
            <w14:solidFill>
              <w14:schemeClr w14:val="tx1"/>
            </w14:solidFill>
          </w14:textFill>
        </w:rPr>
        <w:t>目录</w:t>
      </w:r>
    </w:p>
    <w:bookmarkEnd w:id="600"/>
    <w:p>
      <w:pPr>
        <w:spacing w:line="40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（1）有效营业执照副本复印件；</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napToGrid w:val="0"/>
        <w:spacing w:line="400" w:lineRule="exact"/>
        <w:ind w:firstLine="420" w:firstLineChars="200"/>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（2）法定代表人身份证明书及法定代表人有效身份证正反面复印件（格式后附）；（</w:t>
      </w:r>
      <w:r>
        <w:rPr>
          <w:rFonts w:hint="eastAsia" w:ascii="宋体" w:hAnsi="宋体" w:eastAsia="宋体" w:cs="宋体"/>
          <w:b/>
          <w:bCs/>
          <w:color w:val="000000" w:themeColor="text1"/>
          <w:szCs w:val="21"/>
          <w14:textFill>
            <w14:solidFill>
              <w14:schemeClr w14:val="tx1"/>
            </w14:solidFill>
          </w14:textFill>
        </w:rPr>
        <w:t>除自然人竞标外</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（3）授权委托书及委托代理人有效身份证正反面复印件（格式后附）；（</w:t>
      </w:r>
      <w:r>
        <w:rPr>
          <w:rFonts w:hint="eastAsia" w:ascii="宋体" w:hAnsi="宋体" w:eastAsia="宋体" w:cs="宋体"/>
          <w:b/>
          <w:color w:val="000000" w:themeColor="text1"/>
          <w:szCs w:val="21"/>
          <w14:textFill>
            <w14:solidFill>
              <w14:schemeClr w14:val="tx1"/>
            </w14:solidFill>
          </w14:textFill>
        </w:rPr>
        <w:t>委托时必须提供，否则响应文件按无效响应处理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00" w:lineRule="exact"/>
        <w:ind w:firstLine="420" w:firstLineChars="200"/>
        <w:rPr>
          <w:rFonts w:ascii="宋体" w:hAnsi="宋体" w:eastAsia="宋体" w:cs="宋体"/>
          <w:szCs w:val="21"/>
        </w:rPr>
      </w:pPr>
      <w:r>
        <w:rPr>
          <w:rFonts w:hint="eastAsia" w:ascii="宋体" w:hAnsi="宋体" w:eastAsia="宋体" w:cs="宋体"/>
          <w:szCs w:val="21"/>
        </w:rPr>
        <w:t>（4）投标人根据防财监〔2023〕58 号文要求提供的《防城港市政府采购供应商信用承诺函》（格式附后）；（必须提供，否则按无效投标处理）；</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（5）</w:t>
      </w:r>
      <w:r>
        <w:rPr>
          <w:rFonts w:hint="eastAsia" w:ascii="宋体" w:hAnsi="宋体" w:eastAsia="宋体" w:cs="宋体"/>
          <w:color w:val="000000" w:themeColor="text1"/>
          <w:szCs w:val="21"/>
          <w14:textFill>
            <w14:solidFill>
              <w14:schemeClr w14:val="tx1"/>
            </w14:solidFill>
          </w14:textFill>
        </w:rPr>
        <w:t xml:space="preserve"> 供应商直接控股、管理关系信息表（格式后附）</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（6）竞标声明（格式后附）；</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（7）建筑装修装饰工程专业承包二级以上（含二级）资质；</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（8）有效省级或以上建设行政主管部门颁发的建筑施工企业安全生产许可证；</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（9）拟投入本工程四大员（施工员、质量员、安全员、材料员）具有相应施工现场专业人员职业培训合格证书及身份证正反面复印件；</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（10）拟投入本工程的专职安全员具有安全生产考核合格证（C类）复印件且在有效期内</w:t>
      </w:r>
      <w:r>
        <w:rPr>
          <w:rFonts w:hint="eastAsia" w:ascii="宋体" w:hAnsi="宋体" w:eastAsia="宋体" w:cs="宋体"/>
          <w:b/>
          <w:color w:val="000000" w:themeColor="text1"/>
          <w:szCs w:val="21"/>
          <w14:textFill>
            <w14:solidFill>
              <w14:schemeClr w14:val="tx1"/>
            </w14:solidFill>
          </w14:textFill>
        </w:rPr>
        <w:t>（必须提供，否则响应文件按无效响应处理）</w:t>
      </w:r>
    </w:p>
    <w:p>
      <w:pPr>
        <w:spacing w:line="400" w:lineRule="exact"/>
        <w:ind w:firstLine="420" w:firstLineChars="200"/>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（11）</w:t>
      </w:r>
      <w:r>
        <w:rPr>
          <w:rFonts w:hint="eastAsia" w:ascii="宋体" w:hAnsi="宋体" w:eastAsia="宋体" w:cs="宋体"/>
          <w:color w:val="000000"/>
          <w:szCs w:val="21"/>
        </w:rPr>
        <w:t>拟派驻本工程的项目经理必须具有建筑工程专业二级以上（含二级）注册建造师资格并获得有效的安全生产考核合格证（B证）</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(12)</w:t>
      </w:r>
      <w:r>
        <w:rPr>
          <w:rFonts w:hint="eastAsia" w:ascii="宋体" w:hAnsi="宋体" w:eastAsia="宋体" w:cs="宋体"/>
          <w:color w:val="000000" w:themeColor="text1"/>
          <w:szCs w:val="21"/>
          <w14:textFill>
            <w14:solidFill>
              <w14:schemeClr w14:val="tx1"/>
            </w14:solidFill>
          </w14:textFill>
        </w:rPr>
        <w:t>在最近三年内无骗取成交或严重违约（如无不正当理由拖延工程超过合同总工期三分之一以上的，不按合同履行义务的等）或重大工程质量问题的承诺书； （</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 xml:space="preserve">）； </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（13）供应商对农民工工资保证金的交纳与使用承诺（按桂劳社发2009【50】文执行）；（</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napToGrid w:val="0"/>
        <w:spacing w:line="400" w:lineRule="exact"/>
        <w:ind w:firstLine="420" w:firstLineChars="200"/>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w:t>
      </w:r>
      <w:r>
        <w:rPr>
          <w:rFonts w:hint="eastAsia" w:ascii="宋体" w:hAnsi="宋体" w:eastAsia="宋体" w:cs="宋体"/>
          <w:color w:val="000000" w:themeColor="text1"/>
          <w:spacing w:val="2"/>
          <w:szCs w:val="21"/>
          <w14:textFill>
            <w14:solidFill>
              <w14:schemeClr w14:val="tx1"/>
            </w14:solidFill>
          </w14:textFill>
        </w:rPr>
        <w:t>安全防护、文明施工措施方案的承诺书（按桂建质安[2015]16号文执行）；</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（15）参加政府采购活动前3年内在经营活动中没有重大违法记录的书面声明； （</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spacing w:line="400" w:lineRule="exact"/>
        <w:ind w:firstLine="420" w:firstLineChars="20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（16）拟派的项目经理不在其他项目服务的承诺书； （</w:t>
      </w:r>
      <w:r>
        <w:rPr>
          <w:rFonts w:hint="eastAsia" w:ascii="宋体" w:hAnsi="宋体" w:eastAsia="宋体" w:cs="宋体"/>
          <w:b/>
          <w:color w:val="000000" w:themeColor="text1"/>
          <w:szCs w:val="21"/>
          <w14:textFill>
            <w14:solidFill>
              <w14:schemeClr w14:val="tx1"/>
            </w14:solidFill>
          </w14:textFill>
        </w:rPr>
        <w:t>必须提供，否则响应文件按无效响应处理</w:t>
      </w:r>
      <w:r>
        <w:rPr>
          <w:rFonts w:hint="eastAsia" w:ascii="宋体" w:hAnsi="宋体" w:eastAsia="宋体" w:cs="宋体"/>
          <w:color w:val="000000" w:themeColor="text1"/>
          <w:szCs w:val="21"/>
          <w14:textFill>
            <w14:solidFill>
              <w14:schemeClr w14:val="tx1"/>
            </w14:solidFill>
          </w14:textFill>
        </w:rPr>
        <w:t>）</w:t>
      </w:r>
    </w:p>
    <w:p>
      <w:pPr>
        <w:widowControl/>
        <w:spacing w:line="400" w:lineRule="exact"/>
        <w:ind w:firstLine="315"/>
        <w:jc w:val="left"/>
        <w:rPr>
          <w:rFonts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（17）</w:t>
      </w:r>
      <w:r>
        <w:rPr>
          <w:rFonts w:hint="eastAsia" w:ascii="宋体" w:hAnsi="宋体" w:eastAsia="宋体" w:cs="宋体"/>
          <w:color w:val="000000" w:themeColor="text1"/>
          <w:spacing w:val="2"/>
          <w:kern w:val="0"/>
          <w:szCs w:val="21"/>
          <w14:textFill>
            <w14:solidFill>
              <w14:schemeClr w14:val="tx1"/>
            </w14:solidFill>
          </w14:textFill>
        </w:rPr>
        <w:t>中小企业声明函或残疾人福利性单位声明函或供应商属于监狱企业的证明材料； （</w:t>
      </w:r>
      <w:r>
        <w:rPr>
          <w:rFonts w:hint="eastAsia" w:ascii="宋体" w:hAnsi="宋体" w:eastAsia="宋体" w:cs="宋体"/>
          <w:b/>
          <w:bCs/>
          <w:color w:val="000000" w:themeColor="text1"/>
          <w:spacing w:val="2"/>
          <w:kern w:val="0"/>
          <w:szCs w:val="21"/>
          <w14:textFill>
            <w14:solidFill>
              <w14:schemeClr w14:val="tx1"/>
            </w14:solidFill>
          </w14:textFill>
        </w:rPr>
        <w:t>必须提供，否则按无效响应处理</w:t>
      </w:r>
      <w:r>
        <w:rPr>
          <w:rFonts w:hint="eastAsia" w:ascii="宋体" w:hAnsi="宋体" w:eastAsia="宋体" w:cs="宋体"/>
          <w:color w:val="000000" w:themeColor="text1"/>
          <w:spacing w:val="2"/>
          <w:kern w:val="0"/>
          <w:szCs w:val="21"/>
          <w14:textFill>
            <w14:solidFill>
              <w14:schemeClr w14:val="tx1"/>
            </w14:solidFill>
          </w14:textFill>
        </w:rPr>
        <w:t>）</w:t>
      </w:r>
    </w:p>
    <w:p>
      <w:pPr>
        <w:spacing w:line="400" w:lineRule="exact"/>
        <w:ind w:firstLine="420" w:firstLineChars="200"/>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（18)</w:t>
      </w:r>
      <w:r>
        <w:rPr>
          <w:rFonts w:hint="eastAsia" w:ascii="宋体" w:hAnsi="宋体" w:eastAsia="宋体" w:cs="宋体"/>
          <w:color w:val="000000"/>
          <w:szCs w:val="21"/>
        </w:rPr>
        <w:t>供应商按《医疗器械监督管理条例》（国务院令第739号）医疗器械分类管理要求提供有效的医疗器械经营备案凭证或者经营许可证，且经营范围必须包含采购标的（符合《医疗器械监督管理条例》第四十一条第二款规定的除外）</w:t>
      </w:r>
      <w:r>
        <w:rPr>
          <w:rFonts w:hint="eastAsia" w:ascii="宋体" w:hAnsi="宋体" w:eastAsia="宋体" w:cs="宋体"/>
          <w:color w:val="000000" w:themeColor="text1"/>
          <w:spacing w:val="2"/>
          <w:szCs w:val="21"/>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w:t>
      </w:r>
      <w:r>
        <w:rPr>
          <w:rFonts w:hint="eastAsia" w:ascii="宋体" w:hAnsi="宋体" w:eastAsia="宋体" w:cs="宋体"/>
          <w:b/>
          <w:bCs/>
          <w:color w:val="000000" w:themeColor="text1"/>
          <w:spacing w:val="2"/>
          <w:kern w:val="0"/>
          <w:szCs w:val="21"/>
          <w14:textFill>
            <w14:solidFill>
              <w14:schemeClr w14:val="tx1"/>
            </w14:solidFill>
          </w14:textFill>
        </w:rPr>
        <w:t>必须提供，否则按无效响应处理</w:t>
      </w:r>
      <w:r>
        <w:rPr>
          <w:rFonts w:hint="eastAsia" w:ascii="宋体" w:hAnsi="宋体" w:eastAsia="宋体" w:cs="宋体"/>
          <w:color w:val="000000" w:themeColor="text1"/>
          <w:spacing w:val="2"/>
          <w:kern w:val="0"/>
          <w:szCs w:val="21"/>
          <w14:textFill>
            <w14:solidFill>
              <w14:schemeClr w14:val="tx1"/>
            </w14:solidFill>
          </w14:textFill>
        </w:rPr>
        <w:t>）</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360" w:lineRule="auto"/>
        <w:ind w:firstLine="482" w:firstLineChars="200"/>
        <w:rPr>
          <w:rFonts w:hAnsi="宋体"/>
          <w:b/>
          <w:color w:val="000000" w:themeColor="text1"/>
          <w:sz w:val="24"/>
          <w:szCs w:val="24"/>
          <w14:textFill>
            <w14:solidFill>
              <w14:schemeClr w14:val="tx1"/>
            </w14:solidFill>
          </w14:textFill>
        </w:rPr>
      </w:pPr>
    </w:p>
    <w:p>
      <w:pPr>
        <w:pStyle w:val="28"/>
        <w:spacing w:line="360" w:lineRule="auto"/>
        <w:ind w:firstLine="482" w:firstLineChars="200"/>
        <w:rPr>
          <w:rFonts w:hAnsi="宋体" w:cs="宋体"/>
        </w:rPr>
      </w:pPr>
      <w:r>
        <w:rPr>
          <w:rFonts w:hint="eastAsia" w:hAnsi="宋体"/>
          <w:b/>
          <w:color w:val="000000" w:themeColor="text1"/>
          <w:sz w:val="24"/>
          <w:szCs w:val="24"/>
          <w14:textFill>
            <w14:solidFill>
              <w14:schemeClr w14:val="tx1"/>
            </w14:solidFill>
          </w14:textFill>
        </w:rPr>
        <w:t>附：（格式）</w:t>
      </w:r>
      <w:r>
        <w:rPr>
          <w:rFonts w:hint="eastAsia" w:hAnsi="宋体" w:cs="宋体"/>
        </w:rPr>
        <w:t xml:space="preserve">                     </w:t>
      </w:r>
    </w:p>
    <w:p>
      <w:pPr>
        <w:pStyle w:val="28"/>
        <w:spacing w:line="360" w:lineRule="auto"/>
        <w:ind w:firstLine="723" w:firstLineChars="200"/>
        <w:jc w:val="center"/>
        <w:rPr>
          <w:rFonts w:hAnsi="宋体" w:cs="宋体"/>
          <w:b/>
          <w:color w:val="000000"/>
          <w:sz w:val="36"/>
          <w:szCs w:val="36"/>
        </w:rPr>
      </w:pPr>
      <w:r>
        <w:rPr>
          <w:rFonts w:hint="eastAsia" w:hAnsi="宋体" w:cs="宋体"/>
          <w:b/>
          <w:color w:val="000000"/>
          <w:sz w:val="36"/>
          <w:szCs w:val="36"/>
        </w:rPr>
        <w:t>信用承诺函</w:t>
      </w:r>
    </w:p>
    <w:p>
      <w:pPr>
        <w:spacing w:line="520" w:lineRule="exact"/>
        <w:jc w:val="center"/>
        <w:rPr>
          <w:rFonts w:ascii="方正小标宋简体" w:hAnsi="仿宋" w:eastAsia="方正小标宋简体"/>
          <w:sz w:val="36"/>
          <w:szCs w:val="36"/>
        </w:rPr>
      </w:pPr>
      <w:r>
        <w:rPr>
          <w:rFonts w:hint="eastAsia" w:ascii="方正小标宋简体" w:hAnsi="仿宋" w:eastAsia="方正小标宋简体"/>
          <w:sz w:val="36"/>
          <w:szCs w:val="36"/>
        </w:rPr>
        <w:t>防城港市政府采购供应商信用承诺函（格式</w:t>
      </w:r>
      <w:r>
        <w:rPr>
          <w:rFonts w:ascii="方正小标宋简体" w:hAnsi="仿宋" w:eastAsia="方正小标宋简体"/>
          <w:sz w:val="36"/>
          <w:szCs w:val="36"/>
        </w:rPr>
        <w:t>）</w:t>
      </w:r>
    </w:p>
    <w:p>
      <w:pPr>
        <w:spacing w:line="520" w:lineRule="exact"/>
        <w:ind w:firstLine="640" w:firstLineChars="200"/>
        <w:rPr>
          <w:rFonts w:ascii="仿宋_GB2312" w:hAnsi="黑体" w:eastAsia="仿宋_GB2312"/>
          <w:sz w:val="32"/>
          <w:szCs w:val="32"/>
        </w:rPr>
      </w:pPr>
    </w:p>
    <w:p>
      <w:pPr>
        <w:spacing w:line="520" w:lineRule="exact"/>
        <w:rPr>
          <w:rFonts w:ascii="宋体" w:hAnsi="宋体" w:cs="宋体"/>
          <w:sz w:val="24"/>
        </w:rPr>
      </w:pPr>
      <w:r>
        <w:rPr>
          <w:rFonts w:hint="eastAsia" w:ascii="宋体" w:hAnsi="宋体" w:cs="宋体"/>
          <w:sz w:val="24"/>
        </w:rPr>
        <w:t>致（采购人或采购代理机构） ：</w:t>
      </w:r>
    </w:p>
    <w:p>
      <w:pPr>
        <w:spacing w:line="520" w:lineRule="exact"/>
        <w:ind w:firstLine="480" w:firstLineChars="200"/>
        <w:rPr>
          <w:rFonts w:ascii="宋体" w:hAnsi="宋体" w:cs="宋体"/>
          <w:sz w:val="24"/>
        </w:rPr>
      </w:pPr>
      <w:r>
        <w:rPr>
          <w:rFonts w:hint="eastAsia" w:ascii="宋体" w:hAnsi="宋体" w:cs="宋体"/>
          <w:sz w:val="24"/>
        </w:rPr>
        <w:t>我方自愿参加</w:t>
      </w:r>
      <w:r>
        <w:rPr>
          <w:rFonts w:hint="eastAsia" w:ascii="宋体" w:hAnsi="宋体" w:cs="宋体"/>
          <w:sz w:val="24"/>
          <w:u w:val="single"/>
        </w:rPr>
        <w:t xml:space="preserve"> （项目名称） </w:t>
      </w:r>
      <w:r>
        <w:rPr>
          <w:rFonts w:hint="eastAsia" w:ascii="宋体" w:hAnsi="宋体" w:cs="宋体"/>
          <w:sz w:val="24"/>
        </w:rPr>
        <w:t>项目（</w:t>
      </w:r>
      <w:r>
        <w:rPr>
          <w:rFonts w:hint="eastAsia" w:ascii="宋体" w:hAnsi="宋体" w:cs="宋体"/>
          <w:sz w:val="24"/>
          <w:u w:val="single"/>
        </w:rPr>
        <w:t xml:space="preserve">项目编号：         </w:t>
      </w:r>
      <w:r>
        <w:rPr>
          <w:rFonts w:hint="eastAsia" w:ascii="宋体" w:hAnsi="宋体" w:cs="宋体"/>
          <w:sz w:val="24"/>
        </w:rPr>
        <w:t xml:space="preserve">）的政府采购活动，严格遵守《中华人民共和国政府采购法》及相关法律法规，依法诚信经营，无条件遵守本次政府采购活动的各项规定，并郑重承诺： </w:t>
      </w:r>
    </w:p>
    <w:p>
      <w:pPr>
        <w:spacing w:line="520" w:lineRule="exact"/>
        <w:ind w:firstLine="480" w:firstLineChars="200"/>
        <w:rPr>
          <w:rFonts w:ascii="宋体" w:hAnsi="宋体" w:cs="宋体"/>
          <w:sz w:val="24"/>
        </w:rPr>
      </w:pPr>
      <w:r>
        <w:rPr>
          <w:rFonts w:hint="eastAsia" w:ascii="宋体" w:hAnsi="宋体" w:cs="宋体"/>
          <w:sz w:val="24"/>
        </w:rPr>
        <w:t xml:space="preserve">1.我方具有符合采购文件资格要求的财务状况报告。 </w:t>
      </w:r>
    </w:p>
    <w:p>
      <w:pPr>
        <w:spacing w:line="520" w:lineRule="exact"/>
        <w:ind w:firstLine="480" w:firstLineChars="200"/>
        <w:rPr>
          <w:rFonts w:ascii="宋体" w:hAnsi="宋体" w:cs="宋体"/>
          <w:sz w:val="24"/>
        </w:rPr>
      </w:pPr>
      <w:r>
        <w:rPr>
          <w:rFonts w:hint="eastAsia" w:ascii="宋体" w:hAnsi="宋体" w:cs="宋体"/>
          <w:sz w:val="24"/>
        </w:rPr>
        <w:t xml:space="preserve">2.我方具有符合采购文件资格要求的依法缴纳税收和社会保障资金的良好记录。 </w:t>
      </w:r>
    </w:p>
    <w:p>
      <w:pPr>
        <w:spacing w:line="520" w:lineRule="exact"/>
        <w:ind w:firstLine="480" w:firstLineChars="200"/>
        <w:rPr>
          <w:rFonts w:ascii="宋体" w:hAnsi="宋体" w:cs="宋体"/>
          <w:sz w:val="24"/>
        </w:rPr>
      </w:pPr>
      <w:r>
        <w:rPr>
          <w:rFonts w:hint="eastAsia" w:ascii="宋体" w:hAnsi="宋体" w:cs="宋体"/>
          <w:sz w:val="24"/>
        </w:rPr>
        <w:t xml:space="preserve">3.我方参加政府采购活动前三年内在经营活动中没有重大违法记录。 </w:t>
      </w:r>
    </w:p>
    <w:p>
      <w:pPr>
        <w:spacing w:line="520" w:lineRule="exact"/>
        <w:ind w:firstLine="480" w:firstLineChars="200"/>
        <w:rPr>
          <w:rFonts w:ascii="宋体" w:hAnsi="宋体" w:cs="宋体"/>
          <w:sz w:val="24"/>
        </w:rPr>
      </w:pPr>
      <w:r>
        <w:rPr>
          <w:rFonts w:hint="eastAsia" w:ascii="宋体" w:hAnsi="宋体" w:cs="宋体"/>
          <w:sz w:val="24"/>
        </w:rPr>
        <w:t>我方对以上承诺内容的真实性负责。如有虚假，将依法承担相应责任。</w:t>
      </w:r>
    </w:p>
    <w:p>
      <w:pPr>
        <w:spacing w:line="520" w:lineRule="exact"/>
        <w:rPr>
          <w:rFonts w:ascii="宋体" w:hAnsi="宋体" w:cs="宋体"/>
          <w:sz w:val="24"/>
        </w:rPr>
      </w:pPr>
    </w:p>
    <w:p>
      <w:pPr>
        <w:spacing w:line="520" w:lineRule="exact"/>
        <w:ind w:firstLine="2760" w:firstLineChars="1150"/>
        <w:rPr>
          <w:rFonts w:ascii="宋体" w:hAnsi="宋体" w:cs="宋体"/>
          <w:sz w:val="24"/>
        </w:rPr>
      </w:pPr>
      <w:r>
        <w:rPr>
          <w:rFonts w:hint="eastAsia" w:ascii="宋体" w:hAnsi="宋体" w:cs="宋体"/>
          <w:sz w:val="24"/>
        </w:rPr>
        <w:t>供应商名称（公章）：</w:t>
      </w:r>
    </w:p>
    <w:p>
      <w:pPr>
        <w:spacing w:line="600" w:lineRule="exact"/>
        <w:ind w:firstLine="2640" w:firstLineChars="1100"/>
        <w:rPr>
          <w:rFonts w:ascii="宋体" w:hAnsi="宋体" w:cs="宋体"/>
          <w:sz w:val="24"/>
        </w:rPr>
      </w:pPr>
      <w:r>
        <w:rPr>
          <w:rFonts w:hint="eastAsia" w:ascii="宋体" w:hAnsi="宋体" w:cs="宋体"/>
          <w:sz w:val="24"/>
        </w:rPr>
        <w:t>统一社会信用代码：</w:t>
      </w:r>
    </w:p>
    <w:p>
      <w:pPr>
        <w:spacing w:line="520" w:lineRule="exact"/>
        <w:ind w:firstLine="1680" w:firstLineChars="700"/>
        <w:rPr>
          <w:rFonts w:ascii="宋体" w:hAnsi="宋体" w:cs="宋体"/>
          <w:sz w:val="24"/>
        </w:rPr>
      </w:pPr>
      <w:r>
        <w:rPr>
          <w:rFonts w:hint="eastAsia" w:ascii="宋体" w:hAnsi="宋体" w:cs="宋体"/>
          <w:sz w:val="24"/>
        </w:rPr>
        <w:t>法定代表人或授权代表(签名)：</w:t>
      </w:r>
    </w:p>
    <w:p>
      <w:pPr>
        <w:spacing w:line="520" w:lineRule="exact"/>
        <w:ind w:firstLine="3120" w:firstLineChars="1300"/>
        <w:rPr>
          <w:rFonts w:ascii="宋体" w:hAnsi="宋体" w:cs="宋体"/>
          <w:sz w:val="24"/>
        </w:rPr>
      </w:pPr>
      <w:r>
        <w:rPr>
          <w:rFonts w:hint="eastAsia" w:ascii="宋体" w:hAnsi="宋体" w:cs="宋体"/>
          <w:sz w:val="24"/>
        </w:rPr>
        <w:t>日期： 年 月 日</w:t>
      </w:r>
    </w:p>
    <w:p>
      <w:pPr>
        <w:spacing w:line="600" w:lineRule="exact"/>
        <w:ind w:firstLine="480" w:firstLineChars="200"/>
        <w:rPr>
          <w:rFonts w:ascii="宋体" w:hAnsi="宋体" w:cs="宋体"/>
          <w:sz w:val="24"/>
        </w:rPr>
      </w:pPr>
    </w:p>
    <w:p>
      <w:pPr>
        <w:spacing w:line="600" w:lineRule="exact"/>
        <w:ind w:firstLine="480" w:firstLineChars="200"/>
        <w:rPr>
          <w:rFonts w:ascii="宋体" w:hAnsi="宋体" w:cs="宋体"/>
          <w:sz w:val="24"/>
        </w:rPr>
      </w:pPr>
      <w:r>
        <w:rPr>
          <w:rFonts w:hint="eastAsia" w:ascii="宋体" w:hAnsi="宋体" w:cs="宋体"/>
          <w:sz w:val="24"/>
        </w:rPr>
        <w:t>注：1.供应商须在投标（响应）文件中按此模板提供承诺函，未提供视为未实质性响应招标（采购）文件要求，按无效投标（响应）处理。</w:t>
      </w:r>
    </w:p>
    <w:p>
      <w:pPr>
        <w:spacing w:line="600" w:lineRule="exact"/>
        <w:ind w:firstLine="480" w:firstLineChars="200"/>
        <w:rPr>
          <w:rFonts w:ascii="宋体" w:hAnsi="宋体" w:cs="宋体"/>
          <w:sz w:val="24"/>
        </w:rPr>
      </w:pPr>
      <w:r>
        <w:rPr>
          <w:rFonts w:hint="eastAsia" w:ascii="宋体" w:hAnsi="宋体" w:cs="宋体"/>
          <w:sz w:val="24"/>
        </w:rPr>
        <w:t>2.供应商的法定代表人（其他组织的为负责人）或者授权代表的签名或盖章应真实、有效，如由授权代表签名或盖章的，应提供“法定代表人授权书”。</w:t>
      </w:r>
    </w:p>
    <w:p>
      <w:pPr>
        <w:pStyle w:val="2"/>
        <w:rPr>
          <w:rFonts w:ascii="宋体" w:hAnsi="宋体" w:cs="宋体"/>
          <w:color w:val="000000"/>
          <w:sz w:val="24"/>
          <w:szCs w:val="24"/>
        </w:rPr>
      </w:pPr>
    </w:p>
    <w:p>
      <w:pPr>
        <w:pStyle w:val="2"/>
        <w:rPr>
          <w:rFonts w:ascii="宋体" w:hAnsi="宋体" w:cs="宋体"/>
          <w:color w:val="000000"/>
          <w:sz w:val="24"/>
          <w:szCs w:val="24"/>
        </w:rPr>
      </w:pPr>
    </w:p>
    <w:p>
      <w:pPr>
        <w:autoSpaceDE w:val="0"/>
        <w:autoSpaceDN w:val="0"/>
        <w:spacing w:line="360" w:lineRule="auto"/>
        <w:ind w:left="4365" w:leftChars="1850" w:hanging="480" w:hangingChars="200"/>
        <w:rPr>
          <w:rFonts w:ascii="宋体" w:hAnsi="宋体" w:cs="宋体"/>
          <w:color w:val="000000"/>
          <w:kern w:val="0"/>
          <w:sz w:val="24"/>
        </w:rPr>
      </w:pPr>
      <w:r>
        <w:rPr>
          <w:rFonts w:hint="eastAsia" w:ascii="宋体" w:hAnsi="宋体" w:cs="宋体"/>
          <w:color w:val="000000"/>
          <w:kern w:val="0"/>
          <w:sz w:val="24"/>
        </w:rPr>
        <w:t>供应商名称（签章）：</w:t>
      </w:r>
    </w:p>
    <w:p>
      <w:pPr>
        <w:autoSpaceDE w:val="0"/>
        <w:autoSpaceDN w:val="0"/>
        <w:spacing w:line="360" w:lineRule="auto"/>
        <w:ind w:firstLine="6120" w:firstLineChars="2550"/>
        <w:rPr>
          <w:rFonts w:ascii="宋体" w:hAnsi="宋体" w:cs="宋体"/>
          <w:b/>
          <w:bCs/>
          <w:color w:val="000000"/>
          <w:sz w:val="24"/>
        </w:rPr>
      </w:pPr>
      <w:r>
        <w:rPr>
          <w:rFonts w:hint="eastAsia" w:ascii="宋体" w:hAnsi="宋体" w:cs="宋体"/>
          <w:color w:val="000000"/>
          <w:kern w:val="0"/>
          <w:sz w:val="24"/>
          <w:lang w:val="zh-CN"/>
        </w:rPr>
        <w:t>日期：  年  月   日</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供应商直接控股、管理关系信息表；</w:t>
      </w:r>
    </w:p>
    <w:p>
      <w:pPr>
        <w:spacing w:line="320" w:lineRule="exact"/>
        <w:jc w:val="center"/>
        <w:rPr>
          <w:rFonts w:ascii="宋体" w:hAnsi="宋体"/>
          <w:b/>
          <w:color w:val="000000" w:themeColor="text1"/>
          <w:sz w:val="32"/>
          <w:szCs w:val="32"/>
          <w14:textFill>
            <w14:solidFill>
              <w14:schemeClr w14:val="tx1"/>
            </w14:solidFill>
          </w14:textFill>
        </w:rPr>
      </w:pPr>
    </w:p>
    <w:p>
      <w:pPr>
        <w:spacing w:line="360" w:lineRule="auto"/>
        <w:contextualSpacing/>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1、供应商直接控股股东信息表</w:t>
      </w:r>
    </w:p>
    <w:p>
      <w:pPr>
        <w:spacing w:line="360" w:lineRule="auto"/>
        <w:contextualSpacing/>
        <w:jc w:val="center"/>
        <w:rPr>
          <w:rFonts w:ascii="宋体" w:hAnsi="宋体"/>
          <w:b/>
          <w:color w:val="000000" w:themeColor="text1"/>
          <w:sz w:val="24"/>
          <w14:textFill>
            <w14:solidFill>
              <w14:schemeClr w14:val="tx1"/>
            </w14:solidFill>
          </w14:textFill>
        </w:rPr>
      </w:pPr>
    </w:p>
    <w:tbl>
      <w:tblPr>
        <w:tblStyle w:val="49"/>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备注</w:t>
            </w:r>
          </w:p>
        </w:tc>
      </w:tr>
      <w:tr>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bl>
    <w:p>
      <w:pPr>
        <w:spacing w:line="360" w:lineRule="auto"/>
        <w:contextualSpacing/>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spacing w:line="360" w:lineRule="auto"/>
        <w:ind w:firstLine="480" w:firstLineChars="200"/>
        <w:contextualSpacing/>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pPr>
        <w:spacing w:line="360" w:lineRule="auto"/>
        <w:ind w:firstLine="480" w:firstLineChars="200"/>
        <w:contextualSpacing/>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2.本表所指的控股关系仅限于直接控股关系，不包括间接的控股关系。公司实际控制人与公司之间的关系不属于本表所指的直接控股关系。</w:t>
      </w:r>
    </w:p>
    <w:p>
      <w:pPr>
        <w:spacing w:line="360" w:lineRule="auto"/>
        <w:ind w:firstLine="480" w:firstLineChars="200"/>
        <w:contextualSpacing/>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3.供应商不存在直接控股股东的，</w:t>
      </w:r>
      <w:r>
        <w:rPr>
          <w:rFonts w:hint="eastAsia" w:ascii="宋体" w:hAnsi="宋体"/>
          <w:color w:val="000000" w:themeColor="text1"/>
          <w:sz w:val="24"/>
          <w14:textFill>
            <w14:solidFill>
              <w14:schemeClr w14:val="tx1"/>
            </w14:solidFill>
          </w14:textFill>
        </w:rPr>
        <w:t>则在“直接控股股东名称”填“无”</w:t>
      </w:r>
      <w:r>
        <w:rPr>
          <w:rFonts w:hint="eastAsia" w:ascii="宋体" w:hAnsi="宋体" w:cs="宋体"/>
          <w:color w:val="000000" w:themeColor="text1"/>
          <w:sz w:val="24"/>
          <w14:textFill>
            <w14:solidFill>
              <w14:schemeClr w14:val="tx1"/>
            </w14:solidFill>
          </w14:textFill>
        </w:rPr>
        <w:t>。</w:t>
      </w:r>
    </w:p>
    <w:p>
      <w:pPr>
        <w:spacing w:line="360" w:lineRule="auto"/>
        <w:ind w:firstLine="420" w:firstLineChars="200"/>
        <w:contextualSpacing/>
        <w:jc w:val="left"/>
        <w:rPr>
          <w:rFonts w:ascii="宋体" w:hAnsi="宋体" w:cs="宋体"/>
          <w:color w:val="000000" w:themeColor="text1"/>
          <w:szCs w:val="21"/>
          <w14:textFill>
            <w14:solidFill>
              <w14:schemeClr w14:val="tx1"/>
            </w14:solidFill>
          </w14:textFill>
        </w:rPr>
      </w:pPr>
    </w:p>
    <w:p>
      <w:pPr>
        <w:spacing w:line="360" w:lineRule="auto"/>
        <w:ind w:firstLine="560" w:firstLineChars="200"/>
        <w:contextualSpacing/>
        <w:jc w:val="left"/>
        <w:rPr>
          <w:rFonts w:ascii="宋体" w:hAnsi="宋体" w:cs="宋体"/>
          <w:color w:val="000000" w:themeColor="text1"/>
          <w:sz w:val="28"/>
          <w:szCs w:val="28"/>
          <w14:textFill>
            <w14:solidFill>
              <w14:schemeClr w14:val="tx1"/>
            </w14:solidFill>
          </w14:textFill>
        </w:rPr>
      </w:pPr>
    </w:p>
    <w:p>
      <w:pPr>
        <w:spacing w:line="360" w:lineRule="auto"/>
        <w:ind w:right="480"/>
        <w:contextualSpacing/>
        <w:jc w:val="cente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法定代表人或者委托代理人</w:t>
      </w:r>
      <w:r>
        <w:rPr>
          <w:rFonts w:hint="eastAsia" w:ascii="宋体" w:hAnsi="宋体"/>
          <w:color w:val="000000" w:themeColor="text1"/>
          <w:sz w:val="24"/>
          <w14:textFill>
            <w14:solidFill>
              <w14:schemeClr w14:val="tx1"/>
            </w14:solidFill>
          </w14:textFill>
        </w:rPr>
        <w:t>（签字或者电子签名）</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p>
    <w:p>
      <w:pPr>
        <w:spacing w:line="360" w:lineRule="auto"/>
        <w:ind w:right="480" w:firstLine="3000" w:firstLineChars="1250"/>
        <w:contextualSpacing/>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w:t>
      </w:r>
      <w:r>
        <w:rPr>
          <w:rFonts w:hint="eastAsia" w:ascii="宋体" w:hAnsi="宋体"/>
          <w:color w:val="000000" w:themeColor="text1"/>
          <w:sz w:val="24"/>
          <w14:textFill>
            <w14:solidFill>
              <w14:schemeClr w14:val="tx1"/>
            </w14:solidFill>
          </w14:textFill>
        </w:rPr>
        <w:t>（电子签章）</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contextualSpacing/>
        <w:jc w:val="righ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p>
      <w:pPr>
        <w:snapToGrid w:val="0"/>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r>
    </w:p>
    <w:p>
      <w:pPr>
        <w:spacing w:line="320" w:lineRule="exact"/>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2、供应商直接管理关系信息表</w:t>
      </w:r>
    </w:p>
    <w:p>
      <w:pPr>
        <w:snapToGrid w:val="0"/>
        <w:spacing w:line="360" w:lineRule="auto"/>
        <w:jc w:val="center"/>
        <w:rPr>
          <w:rFonts w:ascii="宋体" w:hAnsi="宋体"/>
          <w:b/>
          <w:color w:val="000000" w:themeColor="text1"/>
          <w:sz w:val="24"/>
          <w14:textFill>
            <w14:solidFill>
              <w14:schemeClr w14:val="tx1"/>
            </w14:solidFill>
          </w14:textFill>
        </w:rPr>
      </w:pPr>
    </w:p>
    <w:tbl>
      <w:tblPr>
        <w:tblStyle w:val="49"/>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备注</w:t>
            </w:r>
          </w:p>
        </w:tc>
      </w:tr>
      <w:tr>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r>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pPr>
              <w:widowControl/>
              <w:spacing w:line="360" w:lineRule="auto"/>
              <w:contextualSpacing/>
              <w:jc w:val="center"/>
              <w:rPr>
                <w:rFonts w:ascii="宋体" w:hAnsi="宋体" w:cs="宋体"/>
                <w:color w:val="000000" w:themeColor="text1"/>
                <w:kern w:val="0"/>
                <w:sz w:val="24"/>
                <w14:textFill>
                  <w14:solidFill>
                    <w14:schemeClr w14:val="tx1"/>
                  </w14:solidFill>
                </w14:textFill>
              </w:rPr>
            </w:pPr>
          </w:p>
        </w:tc>
      </w:tr>
    </w:tbl>
    <w:p>
      <w:pPr>
        <w:spacing w:line="360" w:lineRule="auto"/>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1.管理关系：是指不具有出资持股关系的其他单位之间存在的管理与被管理关系，如一些上下级关系的事业单位和团体组织。</w:t>
      </w: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pacing w:val="-6"/>
          <w:sz w:val="24"/>
          <w14:textFill>
            <w14:solidFill>
              <w14:schemeClr w14:val="tx1"/>
            </w14:solidFill>
          </w14:textFill>
        </w:rPr>
        <w:t>本表所指的管理关系仅限于直接管理关系，不包括间接的管理关系。</w:t>
      </w: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3.供应商不存在直接管理关系的，则在“直接管理关系单位名称”填“无”。</w:t>
      </w:r>
    </w:p>
    <w:p>
      <w:pPr>
        <w:spacing w:line="360" w:lineRule="auto"/>
        <w:contextualSpacing/>
        <w:jc w:val="left"/>
        <w:rPr>
          <w:rFonts w:ascii="宋体" w:hAnsi="宋体"/>
          <w:color w:val="000000" w:themeColor="text1"/>
          <w:sz w:val="28"/>
          <w:szCs w:val="28"/>
          <w14:textFill>
            <w14:solidFill>
              <w14:schemeClr w14:val="tx1"/>
            </w14:solidFill>
          </w14:textFill>
        </w:rPr>
      </w:pPr>
    </w:p>
    <w:p>
      <w:pPr>
        <w:spacing w:line="360" w:lineRule="auto"/>
        <w:contextualSpacing/>
        <w:jc w:val="left"/>
        <w:rPr>
          <w:rFonts w:ascii="宋体" w:hAnsi="宋体"/>
          <w:color w:val="000000" w:themeColor="text1"/>
          <w:sz w:val="28"/>
          <w:szCs w:val="28"/>
          <w14:textFill>
            <w14:solidFill>
              <w14:schemeClr w14:val="tx1"/>
            </w14:solidFill>
          </w14:textFill>
        </w:rPr>
      </w:pPr>
    </w:p>
    <w:p>
      <w:pPr>
        <w:spacing w:line="360" w:lineRule="auto"/>
        <w:contextualSpacing/>
        <w:jc w:val="left"/>
        <w:rPr>
          <w:color w:val="000000" w:themeColor="text1"/>
          <w:sz w:val="28"/>
          <w:szCs w:val="28"/>
          <w14:textFill>
            <w14:solidFill>
              <w14:schemeClr w14:val="tx1"/>
            </w14:solidFill>
          </w14:textFill>
        </w:rPr>
      </w:pPr>
    </w:p>
    <w:p>
      <w:pPr>
        <w:spacing w:line="360" w:lineRule="auto"/>
        <w:contextualSpacing/>
        <w:jc w:val="left"/>
        <w:rPr>
          <w:color w:val="000000" w:themeColor="text1"/>
          <w:sz w:val="28"/>
          <w:szCs w:val="28"/>
          <w14:textFill>
            <w14:solidFill>
              <w14:schemeClr w14:val="tx1"/>
            </w14:solidFill>
          </w14:textFill>
        </w:rPr>
      </w:pPr>
    </w:p>
    <w:p>
      <w:pPr>
        <w:spacing w:line="360" w:lineRule="auto"/>
        <w:contextualSpacing/>
        <w:jc w:val="left"/>
        <w:rPr>
          <w:color w:val="000000" w:themeColor="text1"/>
          <w:sz w:val="28"/>
          <w:szCs w:val="28"/>
          <w14:textFill>
            <w14:solidFill>
              <w14:schemeClr w14:val="tx1"/>
            </w14:solidFill>
          </w14:textFill>
        </w:rPr>
      </w:pPr>
    </w:p>
    <w:p>
      <w:pPr>
        <w:spacing w:line="360" w:lineRule="auto"/>
        <w:contextualSpacing/>
        <w:jc w:val="left"/>
        <w:rPr>
          <w:rFonts w:ascii="宋体" w:hAnsi="宋体"/>
          <w:color w:val="000000" w:themeColor="text1"/>
          <w:sz w:val="28"/>
          <w:szCs w:val="28"/>
          <w14:textFill>
            <w14:solidFill>
              <w14:schemeClr w14:val="tx1"/>
            </w14:solidFill>
          </w14:textFill>
        </w:rPr>
      </w:pPr>
    </w:p>
    <w:p>
      <w:pPr>
        <w:spacing w:line="360" w:lineRule="auto"/>
        <w:ind w:right="480"/>
        <w:contextualSpacing/>
        <w:jc w:val="center"/>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法定代表人或者委托代理人（签字或者电子签名）：</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ind w:right="480" w:firstLine="3360" w:firstLineChars="1400"/>
        <w:contextualSpacing/>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供应商（电子签章）：</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年    月    日</w:t>
      </w: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p>
    <w:p>
      <w:pPr>
        <w:pStyle w:val="2"/>
        <w:rPr>
          <w:rFonts w:ascii="宋体" w:hAnsi="宋体"/>
          <w:color w:val="000000" w:themeColor="text1"/>
          <w:sz w:val="24"/>
          <w14:textFill>
            <w14:solidFill>
              <w14:schemeClr w14:val="tx1"/>
            </w14:solidFill>
          </w14:textFill>
        </w:rPr>
      </w:pPr>
    </w:p>
    <w:p>
      <w:pPr>
        <w:pStyle w:val="2"/>
        <w:rPr>
          <w:rFonts w:ascii="宋体" w:hAnsi="宋体"/>
          <w:color w:val="000000" w:themeColor="text1"/>
          <w:sz w:val="24"/>
          <w14:textFill>
            <w14:solidFill>
              <w14:schemeClr w14:val="tx1"/>
            </w14:solidFill>
          </w14:textFill>
        </w:rPr>
      </w:pPr>
    </w:p>
    <w:p>
      <w:pPr>
        <w:pStyle w:val="2"/>
        <w:rPr>
          <w:rFonts w:ascii="宋体" w:hAnsi="宋体"/>
          <w:color w:val="000000" w:themeColor="text1"/>
          <w:sz w:val="24"/>
          <w14:textFill>
            <w14:solidFill>
              <w14:schemeClr w14:val="tx1"/>
            </w14:solidFill>
          </w14:textFill>
        </w:rPr>
      </w:pPr>
    </w:p>
    <w:p>
      <w:pPr>
        <w:spacing w:line="360" w:lineRule="auto"/>
        <w:ind w:firstLine="480" w:firstLineChars="200"/>
        <w:contextualSpacing/>
        <w:jc w:val="left"/>
        <w:rPr>
          <w:rFonts w:ascii="宋体" w:hAnsi="宋体"/>
          <w:color w:val="000000" w:themeColor="text1"/>
          <w:sz w:val="24"/>
          <w14:textFill>
            <w14:solidFill>
              <w14:schemeClr w14:val="tx1"/>
            </w14:solidFill>
          </w14:textFill>
        </w:rPr>
      </w:pPr>
    </w:p>
    <w:p>
      <w:pPr>
        <w:spacing w:line="360" w:lineRule="auto"/>
        <w:ind w:firstLine="562" w:firstLineChars="200"/>
        <w:contextualSpacing/>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竞标声明</w:t>
      </w:r>
    </w:p>
    <w:p>
      <w:pPr>
        <w:spacing w:line="320" w:lineRule="exact"/>
        <w:jc w:val="center"/>
        <w:rPr>
          <w:rFonts w:ascii="宋体" w:hAnsi="宋体"/>
          <w:color w:val="000000" w:themeColor="text1"/>
          <w:sz w:val="24"/>
          <w:szCs w:val="20"/>
          <w14:textFill>
            <w14:solidFill>
              <w14:schemeClr w14:val="tx1"/>
            </w14:solidFill>
          </w14:textFill>
        </w:rPr>
      </w:pPr>
    </w:p>
    <w:p>
      <w:pPr>
        <w:spacing w:line="360" w:lineRule="auto"/>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（采购人名称）</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（供应商名称）</w:t>
      </w:r>
      <w:r>
        <w:rPr>
          <w:rFonts w:hint="eastAsia" w:ascii="宋体" w:hAnsi="宋体" w:cs="宋体"/>
          <w:color w:val="000000" w:themeColor="text1"/>
          <w:sz w:val="24"/>
          <w14:textFill>
            <w14:solidFill>
              <w14:schemeClr w14:val="tx1"/>
            </w14:solidFill>
          </w14:textFill>
        </w:rPr>
        <w:t>系中华人民共和国合法供应商，经营地址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我方愿意参加贵方组织的</w:t>
      </w:r>
      <w:r>
        <w:rPr>
          <w:rFonts w:hint="eastAsia" w:ascii="宋体" w:hAnsi="宋体" w:cs="宋体"/>
          <w:color w:val="000000" w:themeColor="text1"/>
          <w:sz w:val="24"/>
          <w:u w:val="single"/>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项目的竞标，为便于贵方公正、择优地确定成交供应商及其竞标产品和服务，我方就本次竞标有关事项郑重声明如下：</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1.我方向贵方提交的所有响应文件、资料都是准确的和真实的。</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我方不是为本次采购项目提供整体设计、规范编制或者项目管理、监理、检测等服务的供应商</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3.在此，我方宣布同意如下：</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（1）将按磋商文件的约定履行合同责任和义务；</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（2）已详细审查全部磋商文件，包括澄清或者更正公告（如有）；</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（3）同意提供按照贵方可能要求的与磋商有关的一切数据或者资料；</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（4）响应磋商文件规定的竞标有效期。</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4.我方承诺符合《中华人民共和国政府采购法》第二十二条规定：</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（2）具有良好的商业信誉和健全的财务会计制度；</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（6）法律、行政法规规定的其他条件。</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根据《中华人民共和国政府采购法实施条例》第五十条要求对政府采购合同进行公告，但政府采购合同中涉及国家秘密、商业秘密的内容除外。我方就对本次响应文件进行注明如下：（两项内容中必须选择一项）</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□我方本次响应文件</w:t>
      </w:r>
      <w:r>
        <w:rPr>
          <w:rFonts w:hint="eastAsia" w:ascii="宋体" w:hAnsi="宋体" w:cs="宋体"/>
          <w:color w:val="000000" w:themeColor="text1"/>
          <w:kern w:val="0"/>
          <w:sz w:val="24"/>
          <w14:textFill>
            <w14:solidFill>
              <w14:schemeClr w14:val="tx1"/>
            </w14:solidFill>
          </w14:textFill>
        </w:rPr>
        <w:t>内容中</w:t>
      </w:r>
      <w:r>
        <w:rPr>
          <w:rFonts w:hint="eastAsia" w:ascii="宋体" w:hAnsi="宋体" w:cs="宋体"/>
          <w:color w:val="000000" w:themeColor="text1"/>
          <w:sz w:val="24"/>
          <w14:textFill>
            <w14:solidFill>
              <w14:schemeClr w14:val="tx1"/>
            </w14:solidFill>
          </w14:textFill>
        </w:rPr>
        <w:t>未</w:t>
      </w:r>
      <w:r>
        <w:rPr>
          <w:rFonts w:hint="eastAsia" w:ascii="宋体" w:hAnsi="宋体" w:cs="宋体"/>
          <w:color w:val="000000" w:themeColor="text1"/>
          <w:kern w:val="0"/>
          <w:sz w:val="24"/>
          <w14:textFill>
            <w14:solidFill>
              <w14:schemeClr w14:val="tx1"/>
            </w14:solidFill>
          </w14:textFill>
        </w:rPr>
        <w:t>涉及商业秘密；</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□我方本次响应文件</w:t>
      </w:r>
      <w:r>
        <w:rPr>
          <w:rFonts w:hint="eastAsia" w:ascii="宋体" w:hAnsi="宋体" w:cs="宋体"/>
          <w:color w:val="000000" w:themeColor="text1"/>
          <w:kern w:val="0"/>
          <w:sz w:val="24"/>
          <w14:textFill>
            <w14:solidFill>
              <w14:schemeClr w14:val="tx1"/>
            </w14:solidFill>
          </w14:textFill>
        </w:rPr>
        <w:t>涉及商业秘密的内容有：</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pStyle w:val="28"/>
        <w:spacing w:line="360" w:lineRule="auto"/>
        <w:ind w:firstLine="480" w:firstLineChars="200"/>
        <w:contextualSpacing/>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7.与本磋商有关的一切正式往来信函请寄：</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邮政编号：</w:t>
      </w:r>
      <w:r>
        <w:rPr>
          <w:rFonts w:hint="eastAsia" w:hAnsi="宋体" w:cs="宋体"/>
          <w:color w:val="000000" w:themeColor="text1"/>
          <w:sz w:val="24"/>
          <w:szCs w:val="24"/>
          <w:u w:val="single"/>
          <w14:textFill>
            <w14:solidFill>
              <w14:schemeClr w14:val="tx1"/>
            </w14:solidFill>
          </w14:textFill>
        </w:rPr>
        <w:t xml:space="preserve">        </w:t>
      </w:r>
    </w:p>
    <w:p>
      <w:pPr>
        <w:pStyle w:val="28"/>
        <w:spacing w:line="360" w:lineRule="auto"/>
        <w:ind w:firstLine="480" w:firstLineChars="200"/>
        <w:contextualSpacing/>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电话/传真：</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 电子邮箱：</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    </w:t>
      </w:r>
    </w:p>
    <w:p>
      <w:pPr>
        <w:pStyle w:val="23"/>
        <w:tabs>
          <w:tab w:val="left" w:pos="939"/>
        </w:tabs>
        <w:spacing w:line="360" w:lineRule="auto"/>
        <w:ind w:left="141" w:leftChars="67"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帐号：</w:t>
      </w:r>
      <w:r>
        <w:rPr>
          <w:rFonts w:hint="eastAsia" w:ascii="宋体" w:hAnsi="宋体" w:cs="宋体"/>
          <w:color w:val="000000" w:themeColor="text1"/>
          <w:sz w:val="24"/>
          <w:u w:val="single"/>
          <w14:textFill>
            <w14:solidFill>
              <w14:schemeClr w14:val="tx1"/>
            </w14:solidFill>
          </w14:textFill>
        </w:rPr>
        <w:t xml:space="preserve">                               </w:t>
      </w:r>
    </w:p>
    <w:p>
      <w:pPr>
        <w:pStyle w:val="23"/>
        <w:tabs>
          <w:tab w:val="left" w:pos="939"/>
        </w:tabs>
        <w:spacing w:line="360" w:lineRule="auto"/>
        <w:ind w:left="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8.以上事项如有虚假或者隐瞒，我方愿意承担一切后果，并不再寻求任何旨在减轻或者免除法律责任的辩解。</w:t>
      </w:r>
    </w:p>
    <w:p>
      <w:pPr>
        <w:pStyle w:val="23"/>
        <w:tabs>
          <w:tab w:val="left" w:pos="939"/>
        </w:tabs>
        <w:spacing w:line="360" w:lineRule="auto"/>
        <w:ind w:left="141" w:leftChars="67"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特此承诺。</w:t>
      </w:r>
    </w:p>
    <w:p>
      <w:pPr>
        <w:spacing w:line="360" w:lineRule="auto"/>
        <w:contextualSpacing/>
        <w:jc w:val="left"/>
        <w:rPr>
          <w:rFonts w:ascii="宋体" w:hAnsi="宋体" w:cs="宋体"/>
          <w:b/>
          <w:color w:val="000000" w:themeColor="text1"/>
          <w:sz w:val="24"/>
          <w14:textFill>
            <w14:solidFill>
              <w14:schemeClr w14:val="tx1"/>
            </w14:solidFill>
          </w14:textFill>
        </w:rPr>
      </w:pPr>
    </w:p>
    <w:p>
      <w:pPr>
        <w:spacing w:line="360" w:lineRule="auto"/>
        <w:contextualSpacing/>
        <w:jc w:val="left"/>
        <w:rPr>
          <w:rFonts w:ascii="宋体" w:hAnsi="宋体" w:cs="宋体"/>
          <w:color w:val="000000" w:themeColor="text1"/>
          <w:szCs w:val="21"/>
          <w14:textFill>
            <w14:solidFill>
              <w14:schemeClr w14:val="tx1"/>
            </w14:solidFill>
          </w14:textFill>
        </w:rPr>
      </w:pPr>
    </w:p>
    <w:p>
      <w:pPr>
        <w:spacing w:line="360" w:lineRule="auto"/>
        <w:ind w:firstLine="1575" w:firstLineChars="75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w:t>
      </w:r>
      <w:r>
        <w:rPr>
          <w:rFonts w:hint="eastAsia" w:ascii="宋体" w:hAnsi="宋体"/>
          <w:color w:val="000000" w:themeColor="text1"/>
          <w:sz w:val="24"/>
          <w14:textFill>
            <w14:solidFill>
              <w14:schemeClr w14:val="tx1"/>
            </w14:solidFill>
          </w14:textFill>
        </w:rPr>
        <w:t>签字或者盖章或者电子签名</w:t>
      </w:r>
      <w:r>
        <w:rPr>
          <w:rFonts w:hint="eastAsia"/>
          <w:color w:val="000000" w:themeColor="text1"/>
          <w14:textFill>
            <w14:solidFill>
              <w14:schemeClr w14:val="tx1"/>
            </w14:solidFill>
          </w14:textFill>
        </w:rPr>
        <w:t>）：</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p>
    <w:p>
      <w:pPr>
        <w:spacing w:line="360" w:lineRule="auto"/>
        <w:ind w:firstLine="3600" w:firstLineChars="1500"/>
        <w:contextualSpacing/>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供应商（电子签章）：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p>
      <w:pPr>
        <w:pStyle w:val="23"/>
        <w:tabs>
          <w:tab w:val="left" w:pos="939"/>
        </w:tabs>
        <w:spacing w:line="360" w:lineRule="auto"/>
        <w:ind w:left="0"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年    月    日</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供应商对农民工工资保证金的交纳与使用承诺（按桂劳社发</w:t>
      </w:r>
      <w:r>
        <w:rPr>
          <w:rFonts w:hAnsi="宋体"/>
          <w:b/>
          <w:color w:val="000000" w:themeColor="text1"/>
          <w:sz w:val="24"/>
          <w:szCs w:val="24"/>
          <w14:textFill>
            <w14:solidFill>
              <w14:schemeClr w14:val="tx1"/>
            </w14:solidFill>
          </w14:textFill>
        </w:rPr>
        <w:t>2009</w:t>
      </w:r>
      <w:r>
        <w:rPr>
          <w:rFonts w:hint="eastAsia" w:hAnsi="宋体"/>
          <w:b/>
          <w:color w:val="000000" w:themeColor="text1"/>
          <w:sz w:val="24"/>
          <w:szCs w:val="24"/>
          <w14:textFill>
            <w14:solidFill>
              <w14:schemeClr w14:val="tx1"/>
            </w14:solidFill>
          </w14:textFill>
        </w:rPr>
        <w:t>【</w:t>
      </w:r>
      <w:r>
        <w:rPr>
          <w:rFonts w:hAnsi="宋体"/>
          <w:b/>
          <w:color w:val="000000" w:themeColor="text1"/>
          <w:sz w:val="24"/>
          <w:szCs w:val="24"/>
          <w14:textFill>
            <w14:solidFill>
              <w14:schemeClr w14:val="tx1"/>
            </w14:solidFill>
          </w14:textFill>
        </w:rPr>
        <w:t>50</w:t>
      </w:r>
      <w:r>
        <w:rPr>
          <w:rFonts w:hint="eastAsia" w:hAnsi="宋体"/>
          <w:b/>
          <w:color w:val="000000" w:themeColor="text1"/>
          <w:sz w:val="24"/>
          <w:szCs w:val="24"/>
          <w14:textFill>
            <w14:solidFill>
              <w14:schemeClr w14:val="tx1"/>
            </w14:solidFill>
          </w14:textFill>
        </w:rPr>
        <w:t>】文执行）；</w:t>
      </w:r>
    </w:p>
    <w:p>
      <w:pPr>
        <w:pStyle w:val="28"/>
        <w:spacing w:line="440" w:lineRule="exact"/>
        <w:outlineLvl w:val="1"/>
        <w:rPr>
          <w:rFonts w:hAnsi="宋体"/>
          <w:b/>
          <w:color w:val="000000" w:themeColor="text1"/>
          <w:sz w:val="24"/>
          <w:szCs w:val="24"/>
          <w14:textFill>
            <w14:solidFill>
              <w14:schemeClr w14:val="tx1"/>
            </w14:solidFill>
          </w14:textFill>
        </w:rPr>
      </w:pPr>
    </w:p>
    <w:p>
      <w:pPr>
        <w:spacing w:line="48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招标人名称）</w:t>
      </w:r>
    </w:p>
    <w:p>
      <w:pPr>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根据广西壮族自治区劳动和社会保障厅、广西壮族自治区建设厅《广西壮族自治区劳动和社会保障厅、建设厅关于进一步完善建筑行业农民工工资保证金制度的通知》（桂劳社发［2009］50号）文件规定，我方在此向招标人承诺：</w:t>
      </w:r>
    </w:p>
    <w:p>
      <w:pPr>
        <w:spacing w:line="480" w:lineRule="exact"/>
        <w:ind w:firstLine="411" w:firstLineChars="19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我方在以前所承建工程中均按时足额支付工资，在截止磋商之日止不存在拖欠或克扣农民工工资的行为。</w:t>
      </w:r>
    </w:p>
    <w:p>
      <w:pPr>
        <w:spacing w:line="480" w:lineRule="exact"/>
        <w:ind w:firstLine="411" w:firstLineChars="19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2.我方参与磋商的</w:t>
      </w:r>
      <w:r>
        <w:rPr>
          <w:rFonts w:ascii="宋体" w:hAnsi="宋体" w:cs="Arial"/>
          <w:color w:val="000000" w:themeColor="text1"/>
          <w:szCs w:val="21"/>
          <w:u w:val="single"/>
          <w14:textFill>
            <w14:solidFill>
              <w14:schemeClr w14:val="tx1"/>
            </w14:solidFill>
          </w14:textFill>
        </w:rPr>
        <w:t xml:space="preserve">          （工程名称）       </w:t>
      </w:r>
      <w:r>
        <w:rPr>
          <w:rFonts w:hint="eastAsia" w:ascii="宋体" w:hAnsi="宋体"/>
          <w:color w:val="000000" w:themeColor="text1"/>
          <w:szCs w:val="21"/>
          <w14:textFill>
            <w14:solidFill>
              <w14:schemeClr w14:val="tx1"/>
            </w14:solidFill>
          </w14:textFill>
        </w:rPr>
        <w:t>项目，一旦成交，我方保证按广西壮族自治区劳动和社会保障厅、广西壮族自治区、建设厅《广西壮族自治区劳动和社会保障厅、建设厅关于进一步完善建筑行业农民工工资保证金制度的通知》（桂劳社发［2009］50号）文件规定能够及时、足额存入农民工工资保证金。</w:t>
      </w:r>
    </w:p>
    <w:p>
      <w:pPr>
        <w:spacing w:line="480" w:lineRule="exact"/>
        <w:ind w:firstLine="441" w:firstLineChars="21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3.我方在承包的</w:t>
      </w:r>
      <w:r>
        <w:rPr>
          <w:rFonts w:ascii="宋体" w:hAnsi="宋体" w:cs="Arial"/>
          <w:color w:val="000000" w:themeColor="text1"/>
          <w:szCs w:val="21"/>
          <w:u w:val="single"/>
          <w14:textFill>
            <w14:solidFill>
              <w14:schemeClr w14:val="tx1"/>
            </w14:solidFill>
          </w14:textFill>
        </w:rPr>
        <w:t xml:space="preserve">          （工程名称）       </w:t>
      </w:r>
      <w:r>
        <w:rPr>
          <w:rFonts w:hint="eastAsia" w:ascii="宋体" w:hAnsi="宋体"/>
          <w:color w:val="000000" w:themeColor="text1"/>
          <w:szCs w:val="21"/>
          <w14:textFill>
            <w14:solidFill>
              <w14:schemeClr w14:val="tx1"/>
            </w14:solidFill>
          </w14:textFill>
        </w:rPr>
        <w:t>项目中出现拖欠农民工和工人工资的，由劳动和社会保障、建设行政主管部门从其缴存的农民工工资保证金中先予划支,已先予支取农民工工资保证金的，在接到先予支取通知之日起30天内，我方向指定的账户交存已先予支取使用农民工工资保证金数额的2倍工资保证金。</w:t>
      </w:r>
    </w:p>
    <w:p>
      <w:pPr>
        <w:spacing w:line="480" w:lineRule="exact"/>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 如我方不按</w:t>
      </w:r>
      <w:r>
        <w:rPr>
          <w:rFonts w:hint="eastAsia" w:ascii="宋体" w:hAnsi="宋体"/>
          <w:color w:val="000000" w:themeColor="text1"/>
          <w:szCs w:val="21"/>
          <w14:textFill>
            <w14:solidFill>
              <w14:schemeClr w14:val="tx1"/>
            </w14:solidFill>
          </w14:textFill>
        </w:rPr>
        <w:t>规定</w:t>
      </w:r>
      <w:r>
        <w:rPr>
          <w:rFonts w:hint="eastAsia" w:ascii="宋体" w:hAnsi="宋体"/>
          <w:bCs/>
          <w:color w:val="000000" w:themeColor="text1"/>
          <w:szCs w:val="21"/>
          <w14:textFill>
            <w14:solidFill>
              <w14:schemeClr w14:val="tx1"/>
            </w14:solidFill>
          </w14:textFill>
        </w:rPr>
        <w:t>执行，发包人有权取消我方承包资格。</w:t>
      </w:r>
    </w:p>
    <w:p>
      <w:pPr>
        <w:spacing w:line="440" w:lineRule="exact"/>
        <w:ind w:firstLine="840" w:firstLineChars="400"/>
        <w:rPr>
          <w:rFonts w:ascii="宋体" w:hAnsi="宋体"/>
          <w:color w:val="000000" w:themeColor="text1"/>
          <w:szCs w:val="21"/>
          <w14:textFill>
            <w14:solidFill>
              <w14:schemeClr w14:val="tx1"/>
            </w14:solidFill>
          </w14:textFill>
        </w:rPr>
      </w:pPr>
    </w:p>
    <w:p>
      <w:pPr>
        <w:spacing w:line="360" w:lineRule="auto"/>
        <w:ind w:firstLine="1785" w:firstLineChars="850"/>
        <w:jc w:val="left"/>
        <w:rPr>
          <w:rFonts w:ascii="宋体" w:hAnsi="宋体"/>
          <w:bCs/>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法定代表人或者委托代理人（签字或者电子签名）：</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u w:val="single"/>
          <w14:textFill>
            <w14:solidFill>
              <w14:schemeClr w14:val="tx1"/>
            </w14:solidFill>
          </w14:textFill>
        </w:rPr>
        <w:t xml:space="preserve">              </w:t>
      </w:r>
    </w:p>
    <w:p>
      <w:pPr>
        <w:spacing w:line="360" w:lineRule="auto"/>
        <w:ind w:firstLine="2520" w:firstLineChars="1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供应商（电子签章）：</w:t>
      </w:r>
      <w:r>
        <w:rPr>
          <w:rFonts w:hint="eastAsia" w:ascii="宋体" w:hAnsi="宋体"/>
          <w:bCs/>
          <w:color w:val="000000" w:themeColor="text1"/>
          <w:szCs w:val="21"/>
          <w:u w:val="single"/>
          <w14:textFill>
            <w14:solidFill>
              <w14:schemeClr w14:val="tx1"/>
            </w14:solidFill>
          </w14:textFill>
        </w:rPr>
        <w:t xml:space="preserve">                </w:t>
      </w:r>
    </w:p>
    <w:p>
      <w:pPr>
        <w:spacing w:line="360" w:lineRule="auto"/>
        <w:ind w:firstLine="1260" w:firstLineChars="6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年    月    日</w:t>
      </w:r>
    </w:p>
    <w:p>
      <w:pPr>
        <w:pStyle w:val="28"/>
        <w:spacing w:line="440" w:lineRule="exact"/>
        <w:jc w:val="center"/>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rPr>
          <w:rFonts w:hAnsi="宋体"/>
          <w:b/>
          <w:color w:val="000000" w:themeColor="text1"/>
          <w:sz w:val="24"/>
          <w:szCs w:val="24"/>
          <w14:textFill>
            <w14:solidFill>
              <w14:schemeClr w14:val="tx1"/>
            </w14:solidFill>
          </w14:textFill>
        </w:rPr>
      </w:pPr>
    </w:p>
    <w:p>
      <w:pPr>
        <w:pStyle w:val="2"/>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jc w:val="center"/>
        <w:outlineLvl w:val="1"/>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安全防护、文明施工措施方案的承诺书（按桂建质安</w:t>
      </w:r>
      <w:r>
        <w:rPr>
          <w:rFonts w:hAnsi="宋体"/>
          <w:b/>
          <w:color w:val="000000" w:themeColor="text1"/>
          <w:sz w:val="24"/>
          <w:szCs w:val="24"/>
          <w14:textFill>
            <w14:solidFill>
              <w14:schemeClr w14:val="tx1"/>
            </w14:solidFill>
          </w14:textFill>
        </w:rPr>
        <w:t>[2015]16</w:t>
      </w:r>
      <w:r>
        <w:rPr>
          <w:rFonts w:hint="eastAsia" w:hAnsi="宋体"/>
          <w:b/>
          <w:color w:val="000000" w:themeColor="text1"/>
          <w:sz w:val="24"/>
          <w:szCs w:val="24"/>
          <w14:textFill>
            <w14:solidFill>
              <w14:schemeClr w14:val="tx1"/>
            </w14:solidFill>
          </w14:textFill>
        </w:rPr>
        <w:t>号文执行）；</w:t>
      </w:r>
    </w:p>
    <w:p>
      <w:pPr>
        <w:spacing w:line="480" w:lineRule="auto"/>
        <w:jc w:val="left"/>
        <w:rPr>
          <w:rFonts w:ascii="宋体" w:hAnsi="宋体"/>
          <w:bCs/>
          <w:color w:val="000000" w:themeColor="text1"/>
          <w:szCs w:val="21"/>
          <w14:textFill>
            <w14:solidFill>
              <w14:schemeClr w14:val="tx1"/>
            </w14:solidFill>
          </w14:textFill>
        </w:rPr>
      </w:pPr>
    </w:p>
    <w:p>
      <w:pPr>
        <w:spacing w:line="480" w:lineRule="auto"/>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致</w:t>
      </w:r>
      <w:r>
        <w:rPr>
          <w:rFonts w:hint="eastAsia" w:ascii="宋体" w:hAnsi="宋体"/>
          <w:bCs/>
          <w:color w:val="000000" w:themeColor="text1"/>
          <w:szCs w:val="21"/>
          <w:u w:val="single"/>
          <w14:textFill>
            <w14:solidFill>
              <w14:schemeClr w14:val="tx1"/>
            </w14:solidFill>
          </w14:textFill>
        </w:rPr>
        <w:t xml:space="preserve">      （招标人名称）     </w:t>
      </w:r>
      <w:r>
        <w:rPr>
          <w:rFonts w:hint="eastAsia" w:ascii="宋体" w:hAnsi="宋体"/>
          <w:bCs/>
          <w:color w:val="000000" w:themeColor="text1"/>
          <w:szCs w:val="21"/>
          <w14:textFill>
            <w14:solidFill>
              <w14:schemeClr w14:val="tx1"/>
            </w14:solidFill>
          </w14:textFill>
        </w:rPr>
        <w:t>：</w:t>
      </w:r>
    </w:p>
    <w:p>
      <w:pPr>
        <w:spacing w:line="480" w:lineRule="auto"/>
        <w:ind w:firstLine="422" w:firstLineChars="201"/>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根据桂建质安[2015]16号文件规定，我方在此向招标人承诺：</w:t>
      </w:r>
    </w:p>
    <w:p>
      <w:pPr>
        <w:spacing w:line="480" w:lineRule="auto"/>
        <w:ind w:left="-10" w:firstLine="455" w:firstLineChars="217"/>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1、我方参与磋商的</w:t>
      </w:r>
      <w:r>
        <w:rPr>
          <w:rFonts w:hint="eastAsia" w:ascii="宋体" w:hAnsi="宋体"/>
          <w:bCs/>
          <w:color w:val="000000" w:themeColor="text1"/>
          <w:szCs w:val="21"/>
          <w:u w:val="single"/>
          <w14:textFill>
            <w14:solidFill>
              <w14:schemeClr w14:val="tx1"/>
            </w14:solidFill>
          </w14:textFill>
        </w:rPr>
        <w:t xml:space="preserve">    （工程名称）   </w:t>
      </w:r>
      <w:r>
        <w:rPr>
          <w:rFonts w:hint="eastAsia" w:ascii="宋体" w:hAnsi="宋体"/>
          <w:bCs/>
          <w:color w:val="000000" w:themeColor="text1"/>
          <w:szCs w:val="21"/>
          <w14:textFill>
            <w14:solidFill>
              <w14:schemeClr w14:val="tx1"/>
            </w14:solidFill>
          </w14:textFill>
        </w:rPr>
        <w:t>项目，一旦成交，我方保证在施工过程中，严格执行《广西壮族自治区建筑工程安全防护、文明施工措施费及使用管理细则》（桂建质安[2015]16号文）的有关规定，确保建设工程各项安全防护、文明施工措施落实到位。</w:t>
      </w:r>
    </w:p>
    <w:p>
      <w:pPr>
        <w:spacing w:line="360" w:lineRule="auto"/>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2、如我方在承包的</w:t>
      </w:r>
      <w:r>
        <w:rPr>
          <w:rFonts w:hint="eastAsia" w:ascii="宋体" w:hAnsi="宋体"/>
          <w:bCs/>
          <w:color w:val="000000" w:themeColor="text1"/>
          <w:szCs w:val="21"/>
          <w:u w:val="single"/>
          <w14:textFill>
            <w14:solidFill>
              <w14:schemeClr w14:val="tx1"/>
            </w14:solidFill>
          </w14:textFill>
        </w:rPr>
        <w:t xml:space="preserve">    （工程名称）    </w:t>
      </w:r>
      <w:r>
        <w:rPr>
          <w:rFonts w:hint="eastAsia" w:ascii="宋体" w:hAnsi="宋体"/>
          <w:bCs/>
          <w:color w:val="000000" w:themeColor="text1"/>
          <w:szCs w:val="21"/>
          <w14:textFill>
            <w14:solidFill>
              <w14:schemeClr w14:val="tx1"/>
            </w14:solidFill>
          </w14:textFill>
        </w:rPr>
        <w:t>项目中出现未按桂建质安[2015]16号文附件一规定执行的情形，我方愿意按照相关规定接受建设单位及有关主管部门的处罚。</w:t>
      </w:r>
    </w:p>
    <w:p>
      <w:pPr>
        <w:spacing w:line="360" w:lineRule="auto"/>
        <w:jc w:val="left"/>
        <w:rPr>
          <w:rFonts w:ascii="宋体" w:hAnsi="宋体"/>
          <w:bCs/>
          <w:color w:val="000000" w:themeColor="text1"/>
          <w:szCs w:val="21"/>
          <w14:textFill>
            <w14:solidFill>
              <w14:schemeClr w14:val="tx1"/>
            </w14:solidFill>
          </w14:textFill>
        </w:rPr>
      </w:pPr>
    </w:p>
    <w:p>
      <w:pPr>
        <w:spacing w:line="360" w:lineRule="auto"/>
        <w:jc w:val="left"/>
        <w:rPr>
          <w:rFonts w:ascii="宋体" w:hAnsi="宋体"/>
          <w:bCs/>
          <w:color w:val="000000" w:themeColor="text1"/>
          <w:szCs w:val="21"/>
          <w14:textFill>
            <w14:solidFill>
              <w14:schemeClr w14:val="tx1"/>
            </w14:solidFill>
          </w14:textFill>
        </w:rPr>
      </w:pPr>
    </w:p>
    <w:p>
      <w:pPr>
        <w:spacing w:line="360" w:lineRule="auto"/>
        <w:ind w:firstLine="1785" w:firstLineChars="850"/>
        <w:jc w:val="lef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法定代表人或者委托代理人（签字或者电子签名）：</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u w:val="single"/>
          <w14:textFill>
            <w14:solidFill>
              <w14:schemeClr w14:val="tx1"/>
            </w14:solidFill>
          </w14:textFill>
        </w:rPr>
        <w:t xml:space="preserve">                  </w:t>
      </w:r>
    </w:p>
    <w:p>
      <w:pPr>
        <w:spacing w:line="360" w:lineRule="auto"/>
        <w:ind w:firstLine="1785" w:firstLineChars="85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供应商（电子签章）：</w:t>
      </w:r>
      <w:r>
        <w:rPr>
          <w:rFonts w:hint="eastAsia" w:ascii="宋体" w:hAnsi="宋体"/>
          <w:bCs/>
          <w:color w:val="000000" w:themeColor="text1"/>
          <w:szCs w:val="21"/>
          <w:u w:val="single"/>
          <w14:textFill>
            <w14:solidFill>
              <w14:schemeClr w14:val="tx1"/>
            </w14:solidFill>
          </w14:textFill>
        </w:rPr>
        <w:t xml:space="preserve">                </w:t>
      </w:r>
    </w:p>
    <w:p>
      <w:pPr>
        <w:spacing w:line="360" w:lineRule="auto"/>
        <w:ind w:firstLine="1260" w:firstLineChars="6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年    月    日</w:t>
      </w:r>
    </w:p>
    <w:p>
      <w:pPr>
        <w:spacing w:line="360" w:lineRule="auto"/>
        <w:ind w:firstLine="1260" w:firstLineChars="600"/>
        <w:jc w:val="left"/>
        <w:rPr>
          <w:rFonts w:ascii="宋体" w:hAnsi="宋体"/>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spacing w:line="360" w:lineRule="auto"/>
        <w:rPr>
          <w:rFonts w:ascii="宋体" w:hAnsi="宋体"/>
          <w:b/>
          <w:bCs/>
          <w:color w:val="000000" w:themeColor="text1"/>
          <w:szCs w:val="21"/>
          <w14:textFill>
            <w14:solidFill>
              <w14:schemeClr w14:val="tx1"/>
            </w14:solidFill>
          </w14:textFill>
        </w:rPr>
      </w:pPr>
    </w:p>
    <w:p>
      <w:pPr>
        <w:pStyle w:val="2"/>
        <w:rPr>
          <w:rFonts w:ascii="宋体" w:hAnsi="宋体"/>
          <w:b/>
          <w:bCs/>
          <w:color w:val="000000" w:themeColor="text1"/>
          <w:szCs w:val="21"/>
          <w14:textFill>
            <w14:solidFill>
              <w14:schemeClr w14:val="tx1"/>
            </w14:solidFill>
          </w14:textFill>
        </w:rPr>
      </w:pPr>
    </w:p>
    <w:p>
      <w:pPr>
        <w:pStyle w:val="2"/>
        <w:rPr>
          <w:rFonts w:ascii="宋体" w:hAnsi="宋体"/>
          <w:b/>
          <w:bCs/>
          <w:color w:val="000000" w:themeColor="text1"/>
          <w:szCs w:val="21"/>
          <w14:textFill>
            <w14:solidFill>
              <w14:schemeClr w14:val="tx1"/>
            </w14:solidFill>
          </w14:textFill>
        </w:rPr>
      </w:pPr>
    </w:p>
    <w:p>
      <w:pPr>
        <w:spacing w:line="360" w:lineRule="auto"/>
        <w:ind w:firstLine="602" w:firstLineChars="250"/>
        <w:jc w:val="center"/>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附件：广西壮族自治区建筑工程安全防护、文明施工措施项目清单内容</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260"/>
        <w:gridCol w:w="6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blHeader/>
          <w:jc w:val="center"/>
        </w:trPr>
        <w:tc>
          <w:tcPr>
            <w:tcW w:w="738" w:type="dxa"/>
            <w:vAlign w:val="center"/>
          </w:tcPr>
          <w:p>
            <w:pPr>
              <w:spacing w:line="300" w:lineRule="exact"/>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类别</w:t>
            </w:r>
          </w:p>
        </w:tc>
        <w:tc>
          <w:tcPr>
            <w:tcW w:w="1785" w:type="dxa"/>
            <w:gridSpan w:val="2"/>
            <w:vAlign w:val="center"/>
          </w:tcPr>
          <w:p>
            <w:pPr>
              <w:spacing w:line="300" w:lineRule="exact"/>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项目名称</w:t>
            </w:r>
          </w:p>
        </w:tc>
        <w:tc>
          <w:tcPr>
            <w:tcW w:w="6930" w:type="dxa"/>
            <w:vAlign w:val="center"/>
          </w:tcPr>
          <w:p>
            <w:pPr>
              <w:spacing w:line="300" w:lineRule="exact"/>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具  体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文明</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施工</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与</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环境</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保护</w:t>
            </w: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安全警示</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标志牌</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在易发伤亡事故（或危险）处设置明显的、符合国家标准要求的安全警示标志牌。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现场围挡</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（1）现场采用封闭围挡，高度不小于1.8m；</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（2）围挡材料可用彩色、定型钢板，砖、砼砌块等墙体。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七牌二图</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在进门处悬挂工程概况、进场出入制度、管理人员名单及监督电话、安全生产规定、文明施工、消防保卫、节能公示等七牌以及施工现场总平面图、工程效果图。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企业标志</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现场出入的大门应设有本企业标志或企业标识。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场容场貌</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（1）道路畅通；</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（2）排水沟、排水设施畅通；</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（3）工地地面硬化处理（办公区，生活区，现场道路，材料堆放、混凝土搅拌、砂浆搅拌、钢筋加工等场地，外脚手架基础等）。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材料堆放</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（1）材料、构件、料具等堆放时，悬挂有名称、品种、规格等标牌；</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（2）水泥和其他易飞扬细颗粒建筑材料应封闭存放或采取覆盖等措施；</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（3）易燃、易爆和有毒有害物品分类存放。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现场防火</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消防器材配置合理，符合消防要求。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垃圾清运</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施工现场应设置密闭式垃圾站，施工垃圾、生活垃圾应分类存放。</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施工垃圾必须采用相应容器或管道运输。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宣传栏、环保及不扰民措施</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宣传栏、安全宣传标语等，洗车（防止污染市区道路）、粉尘、噪声控制，排污（污水、废气）措施等。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临时设施</w:t>
            </w: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现场办公</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生活设施</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（1）施工现场办公、生活区与作业区分开设置，保持安全距离。</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（2）工地办公室、现场宿舍、食堂、厕所、饮水、沐浴、休息场所等符合卫生和安全要求；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施工现场</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临时用电</w:t>
            </w: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配电线路</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（1）按照TN-S系统要求配备五芯电缆、四芯电缆和三芯电缆。</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（2）按要求架设临时用电线路的电杆、横担、瓷夹、瓷瓶等，或电缆埋地的地沟。</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（3）对靠近施工现场的外电线路，设置木质、塑料等绝缘体的防护设施。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开关箱</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（1）按三级配电要求，配备总配电箱、分配电箱、开关箱三类（铁质）标准电箱。开关箱应符合一机、一箱、一闸、一漏。三类电箱中的各类电器应是合格品。</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（2）按两级保护的要求，选取符合容量要求和质量合格的总配电箱和开关箱中的漏电保护器。</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(3)对大型、落地式分配电箱、开关箱设置防护棚和通透式围挡。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接地保护装置</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施工现场应设置不少于三处的接地保护装置。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现场变配电装置</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总配电室建筑材料必须达到三级防火要求，室内做硬地坪、电缆沟。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安全施工</w:t>
            </w:r>
          </w:p>
        </w:tc>
        <w:tc>
          <w:tcPr>
            <w:tcW w:w="525"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临边洞口交叉高处作业防护</w:t>
            </w: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楼层、屋面、阳台等临边防护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用密目式安全立网全封闭，作业层另加两道防护栏杆和18cm高的踢脚板。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通道口</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设防护棚，防护棚应为不小于5cm厚的木板或两道相距50cm的竹笆。两侧应沿栏杆架用密目式安全网封闭。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预留洞口防护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用硬质材料全封闭；短边超过1.5m长的洞口，除封闭外四周还应设有防护栏杆。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电梯井口防护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设置定型化、工具化、标准化的防护门。在电梯井内每隔2层（不大于10m）设置一道安全平网。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楼梯边</w:t>
            </w:r>
          </w:p>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设1.2m高的定型化、工具化的防护栏，18cm高的踢脚板。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垂直方向交叉作业防护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设置防护隔离棚或其他设施。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高空作业防护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有悬挂安全带的悬索或其他设施；有操作平台；有上下的梯子或其他形式的通道。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基坑、卸料平台防护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设1.2m高标准化的防护栏，用密目式安全立网封闭，悬挂标识。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安全防护用品</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安全帽、安全带、特种作业人员（电工、混凝土工、焊工等）防护服装、用品等。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其他</w:t>
            </w:r>
          </w:p>
        </w:tc>
        <w:tc>
          <w:tcPr>
            <w:tcW w:w="525" w:type="dxa"/>
            <w:vMerge w:val="restart"/>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机械设备防护</w:t>
            </w: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中小型机械防护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设防护棚（同通道口防护并有防雨措施）。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525" w:type="dxa"/>
            <w:vMerge w:val="continue"/>
            <w:vAlign w:val="center"/>
          </w:tcPr>
          <w:p>
            <w:pPr>
              <w:spacing w:line="300" w:lineRule="exact"/>
              <w:jc w:val="center"/>
              <w:rPr>
                <w:color w:val="000000" w:themeColor="text1"/>
                <w14:textFill>
                  <w14:solidFill>
                    <w14:schemeClr w14:val="tx1"/>
                  </w14:solidFill>
                </w14:textFill>
              </w:rPr>
            </w:pPr>
          </w:p>
        </w:tc>
        <w:tc>
          <w:tcPr>
            <w:tcW w:w="1260" w:type="dxa"/>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垂直运输设备防护</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（1）垂直运输设备检测、检验、日常维护、保养等。</w:t>
            </w:r>
          </w:p>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（2）物料提升机、施工电梯等卸料平台搭设、外侧用密目式安全立网全封闭，有安全通道、安全防护门、防护棚等。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专家论证审查</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超过一定规模的危险性较大分部分项工程专家论证审查。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应急救援预案</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救援器材准备及演练等。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vAlign w:val="center"/>
          </w:tcPr>
          <w:p>
            <w:pPr>
              <w:spacing w:line="300" w:lineRule="exact"/>
              <w:jc w:val="center"/>
              <w:rPr>
                <w:color w:val="000000" w:themeColor="text1"/>
                <w14:textFill>
                  <w14:solidFill>
                    <w14:schemeClr w14:val="tx1"/>
                  </w14:solidFill>
                </w14:textFill>
              </w:rPr>
            </w:pPr>
          </w:p>
        </w:tc>
        <w:tc>
          <w:tcPr>
            <w:tcW w:w="1785" w:type="dxa"/>
            <w:gridSpan w:val="2"/>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非正常情况施工</w:t>
            </w:r>
          </w:p>
        </w:tc>
        <w:tc>
          <w:tcPr>
            <w:tcW w:w="6930" w:type="dxa"/>
            <w:vAlign w:val="center"/>
          </w:tcPr>
          <w:p>
            <w:pPr>
              <w:spacing w:line="3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其它特殊情况下的防护费用，如：城市主干道、人流密集、河边等处施工及文物、古建筑、古树保护等。</w:t>
            </w:r>
          </w:p>
        </w:tc>
      </w:tr>
    </w:tbl>
    <w:p>
      <w:pPr>
        <w:spacing w:before="120" w:beforeLines="50"/>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注：本表所列建筑工程安全防护、文明施工措施项目，是依据现行法律法规及标准规范确定的。如法律法规和标准规范修订，本表所列项目应按照修订后的法律法规和标准规范进行调整。</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8"/>
        <w:spacing w:line="440" w:lineRule="exact"/>
        <w:jc w:val="center"/>
        <w:outlineLvl w:val="1"/>
        <w:rPr>
          <w:rFonts w:hAnsi="宋体"/>
          <w:b/>
          <w:color w:val="000000" w:themeColor="text1"/>
          <w:sz w:val="24"/>
          <w:szCs w:val="24"/>
          <w14:textFill>
            <w14:solidFill>
              <w14:schemeClr w14:val="tx1"/>
            </w14:solidFill>
          </w14:textFill>
        </w:rPr>
      </w:pPr>
      <w:bookmarkStart w:id="601" w:name="_Toc530490871"/>
      <w:bookmarkStart w:id="602" w:name="_Toc16062844"/>
      <w:bookmarkStart w:id="603" w:name="_Toc533009204"/>
      <w:bookmarkStart w:id="604" w:name="_Toc530575497"/>
      <w:bookmarkStart w:id="605" w:name="_Toc530575395"/>
      <w:bookmarkStart w:id="606" w:name="_Toc525051042"/>
      <w:bookmarkStart w:id="607" w:name="_Toc530552309"/>
      <w:r>
        <w:rPr>
          <w:rFonts w:hint="eastAsia" w:hAnsi="宋体"/>
          <w:b/>
          <w:color w:val="000000" w:themeColor="text1"/>
          <w:sz w:val="24"/>
          <w:szCs w:val="24"/>
          <w14:textFill>
            <w14:solidFill>
              <w14:schemeClr w14:val="tx1"/>
            </w14:solidFill>
          </w14:textFill>
        </w:rPr>
        <w:t>法定代表人身份证明原件及授权委托书（委托代理时提供）（格式）</w:t>
      </w:r>
      <w:bookmarkEnd w:id="601"/>
      <w:bookmarkEnd w:id="602"/>
      <w:bookmarkEnd w:id="603"/>
      <w:bookmarkEnd w:id="604"/>
      <w:bookmarkEnd w:id="605"/>
      <w:bookmarkEnd w:id="606"/>
      <w:bookmarkEnd w:id="607"/>
    </w:p>
    <w:p>
      <w:pPr>
        <w:pStyle w:val="28"/>
        <w:spacing w:line="440" w:lineRule="exact"/>
        <w:ind w:firstLine="619" w:firstLineChars="257"/>
        <w:jc w:val="center"/>
        <w:rPr>
          <w:rFonts w:hAnsi="宋体"/>
          <w:b/>
          <w:color w:val="000000" w:themeColor="text1"/>
          <w:sz w:val="24"/>
          <w:szCs w:val="24"/>
          <w14:textFill>
            <w14:solidFill>
              <w14:schemeClr w14:val="tx1"/>
            </w14:solidFill>
          </w14:textFill>
        </w:rPr>
      </w:pPr>
    </w:p>
    <w:p>
      <w:pPr>
        <w:pStyle w:val="28"/>
        <w:spacing w:line="460" w:lineRule="exact"/>
        <w:ind w:firstLine="619" w:firstLineChars="257"/>
        <w:jc w:val="center"/>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法定代表人身份证明原件</w:t>
      </w:r>
    </w:p>
    <w:p>
      <w:pPr>
        <w:pStyle w:val="28"/>
        <w:spacing w:line="460" w:lineRule="exact"/>
        <w:ind w:firstLine="929" w:firstLineChars="257"/>
        <w:jc w:val="center"/>
        <w:rPr>
          <w:rFonts w:hAnsi="宋体"/>
          <w:b/>
          <w:color w:val="000000" w:themeColor="text1"/>
          <w:sz w:val="36"/>
          <w:szCs w:val="36"/>
          <w14:textFill>
            <w14:solidFill>
              <w14:schemeClr w14:val="tx1"/>
            </w14:solidFill>
          </w14:textFill>
        </w:rPr>
      </w:pPr>
    </w:p>
    <w:p>
      <w:pPr>
        <w:pStyle w:val="28"/>
        <w:spacing w:line="460" w:lineRule="exact"/>
        <w:ind w:firstLine="40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单位名称：</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pPr>
        <w:pStyle w:val="28"/>
        <w:spacing w:line="460" w:lineRule="exact"/>
        <w:ind w:firstLine="40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地    址：</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pPr>
        <w:pStyle w:val="28"/>
        <w:spacing w:line="460" w:lineRule="exact"/>
        <w:ind w:firstLine="40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姓    名：</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性别：</w:t>
      </w:r>
      <w:r>
        <w:rPr>
          <w:rFonts w:hint="eastAsia" w:hAnsi="宋体"/>
          <w:color w:val="000000" w:themeColor="text1"/>
          <w:u w:val="single"/>
          <w14:textFill>
            <w14:solidFill>
              <w14:schemeClr w14:val="tx1"/>
            </w14:solidFill>
          </w14:textFill>
        </w:rPr>
        <w:t xml:space="preserve">         </w:t>
      </w:r>
    </w:p>
    <w:p>
      <w:pPr>
        <w:pStyle w:val="28"/>
        <w:spacing w:line="460" w:lineRule="exact"/>
        <w:ind w:firstLine="40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年    龄：</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职务：</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pPr>
        <w:pStyle w:val="28"/>
        <w:spacing w:line="460" w:lineRule="exact"/>
        <w:ind w:firstLine="400" w:firstLineChars="200"/>
        <w:rPr>
          <w:rFonts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系</w:t>
      </w:r>
      <w:r>
        <w:rPr>
          <w:rFonts w:hint="eastAsia" w:hAnsi="宋体"/>
          <w:color w:val="000000" w:themeColor="text1"/>
          <w:u w:val="single"/>
          <w14:textFill>
            <w14:solidFill>
              <w14:schemeClr w14:val="tx1"/>
            </w14:solidFill>
          </w14:textFill>
        </w:rPr>
        <w:t>（供应商名称）</w:t>
      </w:r>
      <w:r>
        <w:rPr>
          <w:rFonts w:hint="eastAsia" w:hAnsi="宋体"/>
          <w:color w:val="000000" w:themeColor="text1"/>
          <w14:textFill>
            <w14:solidFill>
              <w14:schemeClr w14:val="tx1"/>
            </w14:solidFill>
          </w14:textFill>
        </w:rPr>
        <w:t>的法定代表人，以本单位的名义参加</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工程的磋商活动。为施工业务，签署上述工程的响应文件、进行合同磋商、签署合同和处理与之有关的一切事务。</w:t>
      </w:r>
    </w:p>
    <w:p>
      <w:pPr>
        <w:pStyle w:val="28"/>
        <w:spacing w:line="460" w:lineRule="exact"/>
        <w:ind w:firstLine="514" w:firstLineChars="257"/>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特此证明。</w:t>
      </w:r>
    </w:p>
    <w:p>
      <w:pPr>
        <w:pStyle w:val="28"/>
        <w:spacing w:line="460" w:lineRule="exact"/>
        <w:ind w:firstLine="514" w:firstLineChars="257"/>
        <w:rPr>
          <w:rFonts w:hAnsi="宋体"/>
          <w:color w:val="000000" w:themeColor="text1"/>
          <w14:textFill>
            <w14:solidFill>
              <w14:schemeClr w14:val="tx1"/>
            </w14:solidFill>
          </w14:textFill>
        </w:rPr>
      </w:pPr>
    </w:p>
    <w:p>
      <w:pPr>
        <w:pStyle w:val="28"/>
        <w:spacing w:line="460" w:lineRule="exact"/>
        <w:ind w:firstLine="514" w:firstLineChars="257"/>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附件：法定代表人有效身份证正反面复印件</w:t>
      </w:r>
    </w:p>
    <w:p>
      <w:pPr>
        <w:pStyle w:val="28"/>
        <w:spacing w:line="460" w:lineRule="exact"/>
        <w:ind w:firstLine="514" w:firstLineChars="257"/>
        <w:rPr>
          <w:rFonts w:hAnsi="宋体"/>
          <w:color w:val="000000" w:themeColor="text1"/>
          <w14:textFill>
            <w14:solidFill>
              <w14:schemeClr w14:val="tx1"/>
            </w14:solidFill>
          </w14:textFill>
        </w:rPr>
      </w:pPr>
    </w:p>
    <w:p>
      <w:pPr>
        <w:pStyle w:val="28"/>
        <w:spacing w:line="460" w:lineRule="exact"/>
        <w:ind w:firstLine="514" w:firstLineChars="257"/>
        <w:jc w:val="righ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供应商（电子签章）：</w:t>
      </w:r>
    </w:p>
    <w:p>
      <w:pPr>
        <w:pStyle w:val="28"/>
        <w:spacing w:line="460" w:lineRule="exact"/>
        <w:ind w:firstLine="500" w:firstLineChars="250"/>
        <w:jc w:val="righ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日期：      年    月    日</w:t>
      </w:r>
    </w:p>
    <w:p>
      <w:pPr>
        <w:pStyle w:val="28"/>
        <w:spacing w:line="460" w:lineRule="exact"/>
        <w:rPr>
          <w:rFonts w:hAnsi="宋体"/>
          <w:color w:val="000000" w:themeColor="text1"/>
          <w14:textFill>
            <w14:solidFill>
              <w14:schemeClr w14:val="tx1"/>
            </w14:solidFill>
          </w14:textFill>
        </w:rPr>
      </w:pPr>
    </w:p>
    <w:p>
      <w:pPr>
        <w:pStyle w:val="28"/>
        <w:spacing w:line="460" w:lineRule="exact"/>
        <w:rPr>
          <w:rFonts w:hAnsi="宋体"/>
          <w:color w:val="000000" w:themeColor="text1"/>
          <w14:textFill>
            <w14:solidFill>
              <w14:schemeClr w14:val="tx1"/>
            </w14:solidFill>
          </w14:textFill>
        </w:rPr>
      </w:pPr>
    </w:p>
    <w:p>
      <w:pPr>
        <w:spacing w:line="360" w:lineRule="auto"/>
        <w:contextualSpacing/>
        <w:jc w:val="left"/>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注：自然人竞标的无需提供，联合体竞标的只需牵头人出具。</w:t>
      </w:r>
    </w:p>
    <w:p>
      <w:pPr>
        <w:pStyle w:val="28"/>
        <w:rPr>
          <w:rFonts w:hAnsi="宋体"/>
          <w:color w:val="000000" w:themeColor="text1"/>
          <w14:textFill>
            <w14:solidFill>
              <w14:schemeClr w14:val="tx1"/>
            </w14:solidFill>
          </w14:textFill>
        </w:rPr>
      </w:pPr>
    </w:p>
    <w:p>
      <w:pPr>
        <w:pStyle w:val="28"/>
        <w:jc w:val="center"/>
        <w:rPr>
          <w:rFonts w:hAnsi="宋体"/>
          <w:b/>
          <w:color w:val="000000" w:themeColor="text1"/>
          <w:sz w:val="28"/>
          <w:szCs w:val="28"/>
          <w14:textFill>
            <w14:solidFill>
              <w14:schemeClr w14:val="tx1"/>
            </w14:solidFill>
          </w14:textFill>
        </w:rPr>
      </w:pPr>
      <w:r>
        <w:rPr>
          <w:rFonts w:hAnsi="宋体"/>
          <w:b/>
          <w:color w:val="000000" w:themeColor="text1"/>
          <w:sz w:val="24"/>
          <w:szCs w:val="24"/>
          <w14:textFill>
            <w14:solidFill>
              <w14:schemeClr w14:val="tx1"/>
            </w14:solidFill>
          </w14:textFill>
        </w:rPr>
        <w:br w:type="page"/>
      </w:r>
      <w:r>
        <w:rPr>
          <w:rFonts w:hint="eastAsia" w:hAnsi="宋体"/>
          <w:b/>
          <w:color w:val="000000" w:themeColor="text1"/>
          <w:sz w:val="28"/>
          <w:szCs w:val="28"/>
          <w14:textFill>
            <w14:solidFill>
              <w14:schemeClr w14:val="tx1"/>
            </w14:solidFill>
          </w14:textFill>
        </w:rPr>
        <w:t>授权委托书</w:t>
      </w:r>
    </w:p>
    <w:p>
      <w:pPr>
        <w:pStyle w:val="28"/>
        <w:jc w:val="center"/>
        <w:rPr>
          <w:rFonts w:hAnsi="宋体"/>
          <w:b/>
          <w:color w:val="000000" w:themeColor="text1"/>
          <w:sz w:val="24"/>
          <w:szCs w:val="24"/>
          <w14:textFill>
            <w14:solidFill>
              <w14:schemeClr w14:val="tx1"/>
            </w14:solidFill>
          </w14:textFill>
        </w:rPr>
      </w:pPr>
    </w:p>
    <w:p>
      <w:pPr>
        <w:pStyle w:val="28"/>
        <w:rPr>
          <w:rFonts w:hAnsi="宋体"/>
          <w:color w:val="000000" w:themeColor="text1"/>
          <w14:textFill>
            <w14:solidFill>
              <w14:schemeClr w14:val="tx1"/>
            </w14:solidFill>
          </w14:textFill>
        </w:rPr>
      </w:pPr>
    </w:p>
    <w:p>
      <w:pPr>
        <w:spacing w:line="360" w:lineRule="auto"/>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致：</w:t>
      </w:r>
      <w:r>
        <w:rPr>
          <w:rFonts w:hint="eastAsia" w:ascii="宋体" w:hAnsi="宋体" w:cs="仿宋_GB2312"/>
          <w:color w:val="000000" w:themeColor="text1"/>
          <w:sz w:val="24"/>
          <w:u w:val="single"/>
          <w14:textFill>
            <w14:solidFill>
              <w14:schemeClr w14:val="tx1"/>
            </w14:solidFill>
          </w14:textFill>
        </w:rPr>
        <w:t>（采购人名称）</w:t>
      </w:r>
      <w:r>
        <w:rPr>
          <w:rFonts w:hint="eastAsia" w:ascii="宋体" w:hAnsi="宋体" w:cs="仿宋_GB2312"/>
          <w:color w:val="000000" w:themeColor="text1"/>
          <w:sz w:val="24"/>
          <w14:textFill>
            <w14:solidFill>
              <w14:schemeClr w14:val="tx1"/>
            </w14:solidFill>
          </w14:textFill>
        </w:rPr>
        <w:t>：</w:t>
      </w:r>
    </w:p>
    <w:p>
      <w:pPr>
        <w:spacing w:line="360" w:lineRule="auto"/>
        <w:ind w:firstLine="480" w:firstLineChars="200"/>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我</w:t>
      </w:r>
      <w:r>
        <w:rPr>
          <w:rFonts w:hint="eastAsia" w:ascii="宋体" w:hAnsi="宋体" w:cs="仿宋_GB2312"/>
          <w:color w:val="000000" w:themeColor="text1"/>
          <w:sz w:val="24"/>
          <w:u w:val="single"/>
          <w14:textFill>
            <w14:solidFill>
              <w14:schemeClr w14:val="tx1"/>
            </w14:solidFill>
          </w14:textFill>
        </w:rPr>
        <w:t xml:space="preserve">  （姓名）  </w:t>
      </w:r>
      <w:r>
        <w:rPr>
          <w:rFonts w:hint="eastAsia" w:ascii="宋体" w:hAnsi="宋体" w:cs="仿宋_GB2312"/>
          <w:color w:val="000000" w:themeColor="text1"/>
          <w:sz w:val="24"/>
          <w14:textFill>
            <w14:solidFill>
              <w14:schemeClr w14:val="tx1"/>
            </w14:solidFill>
          </w14:textFill>
        </w:rPr>
        <w:t>系</w:t>
      </w:r>
      <w:r>
        <w:rPr>
          <w:rFonts w:hint="eastAsia" w:ascii="宋体" w:hAnsi="宋体" w:cs="仿宋_GB2312"/>
          <w:color w:val="000000" w:themeColor="text1"/>
          <w:sz w:val="24"/>
          <w:u w:val="single"/>
          <w14:textFill>
            <w14:solidFill>
              <w14:schemeClr w14:val="tx1"/>
            </w14:solidFill>
          </w14:textFill>
        </w:rPr>
        <w:t xml:space="preserve">  （供应商名称）  </w:t>
      </w:r>
      <w:r>
        <w:rPr>
          <w:rFonts w:hint="eastAsia" w:ascii="宋体" w:hAnsi="宋体" w:cs="仿宋_GB2312"/>
          <w:color w:val="000000" w:themeColor="text1"/>
          <w:sz w:val="24"/>
          <w14:textFill>
            <w14:solidFill>
              <w14:schemeClr w14:val="tx1"/>
            </w14:solidFill>
          </w14:textFill>
        </w:rPr>
        <w:t>的（</w:t>
      </w:r>
      <w:r>
        <w:rPr>
          <w:rFonts w:hint="eastAsia" w:ascii="宋体" w:hAnsi="宋体" w:cs="仿宋_GB2312"/>
          <w:color w:val="000000" w:themeColor="text1"/>
          <w:sz w:val="24"/>
          <w:u w:val="single"/>
          <w14:textFill>
            <w14:solidFill>
              <w14:schemeClr w14:val="tx1"/>
            </w14:solidFill>
          </w14:textFill>
        </w:rPr>
        <w:sym w:font="Wingdings 2" w:char="00A3"/>
      </w:r>
      <w:r>
        <w:rPr>
          <w:rFonts w:hint="eastAsia" w:ascii="宋体" w:hAnsi="宋体" w:cs="仿宋_GB2312"/>
          <w:color w:val="000000" w:themeColor="text1"/>
          <w:sz w:val="24"/>
          <w:u w:val="single"/>
          <w14:textFill>
            <w14:solidFill>
              <w14:schemeClr w14:val="tx1"/>
            </w14:solidFill>
          </w14:textFill>
        </w:rPr>
        <w:t>法定代表人/□负责人/□自然人本人</w:t>
      </w:r>
      <w:r>
        <w:rPr>
          <w:rFonts w:hint="eastAsia" w:ascii="宋体" w:hAnsi="宋体" w:cs="仿宋_GB2312"/>
          <w:color w:val="000000" w:themeColor="text1"/>
          <w:sz w:val="24"/>
          <w14:textFill>
            <w14:solidFill>
              <w14:schemeClr w14:val="tx1"/>
            </w14:solidFill>
          </w14:textFill>
        </w:rPr>
        <w:t>），现授权</w:t>
      </w:r>
      <w:r>
        <w:rPr>
          <w:rFonts w:hint="eastAsia" w:ascii="宋体" w:hAnsi="宋体" w:cs="仿宋_GB2312"/>
          <w:color w:val="000000" w:themeColor="text1"/>
          <w:sz w:val="24"/>
          <w:u w:val="single"/>
          <w14:textFill>
            <w14:solidFill>
              <w14:schemeClr w14:val="tx1"/>
            </w14:solidFill>
          </w14:textFill>
        </w:rPr>
        <w:t xml:space="preserve"> （姓名） </w:t>
      </w:r>
      <w:r>
        <w:rPr>
          <w:rFonts w:hint="eastAsia" w:ascii="宋体" w:hAnsi="宋体" w:cs="仿宋_GB2312"/>
          <w:color w:val="000000" w:themeColor="text1"/>
          <w:sz w:val="24"/>
          <w14:textFill>
            <w14:solidFill>
              <w14:schemeClr w14:val="tx1"/>
            </w14:solidFill>
          </w14:textFill>
        </w:rPr>
        <w:t>以我方的名义参加</w:t>
      </w:r>
      <w:r>
        <w:rPr>
          <w:rFonts w:hint="eastAsia" w:ascii="宋体" w:hAnsi="宋体" w:cs="仿宋_GB2312"/>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14:textFill>
            <w14:solidFill>
              <w14:schemeClr w14:val="tx1"/>
            </w14:solidFill>
          </w14:textFill>
        </w:rPr>
        <w:t>项目的竞标活动，并代表我方全权办理针对上述项目的所有采购程序和环节的具体事务和签署相关文件。</w:t>
      </w:r>
    </w:p>
    <w:p>
      <w:pPr>
        <w:spacing w:line="360" w:lineRule="auto"/>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    我方对委托代理人的签字</w:t>
      </w:r>
      <w:r>
        <w:rPr>
          <w:rFonts w:hint="eastAsia" w:ascii="宋体" w:hAnsi="宋体"/>
          <w:color w:val="000000" w:themeColor="text1"/>
          <w:sz w:val="24"/>
          <w14:textFill>
            <w14:solidFill>
              <w14:schemeClr w14:val="tx1"/>
            </w14:solidFill>
          </w14:textFill>
        </w:rPr>
        <w:t>或者电子签名</w:t>
      </w:r>
      <w:r>
        <w:rPr>
          <w:rFonts w:hint="eastAsia" w:ascii="宋体" w:hAnsi="宋体" w:cs="仿宋_GB2312"/>
          <w:color w:val="000000" w:themeColor="text1"/>
          <w:sz w:val="24"/>
          <w14:textFill>
            <w14:solidFill>
              <w14:schemeClr w14:val="tx1"/>
            </w14:solidFill>
          </w14:textFill>
        </w:rPr>
        <w:t>事项负全部责任。</w:t>
      </w:r>
    </w:p>
    <w:p>
      <w:pPr>
        <w:spacing w:line="360" w:lineRule="auto"/>
        <w:ind w:firstLine="480" w:firstLineChars="200"/>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本授权书自签署之日起生效，在撤销授权的书面通知以前，本授权书一直有效。委托代理人在授权书有效期内签署的所有文件不因授权的撤销而失效。</w:t>
      </w:r>
    </w:p>
    <w:p>
      <w:pPr>
        <w:spacing w:line="360" w:lineRule="auto"/>
        <w:ind w:firstLine="480" w:firstLineChars="200"/>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委托代理人无转委托权，特此委托。</w:t>
      </w:r>
    </w:p>
    <w:p>
      <w:pPr>
        <w:spacing w:line="360" w:lineRule="auto"/>
        <w:ind w:firstLine="480" w:firstLineChars="200"/>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附：法定代表人身份证明书及委托代理人有效身份证正反面复印件</w:t>
      </w:r>
    </w:p>
    <w:p>
      <w:pPr>
        <w:spacing w:line="360" w:lineRule="auto"/>
        <w:rPr>
          <w:rFonts w:ascii="宋体" w:hAnsi="宋体" w:cs="仿宋_GB2312"/>
          <w:color w:val="000000" w:themeColor="text1"/>
          <w:sz w:val="24"/>
          <w14:textFill>
            <w14:solidFill>
              <w14:schemeClr w14:val="tx1"/>
            </w14:solidFill>
          </w14:textFill>
        </w:rPr>
      </w:pPr>
    </w:p>
    <w:p>
      <w:pPr>
        <w:spacing w:line="360" w:lineRule="auto"/>
        <w:contextualSpacing/>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委托代理人（</w:t>
      </w:r>
      <w:r>
        <w:rPr>
          <w:rFonts w:hint="eastAsia" w:ascii="宋体" w:hAnsi="宋体"/>
          <w:color w:val="000000" w:themeColor="text1"/>
          <w:sz w:val="24"/>
          <w14:textFill>
            <w14:solidFill>
              <w14:schemeClr w14:val="tx1"/>
            </w14:solidFill>
          </w14:textFill>
        </w:rPr>
        <w:t>签字或者电子签名</w:t>
      </w:r>
      <w:r>
        <w:rPr>
          <w:rFonts w:hint="eastAsia" w:ascii="宋体" w:hAnsi="宋体" w:cs="仿宋_GB2312"/>
          <w:color w:val="000000" w:themeColor="text1"/>
          <w:sz w:val="24"/>
          <w14:textFill>
            <w14:solidFill>
              <w14:schemeClr w14:val="tx1"/>
            </w14:solidFill>
          </w14:textFill>
        </w:rPr>
        <w:t xml:space="preserve">）：     法定代表人（签字或者盖章或者电子签名）：                    </w:t>
      </w:r>
    </w:p>
    <w:p>
      <w:pPr>
        <w:spacing w:line="360" w:lineRule="auto"/>
        <w:contextualSpacing/>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委托代理人身份证号码：                              </w:t>
      </w:r>
    </w:p>
    <w:p>
      <w:pPr>
        <w:spacing w:line="360" w:lineRule="auto"/>
        <w:contextualSpacing/>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                                </w:t>
      </w:r>
    </w:p>
    <w:p>
      <w:pPr>
        <w:spacing w:line="360" w:lineRule="auto"/>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                                      供应商（电子签章）：                      </w:t>
      </w:r>
    </w:p>
    <w:p>
      <w:pPr>
        <w:spacing w:line="360" w:lineRule="auto"/>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                                         年    月    日</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widowControl/>
        <w:spacing w:line="360" w:lineRule="auto"/>
        <w:ind w:firstLine="315"/>
        <w:jc w:val="left"/>
        <w:rPr>
          <w:rFonts w:ascii="宋体" w:hAnsi="宋体"/>
          <w:color w:val="000000" w:themeColor="text1"/>
          <w:spacing w:val="2"/>
          <w:kern w:val="0"/>
          <w:szCs w:val="21"/>
          <w14:textFill>
            <w14:solidFill>
              <w14:schemeClr w14:val="tx1"/>
            </w14:solidFill>
          </w14:textFill>
        </w:rPr>
      </w:pPr>
      <w:r>
        <w:rPr>
          <w:rFonts w:hint="eastAsia" w:ascii="宋体" w:hAnsi="宋体"/>
          <w:b/>
          <w:color w:val="000000" w:themeColor="text1"/>
          <w:spacing w:val="2"/>
          <w:kern w:val="0"/>
          <w:szCs w:val="21"/>
          <w14:textFill>
            <w14:solidFill>
              <w14:schemeClr w14:val="tx1"/>
            </w14:solidFill>
          </w14:textFill>
        </w:rPr>
        <w:t xml:space="preserve">中小企业声明函或残疾人福利性单位声明函或供应商属于监狱企业的证明材料； </w:t>
      </w:r>
      <w:r>
        <w:rPr>
          <w:rFonts w:hint="eastAsia" w:ascii="宋体" w:hAnsi="宋体"/>
          <w:color w:val="000000" w:themeColor="text1"/>
          <w:spacing w:val="2"/>
          <w:kern w:val="0"/>
          <w:szCs w:val="21"/>
          <w14:textFill>
            <w14:solidFill>
              <w14:schemeClr w14:val="tx1"/>
            </w14:solidFill>
          </w14:textFill>
        </w:rPr>
        <w:t>（</w:t>
      </w:r>
      <w:r>
        <w:rPr>
          <w:rFonts w:hint="eastAsia" w:ascii="宋体" w:hAnsi="宋体"/>
          <w:b/>
          <w:bCs/>
          <w:color w:val="000000" w:themeColor="text1"/>
          <w:spacing w:val="2"/>
          <w:kern w:val="0"/>
          <w:szCs w:val="21"/>
          <w14:textFill>
            <w14:solidFill>
              <w14:schemeClr w14:val="tx1"/>
            </w14:solidFill>
          </w14:textFill>
        </w:rPr>
        <w:t>必须提供，否则按无效响应处理</w:t>
      </w:r>
      <w:r>
        <w:rPr>
          <w:rFonts w:hint="eastAsia" w:ascii="宋体" w:hAnsi="宋体"/>
          <w:color w:val="000000" w:themeColor="text1"/>
          <w:spacing w:val="2"/>
          <w:kern w:val="0"/>
          <w:szCs w:val="21"/>
          <w14:textFill>
            <w14:solidFill>
              <w14:schemeClr w14:val="tx1"/>
            </w14:solidFill>
          </w14:textFill>
        </w:rPr>
        <w:t>）</w:t>
      </w:r>
    </w:p>
    <w:p>
      <w:pPr>
        <w:widowControl/>
        <w:spacing w:line="588" w:lineRule="atLeast"/>
        <w:jc w:val="center"/>
        <w:rPr>
          <w:rFonts w:ascii="宋体" w:hAnsi="宋体"/>
          <w:b/>
          <w:bCs/>
          <w:color w:val="000000" w:themeColor="text1"/>
          <w:spacing w:val="6"/>
          <w:kern w:val="0"/>
          <w:szCs w:val="21"/>
          <w14:textFill>
            <w14:solidFill>
              <w14:schemeClr w14:val="tx1"/>
            </w14:solidFill>
          </w14:textFill>
        </w:rPr>
      </w:pPr>
      <w:r>
        <w:rPr>
          <w:rFonts w:hint="eastAsia" w:ascii="宋体" w:hAnsi="宋体"/>
          <w:b/>
          <w:bCs/>
          <w:color w:val="000000" w:themeColor="text1"/>
          <w:spacing w:val="6"/>
          <w:kern w:val="0"/>
          <w:szCs w:val="21"/>
          <w14:textFill>
            <w14:solidFill>
              <w14:schemeClr w14:val="tx1"/>
            </w14:solidFill>
          </w14:textFill>
        </w:rPr>
        <w:t>（1）中小企业声明函</w:t>
      </w:r>
    </w:p>
    <w:p>
      <w:pPr>
        <w:widowControl/>
        <w:spacing w:line="588" w:lineRule="atLeast"/>
        <w:rPr>
          <w:rFonts w:ascii="宋体" w:hAnsi="宋体"/>
          <w:b/>
          <w:bCs/>
          <w:color w:val="000000" w:themeColor="text1"/>
          <w:spacing w:val="6"/>
          <w:kern w:val="0"/>
          <w:szCs w:val="21"/>
          <w14:textFill>
            <w14:solidFill>
              <w14:schemeClr w14:val="tx1"/>
            </w14:solidFill>
          </w14:textFill>
        </w:rPr>
      </w:pPr>
      <w:r>
        <w:rPr>
          <w:rFonts w:hint="eastAsia" w:ascii="宋体" w:hAnsi="宋体"/>
          <w:b/>
          <w:bCs/>
          <w:color w:val="000000" w:themeColor="text1"/>
          <w:spacing w:val="6"/>
          <w:kern w:val="0"/>
          <w:szCs w:val="21"/>
          <w14:textFill>
            <w14:solidFill>
              <w14:schemeClr w14:val="tx1"/>
            </w14:solidFill>
          </w14:textFill>
        </w:rPr>
        <w:t xml:space="preserve"> </w:t>
      </w:r>
    </w:p>
    <w:p>
      <w:pPr>
        <w:widowControl/>
        <w:spacing w:line="360" w:lineRule="auto"/>
        <w:ind w:right="142" w:firstLine="70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本公司郑重声明，根据《政府采购促进中小企业发展管理办法》（财库﹝2020﹞46号）的规定，本公司参加</w:t>
      </w:r>
      <w:r>
        <w:rPr>
          <w:rFonts w:hint="eastAsia" w:ascii="宋体" w:hAnsi="宋体"/>
          <w:color w:val="000000" w:themeColor="text1"/>
          <w:kern w:val="0"/>
          <w:szCs w:val="21"/>
          <w:u w:val="single"/>
          <w14:textFill>
            <w14:solidFill>
              <w14:schemeClr w14:val="tx1"/>
            </w14:solidFill>
          </w14:textFill>
        </w:rPr>
        <w:t>（单位名称）</w:t>
      </w:r>
      <w:r>
        <w:rPr>
          <w:rFonts w:hint="eastAsia" w:ascii="宋体" w:hAnsi="宋体"/>
          <w:color w:val="000000" w:themeColor="text1"/>
          <w:kern w:val="0"/>
          <w:szCs w:val="21"/>
          <w14:textFill>
            <w14:solidFill>
              <w14:schemeClr w14:val="tx1"/>
            </w14:solidFill>
          </w14:textFill>
        </w:rPr>
        <w:t>的</w:t>
      </w:r>
      <w:r>
        <w:rPr>
          <w:rFonts w:hint="eastAsia" w:ascii="宋体" w:hAnsi="宋体"/>
          <w:color w:val="000000" w:themeColor="text1"/>
          <w:kern w:val="0"/>
          <w:szCs w:val="21"/>
          <w:u w:val="single"/>
          <w14:textFill>
            <w14:solidFill>
              <w14:schemeClr w14:val="tx1"/>
            </w14:solidFill>
          </w14:textFill>
        </w:rPr>
        <w:t>（项目名称）</w:t>
      </w:r>
      <w:r>
        <w:rPr>
          <w:rFonts w:hint="eastAsia" w:ascii="宋体" w:hAnsi="宋体"/>
          <w:color w:val="000000" w:themeColor="text1"/>
          <w:kern w:val="0"/>
          <w:szCs w:val="21"/>
          <w14:textFill>
            <w14:solidFill>
              <w14:schemeClr w14:val="tx1"/>
            </w14:solidFill>
          </w14:textFill>
        </w:rPr>
        <w:t>采购活动，工程全部由符合政策要求的中小企业承接。相关企业（含联合体中的中小企业、签订分包意向协议的中小企业）的具体情况如下：</w:t>
      </w:r>
    </w:p>
    <w:p>
      <w:pPr>
        <w:widowControl/>
        <w:spacing w:before="13" w:line="360" w:lineRule="auto"/>
        <w:ind w:right="142" w:firstLine="773"/>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w:t>
      </w:r>
      <w:r>
        <w:rPr>
          <w:rFonts w:hint="eastAsia" w:ascii="宋体" w:hAnsi="宋体"/>
          <w:color w:val="000000" w:themeColor="text1"/>
          <w:kern w:val="0"/>
          <w:szCs w:val="21"/>
          <w:u w:val="single"/>
          <w14:textFill>
            <w14:solidFill>
              <w14:schemeClr w14:val="tx1"/>
            </w14:solidFill>
          </w14:textFill>
        </w:rPr>
        <w:t>（标的名称）</w:t>
      </w:r>
      <w:r>
        <w:rPr>
          <w:rFonts w:hint="eastAsia" w:ascii="宋体" w:hAnsi="宋体"/>
          <w:color w:val="000000" w:themeColor="text1"/>
          <w:kern w:val="0"/>
          <w:szCs w:val="21"/>
          <w14:textFill>
            <w14:solidFill>
              <w14:schemeClr w14:val="tx1"/>
            </w14:solidFill>
          </w14:textFill>
        </w:rPr>
        <w:t>，属于</w:t>
      </w:r>
      <w:r>
        <w:rPr>
          <w:rFonts w:hint="eastAsia" w:ascii="宋体" w:hAnsi="宋体"/>
          <w:color w:val="000000" w:themeColor="text1"/>
          <w:kern w:val="0"/>
          <w:szCs w:val="21"/>
          <w:u w:val="single"/>
          <w14:textFill>
            <w14:solidFill>
              <w14:schemeClr w14:val="tx1"/>
            </w14:solidFill>
          </w14:textFill>
        </w:rPr>
        <w:t>（采购文件中明确的所属行业）</w:t>
      </w:r>
      <w:r>
        <w:rPr>
          <w:rFonts w:hint="eastAsia" w:ascii="宋体" w:hAnsi="宋体"/>
          <w:color w:val="000000" w:themeColor="text1"/>
          <w:kern w:val="0"/>
          <w:szCs w:val="21"/>
          <w14:textFill>
            <w14:solidFill>
              <w14:schemeClr w14:val="tx1"/>
            </w14:solidFill>
          </w14:textFill>
        </w:rPr>
        <w:t>；承接企业为</w:t>
      </w:r>
      <w:r>
        <w:rPr>
          <w:rFonts w:hint="eastAsia" w:ascii="宋体" w:hAnsi="宋体"/>
          <w:color w:val="000000" w:themeColor="text1"/>
          <w:kern w:val="0"/>
          <w:szCs w:val="21"/>
          <w:u w:val="single"/>
          <w14:textFill>
            <w14:solidFill>
              <w14:schemeClr w14:val="tx1"/>
            </w14:solidFill>
          </w14:textFill>
        </w:rPr>
        <w:t>（企业名称）</w:t>
      </w:r>
      <w:r>
        <w:rPr>
          <w:rFonts w:hint="eastAsia" w:ascii="宋体" w:hAnsi="宋体"/>
          <w:color w:val="000000" w:themeColor="text1"/>
          <w:kern w:val="0"/>
          <w:szCs w:val="21"/>
          <w14:textFill>
            <w14:solidFill>
              <w14:schemeClr w14:val="tx1"/>
            </w14:solidFill>
          </w14:textFill>
        </w:rPr>
        <w:t>，从业人员</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人，营业收入为</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万元，资产总额为</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万元，属于</w:t>
      </w:r>
      <w:r>
        <w:rPr>
          <w:rFonts w:hint="eastAsia" w:ascii="宋体" w:hAnsi="宋体"/>
          <w:color w:val="000000" w:themeColor="text1"/>
          <w:kern w:val="0"/>
          <w:szCs w:val="21"/>
          <w:u w:val="single"/>
          <w14:textFill>
            <w14:solidFill>
              <w14:schemeClr w14:val="tx1"/>
            </w14:solidFill>
          </w14:textFill>
        </w:rPr>
        <w:t>（中型企业、小型企业、微型企业）</w:t>
      </w:r>
      <w:r>
        <w:rPr>
          <w:rFonts w:hint="eastAsia" w:ascii="宋体" w:hAnsi="宋体"/>
          <w:color w:val="000000" w:themeColor="text1"/>
          <w:kern w:val="0"/>
          <w:szCs w:val="21"/>
          <w14:textFill>
            <w14:solidFill>
              <w14:schemeClr w14:val="tx1"/>
            </w14:solidFill>
          </w14:textFill>
        </w:rPr>
        <w:t>；</w:t>
      </w:r>
    </w:p>
    <w:p>
      <w:pPr>
        <w:widowControl/>
        <w:spacing w:before="20" w:line="360" w:lineRule="auto"/>
        <w:ind w:right="84" w:firstLine="773"/>
        <w:jc w:val="left"/>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w:t>
      </w:r>
      <w:r>
        <w:rPr>
          <w:rFonts w:hint="eastAsia" w:ascii="宋体" w:hAnsi="宋体"/>
          <w:color w:val="000000" w:themeColor="text1"/>
          <w:kern w:val="0"/>
          <w:szCs w:val="21"/>
          <w:u w:val="single"/>
          <w14:textFill>
            <w14:solidFill>
              <w14:schemeClr w14:val="tx1"/>
            </w14:solidFill>
          </w14:textFill>
        </w:rPr>
        <w:t>（标的名称）</w:t>
      </w:r>
      <w:r>
        <w:rPr>
          <w:rFonts w:hint="eastAsia" w:ascii="宋体" w:hAnsi="宋体"/>
          <w:color w:val="000000" w:themeColor="text1"/>
          <w:kern w:val="0"/>
          <w:szCs w:val="21"/>
          <w14:textFill>
            <w14:solidFill>
              <w14:schemeClr w14:val="tx1"/>
            </w14:solidFill>
          </w14:textFill>
        </w:rPr>
        <w:t>，属于</w:t>
      </w:r>
      <w:r>
        <w:rPr>
          <w:rFonts w:hint="eastAsia" w:ascii="宋体" w:hAnsi="宋体"/>
          <w:color w:val="000000" w:themeColor="text1"/>
          <w:kern w:val="0"/>
          <w:szCs w:val="21"/>
          <w:u w:val="single"/>
          <w14:textFill>
            <w14:solidFill>
              <w14:schemeClr w14:val="tx1"/>
            </w14:solidFill>
          </w14:textFill>
        </w:rPr>
        <w:t>（采购文件中明确的所属行业）</w:t>
      </w:r>
      <w:r>
        <w:rPr>
          <w:rFonts w:hint="eastAsia" w:ascii="宋体" w:hAnsi="宋体"/>
          <w:color w:val="000000" w:themeColor="text1"/>
          <w:kern w:val="0"/>
          <w:szCs w:val="21"/>
          <w14:textFill>
            <w14:solidFill>
              <w14:schemeClr w14:val="tx1"/>
            </w14:solidFill>
          </w14:textFill>
        </w:rPr>
        <w:t>；承接企业为</w:t>
      </w:r>
      <w:r>
        <w:rPr>
          <w:rFonts w:hint="eastAsia" w:ascii="宋体" w:hAnsi="宋体"/>
          <w:color w:val="000000" w:themeColor="text1"/>
          <w:kern w:val="0"/>
          <w:szCs w:val="21"/>
          <w:u w:val="single"/>
          <w14:textFill>
            <w14:solidFill>
              <w14:schemeClr w14:val="tx1"/>
            </w14:solidFill>
          </w14:textFill>
        </w:rPr>
        <w:t>（企业名称）</w:t>
      </w:r>
      <w:r>
        <w:rPr>
          <w:rFonts w:hint="eastAsia" w:ascii="宋体" w:hAnsi="宋体"/>
          <w:color w:val="000000" w:themeColor="text1"/>
          <w:kern w:val="0"/>
          <w:szCs w:val="21"/>
          <w14:textFill>
            <w14:solidFill>
              <w14:schemeClr w14:val="tx1"/>
            </w14:solidFill>
          </w14:textFill>
        </w:rPr>
        <w:t>，从业人员</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人，营业收入为</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万元，资产总额为</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万元，属于</w:t>
      </w:r>
      <w:r>
        <w:rPr>
          <w:rFonts w:hint="eastAsia" w:ascii="宋体" w:hAnsi="宋体"/>
          <w:color w:val="000000" w:themeColor="text1"/>
          <w:kern w:val="0"/>
          <w:szCs w:val="21"/>
          <w:u w:val="single"/>
          <w14:textFill>
            <w14:solidFill>
              <w14:schemeClr w14:val="tx1"/>
            </w14:solidFill>
          </w14:textFill>
        </w:rPr>
        <w:t>（中型企业、小型企业、微型企业）</w:t>
      </w:r>
      <w:r>
        <w:rPr>
          <w:rFonts w:hint="eastAsia" w:ascii="宋体" w:hAnsi="宋体"/>
          <w:color w:val="000000" w:themeColor="text1"/>
          <w:kern w:val="0"/>
          <w:szCs w:val="21"/>
          <w14:textFill>
            <w14:solidFill>
              <w14:schemeClr w14:val="tx1"/>
            </w14:solidFill>
          </w14:textFill>
        </w:rPr>
        <w:t>；</w:t>
      </w:r>
    </w:p>
    <w:p>
      <w:pPr>
        <w:widowControl/>
        <w:spacing w:before="34" w:line="360" w:lineRule="auto"/>
        <w:ind w:right="142" w:firstLine="70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 </w:t>
      </w:r>
    </w:p>
    <w:p>
      <w:pPr>
        <w:widowControl/>
        <w:spacing w:before="34" w:line="360" w:lineRule="auto"/>
        <w:ind w:right="142" w:firstLine="70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widowControl/>
        <w:spacing w:before="25" w:line="360" w:lineRule="auto"/>
        <w:ind w:right="142" w:firstLine="70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本企业对上述声明内容的真实性负责。如有虚假，将依法承担相应责任。</w:t>
      </w:r>
    </w:p>
    <w:p>
      <w:pPr>
        <w:widowControl/>
        <w:spacing w:before="56" w:line="360" w:lineRule="auto"/>
        <w:ind w:right="1808" w:firstLine="70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 </w:t>
      </w:r>
    </w:p>
    <w:p>
      <w:pPr>
        <w:widowControl/>
        <w:spacing w:before="56" w:line="360" w:lineRule="auto"/>
        <w:ind w:right="650" w:firstLine="562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企业名称（电子签章）： </w:t>
      </w:r>
    </w:p>
    <w:p>
      <w:pPr>
        <w:widowControl/>
        <w:spacing w:before="56" w:line="360" w:lineRule="auto"/>
        <w:ind w:right="1808" w:firstLine="5626"/>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日 期：</w:t>
      </w:r>
    </w:p>
    <w:p>
      <w:pPr>
        <w:widowControl/>
        <w:spacing w:line="360" w:lineRule="auto"/>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w:t>
      </w:r>
    </w:p>
    <w:p>
      <w:pPr>
        <w:widowControl/>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 xml:space="preserve"> </w:t>
      </w:r>
    </w:p>
    <w:p>
      <w:pPr>
        <w:widowControl/>
        <w:jc w:val="center"/>
        <w:rPr>
          <w:rFonts w:ascii="宋体" w:hAnsi="宋体"/>
          <w:b/>
          <w:bCs/>
          <w:color w:val="000000" w:themeColor="text1"/>
          <w:spacing w:val="6"/>
          <w:kern w:val="0"/>
          <w:szCs w:val="21"/>
          <w14:textFill>
            <w14:solidFill>
              <w14:schemeClr w14:val="tx1"/>
            </w14:solidFill>
          </w14:textFill>
        </w:rPr>
      </w:pPr>
      <w:r>
        <w:rPr>
          <w:color w:val="000000" w:themeColor="text1"/>
          <w:kern w:val="0"/>
          <w:szCs w:val="21"/>
          <w14:textFill>
            <w14:solidFill>
              <w14:schemeClr w14:val="tx1"/>
            </w14:solidFill>
          </w14:textFill>
        </w:rPr>
        <w:br w:type="page"/>
      </w:r>
      <w:r>
        <w:rPr>
          <w:rFonts w:hint="eastAsia" w:ascii="宋体" w:hAnsi="宋体"/>
          <w:b/>
          <w:bCs/>
          <w:color w:val="000000" w:themeColor="text1"/>
          <w:spacing w:val="6"/>
          <w:kern w:val="0"/>
          <w:szCs w:val="21"/>
          <w14:textFill>
            <w14:solidFill>
              <w14:schemeClr w14:val="tx1"/>
            </w14:solidFill>
          </w14:textFill>
        </w:rPr>
        <w:t>（2）残疾人福利性单位声明函</w:t>
      </w:r>
    </w:p>
    <w:p>
      <w:pPr>
        <w:widowControl/>
        <w:spacing w:line="588" w:lineRule="atLeast"/>
        <w:rPr>
          <w:rFonts w:ascii="宋体" w:hAnsi="宋体"/>
          <w:b/>
          <w:bCs/>
          <w:color w:val="000000" w:themeColor="text1"/>
          <w:spacing w:val="6"/>
          <w:kern w:val="0"/>
          <w:szCs w:val="21"/>
          <w14:textFill>
            <w14:solidFill>
              <w14:schemeClr w14:val="tx1"/>
            </w14:solidFill>
          </w14:textFill>
        </w:rPr>
      </w:pPr>
      <w:r>
        <w:rPr>
          <w:rFonts w:hint="eastAsia" w:ascii="宋体" w:hAnsi="宋体"/>
          <w:b/>
          <w:bCs/>
          <w:color w:val="000000" w:themeColor="text1"/>
          <w:spacing w:val="6"/>
          <w:kern w:val="0"/>
          <w:szCs w:val="21"/>
          <w14:textFill>
            <w14:solidFill>
              <w14:schemeClr w14:val="tx1"/>
            </w14:solidFill>
          </w14:textFill>
        </w:rPr>
        <w:t xml:space="preserve"> </w:t>
      </w:r>
    </w:p>
    <w:p>
      <w:pPr>
        <w:widowControl/>
        <w:spacing w:line="360" w:lineRule="auto"/>
        <w:ind w:firstLine="601"/>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kern w:val="0"/>
          <w:szCs w:val="21"/>
          <w14:textFill>
            <w14:solidFill>
              <w14:schemeClr w14:val="tx1"/>
            </w14:solidFill>
          </w14:textFill>
        </w:rPr>
        <w:t>〔2017〕 141</w:t>
      </w:r>
      <w:r>
        <w:rPr>
          <w:rFonts w:hint="eastAsia" w:ascii="宋体" w:hAnsi="宋体"/>
          <w:color w:val="000000" w:themeColor="text1"/>
          <w:spacing w:val="6"/>
          <w:kern w:val="0"/>
          <w:szCs w:val="21"/>
          <w14:textFill>
            <w14:solidFill>
              <w14:schemeClr w14:val="tx1"/>
            </w14:solidFill>
          </w14:textFill>
        </w:rPr>
        <w:t>号）的规定，本单位为符合条件的残疾人福利性单位，且本单位参加______单位的______项目采购活动由本单位承担工程，或者提供其他残疾人福利性单位制造的货物（不包括使用非残疾人福利性单位注册商标的货物）。</w:t>
      </w:r>
    </w:p>
    <w:p>
      <w:pPr>
        <w:widowControl/>
        <w:spacing w:line="360" w:lineRule="auto"/>
        <w:ind w:firstLine="601"/>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本单位对上述声明的真实性负责。如有虚假，将依法承担相应责任。</w:t>
      </w:r>
    </w:p>
    <w:p>
      <w:pPr>
        <w:widowControl/>
        <w:spacing w:line="588" w:lineRule="atLeast"/>
        <w:ind w:firstLine="600"/>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 xml:space="preserve"> </w:t>
      </w:r>
    </w:p>
    <w:p>
      <w:pPr>
        <w:widowControl/>
        <w:spacing w:line="588" w:lineRule="atLeast"/>
        <w:ind w:firstLine="600"/>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 xml:space="preserve"> </w:t>
      </w:r>
    </w:p>
    <w:p>
      <w:pPr>
        <w:widowControl/>
        <w:spacing w:line="588" w:lineRule="atLeast"/>
        <w:ind w:right="1560" w:firstLine="600"/>
        <w:jc w:val="center"/>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 xml:space="preserve">                     单位名称（电子签章）：</w:t>
      </w:r>
    </w:p>
    <w:p>
      <w:pPr>
        <w:widowControl/>
        <w:spacing w:line="588" w:lineRule="atLeast"/>
        <w:ind w:right="1560" w:firstLine="600"/>
        <w:jc w:val="center"/>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 xml:space="preserve">                              日  期：</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spacing w:line="588" w:lineRule="atLeast"/>
        <w:ind w:right="1560" w:firstLine="600"/>
        <w:jc w:val="center"/>
        <w:rPr>
          <w:rFonts w:ascii="仿宋_GB2312" w:eastAsia="仿宋_GB2312"/>
          <w:color w:val="000000" w:themeColor="text1"/>
          <w:spacing w:val="6"/>
          <w:kern w:val="0"/>
          <w:sz w:val="30"/>
          <w:szCs w:val="30"/>
          <w14:textFill>
            <w14:solidFill>
              <w14:schemeClr w14:val="tx1"/>
            </w14:solidFill>
          </w14:textFill>
        </w:rPr>
      </w:pPr>
      <w:r>
        <w:rPr>
          <w:rFonts w:hint="eastAsia" w:ascii="仿宋_GB2312" w:eastAsia="仿宋_GB2312"/>
          <w:color w:val="000000" w:themeColor="text1"/>
          <w:spacing w:val="6"/>
          <w:kern w:val="0"/>
          <w:sz w:val="30"/>
          <w:szCs w:val="30"/>
          <w14:textFill>
            <w14:solidFill>
              <w14:schemeClr w14:val="tx1"/>
            </w14:solidFill>
          </w14:textFill>
        </w:rPr>
        <w:t xml:space="preserve"> </w:t>
      </w:r>
    </w:p>
    <w:p>
      <w:pPr>
        <w:widowControl/>
        <w:ind w:firstLine="12189"/>
        <w:rPr>
          <w:rFonts w:ascii="宋体" w:hAnsi="宋体" w:cs="宋体"/>
          <w:color w:val="000000" w:themeColor="text1"/>
          <w:kern w:val="0"/>
          <w:sz w:val="24"/>
          <w14:textFill>
            <w14:solidFill>
              <w14:schemeClr w14:val="tx1"/>
            </w14:solidFill>
          </w14:textFill>
        </w:rPr>
      </w:pPr>
    </w:p>
    <w:p>
      <w:pPr>
        <w:widowControl/>
        <w:ind w:firstLine="12189"/>
        <w:rPr>
          <w:rFonts w:ascii="宋体" w:hAnsi="宋体" w:cs="宋体"/>
          <w:color w:val="000000" w:themeColor="text1"/>
          <w:kern w:val="0"/>
          <w:sz w:val="24"/>
          <w14:textFill>
            <w14:solidFill>
              <w14:schemeClr w14:val="tx1"/>
            </w14:solidFill>
          </w14:textFill>
        </w:rPr>
      </w:pPr>
    </w:p>
    <w:p>
      <w:pPr>
        <w:widowControl/>
        <w:ind w:firstLine="12189"/>
        <w:rPr>
          <w:rFonts w:ascii="宋体" w:hAnsi="宋体" w:cs="宋体"/>
          <w:color w:val="000000" w:themeColor="text1"/>
          <w:kern w:val="0"/>
          <w:sz w:val="24"/>
          <w14:textFill>
            <w14:solidFill>
              <w14:schemeClr w14:val="tx1"/>
            </w14:solidFill>
          </w14:textFill>
        </w:rPr>
      </w:pPr>
    </w:p>
    <w:p>
      <w:pPr>
        <w:widowControl/>
        <w:ind w:firstLine="12189"/>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p>
    <w:p>
      <w:pPr>
        <w:widowControl/>
        <w:spacing w:line="588" w:lineRule="atLeast"/>
        <w:jc w:val="center"/>
        <w:rPr>
          <w:rFonts w:ascii="宋体" w:hAnsi="宋体"/>
          <w:b/>
          <w:bCs/>
          <w:color w:val="000000" w:themeColor="text1"/>
          <w:spacing w:val="6"/>
          <w:kern w:val="0"/>
          <w:szCs w:val="21"/>
          <w14:textFill>
            <w14:solidFill>
              <w14:schemeClr w14:val="tx1"/>
            </w14:solidFill>
          </w14:textFill>
        </w:rPr>
      </w:pPr>
      <w:r>
        <w:rPr>
          <w:rFonts w:hint="eastAsia" w:ascii="宋体" w:hAnsi="宋体"/>
          <w:b/>
          <w:bCs/>
          <w:color w:val="000000" w:themeColor="text1"/>
          <w:spacing w:val="6"/>
          <w:kern w:val="0"/>
          <w:szCs w:val="21"/>
          <w14:textFill>
            <w14:solidFill>
              <w14:schemeClr w14:val="tx1"/>
            </w14:solidFill>
          </w14:textFill>
        </w:rPr>
        <w:t>（3）</w:t>
      </w:r>
      <w:r>
        <w:rPr>
          <w:rFonts w:hint="eastAsia" w:ascii="宋体" w:hAnsi="宋体"/>
          <w:b/>
          <w:bCs/>
          <w:color w:val="000000" w:themeColor="text1"/>
          <w:spacing w:val="6"/>
          <w:kern w:val="0"/>
          <w:szCs w:val="21"/>
          <w:u w:val="single"/>
          <w14:textFill>
            <w14:solidFill>
              <w14:schemeClr w14:val="tx1"/>
            </w14:solidFill>
          </w14:textFill>
        </w:rPr>
        <w:t>监狱企业</w:t>
      </w:r>
      <w:r>
        <w:rPr>
          <w:rFonts w:hint="eastAsia" w:ascii="宋体" w:hAnsi="宋体"/>
          <w:b/>
          <w:bCs/>
          <w:color w:val="000000" w:themeColor="text1"/>
          <w:spacing w:val="6"/>
          <w:kern w:val="0"/>
          <w:szCs w:val="21"/>
          <w14:textFill>
            <w14:solidFill>
              <w14:schemeClr w14:val="tx1"/>
            </w14:solidFill>
          </w14:textFill>
        </w:rPr>
        <w:t>声明函</w:t>
      </w:r>
    </w:p>
    <w:p>
      <w:pPr>
        <w:widowControl/>
        <w:spacing w:line="588" w:lineRule="atLeast"/>
        <w:rPr>
          <w:rFonts w:ascii="宋体" w:hAnsi="宋体"/>
          <w:b/>
          <w:bCs/>
          <w:color w:val="000000" w:themeColor="text1"/>
          <w:spacing w:val="6"/>
          <w:kern w:val="0"/>
          <w:szCs w:val="21"/>
          <w14:textFill>
            <w14:solidFill>
              <w14:schemeClr w14:val="tx1"/>
            </w14:solidFill>
          </w14:textFill>
        </w:rPr>
      </w:pPr>
      <w:r>
        <w:rPr>
          <w:rFonts w:hint="eastAsia" w:ascii="宋体" w:hAnsi="宋体"/>
          <w:b/>
          <w:bCs/>
          <w:color w:val="000000" w:themeColor="text1"/>
          <w:spacing w:val="6"/>
          <w:kern w:val="0"/>
          <w:szCs w:val="21"/>
          <w14:textFill>
            <w14:solidFill>
              <w14:schemeClr w14:val="tx1"/>
            </w14:solidFill>
          </w14:textFill>
        </w:rPr>
        <w:t xml:space="preserve"> </w:t>
      </w:r>
    </w:p>
    <w:p>
      <w:pPr>
        <w:widowControl/>
        <w:spacing w:line="360" w:lineRule="auto"/>
        <w:ind w:firstLine="444" w:firstLineChars="200"/>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根据</w:t>
      </w:r>
      <w:r>
        <w:rPr>
          <w:rFonts w:ascii="宋体" w:hAnsi="宋体"/>
          <w:bCs/>
          <w:color w:val="000000" w:themeColor="text1"/>
          <w:spacing w:val="6"/>
          <w:kern w:val="0"/>
          <w:szCs w:val="21"/>
          <w:u w:val="single"/>
          <w14:textFill>
            <w14:solidFill>
              <w14:schemeClr w14:val="tx1"/>
            </w14:solidFill>
          </w14:textFill>
        </w:rPr>
        <w:t>《财政部、司法部关于政府采购支持监狱企业发展有关问题的通知》（财库〔2014〕68号）</w:t>
      </w:r>
      <w:r>
        <w:rPr>
          <w:rFonts w:hint="eastAsia" w:ascii="宋体" w:hAnsi="宋体"/>
          <w:color w:val="000000" w:themeColor="text1"/>
          <w:spacing w:val="6"/>
          <w:kern w:val="0"/>
          <w:szCs w:val="21"/>
          <w14:textFill>
            <w14:solidFill>
              <w14:schemeClr w14:val="tx1"/>
            </w14:solidFill>
          </w14:textFill>
        </w:rPr>
        <w:t>的规定：监狱企业是指由司法部认定的为罪犯、戒毒人员提供生产项目和劳动对象，且全部产权属于司法部监狱管理局、戒毒管理局、直属煤炭管理局，各省、自治区、直辖市监狱管理局、戒毒管理局，各地（设区的市）监狱、强制隔离戒毒所、戒毒康复所，以及新疆生产建设兵团监狱管理局、戒毒管理局的企业。</w:t>
      </w:r>
    </w:p>
    <w:p>
      <w:pPr>
        <w:widowControl/>
        <w:spacing w:line="360" w:lineRule="auto"/>
        <w:ind w:firstLine="444" w:firstLineChars="200"/>
        <w:rPr>
          <w:rFonts w:ascii="宋体" w:hAnsi="宋体"/>
          <w:color w:val="000000" w:themeColor="text1"/>
          <w:spacing w:val="6"/>
          <w:kern w:val="0"/>
          <w:szCs w:val="21"/>
          <w14:textFill>
            <w14:solidFill>
              <w14:schemeClr w14:val="tx1"/>
            </w14:solidFill>
          </w14:textFill>
        </w:rPr>
      </w:pPr>
    </w:p>
    <w:p>
      <w:pPr>
        <w:widowControl/>
        <w:spacing w:line="360" w:lineRule="auto"/>
        <w:ind w:firstLine="444" w:firstLineChars="200"/>
        <w:rPr>
          <w:rFonts w:ascii="宋体" w:hAnsi="宋体"/>
          <w:color w:val="000000" w:themeColor="text1"/>
          <w:spacing w:val="6"/>
          <w:kern w:val="0"/>
          <w:szCs w:val="21"/>
          <w14:textFill>
            <w14:solidFill>
              <w14:schemeClr w14:val="tx1"/>
            </w14:solidFill>
          </w14:textFill>
        </w:rPr>
      </w:pPr>
      <w:r>
        <w:rPr>
          <w:rFonts w:hint="eastAsia" w:ascii="宋体" w:hAnsi="宋体"/>
          <w:color w:val="000000" w:themeColor="text1"/>
          <w:spacing w:val="6"/>
          <w:kern w:val="0"/>
          <w:szCs w:val="21"/>
          <w14:textFill>
            <w14:solidFill>
              <w14:schemeClr w14:val="tx1"/>
            </w14:solidFill>
          </w14:textFill>
        </w:rPr>
        <w:t>注：监狱企业参加政府采购活动时，应当提供由省级以上监狱管理局、戒毒管理局（含新疆生产建设兵团）出具的属于监狱企业的证明文件。</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0" w:lineRule="atLeast"/>
        <w:rPr>
          <w:rFonts w:ascii="Times New Roman" w:hAnsi="Times New Roman"/>
          <w:color w:val="000000" w:themeColor="text1"/>
          <w:sz w:val="30"/>
          <w14:textFill>
            <w14:solidFill>
              <w14:schemeClr w14:val="tx1"/>
            </w14:solidFill>
          </w14:textFill>
        </w:rPr>
      </w:pPr>
    </w:p>
    <w:p>
      <w:pPr>
        <w:spacing w:line="0" w:lineRule="atLeast"/>
        <w:rPr>
          <w:rFonts w:ascii="Times New Roman" w:hAnsi="Times New Roman"/>
          <w:color w:val="000000" w:themeColor="text1"/>
          <w:sz w:val="30"/>
          <w14:textFill>
            <w14:solidFill>
              <w14:schemeClr w14:val="tx1"/>
            </w14:solidFill>
          </w14:textFill>
        </w:rPr>
      </w:pPr>
    </w:p>
    <w:p>
      <w:pPr>
        <w:spacing w:line="0" w:lineRule="atLeast"/>
        <w:rPr>
          <w:rFonts w:ascii="Times New Roman" w:hAnsi="Times New Roman"/>
          <w:color w:val="000000" w:themeColor="text1"/>
          <w:sz w:val="30"/>
          <w14:textFill>
            <w14:solidFill>
              <w14:schemeClr w14:val="tx1"/>
            </w14:solidFill>
          </w14:textFill>
        </w:rPr>
      </w:pPr>
    </w:p>
    <w:p>
      <w:pPr>
        <w:pStyle w:val="21"/>
        <w:rPr>
          <w:rFonts w:ascii="Times New Roman" w:hAnsi="Times New Roman"/>
          <w:color w:val="000000" w:themeColor="text1"/>
          <w:sz w:val="30"/>
          <w14:textFill>
            <w14:solidFill>
              <w14:schemeClr w14:val="tx1"/>
            </w14:solidFill>
          </w14:textFill>
        </w:rPr>
      </w:pPr>
    </w:p>
    <w:p>
      <w:pPr>
        <w:pStyle w:val="42"/>
        <w:rPr>
          <w:rFonts w:ascii="Times New Roman" w:hAnsi="Times New Roman"/>
          <w:color w:val="000000" w:themeColor="text1"/>
          <w:sz w:val="30"/>
          <w14:textFill>
            <w14:solidFill>
              <w14:schemeClr w14:val="tx1"/>
            </w14:solidFill>
          </w14:textFill>
        </w:rPr>
      </w:pPr>
    </w:p>
    <w:p>
      <w:pPr>
        <w:rPr>
          <w:rFonts w:ascii="Times New Roman" w:hAnsi="Times New Roman"/>
          <w:color w:val="000000" w:themeColor="text1"/>
          <w:sz w:val="30"/>
          <w14:textFill>
            <w14:solidFill>
              <w14:schemeClr w14:val="tx1"/>
            </w14:solidFill>
          </w14:textFill>
        </w:rPr>
      </w:pPr>
    </w:p>
    <w:p>
      <w:pPr>
        <w:pStyle w:val="2"/>
        <w:rPr>
          <w:rFonts w:ascii="Times New Roman" w:hAnsi="Times New Roman"/>
          <w:color w:val="000000" w:themeColor="text1"/>
          <w:sz w:val="30"/>
          <w14:textFill>
            <w14:solidFill>
              <w14:schemeClr w14:val="tx1"/>
            </w14:solidFill>
          </w14:textFill>
        </w:rPr>
      </w:pPr>
    </w:p>
    <w:p>
      <w:pPr>
        <w:pStyle w:val="2"/>
        <w:rPr>
          <w:rFonts w:ascii="Times New Roman" w:hAnsi="Times New Roman"/>
          <w:color w:val="000000" w:themeColor="text1"/>
          <w:sz w:val="30"/>
          <w14:textFill>
            <w14:solidFill>
              <w14:schemeClr w14:val="tx1"/>
            </w14:solidFill>
          </w14:textFill>
        </w:rPr>
      </w:pPr>
    </w:p>
    <w:p>
      <w:pPr>
        <w:pStyle w:val="2"/>
        <w:rPr>
          <w:rFonts w:ascii="Times New Roman" w:hAnsi="Times New Roman"/>
          <w:color w:val="000000" w:themeColor="text1"/>
          <w:sz w:val="30"/>
          <w14:textFill>
            <w14:solidFill>
              <w14:schemeClr w14:val="tx1"/>
            </w14:solidFill>
          </w14:textFill>
        </w:rPr>
      </w:pPr>
    </w:p>
    <w:p>
      <w:pPr>
        <w:pStyle w:val="21"/>
        <w:rPr>
          <w:rFonts w:ascii="Times New Roman" w:hAnsi="Times New Roman"/>
          <w:color w:val="000000" w:themeColor="text1"/>
          <w:sz w:val="30"/>
          <w14:textFill>
            <w14:solidFill>
              <w14:schemeClr w14:val="tx1"/>
            </w14:solidFill>
          </w14:textFill>
        </w:rPr>
      </w:pPr>
    </w:p>
    <w:p>
      <w:pPr>
        <w:pStyle w:val="42"/>
        <w:rPr>
          <w:color w:val="000000" w:themeColor="text1"/>
          <w14:textFill>
            <w14:solidFill>
              <w14:schemeClr w14:val="tx1"/>
            </w14:solidFill>
          </w14:textFill>
        </w:rPr>
      </w:pPr>
      <w:r>
        <w:rPr>
          <w:rFonts w:hint="eastAsia" w:ascii="Times New Roman" w:hAnsi="Times New Roman"/>
          <w:color w:val="000000" w:themeColor="text1"/>
          <w:sz w:val="30"/>
          <w14:textFill>
            <w14:solidFill>
              <w14:schemeClr w14:val="tx1"/>
            </w14:solidFill>
          </w14:textFill>
        </w:rPr>
        <w:t xml:space="preserve"> </w:t>
      </w:r>
    </w:p>
    <w:p>
      <w:pPr>
        <w:spacing w:line="500" w:lineRule="exact"/>
        <w:jc w:val="center"/>
        <w:rPr>
          <w:rFonts w:hAnsi="宋体"/>
          <w:b/>
          <w:color w:val="000000" w:themeColor="text1"/>
          <w:sz w:val="44"/>
          <w:szCs w:val="32"/>
          <w14:textFill>
            <w14:solidFill>
              <w14:schemeClr w14:val="tx1"/>
            </w14:solidFill>
          </w14:textFill>
        </w:rPr>
      </w:pPr>
      <w:r>
        <w:rPr>
          <w:rFonts w:hint="eastAsia" w:hAnsi="宋体"/>
          <w:b/>
          <w:color w:val="000000" w:themeColor="text1"/>
          <w:sz w:val="44"/>
          <w:szCs w:val="32"/>
          <w14:textFill>
            <w14:solidFill>
              <w14:schemeClr w14:val="tx1"/>
            </w14:solidFill>
          </w14:textFill>
        </w:rPr>
        <w:t>报价文件（封面）</w:t>
      </w: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项目编号：</w:t>
      </w:r>
      <w:r>
        <w:rPr>
          <w:rFonts w:hint="eastAsia" w:hAnsi="宋体"/>
          <w:color w:val="000000" w:themeColor="text1"/>
          <w:sz w:val="28"/>
          <w:szCs w:val="28"/>
          <w:u w:val="single"/>
          <w14:textFill>
            <w14:solidFill>
              <w14:schemeClr w14:val="tx1"/>
            </w14:solidFill>
          </w14:textFill>
        </w:rPr>
        <w:t xml:space="preserve">                       </w:t>
      </w:r>
    </w:p>
    <w:p>
      <w:pPr>
        <w:tabs>
          <w:tab w:val="left" w:pos="3240"/>
        </w:tabs>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供应商地址：</w:t>
      </w:r>
      <w:r>
        <w:rPr>
          <w:rFonts w:hint="eastAsia" w:hAnsi="宋体"/>
          <w:color w:val="000000" w:themeColor="text1"/>
          <w:sz w:val="28"/>
          <w:szCs w:val="28"/>
          <w:u w:val="single"/>
          <w14:textFill>
            <w14:solidFill>
              <w14:schemeClr w14:val="tx1"/>
            </w14:solidFill>
          </w14:textFill>
        </w:rPr>
        <w:t xml:space="preserve">                     </w:t>
      </w:r>
    </w:p>
    <w:p>
      <w:pPr>
        <w:spacing w:line="500" w:lineRule="exact"/>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年</w:t>
      </w:r>
      <w:r>
        <w:rPr>
          <w:rFonts w:hint="eastAsia" w:hAnsi="宋体" w:cs="宋体"/>
          <w:color w:val="000000" w:themeColor="text1"/>
          <w:sz w:val="28"/>
          <w:szCs w:val="28"/>
          <w14:textFill>
            <w14:solidFill>
              <w14:schemeClr w14:val="tx1"/>
            </w14:solidFill>
          </w14:textFill>
        </w:rPr>
        <w:t xml:space="preserve">    </w:t>
      </w:r>
      <w:r>
        <w:rPr>
          <w:rFonts w:hint="eastAsia" w:hAnsi="宋体"/>
          <w:color w:val="000000" w:themeColor="text1"/>
          <w:sz w:val="28"/>
          <w:szCs w:val="28"/>
          <w14:textFill>
            <w14:solidFill>
              <w14:schemeClr w14:val="tx1"/>
            </w14:solidFill>
          </w14:textFill>
        </w:rPr>
        <w:t>月    日</w:t>
      </w:r>
    </w:p>
    <w:p>
      <w:pPr>
        <w:ind w:right="384" w:rightChars="183"/>
        <w:jc w:val="left"/>
        <w:rPr>
          <w:rFonts w:hAnsi="宋体"/>
          <w:bCs/>
          <w:color w:val="000000" w:themeColor="text1"/>
          <w:szCs w:val="21"/>
          <w14:textFill>
            <w14:solidFill>
              <w14:schemeClr w14:val="tx1"/>
            </w14:solidFill>
          </w14:textFill>
        </w:rPr>
        <w:sectPr>
          <w:pgSz w:w="11907" w:h="16840"/>
          <w:pgMar w:top="703" w:right="1213" w:bottom="760" w:left="1247" w:header="851" w:footer="851" w:gutter="0"/>
          <w:cols w:space="720" w:num="1"/>
          <w:docGrid w:linePitch="312" w:charSpace="0"/>
        </w:sectPr>
      </w:pPr>
    </w:p>
    <w:p>
      <w:pPr>
        <w:spacing w:line="400" w:lineRule="exact"/>
        <w:ind w:left="-27" w:leftChars="-13" w:firstLine="317" w:firstLineChars="151"/>
        <w:rPr>
          <w:rFonts w:hAnsi="宋体"/>
          <w:color w:val="000000" w:themeColor="text1"/>
          <w:szCs w:val="21"/>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目录</w:t>
      </w:r>
    </w:p>
    <w:p>
      <w:pPr>
        <w:snapToGrid w:val="0"/>
        <w:spacing w:before="120" w:beforeLines="50" w:after="50" w:line="360" w:lineRule="auto"/>
        <w:ind w:left="142"/>
        <w:jc w:val="lef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（1）磋商函（格式后附）；（必须提供，否则响应文件按无效处理）</w:t>
      </w:r>
    </w:p>
    <w:p>
      <w:pPr>
        <w:snapToGrid w:val="0"/>
        <w:spacing w:before="120" w:beforeLines="50" w:after="50" w:line="360" w:lineRule="auto"/>
        <w:ind w:left="142"/>
        <w:jc w:val="left"/>
        <w:rPr>
          <w:rFonts w:ascii="宋体" w:hAnsi="宋体"/>
          <w:b/>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（2）磋商报价书文件</w:t>
      </w:r>
    </w:p>
    <w:p>
      <w:pPr>
        <w:snapToGrid w:val="0"/>
        <w:spacing w:before="120" w:beforeLines="50" w:after="50" w:line="360" w:lineRule="auto"/>
        <w:ind w:left="142"/>
        <w:jc w:val="lef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①报价表（格式后附）；（必须提供，否则响应文件按无效处理）</w:t>
      </w:r>
    </w:p>
    <w:p>
      <w:pPr>
        <w:snapToGrid w:val="0"/>
        <w:spacing w:before="120" w:beforeLines="50" w:after="50" w:line="360" w:lineRule="auto"/>
        <w:ind w:left="142"/>
        <w:jc w:val="lef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②已标价的工程量清单；（必须提供，否则响应文件按无效处理）</w:t>
      </w:r>
    </w:p>
    <w:p>
      <w:pPr>
        <w:snapToGrid w:val="0"/>
        <w:spacing w:before="120" w:beforeLines="50" w:after="50" w:line="360" w:lineRule="auto"/>
        <w:ind w:left="142"/>
        <w:jc w:val="left"/>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（3）供应商认为需要提供的其他有关资料。</w:t>
      </w:r>
    </w:p>
    <w:p>
      <w:pPr>
        <w:snapToGrid w:val="0"/>
        <w:spacing w:before="120" w:beforeLines="50" w:after="50" w:line="360" w:lineRule="auto"/>
        <w:ind w:left="142"/>
        <w:jc w:val="left"/>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napToGrid w:val="0"/>
        <w:spacing w:before="120" w:beforeLines="50" w:after="50" w:line="360" w:lineRule="auto"/>
        <w:ind w:left="142"/>
        <w:jc w:val="center"/>
        <w:rPr>
          <w:rFonts w:ascii="宋体" w:hAnsi="宋体"/>
          <w:b/>
          <w:bCs/>
          <w:color w:val="000000" w:themeColor="text1"/>
          <w:sz w:val="32"/>
          <w:szCs w:val="32"/>
          <w14:textFill>
            <w14:solidFill>
              <w14:schemeClr w14:val="tx1"/>
            </w14:solidFill>
          </w14:textFill>
        </w:rPr>
      </w:pPr>
    </w:p>
    <w:p>
      <w:pPr>
        <w:spacing w:line="440" w:lineRule="exact"/>
        <w:jc w:val="center"/>
        <w:outlineLvl w:val="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一、磋商函</w:t>
      </w:r>
    </w:p>
    <w:p>
      <w:pPr>
        <w:spacing w:line="440" w:lineRule="exact"/>
        <w:jc w:val="center"/>
        <w:rPr>
          <w:rFonts w:ascii="宋体" w:hAnsi="宋体"/>
          <w:b/>
          <w:color w:val="000000" w:themeColor="text1"/>
          <w:sz w:val="36"/>
          <w:szCs w:val="36"/>
          <w14:textFill>
            <w14:solidFill>
              <w14:schemeClr w14:val="tx1"/>
            </w14:solidFill>
          </w14:textFill>
        </w:rPr>
      </w:pPr>
    </w:p>
    <w:p>
      <w:pPr>
        <w:spacing w:line="420" w:lineRule="exact"/>
        <w:ind w:firstLine="105" w:firstLineChars="50"/>
        <w:rPr>
          <w:rFonts w:ascii="宋体" w:hAnsi="宋体" w:cs="Courier New"/>
          <w:color w:val="000000" w:themeColor="text1"/>
          <w14:textFill>
            <w14:solidFill>
              <w14:schemeClr w14:val="tx1"/>
            </w14:solidFill>
          </w14:textFill>
        </w:rPr>
      </w:pPr>
      <w:r>
        <w:rPr>
          <w:rFonts w:hint="eastAsia" w:ascii="宋体" w:hAnsi="宋体" w:cs="Courier New"/>
          <w:color w:val="000000" w:themeColor="text1"/>
          <w:u w:val="single"/>
          <w14:textFill>
            <w14:solidFill>
              <w14:schemeClr w14:val="tx1"/>
            </w14:solidFill>
          </w14:textFill>
        </w:rPr>
        <w:t>采购人名称</w:t>
      </w:r>
      <w:r>
        <w:rPr>
          <w:rFonts w:hint="eastAsia" w:ascii="宋体" w:hAnsi="宋体" w:cs="Courier New"/>
          <w:color w:val="000000" w:themeColor="text1"/>
          <w14:textFill>
            <w14:solidFill>
              <w14:schemeClr w14:val="tx1"/>
            </w14:solidFill>
          </w14:textFill>
        </w:rPr>
        <w:t>：</w:t>
      </w:r>
    </w:p>
    <w:p>
      <w:pPr>
        <w:spacing w:line="420" w:lineRule="exact"/>
        <w:ind w:firstLine="535" w:firstLineChars="250"/>
        <w:rPr>
          <w:rFonts w:ascii="宋体" w:hAnsi="宋体"/>
          <w:color w:val="000000" w:themeColor="text1"/>
          <w:spacing w:val="8"/>
          <w14:textFill>
            <w14:solidFill>
              <w14:schemeClr w14:val="tx1"/>
            </w14:solidFill>
          </w14:textFill>
        </w:rPr>
      </w:pPr>
      <w:r>
        <w:rPr>
          <w:rFonts w:hint="eastAsia" w:ascii="宋体" w:hAnsi="宋体"/>
          <w:color w:val="000000" w:themeColor="text1"/>
          <w:spacing w:val="2"/>
          <w14:textFill>
            <w14:solidFill>
              <w14:schemeClr w14:val="tx1"/>
            </w14:solidFill>
          </w14:textFill>
        </w:rPr>
        <w:t>1.</w:t>
      </w:r>
      <w:r>
        <w:rPr>
          <w:rFonts w:hint="eastAsia" w:ascii="宋体" w:hAnsi="宋体"/>
          <w:color w:val="000000" w:themeColor="text1"/>
          <w:spacing w:val="8"/>
          <w14:textFill>
            <w14:solidFill>
              <w14:schemeClr w14:val="tx1"/>
            </w14:solidFill>
          </w14:textFill>
        </w:rPr>
        <w:t>根据已收到的遵照《中华人民共和国政府采购法》的规定，我单位经考察现场和研究上述</w:t>
      </w:r>
      <w:r>
        <w:rPr>
          <w:rFonts w:hint="eastAsia" w:ascii="宋体" w:hAnsi="宋体"/>
          <w:color w:val="000000" w:themeColor="text1"/>
          <w:spacing w:val="8"/>
          <w:u w:val="single"/>
          <w14:textFill>
            <w14:solidFill>
              <w14:schemeClr w14:val="tx1"/>
            </w14:solidFill>
          </w14:textFill>
        </w:rPr>
        <w:t xml:space="preserve">（项目名称）  </w:t>
      </w:r>
      <w:r>
        <w:rPr>
          <w:rFonts w:hint="eastAsia" w:ascii="宋体" w:hAnsi="宋体"/>
          <w:color w:val="000000" w:themeColor="text1"/>
          <w:spacing w:val="8"/>
          <w14:textFill>
            <w14:solidFill>
              <w14:schemeClr w14:val="tx1"/>
            </w14:solidFill>
          </w14:textFill>
        </w:rPr>
        <w:t>竞争性磋商文件的磋商须知、合同条件、技术规范、图纸和其他有关文件后，我方愿以人民币（大写）</w:t>
      </w:r>
      <w:r>
        <w:rPr>
          <w:rFonts w:hint="eastAsia" w:ascii="宋体" w:hAnsi="宋体"/>
          <w:color w:val="000000" w:themeColor="text1"/>
          <w14:textFill>
            <w14:solidFill>
              <w14:schemeClr w14:val="tx1"/>
            </w14:solidFill>
          </w14:textFill>
        </w:rPr>
        <w:t>小写</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的总价，按上述合同条件、技术规范、图纸的条件承包</w:t>
      </w:r>
      <w:r>
        <w:rPr>
          <w:rFonts w:hint="eastAsia" w:ascii="宋体" w:hAnsi="宋体"/>
          <w:color w:val="000000" w:themeColor="text1"/>
          <w:spacing w:val="8"/>
          <w:u w:val="single"/>
          <w14:textFill>
            <w14:solidFill>
              <w14:schemeClr w14:val="tx1"/>
            </w14:solidFill>
          </w14:textFill>
        </w:rPr>
        <w:t>（项目名称）</w:t>
      </w:r>
      <w:r>
        <w:rPr>
          <w:rFonts w:hint="eastAsia" w:ascii="宋体" w:hAnsi="宋体"/>
          <w:color w:val="000000" w:themeColor="text1"/>
          <w14:textFill>
            <w14:solidFill>
              <w14:schemeClr w14:val="tx1"/>
            </w14:solidFill>
          </w14:textFill>
        </w:rPr>
        <w:t>采购范围内全部工程的施工、竣工和保修。</w:t>
      </w:r>
    </w:p>
    <w:p>
      <w:pPr>
        <w:spacing w:line="420" w:lineRule="exact"/>
        <w:ind w:firstLine="525" w:firstLineChars="25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2.一旦我方成交，我方保证在签订合同后</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天内开工，</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天（日历天）内竣工并移交整个工程，并保证工程质量</w:t>
      </w:r>
      <w:r>
        <w:rPr>
          <w:rFonts w:hint="eastAsia" w:ascii="宋体" w:hAnsi="宋体"/>
          <w:color w:val="000000" w:themeColor="text1"/>
          <w:u w:val="single"/>
          <w14:textFill>
            <w14:solidFill>
              <w14:schemeClr w14:val="tx1"/>
            </w14:solidFill>
          </w14:textFill>
        </w:rPr>
        <w:t xml:space="preserve"> 合格 </w:t>
      </w:r>
      <w:r>
        <w:rPr>
          <w:rFonts w:hint="eastAsia" w:ascii="宋体" w:hAnsi="宋体"/>
          <w:color w:val="000000" w:themeColor="text1"/>
          <w14:textFill>
            <w14:solidFill>
              <w14:schemeClr w14:val="tx1"/>
            </w14:solidFill>
          </w14:textFill>
        </w:rPr>
        <w:t>。</w:t>
      </w:r>
    </w:p>
    <w:p>
      <w:pPr>
        <w:spacing w:line="420" w:lineRule="exact"/>
        <w:ind w:firstLine="525" w:firstLineChars="25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3.我方同意所递交的响应文件在“磋商须知”第15条规定的磋商有效期内有效，在此期间内我方的磋商有可能成交，我方将受此约束。</w:t>
      </w:r>
    </w:p>
    <w:p>
      <w:pPr>
        <w:spacing w:line="420" w:lineRule="exact"/>
        <w:ind w:firstLine="525" w:firstLineChars="25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4.除非另外达成协议并生效，你方的成交通知书和本响应文件将构成约束我们双方的合同。</w:t>
      </w:r>
    </w:p>
    <w:p>
      <w:pPr>
        <w:spacing w:line="420" w:lineRule="exact"/>
        <w:ind w:firstLine="525" w:firstLineChars="250"/>
        <w:rPr>
          <w:rFonts w:ascii="宋体" w:hAnsi="宋体"/>
          <w:color w:val="000000" w:themeColor="text1"/>
          <w14:textFill>
            <w14:solidFill>
              <w14:schemeClr w14:val="tx1"/>
            </w14:solidFill>
          </w14:textFill>
        </w:rPr>
      </w:pPr>
    </w:p>
    <w:p>
      <w:pPr>
        <w:spacing w:line="420" w:lineRule="exact"/>
        <w:ind w:firstLine="505" w:firstLineChars="250"/>
        <w:rPr>
          <w:rFonts w:ascii="宋体" w:hAnsi="宋体"/>
          <w:color w:val="000000" w:themeColor="text1"/>
          <w:spacing w:val="-4"/>
          <w14:textFill>
            <w14:solidFill>
              <w14:schemeClr w14:val="tx1"/>
            </w14:solidFill>
          </w14:textFill>
        </w:rPr>
      </w:pPr>
      <w:r>
        <w:rPr>
          <w:rFonts w:hint="eastAsia" w:ascii="宋体" w:hAnsi="宋体"/>
          <w:color w:val="000000" w:themeColor="text1"/>
          <w:spacing w:val="-4"/>
          <w14:textFill>
            <w14:solidFill>
              <w14:schemeClr w14:val="tx1"/>
            </w14:solidFill>
          </w14:textFill>
        </w:rPr>
        <w:t>供应商（电子签章）：</w:t>
      </w:r>
    </w:p>
    <w:p>
      <w:pPr>
        <w:spacing w:line="420" w:lineRule="exact"/>
        <w:ind w:firstLine="53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2"/>
          <w14:textFill>
            <w14:solidFill>
              <w14:schemeClr w14:val="tx1"/>
            </w14:solidFill>
          </w14:textFill>
        </w:rPr>
        <w:t>单 位 地 址：</w:t>
      </w:r>
    </w:p>
    <w:p>
      <w:pPr>
        <w:spacing w:line="420" w:lineRule="exact"/>
        <w:ind w:firstLine="565" w:firstLineChars="250"/>
        <w:rPr>
          <w:rFonts w:ascii="宋体" w:hAnsi="宋体"/>
          <w:color w:val="000000" w:themeColor="text1"/>
          <w:spacing w:val="8"/>
          <w14:textFill>
            <w14:solidFill>
              <w14:schemeClr w14:val="tx1"/>
            </w14:solidFill>
          </w14:textFill>
        </w:rPr>
      </w:pPr>
      <w:r>
        <w:rPr>
          <w:rFonts w:hint="eastAsia" w:ascii="宋体" w:hAnsi="宋体"/>
          <w:color w:val="000000" w:themeColor="text1"/>
          <w:spacing w:val="8"/>
          <w14:textFill>
            <w14:solidFill>
              <w14:schemeClr w14:val="tx1"/>
            </w14:solidFill>
          </w14:textFill>
        </w:rPr>
        <w:t>法定代表人或者委托代理人（签字或者电子签名）：</w:t>
      </w:r>
    </w:p>
    <w:p>
      <w:pPr>
        <w:spacing w:line="420" w:lineRule="exact"/>
        <w:ind w:firstLine="53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2"/>
          <w14:textFill>
            <w14:solidFill>
              <w14:schemeClr w14:val="tx1"/>
            </w14:solidFill>
          </w14:textFill>
        </w:rPr>
        <w:t>邮 政 编 码：</w:t>
      </w:r>
    </w:p>
    <w:p>
      <w:pPr>
        <w:spacing w:line="420" w:lineRule="exact"/>
        <w:ind w:firstLine="53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2"/>
          <w14:textFill>
            <w14:solidFill>
              <w14:schemeClr w14:val="tx1"/>
            </w14:solidFill>
          </w14:textFill>
        </w:rPr>
        <w:t>电       话：</w:t>
      </w:r>
    </w:p>
    <w:p>
      <w:pPr>
        <w:spacing w:line="420" w:lineRule="exact"/>
        <w:ind w:firstLine="53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2"/>
          <w14:textFill>
            <w14:solidFill>
              <w14:schemeClr w14:val="tx1"/>
            </w14:solidFill>
          </w14:textFill>
        </w:rPr>
        <w:t>传       真：</w:t>
      </w:r>
    </w:p>
    <w:p>
      <w:pPr>
        <w:spacing w:line="420" w:lineRule="exact"/>
        <w:ind w:firstLine="56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8"/>
          <w14:textFill>
            <w14:solidFill>
              <w14:schemeClr w14:val="tx1"/>
            </w14:solidFill>
          </w14:textFill>
        </w:rPr>
        <w:t>开户行名称</w:t>
      </w:r>
      <w:r>
        <w:rPr>
          <w:rFonts w:hint="eastAsia" w:ascii="宋体" w:hAnsi="宋体"/>
          <w:color w:val="000000" w:themeColor="text1"/>
          <w:spacing w:val="2"/>
          <w14:textFill>
            <w14:solidFill>
              <w14:schemeClr w14:val="tx1"/>
            </w14:solidFill>
          </w14:textFill>
        </w:rPr>
        <w:t>：</w:t>
      </w:r>
    </w:p>
    <w:p>
      <w:pPr>
        <w:spacing w:line="420" w:lineRule="exact"/>
        <w:ind w:firstLine="535" w:firstLineChars="250"/>
        <w:rPr>
          <w:rFonts w:ascii="宋体" w:hAnsi="宋体"/>
          <w:color w:val="000000" w:themeColor="text1"/>
          <w:spacing w:val="2"/>
          <w14:textFill>
            <w14:solidFill>
              <w14:schemeClr w14:val="tx1"/>
            </w14:solidFill>
          </w14:textFill>
        </w:rPr>
      </w:pPr>
      <w:r>
        <w:rPr>
          <w:rFonts w:hint="eastAsia" w:ascii="宋体" w:hAnsi="宋体"/>
          <w:color w:val="000000" w:themeColor="text1"/>
          <w:spacing w:val="2"/>
          <w14:textFill>
            <w14:solidFill>
              <w14:schemeClr w14:val="tx1"/>
            </w14:solidFill>
          </w14:textFill>
        </w:rPr>
        <w:t>银 行 帐 号：</w:t>
      </w:r>
    </w:p>
    <w:p>
      <w:pPr>
        <w:spacing w:line="420" w:lineRule="exact"/>
        <w:ind w:firstLine="565" w:firstLineChars="250"/>
        <w:rPr>
          <w:rFonts w:ascii="宋体" w:hAnsi="宋体"/>
          <w:color w:val="000000" w:themeColor="text1"/>
          <w:spacing w:val="8"/>
          <w14:textFill>
            <w14:solidFill>
              <w14:schemeClr w14:val="tx1"/>
            </w14:solidFill>
          </w14:textFill>
        </w:rPr>
      </w:pPr>
      <w:r>
        <w:rPr>
          <w:rFonts w:hint="eastAsia" w:ascii="宋体" w:hAnsi="宋体"/>
          <w:color w:val="000000" w:themeColor="text1"/>
          <w:spacing w:val="8"/>
          <w14:textFill>
            <w14:solidFill>
              <w14:schemeClr w14:val="tx1"/>
            </w14:solidFill>
          </w14:textFill>
        </w:rPr>
        <w:t>开户行地址：</w:t>
      </w:r>
    </w:p>
    <w:p>
      <w:pPr>
        <w:spacing w:line="420" w:lineRule="exact"/>
        <w:ind w:firstLine="565" w:firstLineChars="250"/>
        <w:rPr>
          <w:rFonts w:ascii="宋体" w:hAnsi="宋体"/>
          <w:color w:val="000000" w:themeColor="text1"/>
          <w:spacing w:val="8"/>
          <w14:textFill>
            <w14:solidFill>
              <w14:schemeClr w14:val="tx1"/>
            </w14:solidFill>
          </w14:textFill>
        </w:rPr>
      </w:pPr>
      <w:r>
        <w:rPr>
          <w:rFonts w:hint="eastAsia" w:ascii="宋体" w:hAnsi="宋体"/>
          <w:color w:val="000000" w:themeColor="text1"/>
          <w:spacing w:val="8"/>
          <w14:textFill>
            <w14:solidFill>
              <w14:schemeClr w14:val="tx1"/>
            </w14:solidFill>
          </w14:textFill>
        </w:rPr>
        <w:t xml:space="preserve">日      期：        年    月    日  </w:t>
      </w:r>
    </w:p>
    <w:p>
      <w:pPr>
        <w:spacing w:line="440" w:lineRule="exact"/>
        <w:jc w:val="center"/>
        <w:rPr>
          <w:rFonts w:ascii="宋体" w:hAnsi="宋体"/>
          <w:bCs/>
          <w:color w:val="000000" w:themeColor="text1"/>
          <w14:textFill>
            <w14:solidFill>
              <w14:schemeClr w14:val="tx1"/>
            </w14:solidFill>
          </w14:textFill>
        </w:rPr>
      </w:pPr>
    </w:p>
    <w:p>
      <w:pPr>
        <w:pStyle w:val="28"/>
        <w:jc w:val="center"/>
        <w:rPr>
          <w:rFonts w:hAnsi="宋体"/>
          <w:b/>
          <w:color w:val="000000" w:themeColor="text1"/>
          <w:sz w:val="36"/>
          <w:szCs w:val="36"/>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pStyle w:val="28"/>
        <w:jc w:val="center"/>
        <w:outlineLvl w:val="1"/>
        <w:rPr>
          <w:rFonts w:hAnsi="宋体"/>
          <w:b/>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pStyle w:val="28"/>
        <w:jc w:val="left"/>
        <w:outlineLvl w:val="1"/>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二、磋商报价书文件</w:t>
      </w:r>
    </w:p>
    <w:p>
      <w:pPr>
        <w:jc w:val="center"/>
        <w:rPr>
          <w:rFonts w:hAnsi="宋体"/>
          <w:b/>
          <w:color w:val="000000" w:themeColor="text1"/>
          <w:sz w:val="24"/>
          <w14:textFill>
            <w14:solidFill>
              <w14:schemeClr w14:val="tx1"/>
            </w14:solidFill>
          </w14:textFill>
        </w:rPr>
      </w:pPr>
    </w:p>
    <w:p>
      <w:pPr>
        <w:jc w:val="center"/>
        <w:rPr>
          <w:rFonts w:ascii="宋体" w:hAnsi="宋体"/>
          <w:b/>
          <w:bCs/>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报价表</w:t>
      </w:r>
    </w:p>
    <w:p>
      <w:pPr>
        <w:pStyle w:val="21"/>
        <w:rPr>
          <w:color w:val="000000" w:themeColor="text1"/>
          <w14:textFill>
            <w14:solidFill>
              <w14:schemeClr w14:val="tx1"/>
            </w14:solidFill>
          </w14:textFill>
        </w:rPr>
      </w:pPr>
    </w:p>
    <w:tbl>
      <w:tblPr>
        <w:tblStyle w:val="49"/>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4983"/>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4983"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科目名称</w:t>
            </w:r>
          </w:p>
        </w:tc>
        <w:tc>
          <w:tcPr>
            <w:tcW w:w="1701"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4983" w:type="dxa"/>
            <w:vAlign w:val="center"/>
          </w:tcPr>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分部分项工程和单价措施项目清单计价合计</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4983" w:type="dxa"/>
            <w:vAlign w:val="center"/>
          </w:tcPr>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其中：暂估价</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4983" w:type="dxa"/>
            <w:vAlign w:val="center"/>
          </w:tcPr>
          <w:p>
            <w:pPr>
              <w:widowControl/>
              <w:jc w:val="left"/>
              <w:textAlignment w:val="center"/>
              <w:rPr>
                <w:rFonts w:ascii="宋体" w:hAnsi="宋体"/>
                <w:color w:val="000000" w:themeColor="text1"/>
                <w:szCs w:val="2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总价措施项目清单计价合计</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4983" w:type="dxa"/>
            <w:vAlign w:val="center"/>
          </w:tcPr>
          <w:p>
            <w:pPr>
              <w:widowControl/>
              <w:jc w:val="left"/>
              <w:textAlignment w:val="center"/>
              <w:rPr>
                <w:rFonts w:ascii="宋体" w:hAnsi="宋体"/>
                <w:color w:val="000000" w:themeColor="text1"/>
                <w:szCs w:val="2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其中：安全文明施工费</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4983" w:type="dxa"/>
            <w:vAlign w:val="center"/>
          </w:tcPr>
          <w:p>
            <w:pPr>
              <w:widowControl/>
              <w:jc w:val="left"/>
              <w:textAlignment w:val="center"/>
              <w:rPr>
                <w:rFonts w:ascii="宋体" w:hAnsi="宋体"/>
                <w:color w:val="000000" w:themeColor="text1"/>
                <w:szCs w:val="2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其他项目清单计价合计</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4983" w:type="dxa"/>
            <w:vAlign w:val="center"/>
          </w:tcPr>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税前项目清单计价合计</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4983" w:type="dxa"/>
            <w:vAlign w:val="center"/>
          </w:tcPr>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规费、税金项目清单计价合计</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8</w:t>
            </w:r>
          </w:p>
        </w:tc>
        <w:tc>
          <w:tcPr>
            <w:tcW w:w="4983" w:type="dxa"/>
            <w:vAlign w:val="center"/>
          </w:tcPr>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18"/>
                <w:szCs w:val="18"/>
                <w:lang w:bidi="ar"/>
                <w14:textFill>
                  <w14:solidFill>
                    <w14:schemeClr w14:val="tx1"/>
                  </w14:solidFill>
                </w14:textFill>
              </w:rPr>
              <w:t>其中：增值税</w:t>
            </w:r>
          </w:p>
        </w:tc>
        <w:tc>
          <w:tcPr>
            <w:tcW w:w="1701" w:type="dxa"/>
            <w:vAlign w:val="center"/>
          </w:tcPr>
          <w:p>
            <w:pPr>
              <w:widowControl/>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57" w:type="dxa"/>
            <w:vAlign w:val="center"/>
          </w:tcPr>
          <w:p>
            <w:pPr>
              <w:widowControl/>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9</w:t>
            </w:r>
          </w:p>
        </w:tc>
        <w:tc>
          <w:tcPr>
            <w:tcW w:w="4983" w:type="dxa"/>
            <w:vAlign w:val="center"/>
          </w:tcPr>
          <w:p>
            <w:pPr>
              <w:widowControl/>
              <w:ind w:right="210"/>
              <w:rPr>
                <w:color w:val="000000" w:themeColor="text1"/>
                <w14:textFill>
                  <w14:solidFill>
                    <w14:schemeClr w14:val="tx1"/>
                  </w14:solidFill>
                </w14:textFill>
              </w:rPr>
            </w:pPr>
            <w:r>
              <w:rPr>
                <w:rFonts w:hint="eastAsia"/>
                <w:color w:val="000000" w:themeColor="text1"/>
                <w14:textFill>
                  <w14:solidFill>
                    <w14:schemeClr w14:val="tx1"/>
                  </w14:solidFill>
                </w14:textFill>
              </w:rPr>
              <w:t>磋商报价</w:t>
            </w:r>
          </w:p>
        </w:tc>
        <w:tc>
          <w:tcPr>
            <w:tcW w:w="1701" w:type="dxa"/>
            <w:vAlign w:val="center"/>
          </w:tcPr>
          <w:p>
            <w:pPr>
              <w:widowControl/>
              <w:jc w:val="center"/>
              <w:rPr>
                <w:color w:val="000000" w:themeColor="text1"/>
                <w14:textFill>
                  <w14:solidFill>
                    <w14:schemeClr w14:val="tx1"/>
                  </w14:solidFill>
                </w14:textFill>
              </w:rPr>
            </w:pPr>
          </w:p>
        </w:tc>
      </w:tr>
    </w:tbl>
    <w:p>
      <w:pPr>
        <w:pStyle w:val="42"/>
        <w:rPr>
          <w:color w:val="000000" w:themeColor="text1"/>
          <w14:textFill>
            <w14:solidFill>
              <w14:schemeClr w14:val="tx1"/>
            </w14:solidFill>
          </w14:textFill>
        </w:rPr>
      </w:pPr>
    </w:p>
    <w:p>
      <w:pPr>
        <w:spacing w:line="480" w:lineRule="auto"/>
        <w:ind w:firstLine="210" w:firstLineChars="1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法定代表人或者委托代理人（签字或者电子签名）：                    </w:t>
      </w:r>
    </w:p>
    <w:p>
      <w:pPr>
        <w:spacing w:line="480" w:lineRule="auto"/>
        <w:ind w:firstLine="210" w:firstLineChars="1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供应商（电子签章）：      </w:t>
      </w:r>
    </w:p>
    <w:p>
      <w:pPr>
        <w:spacing w:line="480" w:lineRule="auto"/>
        <w:ind w:firstLine="210" w:firstLineChars="100"/>
        <w:rPr>
          <w:b/>
          <w:color w:val="000000" w:themeColor="text1"/>
          <w14:textFill>
            <w14:solidFill>
              <w14:schemeClr w14:val="tx1"/>
            </w14:solidFill>
          </w14:textFill>
        </w:rPr>
      </w:pPr>
      <w:r>
        <w:rPr>
          <w:rFonts w:hint="eastAsia"/>
          <w:color w:val="000000" w:themeColor="text1"/>
          <w14:textFill>
            <w14:solidFill>
              <w14:schemeClr w14:val="tx1"/>
            </w14:solidFill>
          </w14:textFill>
        </w:rPr>
        <w:t>日期：   年   月   日</w:t>
      </w: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2、工程量清单报价文件</w:t>
      </w:r>
    </w:p>
    <w:p>
      <w:pPr>
        <w:autoSpaceDE w:val="0"/>
        <w:autoSpaceDN w:val="0"/>
        <w:spacing w:line="300" w:lineRule="auto"/>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w:t>
      </w:r>
    </w:p>
    <w:p>
      <w:pPr>
        <w:spacing w:line="540" w:lineRule="exact"/>
        <w:ind w:left="48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w:t>
      </w:r>
    </w:p>
    <w:p>
      <w:pPr>
        <w:numPr>
          <w:ilvl w:val="0"/>
          <w:numId w:val="4"/>
        </w:numPr>
        <w:spacing w:line="54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所有报价应以人民币表示。</w:t>
      </w:r>
    </w:p>
    <w:p>
      <w:pPr>
        <w:numPr>
          <w:ilvl w:val="0"/>
          <w:numId w:val="4"/>
        </w:numPr>
        <w:spacing w:line="54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报价文件有关资料必须逐页加盖单位公章或加盖骑缝章。</w:t>
      </w:r>
    </w:p>
    <w:p>
      <w:pPr>
        <w:numPr>
          <w:ilvl w:val="0"/>
          <w:numId w:val="4"/>
        </w:numPr>
        <w:spacing w:line="54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报价文件封面格式自拟，需加盖单位公章及编制人签字。</w:t>
      </w:r>
    </w:p>
    <w:p>
      <w:pPr>
        <w:pStyle w:val="28"/>
        <w:jc w:val="center"/>
        <w:rPr>
          <w:color w:val="000000" w:themeColor="text1"/>
          <w14:textFill>
            <w14:solidFill>
              <w14:schemeClr w14:val="tx1"/>
            </w14:solidFill>
          </w14:textFill>
        </w:rPr>
      </w:pPr>
    </w:p>
    <w:p>
      <w:pPr>
        <w:spacing w:line="360" w:lineRule="auto"/>
        <w:ind w:firstLine="420" w:firstLineChars="200"/>
        <w:rPr>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工程量清单报价表格要严格按照预算招标控制价给出的表格要求和内容填报。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8"/>
        <w:jc w:val="center"/>
        <w:rPr>
          <w:rFonts w:hAnsi="宋体"/>
          <w:b/>
          <w:color w:val="000000" w:themeColor="text1"/>
          <w:sz w:val="24"/>
          <w:szCs w:val="24"/>
          <w14:textFill>
            <w14:solidFill>
              <w14:schemeClr w14:val="tx1"/>
            </w14:solidFill>
          </w14:textFill>
        </w:rPr>
      </w:pPr>
    </w:p>
    <w:p>
      <w:pPr>
        <w:pStyle w:val="28"/>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三、供应商认为需要提供的其他有关资料。</w:t>
      </w:r>
    </w:p>
    <w:p>
      <w:pPr>
        <w:rPr>
          <w:color w:val="000000" w:themeColor="text1"/>
          <w14:textFill>
            <w14:solidFill>
              <w14:schemeClr w14:val="tx1"/>
            </w14:solidFill>
          </w14:textFill>
        </w:rPr>
      </w:pPr>
    </w:p>
    <w:p>
      <w:pPr>
        <w:rPr>
          <w:color w:val="000000" w:themeColor="text1"/>
          <w14:textFill>
            <w14:solidFill>
              <w14:schemeClr w14:val="tx1"/>
            </w14:solidFill>
          </w14:textFill>
        </w:rPr>
        <w:sectPr>
          <w:footerReference r:id="rId10" w:type="first"/>
          <w:footerReference r:id="rId8" w:type="default"/>
          <w:footerReference r:id="rId9" w:type="even"/>
          <w:pgSz w:w="11907" w:h="16840"/>
          <w:pgMar w:top="1440" w:right="1440" w:bottom="1440" w:left="1797" w:header="851" w:footer="851" w:gutter="0"/>
          <w:cols w:space="720" w:num="1"/>
          <w:docGrid w:linePitch="312" w:charSpace="0"/>
        </w:sect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p>
    <w:p>
      <w:pPr>
        <w:spacing w:line="500" w:lineRule="exact"/>
        <w:jc w:val="center"/>
        <w:rPr>
          <w:rFonts w:hAnsi="宋体"/>
          <w:b/>
          <w:color w:val="000000" w:themeColor="text1"/>
          <w:sz w:val="44"/>
          <w:szCs w:val="32"/>
          <w14:textFill>
            <w14:solidFill>
              <w14:schemeClr w14:val="tx1"/>
            </w14:solidFill>
          </w14:textFill>
        </w:rPr>
      </w:pPr>
      <w:r>
        <w:rPr>
          <w:rFonts w:hint="eastAsia" w:hAnsi="宋体"/>
          <w:b/>
          <w:color w:val="000000" w:themeColor="text1"/>
          <w:sz w:val="44"/>
          <w:szCs w:val="32"/>
          <w14:textFill>
            <w14:solidFill>
              <w14:schemeClr w14:val="tx1"/>
            </w14:solidFill>
          </w14:textFill>
        </w:rPr>
        <w:t>商务技术文件（封面）</w:t>
      </w:r>
    </w:p>
    <w:p>
      <w:pPr>
        <w:spacing w:line="500" w:lineRule="exact"/>
        <w:jc w:val="center"/>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p>
    <w:p>
      <w:pPr>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项目编号：</w:t>
      </w:r>
      <w:r>
        <w:rPr>
          <w:rFonts w:hint="eastAsia" w:hAnsi="宋体"/>
          <w:color w:val="000000" w:themeColor="text1"/>
          <w:sz w:val="28"/>
          <w:szCs w:val="28"/>
          <w:u w:val="single"/>
          <w14:textFill>
            <w14:solidFill>
              <w14:schemeClr w14:val="tx1"/>
            </w14:solidFill>
          </w14:textFill>
        </w:rPr>
        <w:t xml:space="preserve">                       </w:t>
      </w:r>
    </w:p>
    <w:p>
      <w:pPr>
        <w:tabs>
          <w:tab w:val="left" w:pos="3240"/>
        </w:tabs>
        <w:spacing w:line="500" w:lineRule="exact"/>
        <w:ind w:firstLine="2550" w:firstLineChars="911"/>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项目名称：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供应商名称：</w:t>
      </w:r>
      <w:r>
        <w:rPr>
          <w:rFonts w:hint="eastAsia" w:hAnsi="宋体"/>
          <w:color w:val="000000" w:themeColor="text1"/>
          <w:sz w:val="28"/>
          <w:szCs w:val="28"/>
          <w:u w:val="single"/>
          <w14:textFill>
            <w14:solidFill>
              <w14:schemeClr w14:val="tx1"/>
            </w14:solidFill>
          </w14:textFill>
        </w:rPr>
        <w:t xml:space="preserve">                     </w:t>
      </w:r>
    </w:p>
    <w:p>
      <w:pPr>
        <w:tabs>
          <w:tab w:val="left" w:pos="2625"/>
        </w:tabs>
        <w:spacing w:line="500" w:lineRule="exact"/>
        <w:ind w:firstLine="2550" w:firstLineChars="911"/>
        <w:jc w:val="left"/>
        <w:rPr>
          <w:rFonts w:hAnsi="宋体"/>
          <w:color w:val="000000" w:themeColor="text1"/>
          <w:sz w:val="28"/>
          <w:szCs w:val="28"/>
          <w:u w:val="single"/>
          <w14:textFill>
            <w14:solidFill>
              <w14:schemeClr w14:val="tx1"/>
            </w14:solidFill>
          </w14:textFill>
        </w:rPr>
      </w:pPr>
      <w:r>
        <w:rPr>
          <w:rFonts w:hint="eastAsia" w:hAnsi="宋体"/>
          <w:color w:val="000000" w:themeColor="text1"/>
          <w:sz w:val="28"/>
          <w:szCs w:val="28"/>
          <w14:textFill>
            <w14:solidFill>
              <w14:schemeClr w14:val="tx1"/>
            </w14:solidFill>
          </w14:textFill>
        </w:rPr>
        <w:t>供应商地址：</w:t>
      </w:r>
      <w:r>
        <w:rPr>
          <w:rFonts w:hint="eastAsia" w:hAnsi="宋体"/>
          <w:color w:val="000000" w:themeColor="text1"/>
          <w:sz w:val="28"/>
          <w:szCs w:val="28"/>
          <w:u w:val="single"/>
          <w14:textFill>
            <w14:solidFill>
              <w14:schemeClr w14:val="tx1"/>
            </w14:solidFill>
          </w14:textFill>
        </w:rPr>
        <w:t xml:space="preserve">                     </w:t>
      </w:r>
    </w:p>
    <w:p>
      <w:pPr>
        <w:spacing w:line="500" w:lineRule="exact"/>
        <w:rPr>
          <w:rFonts w:hAnsi="宋体"/>
          <w:color w:val="000000" w:themeColor="text1"/>
          <w:sz w:val="28"/>
          <w:szCs w:val="28"/>
          <w14:textFill>
            <w14:solidFill>
              <w14:schemeClr w14:val="tx1"/>
            </w14:solidFill>
          </w14:textFill>
        </w:rPr>
      </w:pPr>
    </w:p>
    <w:p>
      <w:pPr>
        <w:spacing w:line="500" w:lineRule="exact"/>
        <w:jc w:val="center"/>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年</w:t>
      </w:r>
      <w:r>
        <w:rPr>
          <w:rFonts w:hint="eastAsia" w:hAnsi="宋体" w:cs="宋体"/>
          <w:color w:val="000000" w:themeColor="text1"/>
          <w:sz w:val="28"/>
          <w:szCs w:val="28"/>
          <w14:textFill>
            <w14:solidFill>
              <w14:schemeClr w14:val="tx1"/>
            </w14:solidFill>
          </w14:textFill>
        </w:rPr>
        <w:t xml:space="preserve">    </w:t>
      </w:r>
      <w:r>
        <w:rPr>
          <w:rFonts w:hint="eastAsia" w:hAnsi="宋体"/>
          <w:color w:val="000000" w:themeColor="text1"/>
          <w:sz w:val="28"/>
          <w:szCs w:val="28"/>
          <w14:textFill>
            <w14:solidFill>
              <w14:schemeClr w14:val="tx1"/>
            </w14:solidFill>
          </w14:textFill>
        </w:rPr>
        <w:t>月    日</w:t>
      </w:r>
    </w:p>
    <w:p>
      <w:pPr>
        <w:ind w:right="384" w:rightChars="183"/>
        <w:jc w:val="left"/>
        <w:rPr>
          <w:rFonts w:hAnsi="宋体"/>
          <w:b/>
          <w:color w:val="000000" w:themeColor="text1"/>
          <w:sz w:val="28"/>
          <w:szCs w:val="28"/>
          <w14:textFill>
            <w14:solidFill>
              <w14:schemeClr w14:val="tx1"/>
            </w14:solidFill>
          </w14:textFill>
        </w:rPr>
      </w:pPr>
    </w:p>
    <w:p>
      <w:pPr>
        <w:ind w:right="384" w:rightChars="183"/>
        <w:jc w:val="left"/>
        <w:rPr>
          <w:rFonts w:hAnsi="宋体"/>
          <w:b/>
          <w:color w:val="000000" w:themeColor="text1"/>
          <w:sz w:val="28"/>
          <w:szCs w:val="28"/>
          <w14:textFill>
            <w14:solidFill>
              <w14:schemeClr w14:val="tx1"/>
            </w14:solidFill>
          </w14:textFill>
        </w:rPr>
        <w:sectPr>
          <w:pgSz w:w="11906" w:h="16838"/>
          <w:pgMar w:top="1304" w:right="1304" w:bottom="1304" w:left="1304" w:header="720" w:footer="720" w:gutter="0"/>
          <w:cols w:space="720" w:num="1"/>
          <w:docGrid w:type="lines" w:linePitch="312" w:charSpace="0"/>
        </w:sectPr>
      </w:pPr>
    </w:p>
    <w:p>
      <w:pPr>
        <w:spacing w:line="400" w:lineRule="exact"/>
        <w:ind w:firstLine="317" w:firstLineChars="151"/>
        <w:jc w:val="center"/>
        <w:rPr>
          <w:rFonts w:hAnsi="宋体"/>
          <w:color w:val="000000" w:themeColor="text1"/>
          <w:szCs w:val="21"/>
          <w14:textFill>
            <w14:solidFill>
              <w14:schemeClr w14:val="tx1"/>
            </w14:solidFill>
          </w14:textFill>
        </w:rPr>
      </w:pPr>
    </w:p>
    <w:p>
      <w:pPr>
        <w:snapToGrid w:val="0"/>
        <w:spacing w:before="156" w:beforeLines="50" w:after="50" w:line="360" w:lineRule="auto"/>
        <w:ind w:right="480" w:firstLine="321" w:firstLineChars="100"/>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目录</w:t>
      </w:r>
    </w:p>
    <w:p>
      <w:pPr>
        <w:pStyle w:val="28"/>
        <w:spacing w:line="440" w:lineRule="exact"/>
        <w:ind w:firstLine="560" w:firstLineChars="200"/>
        <w:outlineLvl w:val="1"/>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（1）</w:t>
      </w:r>
      <w:r>
        <w:rPr>
          <w:rFonts w:hint="eastAsia" w:hAnsi="宋体"/>
          <w:bCs/>
          <w:iCs/>
          <w:color w:val="000000" w:themeColor="text1"/>
          <w:sz w:val="28"/>
          <w:szCs w:val="28"/>
          <w14:textFill>
            <w14:solidFill>
              <w14:schemeClr w14:val="tx1"/>
            </w14:solidFill>
          </w14:textFill>
        </w:rPr>
        <w:t>施工组织设计</w:t>
      </w:r>
      <w:r>
        <w:rPr>
          <w:rFonts w:hint="eastAsia" w:hAnsi="宋体"/>
          <w:color w:val="000000" w:themeColor="text1"/>
          <w:sz w:val="28"/>
          <w:szCs w:val="28"/>
          <w14:textFill>
            <w14:solidFill>
              <w14:schemeClr w14:val="tx1"/>
            </w14:solidFill>
          </w14:textFill>
        </w:rPr>
        <w:t>（格式自拟）；（</w:t>
      </w:r>
      <w:r>
        <w:rPr>
          <w:rFonts w:hint="eastAsia" w:hAnsi="宋体"/>
          <w:b/>
          <w:color w:val="000000" w:themeColor="text1"/>
          <w:sz w:val="28"/>
          <w:szCs w:val="28"/>
          <w14:textFill>
            <w14:solidFill>
              <w14:schemeClr w14:val="tx1"/>
            </w14:solidFill>
          </w14:textFill>
        </w:rPr>
        <w:t>必须提供，否则响应文件按无效响应处理</w:t>
      </w:r>
      <w:r>
        <w:rPr>
          <w:rFonts w:hint="eastAsia" w:hAnsi="宋体"/>
          <w:color w:val="000000" w:themeColor="text1"/>
          <w:sz w:val="28"/>
          <w:szCs w:val="28"/>
          <w14:textFill>
            <w14:solidFill>
              <w14:schemeClr w14:val="tx1"/>
            </w14:solidFill>
          </w14:textFill>
        </w:rPr>
        <w:t>）</w:t>
      </w:r>
    </w:p>
    <w:p>
      <w:pPr>
        <w:pStyle w:val="28"/>
        <w:spacing w:line="440" w:lineRule="exact"/>
        <w:ind w:firstLine="560" w:firstLineChars="200"/>
        <w:outlineLvl w:val="1"/>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（2）项目管理机构配备情况（格式自拟）；（</w:t>
      </w:r>
      <w:r>
        <w:rPr>
          <w:rFonts w:hint="eastAsia" w:hAnsi="宋体"/>
          <w:b/>
          <w:color w:val="000000" w:themeColor="text1"/>
          <w:sz w:val="28"/>
          <w:szCs w:val="28"/>
          <w14:textFill>
            <w14:solidFill>
              <w14:schemeClr w14:val="tx1"/>
            </w14:solidFill>
          </w14:textFill>
        </w:rPr>
        <w:t>必须提供，否则响应文件按无效响应处理</w:t>
      </w:r>
      <w:r>
        <w:rPr>
          <w:rFonts w:hint="eastAsia" w:hAnsi="宋体"/>
          <w:color w:val="000000" w:themeColor="text1"/>
          <w:sz w:val="28"/>
          <w:szCs w:val="28"/>
          <w14:textFill>
            <w14:solidFill>
              <w14:schemeClr w14:val="tx1"/>
            </w14:solidFill>
          </w14:textFill>
        </w:rPr>
        <w:t>）</w:t>
      </w:r>
    </w:p>
    <w:p>
      <w:pPr>
        <w:pStyle w:val="28"/>
        <w:spacing w:line="440" w:lineRule="exact"/>
        <w:ind w:firstLine="560" w:firstLineChars="200"/>
        <w:outlineLvl w:val="1"/>
        <w:rPr>
          <w:rFonts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（3）供应商认为需要提供的其他有关资料。</w:t>
      </w: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pStyle w:val="28"/>
        <w:spacing w:line="440" w:lineRule="exact"/>
        <w:outlineLvl w:val="1"/>
        <w:rPr>
          <w:rFonts w:hAnsi="宋体"/>
          <w:b/>
          <w:color w:val="000000" w:themeColor="text1"/>
          <w:sz w:val="24"/>
          <w:szCs w:val="24"/>
          <w14:textFill>
            <w14:solidFill>
              <w14:schemeClr w14:val="tx1"/>
            </w14:solidFill>
          </w14:textFill>
        </w:rPr>
      </w:pPr>
    </w:p>
    <w:p>
      <w:pPr>
        <w:spacing w:line="520" w:lineRule="exact"/>
        <w:jc w:val="center"/>
        <w:rPr>
          <w:rFonts w:ascii="宋体" w:hAnsi="宋体" w:cs="仿宋_GB2312"/>
          <w:color w:val="000000" w:themeColor="text1"/>
          <w:sz w:val="24"/>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br w:type="page"/>
      </w:r>
    </w:p>
    <w:p>
      <w:pPr>
        <w:jc w:val="center"/>
        <w:rPr>
          <w:rFonts w:ascii="宋体" w:hAnsi="宋体"/>
          <w:b/>
          <w:color w:val="000000" w:themeColor="text1"/>
          <w:szCs w:val="21"/>
          <w14:textFill>
            <w14:solidFill>
              <w14:schemeClr w14:val="tx1"/>
            </w14:solidFill>
          </w14:textFill>
        </w:rPr>
      </w:pPr>
      <w:bookmarkStart w:id="608" w:name="_Toc81461367"/>
      <w:r>
        <w:rPr>
          <w:rFonts w:hint="eastAsia" w:ascii="宋体" w:hAnsi="宋体"/>
          <w:b/>
          <w:color w:val="000000" w:themeColor="text1"/>
          <w:szCs w:val="21"/>
          <w14:textFill>
            <w14:solidFill>
              <w14:schemeClr w14:val="tx1"/>
            </w14:solidFill>
          </w14:textFill>
        </w:rPr>
        <w:t>一、 施工组织设计</w:t>
      </w:r>
      <w:bookmarkEnd w:id="608"/>
    </w:p>
    <w:p>
      <w:pPr>
        <w:autoSpaceDE w:val="0"/>
        <w:autoSpaceDN w:val="0"/>
        <w:spacing w:line="300" w:lineRule="auto"/>
        <w:rPr>
          <w:rFonts w:ascii="宋体" w:hAnsi="宋体"/>
          <w:color w:val="000000" w:themeColor="text1"/>
          <w:spacing w:val="20"/>
          <w:szCs w:val="21"/>
          <w14:textFill>
            <w14:solidFill>
              <w14:schemeClr w14:val="tx1"/>
            </w14:solidFill>
          </w14:textFill>
        </w:rPr>
      </w:pPr>
    </w:p>
    <w:p>
      <w:pPr>
        <w:autoSpaceDE w:val="0"/>
        <w:autoSpaceDN w:val="0"/>
        <w:spacing w:line="300" w:lineRule="auto"/>
        <w:ind w:firstLine="500" w:firstLineChars="20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1.供应商应编制完整的施工组织设计，说明各分部分项工程的施工方法和布置，编制具体要求是：编制时应采用文字并结合图表形式说明各分部分项工程的施工方法；结合招标工程特点提出切实可行的工程质量、安全生产、文明施工、工程进度、技术组织措施，同时应对关键工序、复杂环节重点提出相应技术措施，如雨季施工技术措施，减少扰民噪音、降低环境污染技术措施、地下管线及其他地上地下设施的保护加固措施等。</w:t>
      </w:r>
    </w:p>
    <w:p>
      <w:pPr>
        <w:autoSpaceDE w:val="0"/>
        <w:autoSpaceDN w:val="0"/>
        <w:spacing w:line="300" w:lineRule="auto"/>
        <w:ind w:firstLine="500" w:firstLineChars="20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2.施工组织设计除采用文字表述外须附下列图表，</w:t>
      </w:r>
      <w:r>
        <w:rPr>
          <w:rFonts w:hint="eastAsia" w:ascii="宋体" w:hAnsi="宋体"/>
          <w:color w:val="000000" w:themeColor="text1"/>
          <w:szCs w:val="21"/>
          <w14:textFill>
            <w14:solidFill>
              <w14:schemeClr w14:val="tx1"/>
            </w14:solidFill>
          </w14:textFill>
        </w:rPr>
        <w:t>图表及格式要求附后</w:t>
      </w:r>
      <w:r>
        <w:rPr>
          <w:rFonts w:hint="eastAsia" w:ascii="宋体" w:hAnsi="宋体"/>
          <w:color w:val="000000" w:themeColor="text1"/>
          <w:spacing w:val="20"/>
          <w:szCs w:val="21"/>
          <w14:textFill>
            <w14:solidFill>
              <w14:schemeClr w14:val="tx1"/>
            </w14:solidFill>
          </w14:textFill>
        </w:rPr>
        <w:t>。</w:t>
      </w:r>
    </w:p>
    <w:p>
      <w:pPr>
        <w:autoSpaceDE w:val="0"/>
        <w:autoSpaceDN w:val="0"/>
        <w:spacing w:line="300" w:lineRule="auto"/>
        <w:ind w:firstLine="500" w:firstLineChars="20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2.1 拟投入的主要施工机械设备表；（表9.1）</w:t>
      </w:r>
    </w:p>
    <w:p>
      <w:pPr>
        <w:autoSpaceDE w:val="0"/>
        <w:autoSpaceDN w:val="0"/>
        <w:spacing w:line="300" w:lineRule="auto"/>
        <w:ind w:left="56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2.2 劳动力计划表；</w:t>
      </w:r>
    </w:p>
    <w:p>
      <w:pPr>
        <w:autoSpaceDE w:val="0"/>
        <w:autoSpaceDN w:val="0"/>
        <w:spacing w:line="300" w:lineRule="auto"/>
        <w:ind w:left="56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2.3 计划开、竣工日期和施工进度网络图；（表9.3）</w:t>
      </w:r>
    </w:p>
    <w:p>
      <w:pPr>
        <w:autoSpaceDE w:val="0"/>
        <w:autoSpaceDN w:val="0"/>
        <w:spacing w:line="300" w:lineRule="auto"/>
        <w:ind w:left="560"/>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2.4 临时用地表。</w:t>
      </w:r>
    </w:p>
    <w:p>
      <w:pPr>
        <w:spacing w:line="360" w:lineRule="auto"/>
        <w:ind w:firstLine="490"/>
        <w:jc w:val="center"/>
        <w:rPr>
          <w:rFonts w:ascii="仿宋_GB2312" w:hAnsi="宋体" w:eastAsia="仿宋_GB2312"/>
          <w:b/>
          <w:color w:val="000000" w:themeColor="text1"/>
          <w:sz w:val="28"/>
          <w:szCs w:val="28"/>
          <w14:textFill>
            <w14:solidFill>
              <w14:schemeClr w14:val="tx1"/>
            </w14:solidFill>
          </w14:textFill>
        </w:rPr>
      </w:pPr>
      <w:bookmarkStart w:id="609" w:name="_Toc173579003"/>
      <w:bookmarkStart w:id="610" w:name="_Toc172364023"/>
      <w:bookmarkStart w:id="611" w:name="_Toc153274945"/>
    </w:p>
    <w:p>
      <w:pPr>
        <w:spacing w:line="360" w:lineRule="auto"/>
        <w:ind w:firstLine="490"/>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（1）拟投入的主要施工机械设备表</w:t>
      </w:r>
      <w:bookmarkEnd w:id="609"/>
      <w:bookmarkEnd w:id="610"/>
      <w:bookmarkEnd w:id="611"/>
    </w:p>
    <w:p>
      <w:pPr>
        <w:tabs>
          <w:tab w:val="left" w:pos="0"/>
        </w:tabs>
        <w:spacing w:after="120"/>
        <w:ind w:right="153"/>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u w:val="single"/>
          <w14:textFill>
            <w14:solidFill>
              <w14:schemeClr w14:val="tx1"/>
            </w14:solidFill>
          </w14:textFill>
        </w:rPr>
        <w:t xml:space="preserve">      {招标工程项目名称}   </w:t>
      </w:r>
      <w:r>
        <w:rPr>
          <w:rFonts w:hint="eastAsia" w:ascii="仿宋_GB2312" w:hAnsi="宋体" w:eastAsia="仿宋_GB2312"/>
          <w:color w:val="000000" w:themeColor="text1"/>
          <w:sz w:val="28"/>
          <w:szCs w:val="28"/>
          <w14:textFill>
            <w14:solidFill>
              <w14:schemeClr w14:val="tx1"/>
            </w14:solidFill>
          </w14:textFill>
        </w:rPr>
        <w:t>工程                         表9.1</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序号</w:t>
            </w:r>
          </w:p>
        </w:tc>
        <w:tc>
          <w:tcPr>
            <w:tcW w:w="1500"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机械或</w:t>
            </w:r>
          </w:p>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设备名称</w:t>
            </w:r>
          </w:p>
        </w:tc>
        <w:tc>
          <w:tcPr>
            <w:tcW w:w="979"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型号</w:t>
            </w:r>
          </w:p>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规格</w:t>
            </w:r>
          </w:p>
        </w:tc>
        <w:tc>
          <w:tcPr>
            <w:tcW w:w="720"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w:t>
            </w:r>
          </w:p>
        </w:tc>
        <w:tc>
          <w:tcPr>
            <w:tcW w:w="801"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国别产地</w:t>
            </w:r>
          </w:p>
        </w:tc>
        <w:tc>
          <w:tcPr>
            <w:tcW w:w="1100"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制造年份</w:t>
            </w:r>
          </w:p>
        </w:tc>
        <w:tc>
          <w:tcPr>
            <w:tcW w:w="1100"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额定功率（KW）</w:t>
            </w:r>
          </w:p>
        </w:tc>
        <w:tc>
          <w:tcPr>
            <w:tcW w:w="800" w:type="dxa"/>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生产能力</w:t>
            </w:r>
          </w:p>
        </w:tc>
        <w:tc>
          <w:tcPr>
            <w:tcW w:w="1000" w:type="dxa"/>
            <w:tcBorders>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用于施工部位</w:t>
            </w:r>
          </w:p>
        </w:tc>
        <w:tc>
          <w:tcPr>
            <w:tcW w:w="945" w:type="dxa"/>
            <w:tcBorders>
              <w:lef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rPr>
                <w:rFonts w:ascii="宋体" w:hAnsi="宋体"/>
                <w:color w:val="000000" w:themeColor="text1"/>
                <w14:textFill>
                  <w14:solidFill>
                    <w14:schemeClr w14:val="tx1"/>
                  </w14:solidFill>
                </w14:textFill>
              </w:rPr>
            </w:pPr>
          </w:p>
        </w:tc>
        <w:tc>
          <w:tcPr>
            <w:tcW w:w="1500" w:type="dxa"/>
          </w:tcPr>
          <w:p>
            <w:pPr>
              <w:rPr>
                <w:rFonts w:ascii="宋体" w:hAnsi="宋体"/>
                <w:color w:val="000000" w:themeColor="text1"/>
                <w14:textFill>
                  <w14:solidFill>
                    <w14:schemeClr w14:val="tx1"/>
                  </w14:solidFill>
                </w14:textFill>
              </w:rPr>
            </w:pPr>
          </w:p>
        </w:tc>
        <w:tc>
          <w:tcPr>
            <w:tcW w:w="979" w:type="dxa"/>
          </w:tcPr>
          <w:p>
            <w:pPr>
              <w:rPr>
                <w:rFonts w:ascii="宋体" w:hAnsi="宋体"/>
                <w:color w:val="000000" w:themeColor="text1"/>
                <w14:textFill>
                  <w14:solidFill>
                    <w14:schemeClr w14:val="tx1"/>
                  </w14:solidFill>
                </w14:textFill>
              </w:rPr>
            </w:pPr>
          </w:p>
        </w:tc>
        <w:tc>
          <w:tcPr>
            <w:tcW w:w="720" w:type="dxa"/>
          </w:tcPr>
          <w:p>
            <w:pPr>
              <w:rPr>
                <w:rFonts w:ascii="宋体" w:hAnsi="宋体"/>
                <w:color w:val="000000" w:themeColor="text1"/>
                <w14:textFill>
                  <w14:solidFill>
                    <w14:schemeClr w14:val="tx1"/>
                  </w14:solidFill>
                </w14:textFill>
              </w:rPr>
            </w:pPr>
          </w:p>
        </w:tc>
        <w:tc>
          <w:tcPr>
            <w:tcW w:w="801" w:type="dxa"/>
          </w:tcPr>
          <w:p>
            <w:pPr>
              <w:rPr>
                <w:rFonts w:ascii="宋体" w:hAnsi="宋体"/>
                <w:color w:val="000000" w:themeColor="text1"/>
                <w14:textFill>
                  <w14:solidFill>
                    <w14:schemeClr w14:val="tx1"/>
                  </w14:solidFill>
                </w14:textFill>
              </w:rPr>
            </w:pPr>
          </w:p>
        </w:tc>
        <w:tc>
          <w:tcPr>
            <w:tcW w:w="1100" w:type="dxa"/>
          </w:tcPr>
          <w:p>
            <w:pPr>
              <w:rPr>
                <w:rFonts w:ascii="宋体" w:hAnsi="宋体"/>
                <w:color w:val="000000" w:themeColor="text1"/>
                <w14:textFill>
                  <w14:solidFill>
                    <w14:schemeClr w14:val="tx1"/>
                  </w14:solidFill>
                </w14:textFill>
              </w:rPr>
            </w:pPr>
          </w:p>
        </w:tc>
        <w:tc>
          <w:tcPr>
            <w:tcW w:w="1100" w:type="dxa"/>
          </w:tcPr>
          <w:p>
            <w:pPr>
              <w:rPr>
                <w:rFonts w:ascii="宋体" w:hAnsi="宋体"/>
                <w:color w:val="000000" w:themeColor="text1"/>
                <w14:textFill>
                  <w14:solidFill>
                    <w14:schemeClr w14:val="tx1"/>
                  </w14:solidFill>
                </w14:textFill>
              </w:rPr>
            </w:pPr>
          </w:p>
        </w:tc>
        <w:tc>
          <w:tcPr>
            <w:tcW w:w="800" w:type="dxa"/>
          </w:tcPr>
          <w:p>
            <w:pPr>
              <w:rPr>
                <w:rFonts w:ascii="宋体" w:hAnsi="宋体"/>
                <w:color w:val="000000" w:themeColor="text1"/>
                <w14:textFill>
                  <w14:solidFill>
                    <w14:schemeClr w14:val="tx1"/>
                  </w14:solidFill>
                </w14:textFill>
              </w:rPr>
            </w:pPr>
          </w:p>
        </w:tc>
        <w:tc>
          <w:tcPr>
            <w:tcW w:w="1000" w:type="dxa"/>
            <w:tcBorders>
              <w:right w:val="single" w:color="auto" w:sz="4" w:space="0"/>
            </w:tcBorders>
          </w:tcPr>
          <w:p>
            <w:pPr>
              <w:rPr>
                <w:rFonts w:ascii="宋体" w:hAnsi="宋体"/>
                <w:color w:val="000000" w:themeColor="text1"/>
                <w14:textFill>
                  <w14:solidFill>
                    <w14:schemeClr w14:val="tx1"/>
                  </w14:solidFill>
                </w14:textFill>
              </w:rPr>
            </w:pPr>
          </w:p>
        </w:tc>
        <w:tc>
          <w:tcPr>
            <w:tcW w:w="945" w:type="dxa"/>
            <w:tcBorders>
              <w:left w:val="single" w:color="auto" w:sz="4" w:space="0"/>
            </w:tcBorders>
          </w:tcPr>
          <w:p>
            <w:pP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0" w:hRule="atLeast"/>
        </w:trPr>
        <w:tc>
          <w:tcPr>
            <w:tcW w:w="508" w:type="dxa"/>
          </w:tcPr>
          <w:p>
            <w:pPr>
              <w:rPr>
                <w:rFonts w:ascii="宋体" w:hAnsi="宋体"/>
                <w:color w:val="000000" w:themeColor="text1"/>
                <w14:textFill>
                  <w14:solidFill>
                    <w14:schemeClr w14:val="tx1"/>
                  </w14:solidFill>
                </w14:textFill>
              </w:rPr>
            </w:pPr>
          </w:p>
        </w:tc>
        <w:tc>
          <w:tcPr>
            <w:tcW w:w="1500" w:type="dxa"/>
          </w:tcPr>
          <w:p>
            <w:pPr>
              <w:rPr>
                <w:rFonts w:ascii="宋体" w:hAnsi="宋体"/>
                <w:color w:val="000000" w:themeColor="text1"/>
                <w14:textFill>
                  <w14:solidFill>
                    <w14:schemeClr w14:val="tx1"/>
                  </w14:solidFill>
                </w14:textFill>
              </w:rPr>
            </w:pPr>
          </w:p>
        </w:tc>
        <w:tc>
          <w:tcPr>
            <w:tcW w:w="979" w:type="dxa"/>
          </w:tcPr>
          <w:p>
            <w:pPr>
              <w:rPr>
                <w:rFonts w:ascii="宋体" w:hAnsi="宋体"/>
                <w:color w:val="000000" w:themeColor="text1"/>
                <w14:textFill>
                  <w14:solidFill>
                    <w14:schemeClr w14:val="tx1"/>
                  </w14:solidFill>
                </w14:textFill>
              </w:rPr>
            </w:pPr>
          </w:p>
        </w:tc>
        <w:tc>
          <w:tcPr>
            <w:tcW w:w="720" w:type="dxa"/>
          </w:tcPr>
          <w:p>
            <w:pPr>
              <w:rPr>
                <w:rFonts w:ascii="宋体" w:hAnsi="宋体"/>
                <w:color w:val="000000" w:themeColor="text1"/>
                <w14:textFill>
                  <w14:solidFill>
                    <w14:schemeClr w14:val="tx1"/>
                  </w14:solidFill>
                </w14:textFill>
              </w:rPr>
            </w:pPr>
          </w:p>
        </w:tc>
        <w:tc>
          <w:tcPr>
            <w:tcW w:w="801" w:type="dxa"/>
          </w:tcPr>
          <w:p>
            <w:pPr>
              <w:rPr>
                <w:rFonts w:ascii="宋体" w:hAnsi="宋体"/>
                <w:color w:val="000000" w:themeColor="text1"/>
                <w14:textFill>
                  <w14:solidFill>
                    <w14:schemeClr w14:val="tx1"/>
                  </w14:solidFill>
                </w14:textFill>
              </w:rPr>
            </w:pPr>
          </w:p>
        </w:tc>
        <w:tc>
          <w:tcPr>
            <w:tcW w:w="1100" w:type="dxa"/>
          </w:tcPr>
          <w:p>
            <w:pPr>
              <w:rPr>
                <w:rFonts w:ascii="宋体" w:hAnsi="宋体"/>
                <w:color w:val="000000" w:themeColor="text1"/>
                <w14:textFill>
                  <w14:solidFill>
                    <w14:schemeClr w14:val="tx1"/>
                  </w14:solidFill>
                </w14:textFill>
              </w:rPr>
            </w:pPr>
          </w:p>
        </w:tc>
        <w:tc>
          <w:tcPr>
            <w:tcW w:w="1100" w:type="dxa"/>
          </w:tcPr>
          <w:p>
            <w:pPr>
              <w:rPr>
                <w:rFonts w:ascii="宋体" w:hAnsi="宋体"/>
                <w:color w:val="000000" w:themeColor="text1"/>
                <w14:textFill>
                  <w14:solidFill>
                    <w14:schemeClr w14:val="tx1"/>
                  </w14:solidFill>
                </w14:textFill>
              </w:rPr>
            </w:pPr>
          </w:p>
        </w:tc>
        <w:tc>
          <w:tcPr>
            <w:tcW w:w="800" w:type="dxa"/>
          </w:tcPr>
          <w:p>
            <w:pPr>
              <w:rPr>
                <w:rFonts w:ascii="宋体" w:hAnsi="宋体"/>
                <w:color w:val="000000" w:themeColor="text1"/>
                <w14:textFill>
                  <w14:solidFill>
                    <w14:schemeClr w14:val="tx1"/>
                  </w14:solidFill>
                </w14:textFill>
              </w:rPr>
            </w:pPr>
          </w:p>
        </w:tc>
        <w:tc>
          <w:tcPr>
            <w:tcW w:w="1000" w:type="dxa"/>
            <w:tcBorders>
              <w:right w:val="single" w:color="auto" w:sz="4" w:space="0"/>
            </w:tcBorders>
          </w:tcPr>
          <w:p>
            <w:pPr>
              <w:rPr>
                <w:rFonts w:ascii="宋体" w:hAnsi="宋体"/>
                <w:color w:val="000000" w:themeColor="text1"/>
                <w14:textFill>
                  <w14:solidFill>
                    <w14:schemeClr w14:val="tx1"/>
                  </w14:solidFill>
                </w14:textFill>
              </w:rPr>
            </w:pPr>
          </w:p>
        </w:tc>
        <w:tc>
          <w:tcPr>
            <w:tcW w:w="945" w:type="dxa"/>
            <w:tcBorders>
              <w:left w:val="single" w:color="auto" w:sz="4" w:space="0"/>
            </w:tcBorders>
          </w:tcPr>
          <w:p>
            <w:pPr>
              <w:rPr>
                <w:rFonts w:ascii="宋体" w:hAnsi="宋体"/>
                <w:color w:val="000000" w:themeColor="text1"/>
                <w14:textFill>
                  <w14:solidFill>
                    <w14:schemeClr w14:val="tx1"/>
                  </w14:solidFill>
                </w14:textFill>
              </w:rPr>
            </w:pPr>
          </w:p>
        </w:tc>
      </w:tr>
    </w:tbl>
    <w:p>
      <w:pPr>
        <w:rPr>
          <w:color w:val="000000" w:themeColor="text1"/>
          <w14:textFill>
            <w14:solidFill>
              <w14:schemeClr w14:val="tx1"/>
            </w14:solidFill>
          </w14:textFill>
        </w:rPr>
      </w:pPr>
    </w:p>
    <w:p>
      <w:pPr>
        <w:spacing w:line="360" w:lineRule="auto"/>
        <w:ind w:firstLine="490"/>
        <w:jc w:val="center"/>
        <w:rPr>
          <w:rFonts w:ascii="仿宋_GB2312" w:hAnsi="宋体" w:eastAsia="仿宋_GB2312"/>
          <w:b/>
          <w:color w:val="000000" w:themeColor="text1"/>
          <w:sz w:val="28"/>
          <w:szCs w:val="28"/>
          <w14:textFill>
            <w14:solidFill>
              <w14:schemeClr w14:val="tx1"/>
            </w14:solidFill>
          </w14:textFill>
        </w:rPr>
      </w:pPr>
      <w:bookmarkStart w:id="612" w:name="_Toc173579004"/>
      <w:bookmarkStart w:id="613" w:name="_Toc153274946"/>
      <w:bookmarkStart w:id="614" w:name="_Toc172364024"/>
      <w:r>
        <w:rPr>
          <w:rFonts w:hint="eastAsia" w:ascii="仿宋_GB2312" w:hAnsi="宋体" w:eastAsia="仿宋_GB2312"/>
          <w:b/>
          <w:color w:val="000000" w:themeColor="text1"/>
          <w:sz w:val="28"/>
          <w:szCs w:val="28"/>
          <w14:textFill>
            <w14:solidFill>
              <w14:schemeClr w14:val="tx1"/>
            </w14:solidFill>
          </w14:textFill>
        </w:rPr>
        <w:t>（2）计划开、竣工日期和施工进度网络图</w:t>
      </w:r>
      <w:bookmarkEnd w:id="612"/>
      <w:bookmarkEnd w:id="613"/>
      <w:bookmarkEnd w:id="614"/>
    </w:p>
    <w:p>
      <w:pPr>
        <w:jc w:val="right"/>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表9.3</w:t>
      </w:r>
    </w:p>
    <w:p>
      <w:pPr>
        <w:spacing w:line="360" w:lineRule="auto"/>
        <w:ind w:left="-6" w:firstLine="42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1.供应商应提交的施工进度网络图或施工进度表，说明按竞争性磋商文件要求的工期进行施工的各个关键日期。成交的供应商还应按合同条件有关条款的要求提交详细的施工进度计划。</w:t>
      </w:r>
    </w:p>
    <w:p>
      <w:pPr>
        <w:spacing w:line="360" w:lineRule="auto"/>
        <w:ind w:left="-6" w:firstLine="42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2.施工进度表可采用网络图（或横道图）表示，说明计划开工日期和各分项工程各阶段的完工日期和分包合同签订的日期。</w:t>
      </w:r>
    </w:p>
    <w:p>
      <w:pPr>
        <w:spacing w:line="360" w:lineRule="auto"/>
        <w:ind w:left="-6" w:firstLine="42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3.施工进度计划应与施工组织设计相适应。</w:t>
      </w:r>
    </w:p>
    <w:p>
      <w:pPr>
        <w:jc w:val="center"/>
        <w:rPr>
          <w:rFonts w:ascii="宋体" w:hAnsi="宋体"/>
          <w:b/>
          <w:color w:val="000000" w:themeColor="text1"/>
          <w:szCs w:val="21"/>
          <w14:textFill>
            <w14:solidFill>
              <w14:schemeClr w14:val="tx1"/>
            </w14:solidFill>
          </w14:textFill>
        </w:rPr>
      </w:pPr>
      <w:bookmarkStart w:id="615" w:name="_Toc59820888"/>
      <w:bookmarkStart w:id="616" w:name="_Toc81461368"/>
    </w:p>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w:t>
      </w:r>
      <w:r>
        <w:rPr>
          <w:rFonts w:ascii="宋体" w:hAnsi="宋体"/>
          <w:b/>
          <w:color w:val="000000" w:themeColor="text1"/>
          <w:szCs w:val="21"/>
          <w14:textFill>
            <w14:solidFill>
              <w14:schemeClr w14:val="tx1"/>
            </w14:solidFill>
          </w14:textFill>
        </w:rPr>
        <w:t>、项目管理机构配备</w:t>
      </w:r>
      <w:bookmarkEnd w:id="615"/>
      <w:bookmarkEnd w:id="616"/>
    </w:p>
    <w:p>
      <w:pPr>
        <w:rPr>
          <w:rFonts w:ascii="宋体" w:hAnsi="宋体"/>
          <w:color w:val="000000" w:themeColor="text1"/>
          <w:szCs w:val="21"/>
          <w14:textFill>
            <w14:solidFill>
              <w14:schemeClr w14:val="tx1"/>
            </w14:solidFill>
          </w14:textFill>
        </w:rPr>
      </w:pPr>
      <w:bookmarkStart w:id="617" w:name="_Toc81461369"/>
    </w:p>
    <w:p>
      <w:pPr>
        <w:spacing w:line="400" w:lineRule="exact"/>
        <w:rPr>
          <w:rFonts w:ascii="宋体" w:hAnsi="宋体"/>
          <w:b/>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拟投入的主要管理人员情况表</w:t>
      </w:r>
      <w:bookmarkEnd w:id="617"/>
    </w:p>
    <w:p>
      <w:pPr>
        <w:spacing w:after="120"/>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{项目名称} </w:t>
      </w:r>
      <w:r>
        <w:rPr>
          <w:rFonts w:hint="eastAsia" w:ascii="宋体" w:hAnsi="宋体"/>
          <w:color w:val="000000" w:themeColor="text1"/>
          <w:szCs w:val="21"/>
          <w14:textFill>
            <w14:solidFill>
              <w14:schemeClr w14:val="tx1"/>
            </w14:solidFill>
          </w14:textFill>
        </w:rPr>
        <w:t>工程                                                         表9.6</w:t>
      </w:r>
    </w:p>
    <w:tbl>
      <w:tblPr>
        <w:tblStyle w:val="49"/>
        <w:tblW w:w="961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06"/>
        <w:gridCol w:w="660"/>
        <w:gridCol w:w="1214"/>
        <w:gridCol w:w="750"/>
        <w:gridCol w:w="706"/>
        <w:gridCol w:w="840"/>
        <w:gridCol w:w="1319"/>
        <w:gridCol w:w="885"/>
        <w:gridCol w:w="1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660" w:type="dxa"/>
            <w:vMerge w:val="restart"/>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职务</w:t>
            </w:r>
          </w:p>
        </w:tc>
        <w:tc>
          <w:tcPr>
            <w:tcW w:w="706" w:type="dxa"/>
            <w:vMerge w:val="restart"/>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姓名</w:t>
            </w:r>
          </w:p>
        </w:tc>
        <w:tc>
          <w:tcPr>
            <w:tcW w:w="660" w:type="dxa"/>
            <w:vMerge w:val="restart"/>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职称</w:t>
            </w:r>
          </w:p>
        </w:tc>
        <w:tc>
          <w:tcPr>
            <w:tcW w:w="4829" w:type="dxa"/>
            <w:gridSpan w:val="5"/>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执业或职业资格证明</w:t>
            </w:r>
          </w:p>
        </w:tc>
        <w:tc>
          <w:tcPr>
            <w:tcW w:w="2761" w:type="dxa"/>
            <w:gridSpan w:val="2"/>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承担完工</w:t>
            </w:r>
          </w:p>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工 程 情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660" w:type="dxa"/>
            <w:vMerge w:val="continue"/>
          </w:tcPr>
          <w:p>
            <w:pPr>
              <w:ind w:left="223" w:hanging="222" w:hangingChars="106"/>
              <w:rPr>
                <w:rFonts w:ascii="宋体" w:hAnsi="宋体"/>
                <w:color w:val="000000" w:themeColor="text1"/>
                <w14:textFill>
                  <w14:solidFill>
                    <w14:schemeClr w14:val="tx1"/>
                  </w14:solidFill>
                </w14:textFill>
              </w:rPr>
            </w:pPr>
          </w:p>
        </w:tc>
        <w:tc>
          <w:tcPr>
            <w:tcW w:w="706" w:type="dxa"/>
            <w:vMerge w:val="continue"/>
          </w:tcPr>
          <w:p>
            <w:pPr>
              <w:ind w:left="223" w:hanging="222" w:hangingChars="106"/>
              <w:rPr>
                <w:rFonts w:ascii="宋体" w:hAnsi="宋体"/>
                <w:color w:val="000000" w:themeColor="text1"/>
                <w14:textFill>
                  <w14:solidFill>
                    <w14:schemeClr w14:val="tx1"/>
                  </w14:solidFill>
                </w14:textFill>
              </w:rPr>
            </w:pPr>
          </w:p>
        </w:tc>
        <w:tc>
          <w:tcPr>
            <w:tcW w:w="660" w:type="dxa"/>
            <w:vMerge w:val="continue"/>
          </w:tcPr>
          <w:p>
            <w:pPr>
              <w:ind w:left="223" w:hanging="222" w:hangingChars="106"/>
              <w:rPr>
                <w:rFonts w:ascii="宋体" w:hAnsi="宋体"/>
                <w:color w:val="000000" w:themeColor="text1"/>
                <w14:textFill>
                  <w14:solidFill>
                    <w14:schemeClr w14:val="tx1"/>
                  </w14:solidFill>
                </w14:textFill>
              </w:rPr>
            </w:pPr>
          </w:p>
        </w:tc>
        <w:tc>
          <w:tcPr>
            <w:tcW w:w="1214"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证书名称</w:t>
            </w:r>
          </w:p>
        </w:tc>
        <w:tc>
          <w:tcPr>
            <w:tcW w:w="750"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级别</w:t>
            </w:r>
          </w:p>
        </w:tc>
        <w:tc>
          <w:tcPr>
            <w:tcW w:w="706"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证号</w:t>
            </w:r>
          </w:p>
        </w:tc>
        <w:tc>
          <w:tcPr>
            <w:tcW w:w="840"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专业</w:t>
            </w:r>
          </w:p>
        </w:tc>
        <w:tc>
          <w:tcPr>
            <w:tcW w:w="1319"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原服务单位</w:t>
            </w:r>
          </w:p>
        </w:tc>
        <w:tc>
          <w:tcPr>
            <w:tcW w:w="885"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项目数</w:t>
            </w:r>
          </w:p>
        </w:tc>
        <w:tc>
          <w:tcPr>
            <w:tcW w:w="1876" w:type="dxa"/>
            <w:vAlign w:val="center"/>
          </w:tcPr>
          <w:p>
            <w:pPr>
              <w:ind w:left="223" w:hanging="222" w:hangingChars="106"/>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6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660" w:type="dxa"/>
          </w:tcPr>
          <w:p>
            <w:pPr>
              <w:ind w:left="223" w:hanging="222" w:hangingChars="106"/>
              <w:rPr>
                <w:rFonts w:ascii="宋体" w:hAnsi="宋体"/>
                <w:color w:val="000000" w:themeColor="text1"/>
                <w14:textFill>
                  <w14:solidFill>
                    <w14:schemeClr w14:val="tx1"/>
                  </w14:solidFill>
                </w14:textFill>
              </w:rPr>
            </w:pPr>
          </w:p>
        </w:tc>
        <w:tc>
          <w:tcPr>
            <w:tcW w:w="1214" w:type="dxa"/>
          </w:tcPr>
          <w:p>
            <w:pPr>
              <w:ind w:left="223" w:hanging="222" w:hangingChars="106"/>
              <w:rPr>
                <w:rFonts w:ascii="宋体" w:hAnsi="宋体"/>
                <w:color w:val="000000" w:themeColor="text1"/>
                <w14:textFill>
                  <w14:solidFill>
                    <w14:schemeClr w14:val="tx1"/>
                  </w14:solidFill>
                </w14:textFill>
              </w:rPr>
            </w:pPr>
          </w:p>
        </w:tc>
        <w:tc>
          <w:tcPr>
            <w:tcW w:w="75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840" w:type="dxa"/>
          </w:tcPr>
          <w:p>
            <w:pPr>
              <w:ind w:left="223" w:hanging="222" w:hangingChars="106"/>
              <w:rPr>
                <w:rFonts w:ascii="宋体" w:hAnsi="宋体"/>
                <w:color w:val="000000" w:themeColor="text1"/>
                <w14:textFill>
                  <w14:solidFill>
                    <w14:schemeClr w14:val="tx1"/>
                  </w14:solidFill>
                </w14:textFill>
              </w:rPr>
            </w:pPr>
          </w:p>
        </w:tc>
        <w:tc>
          <w:tcPr>
            <w:tcW w:w="1319" w:type="dxa"/>
          </w:tcPr>
          <w:p>
            <w:pPr>
              <w:ind w:left="223" w:hanging="222" w:hangingChars="106"/>
              <w:rPr>
                <w:rFonts w:ascii="宋体" w:hAnsi="宋体"/>
                <w:color w:val="000000" w:themeColor="text1"/>
                <w14:textFill>
                  <w14:solidFill>
                    <w14:schemeClr w14:val="tx1"/>
                  </w14:solidFill>
                </w14:textFill>
              </w:rPr>
            </w:pPr>
          </w:p>
        </w:tc>
        <w:tc>
          <w:tcPr>
            <w:tcW w:w="885" w:type="dxa"/>
          </w:tcPr>
          <w:p>
            <w:pPr>
              <w:ind w:left="223" w:hanging="222" w:hangingChars="106"/>
              <w:rPr>
                <w:rFonts w:ascii="宋体" w:hAnsi="宋体"/>
                <w:color w:val="000000" w:themeColor="text1"/>
                <w14:textFill>
                  <w14:solidFill>
                    <w14:schemeClr w14:val="tx1"/>
                  </w14:solidFill>
                </w14:textFill>
              </w:rPr>
            </w:pPr>
          </w:p>
        </w:tc>
        <w:tc>
          <w:tcPr>
            <w:tcW w:w="1876" w:type="dxa"/>
          </w:tcPr>
          <w:p>
            <w:pPr>
              <w:ind w:left="223" w:hanging="222" w:hangingChars="106"/>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6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660" w:type="dxa"/>
          </w:tcPr>
          <w:p>
            <w:pPr>
              <w:ind w:left="223" w:hanging="222" w:hangingChars="106"/>
              <w:rPr>
                <w:rFonts w:ascii="宋体" w:hAnsi="宋体"/>
                <w:color w:val="000000" w:themeColor="text1"/>
                <w14:textFill>
                  <w14:solidFill>
                    <w14:schemeClr w14:val="tx1"/>
                  </w14:solidFill>
                </w14:textFill>
              </w:rPr>
            </w:pPr>
          </w:p>
        </w:tc>
        <w:tc>
          <w:tcPr>
            <w:tcW w:w="1214" w:type="dxa"/>
          </w:tcPr>
          <w:p>
            <w:pPr>
              <w:ind w:left="223" w:hanging="222" w:hangingChars="106"/>
              <w:rPr>
                <w:rFonts w:ascii="宋体" w:hAnsi="宋体"/>
                <w:color w:val="000000" w:themeColor="text1"/>
                <w14:textFill>
                  <w14:solidFill>
                    <w14:schemeClr w14:val="tx1"/>
                  </w14:solidFill>
                </w14:textFill>
              </w:rPr>
            </w:pPr>
          </w:p>
        </w:tc>
        <w:tc>
          <w:tcPr>
            <w:tcW w:w="75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840" w:type="dxa"/>
          </w:tcPr>
          <w:p>
            <w:pPr>
              <w:ind w:left="223" w:hanging="222" w:hangingChars="106"/>
              <w:rPr>
                <w:rFonts w:ascii="宋体" w:hAnsi="宋体"/>
                <w:color w:val="000000" w:themeColor="text1"/>
                <w14:textFill>
                  <w14:solidFill>
                    <w14:schemeClr w14:val="tx1"/>
                  </w14:solidFill>
                </w14:textFill>
              </w:rPr>
            </w:pPr>
          </w:p>
        </w:tc>
        <w:tc>
          <w:tcPr>
            <w:tcW w:w="1319" w:type="dxa"/>
          </w:tcPr>
          <w:p>
            <w:pPr>
              <w:ind w:left="223" w:hanging="222" w:hangingChars="106"/>
              <w:rPr>
                <w:rFonts w:ascii="宋体" w:hAnsi="宋体"/>
                <w:color w:val="000000" w:themeColor="text1"/>
                <w14:textFill>
                  <w14:solidFill>
                    <w14:schemeClr w14:val="tx1"/>
                  </w14:solidFill>
                </w14:textFill>
              </w:rPr>
            </w:pPr>
          </w:p>
        </w:tc>
        <w:tc>
          <w:tcPr>
            <w:tcW w:w="885" w:type="dxa"/>
          </w:tcPr>
          <w:p>
            <w:pPr>
              <w:ind w:left="223" w:hanging="222" w:hangingChars="106"/>
              <w:rPr>
                <w:rFonts w:ascii="宋体" w:hAnsi="宋体"/>
                <w:color w:val="000000" w:themeColor="text1"/>
                <w14:textFill>
                  <w14:solidFill>
                    <w14:schemeClr w14:val="tx1"/>
                  </w14:solidFill>
                </w14:textFill>
              </w:rPr>
            </w:pPr>
          </w:p>
        </w:tc>
        <w:tc>
          <w:tcPr>
            <w:tcW w:w="1876" w:type="dxa"/>
          </w:tcPr>
          <w:p>
            <w:pPr>
              <w:ind w:left="223" w:hanging="222" w:hangingChars="106"/>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6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660" w:type="dxa"/>
          </w:tcPr>
          <w:p>
            <w:pPr>
              <w:ind w:left="223" w:hanging="222" w:hangingChars="106"/>
              <w:rPr>
                <w:rFonts w:ascii="宋体" w:hAnsi="宋体"/>
                <w:color w:val="000000" w:themeColor="text1"/>
                <w14:textFill>
                  <w14:solidFill>
                    <w14:schemeClr w14:val="tx1"/>
                  </w14:solidFill>
                </w14:textFill>
              </w:rPr>
            </w:pPr>
          </w:p>
        </w:tc>
        <w:tc>
          <w:tcPr>
            <w:tcW w:w="1214" w:type="dxa"/>
          </w:tcPr>
          <w:p>
            <w:pPr>
              <w:ind w:left="223" w:hanging="222" w:hangingChars="106"/>
              <w:rPr>
                <w:rFonts w:ascii="宋体" w:hAnsi="宋体"/>
                <w:color w:val="000000" w:themeColor="text1"/>
                <w14:textFill>
                  <w14:solidFill>
                    <w14:schemeClr w14:val="tx1"/>
                  </w14:solidFill>
                </w14:textFill>
              </w:rPr>
            </w:pPr>
          </w:p>
        </w:tc>
        <w:tc>
          <w:tcPr>
            <w:tcW w:w="750" w:type="dxa"/>
          </w:tcPr>
          <w:p>
            <w:pPr>
              <w:ind w:left="223" w:hanging="222" w:hangingChars="106"/>
              <w:rPr>
                <w:rFonts w:ascii="宋体" w:hAnsi="宋体"/>
                <w:color w:val="000000" w:themeColor="text1"/>
                <w14:textFill>
                  <w14:solidFill>
                    <w14:schemeClr w14:val="tx1"/>
                  </w14:solidFill>
                </w14:textFill>
              </w:rPr>
            </w:pPr>
          </w:p>
        </w:tc>
        <w:tc>
          <w:tcPr>
            <w:tcW w:w="706" w:type="dxa"/>
          </w:tcPr>
          <w:p>
            <w:pPr>
              <w:ind w:left="223" w:hanging="222" w:hangingChars="106"/>
              <w:rPr>
                <w:rFonts w:ascii="宋体" w:hAnsi="宋体"/>
                <w:color w:val="000000" w:themeColor="text1"/>
                <w14:textFill>
                  <w14:solidFill>
                    <w14:schemeClr w14:val="tx1"/>
                  </w14:solidFill>
                </w14:textFill>
              </w:rPr>
            </w:pPr>
          </w:p>
        </w:tc>
        <w:tc>
          <w:tcPr>
            <w:tcW w:w="840" w:type="dxa"/>
          </w:tcPr>
          <w:p>
            <w:pPr>
              <w:ind w:left="223" w:hanging="222" w:hangingChars="106"/>
              <w:rPr>
                <w:rFonts w:ascii="宋体" w:hAnsi="宋体"/>
                <w:color w:val="000000" w:themeColor="text1"/>
                <w14:textFill>
                  <w14:solidFill>
                    <w14:schemeClr w14:val="tx1"/>
                  </w14:solidFill>
                </w14:textFill>
              </w:rPr>
            </w:pPr>
          </w:p>
        </w:tc>
        <w:tc>
          <w:tcPr>
            <w:tcW w:w="1319" w:type="dxa"/>
          </w:tcPr>
          <w:p>
            <w:pPr>
              <w:ind w:left="223" w:hanging="222" w:hangingChars="106"/>
              <w:rPr>
                <w:rFonts w:ascii="宋体" w:hAnsi="宋体"/>
                <w:color w:val="000000" w:themeColor="text1"/>
                <w14:textFill>
                  <w14:solidFill>
                    <w14:schemeClr w14:val="tx1"/>
                  </w14:solidFill>
                </w14:textFill>
              </w:rPr>
            </w:pPr>
          </w:p>
        </w:tc>
        <w:tc>
          <w:tcPr>
            <w:tcW w:w="885" w:type="dxa"/>
          </w:tcPr>
          <w:p>
            <w:pPr>
              <w:ind w:left="223" w:hanging="222" w:hangingChars="106"/>
              <w:rPr>
                <w:rFonts w:ascii="宋体" w:hAnsi="宋体"/>
                <w:color w:val="000000" w:themeColor="text1"/>
                <w14:textFill>
                  <w14:solidFill>
                    <w14:schemeClr w14:val="tx1"/>
                  </w14:solidFill>
                </w14:textFill>
              </w:rPr>
            </w:pPr>
          </w:p>
        </w:tc>
        <w:tc>
          <w:tcPr>
            <w:tcW w:w="1876" w:type="dxa"/>
          </w:tcPr>
          <w:p>
            <w:pPr>
              <w:ind w:left="223" w:hanging="222" w:hangingChars="106"/>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9616" w:type="dxa"/>
            <w:gridSpan w:val="10"/>
          </w:tcPr>
          <w:p>
            <w:pPr>
              <w:ind w:left="223" w:hanging="222" w:hangingChars="10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一旦我单位成交，将实行项目负责人负责制，我方保证并配备上述项目管理机构。上述填报内容真实，若不真实，愿按有关规定接受处理。项目管理班子机构设置、职责分工等情况另附资料说明。             </w:t>
            </w:r>
          </w:p>
        </w:tc>
      </w:tr>
    </w:tbl>
    <w:p>
      <w:pPr>
        <w:tabs>
          <w:tab w:val="left" w:pos="0"/>
        </w:tabs>
        <w:spacing w:line="360" w:lineRule="auto"/>
        <w:ind w:left="1100" w:right="-210"/>
        <w:rPr>
          <w:rFonts w:ascii="宋体" w:hAnsi="宋体"/>
          <w:color w:val="000000" w:themeColor="text1"/>
          <w14:textFill>
            <w14:solidFill>
              <w14:schemeClr w14:val="tx1"/>
            </w14:solidFill>
          </w14:textFill>
        </w:rPr>
      </w:pPr>
    </w:p>
    <w:p>
      <w:pPr>
        <w:tabs>
          <w:tab w:val="left" w:pos="0"/>
        </w:tabs>
        <w:spacing w:line="360" w:lineRule="auto"/>
        <w:ind w:left="1100" w:right="-210"/>
        <w:rPr>
          <w:rFonts w:ascii="宋体" w:hAnsi="宋体"/>
          <w:color w:val="000000" w:themeColor="text1"/>
          <w14:textFill>
            <w14:solidFill>
              <w14:schemeClr w14:val="tx1"/>
            </w14:solidFill>
          </w14:textFill>
        </w:rPr>
      </w:pPr>
    </w:p>
    <w:p>
      <w:pPr>
        <w:spacing w:line="440" w:lineRule="exact"/>
        <w:rPr>
          <w:rFonts w:ascii="宋体" w:hAnsi="宋体"/>
          <w:b/>
          <w:color w:val="000000" w:themeColor="text1"/>
          <w:szCs w:val="21"/>
          <w14:textFill>
            <w14:solidFill>
              <w14:schemeClr w14:val="tx1"/>
            </w14:solidFill>
          </w14:textFill>
        </w:rPr>
      </w:pPr>
      <w:bookmarkStart w:id="618" w:name="_Toc81461370"/>
      <w:bookmarkStart w:id="619" w:name="_Toc59820889"/>
      <w:r>
        <w:rPr>
          <w:rFonts w:ascii="宋体" w:hAnsi="宋体"/>
          <w:b/>
          <w:color w:val="000000" w:themeColor="text1"/>
          <w:szCs w:val="21"/>
          <w14:textFill>
            <w14:solidFill>
              <w14:schemeClr w14:val="tx1"/>
            </w14:solidFill>
          </w14:textFill>
        </w:rPr>
        <w:t>（2）项目负责人简历表</w:t>
      </w:r>
      <w:bookmarkEnd w:id="618"/>
      <w:bookmarkEnd w:id="619"/>
    </w:p>
    <w:p>
      <w:pPr>
        <w:spacing w:line="440" w:lineRule="exact"/>
        <w:ind w:right="658" w:firstLine="840" w:firstLine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（项目名称）        </w:t>
      </w:r>
      <w:r>
        <w:rPr>
          <w:rFonts w:hint="eastAsia" w:ascii="宋体" w:hAnsi="宋体"/>
          <w:color w:val="000000" w:themeColor="text1"/>
          <w:szCs w:val="21"/>
          <w14:textFill>
            <w14:solidFill>
              <w14:schemeClr w14:val="tx1"/>
            </w14:solidFill>
          </w14:textFill>
        </w:rPr>
        <w:t xml:space="preserve">                                            表9.7</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745"/>
        <w:gridCol w:w="1355"/>
        <w:gridCol w:w="697"/>
        <w:gridCol w:w="185"/>
        <w:gridCol w:w="840"/>
        <w:gridCol w:w="540"/>
        <w:gridCol w:w="15"/>
        <w:gridCol w:w="1125"/>
        <w:gridCol w:w="306"/>
        <w:gridCol w:w="774"/>
        <w:gridCol w:w="405"/>
        <w:gridCol w:w="1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3"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姓名</w:t>
            </w:r>
          </w:p>
        </w:tc>
        <w:tc>
          <w:tcPr>
            <w:tcW w:w="2982"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84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性别</w:t>
            </w:r>
          </w:p>
        </w:tc>
        <w:tc>
          <w:tcPr>
            <w:tcW w:w="168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108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年龄</w:t>
            </w:r>
          </w:p>
        </w:tc>
        <w:tc>
          <w:tcPr>
            <w:tcW w:w="2362"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33"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职务</w:t>
            </w:r>
          </w:p>
        </w:tc>
        <w:tc>
          <w:tcPr>
            <w:tcW w:w="2982"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84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职称</w:t>
            </w:r>
          </w:p>
        </w:tc>
        <w:tc>
          <w:tcPr>
            <w:tcW w:w="168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108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学历</w:t>
            </w:r>
          </w:p>
        </w:tc>
        <w:tc>
          <w:tcPr>
            <w:tcW w:w="2362"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33" w:type="dxa"/>
            <w:gridSpan w:val="3"/>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参加工作时间</w:t>
            </w:r>
          </w:p>
        </w:tc>
        <w:tc>
          <w:tcPr>
            <w:tcW w:w="2262"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2625" w:type="dxa"/>
            <w:gridSpan w:val="5"/>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担任项目负责人年限</w:t>
            </w:r>
          </w:p>
        </w:tc>
        <w:tc>
          <w:tcPr>
            <w:tcW w:w="1957" w:type="dxa"/>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2633" w:type="dxa"/>
            <w:gridSpan w:val="3"/>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项目负责人资格证书编号</w:t>
            </w:r>
          </w:p>
        </w:tc>
        <w:tc>
          <w:tcPr>
            <w:tcW w:w="6844" w:type="dxa"/>
            <w:gridSpan w:val="10"/>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77" w:type="dxa"/>
            <w:gridSpan w:val="13"/>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已完工工程项目情况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8"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建设单位</w:t>
            </w:r>
          </w:p>
        </w:tc>
        <w:tc>
          <w:tcPr>
            <w:tcW w:w="2052"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建设规模</w:t>
            </w:r>
          </w:p>
        </w:tc>
        <w:tc>
          <w:tcPr>
            <w:tcW w:w="1431"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开、竣工日期</w:t>
            </w:r>
          </w:p>
        </w:tc>
        <w:tc>
          <w:tcPr>
            <w:tcW w:w="1179"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已完工工程</w:t>
            </w:r>
          </w:p>
        </w:tc>
        <w:tc>
          <w:tcPr>
            <w:tcW w:w="1957"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278"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2052"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431"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179"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957" w:type="dxa"/>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278"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2052"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431"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179"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957" w:type="dxa"/>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278"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2052"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431"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179"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957" w:type="dxa"/>
            <w:vAlign w:val="center"/>
          </w:tcPr>
          <w:p>
            <w:pPr>
              <w:spacing w:line="300" w:lineRule="auto"/>
              <w:jc w:val="center"/>
              <w:rPr>
                <w:rFonts w:ascii="宋体" w:hAnsi="宋体"/>
                <w:color w:val="000000" w:themeColor="text1"/>
                <w:szCs w:val="21"/>
                <w14:textFill>
                  <w14:solidFill>
                    <w14:schemeClr w14:val="tx1"/>
                  </w14:solidFill>
                </w14:textFill>
              </w:rPr>
            </w:pPr>
          </w:p>
        </w:tc>
      </w:tr>
    </w:tbl>
    <w:p>
      <w:pPr>
        <w:spacing w:line="300" w:lineRule="auto"/>
        <w:rPr>
          <w:rFonts w:ascii="宋体" w:hAnsi="宋体"/>
          <w:color w:val="000000" w:themeColor="text1"/>
          <w:szCs w:val="21"/>
          <w14:textFill>
            <w14:solidFill>
              <w14:schemeClr w14:val="tx1"/>
            </w14:solidFill>
          </w14:textFill>
        </w:rPr>
      </w:pPr>
    </w:p>
    <w:p>
      <w:pPr>
        <w:spacing w:line="300" w:lineRule="auto"/>
        <w:ind w:firstLine="831" w:firstLineChars="39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上述填报内容与实际相符，若不真实愿按有关规定接受处理。</w:t>
      </w:r>
    </w:p>
    <w:p>
      <w:pPr>
        <w:rPr>
          <w:rFonts w:ascii="宋体" w:hAnsi="宋体"/>
          <w:b/>
          <w:bCs/>
          <w:color w:val="000000" w:themeColor="text1"/>
          <w:szCs w:val="21"/>
          <w14:textFill>
            <w14:solidFill>
              <w14:schemeClr w14:val="tx1"/>
            </w14:solidFill>
          </w14:textFill>
        </w:rPr>
      </w:pPr>
      <w:bookmarkStart w:id="620" w:name="_Toc59820890"/>
      <w:bookmarkStart w:id="621" w:name="_Toc81461371"/>
      <w:r>
        <w:rPr>
          <w:rFonts w:ascii="宋体" w:hAnsi="宋体"/>
          <w:b/>
          <w:bCs/>
          <w:color w:val="000000" w:themeColor="text1"/>
          <w:szCs w:val="21"/>
          <w14:textFill>
            <w14:solidFill>
              <w14:schemeClr w14:val="tx1"/>
            </w14:solidFill>
          </w14:textFill>
        </w:rPr>
        <w:br w:type="page"/>
      </w:r>
    </w:p>
    <w:p>
      <w:pPr>
        <w:spacing w:line="44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（3）项目技术负责人简历表</w:t>
      </w:r>
      <w:bookmarkEnd w:id="620"/>
      <w:bookmarkEnd w:id="621"/>
    </w:p>
    <w:p>
      <w:pPr>
        <w:spacing w:line="3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（项目名称）  </w:t>
      </w:r>
      <w:r>
        <w:rPr>
          <w:rFonts w:hint="eastAsia" w:ascii="宋体" w:hAnsi="宋体"/>
          <w:color w:val="000000" w:themeColor="text1"/>
          <w:szCs w:val="21"/>
          <w14:textFill>
            <w14:solidFill>
              <w14:schemeClr w14:val="tx1"/>
            </w14:solidFill>
          </w14:textFill>
        </w:rPr>
        <w:t xml:space="preserve">                                                    表9．8</w:t>
      </w:r>
    </w:p>
    <w:tbl>
      <w:tblPr>
        <w:tblStyle w:val="49"/>
        <w:tblW w:w="0" w:type="auto"/>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516"/>
        <w:gridCol w:w="935"/>
        <w:gridCol w:w="745"/>
        <w:gridCol w:w="185"/>
        <w:gridCol w:w="840"/>
        <w:gridCol w:w="540"/>
        <w:gridCol w:w="15"/>
        <w:gridCol w:w="1485"/>
        <w:gridCol w:w="75"/>
        <w:gridCol w:w="825"/>
        <w:gridCol w:w="225"/>
        <w:gridCol w:w="315"/>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80" w:type="dxa"/>
            <w:vAlign w:val="center"/>
          </w:tcPr>
          <w:p>
            <w:pPr>
              <w:spacing w:line="300" w:lineRule="auto"/>
              <w:ind w:right="-397" w:rightChars="-18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姓名</w:t>
            </w:r>
          </w:p>
        </w:tc>
        <w:tc>
          <w:tcPr>
            <w:tcW w:w="2381"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84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性别</w:t>
            </w:r>
          </w:p>
        </w:tc>
        <w:tc>
          <w:tcPr>
            <w:tcW w:w="204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90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年龄</w:t>
            </w:r>
          </w:p>
        </w:tc>
        <w:tc>
          <w:tcPr>
            <w:tcW w:w="243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8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职务</w:t>
            </w:r>
          </w:p>
        </w:tc>
        <w:tc>
          <w:tcPr>
            <w:tcW w:w="2381"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84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职称</w:t>
            </w:r>
          </w:p>
        </w:tc>
        <w:tc>
          <w:tcPr>
            <w:tcW w:w="204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90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学历</w:t>
            </w:r>
          </w:p>
        </w:tc>
        <w:tc>
          <w:tcPr>
            <w:tcW w:w="2430"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231" w:type="dxa"/>
            <w:gridSpan w:val="3"/>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参加工作时间</w:t>
            </w:r>
          </w:p>
        </w:tc>
        <w:tc>
          <w:tcPr>
            <w:tcW w:w="231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2625" w:type="dxa"/>
            <w:gridSpan w:val="5"/>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担任技术负责人年限</w:t>
            </w:r>
          </w:p>
        </w:tc>
        <w:tc>
          <w:tcPr>
            <w:tcW w:w="2205"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371" w:type="dxa"/>
            <w:gridSpan w:val="14"/>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在施工和已完工程项目情况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96"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建设单位</w:t>
            </w:r>
          </w:p>
        </w:tc>
        <w:tc>
          <w:tcPr>
            <w:tcW w:w="168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建设规模</w:t>
            </w:r>
          </w:p>
        </w:tc>
        <w:tc>
          <w:tcPr>
            <w:tcW w:w="1560" w:type="dxa"/>
            <w:gridSpan w:val="2"/>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开、竣工日期</w:t>
            </w:r>
          </w:p>
        </w:tc>
        <w:tc>
          <w:tcPr>
            <w:tcW w:w="1365" w:type="dxa"/>
            <w:gridSpan w:val="3"/>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在建或已 完工</w:t>
            </w:r>
          </w:p>
        </w:tc>
        <w:tc>
          <w:tcPr>
            <w:tcW w:w="1890" w:type="dxa"/>
            <w:vAlign w:val="center"/>
          </w:tcPr>
          <w:p>
            <w:pPr>
              <w:spacing w:line="3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96"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68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56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365"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1890" w:type="dxa"/>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96"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68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56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365"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1890" w:type="dxa"/>
            <w:vAlign w:val="center"/>
          </w:tcPr>
          <w:p>
            <w:pPr>
              <w:spacing w:line="300" w:lineRule="auto"/>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96"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68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580" w:type="dxa"/>
            <w:gridSpan w:val="4"/>
            <w:vAlign w:val="center"/>
          </w:tcPr>
          <w:p>
            <w:pPr>
              <w:spacing w:line="300" w:lineRule="auto"/>
              <w:jc w:val="center"/>
              <w:rPr>
                <w:rFonts w:ascii="宋体" w:hAnsi="宋体"/>
                <w:color w:val="000000" w:themeColor="text1"/>
                <w:szCs w:val="21"/>
                <w14:textFill>
                  <w14:solidFill>
                    <w14:schemeClr w14:val="tx1"/>
                  </w14:solidFill>
                </w14:textFill>
              </w:rPr>
            </w:pPr>
          </w:p>
        </w:tc>
        <w:tc>
          <w:tcPr>
            <w:tcW w:w="1560" w:type="dxa"/>
            <w:gridSpan w:val="2"/>
            <w:vAlign w:val="center"/>
          </w:tcPr>
          <w:p>
            <w:pPr>
              <w:spacing w:line="300" w:lineRule="auto"/>
              <w:jc w:val="center"/>
              <w:rPr>
                <w:rFonts w:ascii="宋体" w:hAnsi="宋体"/>
                <w:color w:val="000000" w:themeColor="text1"/>
                <w:szCs w:val="21"/>
                <w14:textFill>
                  <w14:solidFill>
                    <w14:schemeClr w14:val="tx1"/>
                  </w14:solidFill>
                </w14:textFill>
              </w:rPr>
            </w:pPr>
          </w:p>
        </w:tc>
        <w:tc>
          <w:tcPr>
            <w:tcW w:w="1365" w:type="dxa"/>
            <w:gridSpan w:val="3"/>
            <w:vAlign w:val="center"/>
          </w:tcPr>
          <w:p>
            <w:pPr>
              <w:spacing w:line="300" w:lineRule="auto"/>
              <w:jc w:val="center"/>
              <w:rPr>
                <w:rFonts w:ascii="宋体" w:hAnsi="宋体"/>
                <w:color w:val="000000" w:themeColor="text1"/>
                <w:szCs w:val="21"/>
                <w14:textFill>
                  <w14:solidFill>
                    <w14:schemeClr w14:val="tx1"/>
                  </w14:solidFill>
                </w14:textFill>
              </w:rPr>
            </w:pPr>
          </w:p>
        </w:tc>
        <w:tc>
          <w:tcPr>
            <w:tcW w:w="1890" w:type="dxa"/>
            <w:vAlign w:val="center"/>
          </w:tcPr>
          <w:p>
            <w:pPr>
              <w:spacing w:line="300" w:lineRule="auto"/>
              <w:jc w:val="center"/>
              <w:rPr>
                <w:rFonts w:ascii="宋体" w:hAnsi="宋体"/>
                <w:color w:val="000000" w:themeColor="text1"/>
                <w:szCs w:val="21"/>
                <w14:textFill>
                  <w14:solidFill>
                    <w14:schemeClr w14:val="tx1"/>
                  </w14:solidFill>
                </w14:textFill>
              </w:rPr>
            </w:pPr>
          </w:p>
        </w:tc>
      </w:tr>
    </w:tbl>
    <w:p>
      <w:pPr>
        <w:pStyle w:val="77"/>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autoSpaceDE/>
        <w:autoSpaceDN/>
        <w:adjustRightInd/>
        <w:spacing w:line="300" w:lineRule="auto"/>
        <w:rPr>
          <w:rFonts w:ascii="宋体" w:hAnsi="宋体"/>
          <w:color w:val="000000" w:themeColor="text1"/>
          <w:sz w:val="21"/>
          <w:szCs w:val="21"/>
          <w14:textFill>
            <w14:solidFill>
              <w14:schemeClr w14:val="tx1"/>
            </w14:solidFill>
          </w14:textFill>
        </w:rPr>
      </w:pPr>
    </w:p>
    <w:p>
      <w:pPr>
        <w:spacing w:line="300" w:lineRule="auto"/>
        <w:ind w:firstLine="411" w:firstLineChars="196"/>
        <w:rPr>
          <w:rFonts w:ascii="宋体" w:hAnsi="宋体"/>
          <w:color w:val="000000" w:themeColor="text1"/>
          <w:szCs w:val="21"/>
          <w14:textFill>
            <w14:solidFill>
              <w14:schemeClr w14:val="tx1"/>
            </w14:solidFill>
          </w14:textFill>
        </w:rPr>
      </w:pPr>
      <w:bookmarkStart w:id="622" w:name="_Toc81461372"/>
      <w:bookmarkStart w:id="623" w:name="_Toc59820891"/>
      <w:r>
        <w:rPr>
          <w:rFonts w:hint="eastAsia" w:ascii="宋体" w:hAnsi="宋体"/>
          <w:color w:val="000000" w:themeColor="text1"/>
          <w:szCs w:val="21"/>
          <w14:textFill>
            <w14:solidFill>
              <w14:schemeClr w14:val="tx1"/>
            </w14:solidFill>
          </w14:textFill>
        </w:rPr>
        <w:t>上述填报内容与实际相符，若不真实愿按有关规定接受处理。</w:t>
      </w:r>
    </w:p>
    <w:p>
      <w:pPr>
        <w:spacing w:line="300" w:lineRule="auto"/>
        <w:ind w:firstLine="411" w:firstLineChars="196"/>
        <w:rPr>
          <w:rFonts w:ascii="宋体" w:hAnsi="宋体"/>
          <w:color w:val="000000" w:themeColor="text1"/>
          <w:szCs w:val="21"/>
          <w14:textFill>
            <w14:solidFill>
              <w14:schemeClr w14:val="tx1"/>
            </w14:solidFill>
          </w14:textFill>
        </w:rPr>
      </w:pPr>
    </w:p>
    <w:p>
      <w:pPr>
        <w:adjustRightInd w:val="0"/>
        <w:spacing w:line="312" w:lineRule="atLeast"/>
        <w:ind w:left="420"/>
        <w:textAlignment w:val="baseline"/>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w:t>
      </w:r>
      <w:r>
        <w:rPr>
          <w:rFonts w:ascii="宋体" w:hAnsi="宋体"/>
          <w:b/>
          <w:color w:val="000000" w:themeColor="text1"/>
          <w:szCs w:val="21"/>
          <w14:textFill>
            <w14:solidFill>
              <w14:schemeClr w14:val="tx1"/>
            </w14:solidFill>
          </w14:textFill>
        </w:rPr>
        <w:t>主要竣工工程情况表</w:t>
      </w:r>
      <w:bookmarkEnd w:id="622"/>
    </w:p>
    <w:p>
      <w:pPr>
        <w:ind w:left="480"/>
        <w:rPr>
          <w:rFonts w:ascii="宋体" w:hAnsi="宋体"/>
          <w:b/>
          <w:color w:val="000000" w:themeColor="text1"/>
          <w:szCs w:val="21"/>
          <w14:textFill>
            <w14:solidFill>
              <w14:schemeClr w14:val="tx1"/>
            </w14:solidFill>
          </w14:textFill>
        </w:rPr>
      </w:pPr>
    </w:p>
    <w:tbl>
      <w:tblPr>
        <w:tblStyle w:val="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69"/>
        <w:gridCol w:w="2165"/>
        <w:gridCol w:w="1274"/>
        <w:gridCol w:w="1650"/>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2" w:hRule="atLeast"/>
          <w:jc w:val="center"/>
        </w:trPr>
        <w:tc>
          <w:tcPr>
            <w:tcW w:w="3169" w:type="dxa"/>
            <w:vAlign w:val="center"/>
          </w:tcPr>
          <w:p>
            <w:pPr>
              <w:spacing w:line="300" w:lineRule="auto"/>
              <w:ind w:left="94" w:leftChars="45"/>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建设单位</w:t>
            </w:r>
          </w:p>
        </w:tc>
        <w:tc>
          <w:tcPr>
            <w:tcW w:w="2165" w:type="dxa"/>
            <w:vAlign w:val="center"/>
          </w:tcPr>
          <w:p>
            <w:pPr>
              <w:spacing w:line="300" w:lineRule="auto"/>
              <w:ind w:left="94" w:leftChars="45"/>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1274" w:type="dxa"/>
            <w:vAlign w:val="center"/>
          </w:tcPr>
          <w:p>
            <w:pPr>
              <w:spacing w:line="300" w:lineRule="auto"/>
              <w:ind w:left="94" w:leftChars="45"/>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规模</w:t>
            </w:r>
          </w:p>
        </w:tc>
        <w:tc>
          <w:tcPr>
            <w:tcW w:w="1650" w:type="dxa"/>
            <w:vAlign w:val="center"/>
          </w:tcPr>
          <w:p>
            <w:pPr>
              <w:spacing w:line="300" w:lineRule="auto"/>
              <w:ind w:left="94" w:leftChars="45"/>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开、竣工日期</w:t>
            </w:r>
          </w:p>
        </w:tc>
        <w:tc>
          <w:tcPr>
            <w:tcW w:w="1276" w:type="dxa"/>
            <w:vAlign w:val="center"/>
          </w:tcPr>
          <w:p>
            <w:pPr>
              <w:spacing w:line="300" w:lineRule="auto"/>
              <w:ind w:left="94" w:leftChars="45"/>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合同价款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169" w:type="dxa"/>
          </w:tcPr>
          <w:p>
            <w:pPr>
              <w:spacing w:line="300" w:lineRule="auto"/>
              <w:rPr>
                <w:rFonts w:ascii="宋体" w:hAnsi="宋体"/>
                <w:color w:val="000000" w:themeColor="text1"/>
                <w:szCs w:val="21"/>
                <w14:textFill>
                  <w14:solidFill>
                    <w14:schemeClr w14:val="tx1"/>
                  </w14:solidFill>
                </w14:textFill>
              </w:rPr>
            </w:pPr>
          </w:p>
          <w:p>
            <w:pPr>
              <w:spacing w:line="300" w:lineRule="auto"/>
              <w:rPr>
                <w:rFonts w:ascii="宋体" w:hAnsi="宋体"/>
                <w:color w:val="000000" w:themeColor="text1"/>
                <w:szCs w:val="21"/>
                <w14:textFill>
                  <w14:solidFill>
                    <w14:schemeClr w14:val="tx1"/>
                  </w14:solidFill>
                </w14:textFill>
              </w:rPr>
            </w:pPr>
          </w:p>
        </w:tc>
        <w:tc>
          <w:tcPr>
            <w:tcW w:w="2165" w:type="dxa"/>
          </w:tcPr>
          <w:p>
            <w:pPr>
              <w:spacing w:line="300" w:lineRule="auto"/>
              <w:ind w:left="94" w:leftChars="45"/>
              <w:rPr>
                <w:rFonts w:ascii="宋体" w:hAnsi="宋体"/>
                <w:color w:val="000000" w:themeColor="text1"/>
                <w:szCs w:val="21"/>
                <w14:textFill>
                  <w14:solidFill>
                    <w14:schemeClr w14:val="tx1"/>
                  </w14:solidFill>
                </w14:textFill>
              </w:rPr>
            </w:pPr>
          </w:p>
        </w:tc>
        <w:tc>
          <w:tcPr>
            <w:tcW w:w="1274" w:type="dxa"/>
          </w:tcPr>
          <w:p>
            <w:pPr>
              <w:spacing w:line="300" w:lineRule="auto"/>
              <w:ind w:left="94" w:leftChars="45"/>
              <w:rPr>
                <w:rFonts w:ascii="宋体" w:hAnsi="宋体"/>
                <w:color w:val="000000" w:themeColor="text1"/>
                <w:szCs w:val="21"/>
                <w14:textFill>
                  <w14:solidFill>
                    <w14:schemeClr w14:val="tx1"/>
                  </w14:solidFill>
                </w14:textFill>
              </w:rPr>
            </w:pPr>
          </w:p>
        </w:tc>
        <w:tc>
          <w:tcPr>
            <w:tcW w:w="1650" w:type="dxa"/>
          </w:tcPr>
          <w:p>
            <w:pPr>
              <w:spacing w:line="300" w:lineRule="auto"/>
              <w:ind w:left="94" w:leftChars="45"/>
              <w:rPr>
                <w:rFonts w:ascii="宋体" w:hAnsi="宋体"/>
                <w:color w:val="000000" w:themeColor="text1"/>
                <w:szCs w:val="21"/>
                <w14:textFill>
                  <w14:solidFill>
                    <w14:schemeClr w14:val="tx1"/>
                  </w14:solidFill>
                </w14:textFill>
              </w:rPr>
            </w:pPr>
          </w:p>
        </w:tc>
        <w:tc>
          <w:tcPr>
            <w:tcW w:w="1276" w:type="dxa"/>
          </w:tcPr>
          <w:p>
            <w:pPr>
              <w:spacing w:line="300" w:lineRule="auto"/>
              <w:ind w:left="94" w:leftChars="45"/>
              <w:rPr>
                <w:rFonts w:ascii="宋体" w:hAnsi="宋体"/>
                <w:color w:val="000000" w:themeColor="text1"/>
                <w:szCs w:val="2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169" w:type="dxa"/>
          </w:tcPr>
          <w:p>
            <w:pPr>
              <w:spacing w:line="300" w:lineRule="auto"/>
              <w:ind w:left="94" w:leftChars="45"/>
              <w:rPr>
                <w:rFonts w:ascii="宋体" w:hAnsi="宋体"/>
                <w:color w:val="000000" w:themeColor="text1"/>
                <w:szCs w:val="21"/>
                <w14:textFill>
                  <w14:solidFill>
                    <w14:schemeClr w14:val="tx1"/>
                  </w14:solidFill>
                </w14:textFill>
              </w:rPr>
            </w:pPr>
          </w:p>
          <w:p>
            <w:pPr>
              <w:spacing w:line="300" w:lineRule="auto"/>
              <w:ind w:left="94" w:leftChars="45"/>
              <w:rPr>
                <w:rFonts w:ascii="宋体" w:hAnsi="宋体"/>
                <w:color w:val="000000" w:themeColor="text1"/>
                <w:szCs w:val="21"/>
                <w14:textFill>
                  <w14:solidFill>
                    <w14:schemeClr w14:val="tx1"/>
                  </w14:solidFill>
                </w14:textFill>
              </w:rPr>
            </w:pPr>
          </w:p>
        </w:tc>
        <w:tc>
          <w:tcPr>
            <w:tcW w:w="2165" w:type="dxa"/>
          </w:tcPr>
          <w:p>
            <w:pPr>
              <w:spacing w:line="300" w:lineRule="auto"/>
              <w:ind w:left="94" w:leftChars="45"/>
              <w:rPr>
                <w:rFonts w:ascii="宋体" w:hAnsi="宋体"/>
                <w:color w:val="000000" w:themeColor="text1"/>
                <w:szCs w:val="21"/>
                <w14:textFill>
                  <w14:solidFill>
                    <w14:schemeClr w14:val="tx1"/>
                  </w14:solidFill>
                </w14:textFill>
              </w:rPr>
            </w:pPr>
          </w:p>
        </w:tc>
        <w:tc>
          <w:tcPr>
            <w:tcW w:w="1274" w:type="dxa"/>
          </w:tcPr>
          <w:p>
            <w:pPr>
              <w:spacing w:line="300" w:lineRule="auto"/>
              <w:ind w:left="94" w:leftChars="45"/>
              <w:rPr>
                <w:rFonts w:ascii="宋体" w:hAnsi="宋体"/>
                <w:color w:val="000000" w:themeColor="text1"/>
                <w:szCs w:val="21"/>
                <w14:textFill>
                  <w14:solidFill>
                    <w14:schemeClr w14:val="tx1"/>
                  </w14:solidFill>
                </w14:textFill>
              </w:rPr>
            </w:pPr>
          </w:p>
        </w:tc>
        <w:tc>
          <w:tcPr>
            <w:tcW w:w="1650" w:type="dxa"/>
          </w:tcPr>
          <w:p>
            <w:pPr>
              <w:spacing w:line="300" w:lineRule="auto"/>
              <w:ind w:left="94" w:leftChars="45"/>
              <w:rPr>
                <w:rFonts w:ascii="宋体" w:hAnsi="宋体"/>
                <w:color w:val="000000" w:themeColor="text1"/>
                <w:szCs w:val="21"/>
                <w14:textFill>
                  <w14:solidFill>
                    <w14:schemeClr w14:val="tx1"/>
                  </w14:solidFill>
                </w14:textFill>
              </w:rPr>
            </w:pPr>
          </w:p>
        </w:tc>
        <w:tc>
          <w:tcPr>
            <w:tcW w:w="1276" w:type="dxa"/>
          </w:tcPr>
          <w:p>
            <w:pPr>
              <w:spacing w:line="300" w:lineRule="auto"/>
              <w:ind w:left="94" w:leftChars="45"/>
              <w:rPr>
                <w:rFonts w:ascii="宋体" w:hAnsi="宋体"/>
                <w:color w:val="000000" w:themeColor="text1"/>
                <w:szCs w:val="2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169" w:type="dxa"/>
          </w:tcPr>
          <w:p>
            <w:pPr>
              <w:spacing w:line="300" w:lineRule="auto"/>
              <w:ind w:left="94" w:leftChars="45"/>
              <w:rPr>
                <w:rFonts w:ascii="宋体" w:hAnsi="宋体"/>
                <w:color w:val="000000" w:themeColor="text1"/>
                <w:szCs w:val="21"/>
                <w14:textFill>
                  <w14:solidFill>
                    <w14:schemeClr w14:val="tx1"/>
                  </w14:solidFill>
                </w14:textFill>
              </w:rPr>
            </w:pPr>
          </w:p>
          <w:p>
            <w:pPr>
              <w:spacing w:line="300" w:lineRule="auto"/>
              <w:ind w:left="94" w:leftChars="45"/>
              <w:rPr>
                <w:rFonts w:ascii="宋体" w:hAnsi="宋体"/>
                <w:color w:val="000000" w:themeColor="text1"/>
                <w:szCs w:val="21"/>
                <w14:textFill>
                  <w14:solidFill>
                    <w14:schemeClr w14:val="tx1"/>
                  </w14:solidFill>
                </w14:textFill>
              </w:rPr>
            </w:pPr>
          </w:p>
        </w:tc>
        <w:tc>
          <w:tcPr>
            <w:tcW w:w="2165" w:type="dxa"/>
          </w:tcPr>
          <w:p>
            <w:pPr>
              <w:spacing w:line="300" w:lineRule="auto"/>
              <w:ind w:left="94" w:leftChars="45"/>
              <w:rPr>
                <w:rFonts w:ascii="宋体" w:hAnsi="宋体"/>
                <w:color w:val="000000" w:themeColor="text1"/>
                <w:szCs w:val="21"/>
                <w14:textFill>
                  <w14:solidFill>
                    <w14:schemeClr w14:val="tx1"/>
                  </w14:solidFill>
                </w14:textFill>
              </w:rPr>
            </w:pPr>
          </w:p>
        </w:tc>
        <w:tc>
          <w:tcPr>
            <w:tcW w:w="1274" w:type="dxa"/>
          </w:tcPr>
          <w:p>
            <w:pPr>
              <w:spacing w:line="300" w:lineRule="auto"/>
              <w:ind w:left="94" w:leftChars="45"/>
              <w:rPr>
                <w:rFonts w:ascii="宋体" w:hAnsi="宋体"/>
                <w:color w:val="000000" w:themeColor="text1"/>
                <w:szCs w:val="21"/>
                <w14:textFill>
                  <w14:solidFill>
                    <w14:schemeClr w14:val="tx1"/>
                  </w14:solidFill>
                </w14:textFill>
              </w:rPr>
            </w:pPr>
          </w:p>
        </w:tc>
        <w:tc>
          <w:tcPr>
            <w:tcW w:w="1650" w:type="dxa"/>
          </w:tcPr>
          <w:p>
            <w:pPr>
              <w:spacing w:line="300" w:lineRule="auto"/>
              <w:ind w:left="94" w:leftChars="45"/>
              <w:rPr>
                <w:rFonts w:ascii="宋体" w:hAnsi="宋体"/>
                <w:color w:val="000000" w:themeColor="text1"/>
                <w:szCs w:val="21"/>
                <w14:textFill>
                  <w14:solidFill>
                    <w14:schemeClr w14:val="tx1"/>
                  </w14:solidFill>
                </w14:textFill>
              </w:rPr>
            </w:pPr>
          </w:p>
        </w:tc>
        <w:tc>
          <w:tcPr>
            <w:tcW w:w="1276" w:type="dxa"/>
          </w:tcPr>
          <w:p>
            <w:pPr>
              <w:spacing w:line="300" w:lineRule="auto"/>
              <w:ind w:left="94" w:leftChars="45"/>
              <w:rPr>
                <w:rFonts w:ascii="宋体" w:hAnsi="宋体"/>
                <w:color w:val="000000" w:themeColor="text1"/>
                <w:szCs w:val="2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169" w:type="dxa"/>
          </w:tcPr>
          <w:p>
            <w:pPr>
              <w:spacing w:line="300" w:lineRule="auto"/>
              <w:ind w:left="94" w:leftChars="45"/>
              <w:rPr>
                <w:rFonts w:ascii="宋体" w:hAnsi="宋体"/>
                <w:color w:val="000000" w:themeColor="text1"/>
                <w:szCs w:val="21"/>
                <w14:textFill>
                  <w14:solidFill>
                    <w14:schemeClr w14:val="tx1"/>
                  </w14:solidFill>
                </w14:textFill>
              </w:rPr>
            </w:pPr>
          </w:p>
          <w:p>
            <w:pPr>
              <w:spacing w:line="300" w:lineRule="auto"/>
              <w:ind w:left="94" w:leftChars="45"/>
              <w:rPr>
                <w:rFonts w:ascii="宋体" w:hAnsi="宋体"/>
                <w:color w:val="000000" w:themeColor="text1"/>
                <w:szCs w:val="21"/>
                <w14:textFill>
                  <w14:solidFill>
                    <w14:schemeClr w14:val="tx1"/>
                  </w14:solidFill>
                </w14:textFill>
              </w:rPr>
            </w:pPr>
          </w:p>
        </w:tc>
        <w:tc>
          <w:tcPr>
            <w:tcW w:w="2165" w:type="dxa"/>
          </w:tcPr>
          <w:p>
            <w:pPr>
              <w:spacing w:line="300" w:lineRule="auto"/>
              <w:ind w:left="94" w:leftChars="45"/>
              <w:rPr>
                <w:rFonts w:ascii="宋体" w:hAnsi="宋体"/>
                <w:color w:val="000000" w:themeColor="text1"/>
                <w:szCs w:val="21"/>
                <w14:textFill>
                  <w14:solidFill>
                    <w14:schemeClr w14:val="tx1"/>
                  </w14:solidFill>
                </w14:textFill>
              </w:rPr>
            </w:pPr>
          </w:p>
        </w:tc>
        <w:tc>
          <w:tcPr>
            <w:tcW w:w="1274" w:type="dxa"/>
          </w:tcPr>
          <w:p>
            <w:pPr>
              <w:spacing w:line="300" w:lineRule="auto"/>
              <w:ind w:left="94" w:leftChars="45"/>
              <w:rPr>
                <w:rFonts w:ascii="宋体" w:hAnsi="宋体"/>
                <w:color w:val="000000" w:themeColor="text1"/>
                <w:szCs w:val="21"/>
                <w14:textFill>
                  <w14:solidFill>
                    <w14:schemeClr w14:val="tx1"/>
                  </w14:solidFill>
                </w14:textFill>
              </w:rPr>
            </w:pPr>
          </w:p>
        </w:tc>
        <w:tc>
          <w:tcPr>
            <w:tcW w:w="1650" w:type="dxa"/>
          </w:tcPr>
          <w:p>
            <w:pPr>
              <w:spacing w:line="300" w:lineRule="auto"/>
              <w:ind w:left="94" w:leftChars="45"/>
              <w:rPr>
                <w:rFonts w:ascii="宋体" w:hAnsi="宋体"/>
                <w:color w:val="000000" w:themeColor="text1"/>
                <w:szCs w:val="21"/>
                <w14:textFill>
                  <w14:solidFill>
                    <w14:schemeClr w14:val="tx1"/>
                  </w14:solidFill>
                </w14:textFill>
              </w:rPr>
            </w:pPr>
          </w:p>
        </w:tc>
        <w:tc>
          <w:tcPr>
            <w:tcW w:w="1276" w:type="dxa"/>
          </w:tcPr>
          <w:p>
            <w:pPr>
              <w:spacing w:line="300" w:lineRule="auto"/>
              <w:ind w:left="94" w:leftChars="45"/>
              <w:rPr>
                <w:rFonts w:ascii="宋体" w:hAnsi="宋体"/>
                <w:color w:val="000000" w:themeColor="text1"/>
                <w:szCs w:val="2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169" w:type="dxa"/>
          </w:tcPr>
          <w:p>
            <w:pPr>
              <w:spacing w:line="300" w:lineRule="auto"/>
              <w:ind w:left="94" w:leftChars="45"/>
              <w:rPr>
                <w:rFonts w:ascii="宋体" w:hAnsi="宋体"/>
                <w:color w:val="000000" w:themeColor="text1"/>
                <w:szCs w:val="21"/>
                <w14:textFill>
                  <w14:solidFill>
                    <w14:schemeClr w14:val="tx1"/>
                  </w14:solidFill>
                </w14:textFill>
              </w:rPr>
            </w:pPr>
          </w:p>
          <w:p>
            <w:pPr>
              <w:spacing w:line="300" w:lineRule="auto"/>
              <w:ind w:left="94" w:leftChars="45"/>
              <w:rPr>
                <w:rFonts w:ascii="宋体" w:hAnsi="宋体"/>
                <w:color w:val="000000" w:themeColor="text1"/>
                <w:szCs w:val="21"/>
                <w14:textFill>
                  <w14:solidFill>
                    <w14:schemeClr w14:val="tx1"/>
                  </w14:solidFill>
                </w14:textFill>
              </w:rPr>
            </w:pPr>
          </w:p>
        </w:tc>
        <w:tc>
          <w:tcPr>
            <w:tcW w:w="2165" w:type="dxa"/>
          </w:tcPr>
          <w:p>
            <w:pPr>
              <w:spacing w:line="300" w:lineRule="auto"/>
              <w:ind w:left="94" w:leftChars="45"/>
              <w:rPr>
                <w:rFonts w:ascii="宋体" w:hAnsi="宋体"/>
                <w:color w:val="000000" w:themeColor="text1"/>
                <w:szCs w:val="21"/>
                <w14:textFill>
                  <w14:solidFill>
                    <w14:schemeClr w14:val="tx1"/>
                  </w14:solidFill>
                </w14:textFill>
              </w:rPr>
            </w:pPr>
          </w:p>
        </w:tc>
        <w:tc>
          <w:tcPr>
            <w:tcW w:w="1274" w:type="dxa"/>
          </w:tcPr>
          <w:p>
            <w:pPr>
              <w:spacing w:line="300" w:lineRule="auto"/>
              <w:ind w:left="94" w:leftChars="45"/>
              <w:rPr>
                <w:rFonts w:ascii="宋体" w:hAnsi="宋体"/>
                <w:color w:val="000000" w:themeColor="text1"/>
                <w:szCs w:val="21"/>
                <w14:textFill>
                  <w14:solidFill>
                    <w14:schemeClr w14:val="tx1"/>
                  </w14:solidFill>
                </w14:textFill>
              </w:rPr>
            </w:pPr>
          </w:p>
        </w:tc>
        <w:tc>
          <w:tcPr>
            <w:tcW w:w="1650" w:type="dxa"/>
          </w:tcPr>
          <w:p>
            <w:pPr>
              <w:spacing w:line="300" w:lineRule="auto"/>
              <w:ind w:left="94" w:leftChars="45"/>
              <w:rPr>
                <w:rFonts w:ascii="宋体" w:hAnsi="宋体"/>
                <w:color w:val="000000" w:themeColor="text1"/>
                <w:szCs w:val="21"/>
                <w14:textFill>
                  <w14:solidFill>
                    <w14:schemeClr w14:val="tx1"/>
                  </w14:solidFill>
                </w14:textFill>
              </w:rPr>
            </w:pPr>
          </w:p>
        </w:tc>
        <w:tc>
          <w:tcPr>
            <w:tcW w:w="1276" w:type="dxa"/>
          </w:tcPr>
          <w:p>
            <w:pPr>
              <w:spacing w:line="300" w:lineRule="auto"/>
              <w:ind w:left="94" w:leftChars="45"/>
              <w:rPr>
                <w:rFonts w:ascii="宋体" w:hAnsi="宋体"/>
                <w:color w:val="000000" w:themeColor="text1"/>
                <w:szCs w:val="21"/>
                <w14:textFill>
                  <w14:solidFill>
                    <w14:schemeClr w14:val="tx1"/>
                  </w14:solidFill>
                </w14:textFill>
              </w:rPr>
            </w:pPr>
          </w:p>
        </w:tc>
      </w:tr>
    </w:tbl>
    <w:p>
      <w:pPr>
        <w:spacing w:line="300" w:lineRule="auto"/>
        <w:rPr>
          <w:rFonts w:ascii="宋体" w:hAnsi="宋体"/>
          <w:color w:val="000000" w:themeColor="text1"/>
          <w:szCs w:val="21"/>
          <w14:textFill>
            <w14:solidFill>
              <w14:schemeClr w14:val="tx1"/>
            </w14:solidFill>
          </w14:textFill>
        </w:rPr>
      </w:pPr>
    </w:p>
    <w:p>
      <w:pPr>
        <w:spacing w:line="30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注：请在开标时携带合同原件备核</w:t>
      </w:r>
    </w:p>
    <w:p>
      <w:pPr>
        <w:spacing w:line="30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pPr>
        <w:rPr>
          <w:rFonts w:ascii="宋体" w:hAnsi="宋体"/>
          <w:b/>
          <w:color w:val="000000" w:themeColor="text1"/>
          <w:szCs w:val="21"/>
          <w14:textFill>
            <w14:solidFill>
              <w14:schemeClr w14:val="tx1"/>
            </w14:solidFill>
          </w14:textFill>
        </w:rPr>
      </w:pPr>
      <w:bookmarkStart w:id="624" w:name="_Toc81461373"/>
      <w:r>
        <w:rPr>
          <w:rFonts w:ascii="宋体" w:hAnsi="宋体"/>
          <w:b/>
          <w:color w:val="000000" w:themeColor="text1"/>
          <w:szCs w:val="21"/>
          <w14:textFill>
            <w14:solidFill>
              <w14:schemeClr w14:val="tx1"/>
            </w14:solidFill>
          </w14:textFill>
        </w:rPr>
        <w:t>（５）辅助说明资料</w:t>
      </w:r>
      <w:bookmarkEnd w:id="623"/>
      <w:bookmarkEnd w:id="624"/>
    </w:p>
    <w:p>
      <w:pPr>
        <w:spacing w:line="30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（招标项目名称）        </w:t>
      </w:r>
      <w:r>
        <w:rPr>
          <w:rFonts w:hint="eastAsia" w:ascii="宋体" w:hAnsi="宋体"/>
          <w:color w:val="000000" w:themeColor="text1"/>
          <w:szCs w:val="21"/>
          <w14:textFill>
            <w14:solidFill>
              <w14:schemeClr w14:val="tx1"/>
            </w14:solidFill>
          </w14:textFill>
        </w:rPr>
        <w:t xml:space="preserve">                                </w:t>
      </w:r>
    </w:p>
    <w:tbl>
      <w:tblPr>
        <w:tblStyle w:val="4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1" w:hRule="atLeast"/>
        </w:trPr>
        <w:tc>
          <w:tcPr>
            <w:tcW w:w="9240" w:type="dxa"/>
          </w:tcPr>
          <w:p>
            <w:pPr>
              <w:tabs>
                <w:tab w:val="left" w:pos="0"/>
              </w:tabs>
              <w:spacing w:line="300" w:lineRule="auto"/>
              <w:ind w:right="-212"/>
              <w:rPr>
                <w:rFonts w:ascii="宋体" w:hAnsi="宋体"/>
                <w:color w:val="000000" w:themeColor="text1"/>
                <w:szCs w:val="21"/>
                <w14:textFill>
                  <w14:solidFill>
                    <w14:schemeClr w14:val="tx1"/>
                  </w14:solidFill>
                </w14:textFill>
              </w:rPr>
            </w:pPr>
          </w:p>
        </w:tc>
      </w:tr>
    </w:tbl>
    <w:p>
      <w:pPr>
        <w:pStyle w:val="24"/>
        <w:spacing w:before="120" w:line="300" w:lineRule="auto"/>
        <w:ind w:left="697" w:right="34" w:hanging="697"/>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注：1.辅助说明资料主要包括有关复印证明资料以及供应商认为有必要提供的资料。辅助说明资料格式不做统一规定，由供应商自行设计。</w:t>
      </w:r>
    </w:p>
    <w:p>
      <w:pPr>
        <w:pStyle w:val="24"/>
        <w:spacing w:line="300" w:lineRule="auto"/>
        <w:ind w:left="0" w:right="34" w:firstLine="403"/>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2.项目管理班子配备情况辅助说明资料，可另附（与本响应文件一起装订）。</w:t>
      </w: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三、供应商认为需要提供的其他有关资料。</w:t>
      </w: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520" w:lineRule="exact"/>
        <w:ind w:left="480"/>
        <w:jc w:val="center"/>
        <w:rPr>
          <w:rFonts w:ascii="宋体" w:hAnsi="宋体"/>
          <w:b/>
          <w:bCs/>
          <w:color w:val="000000" w:themeColor="text1"/>
          <w:sz w:val="48"/>
          <w14:textFill>
            <w14:solidFill>
              <w14:schemeClr w14:val="tx1"/>
            </w14:solidFill>
          </w14:textFill>
        </w:rPr>
      </w:pPr>
    </w:p>
    <w:p>
      <w:pPr>
        <w:spacing w:line="25" w:lineRule="atLeast"/>
        <w:jc w:val="center"/>
        <w:rPr>
          <w:rFonts w:ascii="宋体" w:hAnsi="宋体"/>
          <w:bCs/>
          <w:color w:val="000000" w:themeColor="text1"/>
          <w:szCs w:val="21"/>
          <w14:textFill>
            <w14:solidFill>
              <w14:schemeClr w14:val="tx1"/>
            </w14:solidFill>
          </w14:textFill>
        </w:rPr>
      </w:pPr>
    </w:p>
    <w:p>
      <w:pPr>
        <w:rPr>
          <w:color w:val="000000" w:themeColor="text1"/>
          <w14:textFill>
            <w14:solidFill>
              <w14:schemeClr w14:val="tx1"/>
            </w14:solidFill>
          </w14:textFill>
        </w:rPr>
      </w:pPr>
    </w:p>
    <w:sectPr>
      <w:headerReference r:id="rId11" w:type="default"/>
      <w:footerReference r:id="rId12" w:type="default"/>
      <w:pgSz w:w="11906" w:h="16838"/>
      <w:pgMar w:top="1259" w:right="1134" w:bottom="1179" w:left="1134" w:header="851" w:footer="79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等线 Light">
    <w:altName w:val="宋体"/>
    <w:panose1 w:val="00000000000000000000"/>
    <w:charset w:val="86"/>
    <w:family w:val="auto"/>
    <w:pitch w:val="default"/>
    <w:sig w:usb0="00000000" w:usb1="00000000" w:usb2="00000016" w:usb3="00000000" w:csb0="0004000F" w:csb1="00000000"/>
  </w:font>
  <w:font w:name="DengXian">
    <w:altName w:val="宋体"/>
    <w:panose1 w:val="00000000000000000000"/>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MingLiU_HKSCS">
    <w:panose1 w:val="02020500000000000000"/>
    <w:charset w:val="88"/>
    <w:family w:val="roman"/>
    <w:pitch w:val="default"/>
    <w:sig w:usb0="A00002FF" w:usb1="38CFFCFA" w:usb2="00000016" w:usb3="00000000" w:csb0="00100001" w:csb1="00000000"/>
  </w:font>
  <w:font w:name="方正小标宋简体">
    <w:altName w:val="黑体"/>
    <w:panose1 w:val="03000509000000000000"/>
    <w:charset w:val="86"/>
    <w:family w:val="script"/>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10" name="Text Box 24"/>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2"/>
                          </w:pPr>
                          <w:r>
                            <w:fldChar w:fldCharType="begin"/>
                          </w:r>
                          <w:r>
                            <w:instrText xml:space="preserve"> PAGE  \* MERGEFORMAT </w:instrText>
                          </w:r>
                          <w:r>
                            <w:fldChar w:fldCharType="separate"/>
                          </w:r>
                          <w:r>
                            <w:t>14</w:t>
                          </w:r>
                          <w:r>
                            <w:fldChar w:fldCharType="end"/>
                          </w:r>
                        </w:p>
                      </w:txbxContent>
                    </wps:txbx>
                    <wps:bodyPr rot="0" vert="horz" wrap="none" lIns="0" tIns="0" rIns="0" bIns="0" anchor="t" anchorCtr="0" upright="1">
                      <a:spAutoFit/>
                    </wps:bodyPr>
                  </wps:wsp>
                </a:graphicData>
              </a:graphic>
            </wp:anchor>
          </w:drawing>
        </mc:Choice>
        <mc:Fallback>
          <w:pict>
            <v:shape id="Text Box 24" o:spid="_x0000_s1026" o:spt="202" type="#_x0000_t202" style="position:absolute;left:0pt;margin-top:0pt;height:11pt;width:4.6pt;mso-position-horizontal:center;mso-position-horizontal-relative:margin;mso-wrap-style:none;z-index:251663360;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y1u5d9AAAAACAQAADwAAAAAAAAABACAAAAAiAAAAZHJzL2Rvd25yZXYueG1sUEsBAhQA&#10;FAAAAAgAh07iQLd3WTj6AQAAAgQAAA4AAAAAAAAAAQAgAAAAHwEAAGRycy9lMm9Eb2MueG1sUEsF&#10;BgAAAAAGAAYAWQEAAI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8420" cy="139700"/>
              <wp:effectExtent l="0" t="0" r="0" b="0"/>
              <wp:wrapNone/>
              <wp:docPr id="9" name="Text Box 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25" o:spid="_x0000_s1026" o:spt="202" type="#_x0000_t202" style="position:absolute;left:0pt;margin-top:0pt;height:11pt;width:4.6pt;mso-position-horizontal:center;mso-position-horizontal-relative:margin;mso-wrap-style:none;z-index:25166438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6kIAv+wEAAAEEAAAOAAAAAAAAAAEAIAAAAB8BAABkcnMvZTJvRG9jLnhtbFBL&#10;BQYAAAAABgAGAFkBAACM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Text Box 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2"/>
                          </w:pPr>
                          <w:r>
                            <w:fldChar w:fldCharType="begin"/>
                          </w:r>
                          <w:r>
                            <w:instrText xml:space="preserve"> PAGE  \* MERGEFORMAT </w:instrText>
                          </w:r>
                          <w:r>
                            <w:fldChar w:fldCharType="separate"/>
                          </w:r>
                          <w:r>
                            <w:t>23</w:t>
                          </w:r>
                          <w:r>
                            <w:fldChar w:fldCharType="end"/>
                          </w:r>
                        </w:p>
                      </w:txbxContent>
                    </wps:txbx>
                    <wps:bodyPr rot="0" vert="horz" wrap="none" lIns="0" tIns="0" rIns="0" bIns="0" anchor="t" anchorCtr="0" upright="1">
                      <a:spAutoFit/>
                    </wps:bodyPr>
                  </wps:wsp>
                </a:graphicData>
              </a:graphic>
            </wp:anchor>
          </w:drawing>
        </mc:Choice>
        <mc:Fallback>
          <w:pict>
            <v:shape id="Text Box 26" o:spid="_x0000_s1026" o:spt="202" type="#_x0000_t202" style="position:absolute;left:0pt;margin-top:0pt;height:11pt;width:9.15pt;mso-position-horizontal:center;mso-position-horizontal-relative:margin;mso-wrap-style:none;z-index:25166540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Bi6WFNAAAAADAQAADwAAAAAAAAABACAAAAAiAAAAZHJzL2Rvd25yZXYueG1sUEsBAhQA&#10;FAAAAAgAh07iQBTVXzX6AQAAAgQAAA4AAAAAAAAAAQAgAAAAHwEAAGRycy9lMm9Eb2MueG1sUEsF&#10;BgAAAAAGAAYAWQEAAI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kinsoku w:val="0"/>
      <w:overflowPunct w:val="0"/>
      <w:spacing w:line="14" w:lineRule="auto"/>
      <w:rPr>
        <w:sz w:val="20"/>
        <w:szCs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Text Box 27"/>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2"/>
                          </w:pPr>
                          <w:r>
                            <w:fldChar w:fldCharType="begin"/>
                          </w:r>
                          <w:r>
                            <w:instrText xml:space="preserve"> PAGE  \* MERGEFORMAT </w:instrText>
                          </w:r>
                          <w:r>
                            <w:fldChar w:fldCharType="separate"/>
                          </w:r>
                          <w:r>
                            <w:t>68</w:t>
                          </w:r>
                          <w:r>
                            <w:fldChar w:fldCharType="end"/>
                          </w:r>
                        </w:p>
                      </w:txbxContent>
                    </wps:txbx>
                    <wps:bodyPr rot="0" vert="horz" wrap="none" lIns="0" tIns="0" rIns="0" bIns="0" anchor="t" anchorCtr="0" upright="1">
                      <a:spAutoFit/>
                    </wps:bodyPr>
                  </wps:wsp>
                </a:graphicData>
              </a:graphic>
            </wp:anchor>
          </w:drawing>
        </mc:Choice>
        <mc:Fallback>
          <w:pict>
            <v:shape id="Text Box 27" o:spid="_x0000_s1026" o:spt="202" type="#_x0000_t202" style="position:absolute;left:0pt;margin-top:0pt;height:11pt;width:9.15pt;mso-position-horizontal:center;mso-position-horizontal-relative:margin;mso-wrap-style:none;z-index:25166643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YulhTQAAAAAwEAAA8AAAAAAAAAAQAgAAAAIgAAAGRycy9kb3ducmV2LnhtbFBLAQIU&#10;ABQAAAAIAIdO4kARs5ID+wEAAAIEAAAOAAAAAAAAAAEAIAAAAB8BAABkcnMvZTJvRG9jLnhtbFBL&#10;BQYAAAAABgAGAFkBAACM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68</w:t>
                    </w:r>
                    <w:r>
                      <w:fldChar w:fldCharType="end"/>
                    </w:r>
                  </w:p>
                </w:txbxContent>
              </v:textbox>
            </v:shape>
          </w:pict>
        </mc:Fallback>
      </mc:AlternateContent>
    </w:r>
    <w:r>
      <w:rPr>
        <w:sz w:val="24"/>
        <w:szCs w:val="24"/>
      </w:rPr>
      <mc:AlternateContent>
        <mc:Choice Requires="wps">
          <w:drawing>
            <wp:anchor distT="0" distB="0" distL="114300" distR="114300" simplePos="0" relativeHeight="251662336" behindDoc="1" locked="0" layoutInCell="1" allowOverlap="1">
              <wp:simplePos x="0" y="0"/>
              <wp:positionH relativeFrom="page">
                <wp:posOffset>9637395</wp:posOffset>
              </wp:positionH>
              <wp:positionV relativeFrom="page">
                <wp:posOffset>7123430</wp:posOffset>
              </wp:positionV>
              <wp:extent cx="370840" cy="139700"/>
              <wp:effectExtent l="0" t="0" r="2540" b="4445"/>
              <wp:wrapNone/>
              <wp:docPr id="5" name="Text Box 23"/>
              <wp:cNvGraphicFramePr/>
              <a:graphic xmlns:a="http://schemas.openxmlformats.org/drawingml/2006/main">
                <a:graphicData uri="http://schemas.microsoft.com/office/word/2010/wordprocessingShape">
                  <wps:wsp>
                    <wps:cNvSpPr txBox="1">
                      <a:spLocks noChangeArrowheads="1"/>
                    </wps:cNvSpPr>
                    <wps:spPr bwMode="auto">
                      <a:xfrm>
                        <a:off x="0" y="0"/>
                        <a:ext cx="370840" cy="139700"/>
                      </a:xfrm>
                      <a:prstGeom prst="rect">
                        <a:avLst/>
                      </a:prstGeom>
                      <a:noFill/>
                      <a:ln>
                        <a:noFill/>
                      </a:ln>
                    </wps:spPr>
                    <wps:txbx>
                      <w:txbxContent>
                        <w:p>
                          <w:pPr>
                            <w:pStyle w:val="21"/>
                            <w:kinsoku w:val="0"/>
                            <w:overflowPunct w:val="0"/>
                            <w:spacing w:line="200" w:lineRule="exact"/>
                            <w:rPr>
                              <w:sz w:val="18"/>
                              <w:szCs w:val="24"/>
                            </w:rPr>
                          </w:pPr>
                        </w:p>
                      </w:txbxContent>
                    </wps:txbx>
                    <wps:bodyPr rot="0" vert="horz" wrap="square" lIns="0" tIns="0" rIns="0" bIns="0" anchor="t" anchorCtr="0" upright="1">
                      <a:noAutofit/>
                    </wps:bodyPr>
                  </wps:wsp>
                </a:graphicData>
              </a:graphic>
            </wp:anchor>
          </w:drawing>
        </mc:Choice>
        <mc:Fallback>
          <w:pict>
            <v:shape id="Text Box 23" o:spid="_x0000_s1026" o:spt="202" type="#_x0000_t202" style="position:absolute;left:0pt;margin-left:758.85pt;margin-top:560.9pt;height:11pt;width:29.2pt;mso-position-horizontal-relative:page;mso-position-vertical-relative:page;z-index:-251654144;mso-width-relative:page;mso-height-relative:page;" filled="f" stroked="f" coordsize="21600,21600" o:gfxdata="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0fCyTtsAAAAPAQAADwAAAAAAAAABACAAAAAiAAAAZHJzL2Rv&#10;d25yZXYueG1sUEsBAhQAFAAAAAgAh07iQBKpDHX+AQAABAQAAA4AAAAAAAAAAQAgAAAAKgEAAGRy&#10;cy9lMm9Eb2MueG1sUEsFBgAAAAAGAAYAWQEAAJoFAAAAAA==&#10;">
              <v:fill on="f" focussize="0,0"/>
              <v:stroke on="f"/>
              <v:imagedata o:title=""/>
              <o:lock v:ext="edit" aspectratio="f"/>
              <v:textbox inset="0mm,0mm,0mm,0mm">
                <w:txbxContent>
                  <w:p>
                    <w:pPr>
                      <w:pStyle w:val="21"/>
                      <w:kinsoku w:val="0"/>
                      <w:overflowPunct w:val="0"/>
                      <w:spacing w:line="200" w:lineRule="exact"/>
                      <w:rPr>
                        <w:sz w:val="18"/>
                        <w:szCs w:val="24"/>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28"/>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2"/>
                          </w:pPr>
                          <w:r>
                            <w:fldChar w:fldCharType="begin"/>
                          </w:r>
                          <w:r>
                            <w:instrText xml:space="preserve"> PAGE  \* MERGEFORMAT </w:instrText>
                          </w:r>
                          <w:r>
                            <w:fldChar w:fldCharType="separate"/>
                          </w:r>
                          <w:r>
                            <w:t>73</w:t>
                          </w:r>
                          <w:r>
                            <w:fldChar w:fldCharType="end"/>
                          </w:r>
                        </w:p>
                      </w:txbxContent>
                    </wps:txbx>
                    <wps:bodyPr rot="0" vert="horz" wrap="none" lIns="0" tIns="0" rIns="0" bIns="0" anchor="t" anchorCtr="0" upright="1">
                      <a:spAutoFit/>
                    </wps:bodyPr>
                  </wps:wsp>
                </a:graphicData>
              </a:graphic>
            </wp:anchor>
          </w:drawing>
        </mc:Choice>
        <mc:Fallback>
          <w:pict>
            <v:shape id="Text Box 28" o:spid="_x0000_s1026" o:spt="202" type="#_x0000_t202" style="position:absolute;left:0pt;margin-top:0pt;height:11pt;width:9.15pt;mso-position-horizontal:center;mso-position-horizontal-relative:margin;mso-wrap-style:none;z-index:25166745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YulhTQAAAAAwEAAA8AAAAAAAAAAQAgAAAAIgAAAGRycy9kb3ducmV2LnhtbFBLAQIU&#10;ABQAAAAIAIdO4kBbLaIv+wEAAAIEAAAOAAAAAAAAAAEAIAAAAB8BAABkcnMvZTJvRG9jLnhtbFBL&#10;BQYAAAAABgAGAFkBAACM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2"/>
      </w:rPr>
    </w:pPr>
    <w:r>
      <w:fldChar w:fldCharType="begin"/>
    </w:r>
    <w:r>
      <w:rPr>
        <w:rStyle w:val="52"/>
      </w:rPr>
      <w:instrText xml:space="preserve">PAGE  </w:instrText>
    </w:r>
    <w:r>
      <w:fldChar w:fldCharType="end"/>
    </w:r>
  </w:p>
  <w:p>
    <w:pPr>
      <w:pStyle w:val="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kinsoku w:val="0"/>
      <w:overflowPunct w:val="0"/>
      <w:spacing w:line="14" w:lineRule="auto"/>
      <w:rPr>
        <w:sz w:val="20"/>
        <w:szCs w:val="24"/>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Text Box 29"/>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2"/>
                          </w:pPr>
                          <w:r>
                            <w:fldChar w:fldCharType="begin"/>
                          </w:r>
                          <w:r>
                            <w:instrText xml:space="preserve"> PAGE  \* MERGEFORMAT </w:instrText>
                          </w:r>
                          <w:r>
                            <w:fldChar w:fldCharType="separate"/>
                          </w:r>
                          <w:r>
                            <w:t>78</w:t>
                          </w:r>
                          <w:r>
                            <w:fldChar w:fldCharType="end"/>
                          </w:r>
                        </w:p>
                      </w:txbxContent>
                    </wps:txbx>
                    <wps:bodyPr rot="0" vert="horz" wrap="none" lIns="0" tIns="0" rIns="0" bIns="0" anchor="t" anchorCtr="0" upright="1">
                      <a:spAutoFit/>
                    </wps:bodyPr>
                  </wps:wsp>
                </a:graphicData>
              </a:graphic>
            </wp:anchor>
          </w:drawing>
        </mc:Choice>
        <mc:Fallback>
          <w:pict>
            <v:shape id="Text Box 29" o:spid="_x0000_s1026" o:spt="202" type="#_x0000_t202" style="position:absolute;left:0pt;margin-top:0pt;height:11pt;width:9.15pt;mso-position-horizontal:center;mso-position-horizontal-relative:margin;mso-wrap-style:none;z-index:251668480;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YulhTQAAAAAwEAAA8AAAAAAAAAAQAgAAAAIgAAAGRycy9kb3ducmV2LnhtbFBLAQIU&#10;ABQAAAAIAIdO4kAqy8DB+wEAAAIEAAAOAAAAAAAAAAEAIAAAAB8BAABkcnMvZTJvRG9jLnhtbFBL&#10;BQYAAAAABgAGAFkBAACM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78</w:t>
                    </w:r>
                    <w:r>
                      <w:fldChar w:fldCharType="end"/>
                    </w:r>
                  </w:p>
                </w:txbxContent>
              </v:textbox>
            </v:shape>
          </w:pict>
        </mc:Fallback>
      </mc:AlternateContent>
    </w:r>
    <w:r>
      <w:rPr>
        <w:sz w:val="24"/>
        <w:szCs w:val="24"/>
      </w:rPr>
      <mc:AlternateContent>
        <mc:Choice Requires="wps">
          <w:drawing>
            <wp:anchor distT="0" distB="0" distL="114300" distR="114300" simplePos="0" relativeHeight="251661312" behindDoc="1" locked="0" layoutInCell="1" allowOverlap="1">
              <wp:simplePos x="0" y="0"/>
              <wp:positionH relativeFrom="page">
                <wp:posOffset>9637395</wp:posOffset>
              </wp:positionH>
              <wp:positionV relativeFrom="page">
                <wp:posOffset>7123430</wp:posOffset>
              </wp:positionV>
              <wp:extent cx="370840" cy="139700"/>
              <wp:effectExtent l="0" t="0" r="2540" b="4445"/>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370840" cy="139700"/>
                      </a:xfrm>
                      <a:prstGeom prst="rect">
                        <a:avLst/>
                      </a:prstGeom>
                      <a:noFill/>
                      <a:ln>
                        <a:noFill/>
                      </a:ln>
                    </wps:spPr>
                    <wps:txbx>
                      <w:txbxContent>
                        <w:p>
                          <w:pPr>
                            <w:pStyle w:val="21"/>
                            <w:kinsoku w:val="0"/>
                            <w:overflowPunct w:val="0"/>
                            <w:spacing w:line="200" w:lineRule="exact"/>
                            <w:ind w:left="20"/>
                            <w:rPr>
                              <w:sz w:val="18"/>
                              <w:szCs w:val="24"/>
                            </w:rPr>
                          </w:pPr>
                          <w:r>
                            <w:rPr>
                              <w:rFonts w:hint="eastAsia"/>
                              <w:sz w:val="18"/>
                              <w:szCs w:val="24"/>
                            </w:rPr>
                            <w:t>表-09</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758.85pt;margin-top:560.9pt;height:11pt;width:29.2pt;mso-position-horizontal-relative:page;mso-position-vertical-relative:page;z-index:-251655168;mso-width-relative:page;mso-height-relative:page;" filled="f" stroked="f" coordsize="21600,21600" o:gfxdata="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Hwsk7bAAAADwEAAA8AAAAAAAAAAQAgAAAAIgAAAGRycy9kb3du&#10;cmV2LnhtbFBLAQIUABQAAAAIAIdO4kAFhc83/AEAAAMEAAAOAAAAAAAAAAEAIAAAACoBAABkcnMv&#10;ZTJvRG9jLnhtbFBLBQYAAAAABgAGAFkBAACYBQAAAAA=&#10;">
              <v:fill on="f" focussize="0,0"/>
              <v:stroke on="f"/>
              <v:imagedata o:title=""/>
              <o:lock v:ext="edit" aspectratio="f"/>
              <v:textbox inset="0mm,0mm,0mm,0mm">
                <w:txbxContent>
                  <w:p>
                    <w:pPr>
                      <w:pStyle w:val="21"/>
                      <w:kinsoku w:val="0"/>
                      <w:overflowPunct w:val="0"/>
                      <w:spacing w:line="200" w:lineRule="exact"/>
                      <w:ind w:left="20"/>
                      <w:rPr>
                        <w:sz w:val="18"/>
                        <w:szCs w:val="24"/>
                      </w:rPr>
                    </w:pPr>
                    <w:r>
                      <w:rPr>
                        <w:rFonts w:hint="eastAsia"/>
                        <w:sz w:val="18"/>
                        <w:szCs w:val="24"/>
                      </w:rPr>
                      <w:t>表-09</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kinsoku w:val="0"/>
      <w:overflowPunct w:val="0"/>
      <w:spacing w:line="14" w:lineRule="auto"/>
      <w:rPr>
        <w:sz w:val="20"/>
        <w:szCs w:val="24"/>
      </w:rPr>
    </w:pPr>
    <w:r>
      <w:rPr>
        <w:sz w:val="24"/>
        <w:szCs w:val="24"/>
      </w:rPr>
      <mc:AlternateContent>
        <mc:Choice Requires="wps">
          <w:drawing>
            <wp:anchor distT="0" distB="0" distL="114300" distR="114300" simplePos="0" relativeHeight="251660288" behindDoc="1" locked="0" layoutInCell="1" allowOverlap="1">
              <wp:simplePos x="0" y="0"/>
              <wp:positionH relativeFrom="page">
                <wp:posOffset>3794760</wp:posOffset>
              </wp:positionH>
              <wp:positionV relativeFrom="page">
                <wp:posOffset>336550</wp:posOffset>
              </wp:positionV>
              <wp:extent cx="2787015" cy="254000"/>
              <wp:effectExtent l="3810" t="3175" r="0" b="0"/>
              <wp:wrapNone/>
              <wp:docPr id="7" name="Text Box 21"/>
              <wp:cNvGraphicFramePr/>
              <a:graphic xmlns:a="http://schemas.openxmlformats.org/drawingml/2006/main">
                <a:graphicData uri="http://schemas.microsoft.com/office/word/2010/wordprocessingShape">
                  <wps:wsp>
                    <wps:cNvSpPr txBox="1">
                      <a:spLocks noChangeArrowheads="1"/>
                    </wps:cNvSpPr>
                    <wps:spPr bwMode="auto">
                      <a:xfrm>
                        <a:off x="0" y="0"/>
                        <a:ext cx="2787015" cy="254000"/>
                      </a:xfrm>
                      <a:prstGeom prst="rect">
                        <a:avLst/>
                      </a:prstGeom>
                      <a:noFill/>
                      <a:ln>
                        <a:noFill/>
                      </a:ln>
                    </wps:spPr>
                    <wps:txbx>
                      <w:txbxContent>
                        <w:p>
                          <w:pPr>
                            <w:pStyle w:val="21"/>
                            <w:kinsoku w:val="0"/>
                            <w:overflowPunct w:val="0"/>
                            <w:spacing w:line="380" w:lineRule="exact"/>
                            <w:ind w:left="20"/>
                            <w:rPr>
                              <w:sz w:val="36"/>
                              <w:szCs w:val="24"/>
                            </w:rPr>
                          </w:pPr>
                        </w:p>
                      </w:txbxContent>
                    </wps:txbx>
                    <wps:bodyPr rot="0" vert="horz" wrap="square" lIns="0" tIns="0" rIns="0" bIns="0" anchor="t" anchorCtr="0" upright="1">
                      <a:noAutofit/>
                    </wps:bodyPr>
                  </wps:wsp>
                </a:graphicData>
              </a:graphic>
            </wp:anchor>
          </w:drawing>
        </mc:Choice>
        <mc:Fallback>
          <w:pict>
            <v:shape id="Text Box 21" o:spid="_x0000_s1026" o:spt="202" type="#_x0000_t202" style="position:absolute;left:0pt;margin-left:298.8pt;margin-top:26.5pt;height:20pt;width:219.45pt;mso-position-horizontal-relative:page;mso-position-vertical-relative:page;z-index:-251656192;mso-width-relative:page;mso-height-relative:page;" filled="f" stroked="f" coordsize="21600,21600" o:gfxdata="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CbV/DZAAAACgEAAA8AAAAAAAAAAQAgAAAAIgAAAGRycy9kb3du&#10;cmV2LnhtbFBLAQIUABQAAAAIAIdO4kBRI0+o/gEAAAUEAAAOAAAAAAAAAAEAIAAAACgBAABkcnMv&#10;ZTJvRG9jLnhtbFBLBQYAAAAABgAGAFkBAACYBQAAAAA=&#10;">
              <v:fill on="f" focussize="0,0"/>
              <v:stroke on="f"/>
              <v:imagedata o:title=""/>
              <o:lock v:ext="edit" aspectratio="f"/>
              <v:textbox inset="0mm,0mm,0mm,0mm">
                <w:txbxContent>
                  <w:p>
                    <w:pPr>
                      <w:pStyle w:val="21"/>
                      <w:kinsoku w:val="0"/>
                      <w:overflowPunct w:val="0"/>
                      <w:spacing w:line="380" w:lineRule="exact"/>
                      <w:ind w:left="20"/>
                      <w:rPr>
                        <w:sz w:val="36"/>
                        <w:szCs w:val="24"/>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kinsoku w:val="0"/>
      <w:overflowPunct w:val="0"/>
      <w:spacing w:line="14" w:lineRule="auto"/>
      <w:rPr>
        <w:sz w:val="20"/>
        <w:szCs w:val="24"/>
      </w:rPr>
    </w:pPr>
    <w:r>
      <w:rPr>
        <w:sz w:val="24"/>
        <w:szCs w:val="24"/>
      </w:rPr>
      <mc:AlternateContent>
        <mc:Choice Requires="wps">
          <w:drawing>
            <wp:anchor distT="0" distB="0" distL="114300" distR="114300" simplePos="0" relativeHeight="251659264" behindDoc="1" locked="0" layoutInCell="1" allowOverlap="1">
              <wp:simplePos x="0" y="0"/>
              <wp:positionH relativeFrom="page">
                <wp:posOffset>3790950</wp:posOffset>
              </wp:positionH>
              <wp:positionV relativeFrom="page">
                <wp:posOffset>508000</wp:posOffset>
              </wp:positionV>
              <wp:extent cx="76200" cy="82550"/>
              <wp:effectExtent l="0" t="3175"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flipH="1">
                        <a:off x="0" y="0"/>
                        <a:ext cx="76200" cy="82550"/>
                      </a:xfrm>
                      <a:prstGeom prst="rect">
                        <a:avLst/>
                      </a:prstGeom>
                      <a:noFill/>
                      <a:ln>
                        <a:noFill/>
                      </a:ln>
                    </wps:spPr>
                    <wps:txbx>
                      <w:txbxContent>
                        <w:p>
                          <w:pPr>
                            <w:pStyle w:val="21"/>
                            <w:kinsoku w:val="0"/>
                            <w:overflowPunct w:val="0"/>
                            <w:spacing w:line="380" w:lineRule="exact"/>
                            <w:ind w:left="20"/>
                            <w:rPr>
                              <w:sz w:val="36"/>
                              <w:szCs w:val="24"/>
                            </w:rPr>
                          </w:pP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flip:x;margin-left:298.5pt;margin-top:40pt;height:6.5pt;width:6pt;mso-position-horizontal-relative:page;mso-position-vertical-relative:page;z-index:-251657216;mso-width-relative:page;mso-height-relative:page;" filled="f" stroked="f" coordsize="21600,21600" o:gfxdata="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cccOTYAAAACQEAAA8AAAAAAAAAAQAgAAAAIgAAAGRycy9kb3du&#10;cmV2LnhtbFBLAQIUABQAAAAIAIdO4kDmReRS/wEAAAsEAAAOAAAAAAAAAAEAIAAAACcBAABkcnMv&#10;ZTJvRG9jLnhtbFBLBQYAAAAABgAGAFkBAACYBQAAAAA=&#10;">
              <v:fill on="f" focussize="0,0"/>
              <v:stroke on="f"/>
              <v:imagedata o:title=""/>
              <o:lock v:ext="edit" aspectratio="f"/>
              <v:textbox inset="0mm,0mm,0mm,0mm">
                <w:txbxContent>
                  <w:p>
                    <w:pPr>
                      <w:pStyle w:val="21"/>
                      <w:kinsoku w:val="0"/>
                      <w:overflowPunct w:val="0"/>
                      <w:spacing w:line="380" w:lineRule="exact"/>
                      <w:ind w:left="20"/>
                      <w:rPr>
                        <w:sz w:val="36"/>
                        <w:szCs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7FB05"/>
    <w:multiLevelType w:val="singleLevel"/>
    <w:tmpl w:val="8407FB05"/>
    <w:lvl w:ilvl="0" w:tentative="0">
      <w:start w:val="6"/>
      <w:numFmt w:val="chineseCounting"/>
      <w:suff w:val="space"/>
      <w:lvlText w:val="第%1章"/>
      <w:lvlJc w:val="left"/>
      <w:rPr>
        <w:rFonts w:hint="eastAsia"/>
      </w:rPr>
    </w:lvl>
  </w:abstractNum>
  <w:abstractNum w:abstractNumId="1">
    <w:nsid w:val="1D2109B9"/>
    <w:multiLevelType w:val="singleLevel"/>
    <w:tmpl w:val="1D2109B9"/>
    <w:lvl w:ilvl="0" w:tentative="0">
      <w:start w:val="1"/>
      <w:numFmt w:val="decimal"/>
      <w:pStyle w:val="17"/>
      <w:lvlText w:val="%1."/>
      <w:lvlJc w:val="left"/>
      <w:pPr>
        <w:tabs>
          <w:tab w:val="left" w:pos="360"/>
        </w:tabs>
        <w:ind w:left="360" w:hanging="360"/>
      </w:pPr>
    </w:lvl>
  </w:abstractNum>
  <w:abstractNum w:abstractNumId="2">
    <w:nsid w:val="7E084A62"/>
    <w:multiLevelType w:val="multilevel"/>
    <w:tmpl w:val="7E084A62"/>
    <w:lvl w:ilvl="0" w:tentative="0">
      <w:start w:val="1"/>
      <w:numFmt w:val="decimal"/>
      <w:lvlText w:val="%1、"/>
      <w:lvlJc w:val="left"/>
      <w:pPr>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FD75312"/>
    <w:multiLevelType w:val="singleLevel"/>
    <w:tmpl w:val="7FD75312"/>
    <w:lvl w:ilvl="0" w:tentative="0">
      <w:start w:val="3"/>
      <w:numFmt w:val="decimal"/>
      <w:suff w:val="nothing"/>
      <w:lvlText w:val="（%1）"/>
      <w:lvlJc w:val="left"/>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4ZDVlYTVjYzcwMzhjNGFkMjViNmNhM2EyNGJmZWYifQ=="/>
  </w:docVars>
  <w:rsids>
    <w:rsidRoot w:val="00E1696E"/>
    <w:rsid w:val="00001A32"/>
    <w:rsid w:val="000217B4"/>
    <w:rsid w:val="000A54FE"/>
    <w:rsid w:val="00112132"/>
    <w:rsid w:val="0013080B"/>
    <w:rsid w:val="00131DEA"/>
    <w:rsid w:val="00171FBF"/>
    <w:rsid w:val="001F00E7"/>
    <w:rsid w:val="0020053E"/>
    <w:rsid w:val="002307CC"/>
    <w:rsid w:val="0036083D"/>
    <w:rsid w:val="00376575"/>
    <w:rsid w:val="00392F50"/>
    <w:rsid w:val="003A4FB5"/>
    <w:rsid w:val="00407872"/>
    <w:rsid w:val="004A6D9C"/>
    <w:rsid w:val="004D473E"/>
    <w:rsid w:val="00544B47"/>
    <w:rsid w:val="005512E5"/>
    <w:rsid w:val="00565BF0"/>
    <w:rsid w:val="005F08AA"/>
    <w:rsid w:val="00643C94"/>
    <w:rsid w:val="00661709"/>
    <w:rsid w:val="007D3CCB"/>
    <w:rsid w:val="008B6207"/>
    <w:rsid w:val="0095019D"/>
    <w:rsid w:val="009563F4"/>
    <w:rsid w:val="00975D66"/>
    <w:rsid w:val="00992847"/>
    <w:rsid w:val="009C0DF8"/>
    <w:rsid w:val="009C2F7F"/>
    <w:rsid w:val="009C3465"/>
    <w:rsid w:val="009D7DD6"/>
    <w:rsid w:val="00A15529"/>
    <w:rsid w:val="00AA1989"/>
    <w:rsid w:val="00AB3641"/>
    <w:rsid w:val="00B13B35"/>
    <w:rsid w:val="00B15F09"/>
    <w:rsid w:val="00BE07EB"/>
    <w:rsid w:val="00BE15FD"/>
    <w:rsid w:val="00BF3334"/>
    <w:rsid w:val="00C04EF4"/>
    <w:rsid w:val="00C428D0"/>
    <w:rsid w:val="00CC77C5"/>
    <w:rsid w:val="00CD1FD7"/>
    <w:rsid w:val="00D14BC2"/>
    <w:rsid w:val="00D1564F"/>
    <w:rsid w:val="00D17826"/>
    <w:rsid w:val="00D44737"/>
    <w:rsid w:val="00DA7567"/>
    <w:rsid w:val="00DF17D7"/>
    <w:rsid w:val="00E1696E"/>
    <w:rsid w:val="00E54374"/>
    <w:rsid w:val="00E62B8B"/>
    <w:rsid w:val="00E80A51"/>
    <w:rsid w:val="00EF6B4B"/>
    <w:rsid w:val="00F5018B"/>
    <w:rsid w:val="00F96660"/>
    <w:rsid w:val="00F96742"/>
    <w:rsid w:val="00FA7397"/>
    <w:rsid w:val="01080A12"/>
    <w:rsid w:val="010A6D77"/>
    <w:rsid w:val="01BA2B47"/>
    <w:rsid w:val="02303D6C"/>
    <w:rsid w:val="023B63B6"/>
    <w:rsid w:val="024D6822"/>
    <w:rsid w:val="025A521C"/>
    <w:rsid w:val="025F452B"/>
    <w:rsid w:val="02A8425B"/>
    <w:rsid w:val="02E64D83"/>
    <w:rsid w:val="02ED7DC3"/>
    <w:rsid w:val="03163A27"/>
    <w:rsid w:val="03326C27"/>
    <w:rsid w:val="033B3AE3"/>
    <w:rsid w:val="03870314"/>
    <w:rsid w:val="03994668"/>
    <w:rsid w:val="03AD58A1"/>
    <w:rsid w:val="0416490C"/>
    <w:rsid w:val="04206073"/>
    <w:rsid w:val="04216A30"/>
    <w:rsid w:val="045D72C7"/>
    <w:rsid w:val="047E366C"/>
    <w:rsid w:val="048B5C99"/>
    <w:rsid w:val="04AA3A81"/>
    <w:rsid w:val="04C6341A"/>
    <w:rsid w:val="04C64E6C"/>
    <w:rsid w:val="04F3383E"/>
    <w:rsid w:val="04FC088E"/>
    <w:rsid w:val="051554AC"/>
    <w:rsid w:val="052425E7"/>
    <w:rsid w:val="053D0E7E"/>
    <w:rsid w:val="058B39C0"/>
    <w:rsid w:val="05EE2E18"/>
    <w:rsid w:val="064160FC"/>
    <w:rsid w:val="06704931"/>
    <w:rsid w:val="06835976"/>
    <w:rsid w:val="06C86EDF"/>
    <w:rsid w:val="06E3115C"/>
    <w:rsid w:val="070736FE"/>
    <w:rsid w:val="07131EBF"/>
    <w:rsid w:val="07520C39"/>
    <w:rsid w:val="07941252"/>
    <w:rsid w:val="07984F51"/>
    <w:rsid w:val="07D63618"/>
    <w:rsid w:val="07E97E0B"/>
    <w:rsid w:val="0802172A"/>
    <w:rsid w:val="08031F33"/>
    <w:rsid w:val="082C3238"/>
    <w:rsid w:val="083B347B"/>
    <w:rsid w:val="0885451A"/>
    <w:rsid w:val="089F4205"/>
    <w:rsid w:val="08B1373D"/>
    <w:rsid w:val="08B85001"/>
    <w:rsid w:val="092535C5"/>
    <w:rsid w:val="09BC0979"/>
    <w:rsid w:val="09DC0C8E"/>
    <w:rsid w:val="0A1A2990"/>
    <w:rsid w:val="0A217932"/>
    <w:rsid w:val="0A6C3DC0"/>
    <w:rsid w:val="0ABB1004"/>
    <w:rsid w:val="0AC83EDD"/>
    <w:rsid w:val="0AE0655C"/>
    <w:rsid w:val="0AF61F0A"/>
    <w:rsid w:val="0B054A3A"/>
    <w:rsid w:val="0B356114"/>
    <w:rsid w:val="0B3B7059"/>
    <w:rsid w:val="0B522C8B"/>
    <w:rsid w:val="0B667E81"/>
    <w:rsid w:val="0BAA52EB"/>
    <w:rsid w:val="0BC96FF0"/>
    <w:rsid w:val="0BE8391A"/>
    <w:rsid w:val="0BEC5B66"/>
    <w:rsid w:val="0C2B08C5"/>
    <w:rsid w:val="0C2B5DC5"/>
    <w:rsid w:val="0C4867FD"/>
    <w:rsid w:val="0C8D626F"/>
    <w:rsid w:val="0C9C1BAC"/>
    <w:rsid w:val="0CB85DB2"/>
    <w:rsid w:val="0D083710"/>
    <w:rsid w:val="0D140991"/>
    <w:rsid w:val="0D3D7810"/>
    <w:rsid w:val="0D6945E7"/>
    <w:rsid w:val="0D6C54A3"/>
    <w:rsid w:val="0DA1438C"/>
    <w:rsid w:val="0E102A00"/>
    <w:rsid w:val="0E2965CE"/>
    <w:rsid w:val="0E371317"/>
    <w:rsid w:val="0E72571D"/>
    <w:rsid w:val="0E796AAB"/>
    <w:rsid w:val="0E8D30E0"/>
    <w:rsid w:val="0E9438E5"/>
    <w:rsid w:val="0E9C1DD7"/>
    <w:rsid w:val="0EDB0027"/>
    <w:rsid w:val="0EE91E83"/>
    <w:rsid w:val="0EF87264"/>
    <w:rsid w:val="0F1769C8"/>
    <w:rsid w:val="0F520CC1"/>
    <w:rsid w:val="0F570340"/>
    <w:rsid w:val="0FBE1912"/>
    <w:rsid w:val="0FBE5D4A"/>
    <w:rsid w:val="0FD1141F"/>
    <w:rsid w:val="10120F66"/>
    <w:rsid w:val="102F010B"/>
    <w:rsid w:val="103B4960"/>
    <w:rsid w:val="107E65FB"/>
    <w:rsid w:val="10802373"/>
    <w:rsid w:val="110765F0"/>
    <w:rsid w:val="11255115"/>
    <w:rsid w:val="11340E0C"/>
    <w:rsid w:val="114B271D"/>
    <w:rsid w:val="1174783D"/>
    <w:rsid w:val="118F20C6"/>
    <w:rsid w:val="11A908EE"/>
    <w:rsid w:val="11B9148E"/>
    <w:rsid w:val="11D03237"/>
    <w:rsid w:val="11F823DD"/>
    <w:rsid w:val="11FB149F"/>
    <w:rsid w:val="12220557"/>
    <w:rsid w:val="1232769D"/>
    <w:rsid w:val="12675D51"/>
    <w:rsid w:val="12850115"/>
    <w:rsid w:val="12A55086"/>
    <w:rsid w:val="12B44556"/>
    <w:rsid w:val="12CB18A0"/>
    <w:rsid w:val="12F26E2C"/>
    <w:rsid w:val="130317BC"/>
    <w:rsid w:val="133E4140"/>
    <w:rsid w:val="134621D2"/>
    <w:rsid w:val="13473E45"/>
    <w:rsid w:val="13741F37"/>
    <w:rsid w:val="13925EA9"/>
    <w:rsid w:val="13B76AF3"/>
    <w:rsid w:val="13B82879"/>
    <w:rsid w:val="140D367E"/>
    <w:rsid w:val="142676D5"/>
    <w:rsid w:val="14581832"/>
    <w:rsid w:val="145F6743"/>
    <w:rsid w:val="14930823"/>
    <w:rsid w:val="14972381"/>
    <w:rsid w:val="14E34DD5"/>
    <w:rsid w:val="14FE762F"/>
    <w:rsid w:val="151C7951"/>
    <w:rsid w:val="155E35CA"/>
    <w:rsid w:val="157F79B6"/>
    <w:rsid w:val="15B12FCF"/>
    <w:rsid w:val="15B76DA5"/>
    <w:rsid w:val="15E748C5"/>
    <w:rsid w:val="15EA028F"/>
    <w:rsid w:val="16133C89"/>
    <w:rsid w:val="16257519"/>
    <w:rsid w:val="167D1103"/>
    <w:rsid w:val="16922719"/>
    <w:rsid w:val="16B9038D"/>
    <w:rsid w:val="16D056D6"/>
    <w:rsid w:val="16FF02BE"/>
    <w:rsid w:val="177C7D68"/>
    <w:rsid w:val="17905CB4"/>
    <w:rsid w:val="17C16C03"/>
    <w:rsid w:val="17E01949"/>
    <w:rsid w:val="17FB688B"/>
    <w:rsid w:val="18100480"/>
    <w:rsid w:val="184D1F7E"/>
    <w:rsid w:val="185E1C23"/>
    <w:rsid w:val="1869193F"/>
    <w:rsid w:val="18730175"/>
    <w:rsid w:val="189015C1"/>
    <w:rsid w:val="18A4752A"/>
    <w:rsid w:val="18DF0096"/>
    <w:rsid w:val="18EB42CD"/>
    <w:rsid w:val="1918148D"/>
    <w:rsid w:val="193261D5"/>
    <w:rsid w:val="19375EE1"/>
    <w:rsid w:val="19965AF4"/>
    <w:rsid w:val="199740CE"/>
    <w:rsid w:val="19A10856"/>
    <w:rsid w:val="19A52017"/>
    <w:rsid w:val="19B4308D"/>
    <w:rsid w:val="19C07C84"/>
    <w:rsid w:val="19F636A6"/>
    <w:rsid w:val="1A0E6C42"/>
    <w:rsid w:val="1A12131B"/>
    <w:rsid w:val="1A417179"/>
    <w:rsid w:val="1A5F56EF"/>
    <w:rsid w:val="1A8567D8"/>
    <w:rsid w:val="1A8F2520"/>
    <w:rsid w:val="1AB1581F"/>
    <w:rsid w:val="1ACE63D1"/>
    <w:rsid w:val="1B0072F8"/>
    <w:rsid w:val="1B086E06"/>
    <w:rsid w:val="1B1F49AA"/>
    <w:rsid w:val="1B797B9A"/>
    <w:rsid w:val="1BBD653A"/>
    <w:rsid w:val="1BC73315"/>
    <w:rsid w:val="1BC93A3F"/>
    <w:rsid w:val="1BE85331"/>
    <w:rsid w:val="1C4526C3"/>
    <w:rsid w:val="1C7F5BD5"/>
    <w:rsid w:val="1C9633EE"/>
    <w:rsid w:val="1CC2022C"/>
    <w:rsid w:val="1D1A109B"/>
    <w:rsid w:val="1D842BD2"/>
    <w:rsid w:val="1DB23D88"/>
    <w:rsid w:val="1DD106B2"/>
    <w:rsid w:val="1DEA1774"/>
    <w:rsid w:val="1E296A58"/>
    <w:rsid w:val="1E303A22"/>
    <w:rsid w:val="1E571E85"/>
    <w:rsid w:val="1EA2679A"/>
    <w:rsid w:val="1EFD54D7"/>
    <w:rsid w:val="1F612711"/>
    <w:rsid w:val="1F6D256E"/>
    <w:rsid w:val="1F707A57"/>
    <w:rsid w:val="1F7606D0"/>
    <w:rsid w:val="1F9A4DC5"/>
    <w:rsid w:val="1FC3402A"/>
    <w:rsid w:val="1FC66798"/>
    <w:rsid w:val="1FE65F6B"/>
    <w:rsid w:val="20086622"/>
    <w:rsid w:val="20140D2A"/>
    <w:rsid w:val="201872E3"/>
    <w:rsid w:val="20380609"/>
    <w:rsid w:val="20407429"/>
    <w:rsid w:val="204F3B10"/>
    <w:rsid w:val="205331F0"/>
    <w:rsid w:val="20535782"/>
    <w:rsid w:val="209634ED"/>
    <w:rsid w:val="20B929D3"/>
    <w:rsid w:val="21097648"/>
    <w:rsid w:val="211344CB"/>
    <w:rsid w:val="211C0DBB"/>
    <w:rsid w:val="21222FD3"/>
    <w:rsid w:val="21470C8B"/>
    <w:rsid w:val="21537630"/>
    <w:rsid w:val="215F2F03"/>
    <w:rsid w:val="21617F9F"/>
    <w:rsid w:val="216655B5"/>
    <w:rsid w:val="217953BC"/>
    <w:rsid w:val="21894E00"/>
    <w:rsid w:val="21B7196D"/>
    <w:rsid w:val="21BD2CD2"/>
    <w:rsid w:val="21CB0ABB"/>
    <w:rsid w:val="21DF17AC"/>
    <w:rsid w:val="21E42813"/>
    <w:rsid w:val="22513B6F"/>
    <w:rsid w:val="22627F65"/>
    <w:rsid w:val="22687C34"/>
    <w:rsid w:val="22812B39"/>
    <w:rsid w:val="228E4DC3"/>
    <w:rsid w:val="22A3088F"/>
    <w:rsid w:val="22C5455D"/>
    <w:rsid w:val="22CC1448"/>
    <w:rsid w:val="22CF3E13"/>
    <w:rsid w:val="22D83ADA"/>
    <w:rsid w:val="22FD3CF7"/>
    <w:rsid w:val="230E7CB2"/>
    <w:rsid w:val="23381C55"/>
    <w:rsid w:val="234D65E4"/>
    <w:rsid w:val="235F22BC"/>
    <w:rsid w:val="238E2BA1"/>
    <w:rsid w:val="23953F30"/>
    <w:rsid w:val="23CE1BDC"/>
    <w:rsid w:val="23E6152F"/>
    <w:rsid w:val="24B46637"/>
    <w:rsid w:val="24D665AE"/>
    <w:rsid w:val="24F3676A"/>
    <w:rsid w:val="250C0222"/>
    <w:rsid w:val="25103C45"/>
    <w:rsid w:val="254F10C5"/>
    <w:rsid w:val="255860FF"/>
    <w:rsid w:val="259D659B"/>
    <w:rsid w:val="25B3069D"/>
    <w:rsid w:val="25CD6ECB"/>
    <w:rsid w:val="25D75C11"/>
    <w:rsid w:val="25DC5E46"/>
    <w:rsid w:val="26633E71"/>
    <w:rsid w:val="26937225"/>
    <w:rsid w:val="269610B0"/>
    <w:rsid w:val="26AF18C7"/>
    <w:rsid w:val="26AF1AB8"/>
    <w:rsid w:val="26AF355A"/>
    <w:rsid w:val="27104E4B"/>
    <w:rsid w:val="27120687"/>
    <w:rsid w:val="272555CB"/>
    <w:rsid w:val="27772294"/>
    <w:rsid w:val="27FE6547"/>
    <w:rsid w:val="280D691E"/>
    <w:rsid w:val="28193B07"/>
    <w:rsid w:val="286B15D4"/>
    <w:rsid w:val="289F15C5"/>
    <w:rsid w:val="28AB185F"/>
    <w:rsid w:val="28E03030"/>
    <w:rsid w:val="2936586D"/>
    <w:rsid w:val="29592093"/>
    <w:rsid w:val="295C42A6"/>
    <w:rsid w:val="29B9024C"/>
    <w:rsid w:val="2A0475B6"/>
    <w:rsid w:val="2A0717F7"/>
    <w:rsid w:val="2A166FD9"/>
    <w:rsid w:val="2A3E2317"/>
    <w:rsid w:val="2A666EC7"/>
    <w:rsid w:val="2AD65296"/>
    <w:rsid w:val="2B0E1F59"/>
    <w:rsid w:val="2B3460EB"/>
    <w:rsid w:val="2B594B53"/>
    <w:rsid w:val="2B883A25"/>
    <w:rsid w:val="2B8B4429"/>
    <w:rsid w:val="2B925B89"/>
    <w:rsid w:val="2B9920E3"/>
    <w:rsid w:val="2BD575BF"/>
    <w:rsid w:val="2BFD0082"/>
    <w:rsid w:val="2BFF728D"/>
    <w:rsid w:val="2C016AF1"/>
    <w:rsid w:val="2C046E7B"/>
    <w:rsid w:val="2C20262E"/>
    <w:rsid w:val="2C224DF4"/>
    <w:rsid w:val="2C4C6E07"/>
    <w:rsid w:val="2C591F7B"/>
    <w:rsid w:val="2C892158"/>
    <w:rsid w:val="2CAB43EA"/>
    <w:rsid w:val="2CC32982"/>
    <w:rsid w:val="2CEC0E66"/>
    <w:rsid w:val="2D39592C"/>
    <w:rsid w:val="2D7744A6"/>
    <w:rsid w:val="2D947006"/>
    <w:rsid w:val="2DA31217"/>
    <w:rsid w:val="2DB43204"/>
    <w:rsid w:val="2DC55411"/>
    <w:rsid w:val="2DDD5D4F"/>
    <w:rsid w:val="2DE33AEA"/>
    <w:rsid w:val="2E56531D"/>
    <w:rsid w:val="2E636804"/>
    <w:rsid w:val="2E671D49"/>
    <w:rsid w:val="2E8A3797"/>
    <w:rsid w:val="2E9B359F"/>
    <w:rsid w:val="2EA94D33"/>
    <w:rsid w:val="2ED52E97"/>
    <w:rsid w:val="2EE7226B"/>
    <w:rsid w:val="2EEF6BEA"/>
    <w:rsid w:val="2F603644"/>
    <w:rsid w:val="2F6741DD"/>
    <w:rsid w:val="2F902873"/>
    <w:rsid w:val="2F9C2C75"/>
    <w:rsid w:val="30004E27"/>
    <w:rsid w:val="3044101E"/>
    <w:rsid w:val="30452E5F"/>
    <w:rsid w:val="30622136"/>
    <w:rsid w:val="306A0211"/>
    <w:rsid w:val="307F7B38"/>
    <w:rsid w:val="30C45E54"/>
    <w:rsid w:val="3112096E"/>
    <w:rsid w:val="312F6FCA"/>
    <w:rsid w:val="31344D88"/>
    <w:rsid w:val="315240A2"/>
    <w:rsid w:val="31727533"/>
    <w:rsid w:val="319375DC"/>
    <w:rsid w:val="31B33348"/>
    <w:rsid w:val="32327209"/>
    <w:rsid w:val="327B6E18"/>
    <w:rsid w:val="329D1BED"/>
    <w:rsid w:val="32B81632"/>
    <w:rsid w:val="32BF5D49"/>
    <w:rsid w:val="32C153FC"/>
    <w:rsid w:val="331429F5"/>
    <w:rsid w:val="3326302E"/>
    <w:rsid w:val="333C2946"/>
    <w:rsid w:val="33AA7BD5"/>
    <w:rsid w:val="33CF0D98"/>
    <w:rsid w:val="33F75C1C"/>
    <w:rsid w:val="33FC26D4"/>
    <w:rsid w:val="34833D46"/>
    <w:rsid w:val="348C0A37"/>
    <w:rsid w:val="349A75F8"/>
    <w:rsid w:val="34AE7FC1"/>
    <w:rsid w:val="34B23E39"/>
    <w:rsid w:val="34B65B98"/>
    <w:rsid w:val="34D01E56"/>
    <w:rsid w:val="34E72111"/>
    <w:rsid w:val="3559502B"/>
    <w:rsid w:val="35AD4520"/>
    <w:rsid w:val="3601230C"/>
    <w:rsid w:val="363A4058"/>
    <w:rsid w:val="36421E98"/>
    <w:rsid w:val="365B6913"/>
    <w:rsid w:val="365B7EC0"/>
    <w:rsid w:val="36730100"/>
    <w:rsid w:val="367D2D2D"/>
    <w:rsid w:val="36981915"/>
    <w:rsid w:val="36E06BC3"/>
    <w:rsid w:val="36EC6E3D"/>
    <w:rsid w:val="37024ED4"/>
    <w:rsid w:val="374A7131"/>
    <w:rsid w:val="375A306E"/>
    <w:rsid w:val="375D490D"/>
    <w:rsid w:val="37695060"/>
    <w:rsid w:val="37935055"/>
    <w:rsid w:val="37A24C61"/>
    <w:rsid w:val="37AE6F16"/>
    <w:rsid w:val="37B7401D"/>
    <w:rsid w:val="3845656E"/>
    <w:rsid w:val="387942D4"/>
    <w:rsid w:val="38FB618B"/>
    <w:rsid w:val="390214DE"/>
    <w:rsid w:val="39171ED0"/>
    <w:rsid w:val="3929719C"/>
    <w:rsid w:val="39605333"/>
    <w:rsid w:val="397071A2"/>
    <w:rsid w:val="398E124A"/>
    <w:rsid w:val="398E4FD6"/>
    <w:rsid w:val="39BF540B"/>
    <w:rsid w:val="3A340B0B"/>
    <w:rsid w:val="3A8F0D81"/>
    <w:rsid w:val="3B051543"/>
    <w:rsid w:val="3B2477F2"/>
    <w:rsid w:val="3B525B51"/>
    <w:rsid w:val="3BA92F4A"/>
    <w:rsid w:val="3BB03358"/>
    <w:rsid w:val="3BB142D6"/>
    <w:rsid w:val="3BB76845"/>
    <w:rsid w:val="3C1C7AC0"/>
    <w:rsid w:val="3C321C9D"/>
    <w:rsid w:val="3C35131E"/>
    <w:rsid w:val="3C5F6722"/>
    <w:rsid w:val="3C7249B6"/>
    <w:rsid w:val="3C7F446D"/>
    <w:rsid w:val="3C996111"/>
    <w:rsid w:val="3CAF1767"/>
    <w:rsid w:val="3CBE1A14"/>
    <w:rsid w:val="3CCF3B06"/>
    <w:rsid w:val="3CEA40C2"/>
    <w:rsid w:val="3D276E79"/>
    <w:rsid w:val="3D5D6527"/>
    <w:rsid w:val="3D605157"/>
    <w:rsid w:val="3D714641"/>
    <w:rsid w:val="3D9D3B42"/>
    <w:rsid w:val="3DD11CD1"/>
    <w:rsid w:val="3DE6565C"/>
    <w:rsid w:val="3DF00CDD"/>
    <w:rsid w:val="3E3B18EF"/>
    <w:rsid w:val="3E4203B8"/>
    <w:rsid w:val="3E5E3444"/>
    <w:rsid w:val="3E670B09"/>
    <w:rsid w:val="3E6D3687"/>
    <w:rsid w:val="3E79621D"/>
    <w:rsid w:val="3EBA23DF"/>
    <w:rsid w:val="3EDB4A95"/>
    <w:rsid w:val="3EED7ED6"/>
    <w:rsid w:val="3FA17103"/>
    <w:rsid w:val="3FDD2656"/>
    <w:rsid w:val="3FFA53EF"/>
    <w:rsid w:val="40102748"/>
    <w:rsid w:val="40112738"/>
    <w:rsid w:val="40343C31"/>
    <w:rsid w:val="403E177F"/>
    <w:rsid w:val="405767D9"/>
    <w:rsid w:val="40637945"/>
    <w:rsid w:val="4069197A"/>
    <w:rsid w:val="40957C0F"/>
    <w:rsid w:val="40991DE8"/>
    <w:rsid w:val="40AC6725"/>
    <w:rsid w:val="40AE7F87"/>
    <w:rsid w:val="40CA5026"/>
    <w:rsid w:val="41405083"/>
    <w:rsid w:val="41477A67"/>
    <w:rsid w:val="41E719A3"/>
    <w:rsid w:val="41F5451C"/>
    <w:rsid w:val="424C3207"/>
    <w:rsid w:val="425B7DA5"/>
    <w:rsid w:val="42A80E2F"/>
    <w:rsid w:val="42F5314F"/>
    <w:rsid w:val="42FE4E03"/>
    <w:rsid w:val="439065CF"/>
    <w:rsid w:val="43BD1B67"/>
    <w:rsid w:val="43C24475"/>
    <w:rsid w:val="43FE5D86"/>
    <w:rsid w:val="441E2FFE"/>
    <w:rsid w:val="447D039C"/>
    <w:rsid w:val="447F064D"/>
    <w:rsid w:val="449007B6"/>
    <w:rsid w:val="45440ADD"/>
    <w:rsid w:val="45C5024D"/>
    <w:rsid w:val="45F40A8F"/>
    <w:rsid w:val="46672E81"/>
    <w:rsid w:val="468B4FF2"/>
    <w:rsid w:val="46AD3134"/>
    <w:rsid w:val="46B04A59"/>
    <w:rsid w:val="46C83295"/>
    <w:rsid w:val="46DA7D28"/>
    <w:rsid w:val="46F801AE"/>
    <w:rsid w:val="474F62EB"/>
    <w:rsid w:val="476A5AF0"/>
    <w:rsid w:val="47876D4D"/>
    <w:rsid w:val="478B2DD0"/>
    <w:rsid w:val="47D30F7F"/>
    <w:rsid w:val="47D46525"/>
    <w:rsid w:val="483B43F8"/>
    <w:rsid w:val="484F599D"/>
    <w:rsid w:val="48D26E94"/>
    <w:rsid w:val="48E916D2"/>
    <w:rsid w:val="48EE7ABB"/>
    <w:rsid w:val="490177EE"/>
    <w:rsid w:val="491D3EFC"/>
    <w:rsid w:val="495C4A24"/>
    <w:rsid w:val="49A61735"/>
    <w:rsid w:val="49E669E4"/>
    <w:rsid w:val="49F17862"/>
    <w:rsid w:val="4A0325EA"/>
    <w:rsid w:val="4A222EFD"/>
    <w:rsid w:val="4A272D77"/>
    <w:rsid w:val="4A2B41E7"/>
    <w:rsid w:val="4A31389A"/>
    <w:rsid w:val="4A4A6F73"/>
    <w:rsid w:val="4AF8249E"/>
    <w:rsid w:val="4B7F124F"/>
    <w:rsid w:val="4BA64A16"/>
    <w:rsid w:val="4BC919AF"/>
    <w:rsid w:val="4C1D63D1"/>
    <w:rsid w:val="4C327295"/>
    <w:rsid w:val="4C3677AE"/>
    <w:rsid w:val="4C3A6B5F"/>
    <w:rsid w:val="4CC36774"/>
    <w:rsid w:val="4D0646F7"/>
    <w:rsid w:val="4D1547F5"/>
    <w:rsid w:val="4D3F1B90"/>
    <w:rsid w:val="4D6A2D70"/>
    <w:rsid w:val="4D8D0936"/>
    <w:rsid w:val="4D9C5D37"/>
    <w:rsid w:val="4D9F2CA9"/>
    <w:rsid w:val="4DCF13D9"/>
    <w:rsid w:val="4DED20EF"/>
    <w:rsid w:val="4DF33E3D"/>
    <w:rsid w:val="4E21623C"/>
    <w:rsid w:val="4E4E16AF"/>
    <w:rsid w:val="4E4F2DA9"/>
    <w:rsid w:val="4E720846"/>
    <w:rsid w:val="4E8D6F0E"/>
    <w:rsid w:val="4EB40E5E"/>
    <w:rsid w:val="4EF97E06"/>
    <w:rsid w:val="4F053468"/>
    <w:rsid w:val="4F1958DC"/>
    <w:rsid w:val="4F335184"/>
    <w:rsid w:val="4F477F24"/>
    <w:rsid w:val="4F5278CB"/>
    <w:rsid w:val="4FC034B7"/>
    <w:rsid w:val="501C5948"/>
    <w:rsid w:val="503474FD"/>
    <w:rsid w:val="50776DF5"/>
    <w:rsid w:val="5077771C"/>
    <w:rsid w:val="50B25281"/>
    <w:rsid w:val="50C161AD"/>
    <w:rsid w:val="51170852"/>
    <w:rsid w:val="51383FC9"/>
    <w:rsid w:val="518D502A"/>
    <w:rsid w:val="51AB4FE4"/>
    <w:rsid w:val="51F36142"/>
    <w:rsid w:val="522133EE"/>
    <w:rsid w:val="522C3C23"/>
    <w:rsid w:val="523336B1"/>
    <w:rsid w:val="52601B49"/>
    <w:rsid w:val="52A71467"/>
    <w:rsid w:val="5320344D"/>
    <w:rsid w:val="5336640A"/>
    <w:rsid w:val="53591FD4"/>
    <w:rsid w:val="53D03945"/>
    <w:rsid w:val="53F12BBD"/>
    <w:rsid w:val="5419112D"/>
    <w:rsid w:val="542C6232"/>
    <w:rsid w:val="5463135D"/>
    <w:rsid w:val="54774E08"/>
    <w:rsid w:val="5494028B"/>
    <w:rsid w:val="549A0AF6"/>
    <w:rsid w:val="54AA0567"/>
    <w:rsid w:val="55024DE0"/>
    <w:rsid w:val="552A00CC"/>
    <w:rsid w:val="55517407"/>
    <w:rsid w:val="555667CB"/>
    <w:rsid w:val="55572121"/>
    <w:rsid w:val="555B5600"/>
    <w:rsid w:val="55603AEE"/>
    <w:rsid w:val="5643191F"/>
    <w:rsid w:val="565371AF"/>
    <w:rsid w:val="565A7C9C"/>
    <w:rsid w:val="56811F6E"/>
    <w:rsid w:val="56B57E6A"/>
    <w:rsid w:val="56E542AB"/>
    <w:rsid w:val="576B42C3"/>
    <w:rsid w:val="57FB7462"/>
    <w:rsid w:val="581E5BAA"/>
    <w:rsid w:val="586F703A"/>
    <w:rsid w:val="58A3029E"/>
    <w:rsid w:val="58C46B9B"/>
    <w:rsid w:val="59327C60"/>
    <w:rsid w:val="59613991"/>
    <w:rsid w:val="59EE627B"/>
    <w:rsid w:val="5A71581A"/>
    <w:rsid w:val="5A8748FE"/>
    <w:rsid w:val="5AD85ED5"/>
    <w:rsid w:val="5AEC6705"/>
    <w:rsid w:val="5AF66F1D"/>
    <w:rsid w:val="5AFC3215"/>
    <w:rsid w:val="5B773940"/>
    <w:rsid w:val="5B8D3163"/>
    <w:rsid w:val="5BA51D88"/>
    <w:rsid w:val="5BFC7855"/>
    <w:rsid w:val="5C3A043F"/>
    <w:rsid w:val="5C3B2E32"/>
    <w:rsid w:val="5C82434A"/>
    <w:rsid w:val="5C8F6A67"/>
    <w:rsid w:val="5C966047"/>
    <w:rsid w:val="5CB65AD3"/>
    <w:rsid w:val="5CB72E22"/>
    <w:rsid w:val="5CD511CD"/>
    <w:rsid w:val="5D01456F"/>
    <w:rsid w:val="5D663C6C"/>
    <w:rsid w:val="5D6972B8"/>
    <w:rsid w:val="5DED0D3E"/>
    <w:rsid w:val="5E190CDE"/>
    <w:rsid w:val="5E322605"/>
    <w:rsid w:val="5E591B82"/>
    <w:rsid w:val="5E706923"/>
    <w:rsid w:val="5E990B81"/>
    <w:rsid w:val="5EDF35F8"/>
    <w:rsid w:val="5F033A5E"/>
    <w:rsid w:val="5F2C6623"/>
    <w:rsid w:val="5F5A15AE"/>
    <w:rsid w:val="5F6952C3"/>
    <w:rsid w:val="5FF53085"/>
    <w:rsid w:val="602348BE"/>
    <w:rsid w:val="606719A3"/>
    <w:rsid w:val="60CB5389"/>
    <w:rsid w:val="60E81D73"/>
    <w:rsid w:val="60F93A70"/>
    <w:rsid w:val="610712C2"/>
    <w:rsid w:val="612E729C"/>
    <w:rsid w:val="61356578"/>
    <w:rsid w:val="615822A7"/>
    <w:rsid w:val="61671D60"/>
    <w:rsid w:val="617C1CB0"/>
    <w:rsid w:val="61930425"/>
    <w:rsid w:val="61AA67EA"/>
    <w:rsid w:val="61BC20AC"/>
    <w:rsid w:val="621F2448"/>
    <w:rsid w:val="62726C0F"/>
    <w:rsid w:val="62E21FE6"/>
    <w:rsid w:val="632375E5"/>
    <w:rsid w:val="63536A40"/>
    <w:rsid w:val="63780255"/>
    <w:rsid w:val="63E85902"/>
    <w:rsid w:val="6405643E"/>
    <w:rsid w:val="640D5D0A"/>
    <w:rsid w:val="64426204"/>
    <w:rsid w:val="64654C7D"/>
    <w:rsid w:val="646E3CD1"/>
    <w:rsid w:val="648A05F8"/>
    <w:rsid w:val="64D4595F"/>
    <w:rsid w:val="64FF190D"/>
    <w:rsid w:val="650224CC"/>
    <w:rsid w:val="65082410"/>
    <w:rsid w:val="651346D9"/>
    <w:rsid w:val="652E1513"/>
    <w:rsid w:val="653071BC"/>
    <w:rsid w:val="654F4FE5"/>
    <w:rsid w:val="65682902"/>
    <w:rsid w:val="658175CF"/>
    <w:rsid w:val="65B514F8"/>
    <w:rsid w:val="65D8147F"/>
    <w:rsid w:val="65DA0D53"/>
    <w:rsid w:val="661164FE"/>
    <w:rsid w:val="66135560"/>
    <w:rsid w:val="66192141"/>
    <w:rsid w:val="662D51E0"/>
    <w:rsid w:val="662F5543"/>
    <w:rsid w:val="66314078"/>
    <w:rsid w:val="66335280"/>
    <w:rsid w:val="6644490B"/>
    <w:rsid w:val="664D4B96"/>
    <w:rsid w:val="66AA7E50"/>
    <w:rsid w:val="66B141AA"/>
    <w:rsid w:val="66E5629C"/>
    <w:rsid w:val="66E6279F"/>
    <w:rsid w:val="66ED5453"/>
    <w:rsid w:val="67515045"/>
    <w:rsid w:val="67FD51CC"/>
    <w:rsid w:val="68070B84"/>
    <w:rsid w:val="682F1DBC"/>
    <w:rsid w:val="683C2544"/>
    <w:rsid w:val="68443051"/>
    <w:rsid w:val="68866F70"/>
    <w:rsid w:val="68895816"/>
    <w:rsid w:val="68BB535B"/>
    <w:rsid w:val="692549DB"/>
    <w:rsid w:val="692E3608"/>
    <w:rsid w:val="697E3636"/>
    <w:rsid w:val="698C6808"/>
    <w:rsid w:val="699F29DF"/>
    <w:rsid w:val="69A022B3"/>
    <w:rsid w:val="6A01531E"/>
    <w:rsid w:val="6A244298"/>
    <w:rsid w:val="6A3311DF"/>
    <w:rsid w:val="6A59574D"/>
    <w:rsid w:val="6A623911"/>
    <w:rsid w:val="6A6A6E92"/>
    <w:rsid w:val="6A6D2DE4"/>
    <w:rsid w:val="6AB54047"/>
    <w:rsid w:val="6AC23DB2"/>
    <w:rsid w:val="6AD3146B"/>
    <w:rsid w:val="6B4849B1"/>
    <w:rsid w:val="6B4E646B"/>
    <w:rsid w:val="6B566904"/>
    <w:rsid w:val="6B6317EA"/>
    <w:rsid w:val="6B6620AD"/>
    <w:rsid w:val="6BC93D43"/>
    <w:rsid w:val="6BD914DC"/>
    <w:rsid w:val="6BE02E3B"/>
    <w:rsid w:val="6C153629"/>
    <w:rsid w:val="6C164AAF"/>
    <w:rsid w:val="6C73229B"/>
    <w:rsid w:val="6CC10EBE"/>
    <w:rsid w:val="6CC91B21"/>
    <w:rsid w:val="6CE9633A"/>
    <w:rsid w:val="6CEF1588"/>
    <w:rsid w:val="6CEF4108"/>
    <w:rsid w:val="6CF070AE"/>
    <w:rsid w:val="6D064B23"/>
    <w:rsid w:val="6D2027B8"/>
    <w:rsid w:val="6D5B0C50"/>
    <w:rsid w:val="6DB8616B"/>
    <w:rsid w:val="6DCE327A"/>
    <w:rsid w:val="6DD95D94"/>
    <w:rsid w:val="6E1B63AC"/>
    <w:rsid w:val="6E1F080B"/>
    <w:rsid w:val="6E2C2368"/>
    <w:rsid w:val="6E2C2436"/>
    <w:rsid w:val="6E3B6A4F"/>
    <w:rsid w:val="6E65238E"/>
    <w:rsid w:val="6E6D6BF9"/>
    <w:rsid w:val="6E7D1E02"/>
    <w:rsid w:val="6E8D52EC"/>
    <w:rsid w:val="6EAB14DE"/>
    <w:rsid w:val="6EB10ABB"/>
    <w:rsid w:val="6F1F3C7A"/>
    <w:rsid w:val="6F5002D8"/>
    <w:rsid w:val="6F5C7532"/>
    <w:rsid w:val="6F834209"/>
    <w:rsid w:val="6F8F5691"/>
    <w:rsid w:val="6FA478E2"/>
    <w:rsid w:val="6FD46AA0"/>
    <w:rsid w:val="6FE773E1"/>
    <w:rsid w:val="6FFF5B18"/>
    <w:rsid w:val="701458BB"/>
    <w:rsid w:val="70167772"/>
    <w:rsid w:val="701E330E"/>
    <w:rsid w:val="70221C74"/>
    <w:rsid w:val="70316470"/>
    <w:rsid w:val="704307DD"/>
    <w:rsid w:val="70514307"/>
    <w:rsid w:val="70C25205"/>
    <w:rsid w:val="70D958BC"/>
    <w:rsid w:val="71430F73"/>
    <w:rsid w:val="714A6178"/>
    <w:rsid w:val="71610D37"/>
    <w:rsid w:val="71730FA5"/>
    <w:rsid w:val="719935EB"/>
    <w:rsid w:val="71B51F8B"/>
    <w:rsid w:val="71D05719"/>
    <w:rsid w:val="724376F8"/>
    <w:rsid w:val="72536115"/>
    <w:rsid w:val="734C11DC"/>
    <w:rsid w:val="736A060C"/>
    <w:rsid w:val="736D4ECF"/>
    <w:rsid w:val="738D1A62"/>
    <w:rsid w:val="73BF29D9"/>
    <w:rsid w:val="73C117A4"/>
    <w:rsid w:val="74003859"/>
    <w:rsid w:val="740D27BD"/>
    <w:rsid w:val="741E2752"/>
    <w:rsid w:val="74381A66"/>
    <w:rsid w:val="74603567"/>
    <w:rsid w:val="74751A35"/>
    <w:rsid w:val="748F3650"/>
    <w:rsid w:val="74AC7D5E"/>
    <w:rsid w:val="74AF0F5C"/>
    <w:rsid w:val="74D425F7"/>
    <w:rsid w:val="74DF0134"/>
    <w:rsid w:val="752124FA"/>
    <w:rsid w:val="75394239"/>
    <w:rsid w:val="75962698"/>
    <w:rsid w:val="75E43528"/>
    <w:rsid w:val="76037E52"/>
    <w:rsid w:val="76514FFC"/>
    <w:rsid w:val="76522B87"/>
    <w:rsid w:val="765D2998"/>
    <w:rsid w:val="76740D50"/>
    <w:rsid w:val="76B163FD"/>
    <w:rsid w:val="76D637B8"/>
    <w:rsid w:val="76E6390C"/>
    <w:rsid w:val="76FA74A7"/>
    <w:rsid w:val="772404DA"/>
    <w:rsid w:val="77B77146"/>
    <w:rsid w:val="77CB0E43"/>
    <w:rsid w:val="77F20AE8"/>
    <w:rsid w:val="78142B6A"/>
    <w:rsid w:val="7843609F"/>
    <w:rsid w:val="786B7F85"/>
    <w:rsid w:val="78705973"/>
    <w:rsid w:val="78DB50B6"/>
    <w:rsid w:val="78E8667F"/>
    <w:rsid w:val="79286575"/>
    <w:rsid w:val="79A25BD4"/>
    <w:rsid w:val="79B51C03"/>
    <w:rsid w:val="7A2D0268"/>
    <w:rsid w:val="7A3E2F83"/>
    <w:rsid w:val="7A7E1365"/>
    <w:rsid w:val="7A916B6A"/>
    <w:rsid w:val="7AB931D5"/>
    <w:rsid w:val="7AC25CDC"/>
    <w:rsid w:val="7ACE752C"/>
    <w:rsid w:val="7B1315F7"/>
    <w:rsid w:val="7B446F42"/>
    <w:rsid w:val="7B5A4A97"/>
    <w:rsid w:val="7B900E48"/>
    <w:rsid w:val="7BD76009"/>
    <w:rsid w:val="7BFB2270"/>
    <w:rsid w:val="7C041228"/>
    <w:rsid w:val="7C2F2854"/>
    <w:rsid w:val="7C66180B"/>
    <w:rsid w:val="7C831763"/>
    <w:rsid w:val="7C91364C"/>
    <w:rsid w:val="7C975798"/>
    <w:rsid w:val="7CC61BD9"/>
    <w:rsid w:val="7CC83BA3"/>
    <w:rsid w:val="7CDE3A1B"/>
    <w:rsid w:val="7CE16A13"/>
    <w:rsid w:val="7D0746CC"/>
    <w:rsid w:val="7D1943FF"/>
    <w:rsid w:val="7D1F7C67"/>
    <w:rsid w:val="7D3B25C7"/>
    <w:rsid w:val="7D45620A"/>
    <w:rsid w:val="7D5316BF"/>
    <w:rsid w:val="7D6101F8"/>
    <w:rsid w:val="7D841F19"/>
    <w:rsid w:val="7DA71A0B"/>
    <w:rsid w:val="7DAA1F0C"/>
    <w:rsid w:val="7E503D08"/>
    <w:rsid w:val="7E651245"/>
    <w:rsid w:val="7E714CA2"/>
    <w:rsid w:val="7EA45F4A"/>
    <w:rsid w:val="7EF46244"/>
    <w:rsid w:val="7EF864D1"/>
    <w:rsid w:val="7F2F2C9E"/>
    <w:rsid w:val="7F565CF2"/>
    <w:rsid w:val="7F967F89"/>
    <w:rsid w:val="7FB45479"/>
    <w:rsid w:val="7FD35651"/>
    <w:rsid w:val="7FF847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semiHidden="0" w:name="index 1"/>
    <w:lsdException w:uiPriority="99" w:name="index 2"/>
    <w:lsdException w:uiPriority="99" w:name="index 3"/>
    <w:lsdException w:unhideWhenUsed="0" w:uiPriority="0" w:semiHidden="0" w:name="index 4"/>
    <w:lsdException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0" w:semiHidden="0" w:name="toc 3"/>
    <w:lsdException w:qFormat="1" w:uiPriority="0" w:semiHidden="0" w:name="toc 4"/>
    <w:lsdException w:qFormat="1" w:uiPriority="0" w:semiHidden="0" w:name="toc 5"/>
    <w:lsdException w:unhideWhenUsed="0" w:uiPriority="0" w:name="toc 6"/>
    <w:lsdException w:qFormat="1" w:unhideWhenUsed="0" w:uiPriority="0" w:name="toc 7"/>
    <w:lsdException w:qFormat="1" w:unhideWhenUsed="0" w:uiPriority="0" w:name="toc 8"/>
    <w:lsdException w:unhideWhenUsed="0" w:uiPriority="0" w:name="toc 9"/>
    <w:lsdException w:unhideWhenUsed="0" w:uiPriority="0" w:semiHidden="0" w:name="Normal Indent"/>
    <w:lsdException w:unhideWhenUsed="0" w:uiPriority="0" w:semiHidden="0" w:name="footnote text"/>
    <w:lsdException w:qFormat="1" w:uiPriority="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0" w:semiHidden="0" w:name="List"/>
    <w:lsdException w:unhideWhenUsed="0" w:uiPriority="0" w:semiHidden="0" w:name="List Bullet"/>
    <w:lsdException w:qFormat="1" w:uiPriority="99" w:name="List Number"/>
    <w:lsdException w:qFormat="1" w:unhideWhenUsed="0" w:uiPriority="0" w:semiHidden="0"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62"/>
    <w:qFormat/>
    <w:uiPriority w:val="0"/>
    <w:pPr>
      <w:keepNext/>
      <w:keepLines/>
      <w:spacing w:before="340" w:after="330"/>
      <w:outlineLvl w:val="0"/>
    </w:pPr>
    <w:rPr>
      <w:b/>
      <w:bCs/>
      <w:kern w:val="44"/>
      <w:sz w:val="44"/>
      <w:szCs w:val="44"/>
    </w:rPr>
  </w:style>
  <w:style w:type="paragraph" w:styleId="4">
    <w:name w:val="heading 2"/>
    <w:basedOn w:val="1"/>
    <w:next w:val="1"/>
    <w:link w:val="8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86"/>
    <w:qFormat/>
    <w:uiPriority w:val="0"/>
    <w:pPr>
      <w:keepNext/>
      <w:keepLines/>
      <w:spacing w:line="360" w:lineRule="auto"/>
      <w:outlineLvl w:val="2"/>
    </w:pPr>
    <w:rPr>
      <w:rFonts w:eastAsia="黑体"/>
      <w:b/>
      <w:bCs/>
      <w:szCs w:val="32"/>
      <w:lang w:val="zh-CN"/>
    </w:rPr>
  </w:style>
  <w:style w:type="paragraph" w:styleId="6">
    <w:name w:val="heading 4"/>
    <w:basedOn w:val="1"/>
    <w:next w:val="1"/>
    <w:link w:val="87"/>
    <w:unhideWhenUsed/>
    <w:qFormat/>
    <w:uiPriority w:val="0"/>
    <w:pPr>
      <w:keepNext/>
      <w:keepLines/>
      <w:spacing w:before="280" w:after="290" w:line="376" w:lineRule="auto"/>
      <w:outlineLvl w:val="3"/>
    </w:pPr>
    <w:rPr>
      <w:rFonts w:ascii="宋体" w:hAnsi="宋体" w:cstheme="majorBidi"/>
      <w:b/>
      <w:sz w:val="28"/>
      <w:szCs w:val="28"/>
    </w:rPr>
  </w:style>
  <w:style w:type="paragraph" w:styleId="7">
    <w:name w:val="heading 5"/>
    <w:basedOn w:val="1"/>
    <w:next w:val="1"/>
    <w:link w:val="79"/>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paragraph" w:styleId="8">
    <w:name w:val="heading 6"/>
    <w:basedOn w:val="1"/>
    <w:next w:val="1"/>
    <w:link w:val="80"/>
    <w:qFormat/>
    <w:uiPriority w:val="0"/>
    <w:pPr>
      <w:keepNext/>
      <w:keepLines/>
      <w:widowControl/>
      <w:spacing w:before="240" w:after="64" w:line="320" w:lineRule="auto"/>
      <w:jc w:val="left"/>
      <w:outlineLvl w:val="5"/>
    </w:pPr>
    <w:rPr>
      <w:rFonts w:ascii="Arial" w:hAnsi="Arial" w:eastAsia="黑体" w:cs="Times New Roman"/>
      <w:b/>
      <w:bCs/>
      <w:kern w:val="0"/>
      <w:sz w:val="24"/>
      <w:szCs w:val="24"/>
    </w:rPr>
  </w:style>
  <w:style w:type="paragraph" w:styleId="9">
    <w:name w:val="heading 7"/>
    <w:basedOn w:val="1"/>
    <w:next w:val="1"/>
    <w:link w:val="81"/>
    <w:qFormat/>
    <w:uiPriority w:val="0"/>
    <w:pPr>
      <w:keepNext/>
      <w:keepLines/>
      <w:widowControl/>
      <w:spacing w:before="240" w:after="64" w:line="320" w:lineRule="auto"/>
      <w:jc w:val="left"/>
      <w:outlineLvl w:val="6"/>
    </w:pPr>
    <w:rPr>
      <w:rFonts w:ascii="Times New Roman" w:hAnsi="Times New Roman" w:eastAsia="宋体" w:cs="Times New Roman"/>
      <w:b/>
      <w:bCs/>
      <w:kern w:val="0"/>
      <w:sz w:val="24"/>
      <w:szCs w:val="24"/>
    </w:rPr>
  </w:style>
  <w:style w:type="paragraph" w:styleId="10">
    <w:name w:val="heading 8"/>
    <w:basedOn w:val="1"/>
    <w:next w:val="1"/>
    <w:link w:val="82"/>
    <w:qFormat/>
    <w:uiPriority w:val="0"/>
    <w:pPr>
      <w:keepNext/>
      <w:keepLines/>
      <w:widowControl/>
      <w:spacing w:before="240" w:after="64" w:line="320" w:lineRule="auto"/>
      <w:jc w:val="left"/>
      <w:outlineLvl w:val="7"/>
    </w:pPr>
    <w:rPr>
      <w:rFonts w:ascii="Arial" w:hAnsi="Arial" w:eastAsia="黑体" w:cs="Times New Roman"/>
      <w:kern w:val="0"/>
      <w:sz w:val="24"/>
      <w:szCs w:val="24"/>
    </w:rPr>
  </w:style>
  <w:style w:type="paragraph" w:styleId="11">
    <w:name w:val="heading 9"/>
    <w:basedOn w:val="1"/>
    <w:next w:val="1"/>
    <w:link w:val="83"/>
    <w:qFormat/>
    <w:uiPriority w:val="0"/>
    <w:pPr>
      <w:keepNext/>
      <w:keepLines/>
      <w:widowControl/>
      <w:spacing w:before="240" w:after="64" w:line="320" w:lineRule="auto"/>
      <w:jc w:val="left"/>
      <w:outlineLvl w:val="8"/>
    </w:pPr>
    <w:rPr>
      <w:rFonts w:ascii="Arial" w:hAnsi="Arial" w:eastAsia="黑体" w:cs="Times New Roman"/>
      <w:kern w:val="0"/>
      <w:szCs w:val="21"/>
    </w:rPr>
  </w:style>
  <w:style w:type="character" w:default="1" w:styleId="50">
    <w:name w:val="Default Paragraph Font"/>
    <w:semiHidden/>
    <w:unhideWhenUsed/>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footer"/>
    <w:basedOn w:val="1"/>
    <w:link w:val="65"/>
    <w:unhideWhenUsed/>
    <w:qFormat/>
    <w:uiPriority w:val="0"/>
    <w:pPr>
      <w:tabs>
        <w:tab w:val="center" w:pos="4153"/>
        <w:tab w:val="right" w:pos="8306"/>
      </w:tabs>
      <w:snapToGrid w:val="0"/>
      <w:jc w:val="left"/>
    </w:pPr>
    <w:rPr>
      <w:sz w:val="18"/>
      <w:szCs w:val="18"/>
    </w:rPr>
  </w:style>
  <w:style w:type="paragraph" w:styleId="12">
    <w:name w:val="toc 7"/>
    <w:basedOn w:val="1"/>
    <w:next w:val="1"/>
    <w:semiHidden/>
    <w:qFormat/>
    <w:uiPriority w:val="0"/>
    <w:pPr>
      <w:ind w:left="1260"/>
      <w:jc w:val="left"/>
    </w:pPr>
    <w:rPr>
      <w:rFonts w:ascii="Times New Roman" w:hAnsi="Times New Roman" w:eastAsia="宋体" w:cs="Times New Roman"/>
      <w:sz w:val="18"/>
      <w:szCs w:val="18"/>
    </w:rPr>
  </w:style>
  <w:style w:type="paragraph" w:styleId="13">
    <w:name w:val="List Number"/>
    <w:basedOn w:val="1"/>
    <w:semiHidden/>
    <w:unhideWhenUsed/>
    <w:qFormat/>
    <w:uiPriority w:val="99"/>
    <w:pPr>
      <w:numPr>
        <w:ilvl w:val="0"/>
        <w:numId w:val="1"/>
      </w:numPr>
    </w:pPr>
  </w:style>
  <w:style w:type="paragraph" w:styleId="14">
    <w:name w:val="Normal Indent"/>
    <w:basedOn w:val="1"/>
    <w:link w:val="85"/>
    <w:uiPriority w:val="0"/>
    <w:pPr>
      <w:widowControl/>
      <w:ind w:firstLine="420"/>
      <w:jc w:val="left"/>
    </w:pPr>
    <w:rPr>
      <w:rFonts w:ascii="Times New Roman" w:hAnsi="Times New Roman" w:eastAsia="宋体" w:cs="Times New Roman"/>
      <w:kern w:val="0"/>
      <w:sz w:val="20"/>
      <w:szCs w:val="20"/>
    </w:rPr>
  </w:style>
  <w:style w:type="paragraph" w:styleId="15">
    <w:name w:val="caption"/>
    <w:basedOn w:val="1"/>
    <w:next w:val="1"/>
    <w:qFormat/>
    <w:uiPriority w:val="0"/>
    <w:rPr>
      <w:rFonts w:ascii="Cambria" w:hAnsi="Cambria" w:eastAsia="黑体" w:cs="Times New Roman"/>
      <w:sz w:val="20"/>
      <w:szCs w:val="20"/>
    </w:rPr>
  </w:style>
  <w:style w:type="paragraph" w:styleId="16">
    <w:name w:val="index 5"/>
    <w:basedOn w:val="1"/>
    <w:next w:val="1"/>
    <w:uiPriority w:val="0"/>
    <w:pPr>
      <w:ind w:left="800" w:leftChars="800"/>
    </w:pPr>
    <w:rPr>
      <w:rFonts w:ascii="Times New Roman" w:hAnsi="Times New Roman" w:eastAsia="宋体" w:cs="Times New Roman"/>
      <w:szCs w:val="24"/>
    </w:rPr>
  </w:style>
  <w:style w:type="paragraph" w:styleId="17">
    <w:name w:val="List Bullet"/>
    <w:basedOn w:val="1"/>
    <w:uiPriority w:val="0"/>
    <w:pPr>
      <w:numPr>
        <w:ilvl w:val="0"/>
        <w:numId w:val="1"/>
      </w:numPr>
      <w:tabs>
        <w:tab w:val="left" w:pos="1620"/>
      </w:tabs>
    </w:pPr>
    <w:rPr>
      <w:rFonts w:ascii="Times New Roman" w:hAnsi="Times New Roman" w:eastAsia="宋体" w:cs="Times New Roman"/>
      <w:szCs w:val="24"/>
    </w:rPr>
  </w:style>
  <w:style w:type="paragraph" w:styleId="18">
    <w:name w:val="Document Map"/>
    <w:basedOn w:val="1"/>
    <w:link w:val="88"/>
    <w:semiHidden/>
    <w:uiPriority w:val="0"/>
    <w:pPr>
      <w:widowControl/>
      <w:shd w:val="clear" w:color="auto" w:fill="000080"/>
      <w:jc w:val="left"/>
    </w:pPr>
    <w:rPr>
      <w:rFonts w:ascii="Times New Roman" w:hAnsi="Times New Roman" w:eastAsia="宋体" w:cs="Times New Roman"/>
      <w:kern w:val="0"/>
      <w:sz w:val="20"/>
      <w:szCs w:val="20"/>
      <w:lang w:val="zh-CN" w:eastAsia="zh-CN"/>
    </w:rPr>
  </w:style>
  <w:style w:type="paragraph" w:styleId="19">
    <w:name w:val="annotation text"/>
    <w:basedOn w:val="1"/>
    <w:link w:val="71"/>
    <w:semiHidden/>
    <w:unhideWhenUsed/>
    <w:qFormat/>
    <w:uiPriority w:val="0"/>
    <w:pPr>
      <w:jc w:val="left"/>
    </w:pPr>
  </w:style>
  <w:style w:type="paragraph" w:styleId="20">
    <w:name w:val="Body Text 3"/>
    <w:basedOn w:val="1"/>
    <w:link w:val="89"/>
    <w:qFormat/>
    <w:uiPriority w:val="0"/>
    <w:pPr>
      <w:spacing w:after="120"/>
    </w:pPr>
    <w:rPr>
      <w:rFonts w:ascii="Times New Roman" w:hAnsi="Times New Roman" w:eastAsia="宋体" w:cs="Times New Roman"/>
      <w:sz w:val="16"/>
      <w:szCs w:val="16"/>
      <w:lang w:val="zh-CN" w:eastAsia="zh-CN"/>
    </w:rPr>
  </w:style>
  <w:style w:type="paragraph" w:styleId="21">
    <w:name w:val="Body Text"/>
    <w:basedOn w:val="1"/>
    <w:next w:val="1"/>
    <w:link w:val="60"/>
    <w:unhideWhenUsed/>
    <w:qFormat/>
    <w:uiPriority w:val="0"/>
    <w:pPr>
      <w:spacing w:after="120"/>
    </w:pPr>
  </w:style>
  <w:style w:type="paragraph" w:styleId="22">
    <w:name w:val="Body Text Indent"/>
    <w:basedOn w:val="1"/>
    <w:link w:val="90"/>
    <w:qFormat/>
    <w:uiPriority w:val="0"/>
    <w:pPr>
      <w:ind w:firstLine="830" w:firstLineChars="352"/>
    </w:pPr>
    <w:rPr>
      <w:rFonts w:ascii="仿宋_GB2312" w:eastAsia="仿宋_GB2312"/>
      <w:kern w:val="0"/>
      <w:sz w:val="32"/>
      <w:szCs w:val="20"/>
    </w:rPr>
  </w:style>
  <w:style w:type="paragraph" w:styleId="23">
    <w:name w:val="List 2"/>
    <w:basedOn w:val="1"/>
    <w:qFormat/>
    <w:uiPriority w:val="0"/>
    <w:pPr>
      <w:ind w:left="840" w:hanging="420"/>
    </w:pPr>
    <w:rPr>
      <w:szCs w:val="20"/>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uiPriority w:val="0"/>
    <w:pPr>
      <w:ind w:left="600" w:leftChars="600"/>
    </w:pPr>
    <w:rPr>
      <w:rFonts w:ascii="Times New Roman" w:hAnsi="Times New Roman" w:eastAsia="宋体" w:cs="Times New Roman"/>
      <w:szCs w:val="24"/>
    </w:rPr>
  </w:style>
  <w:style w:type="paragraph" w:styleId="26">
    <w:name w:val="toc 5"/>
    <w:basedOn w:val="1"/>
    <w:next w:val="1"/>
    <w:unhideWhenUsed/>
    <w:qFormat/>
    <w:uiPriority w:val="0"/>
    <w:pPr>
      <w:ind w:left="1680" w:leftChars="800"/>
    </w:pPr>
  </w:style>
  <w:style w:type="paragraph" w:styleId="27">
    <w:name w:val="toc 3"/>
    <w:basedOn w:val="1"/>
    <w:next w:val="1"/>
    <w:unhideWhenUsed/>
    <w:qFormat/>
    <w:uiPriority w:val="0"/>
    <w:pPr>
      <w:ind w:left="840" w:leftChars="400"/>
    </w:pPr>
  </w:style>
  <w:style w:type="paragraph" w:styleId="28">
    <w:name w:val="Plain Text"/>
    <w:basedOn w:val="1"/>
    <w:next w:val="1"/>
    <w:link w:val="91"/>
    <w:qFormat/>
    <w:uiPriority w:val="0"/>
    <w:rPr>
      <w:rFonts w:ascii="宋体" w:hAnsi="Courier New"/>
      <w:kern w:val="0"/>
      <w:sz w:val="20"/>
      <w:szCs w:val="21"/>
    </w:rPr>
  </w:style>
  <w:style w:type="paragraph" w:styleId="29">
    <w:name w:val="toc 8"/>
    <w:basedOn w:val="1"/>
    <w:next w:val="1"/>
    <w:semiHidden/>
    <w:qFormat/>
    <w:uiPriority w:val="0"/>
    <w:pPr>
      <w:ind w:left="1470"/>
      <w:jc w:val="left"/>
    </w:pPr>
    <w:rPr>
      <w:rFonts w:ascii="Times New Roman" w:hAnsi="Times New Roman" w:eastAsia="宋体" w:cs="Times New Roman"/>
      <w:sz w:val="18"/>
      <w:szCs w:val="18"/>
    </w:rPr>
  </w:style>
  <w:style w:type="paragraph" w:styleId="30">
    <w:name w:val="Date"/>
    <w:basedOn w:val="1"/>
    <w:next w:val="1"/>
    <w:link w:val="92"/>
    <w:qFormat/>
    <w:uiPriority w:val="0"/>
    <w:pPr>
      <w:ind w:left="100" w:leftChars="2500"/>
    </w:pPr>
    <w:rPr>
      <w:sz w:val="24"/>
      <w:szCs w:val="24"/>
    </w:rPr>
  </w:style>
  <w:style w:type="paragraph" w:styleId="31">
    <w:name w:val="Body Text Indent 2"/>
    <w:basedOn w:val="1"/>
    <w:link w:val="93"/>
    <w:qFormat/>
    <w:uiPriority w:val="0"/>
    <w:pPr>
      <w:spacing w:line="420" w:lineRule="exact"/>
      <w:ind w:firstLine="409" w:firstLineChars="195"/>
    </w:pPr>
    <w:rPr>
      <w:rFonts w:ascii="Times New Roman" w:hAnsi="Times New Roman" w:eastAsia="宋体" w:cs="Times New Roman"/>
      <w:szCs w:val="24"/>
      <w:lang w:val="zh-CN" w:eastAsia="zh-CN"/>
    </w:rPr>
  </w:style>
  <w:style w:type="paragraph" w:styleId="32">
    <w:name w:val="Balloon Text"/>
    <w:basedOn w:val="1"/>
    <w:link w:val="73"/>
    <w:semiHidden/>
    <w:unhideWhenUsed/>
    <w:qFormat/>
    <w:uiPriority w:val="0"/>
    <w:rPr>
      <w:sz w:val="18"/>
      <w:szCs w:val="18"/>
    </w:rPr>
  </w:style>
  <w:style w:type="paragraph" w:styleId="33">
    <w:name w:val="header"/>
    <w:basedOn w:val="1"/>
    <w:link w:val="64"/>
    <w:unhideWhenUsed/>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unhideWhenUsed/>
    <w:qFormat/>
    <w:uiPriority w:val="39"/>
  </w:style>
  <w:style w:type="paragraph" w:styleId="35">
    <w:name w:val="toc 4"/>
    <w:basedOn w:val="1"/>
    <w:next w:val="1"/>
    <w:unhideWhenUsed/>
    <w:qFormat/>
    <w:uiPriority w:val="0"/>
    <w:pPr>
      <w:ind w:left="1260" w:leftChars="600"/>
    </w:pPr>
  </w:style>
  <w:style w:type="paragraph" w:styleId="36">
    <w:name w:val="Subtitle"/>
    <w:basedOn w:val="1"/>
    <w:next w:val="1"/>
    <w:link w:val="94"/>
    <w:qFormat/>
    <w:uiPriority w:val="0"/>
    <w:pPr>
      <w:spacing w:before="240" w:after="60" w:line="312" w:lineRule="auto"/>
      <w:jc w:val="center"/>
      <w:outlineLvl w:val="1"/>
    </w:pPr>
    <w:rPr>
      <w:rFonts w:ascii="Cambria" w:hAnsi="Cambria" w:eastAsia="Times New Roman" w:cs="Times New Roman"/>
      <w:b/>
      <w:bCs/>
      <w:kern w:val="28"/>
      <w:sz w:val="32"/>
      <w:szCs w:val="32"/>
      <w:lang w:val="en-US" w:eastAsia="zh-CN"/>
    </w:rPr>
  </w:style>
  <w:style w:type="paragraph" w:styleId="37">
    <w:name w:val="List"/>
    <w:basedOn w:val="1"/>
    <w:unhideWhenUsed/>
    <w:uiPriority w:val="0"/>
    <w:pPr>
      <w:adjustRightInd w:val="0"/>
      <w:spacing w:line="360" w:lineRule="atLeast"/>
      <w:ind w:left="420" w:hanging="420"/>
      <w:jc w:val="left"/>
    </w:pPr>
    <w:rPr>
      <w:rFonts w:ascii="宋体" w:hAnsi="Times New Roman" w:eastAsia="宋体" w:cs="Times New Roman"/>
      <w:kern w:val="0"/>
      <w:sz w:val="24"/>
      <w:szCs w:val="20"/>
    </w:rPr>
  </w:style>
  <w:style w:type="paragraph" w:styleId="38">
    <w:name w:val="footnote text"/>
    <w:basedOn w:val="1"/>
    <w:link w:val="95"/>
    <w:uiPriority w:val="0"/>
    <w:pPr>
      <w:adjustRightInd w:val="0"/>
      <w:snapToGrid w:val="0"/>
      <w:spacing w:line="312" w:lineRule="atLeast"/>
      <w:jc w:val="left"/>
      <w:textAlignment w:val="baseline"/>
    </w:pPr>
    <w:rPr>
      <w:rFonts w:ascii="Times New Roman" w:hAnsi="Times New Roman" w:eastAsia="宋体" w:cs="Times New Roman"/>
      <w:kern w:val="0"/>
      <w:sz w:val="18"/>
      <w:szCs w:val="18"/>
      <w:lang w:val="zh-CN" w:eastAsia="zh-CN"/>
    </w:rPr>
  </w:style>
  <w:style w:type="paragraph" w:styleId="39">
    <w:name w:val="toc 6"/>
    <w:basedOn w:val="1"/>
    <w:next w:val="1"/>
    <w:semiHidden/>
    <w:uiPriority w:val="0"/>
    <w:pPr>
      <w:ind w:left="1050"/>
      <w:jc w:val="left"/>
    </w:pPr>
    <w:rPr>
      <w:rFonts w:ascii="Times New Roman" w:hAnsi="Times New Roman" w:eastAsia="宋体" w:cs="Times New Roman"/>
      <w:sz w:val="18"/>
      <w:szCs w:val="18"/>
    </w:rPr>
  </w:style>
  <w:style w:type="paragraph" w:styleId="40">
    <w:name w:val="List 5"/>
    <w:basedOn w:val="1"/>
    <w:qFormat/>
    <w:uiPriority w:val="0"/>
    <w:pPr>
      <w:ind w:left="2100" w:hanging="420"/>
    </w:pPr>
    <w:rPr>
      <w:rFonts w:ascii="Times New Roman" w:hAnsi="Times New Roman" w:eastAsia="宋体" w:cs="Times New Roman"/>
      <w:szCs w:val="20"/>
    </w:rPr>
  </w:style>
  <w:style w:type="paragraph" w:styleId="41">
    <w:name w:val="Body Text Indent 3"/>
    <w:basedOn w:val="1"/>
    <w:link w:val="96"/>
    <w:uiPriority w:val="0"/>
    <w:pPr>
      <w:spacing w:line="480" w:lineRule="exact"/>
      <w:ind w:firstLine="420" w:firstLineChars="200"/>
    </w:pPr>
    <w:rPr>
      <w:rFonts w:ascii="宋体" w:hAnsi="Courier New" w:eastAsia="宋体" w:cs="Times New Roman"/>
      <w:szCs w:val="24"/>
      <w:lang w:val="zh-CN" w:eastAsia="zh-CN"/>
    </w:rPr>
  </w:style>
  <w:style w:type="paragraph" w:styleId="42">
    <w:name w:val="toc 2"/>
    <w:basedOn w:val="1"/>
    <w:next w:val="1"/>
    <w:qFormat/>
    <w:uiPriority w:val="39"/>
    <w:pPr>
      <w:tabs>
        <w:tab w:val="right" w:leader="dot" w:pos="9491"/>
      </w:tabs>
      <w:ind w:left="210"/>
      <w:jc w:val="left"/>
    </w:pPr>
    <w:rPr>
      <w:rFonts w:ascii="宋体" w:hAnsi="宋体"/>
      <w:smallCaps/>
      <w:color w:val="000000"/>
      <w:sz w:val="20"/>
      <w:szCs w:val="20"/>
    </w:rPr>
  </w:style>
  <w:style w:type="paragraph" w:styleId="43">
    <w:name w:val="toc 9"/>
    <w:basedOn w:val="1"/>
    <w:next w:val="1"/>
    <w:semiHidden/>
    <w:uiPriority w:val="0"/>
    <w:pPr>
      <w:ind w:left="1680"/>
      <w:jc w:val="left"/>
    </w:pPr>
    <w:rPr>
      <w:rFonts w:ascii="Times New Roman" w:hAnsi="Times New Roman" w:eastAsia="宋体" w:cs="Times New Roman"/>
      <w:sz w:val="18"/>
      <w:szCs w:val="18"/>
    </w:rPr>
  </w:style>
  <w:style w:type="paragraph" w:styleId="44">
    <w:name w:val="Body Text 2"/>
    <w:basedOn w:val="1"/>
    <w:link w:val="97"/>
    <w:uiPriority w:val="0"/>
    <w:pPr>
      <w:spacing w:line="280" w:lineRule="exact"/>
      <w:jc w:val="center"/>
    </w:pPr>
    <w:rPr>
      <w:rFonts w:ascii="Times New Roman" w:hAnsi="Times New Roman" w:eastAsia="宋体" w:cs="Times New Roman"/>
      <w:szCs w:val="24"/>
      <w:lang w:val="zh-CN" w:eastAsia="zh-CN"/>
    </w:rPr>
  </w:style>
  <w:style w:type="paragraph" w:styleId="45">
    <w:name w:val="Normal (Web)"/>
    <w:basedOn w:val="1"/>
    <w:next w:val="1"/>
    <w:qFormat/>
    <w:uiPriority w:val="0"/>
    <w:pPr>
      <w:widowControl/>
      <w:spacing w:before="100" w:beforeAutospacing="1" w:after="100" w:afterAutospacing="1"/>
      <w:jc w:val="left"/>
    </w:pPr>
    <w:rPr>
      <w:rFonts w:hint="eastAsia" w:ascii="宋体" w:hAnsi="宋体"/>
      <w:kern w:val="0"/>
      <w:sz w:val="24"/>
    </w:rPr>
  </w:style>
  <w:style w:type="paragraph" w:styleId="46">
    <w:name w:val="index 1"/>
    <w:basedOn w:val="1"/>
    <w:next w:val="1"/>
    <w:unhideWhenUsed/>
    <w:uiPriority w:val="0"/>
    <w:pPr>
      <w:spacing w:line="220" w:lineRule="exact"/>
      <w:jc w:val="center"/>
    </w:pPr>
    <w:rPr>
      <w:rFonts w:ascii="仿宋_GB2312" w:hAnsi="Times New Roman" w:eastAsia="仿宋_GB2312" w:cs="Times New Roman"/>
      <w:szCs w:val="21"/>
    </w:rPr>
  </w:style>
  <w:style w:type="paragraph" w:styleId="47">
    <w:name w:val="Title"/>
    <w:basedOn w:val="1"/>
    <w:next w:val="1"/>
    <w:link w:val="98"/>
    <w:qFormat/>
    <w:uiPriority w:val="0"/>
    <w:pPr>
      <w:spacing w:before="240" w:after="60"/>
      <w:jc w:val="center"/>
      <w:outlineLvl w:val="0"/>
    </w:pPr>
    <w:rPr>
      <w:rFonts w:ascii="Cambria" w:hAnsi="Cambria" w:eastAsia="Times New Roman" w:cs="Times New Roman"/>
      <w:b/>
      <w:bCs/>
      <w:sz w:val="32"/>
      <w:szCs w:val="32"/>
      <w:lang w:val="en-US" w:eastAsia="zh-CN"/>
    </w:rPr>
  </w:style>
  <w:style w:type="paragraph" w:styleId="48">
    <w:name w:val="annotation subject"/>
    <w:basedOn w:val="19"/>
    <w:next w:val="19"/>
    <w:link w:val="72"/>
    <w:semiHidden/>
    <w:unhideWhenUsed/>
    <w:qFormat/>
    <w:uiPriority w:val="0"/>
    <w:rPr>
      <w:b/>
      <w:bCs/>
    </w:rPr>
  </w:style>
  <w:style w:type="character" w:styleId="51">
    <w:name w:val="Strong"/>
    <w:qFormat/>
    <w:uiPriority w:val="0"/>
    <w:rPr>
      <w:b/>
      <w:bCs/>
    </w:rPr>
  </w:style>
  <w:style w:type="character" w:styleId="52">
    <w:name w:val="page number"/>
    <w:basedOn w:val="50"/>
    <w:qFormat/>
    <w:uiPriority w:val="0"/>
  </w:style>
  <w:style w:type="character" w:styleId="53">
    <w:name w:val="FollowedHyperlink"/>
    <w:uiPriority w:val="0"/>
    <w:rPr>
      <w:color w:val="800080"/>
      <w:u w:val="single"/>
    </w:rPr>
  </w:style>
  <w:style w:type="character" w:styleId="54">
    <w:name w:val="Emphasis"/>
    <w:qFormat/>
    <w:uiPriority w:val="0"/>
    <w:rPr>
      <w:i/>
      <w:iCs/>
    </w:rPr>
  </w:style>
  <w:style w:type="character" w:styleId="55">
    <w:name w:val="Hyperlink"/>
    <w:basedOn w:val="50"/>
    <w:unhideWhenUsed/>
    <w:qFormat/>
    <w:uiPriority w:val="99"/>
    <w:rPr>
      <w:color w:val="0000FF" w:themeColor="hyperlink"/>
      <w:u w:val="single"/>
      <w14:textFill>
        <w14:solidFill>
          <w14:schemeClr w14:val="hlink"/>
        </w14:solidFill>
      </w14:textFill>
    </w:rPr>
  </w:style>
  <w:style w:type="character" w:styleId="56">
    <w:name w:val="annotation reference"/>
    <w:basedOn w:val="50"/>
    <w:semiHidden/>
    <w:unhideWhenUsed/>
    <w:qFormat/>
    <w:uiPriority w:val="0"/>
    <w:rPr>
      <w:sz w:val="21"/>
      <w:szCs w:val="21"/>
    </w:rPr>
  </w:style>
  <w:style w:type="character" w:styleId="57">
    <w:name w:val="footnote reference"/>
    <w:semiHidden/>
    <w:uiPriority w:val="0"/>
    <w:rPr>
      <w:vertAlign w:val="superscript"/>
    </w:r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表格文字"/>
    <w:basedOn w:val="21"/>
    <w:qFormat/>
    <w:uiPriority w:val="0"/>
    <w:pPr>
      <w:spacing w:before="25" w:after="25"/>
      <w:jc w:val="left"/>
    </w:pPr>
    <w:rPr>
      <w:spacing w:val="10"/>
      <w:kern w:val="0"/>
      <w:sz w:val="24"/>
    </w:rPr>
  </w:style>
  <w:style w:type="character" w:customStyle="1" w:styleId="60">
    <w:name w:val="正文文本 Char"/>
    <w:basedOn w:val="50"/>
    <w:link w:val="21"/>
    <w:qFormat/>
    <w:uiPriority w:val="0"/>
  </w:style>
  <w:style w:type="paragraph" w:customStyle="1" w:styleId="61">
    <w:name w:val="Table Paragraph"/>
    <w:basedOn w:val="1"/>
    <w:qFormat/>
    <w:uiPriority w:val="1"/>
    <w:rPr>
      <w:rFonts w:ascii="Calibri" w:hAnsi="Calibri" w:eastAsia="宋体" w:cs="Times New Roman"/>
      <w:szCs w:val="24"/>
    </w:rPr>
  </w:style>
  <w:style w:type="character" w:customStyle="1" w:styleId="62">
    <w:name w:val="标题 1 Char"/>
    <w:basedOn w:val="50"/>
    <w:link w:val="3"/>
    <w:qFormat/>
    <w:uiPriority w:val="0"/>
    <w:rPr>
      <w:b/>
      <w:bCs/>
      <w:kern w:val="44"/>
      <w:sz w:val="44"/>
      <w:szCs w:val="44"/>
    </w:rPr>
  </w:style>
  <w:style w:type="paragraph" w:styleId="63">
    <w:name w:val="List Paragraph"/>
    <w:basedOn w:val="1"/>
    <w:qFormat/>
    <w:uiPriority w:val="0"/>
    <w:pPr>
      <w:ind w:firstLine="420" w:firstLineChars="200"/>
    </w:pPr>
  </w:style>
  <w:style w:type="character" w:customStyle="1" w:styleId="64">
    <w:name w:val="页眉 Char"/>
    <w:basedOn w:val="50"/>
    <w:link w:val="33"/>
    <w:qFormat/>
    <w:uiPriority w:val="99"/>
    <w:rPr>
      <w:sz w:val="18"/>
      <w:szCs w:val="18"/>
    </w:rPr>
  </w:style>
  <w:style w:type="character" w:customStyle="1" w:styleId="65">
    <w:name w:val="页脚 Char"/>
    <w:basedOn w:val="50"/>
    <w:link w:val="2"/>
    <w:qFormat/>
    <w:uiPriority w:val="0"/>
    <w:rPr>
      <w:sz w:val="18"/>
      <w:szCs w:val="18"/>
    </w:rPr>
  </w:style>
  <w:style w:type="paragraph" w:customStyle="1" w:styleId="66">
    <w:name w:val="bb"/>
    <w:basedOn w:val="1"/>
    <w:qFormat/>
    <w:uiPriority w:val="0"/>
    <w:pPr>
      <w:widowControl/>
      <w:spacing w:before="100" w:beforeAutospacing="1" w:after="100" w:afterAutospacing="1"/>
      <w:jc w:val="left"/>
    </w:pPr>
    <w:rPr>
      <w:rFonts w:hint="eastAsia" w:ascii="宋体" w:hAnsi="宋体"/>
      <w:kern w:val="0"/>
      <w:sz w:val="24"/>
    </w:rPr>
  </w:style>
  <w:style w:type="character" w:customStyle="1" w:styleId="67">
    <w:name w:val="font01"/>
    <w:basedOn w:val="50"/>
    <w:qFormat/>
    <w:uiPriority w:val="0"/>
    <w:rPr>
      <w:rFonts w:ascii="宋体" w:hAnsi="宋体" w:eastAsia="宋体" w:cs="宋体"/>
      <w:color w:val="000000"/>
      <w:sz w:val="32"/>
      <w:szCs w:val="32"/>
      <w:u w:val="none"/>
    </w:rPr>
  </w:style>
  <w:style w:type="character" w:customStyle="1" w:styleId="68">
    <w:name w:val="font31"/>
    <w:basedOn w:val="50"/>
    <w:qFormat/>
    <w:uiPriority w:val="0"/>
    <w:rPr>
      <w:rFonts w:ascii="宋体" w:hAnsi="宋体" w:eastAsia="宋体" w:cs="宋体"/>
      <w:color w:val="000000"/>
      <w:sz w:val="32"/>
      <w:szCs w:val="32"/>
      <w:u w:val="none"/>
    </w:rPr>
  </w:style>
  <w:style w:type="character" w:customStyle="1" w:styleId="69">
    <w:name w:val="font91"/>
    <w:basedOn w:val="50"/>
    <w:qFormat/>
    <w:uiPriority w:val="0"/>
    <w:rPr>
      <w:rFonts w:ascii="宋体" w:hAnsi="宋体" w:eastAsia="宋体" w:cs="宋体"/>
      <w:color w:val="000000"/>
      <w:sz w:val="28"/>
      <w:szCs w:val="28"/>
      <w:u w:val="none"/>
    </w:rPr>
  </w:style>
  <w:style w:type="character" w:customStyle="1" w:styleId="70">
    <w:name w:val="font101"/>
    <w:basedOn w:val="50"/>
    <w:qFormat/>
    <w:uiPriority w:val="0"/>
    <w:rPr>
      <w:rFonts w:ascii="宋体" w:hAnsi="宋体" w:eastAsia="宋体" w:cs="宋体"/>
      <w:color w:val="000000"/>
      <w:sz w:val="26"/>
      <w:szCs w:val="26"/>
      <w:u w:val="none"/>
    </w:rPr>
  </w:style>
  <w:style w:type="character" w:customStyle="1" w:styleId="71">
    <w:name w:val="批注文字 Char"/>
    <w:basedOn w:val="50"/>
    <w:link w:val="19"/>
    <w:semiHidden/>
    <w:qFormat/>
    <w:uiPriority w:val="0"/>
    <w:rPr>
      <w:rFonts w:asciiTheme="minorHAnsi" w:hAnsiTheme="minorHAnsi" w:eastAsiaTheme="minorEastAsia" w:cstheme="minorBidi"/>
      <w:kern w:val="2"/>
      <w:sz w:val="21"/>
      <w:szCs w:val="22"/>
    </w:rPr>
  </w:style>
  <w:style w:type="character" w:customStyle="1" w:styleId="72">
    <w:name w:val="批注主题 Char"/>
    <w:basedOn w:val="71"/>
    <w:link w:val="48"/>
    <w:semiHidden/>
    <w:qFormat/>
    <w:uiPriority w:val="0"/>
    <w:rPr>
      <w:rFonts w:asciiTheme="minorHAnsi" w:hAnsiTheme="minorHAnsi" w:eastAsiaTheme="minorEastAsia" w:cstheme="minorBidi"/>
      <w:b/>
      <w:bCs/>
      <w:kern w:val="2"/>
      <w:sz w:val="21"/>
      <w:szCs w:val="22"/>
    </w:rPr>
  </w:style>
  <w:style w:type="character" w:customStyle="1" w:styleId="73">
    <w:name w:val="批注框文本 Char"/>
    <w:basedOn w:val="50"/>
    <w:link w:val="32"/>
    <w:semiHidden/>
    <w:qFormat/>
    <w:uiPriority w:val="0"/>
    <w:rPr>
      <w:rFonts w:asciiTheme="minorHAnsi" w:hAnsiTheme="minorHAnsi" w:eastAsiaTheme="minorEastAsia" w:cstheme="minorBidi"/>
      <w:kern w:val="2"/>
      <w:sz w:val="18"/>
      <w:szCs w:val="18"/>
    </w:rPr>
  </w:style>
  <w:style w:type="paragraph" w:customStyle="1" w:styleId="74">
    <w:name w:val="正文A"/>
    <w:basedOn w:val="1"/>
    <w:qFormat/>
    <w:uiPriority w:val="0"/>
    <w:pPr>
      <w:adjustRightInd w:val="0"/>
      <w:snapToGrid w:val="0"/>
      <w:spacing w:beforeLines="50" w:line="360" w:lineRule="auto"/>
      <w:ind w:right="200" w:rightChars="200" w:firstLine="225" w:firstLineChars="225"/>
      <w:jc w:val="left"/>
    </w:pPr>
    <w:rPr>
      <w:rFonts w:ascii="Calibri" w:hAnsi="Calibri"/>
      <w:snapToGrid w:val="0"/>
      <w:color w:val="FF0000"/>
      <w:kern w:val="0"/>
      <w:sz w:val="24"/>
    </w:rPr>
  </w:style>
  <w:style w:type="paragraph" w:customStyle="1" w:styleId="75">
    <w:name w:val="(a)正文"/>
    <w:basedOn w:val="1"/>
    <w:qFormat/>
    <w:uiPriority w:val="0"/>
    <w:pPr>
      <w:widowControl/>
      <w:tabs>
        <w:tab w:val="left" w:pos="1871"/>
        <w:tab w:val="left" w:pos="2081"/>
      </w:tabs>
      <w:spacing w:line="360" w:lineRule="exact"/>
      <w:ind w:left="1871" w:hanging="510"/>
    </w:pPr>
    <w:rPr>
      <w:sz w:val="24"/>
      <w:szCs w:val="20"/>
    </w:rPr>
  </w:style>
  <w:style w:type="paragraph" w:styleId="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78">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9">
    <w:name w:val="标题 5 Char"/>
    <w:basedOn w:val="50"/>
    <w:link w:val="7"/>
    <w:uiPriority w:val="0"/>
    <w:rPr>
      <w:rFonts w:ascii="宋体" w:hAnsi="宋体"/>
      <w:b/>
      <w:sz w:val="24"/>
    </w:rPr>
  </w:style>
  <w:style w:type="character" w:customStyle="1" w:styleId="80">
    <w:name w:val="标题 6 Char"/>
    <w:basedOn w:val="50"/>
    <w:link w:val="8"/>
    <w:qFormat/>
    <w:uiPriority w:val="0"/>
    <w:rPr>
      <w:rFonts w:ascii="Arial" w:hAnsi="Arial" w:eastAsia="黑体"/>
      <w:b/>
      <w:bCs/>
      <w:sz w:val="24"/>
      <w:szCs w:val="24"/>
    </w:rPr>
  </w:style>
  <w:style w:type="character" w:customStyle="1" w:styleId="81">
    <w:name w:val="标题 7 Char"/>
    <w:basedOn w:val="50"/>
    <w:link w:val="9"/>
    <w:qFormat/>
    <w:uiPriority w:val="0"/>
    <w:rPr>
      <w:b/>
      <w:bCs/>
      <w:sz w:val="24"/>
      <w:szCs w:val="24"/>
    </w:rPr>
  </w:style>
  <w:style w:type="character" w:customStyle="1" w:styleId="82">
    <w:name w:val="标题 8 Char"/>
    <w:basedOn w:val="50"/>
    <w:link w:val="10"/>
    <w:uiPriority w:val="0"/>
    <w:rPr>
      <w:rFonts w:ascii="Arial" w:hAnsi="Arial" w:eastAsia="黑体"/>
      <w:sz w:val="24"/>
      <w:szCs w:val="24"/>
    </w:rPr>
  </w:style>
  <w:style w:type="character" w:customStyle="1" w:styleId="83">
    <w:name w:val="标题 9 Char"/>
    <w:basedOn w:val="50"/>
    <w:link w:val="11"/>
    <w:qFormat/>
    <w:uiPriority w:val="0"/>
    <w:rPr>
      <w:rFonts w:ascii="Arial" w:hAnsi="Arial" w:eastAsia="黑体"/>
      <w:sz w:val="21"/>
      <w:szCs w:val="21"/>
    </w:rPr>
  </w:style>
  <w:style w:type="character" w:customStyle="1" w:styleId="84">
    <w:name w:val="标题 2 Char"/>
    <w:link w:val="4"/>
    <w:qFormat/>
    <w:uiPriority w:val="0"/>
    <w:rPr>
      <w:rFonts w:ascii="Arial" w:hAnsi="Arial" w:eastAsia="黑体" w:cstheme="minorBidi"/>
      <w:b/>
      <w:bCs/>
      <w:kern w:val="2"/>
      <w:sz w:val="32"/>
      <w:szCs w:val="32"/>
    </w:rPr>
  </w:style>
  <w:style w:type="character" w:customStyle="1" w:styleId="85">
    <w:name w:val="正文缩进 Char"/>
    <w:link w:val="14"/>
    <w:qFormat/>
    <w:uiPriority w:val="0"/>
  </w:style>
  <w:style w:type="character" w:customStyle="1" w:styleId="86">
    <w:name w:val="标题 3 Char"/>
    <w:link w:val="5"/>
    <w:qFormat/>
    <w:uiPriority w:val="0"/>
    <w:rPr>
      <w:rFonts w:eastAsia="黑体" w:asciiTheme="minorHAnsi" w:hAnsiTheme="minorHAnsi" w:cstheme="minorBidi"/>
      <w:b/>
      <w:bCs/>
      <w:kern w:val="2"/>
      <w:sz w:val="21"/>
      <w:szCs w:val="32"/>
      <w:lang w:val="zh-CN"/>
    </w:rPr>
  </w:style>
  <w:style w:type="character" w:customStyle="1" w:styleId="87">
    <w:name w:val="标题 4 Char"/>
    <w:link w:val="6"/>
    <w:qFormat/>
    <w:uiPriority w:val="0"/>
    <w:rPr>
      <w:rFonts w:ascii="宋体" w:hAnsi="宋体" w:eastAsiaTheme="minorEastAsia" w:cstheme="majorBidi"/>
      <w:b/>
      <w:kern w:val="2"/>
      <w:sz w:val="28"/>
      <w:szCs w:val="28"/>
    </w:rPr>
  </w:style>
  <w:style w:type="character" w:customStyle="1" w:styleId="88">
    <w:name w:val="文档结构图 Char"/>
    <w:basedOn w:val="50"/>
    <w:link w:val="18"/>
    <w:semiHidden/>
    <w:qFormat/>
    <w:uiPriority w:val="0"/>
    <w:rPr>
      <w:shd w:val="clear" w:color="auto" w:fill="000080"/>
      <w:lang w:val="zh-CN" w:eastAsia="zh-CN"/>
    </w:rPr>
  </w:style>
  <w:style w:type="character" w:customStyle="1" w:styleId="89">
    <w:name w:val="正文文本 3 Char"/>
    <w:basedOn w:val="50"/>
    <w:link w:val="20"/>
    <w:qFormat/>
    <w:uiPriority w:val="0"/>
    <w:rPr>
      <w:kern w:val="2"/>
      <w:sz w:val="16"/>
      <w:szCs w:val="16"/>
      <w:lang w:val="zh-CN" w:eastAsia="zh-CN"/>
    </w:rPr>
  </w:style>
  <w:style w:type="character" w:customStyle="1" w:styleId="90">
    <w:name w:val="正文文本缩进 Char"/>
    <w:link w:val="22"/>
    <w:qFormat/>
    <w:uiPriority w:val="0"/>
    <w:rPr>
      <w:rFonts w:ascii="仿宋_GB2312" w:eastAsia="仿宋_GB2312" w:hAnsiTheme="minorHAnsi" w:cstheme="minorBidi"/>
      <w:sz w:val="32"/>
    </w:rPr>
  </w:style>
  <w:style w:type="character" w:customStyle="1" w:styleId="91">
    <w:name w:val="纯文本 Char"/>
    <w:link w:val="28"/>
    <w:qFormat/>
    <w:locked/>
    <w:uiPriority w:val="0"/>
    <w:rPr>
      <w:rFonts w:ascii="宋体" w:hAnsi="Courier New" w:eastAsiaTheme="minorEastAsia" w:cstheme="minorBidi"/>
      <w:szCs w:val="21"/>
    </w:rPr>
  </w:style>
  <w:style w:type="character" w:customStyle="1" w:styleId="92">
    <w:name w:val="日期 Char"/>
    <w:link w:val="30"/>
    <w:qFormat/>
    <w:uiPriority w:val="0"/>
    <w:rPr>
      <w:rFonts w:asciiTheme="minorHAnsi" w:hAnsiTheme="minorHAnsi" w:eastAsiaTheme="minorEastAsia" w:cstheme="minorBidi"/>
      <w:kern w:val="2"/>
      <w:sz w:val="24"/>
      <w:szCs w:val="24"/>
    </w:rPr>
  </w:style>
  <w:style w:type="character" w:customStyle="1" w:styleId="93">
    <w:name w:val="正文文本缩进 2 Char"/>
    <w:basedOn w:val="50"/>
    <w:link w:val="31"/>
    <w:qFormat/>
    <w:uiPriority w:val="0"/>
    <w:rPr>
      <w:kern w:val="2"/>
      <w:sz w:val="21"/>
      <w:szCs w:val="24"/>
      <w:lang w:val="zh-CN" w:eastAsia="zh-CN"/>
    </w:rPr>
  </w:style>
  <w:style w:type="character" w:customStyle="1" w:styleId="94">
    <w:name w:val="副标题 Char"/>
    <w:basedOn w:val="50"/>
    <w:link w:val="36"/>
    <w:qFormat/>
    <w:uiPriority w:val="0"/>
    <w:rPr>
      <w:rFonts w:ascii="Cambria" w:hAnsi="Cambria" w:eastAsia="Times New Roman"/>
      <w:b/>
      <w:bCs/>
      <w:kern w:val="28"/>
      <w:sz w:val="32"/>
      <w:szCs w:val="32"/>
      <w:lang w:val="en-US" w:eastAsia="zh-CN"/>
    </w:rPr>
  </w:style>
  <w:style w:type="character" w:customStyle="1" w:styleId="95">
    <w:name w:val="脚注文本 Char"/>
    <w:basedOn w:val="50"/>
    <w:link w:val="38"/>
    <w:qFormat/>
    <w:uiPriority w:val="0"/>
    <w:rPr>
      <w:sz w:val="18"/>
      <w:szCs w:val="18"/>
      <w:lang w:val="zh-CN" w:eastAsia="zh-CN"/>
    </w:rPr>
  </w:style>
  <w:style w:type="character" w:customStyle="1" w:styleId="96">
    <w:name w:val="正文文本缩进 3 Char"/>
    <w:basedOn w:val="50"/>
    <w:link w:val="41"/>
    <w:qFormat/>
    <w:uiPriority w:val="0"/>
    <w:rPr>
      <w:rFonts w:ascii="宋体" w:hAnsi="Courier New"/>
      <w:kern w:val="2"/>
      <w:sz w:val="21"/>
      <w:szCs w:val="24"/>
      <w:lang w:val="zh-CN" w:eastAsia="zh-CN"/>
    </w:rPr>
  </w:style>
  <w:style w:type="character" w:customStyle="1" w:styleId="97">
    <w:name w:val="正文文本 2 Char"/>
    <w:basedOn w:val="50"/>
    <w:link w:val="44"/>
    <w:qFormat/>
    <w:uiPriority w:val="0"/>
    <w:rPr>
      <w:kern w:val="2"/>
      <w:sz w:val="21"/>
      <w:szCs w:val="24"/>
      <w:lang w:val="zh-CN" w:eastAsia="zh-CN"/>
    </w:rPr>
  </w:style>
  <w:style w:type="character" w:customStyle="1" w:styleId="98">
    <w:name w:val="标题 Char"/>
    <w:basedOn w:val="50"/>
    <w:link w:val="47"/>
    <w:qFormat/>
    <w:uiPriority w:val="0"/>
    <w:rPr>
      <w:rFonts w:ascii="Cambria" w:hAnsi="Cambria" w:eastAsia="Times New Roman"/>
      <w:b/>
      <w:bCs/>
      <w:kern w:val="2"/>
      <w:sz w:val="32"/>
      <w:szCs w:val="32"/>
      <w:lang w:val="en-US" w:eastAsia="zh-CN"/>
    </w:rPr>
  </w:style>
  <w:style w:type="character" w:customStyle="1" w:styleId="99">
    <w:name w:val="ca-11"/>
    <w:qFormat/>
    <w:uiPriority w:val="0"/>
    <w:rPr>
      <w:rFonts w:hint="eastAsia" w:ascii="宋体" w:hAnsi="宋体" w:eastAsia="宋体"/>
      <w:sz w:val="21"/>
      <w:szCs w:val="21"/>
    </w:rPr>
  </w:style>
  <w:style w:type="character" w:customStyle="1" w:styleId="100">
    <w:name w:val="日期 Char1"/>
    <w:qFormat/>
    <w:uiPriority w:val="0"/>
    <w:rPr>
      <w:kern w:val="2"/>
      <w:sz w:val="21"/>
      <w:szCs w:val="22"/>
    </w:rPr>
  </w:style>
  <w:style w:type="character" w:customStyle="1" w:styleId="101">
    <w:name w:val="Char Char15"/>
    <w:qFormat/>
    <w:locked/>
    <w:uiPriority w:val="0"/>
    <w:rPr>
      <w:rFonts w:ascii="宋体" w:eastAsia="宋体"/>
      <w:b/>
      <w:bCs/>
      <w:kern w:val="2"/>
      <w:sz w:val="24"/>
      <w:szCs w:val="24"/>
      <w:lang w:val="en-GB" w:eastAsia="zh-CN" w:bidi="ar-SA"/>
    </w:rPr>
  </w:style>
  <w:style w:type="character" w:customStyle="1" w:styleId="102">
    <w:name w:val=" Char Char6"/>
    <w:qFormat/>
    <w:uiPriority w:val="0"/>
    <w:rPr>
      <w:sz w:val="18"/>
      <w:szCs w:val="18"/>
      <w:lang w:bidi="ar-SA"/>
    </w:rPr>
  </w:style>
  <w:style w:type="character" w:customStyle="1" w:styleId="103">
    <w:name w:val="Char Char18"/>
    <w:qFormat/>
    <w:locked/>
    <w:uiPriority w:val="0"/>
    <w:rPr>
      <w:rFonts w:ascii="Arial" w:hAnsi="Arial" w:eastAsia="黑体"/>
      <w:b/>
      <w:bCs/>
      <w:sz w:val="24"/>
      <w:lang w:val="en-US" w:eastAsia="zh-CN" w:bidi="ar-SA"/>
    </w:rPr>
  </w:style>
  <w:style w:type="character" w:customStyle="1" w:styleId="104">
    <w:name w:val="Char Char211"/>
    <w:semiHidden/>
    <w:qFormat/>
    <w:locked/>
    <w:uiPriority w:val="0"/>
    <w:rPr>
      <w:rFonts w:ascii="宋体" w:eastAsia="宋体" w:cs="宋体"/>
      <w:color w:val="000000"/>
      <w:sz w:val="24"/>
      <w:szCs w:val="24"/>
    </w:rPr>
  </w:style>
  <w:style w:type="character" w:customStyle="1" w:styleId="105">
    <w:name w:val="Char Char13"/>
    <w:qFormat/>
    <w:locked/>
    <w:uiPriority w:val="0"/>
    <w:rPr>
      <w:rFonts w:ascii="Arial" w:hAnsi="Arial" w:eastAsia="黑体"/>
      <w:kern w:val="2"/>
      <w:sz w:val="24"/>
      <w:szCs w:val="21"/>
      <w:lang w:val="en-GB" w:eastAsia="zh-CN" w:bidi="ar-SA"/>
    </w:rPr>
  </w:style>
  <w:style w:type="character" w:customStyle="1" w:styleId="106">
    <w:name w:val=" Char Char18"/>
    <w:qFormat/>
    <w:uiPriority w:val="0"/>
    <w:rPr>
      <w:rFonts w:ascii="Arial" w:hAnsi="Arial" w:eastAsia="黑体"/>
      <w:b/>
      <w:bCs/>
      <w:kern w:val="2"/>
      <w:sz w:val="32"/>
      <w:szCs w:val="32"/>
      <w:lang w:val="en-US" w:eastAsia="zh-CN" w:bidi="ar-SA"/>
    </w:rPr>
  </w:style>
  <w:style w:type="character" w:customStyle="1" w:styleId="107">
    <w:name w:val="标题 3 Char Char Char"/>
    <w:qFormat/>
    <w:uiPriority w:val="0"/>
    <w:rPr>
      <w:rFonts w:ascii="宋体" w:hAnsi="宋体" w:eastAsia="宋体"/>
      <w:b/>
      <w:bCs/>
      <w:sz w:val="24"/>
      <w:szCs w:val="32"/>
      <w:lang w:val="en-US" w:eastAsia="zh-CN" w:bidi="ar-SA"/>
    </w:rPr>
  </w:style>
  <w:style w:type="character" w:customStyle="1" w:styleId="108">
    <w:name w:val="正文文本 Char1"/>
    <w:qFormat/>
    <w:uiPriority w:val="0"/>
    <w:rPr>
      <w:kern w:val="2"/>
      <w:sz w:val="21"/>
      <w:szCs w:val="22"/>
    </w:rPr>
  </w:style>
  <w:style w:type="character" w:customStyle="1" w:styleId="109">
    <w:name w:val="textcontents"/>
    <w:qFormat/>
    <w:uiPriority w:val="0"/>
    <w:rPr>
      <w:rFonts w:cs="Times New Roman"/>
    </w:rPr>
  </w:style>
  <w:style w:type="character" w:customStyle="1" w:styleId="110">
    <w:name w:val="Char Char19"/>
    <w:qFormat/>
    <w:locked/>
    <w:uiPriority w:val="0"/>
    <w:rPr>
      <w:rFonts w:ascii="宋体" w:hAnsi="宋体" w:eastAsia="宋体" w:cs="宋体"/>
      <w:b/>
      <w:bCs/>
      <w:sz w:val="24"/>
      <w:szCs w:val="32"/>
      <w:lang w:val="en-US" w:eastAsia="zh-CN" w:bidi="ar-SA"/>
    </w:rPr>
  </w:style>
  <w:style w:type="character" w:customStyle="1" w:styleId="111">
    <w:name w:val="Char Char12"/>
    <w:qFormat/>
    <w:locked/>
    <w:uiPriority w:val="0"/>
    <w:rPr>
      <w:rFonts w:ascii="宋体" w:hAnsi="宋体" w:eastAsia="宋体"/>
      <w:b/>
      <w:bCs/>
      <w:sz w:val="21"/>
      <w:lang w:val="en-US" w:eastAsia="zh-CN" w:bidi="ar-SA"/>
    </w:rPr>
  </w:style>
  <w:style w:type="character" w:customStyle="1" w:styleId="112">
    <w:name w:val=" Char Char7"/>
    <w:qFormat/>
    <w:uiPriority w:val="0"/>
    <w:rPr>
      <w:rFonts w:ascii="宋体" w:eastAsia="宋体"/>
      <w:sz w:val="24"/>
      <w:lang w:val="en-US" w:eastAsia="zh-CN" w:bidi="ar-SA"/>
    </w:rPr>
  </w:style>
  <w:style w:type="character" w:customStyle="1" w:styleId="113">
    <w:name w:val="Char Char17"/>
    <w:qFormat/>
    <w:locked/>
    <w:uiPriority w:val="0"/>
    <w:rPr>
      <w:rFonts w:eastAsia="宋体"/>
      <w:b/>
      <w:bCs/>
      <w:sz w:val="28"/>
      <w:szCs w:val="28"/>
      <w:lang w:val="en-US" w:eastAsia="zh-CN" w:bidi="ar-SA"/>
    </w:rPr>
  </w:style>
  <w:style w:type="character" w:customStyle="1" w:styleId="114">
    <w:name w:val="Char Char14"/>
    <w:qFormat/>
    <w:locked/>
    <w:uiPriority w:val="0"/>
    <w:rPr>
      <w:rFonts w:ascii="Arial" w:hAnsi="Arial" w:eastAsia="黑体"/>
      <w:kern w:val="2"/>
      <w:sz w:val="24"/>
      <w:szCs w:val="24"/>
      <w:lang w:val="en-GB" w:eastAsia="zh-CN" w:bidi="ar-SA"/>
    </w:rPr>
  </w:style>
  <w:style w:type="character" w:customStyle="1" w:styleId="115">
    <w:name w:val="文档结构图 Char1"/>
    <w:qFormat/>
    <w:uiPriority w:val="0"/>
    <w:rPr>
      <w:rFonts w:ascii="宋体"/>
      <w:kern w:val="2"/>
      <w:sz w:val="18"/>
      <w:szCs w:val="18"/>
    </w:rPr>
  </w:style>
  <w:style w:type="character" w:customStyle="1" w:styleId="116">
    <w:name w:val="Char Char4"/>
    <w:qFormat/>
    <w:locked/>
    <w:uiPriority w:val="0"/>
    <w:rPr>
      <w:rFonts w:ascii="宋体" w:hAnsi="宋体" w:eastAsia="宋体"/>
      <w:kern w:val="2"/>
      <w:sz w:val="24"/>
      <w:lang w:val="en-US" w:eastAsia="zh-CN" w:bidi="ar-SA"/>
    </w:rPr>
  </w:style>
  <w:style w:type="character" w:customStyle="1" w:styleId="117">
    <w:name w:val="批注框文本 Char1"/>
    <w:qFormat/>
    <w:uiPriority w:val="0"/>
    <w:rPr>
      <w:kern w:val="2"/>
      <w:sz w:val="18"/>
      <w:szCs w:val="18"/>
    </w:rPr>
  </w:style>
  <w:style w:type="character" w:customStyle="1" w:styleId="118">
    <w:name w:val="标题5 Char Char"/>
    <w:link w:val="119"/>
    <w:qFormat/>
    <w:uiPriority w:val="0"/>
    <w:rPr>
      <w:rFonts w:ascii="Arial" w:hAnsi="Arial"/>
      <w:b/>
      <w:bCs/>
      <w:sz w:val="24"/>
      <w:szCs w:val="32"/>
    </w:rPr>
  </w:style>
  <w:style w:type="paragraph" w:customStyle="1" w:styleId="119">
    <w:name w:val="标题5"/>
    <w:basedOn w:val="5"/>
    <w:link w:val="118"/>
    <w:qFormat/>
    <w:uiPriority w:val="0"/>
    <w:pPr>
      <w:spacing w:before="260" w:after="260" w:line="413" w:lineRule="auto"/>
    </w:pPr>
    <w:rPr>
      <w:rFonts w:ascii="Arial" w:hAnsi="Arial" w:eastAsia="宋体" w:cs="Times New Roman"/>
      <w:kern w:val="0"/>
      <w:sz w:val="24"/>
      <w:lang w:val="en-US"/>
    </w:rPr>
  </w:style>
  <w:style w:type="character" w:customStyle="1" w:styleId="120">
    <w:name w:val="Intense Emphasis"/>
    <w:qFormat/>
    <w:uiPriority w:val="0"/>
    <w:rPr>
      <w:b/>
      <w:bCs/>
      <w:i/>
      <w:iCs/>
      <w:color w:val="4F81BD"/>
    </w:rPr>
  </w:style>
  <w:style w:type="character" w:customStyle="1" w:styleId="121">
    <w:name w:val="Para head"/>
    <w:qFormat/>
    <w:uiPriority w:val="0"/>
    <w:rPr>
      <w:rFonts w:ascii="Arial" w:hAnsi="Arial" w:eastAsia="Times New Roman"/>
      <w:sz w:val="20"/>
    </w:rPr>
  </w:style>
  <w:style w:type="character" w:customStyle="1" w:styleId="122">
    <w:name w:val="批注主题 Char1"/>
    <w:qFormat/>
    <w:uiPriority w:val="0"/>
    <w:rPr>
      <w:b/>
      <w:bCs/>
      <w:kern w:val="2"/>
      <w:sz w:val="21"/>
      <w:szCs w:val="22"/>
    </w:rPr>
  </w:style>
  <w:style w:type="character" w:customStyle="1" w:styleId="123">
    <w:name w:val="Char Char21"/>
    <w:qFormat/>
    <w:locked/>
    <w:uiPriority w:val="0"/>
    <w:rPr>
      <w:rFonts w:eastAsia="黑体"/>
      <w:b/>
      <w:bCs/>
      <w:kern w:val="44"/>
      <w:sz w:val="36"/>
      <w:szCs w:val="36"/>
      <w:lang w:val="en-US" w:eastAsia="zh-CN" w:bidi="ar-SA"/>
    </w:rPr>
  </w:style>
  <w:style w:type="character" w:customStyle="1" w:styleId="124">
    <w:name w:val="Char Char61"/>
    <w:qFormat/>
    <w:uiPriority w:val="0"/>
    <w:rPr>
      <w:sz w:val="18"/>
      <w:szCs w:val="18"/>
      <w:lang w:bidi="ar-SA"/>
    </w:rPr>
  </w:style>
  <w:style w:type="character" w:customStyle="1" w:styleId="125">
    <w:name w:val="Char Char16"/>
    <w:qFormat/>
    <w:locked/>
    <w:uiPriority w:val="0"/>
    <w:rPr>
      <w:rFonts w:ascii="Cambria" w:hAnsi="Cambria" w:eastAsia="宋体" w:cs="宋体"/>
      <w:b/>
      <w:bCs/>
      <w:kern w:val="2"/>
      <w:sz w:val="24"/>
      <w:szCs w:val="24"/>
      <w:lang w:val="en-US" w:eastAsia="zh-CN" w:bidi="ar-SA"/>
    </w:rPr>
  </w:style>
  <w:style w:type="character" w:customStyle="1" w:styleId="126">
    <w:name w:val="Char Char10"/>
    <w:qFormat/>
    <w:uiPriority w:val="0"/>
    <w:rPr>
      <w:rFonts w:hint="eastAsia" w:ascii="宋体" w:hAnsi="宋体" w:eastAsia="宋体"/>
      <w:b/>
      <w:bCs/>
      <w:sz w:val="21"/>
      <w:szCs w:val="18"/>
      <w:lang w:val="en-US" w:eastAsia="zh-CN" w:bidi="ar-SA"/>
    </w:rPr>
  </w:style>
  <w:style w:type="character" w:customStyle="1" w:styleId="127">
    <w:name w:val="引用 Char"/>
    <w:link w:val="128"/>
    <w:qFormat/>
    <w:uiPriority w:val="0"/>
    <w:rPr>
      <w:i/>
      <w:iCs/>
      <w:color w:val="000000"/>
      <w:kern w:val="2"/>
      <w:sz w:val="21"/>
      <w:szCs w:val="22"/>
    </w:rPr>
  </w:style>
  <w:style w:type="paragraph" w:styleId="128">
    <w:name w:val="Quote"/>
    <w:basedOn w:val="1"/>
    <w:next w:val="1"/>
    <w:link w:val="127"/>
    <w:qFormat/>
    <w:uiPriority w:val="0"/>
    <w:rPr>
      <w:rFonts w:ascii="Times New Roman" w:hAnsi="Times New Roman" w:eastAsia="宋体" w:cs="Times New Roman"/>
      <w:i/>
      <w:iCs/>
      <w:color w:val="000000"/>
    </w:rPr>
  </w:style>
  <w:style w:type="character" w:customStyle="1" w:styleId="129">
    <w:name w:val="引用 Char1"/>
    <w:basedOn w:val="50"/>
    <w:qFormat/>
    <w:uiPriority w:val="29"/>
    <w:rPr>
      <w:rFonts w:asciiTheme="minorHAnsi" w:hAnsiTheme="minorHAnsi" w:eastAsiaTheme="minorEastAsia" w:cstheme="minorBidi"/>
      <w:i/>
      <w:iCs/>
      <w:color w:val="000000" w:themeColor="text1"/>
      <w:kern w:val="2"/>
      <w:sz w:val="21"/>
      <w:szCs w:val="22"/>
      <w14:textFill>
        <w14:solidFill>
          <w14:schemeClr w14:val="tx1"/>
        </w14:solidFill>
      </w14:textFill>
    </w:rPr>
  </w:style>
  <w:style w:type="character" w:customStyle="1" w:styleId="130">
    <w:name w:val="Char Char20"/>
    <w:qFormat/>
    <w:locked/>
    <w:uiPriority w:val="0"/>
    <w:rPr>
      <w:rFonts w:ascii="Arial" w:hAnsi="Arial" w:eastAsia="黑体"/>
      <w:b/>
      <w:bCs/>
      <w:kern w:val="2"/>
      <w:sz w:val="32"/>
      <w:szCs w:val="32"/>
      <w:lang w:val="en-US" w:eastAsia="zh-CN" w:bidi="ar-SA"/>
    </w:rPr>
  </w:style>
  <w:style w:type="character" w:customStyle="1" w:styleId="131">
    <w:name w:val="Char Char3"/>
    <w:qFormat/>
    <w:locked/>
    <w:uiPriority w:val="0"/>
    <w:rPr>
      <w:rFonts w:ascii="宋体" w:hAnsi="宋体" w:eastAsia="宋体"/>
      <w:sz w:val="24"/>
      <w:lang w:val="en-US" w:eastAsia="zh-CN" w:bidi="ar-SA"/>
    </w:rPr>
  </w:style>
  <w:style w:type="character" w:customStyle="1" w:styleId="132">
    <w:name w:val="Char Char11"/>
    <w:qFormat/>
    <w:locked/>
    <w:uiPriority w:val="0"/>
    <w:rPr>
      <w:rFonts w:ascii="宋体" w:hAnsi="宋体" w:eastAsia="宋体"/>
      <w:color w:val="0000FF"/>
      <w:sz w:val="24"/>
      <w:lang w:val="en-US" w:eastAsia="zh-CN" w:bidi="ar-SA"/>
    </w:rPr>
  </w:style>
  <w:style w:type="character" w:customStyle="1" w:styleId="133">
    <w:name w:val="Char Char2"/>
    <w:semiHidden/>
    <w:qFormat/>
    <w:locked/>
    <w:uiPriority w:val="0"/>
    <w:rPr>
      <w:rFonts w:ascii="宋体" w:eastAsia="宋体" w:cs="宋体"/>
      <w:color w:val="000000"/>
      <w:sz w:val="24"/>
      <w:szCs w:val="24"/>
    </w:rPr>
  </w:style>
  <w:style w:type="character" w:customStyle="1" w:styleId="134">
    <w:name w:val="纯文本 Char1"/>
    <w:qFormat/>
    <w:locked/>
    <w:uiPriority w:val="0"/>
    <w:rPr>
      <w:rFonts w:ascii="宋体" w:hAnsi="Courier New" w:eastAsia="宋体"/>
      <w:kern w:val="2"/>
      <w:sz w:val="21"/>
      <w:lang w:val="en-US" w:eastAsia="zh-CN" w:bidi="ar-SA"/>
    </w:rPr>
  </w:style>
  <w:style w:type="character" w:customStyle="1" w:styleId="135">
    <w:name w:val="普通文字 Char Char5"/>
    <w:qFormat/>
    <w:uiPriority w:val="0"/>
    <w:rPr>
      <w:rFonts w:ascii="宋体" w:hAnsi="Courier New" w:eastAsia="宋体"/>
      <w:szCs w:val="21"/>
      <w:lang w:bidi="ar-SA"/>
    </w:rPr>
  </w:style>
  <w:style w:type="character" w:customStyle="1" w:styleId="136">
    <w:name w:val=" Char Char8"/>
    <w:qFormat/>
    <w:uiPriority w:val="0"/>
    <w:rPr>
      <w:rFonts w:eastAsia="宋体"/>
      <w:sz w:val="18"/>
      <w:lang w:val="en-US" w:eastAsia="zh-CN" w:bidi="ar-SA"/>
    </w:rPr>
  </w:style>
  <w:style w:type="character" w:customStyle="1" w:styleId="137">
    <w:name w:val="Intense Reference"/>
    <w:qFormat/>
    <w:uiPriority w:val="0"/>
    <w:rPr>
      <w:b/>
      <w:bCs/>
      <w:smallCaps/>
      <w:color w:val="C0504D"/>
      <w:spacing w:val="5"/>
      <w:u w:val="single"/>
    </w:rPr>
  </w:style>
  <w:style w:type="character" w:customStyle="1" w:styleId="138">
    <w:name w:val="明显引用 Char"/>
    <w:link w:val="139"/>
    <w:qFormat/>
    <w:uiPriority w:val="0"/>
    <w:rPr>
      <w:b/>
      <w:bCs/>
      <w:i/>
      <w:iCs/>
      <w:color w:val="4F81BD"/>
      <w:kern w:val="2"/>
      <w:sz w:val="21"/>
      <w:szCs w:val="22"/>
    </w:rPr>
  </w:style>
  <w:style w:type="paragraph" w:styleId="139">
    <w:name w:val="Intense Quote"/>
    <w:basedOn w:val="1"/>
    <w:next w:val="1"/>
    <w:link w:val="138"/>
    <w:qFormat/>
    <w:uiPriority w:val="0"/>
    <w:pPr>
      <w:pBdr>
        <w:bottom w:val="single" w:color="4F81BD" w:sz="4" w:space="4"/>
      </w:pBdr>
      <w:spacing w:before="200" w:after="280"/>
      <w:ind w:left="936" w:right="936"/>
    </w:pPr>
    <w:rPr>
      <w:rFonts w:ascii="Times New Roman" w:hAnsi="Times New Roman" w:eastAsia="宋体" w:cs="Times New Roman"/>
      <w:b/>
      <w:bCs/>
      <w:i/>
      <w:iCs/>
      <w:color w:val="4F81BD"/>
    </w:rPr>
  </w:style>
  <w:style w:type="character" w:customStyle="1" w:styleId="140">
    <w:name w:val="明显引用 Char1"/>
    <w:basedOn w:val="50"/>
    <w:qFormat/>
    <w:uiPriority w:val="30"/>
    <w:rPr>
      <w:rFonts w:asciiTheme="minorHAnsi" w:hAnsiTheme="minorHAnsi" w:eastAsiaTheme="minorEastAsia" w:cstheme="minorBidi"/>
      <w:b/>
      <w:bCs/>
      <w:i/>
      <w:iCs/>
      <w:color w:val="4F81BD" w:themeColor="accent1"/>
      <w:kern w:val="2"/>
      <w:sz w:val="21"/>
      <w:szCs w:val="22"/>
      <w14:textFill>
        <w14:solidFill>
          <w14:schemeClr w14:val="accent1"/>
        </w14:solidFill>
      </w14:textFill>
    </w:rPr>
  </w:style>
  <w:style w:type="character" w:customStyle="1" w:styleId="141">
    <w:name w:val="Book Title"/>
    <w:qFormat/>
    <w:uiPriority w:val="0"/>
    <w:rPr>
      <w:b/>
      <w:bCs/>
      <w:smallCaps/>
      <w:spacing w:val="5"/>
    </w:rPr>
  </w:style>
  <w:style w:type="character" w:customStyle="1" w:styleId="142">
    <w:name w:val=" Char Char10"/>
    <w:qFormat/>
    <w:uiPriority w:val="0"/>
    <w:rPr>
      <w:rFonts w:eastAsia="宋体"/>
      <w:b/>
      <w:bCs/>
      <w:kern w:val="2"/>
      <w:sz w:val="21"/>
      <w:szCs w:val="18"/>
      <w:lang w:val="en-US" w:eastAsia="zh-CN" w:bidi="ar-SA"/>
    </w:rPr>
  </w:style>
  <w:style w:type="character" w:customStyle="1" w:styleId="143">
    <w:name w:val="Char Char9"/>
    <w:qFormat/>
    <w:uiPriority w:val="0"/>
    <w:rPr>
      <w:kern w:val="2"/>
      <w:sz w:val="21"/>
      <w:szCs w:val="22"/>
    </w:rPr>
  </w:style>
  <w:style w:type="character" w:customStyle="1" w:styleId="144">
    <w:name w:val=" Char Char9"/>
    <w:qFormat/>
    <w:uiPriority w:val="0"/>
    <w:rPr>
      <w:kern w:val="2"/>
      <w:sz w:val="21"/>
      <w:szCs w:val="22"/>
    </w:rPr>
  </w:style>
  <w:style w:type="character" w:customStyle="1" w:styleId="145">
    <w:name w:val="Subtle Emphasis"/>
    <w:qFormat/>
    <w:uiPriority w:val="0"/>
    <w:rPr>
      <w:i/>
      <w:iCs/>
      <w:color w:val="808080"/>
    </w:rPr>
  </w:style>
  <w:style w:type="character" w:customStyle="1" w:styleId="146">
    <w:name w:val="批注文字 Char Char"/>
    <w:qFormat/>
    <w:uiPriority w:val="0"/>
    <w:rPr>
      <w:rFonts w:ascii="宋体" w:hAnsi="Times New Roman" w:eastAsia="宋体" w:cs="Times New Roman"/>
      <w:sz w:val="28"/>
      <w:szCs w:val="20"/>
    </w:rPr>
  </w:style>
  <w:style w:type="character" w:customStyle="1" w:styleId="147">
    <w:name w:val="Subtle Reference"/>
    <w:qFormat/>
    <w:uiPriority w:val="0"/>
    <w:rPr>
      <w:smallCaps/>
      <w:color w:val="C0504D"/>
      <w:u w:val="single"/>
    </w:rPr>
  </w:style>
  <w:style w:type="character" w:customStyle="1" w:styleId="148">
    <w:name w:val="Char Char1"/>
    <w:qFormat/>
    <w:locked/>
    <w:uiPriority w:val="0"/>
    <w:rPr>
      <w:rFonts w:ascii="Cambria" w:hAnsi="Cambria"/>
      <w:b/>
      <w:bCs/>
      <w:kern w:val="28"/>
      <w:sz w:val="32"/>
      <w:szCs w:val="32"/>
      <w:lang w:bidi="ar-SA"/>
    </w:rPr>
  </w:style>
  <w:style w:type="character" w:customStyle="1" w:styleId="149">
    <w:name w:val="Char Char8"/>
    <w:qFormat/>
    <w:locked/>
    <w:uiPriority w:val="0"/>
    <w:rPr>
      <w:rFonts w:ascii="宋体" w:hAnsi="宋体" w:eastAsia="宋体"/>
      <w:sz w:val="18"/>
      <w:lang w:val="en-US" w:eastAsia="zh-CN" w:bidi="ar-SA"/>
    </w:rPr>
  </w:style>
  <w:style w:type="character" w:customStyle="1" w:styleId="150">
    <w:name w:val="Char Char7"/>
    <w:qFormat/>
    <w:locked/>
    <w:uiPriority w:val="0"/>
    <w:rPr>
      <w:szCs w:val="24"/>
      <w:shd w:val="clear" w:color="auto" w:fill="000080"/>
      <w:lang w:bidi="ar-SA"/>
    </w:rPr>
  </w:style>
  <w:style w:type="paragraph" w:customStyle="1" w:styleId="151">
    <w:name w:val="Char"/>
    <w:basedOn w:val="1"/>
    <w:qFormat/>
    <w:uiPriority w:val="0"/>
    <w:rPr>
      <w:rFonts w:ascii="Times New Roman" w:hAnsi="Times New Roman" w:eastAsia="宋体" w:cs="Times New Roman"/>
      <w:szCs w:val="24"/>
    </w:rPr>
  </w:style>
  <w:style w:type="paragraph" w:customStyle="1" w:styleId="152">
    <w:name w:val="菲页1"/>
    <w:basedOn w:val="4"/>
    <w:qFormat/>
    <w:uiPriority w:val="0"/>
    <w:pPr>
      <w:widowControl/>
      <w:jc w:val="center"/>
    </w:pPr>
    <w:rPr>
      <w:rFonts w:ascii="黑体" w:hAnsi="宋体" w:eastAsia="宋体" w:cs="Times New Roman"/>
      <w:b w:val="0"/>
      <w:bCs w:val="0"/>
      <w:kern w:val="0"/>
      <w:sz w:val="52"/>
      <w:szCs w:val="20"/>
    </w:rPr>
  </w:style>
  <w:style w:type="paragraph" w:customStyle="1" w:styleId="153">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154">
    <w:name w:val="Char Char Char Char Char Char Char"/>
    <w:basedOn w:val="1"/>
    <w:qFormat/>
    <w:uiPriority w:val="0"/>
    <w:rPr>
      <w:rFonts w:ascii="Times New Roman" w:hAnsi="Times New Roman" w:eastAsia="宋体" w:cs="Times New Roman"/>
      <w:szCs w:val="24"/>
    </w:rPr>
  </w:style>
  <w:style w:type="paragraph" w:customStyle="1" w:styleId="155">
    <w:name w:val="菲页2"/>
    <w:basedOn w:val="5"/>
    <w:qFormat/>
    <w:uiPriority w:val="0"/>
    <w:pPr>
      <w:widowControl/>
      <w:tabs>
        <w:tab w:val="left" w:pos="1800"/>
      </w:tabs>
      <w:spacing w:before="120" w:after="120"/>
      <w:ind w:left="1800" w:hanging="420"/>
      <w:jc w:val="center"/>
    </w:pPr>
    <w:rPr>
      <w:rFonts w:ascii="黑体" w:hAnsi="宋体" w:cs="Times New Roman"/>
      <w:b w:val="0"/>
      <w:bCs w:val="0"/>
      <w:kern w:val="0"/>
      <w:sz w:val="44"/>
      <w:szCs w:val="20"/>
      <w:lang w:val="en-US"/>
    </w:rPr>
  </w:style>
  <w:style w:type="paragraph" w:customStyle="1" w:styleId="156">
    <w:name w:val="1"/>
    <w:basedOn w:val="1"/>
    <w:next w:val="28"/>
    <w:qFormat/>
    <w:uiPriority w:val="0"/>
    <w:rPr>
      <w:rFonts w:ascii="宋体" w:hAnsi="Courier New" w:eastAsia="宋体" w:cs="Times New Roman"/>
      <w:szCs w:val="20"/>
    </w:rPr>
  </w:style>
  <w:style w:type="paragraph" w:customStyle="1" w:styleId="15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58">
    <w:name w:val="Char Char Char Char Char Char Char1"/>
    <w:basedOn w:val="1"/>
    <w:qFormat/>
    <w:uiPriority w:val="0"/>
    <w:rPr>
      <w:rFonts w:ascii="Times New Roman" w:hAnsi="Times New Roman" w:eastAsia="宋体" w:cs="Times New Roman"/>
      <w:szCs w:val="24"/>
    </w:rPr>
  </w:style>
  <w:style w:type="paragraph" w:customStyle="1" w:styleId="159">
    <w:name w:val="目录文字"/>
    <w:basedOn w:val="1"/>
    <w:qFormat/>
    <w:uiPriority w:val="0"/>
    <w:pPr>
      <w:widowControl/>
      <w:spacing w:line="480" w:lineRule="auto"/>
      <w:jc w:val="left"/>
    </w:pPr>
    <w:rPr>
      <w:rFonts w:ascii="宋体" w:hAnsi="宋体" w:eastAsia="宋体" w:cs="Times New Roman"/>
      <w:kern w:val="0"/>
      <w:sz w:val="24"/>
      <w:szCs w:val="20"/>
    </w:rPr>
  </w:style>
  <w:style w:type="paragraph" w:customStyle="1" w:styleId="160">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161">
    <w:name w:val=" Char2 Char Char Char"/>
    <w:basedOn w:val="1"/>
    <w:qFormat/>
    <w:uiPriority w:val="0"/>
    <w:rPr>
      <w:rFonts w:ascii="Times New Roman" w:hAnsi="Times New Roman" w:eastAsia="宋体" w:cs="Times New Roman"/>
      <w:szCs w:val="24"/>
    </w:rPr>
  </w:style>
  <w:style w:type="paragraph" w:customStyle="1" w:styleId="162">
    <w:name w:val="Char Char Char Char Char Char Char2"/>
    <w:basedOn w:val="1"/>
    <w:qFormat/>
    <w:uiPriority w:val="0"/>
    <w:rPr>
      <w:rFonts w:ascii="Times New Roman" w:hAnsi="Times New Roman" w:eastAsia="宋体" w:cs="Times New Roman"/>
      <w:szCs w:val="24"/>
    </w:rPr>
  </w:style>
  <w:style w:type="paragraph" w:customStyle="1" w:styleId="163">
    <w:name w:val="2ji"/>
    <w:basedOn w:val="4"/>
    <w:qFormat/>
    <w:uiPriority w:val="0"/>
    <w:pPr>
      <w:adjustRightInd w:val="0"/>
      <w:spacing w:before="0" w:after="0" w:line="360" w:lineRule="auto"/>
      <w:textAlignment w:val="baseline"/>
    </w:pPr>
    <w:rPr>
      <w:rFonts w:ascii="宋体" w:hAnsi="宋体" w:eastAsia="宋体" w:cs="Times New Roman"/>
      <w:kern w:val="0"/>
      <w:sz w:val="21"/>
      <w:szCs w:val="21"/>
    </w:rPr>
  </w:style>
  <w:style w:type="paragraph" w:customStyle="1" w:styleId="164">
    <w:name w:val="Char Char6"/>
    <w:basedOn w:val="1"/>
    <w:qFormat/>
    <w:uiPriority w:val="0"/>
    <w:rPr>
      <w:rFonts w:ascii="仿宋_GB2312" w:hAnsi="Times New Roman" w:eastAsia="仿宋_GB2312" w:cs="Times New Roman"/>
      <w:b/>
      <w:sz w:val="32"/>
      <w:szCs w:val="32"/>
    </w:rPr>
  </w:style>
  <w:style w:type="paragraph" w:customStyle="1" w:styleId="165">
    <w:name w:val="font6"/>
    <w:basedOn w:val="1"/>
    <w:qFormat/>
    <w:uiPriority w:val="0"/>
    <w:pPr>
      <w:widowControl/>
      <w:spacing w:before="100" w:beforeAutospacing="1" w:after="100" w:afterAutospacing="1"/>
      <w:jc w:val="left"/>
    </w:pPr>
    <w:rPr>
      <w:rFonts w:hint="eastAsia" w:ascii="宋体" w:hAnsi="宋体" w:eastAsia="宋体" w:cs="Times New Roman"/>
      <w:kern w:val="0"/>
      <w:sz w:val="20"/>
      <w:szCs w:val="20"/>
    </w:rPr>
  </w:style>
  <w:style w:type="paragraph" w:customStyle="1" w:styleId="166">
    <w:name w:val="菲页(卷)"/>
    <w:basedOn w:val="3"/>
    <w:next w:val="157"/>
    <w:qFormat/>
    <w:uiPriority w:val="0"/>
    <w:pPr>
      <w:keepLines w:val="0"/>
      <w:widowControl/>
      <w:tabs>
        <w:tab w:val="left" w:pos="900"/>
      </w:tabs>
      <w:spacing w:before="0" w:after="0"/>
      <w:ind w:left="900" w:hanging="360"/>
      <w:jc w:val="center"/>
      <w:outlineLvl w:val="1"/>
    </w:pPr>
    <w:rPr>
      <w:rFonts w:ascii="黑体" w:hAnsi="Times New Roman" w:eastAsia="黑体" w:cs="Times New Roman"/>
      <w:b w:val="0"/>
      <w:bCs w:val="0"/>
      <w:kern w:val="0"/>
      <w:sz w:val="52"/>
      <w:szCs w:val="20"/>
      <w:lang w:val="zh-CN" w:eastAsia="zh-CN"/>
    </w:rPr>
  </w:style>
  <w:style w:type="paragraph" w:customStyle="1" w:styleId="167">
    <w:name w:val="目录"/>
    <w:basedOn w:val="1"/>
    <w:qFormat/>
    <w:uiPriority w:val="0"/>
    <w:pPr>
      <w:widowControl/>
      <w:jc w:val="center"/>
    </w:pPr>
    <w:rPr>
      <w:rFonts w:ascii="宋体" w:hAnsi="Times New Roman" w:eastAsia="宋体" w:cs="Times New Roman"/>
      <w:b/>
      <w:kern w:val="0"/>
      <w:sz w:val="36"/>
      <w:szCs w:val="20"/>
    </w:rPr>
  </w:style>
  <w:style w:type="paragraph" w:customStyle="1" w:styleId="168">
    <w:name w:val="Char Char Char"/>
    <w:basedOn w:val="1"/>
    <w:qFormat/>
    <w:uiPriority w:val="0"/>
    <w:rPr>
      <w:rFonts w:ascii="Tahoma" w:hAnsi="Tahoma" w:eastAsia="宋体" w:cs="Times New Roman"/>
      <w:sz w:val="24"/>
      <w:szCs w:val="20"/>
    </w:rPr>
  </w:style>
  <w:style w:type="paragraph" w:customStyle="1" w:styleId="169">
    <w:name w:val="Char1 Char Char Char Char Char1 Char"/>
    <w:basedOn w:val="1"/>
    <w:qFormat/>
    <w:uiPriority w:val="0"/>
    <w:pPr>
      <w:spacing w:line="360" w:lineRule="auto"/>
      <w:jc w:val="left"/>
    </w:pPr>
    <w:rPr>
      <w:rFonts w:ascii="Times New Roman" w:hAnsi="Times New Roman" w:eastAsia="宋体" w:cs="Times New Roman"/>
      <w:szCs w:val="24"/>
    </w:rPr>
  </w:style>
  <w:style w:type="paragraph" w:customStyle="1" w:styleId="170">
    <w:name w:val="Char11"/>
    <w:basedOn w:val="18"/>
    <w:qFormat/>
    <w:uiPriority w:val="0"/>
    <w:pPr>
      <w:widowControl w:val="0"/>
      <w:jc w:val="both"/>
    </w:pPr>
    <w:rPr>
      <w:kern w:val="2"/>
      <w:sz w:val="21"/>
    </w:rPr>
  </w:style>
  <w:style w:type="paragraph" w:customStyle="1" w:styleId="171">
    <w:name w:val="_Style 2"/>
    <w:basedOn w:val="1"/>
    <w:qFormat/>
    <w:uiPriority w:val="0"/>
    <w:pPr>
      <w:ind w:firstLine="420" w:firstLineChars="200"/>
    </w:pPr>
    <w:rPr>
      <w:rFonts w:ascii="宋体" w:hAnsi="宋体" w:eastAsia="宋体" w:cs="宋体"/>
      <w:sz w:val="24"/>
      <w:szCs w:val="24"/>
    </w:rPr>
  </w:style>
  <w:style w:type="paragraph" w:customStyle="1" w:styleId="17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kern w:val="0"/>
      <w:sz w:val="28"/>
      <w:szCs w:val="20"/>
    </w:rPr>
  </w:style>
  <w:style w:type="paragraph" w:customStyle="1" w:styleId="173">
    <w:name w:val="_Style 5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正文2"/>
    <w:link w:val="175"/>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175">
    <w:name w:val="正文2 Char Char"/>
    <w:link w:val="174"/>
    <w:qFormat/>
    <w:uiPriority w:val="0"/>
    <w:rPr>
      <w:rFonts w:ascii="宋体"/>
      <w:sz w:val="34"/>
    </w:rPr>
  </w:style>
  <w:style w:type="paragraph" w:customStyle="1" w:styleId="176">
    <w:name w:val="样式 标题 3 + (中文) 黑体 小四 非加粗 段前: 7.8 磅 段后: 0 磅 行距: 固定值 20 磅"/>
    <w:basedOn w:val="5"/>
    <w:qFormat/>
    <w:uiPriority w:val="0"/>
    <w:pPr>
      <w:spacing w:line="400" w:lineRule="exact"/>
    </w:pPr>
    <w:rPr>
      <w:rFonts w:ascii="Times New Roman" w:hAnsi="Times New Roman" w:cs="宋体"/>
      <w:b w:val="0"/>
      <w:bCs w:val="0"/>
      <w:sz w:val="24"/>
      <w:szCs w:val="20"/>
      <w:lang w:val="en-US" w:eastAsia="zh-CN"/>
    </w:rPr>
  </w:style>
  <w:style w:type="paragraph" w:customStyle="1" w:styleId="177">
    <w:name w:val="Char Char Char1"/>
    <w:basedOn w:val="1"/>
    <w:qFormat/>
    <w:uiPriority w:val="0"/>
    <w:rPr>
      <w:rFonts w:ascii="Tahoma" w:hAnsi="Tahoma" w:eastAsia="宋体" w:cs="Times New Roman"/>
      <w:sz w:val="24"/>
      <w:szCs w:val="20"/>
    </w:rPr>
  </w:style>
  <w:style w:type="paragraph" w:customStyle="1" w:styleId="178">
    <w:name w:val="Char2"/>
    <w:basedOn w:val="18"/>
    <w:qFormat/>
    <w:uiPriority w:val="0"/>
    <w:pPr>
      <w:widowControl w:val="0"/>
      <w:jc w:val="both"/>
    </w:pPr>
    <w:rPr>
      <w:kern w:val="2"/>
      <w:sz w:val="21"/>
    </w:rPr>
  </w:style>
  <w:style w:type="paragraph" w:customStyle="1" w:styleId="179">
    <w:name w:val=" Char"/>
    <w:basedOn w:val="1"/>
    <w:qFormat/>
    <w:uiPriority w:val="0"/>
    <w:rPr>
      <w:rFonts w:ascii="Times New Roman" w:hAnsi="Times New Roman" w:eastAsia="宋体" w:cs="Times New Roman"/>
      <w:szCs w:val="24"/>
    </w:rPr>
  </w:style>
  <w:style w:type="paragraph" w:customStyle="1" w:styleId="180">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81">
    <w:name w:val="TOC Heading"/>
    <w:basedOn w:val="3"/>
    <w:next w:val="1"/>
    <w:qFormat/>
    <w:uiPriority w:val="0"/>
    <w:pPr>
      <w:widowControl/>
      <w:spacing w:before="480" w:after="0" w:line="276" w:lineRule="auto"/>
      <w:jc w:val="left"/>
      <w:outlineLvl w:val="9"/>
    </w:pPr>
    <w:rPr>
      <w:rFonts w:ascii="Cambria" w:hAnsi="Cambria" w:eastAsia="宋体" w:cs="Times New Roman"/>
      <w:color w:val="365F91"/>
      <w:kern w:val="0"/>
      <w:sz w:val="28"/>
      <w:szCs w:val="28"/>
      <w:lang w:val="zh-CN" w:eastAsia="zh-CN"/>
    </w:rPr>
  </w:style>
  <w:style w:type="paragraph" w:customStyle="1" w:styleId="182">
    <w:name w:val="Char1"/>
    <w:basedOn w:val="1"/>
    <w:qFormat/>
    <w:uiPriority w:val="0"/>
    <w:rPr>
      <w:rFonts w:ascii="仿宋_GB2312" w:hAnsi="Times New Roman" w:eastAsia="仿宋_GB2312" w:cs="Times New Roman"/>
      <w:b/>
      <w:sz w:val="32"/>
      <w:szCs w:val="32"/>
    </w:rPr>
  </w:style>
  <w:style w:type="paragraph" w:customStyle="1" w:styleId="183">
    <w:name w:val="Char Char"/>
    <w:basedOn w:val="1"/>
    <w:qFormat/>
    <w:uiPriority w:val="0"/>
    <w:rPr>
      <w:rFonts w:ascii="仿宋_GB2312" w:hAnsi="Times New Roman" w:eastAsia="仿宋_GB2312" w:cs="Times New Roman"/>
      <w:b/>
      <w:sz w:val="32"/>
      <w:szCs w:val="32"/>
    </w:rPr>
  </w:style>
  <w:style w:type="paragraph" w:customStyle="1" w:styleId="184">
    <w:name w:val="空半行"/>
    <w:basedOn w:val="1"/>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paragraph" w:customStyle="1" w:styleId="185">
    <w:name w:val=" Char Char Char Char Char Char Char"/>
    <w:basedOn w:val="1"/>
    <w:qFormat/>
    <w:uiPriority w:val="0"/>
    <w:pPr>
      <w:adjustRightInd w:val="0"/>
      <w:spacing w:line="312" w:lineRule="atLeast"/>
      <w:textAlignment w:val="baseline"/>
    </w:pPr>
    <w:rPr>
      <w:rFonts w:ascii="Times New Roman" w:hAnsi="Times New Roman" w:eastAsia="宋体" w:cs="Times New Roman"/>
      <w:kern w:val="0"/>
      <w:szCs w:val="20"/>
    </w:rPr>
  </w:style>
  <w:style w:type="paragraph" w:customStyle="1" w:styleId="186">
    <w:name w:val="flNote"/>
    <w:basedOn w:val="1"/>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paragraph" w:customStyle="1" w:styleId="187">
    <w:name w:val="Char2 Char Char Char"/>
    <w:basedOn w:val="1"/>
    <w:qFormat/>
    <w:uiPriority w:val="0"/>
    <w:rPr>
      <w:rFonts w:ascii="Times New Roman" w:hAnsi="Times New Roman" w:eastAsia="宋体" w:cs="Times New Roman"/>
      <w:szCs w:val="24"/>
    </w:rPr>
  </w:style>
  <w:style w:type="paragraph" w:customStyle="1" w:styleId="188">
    <w:name w:val="Char Char Char Char"/>
    <w:basedOn w:val="1"/>
    <w:qFormat/>
    <w:uiPriority w:val="0"/>
    <w:pPr>
      <w:widowControl/>
      <w:spacing w:after="160" w:line="240" w:lineRule="exact"/>
      <w:jc w:val="left"/>
    </w:pPr>
    <w:rPr>
      <w:rFonts w:ascii="Times New Roman" w:hAnsi="Times New Roman" w:eastAsia="宋体" w:cs="Times New Roman"/>
      <w:szCs w:val="21"/>
    </w:rPr>
  </w:style>
  <w:style w:type="character" w:customStyle="1" w:styleId="189">
    <w:name w:val="正文文本缩进 2 Char Char"/>
    <w:link w:val="190"/>
    <w:qFormat/>
    <w:locked/>
    <w:uiPriority w:val="0"/>
    <w:rPr>
      <w:szCs w:val="21"/>
    </w:rPr>
  </w:style>
  <w:style w:type="paragraph" w:customStyle="1" w:styleId="190">
    <w:name w:val="正文文本缩进 21"/>
    <w:basedOn w:val="1"/>
    <w:link w:val="189"/>
    <w:qFormat/>
    <w:uiPriority w:val="0"/>
    <w:pPr>
      <w:spacing w:after="120" w:line="480" w:lineRule="auto"/>
      <w:ind w:left="420" w:leftChars="200"/>
    </w:pPr>
    <w:rPr>
      <w:rFonts w:ascii="Times New Roman" w:hAnsi="Times New Roman" w:eastAsia="宋体" w:cs="Times New Roman"/>
      <w:kern w:val="0"/>
      <w:sz w:val="20"/>
      <w:szCs w:val="21"/>
    </w:rPr>
  </w:style>
  <w:style w:type="paragraph" w:customStyle="1" w:styleId="191">
    <w:name w:val="纯文本1"/>
    <w:basedOn w:val="1"/>
    <w:qFormat/>
    <w:uiPriority w:val="0"/>
    <w:rPr>
      <w:rFonts w:ascii="宋体" w:hAnsi="Courier New" w:eastAsia="宋体" w:cs="宋体"/>
      <w:szCs w:val="21"/>
    </w:rPr>
  </w:style>
  <w:style w:type="paragraph" w:customStyle="1" w:styleId="192">
    <w:name w:val="TOC 标题1"/>
    <w:basedOn w:val="3"/>
    <w:next w:val="1"/>
    <w:qFormat/>
    <w:uiPriority w:val="0"/>
    <w:pPr>
      <w:widowControl/>
      <w:spacing w:before="480" w:after="0" w:line="276" w:lineRule="auto"/>
      <w:jc w:val="left"/>
      <w:outlineLvl w:val="9"/>
    </w:pPr>
    <w:rPr>
      <w:rFonts w:ascii="Cambria" w:hAnsi="Cambria" w:eastAsia="宋体" w:cs="Cambria"/>
      <w:color w:val="365F91"/>
      <w:kern w:val="0"/>
      <w:sz w:val="28"/>
      <w:szCs w:val="28"/>
      <w:lang w:val="zh-CN" w:eastAsia="zh-CN"/>
    </w:rPr>
  </w:style>
  <w:style w:type="paragraph" w:customStyle="1" w:styleId="193">
    <w:name w:val="正文文本 31"/>
    <w:basedOn w:val="1"/>
    <w:qFormat/>
    <w:uiPriority w:val="0"/>
    <w:pPr>
      <w:tabs>
        <w:tab w:val="left" w:pos="180"/>
      </w:tabs>
      <w:spacing w:line="360" w:lineRule="auto"/>
    </w:pPr>
    <w:rPr>
      <w:rFonts w:ascii="Times New Roman" w:hAnsi="Times New Roman" w:eastAsia="宋体" w:cs="Times New Roman"/>
      <w:sz w:val="16"/>
      <w:szCs w:val="16"/>
    </w:rPr>
  </w:style>
  <w:style w:type="paragraph" w:customStyle="1" w:styleId="194">
    <w:name w:val="3"/>
    <w:basedOn w:val="1"/>
    <w:next w:val="193"/>
    <w:qFormat/>
    <w:uiPriority w:val="0"/>
    <w:rPr>
      <w:rFonts w:ascii="宋体" w:hAnsi="Times New Roman" w:eastAsia="宋体" w:cs="宋体"/>
      <w:sz w:val="24"/>
      <w:szCs w:val="24"/>
    </w:rPr>
  </w:style>
  <w:style w:type="paragraph" w:customStyle="1" w:styleId="195">
    <w:name w:val="大标题"/>
    <w:basedOn w:val="1"/>
    <w:qFormat/>
    <w:uiPriority w:val="0"/>
    <w:pPr>
      <w:adjustRightInd w:val="0"/>
      <w:snapToGrid w:val="0"/>
      <w:spacing w:before="20" w:after="20"/>
      <w:jc w:val="center"/>
    </w:pPr>
    <w:rPr>
      <w:rFonts w:ascii="Times New Roman" w:hAnsi="Times New Roman" w:eastAsia="宋体" w:cs="Times New Roman"/>
      <w:color w:val="000000"/>
      <w:spacing w:val="-8"/>
      <w:kern w:val="0"/>
      <w:sz w:val="44"/>
      <w:szCs w:val="32"/>
    </w:rPr>
  </w:style>
  <w:style w:type="paragraph" w:customStyle="1" w:styleId="196">
    <w:name w:val="p17"/>
    <w:basedOn w:val="1"/>
    <w:qFormat/>
    <w:uiPriority w:val="0"/>
    <w:pPr>
      <w:widowControl/>
    </w:pPr>
    <w:rPr>
      <w:rFonts w:ascii="Times New Roman" w:hAnsi="Times New Roman" w:eastAsia="宋体" w:cs="Times New Roman"/>
      <w:kern w:val="0"/>
      <w:szCs w:val="21"/>
    </w:rPr>
  </w:style>
  <w:style w:type="paragraph" w:customStyle="1" w:styleId="197">
    <w:name w:val="xl24"/>
    <w:basedOn w:val="1"/>
    <w:qFormat/>
    <w:uiPriority w:val="0"/>
    <w:pPr>
      <w:widowControl/>
      <w:spacing w:before="100" w:after="100"/>
      <w:jc w:val="center"/>
    </w:pPr>
    <w:rPr>
      <w:rFonts w:ascii="宋体" w:hAnsi="宋体" w:eastAsia="宋体" w:cs="宋体"/>
      <w:kern w:val="0"/>
      <w:sz w:val="24"/>
      <w:szCs w:val="24"/>
    </w:rPr>
  </w:style>
  <w:style w:type="character" w:customStyle="1" w:styleId="198">
    <w:name w:val="正文文本缩进 Char Char"/>
    <w:link w:val="199"/>
    <w:qFormat/>
    <w:locked/>
    <w:uiPriority w:val="0"/>
    <w:rPr>
      <w:sz w:val="24"/>
      <w:szCs w:val="24"/>
    </w:rPr>
  </w:style>
  <w:style w:type="paragraph" w:customStyle="1" w:styleId="199">
    <w:name w:val="正文文本缩进1"/>
    <w:basedOn w:val="1"/>
    <w:link w:val="198"/>
    <w:qFormat/>
    <w:uiPriority w:val="0"/>
    <w:pPr>
      <w:ind w:left="480" w:hanging="480" w:hangingChars="200"/>
    </w:pPr>
    <w:rPr>
      <w:rFonts w:ascii="Times New Roman" w:hAnsi="Times New Roman" w:eastAsia="宋体" w:cs="Times New Roman"/>
      <w:kern w:val="0"/>
      <w:sz w:val="24"/>
      <w:szCs w:val="24"/>
    </w:rPr>
  </w:style>
  <w:style w:type="paragraph" w:customStyle="1" w:styleId="200">
    <w:name w:val="索引 11"/>
    <w:basedOn w:val="1"/>
    <w:next w:val="1"/>
    <w:qFormat/>
    <w:uiPriority w:val="0"/>
    <w:pPr>
      <w:spacing w:line="220" w:lineRule="exact"/>
      <w:jc w:val="center"/>
    </w:pPr>
    <w:rPr>
      <w:rFonts w:ascii="仿宋_GB2312" w:hAnsi="Times New Roman" w:eastAsia="仿宋_GB2312" w:cs="仿宋_GB2312"/>
      <w:szCs w:val="21"/>
    </w:rPr>
  </w:style>
  <w:style w:type="paragraph" w:customStyle="1" w:styleId="201">
    <w:name w:val="样式"/>
    <w:basedOn w:val="1"/>
    <w:qFormat/>
    <w:uiPriority w:val="0"/>
    <w:rPr>
      <w:rFonts w:ascii="Tahoma" w:hAnsi="Tahoma" w:eastAsia="宋体" w:cs="Tahoma"/>
      <w:sz w:val="24"/>
      <w:szCs w:val="24"/>
    </w:rPr>
  </w:style>
  <w:style w:type="paragraph" w:customStyle="1" w:styleId="202">
    <w:name w:val="Normal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203">
    <w:name w:val="表格1"/>
    <w:basedOn w:val="1"/>
    <w:qFormat/>
    <w:uiPriority w:val="0"/>
    <w:pPr>
      <w:spacing w:line="360" w:lineRule="auto"/>
    </w:pPr>
    <w:rPr>
      <w:rFonts w:ascii="宋体" w:hAnsi="Times New Roman" w:eastAsia="宋体" w:cs="宋体"/>
      <w:sz w:val="24"/>
      <w:szCs w:val="24"/>
    </w:rPr>
  </w:style>
  <w:style w:type="paragraph" w:customStyle="1" w:styleId="204">
    <w:name w:val="6'"/>
    <w:basedOn w:val="1"/>
    <w:qFormat/>
    <w:uiPriority w:val="0"/>
    <w:pPr>
      <w:autoSpaceDE w:val="0"/>
      <w:autoSpaceDN w:val="0"/>
      <w:adjustRightInd w:val="0"/>
      <w:snapToGrid w:val="0"/>
      <w:spacing w:line="320" w:lineRule="exact"/>
      <w:jc w:val="center"/>
    </w:pPr>
    <w:rPr>
      <w:rFonts w:ascii="Times New Roman" w:hAnsi="Times New Roman" w:eastAsia="宋体" w:cs="Times New Roman"/>
      <w:spacing w:val="20"/>
      <w:kern w:val="28"/>
      <w:szCs w:val="21"/>
    </w:rPr>
  </w:style>
  <w:style w:type="paragraph" w:customStyle="1" w:styleId="205">
    <w:name w:val="日期1"/>
    <w:basedOn w:val="1"/>
    <w:next w:val="1"/>
    <w:qFormat/>
    <w:uiPriority w:val="0"/>
    <w:pPr>
      <w:ind w:left="100" w:leftChars="2500"/>
    </w:pPr>
    <w:rPr>
      <w:rFonts w:ascii="Times New Roman" w:hAnsi="Times New Roman" w:eastAsia="宋体" w:cs="Times New Roman"/>
      <w:sz w:val="24"/>
      <w:szCs w:val="24"/>
    </w:rPr>
  </w:style>
  <w:style w:type="paragraph" w:customStyle="1" w:styleId="206">
    <w:name w:val="文本块1"/>
    <w:basedOn w:val="1"/>
    <w:qFormat/>
    <w:uiPriority w:val="0"/>
    <w:pPr>
      <w:spacing w:after="120"/>
      <w:ind w:left="1440" w:leftChars="700" w:right="1440" w:rightChars="700"/>
    </w:pPr>
    <w:rPr>
      <w:rFonts w:ascii="Times New Roman" w:hAnsi="Times New Roman" w:eastAsia="宋体" w:cs="Times New Roman"/>
      <w:szCs w:val="21"/>
    </w:rPr>
  </w:style>
  <w:style w:type="character" w:customStyle="1" w:styleId="207">
    <w:name w:val="标题4 Char Char"/>
    <w:link w:val="208"/>
    <w:qFormat/>
    <w:locked/>
    <w:uiPriority w:val="0"/>
    <w:rPr>
      <w:rFonts w:ascii="Arial" w:hAnsi="Arial" w:cs="Arial"/>
      <w:b/>
      <w:bCs/>
      <w:sz w:val="24"/>
      <w:szCs w:val="32"/>
    </w:rPr>
  </w:style>
  <w:style w:type="paragraph" w:customStyle="1" w:styleId="208">
    <w:name w:val="标题4"/>
    <w:basedOn w:val="4"/>
    <w:next w:val="25"/>
    <w:link w:val="207"/>
    <w:qFormat/>
    <w:uiPriority w:val="0"/>
    <w:pPr>
      <w:spacing w:line="412" w:lineRule="auto"/>
    </w:pPr>
    <w:rPr>
      <w:rFonts w:eastAsia="宋体" w:cs="Arial"/>
      <w:kern w:val="0"/>
      <w:sz w:val="24"/>
    </w:rPr>
  </w:style>
  <w:style w:type="paragraph" w:customStyle="1" w:styleId="209">
    <w:name w:val="XW正文"/>
    <w:basedOn w:val="199"/>
    <w:qFormat/>
    <w:uiPriority w:val="0"/>
    <w:pPr>
      <w:adjustRightInd w:val="0"/>
      <w:snapToGrid w:val="0"/>
      <w:spacing w:line="300" w:lineRule="auto"/>
      <w:ind w:left="0" w:firstLine="520" w:firstLineChars="200"/>
      <w:jc w:val="left"/>
    </w:pPr>
  </w:style>
  <w:style w:type="paragraph" w:customStyle="1" w:styleId="210">
    <w:name w:val="金安桥正文"/>
    <w:basedOn w:val="199"/>
    <w:qFormat/>
    <w:uiPriority w:val="0"/>
    <w:pPr>
      <w:adjustRightInd w:val="0"/>
      <w:spacing w:line="300" w:lineRule="auto"/>
      <w:ind w:left="0" w:firstLine="200" w:firstLineChars="200"/>
      <w:jc w:val="left"/>
    </w:pPr>
  </w:style>
  <w:style w:type="paragraph" w:customStyle="1" w:styleId="211">
    <w:name w:val="普通(网站)1"/>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21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黑体"/>
      <w:b w:val="0"/>
      <w:bCs w:val="0"/>
      <w:sz w:val="32"/>
      <w:szCs w:val="32"/>
      <w:lang w:val="zh-CN" w:eastAsia="zh-CN"/>
    </w:rPr>
  </w:style>
  <w:style w:type="character" w:customStyle="1" w:styleId="213">
    <w:name w:val="正文文本缩进 3 Char Char"/>
    <w:link w:val="214"/>
    <w:qFormat/>
    <w:locked/>
    <w:uiPriority w:val="0"/>
    <w:rPr>
      <w:sz w:val="16"/>
      <w:szCs w:val="16"/>
    </w:rPr>
  </w:style>
  <w:style w:type="paragraph" w:customStyle="1" w:styleId="214">
    <w:name w:val="正文文本缩进 31"/>
    <w:basedOn w:val="1"/>
    <w:link w:val="213"/>
    <w:qFormat/>
    <w:uiPriority w:val="0"/>
    <w:pPr>
      <w:spacing w:after="120"/>
      <w:ind w:left="420" w:leftChars="200"/>
    </w:pPr>
    <w:rPr>
      <w:rFonts w:ascii="Times New Roman" w:hAnsi="Times New Roman" w:eastAsia="宋体" w:cs="Times New Roman"/>
      <w:kern w:val="0"/>
      <w:sz w:val="16"/>
      <w:szCs w:val="16"/>
    </w:rPr>
  </w:style>
  <w:style w:type="character" w:customStyle="1" w:styleId="215">
    <w:name w:val="文档结构图 Char Char"/>
    <w:link w:val="216"/>
    <w:qFormat/>
    <w:locked/>
    <w:uiPriority w:val="0"/>
    <w:rPr>
      <w:sz w:val="24"/>
      <w:szCs w:val="24"/>
      <w:shd w:val="clear" w:color="auto" w:fill="000080"/>
    </w:rPr>
  </w:style>
  <w:style w:type="paragraph" w:customStyle="1" w:styleId="216">
    <w:name w:val="文档结构图1"/>
    <w:basedOn w:val="1"/>
    <w:link w:val="215"/>
    <w:qFormat/>
    <w:uiPriority w:val="0"/>
    <w:pPr>
      <w:shd w:val="clear" w:color="auto" w:fill="000080"/>
    </w:pPr>
    <w:rPr>
      <w:rFonts w:ascii="Times New Roman" w:hAnsi="Times New Roman" w:eastAsia="宋体" w:cs="Times New Roman"/>
      <w:kern w:val="0"/>
      <w:sz w:val="24"/>
      <w:szCs w:val="24"/>
    </w:rPr>
  </w:style>
  <w:style w:type="character" w:customStyle="1" w:styleId="217">
    <w:name w:val="批注主题 Char Char"/>
    <w:link w:val="218"/>
    <w:qFormat/>
    <w:locked/>
    <w:uiPriority w:val="0"/>
    <w:rPr>
      <w:b/>
      <w:bCs/>
      <w:szCs w:val="21"/>
    </w:rPr>
  </w:style>
  <w:style w:type="paragraph" w:customStyle="1" w:styleId="218">
    <w:name w:val="批注主题1"/>
    <w:basedOn w:val="19"/>
    <w:next w:val="19"/>
    <w:link w:val="217"/>
    <w:qFormat/>
    <w:uiPriority w:val="0"/>
    <w:rPr>
      <w:rFonts w:ascii="Times New Roman" w:hAnsi="Times New Roman" w:eastAsia="宋体" w:cs="Times New Roman"/>
      <w:b/>
      <w:bCs/>
      <w:kern w:val="0"/>
      <w:sz w:val="20"/>
      <w:szCs w:val="21"/>
    </w:rPr>
  </w:style>
  <w:style w:type="paragraph" w:customStyle="1" w:styleId="219">
    <w:name w:val="列表1"/>
    <w:basedOn w:val="1"/>
    <w:qFormat/>
    <w:uiPriority w:val="0"/>
    <w:pPr>
      <w:adjustRightInd w:val="0"/>
      <w:spacing w:line="360" w:lineRule="atLeast"/>
      <w:ind w:left="420" w:hanging="420"/>
      <w:jc w:val="left"/>
    </w:pPr>
    <w:rPr>
      <w:rFonts w:ascii="宋体" w:hAnsi="Times New Roman" w:eastAsia="宋体" w:cs="宋体"/>
      <w:kern w:val="0"/>
      <w:sz w:val="24"/>
      <w:szCs w:val="24"/>
    </w:rPr>
  </w:style>
  <w:style w:type="character" w:customStyle="1" w:styleId="220">
    <w:name w:val="正文文本 2 Char Char"/>
    <w:link w:val="221"/>
    <w:qFormat/>
    <w:locked/>
    <w:uiPriority w:val="0"/>
    <w:rPr>
      <w:rFonts w:ascii="黑体" w:hAnsi="黑体" w:eastAsia="黑体"/>
      <w:sz w:val="72"/>
      <w:szCs w:val="72"/>
    </w:rPr>
  </w:style>
  <w:style w:type="paragraph" w:customStyle="1" w:styleId="221">
    <w:name w:val="正文文本 21"/>
    <w:basedOn w:val="1"/>
    <w:link w:val="220"/>
    <w:qFormat/>
    <w:uiPriority w:val="0"/>
    <w:pPr>
      <w:jc w:val="center"/>
    </w:pPr>
    <w:rPr>
      <w:rFonts w:ascii="黑体" w:hAnsi="黑体" w:eastAsia="黑体" w:cs="Times New Roman"/>
      <w:kern w:val="0"/>
      <w:sz w:val="72"/>
      <w:szCs w:val="72"/>
    </w:rPr>
  </w:style>
  <w:style w:type="paragraph" w:customStyle="1" w:styleId="222">
    <w:name w:val="2"/>
    <w:basedOn w:val="1"/>
    <w:next w:val="199"/>
    <w:qFormat/>
    <w:uiPriority w:val="0"/>
    <w:pPr>
      <w:ind w:left="432"/>
    </w:pPr>
    <w:rPr>
      <w:rFonts w:ascii="Times New Roman" w:hAnsi="Times New Roman" w:eastAsia="宋体" w:cs="Times New Roman"/>
      <w:szCs w:val="21"/>
    </w:rPr>
  </w:style>
  <w:style w:type="paragraph" w:customStyle="1" w:styleId="223">
    <w:name w:val="索引 51"/>
    <w:basedOn w:val="1"/>
    <w:next w:val="1"/>
    <w:qFormat/>
    <w:uiPriority w:val="0"/>
    <w:pPr>
      <w:ind w:left="800" w:leftChars="800"/>
    </w:pPr>
    <w:rPr>
      <w:rFonts w:ascii="Times New Roman" w:hAnsi="Times New Roman" w:eastAsia="宋体" w:cs="Times New Roman"/>
      <w:szCs w:val="21"/>
    </w:rPr>
  </w:style>
  <w:style w:type="paragraph" w:customStyle="1" w:styleId="224">
    <w:name w:val="正文缩进1"/>
    <w:basedOn w:val="1"/>
    <w:qFormat/>
    <w:uiPriority w:val="0"/>
    <w:pPr>
      <w:widowControl/>
      <w:ind w:firstLine="420"/>
      <w:jc w:val="left"/>
    </w:pPr>
    <w:rPr>
      <w:rFonts w:ascii="Times New Roman" w:hAnsi="Times New Roman" w:eastAsia="宋体" w:cs="Times New Roman"/>
      <w:kern w:val="0"/>
      <w:sz w:val="20"/>
      <w:szCs w:val="20"/>
    </w:rPr>
  </w:style>
  <w:style w:type="paragraph" w:customStyle="1" w:styleId="225">
    <w:name w:val="列出段落1"/>
    <w:basedOn w:val="1"/>
    <w:qFormat/>
    <w:uiPriority w:val="0"/>
    <w:pPr>
      <w:ind w:firstLine="420" w:firstLineChars="200"/>
    </w:pPr>
    <w:rPr>
      <w:rFonts w:ascii="Times New Roman" w:hAnsi="Times New Roman" w:eastAsia="宋体" w:cs="Times New Roman"/>
      <w:szCs w:val="21"/>
    </w:rPr>
  </w:style>
  <w:style w:type="paragraph" w:customStyle="1" w:styleId="226">
    <w:name w:val="表格"/>
    <w:basedOn w:val="1"/>
    <w:qFormat/>
    <w:uiPriority w:val="0"/>
    <w:pPr>
      <w:jc w:val="center"/>
    </w:pPr>
    <w:rPr>
      <w:rFonts w:ascii="华文细黑" w:hAnsi="华文细黑" w:eastAsia="宋体" w:cs="华文细黑"/>
      <w:kern w:val="0"/>
      <w:szCs w:val="21"/>
    </w:rPr>
  </w:style>
  <w:style w:type="paragraph" w:customStyle="1" w:styleId="227">
    <w:name w:val="p0"/>
    <w:basedOn w:val="1"/>
    <w:qFormat/>
    <w:uiPriority w:val="0"/>
    <w:pPr>
      <w:widowControl/>
    </w:pPr>
    <w:rPr>
      <w:rFonts w:ascii="Calibri" w:hAnsi="Calibri" w:eastAsia="宋体" w:cs="Calibri"/>
      <w:kern w:val="0"/>
      <w:szCs w:val="21"/>
    </w:rPr>
  </w:style>
  <w:style w:type="character" w:customStyle="1" w:styleId="228">
    <w:name w:val="标题 1 字符"/>
    <w:qFormat/>
    <w:uiPriority w:val="9"/>
    <w:rPr>
      <w:b/>
      <w:bCs/>
      <w:kern w:val="44"/>
      <w:sz w:val="44"/>
      <w:szCs w:val="44"/>
    </w:rPr>
  </w:style>
  <w:style w:type="character" w:customStyle="1" w:styleId="229">
    <w:name w:val="标题 2 字符"/>
    <w:semiHidden/>
    <w:qFormat/>
    <w:uiPriority w:val="9"/>
    <w:rPr>
      <w:rFonts w:hint="eastAsia" w:ascii="等线 Light" w:hAnsi="等线 Light" w:eastAsia="等线 Light" w:cs="Times New Roman"/>
      <w:b/>
      <w:bCs/>
      <w:kern w:val="2"/>
      <w:sz w:val="32"/>
      <w:szCs w:val="32"/>
    </w:rPr>
  </w:style>
  <w:style w:type="character" w:customStyle="1" w:styleId="230">
    <w:name w:val="标题 3 字符"/>
    <w:semiHidden/>
    <w:qFormat/>
    <w:uiPriority w:val="9"/>
    <w:rPr>
      <w:b/>
      <w:bCs/>
      <w:kern w:val="2"/>
      <w:sz w:val="32"/>
      <w:szCs w:val="32"/>
    </w:rPr>
  </w:style>
  <w:style w:type="character" w:customStyle="1" w:styleId="231">
    <w:name w:val="标题 4 字符"/>
    <w:semiHidden/>
    <w:qFormat/>
    <w:uiPriority w:val="9"/>
    <w:rPr>
      <w:rFonts w:hint="eastAsia" w:ascii="等线 Light" w:hAnsi="等线 Light" w:eastAsia="等线 Light" w:cs="Times New Roman"/>
      <w:b/>
      <w:bCs/>
      <w:kern w:val="2"/>
      <w:sz w:val="28"/>
      <w:szCs w:val="28"/>
    </w:rPr>
  </w:style>
  <w:style w:type="character" w:customStyle="1" w:styleId="232">
    <w:name w:val="标题 5 字符"/>
    <w:semiHidden/>
    <w:qFormat/>
    <w:uiPriority w:val="9"/>
    <w:rPr>
      <w:b/>
      <w:bCs/>
      <w:kern w:val="2"/>
      <w:sz w:val="28"/>
      <w:szCs w:val="28"/>
    </w:rPr>
  </w:style>
  <w:style w:type="character" w:customStyle="1" w:styleId="233">
    <w:name w:val="标题 6 字符"/>
    <w:semiHidden/>
    <w:qFormat/>
    <w:uiPriority w:val="9"/>
    <w:rPr>
      <w:rFonts w:hint="eastAsia" w:ascii="等线 Light" w:hAnsi="等线 Light" w:eastAsia="等线 Light" w:cs="Times New Roman"/>
      <w:b/>
      <w:bCs/>
      <w:kern w:val="2"/>
      <w:sz w:val="24"/>
      <w:szCs w:val="24"/>
    </w:rPr>
  </w:style>
  <w:style w:type="character" w:customStyle="1" w:styleId="234">
    <w:name w:val="标题 7 字符"/>
    <w:semiHidden/>
    <w:qFormat/>
    <w:uiPriority w:val="9"/>
    <w:rPr>
      <w:b/>
      <w:bCs/>
      <w:kern w:val="2"/>
      <w:sz w:val="24"/>
      <w:szCs w:val="24"/>
    </w:rPr>
  </w:style>
  <w:style w:type="character" w:customStyle="1" w:styleId="235">
    <w:name w:val="标题 8 字符"/>
    <w:semiHidden/>
    <w:qFormat/>
    <w:uiPriority w:val="9"/>
    <w:rPr>
      <w:rFonts w:hint="eastAsia" w:ascii="等线 Light" w:hAnsi="等线 Light" w:eastAsia="等线 Light" w:cs="Times New Roman"/>
      <w:kern w:val="2"/>
      <w:sz w:val="24"/>
      <w:szCs w:val="24"/>
    </w:rPr>
  </w:style>
  <w:style w:type="character" w:customStyle="1" w:styleId="236">
    <w:name w:val="标题 9 字符"/>
    <w:semiHidden/>
    <w:qFormat/>
    <w:uiPriority w:val="9"/>
    <w:rPr>
      <w:rFonts w:hint="eastAsia" w:ascii="等线 Light" w:hAnsi="等线 Light" w:eastAsia="等线 Light" w:cs="Times New Roman"/>
      <w:kern w:val="2"/>
      <w:sz w:val="21"/>
      <w:szCs w:val="21"/>
    </w:rPr>
  </w:style>
  <w:style w:type="character" w:customStyle="1" w:styleId="237">
    <w:name w:val="正文文本 字符"/>
    <w:qFormat/>
    <w:uiPriority w:val="0"/>
    <w:rPr>
      <w:rFonts w:hint="default" w:ascii="Times New Roman" w:hAnsi="Times New Roman" w:cs="Times New Roman"/>
      <w:kern w:val="2"/>
      <w:sz w:val="21"/>
      <w:szCs w:val="24"/>
    </w:rPr>
  </w:style>
  <w:style w:type="character" w:customStyle="1" w:styleId="238">
    <w:name w:val="正文文本缩进 字符"/>
    <w:qFormat/>
    <w:uiPriority w:val="99"/>
    <w:rPr>
      <w:kern w:val="2"/>
      <w:sz w:val="21"/>
    </w:rPr>
  </w:style>
  <w:style w:type="character" w:customStyle="1" w:styleId="239">
    <w:name w:val="批注框文本 Char2"/>
    <w:semiHidden/>
    <w:qFormat/>
    <w:locked/>
    <w:uiPriority w:val="0"/>
    <w:rPr>
      <w:kern w:val="2"/>
      <w:sz w:val="18"/>
      <w:szCs w:val="18"/>
    </w:rPr>
  </w:style>
  <w:style w:type="character" w:customStyle="1" w:styleId="240">
    <w:name w:val="页脚 字符"/>
    <w:semiHidden/>
    <w:qFormat/>
    <w:uiPriority w:val="99"/>
    <w:rPr>
      <w:kern w:val="2"/>
      <w:sz w:val="18"/>
      <w:szCs w:val="18"/>
    </w:rPr>
  </w:style>
  <w:style w:type="character" w:customStyle="1" w:styleId="241">
    <w:name w:val="页眉 字符"/>
    <w:semiHidden/>
    <w:qFormat/>
    <w:uiPriority w:val="99"/>
    <w:rPr>
      <w:kern w:val="2"/>
      <w:sz w:val="18"/>
      <w:szCs w:val="18"/>
    </w:rPr>
  </w:style>
  <w:style w:type="character" w:customStyle="1" w:styleId="242">
    <w:name w:val="NormalCharacter"/>
    <w:qFormat/>
    <w:uiPriority w:val="0"/>
  </w:style>
  <w:style w:type="character" w:customStyle="1" w:styleId="243">
    <w:name w:val="Header Char"/>
    <w:qFormat/>
    <w:uiPriority w:val="0"/>
    <w:rPr>
      <w:kern w:val="2"/>
      <w:sz w:val="18"/>
      <w:szCs w:val="18"/>
    </w:rPr>
  </w:style>
  <w:style w:type="character" w:customStyle="1" w:styleId="244">
    <w:name w:val="标题 3 字符1"/>
    <w:qFormat/>
    <w:uiPriority w:val="0"/>
    <w:rPr>
      <w:rFonts w:hint="default" w:ascii="Times New Roman" w:hAnsi="Times New Roman" w:eastAsia="黑体" w:cs="Times New Roman"/>
      <w:bCs/>
      <w:sz w:val="32"/>
      <w:szCs w:val="32"/>
    </w:rPr>
  </w:style>
  <w:style w:type="character" w:customStyle="1" w:styleId="245">
    <w:name w:val="日期 Char2"/>
    <w:semiHidden/>
    <w:qFormat/>
    <w:locked/>
    <w:uiPriority w:val="0"/>
    <w:rPr>
      <w:kern w:val="2"/>
      <w:sz w:val="21"/>
      <w:szCs w:val="24"/>
    </w:rPr>
  </w:style>
  <w:style w:type="character" w:customStyle="1" w:styleId="246">
    <w:name w:val="页眉 字符1"/>
    <w:qFormat/>
    <w:uiPriority w:val="0"/>
    <w:rPr>
      <w:rFonts w:hint="default" w:ascii="Times New Roman" w:hAnsi="Times New Roman" w:cs="Times New Roman"/>
      <w:kern w:val="2"/>
      <w:sz w:val="18"/>
    </w:rPr>
  </w:style>
  <w:style w:type="character" w:customStyle="1" w:styleId="247">
    <w:name w:val="Body Text 3 Char Char"/>
    <w:qFormat/>
    <w:uiPriority w:val="0"/>
    <w:rPr>
      <w:kern w:val="2"/>
      <w:sz w:val="24"/>
      <w:szCs w:val="24"/>
    </w:rPr>
  </w:style>
  <w:style w:type="character" w:customStyle="1" w:styleId="248">
    <w:name w:val="明显强调1"/>
    <w:qFormat/>
    <w:uiPriority w:val="0"/>
    <w:rPr>
      <w:b/>
      <w:bCs/>
      <w:i/>
      <w:iCs/>
      <w:color w:val="auto"/>
    </w:rPr>
  </w:style>
  <w:style w:type="character" w:customStyle="1" w:styleId="249">
    <w:name w:val="标题 9 字符1"/>
    <w:qFormat/>
    <w:uiPriority w:val="0"/>
    <w:rPr>
      <w:rFonts w:hint="default" w:ascii="Arial" w:hAnsi="Arial" w:eastAsia="黑体" w:cs="Arial"/>
      <w:szCs w:val="21"/>
    </w:rPr>
  </w:style>
  <w:style w:type="character" w:customStyle="1" w:styleId="250">
    <w:name w:val="正文文本 3 Char1"/>
    <w:semiHidden/>
    <w:qFormat/>
    <w:locked/>
    <w:uiPriority w:val="99"/>
    <w:rPr>
      <w:kern w:val="2"/>
      <w:sz w:val="16"/>
      <w:szCs w:val="16"/>
    </w:rPr>
  </w:style>
  <w:style w:type="character" w:customStyle="1" w:styleId="251">
    <w:name w:val="页脚 字符1"/>
    <w:qFormat/>
    <w:uiPriority w:val="0"/>
    <w:rPr>
      <w:kern w:val="2"/>
      <w:sz w:val="18"/>
    </w:rPr>
  </w:style>
  <w:style w:type="character" w:customStyle="1" w:styleId="252">
    <w:name w:val="样式 粉红"/>
    <w:qFormat/>
    <w:uiPriority w:val="0"/>
    <w:rPr>
      <w:color w:val="auto"/>
      <w:u w:val="none"/>
    </w:rPr>
  </w:style>
  <w:style w:type="character" w:customStyle="1" w:styleId="253">
    <w:name w:val="标题 4 字符1"/>
    <w:qFormat/>
    <w:uiPriority w:val="0"/>
    <w:rPr>
      <w:rFonts w:hint="default" w:ascii="Arial" w:hAnsi="Arial" w:eastAsia="黑体" w:cs="Arial"/>
      <w:b/>
      <w:bCs/>
      <w:sz w:val="28"/>
      <w:szCs w:val="28"/>
    </w:rPr>
  </w:style>
  <w:style w:type="character" w:customStyle="1" w:styleId="254">
    <w:name w:val="Title Char Char"/>
    <w:qFormat/>
    <w:uiPriority w:val="0"/>
    <w:rPr>
      <w:rFonts w:hint="default" w:ascii="Cambria" w:hAnsi="Cambria" w:cs="Cambria"/>
      <w:b/>
      <w:bCs/>
      <w:kern w:val="2"/>
      <w:sz w:val="32"/>
      <w:szCs w:val="32"/>
    </w:rPr>
  </w:style>
  <w:style w:type="character" w:customStyle="1" w:styleId="255">
    <w:name w:val="Footer Char"/>
    <w:qFormat/>
    <w:uiPriority w:val="0"/>
    <w:rPr>
      <w:kern w:val="2"/>
      <w:sz w:val="18"/>
      <w:szCs w:val="18"/>
    </w:rPr>
  </w:style>
  <w:style w:type="character" w:customStyle="1" w:styleId="256">
    <w:name w:val="副标题 Char1"/>
    <w:qFormat/>
    <w:locked/>
    <w:uiPriority w:val="0"/>
    <w:rPr>
      <w:rFonts w:ascii="Cambria" w:hAnsi="Cambria" w:eastAsia="Times New Roman"/>
      <w:b/>
      <w:bCs/>
      <w:kern w:val="28"/>
      <w:sz w:val="32"/>
      <w:szCs w:val="32"/>
    </w:rPr>
  </w:style>
  <w:style w:type="character" w:customStyle="1" w:styleId="257">
    <w:name w:val="标题 2 字符1"/>
    <w:qFormat/>
    <w:uiPriority w:val="0"/>
    <w:rPr>
      <w:rFonts w:hint="default" w:ascii="Cambria" w:hAnsi="Cambria" w:eastAsia="黑体"/>
      <w:b/>
      <w:bCs/>
      <w:sz w:val="32"/>
      <w:szCs w:val="32"/>
    </w:rPr>
  </w:style>
  <w:style w:type="character" w:customStyle="1" w:styleId="258">
    <w:name w:val="纯文本 字符1"/>
    <w:qFormat/>
    <w:uiPriority w:val="0"/>
    <w:rPr>
      <w:rFonts w:hint="eastAsia" w:ascii="宋体" w:hAnsi="Courier New" w:eastAsia="宋体" w:cs="宋体"/>
      <w:sz w:val="21"/>
      <w:szCs w:val="21"/>
    </w:rPr>
  </w:style>
  <w:style w:type="character" w:customStyle="1" w:styleId="259">
    <w:name w:val="标题 1 Char1"/>
    <w:qFormat/>
    <w:locked/>
    <w:uiPriority w:val="0"/>
    <w:rPr>
      <w:rFonts w:ascii="黑体" w:eastAsia="黑体" w:cs="宋体"/>
      <w:sz w:val="52"/>
    </w:rPr>
  </w:style>
  <w:style w:type="character" w:customStyle="1" w:styleId="260">
    <w:name w:val="无间隔 Char Char"/>
    <w:qFormat/>
    <w:uiPriority w:val="0"/>
    <w:rPr>
      <w:rFonts w:hint="default" w:ascii="Calibri" w:hAnsi="Calibri" w:cs="Calibri"/>
      <w:sz w:val="22"/>
      <w:szCs w:val="22"/>
      <w:lang w:val="en-US" w:eastAsia="zh-CN"/>
    </w:rPr>
  </w:style>
  <w:style w:type="character" w:customStyle="1" w:styleId="261">
    <w:name w:val="引用 字符1"/>
    <w:qFormat/>
    <w:uiPriority w:val="0"/>
    <w:rPr>
      <w:i/>
      <w:iCs/>
      <w:color w:val="000000"/>
      <w:kern w:val="2"/>
      <w:sz w:val="21"/>
      <w:szCs w:val="22"/>
    </w:rPr>
  </w:style>
  <w:style w:type="character" w:customStyle="1" w:styleId="262">
    <w:name w:val="Plain Text Char Char"/>
    <w:qFormat/>
    <w:uiPriority w:val="0"/>
    <w:rPr>
      <w:rFonts w:hint="eastAsia" w:ascii="宋体" w:hAnsi="Courier New" w:eastAsia="宋体" w:cs="宋体"/>
      <w:kern w:val="2"/>
      <w:sz w:val="21"/>
      <w:szCs w:val="21"/>
    </w:rPr>
  </w:style>
  <w:style w:type="character" w:customStyle="1" w:styleId="263">
    <w:name w:val="标题 7 字符1"/>
    <w:qFormat/>
    <w:uiPriority w:val="0"/>
    <w:rPr>
      <w:rFonts w:hint="default" w:ascii="Times New Roman" w:hAnsi="Times New Roman" w:cs="Times New Roman"/>
      <w:b/>
      <w:bCs/>
      <w:sz w:val="24"/>
      <w:szCs w:val="24"/>
    </w:rPr>
  </w:style>
  <w:style w:type="character" w:customStyle="1" w:styleId="264">
    <w:name w:val="Balloon Text Char Char"/>
    <w:qFormat/>
    <w:uiPriority w:val="0"/>
    <w:rPr>
      <w:kern w:val="2"/>
      <w:sz w:val="18"/>
      <w:szCs w:val="18"/>
    </w:rPr>
  </w:style>
  <w:style w:type="character" w:customStyle="1" w:styleId="265">
    <w:name w:val="Subtitle Char Char"/>
    <w:qFormat/>
    <w:uiPriority w:val="0"/>
    <w:rPr>
      <w:rFonts w:hint="default" w:ascii="Cambria" w:hAnsi="Cambria" w:cs="Cambria"/>
      <w:b/>
      <w:bCs/>
      <w:kern w:val="28"/>
      <w:sz w:val="32"/>
      <w:szCs w:val="32"/>
    </w:rPr>
  </w:style>
  <w:style w:type="character" w:customStyle="1" w:styleId="266">
    <w:name w:val="页码1"/>
    <w:qFormat/>
    <w:uiPriority w:val="0"/>
  </w:style>
  <w:style w:type="character" w:customStyle="1" w:styleId="267">
    <w:name w:val="普通文字 Char1"/>
    <w:qFormat/>
    <w:uiPriority w:val="0"/>
    <w:rPr>
      <w:rFonts w:hint="eastAsia" w:ascii="宋体" w:hAnsi="Courier New" w:eastAsia="宋体" w:cs="宋体"/>
      <w:kern w:val="2"/>
      <w:sz w:val="21"/>
      <w:szCs w:val="21"/>
      <w:lang w:val="en-US" w:eastAsia="zh-CN"/>
    </w:rPr>
  </w:style>
  <w:style w:type="character" w:customStyle="1" w:styleId="268">
    <w:name w:val="标题 5 字符1"/>
    <w:qFormat/>
    <w:uiPriority w:val="0"/>
    <w:rPr>
      <w:rFonts w:hint="default" w:ascii="Times New Roman" w:hAnsi="Times New Roman" w:cs="Times New Roman"/>
      <w:b/>
      <w:bCs/>
      <w:sz w:val="28"/>
      <w:szCs w:val="28"/>
    </w:rPr>
  </w:style>
  <w:style w:type="character" w:customStyle="1" w:styleId="269">
    <w:name w:val="标题 8 字符1"/>
    <w:qFormat/>
    <w:uiPriority w:val="0"/>
    <w:rPr>
      <w:rFonts w:hint="default" w:ascii="Arial" w:hAnsi="Arial" w:eastAsia="黑体" w:cs="Arial"/>
      <w:sz w:val="24"/>
      <w:szCs w:val="24"/>
    </w:rPr>
  </w:style>
  <w:style w:type="character" w:customStyle="1" w:styleId="270">
    <w:name w:val="Document Map Char Char"/>
    <w:qFormat/>
    <w:uiPriority w:val="0"/>
    <w:rPr>
      <w:kern w:val="2"/>
      <w:sz w:val="24"/>
      <w:szCs w:val="24"/>
      <w:shd w:val="clear" w:color="auto" w:fill="000080"/>
    </w:rPr>
  </w:style>
  <w:style w:type="character" w:customStyle="1" w:styleId="271">
    <w:name w:val="Date Char Char"/>
    <w:qFormat/>
    <w:uiPriority w:val="0"/>
    <w:rPr>
      <w:kern w:val="2"/>
      <w:sz w:val="24"/>
      <w:szCs w:val="24"/>
    </w:rPr>
  </w:style>
  <w:style w:type="character" w:customStyle="1" w:styleId="272">
    <w:name w:val="font161"/>
    <w:qFormat/>
    <w:uiPriority w:val="0"/>
    <w:rPr>
      <w:b/>
      <w:bCs/>
      <w:sz w:val="32"/>
      <w:szCs w:val="32"/>
    </w:rPr>
  </w:style>
  <w:style w:type="character" w:customStyle="1" w:styleId="273">
    <w:name w:val="明显引用 字符1"/>
    <w:qFormat/>
    <w:uiPriority w:val="0"/>
    <w:rPr>
      <w:b/>
      <w:bCs/>
      <w:i/>
      <w:iCs/>
      <w:color w:val="4F81BD"/>
      <w:kern w:val="2"/>
      <w:sz w:val="21"/>
      <w:szCs w:val="22"/>
    </w:rPr>
  </w:style>
  <w:style w:type="character" w:customStyle="1" w:styleId="274">
    <w:name w:val="标题 6 字符1"/>
    <w:qFormat/>
    <w:uiPriority w:val="0"/>
    <w:rPr>
      <w:rFonts w:hint="default" w:ascii="Arial" w:hAnsi="Arial" w:eastAsia="黑体" w:cs="Arial"/>
      <w:b/>
      <w:bCs/>
      <w:sz w:val="24"/>
      <w:szCs w:val="24"/>
    </w:rPr>
  </w:style>
  <w:style w:type="character" w:customStyle="1" w:styleId="275">
    <w:name w:val="标题 Char1"/>
    <w:qFormat/>
    <w:locked/>
    <w:uiPriority w:val="0"/>
    <w:rPr>
      <w:rFonts w:ascii="Cambria" w:hAnsi="Cambria" w:eastAsia="Times New Roman"/>
      <w:b/>
      <w:bCs/>
      <w:kern w:val="2"/>
      <w:sz w:val="32"/>
      <w:szCs w:val="32"/>
    </w:rPr>
  </w:style>
  <w:style w:type="character" w:customStyle="1" w:styleId="276">
    <w:name w:val="批注文字 字符1"/>
    <w:qFormat/>
    <w:uiPriority w:val="0"/>
    <w:rPr>
      <w:rFonts w:hint="eastAsia" w:ascii="宋体" w:hAnsi="宋体" w:eastAsia="宋体"/>
      <w:sz w:val="28"/>
    </w:rPr>
  </w:style>
  <w:style w:type="character" w:customStyle="1" w:styleId="277">
    <w:name w:val="文档结构图 Char2"/>
    <w:semiHidden/>
    <w:qFormat/>
    <w:locked/>
    <w:uiPriority w:val="0"/>
    <w:rPr>
      <w:shd w:val="clear" w:color="auto" w:fill="000080"/>
    </w:rPr>
  </w:style>
  <w:style w:type="character" w:customStyle="1" w:styleId="278">
    <w:name w:val="批注文字 字符"/>
    <w:semiHidden/>
    <w:qFormat/>
    <w:uiPriority w:val="99"/>
    <w:rPr>
      <w:kern w:val="2"/>
      <w:sz w:val="21"/>
    </w:rPr>
  </w:style>
  <w:style w:type="character" w:customStyle="1" w:styleId="279">
    <w:name w:val="正文文本 3 字符"/>
    <w:semiHidden/>
    <w:qFormat/>
    <w:uiPriority w:val="99"/>
    <w:rPr>
      <w:kern w:val="2"/>
      <w:sz w:val="16"/>
      <w:szCs w:val="16"/>
    </w:rPr>
  </w:style>
  <w:style w:type="character" w:customStyle="1" w:styleId="280">
    <w:name w:val="日期 字符"/>
    <w:semiHidden/>
    <w:qFormat/>
    <w:uiPriority w:val="99"/>
    <w:rPr>
      <w:kern w:val="2"/>
      <w:sz w:val="21"/>
    </w:rPr>
  </w:style>
  <w:style w:type="character" w:customStyle="1" w:styleId="281">
    <w:name w:val="纯文本 字符"/>
    <w:semiHidden/>
    <w:qFormat/>
    <w:uiPriority w:val="99"/>
    <w:rPr>
      <w:rFonts w:hint="eastAsia" w:ascii="DengXian" w:hAnsi="Courier New" w:eastAsia="DengXian" w:cs="Courier New"/>
      <w:kern w:val="2"/>
      <w:sz w:val="21"/>
    </w:rPr>
  </w:style>
  <w:style w:type="character" w:customStyle="1" w:styleId="282">
    <w:name w:val="正文文本缩进 2 Char1"/>
    <w:semiHidden/>
    <w:qFormat/>
    <w:locked/>
    <w:uiPriority w:val="99"/>
    <w:rPr>
      <w:kern w:val="2"/>
      <w:sz w:val="21"/>
      <w:szCs w:val="24"/>
    </w:rPr>
  </w:style>
  <w:style w:type="character" w:customStyle="1" w:styleId="283">
    <w:name w:val="副标题 字符"/>
    <w:qFormat/>
    <w:uiPriority w:val="11"/>
    <w:rPr>
      <w:rFonts w:hint="eastAsia" w:ascii="DengXian" w:hAnsi="DengXian" w:eastAsia="DengXian" w:cs="Times New Roman"/>
      <w:b/>
      <w:bCs/>
      <w:kern w:val="28"/>
      <w:sz w:val="32"/>
      <w:szCs w:val="32"/>
    </w:rPr>
  </w:style>
  <w:style w:type="character" w:customStyle="1" w:styleId="284">
    <w:name w:val="批注主题 Char2"/>
    <w:semiHidden/>
    <w:qFormat/>
    <w:locked/>
    <w:uiPriority w:val="0"/>
    <w:rPr>
      <w:b/>
      <w:bCs/>
      <w:kern w:val="2"/>
      <w:sz w:val="21"/>
      <w:szCs w:val="24"/>
    </w:rPr>
  </w:style>
  <w:style w:type="character" w:customStyle="1" w:styleId="285">
    <w:name w:val="正文文本 2 Char1"/>
    <w:semiHidden/>
    <w:qFormat/>
    <w:locked/>
    <w:uiPriority w:val="99"/>
    <w:rPr>
      <w:kern w:val="2"/>
      <w:sz w:val="21"/>
      <w:szCs w:val="24"/>
    </w:rPr>
  </w:style>
  <w:style w:type="character" w:customStyle="1" w:styleId="286">
    <w:name w:val="正文文本缩进 3 Char1"/>
    <w:semiHidden/>
    <w:qFormat/>
    <w:locked/>
    <w:uiPriority w:val="0"/>
    <w:rPr>
      <w:rFonts w:ascii="宋体" w:hAnsi="Courier New"/>
      <w:kern w:val="2"/>
      <w:sz w:val="21"/>
      <w:szCs w:val="24"/>
    </w:rPr>
  </w:style>
  <w:style w:type="character" w:customStyle="1" w:styleId="287">
    <w:name w:val="标题 字符"/>
    <w:qFormat/>
    <w:uiPriority w:val="10"/>
    <w:rPr>
      <w:rFonts w:hint="eastAsia" w:ascii="等线 Light" w:hAnsi="等线 Light" w:eastAsia="等线 Light" w:cs="Times New Roman"/>
      <w:b/>
      <w:bCs/>
      <w:kern w:val="2"/>
      <w:sz w:val="32"/>
      <w:szCs w:val="32"/>
    </w:rPr>
  </w:style>
  <w:style w:type="character" w:customStyle="1" w:styleId="288">
    <w:name w:val="引用 字符"/>
    <w:qFormat/>
    <w:uiPriority w:val="29"/>
    <w:rPr>
      <w:i/>
      <w:iCs/>
      <w:color w:val="404040"/>
      <w:kern w:val="2"/>
      <w:sz w:val="21"/>
    </w:rPr>
  </w:style>
  <w:style w:type="character" w:customStyle="1" w:styleId="289">
    <w:name w:val="明显引用 字符"/>
    <w:qFormat/>
    <w:uiPriority w:val="30"/>
    <w:rPr>
      <w:i/>
      <w:iCs/>
      <w:color w:val="4472C4"/>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63FD47-1B22-42C6-9778-2BC8A8D07107}">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80</Pages>
  <Words>39247</Words>
  <Characters>41558</Characters>
  <Lines>367</Lines>
  <Paragraphs>103</Paragraphs>
  <TotalTime>1</TotalTime>
  <ScaleCrop>false</ScaleCrop>
  <LinksUpToDate>false</LinksUpToDate>
  <CharactersWithSpaces>48957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2024-06-12T23:45:00Z</dcterms:created>
  <dc:creator>xb21cn</dc:creator>
  <cp:lastModifiedBy>麗艷</cp:lastModifiedBy>
  <cp:lastPrinted>2022-07-01T04:09:00Z</cp:lastPrinted>
  <dcterms:modified xsi:type="dcterms:W3CDTF">2024-06-20T01:47:51Z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8188C0880A414F7DB350143A7B213C46</vt:lpwstr>
  </property>
</Properties>
</file>