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宋体" w:hAnsi="宋体" w:eastAsia="宋体" w:cs="宋体"/>
          <w:b/>
          <w:sz w:val="28"/>
        </w:rPr>
      </w:pPr>
      <w:bookmarkStart w:id="0" w:name="_Toc29584"/>
      <w:bookmarkStart w:id="1" w:name="_Toc17676"/>
      <w:r>
        <w:rPr>
          <w:rFonts w:hint="eastAsia" w:ascii="宋体" w:hAnsi="宋体" w:eastAsia="宋体" w:cs="宋体"/>
          <w:b/>
          <w:sz w:val="28"/>
        </w:rPr>
        <w:t>采购需求</w:t>
      </w:r>
      <w:bookmarkEnd w:id="0"/>
      <w:bookmarkEnd w:id="1"/>
    </w:p>
    <w:p>
      <w:pPr>
        <w:spacing w:line="360" w:lineRule="auto"/>
        <w:jc w:val="center"/>
        <w:rPr>
          <w:rFonts w:hint="eastAsia" w:ascii="宋体" w:hAnsi="宋体" w:eastAsia="宋体" w:cs="宋体"/>
          <w:b/>
          <w:sz w:val="24"/>
          <w:lang w:eastAsia="zh-CN"/>
        </w:rPr>
      </w:pPr>
      <w:r>
        <w:rPr>
          <w:rFonts w:hint="eastAsia" w:ascii="宋体" w:hAnsi="宋体" w:eastAsia="宋体" w:cs="宋体"/>
          <w:b/>
          <w:sz w:val="24"/>
          <w:lang w:eastAsia="zh-CN"/>
        </w:rPr>
        <w:t>（仅供参考，以招标文件为准）</w:t>
      </w:r>
    </w:p>
    <w:p>
      <w:pPr>
        <w:spacing w:line="360" w:lineRule="auto"/>
        <w:rPr>
          <w:rFonts w:ascii="宋体" w:hAnsi="宋体" w:eastAsia="宋体" w:cs="宋体"/>
          <w:b/>
          <w:sz w:val="24"/>
        </w:rPr>
      </w:pPr>
      <w:r>
        <w:rPr>
          <w:rFonts w:hint="eastAsia" w:ascii="宋体" w:hAnsi="宋体" w:eastAsia="宋体" w:cs="宋体"/>
          <w:b/>
          <w:sz w:val="24"/>
        </w:rPr>
        <w:t>前注：</w:t>
      </w:r>
      <w:bookmarkStart w:id="2" w:name="_GoBack"/>
      <w:bookmarkEnd w:id="2"/>
    </w:p>
    <w:p>
      <w:pPr>
        <w:spacing w:line="360" w:lineRule="auto"/>
        <w:ind w:firstLine="435"/>
        <w:rPr>
          <w:rFonts w:ascii="宋体" w:hAnsi="宋体" w:eastAsia="宋体" w:cs="宋体"/>
          <w:sz w:val="24"/>
          <w:szCs w:val="18"/>
        </w:rPr>
      </w:pPr>
      <w:r>
        <w:rPr>
          <w:rFonts w:hint="eastAsia" w:ascii="宋体" w:hAnsi="宋体" w:eastAsia="宋体" w:cs="宋体"/>
          <w:sz w:val="24"/>
        </w:rPr>
        <w:t>1.</w:t>
      </w:r>
      <w:r>
        <w:rPr>
          <w:rFonts w:hint="eastAsia" w:ascii="宋体" w:hAnsi="宋体" w:eastAsia="宋体" w:cs="宋体"/>
          <w:sz w:val="24"/>
          <w:szCs w:val="18"/>
        </w:rPr>
        <w:t>根据《关于规范政府采购进口产品有关工作的通知》及政府采购管理部门的相关规定，下列采购需求中标注进口产品的货物均已履行相关论证手续，经核准采购进口产品，但不限制满足招标文件要求的国内产品参与竞争。未标注进口产品的货物均为拒绝采购进口产品。</w:t>
      </w:r>
    </w:p>
    <w:p>
      <w:pPr>
        <w:spacing w:line="360" w:lineRule="auto"/>
        <w:ind w:firstLine="435"/>
        <w:rPr>
          <w:rFonts w:ascii="宋体" w:hAnsi="宋体" w:eastAsia="宋体" w:cs="宋体"/>
          <w:sz w:val="24"/>
          <w:szCs w:val="18"/>
        </w:rPr>
      </w:pPr>
      <w:r>
        <w:rPr>
          <w:rFonts w:hint="eastAsia" w:ascii="宋体" w:hAnsi="宋体" w:eastAsia="宋体" w:cs="宋体"/>
          <w:sz w:val="24"/>
          <w:szCs w:val="18"/>
        </w:rPr>
        <w:t>2.下列采购需求中：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pPr>
        <w:spacing w:line="360" w:lineRule="auto"/>
        <w:ind w:firstLine="435"/>
        <w:rPr>
          <w:rFonts w:ascii="宋体" w:hAnsi="宋体" w:eastAsia="宋体" w:cs="宋体"/>
          <w:sz w:val="24"/>
          <w:szCs w:val="18"/>
        </w:rPr>
      </w:pPr>
      <w:r>
        <w:rPr>
          <w:rFonts w:hint="eastAsia" w:ascii="宋体" w:hAnsi="宋体" w:eastAsia="宋体" w:cs="宋体"/>
          <w:sz w:val="24"/>
          <w:szCs w:val="18"/>
        </w:rPr>
        <w:t>3.下列采购需求中：标注▲的产品（核心产品），投标人在投标文件《主要中标标的承诺函》中填写名称、品牌、规格、型号、数量、单价等信息。</w:t>
      </w:r>
    </w:p>
    <w:p>
      <w:pPr>
        <w:spacing w:line="360" w:lineRule="auto"/>
        <w:ind w:firstLine="437"/>
        <w:outlineLvl w:val="1"/>
        <w:rPr>
          <w:rFonts w:ascii="宋体" w:hAnsi="宋体" w:eastAsia="宋体" w:cs="宋体"/>
          <w:b/>
          <w:sz w:val="24"/>
          <w:szCs w:val="18"/>
        </w:rPr>
      </w:pPr>
      <w:r>
        <w:rPr>
          <w:rFonts w:hint="eastAsia" w:ascii="宋体" w:hAnsi="宋体" w:eastAsia="宋体" w:cs="宋体"/>
          <w:b/>
          <w:sz w:val="24"/>
          <w:szCs w:val="18"/>
        </w:rPr>
        <w:t>一、采购需求前附表</w:t>
      </w:r>
    </w:p>
    <w:tbl>
      <w:tblPr>
        <w:tblStyle w:val="9"/>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181"/>
        <w:gridCol w:w="61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56" w:type="dxa"/>
            <w:vAlign w:val="center"/>
          </w:tcPr>
          <w:p>
            <w:pPr>
              <w:pStyle w:val="11"/>
              <w:pBdr>
                <w:bottom w:val="none" w:color="auto" w:sz="0" w:space="0"/>
              </w:pBdr>
              <w:tabs>
                <w:tab w:val="clear" w:pos="4153"/>
                <w:tab w:val="clear" w:pos="8306"/>
              </w:tabs>
              <w:adjustRightInd/>
              <w:spacing w:line="240" w:lineRule="auto"/>
              <w:textAlignment w:val="auto"/>
              <w:rPr>
                <w:rFonts w:ascii="宋体" w:hAnsi="宋体" w:eastAsia="宋体" w:cs="宋体"/>
                <w:b/>
                <w:kern w:val="2"/>
              </w:rPr>
            </w:pPr>
            <w:r>
              <w:rPr>
                <w:rFonts w:hint="eastAsia" w:ascii="宋体" w:hAnsi="宋体" w:eastAsia="宋体" w:cs="宋体"/>
                <w:b/>
                <w:kern w:val="2"/>
              </w:rPr>
              <w:t>序号</w:t>
            </w:r>
          </w:p>
        </w:tc>
        <w:tc>
          <w:tcPr>
            <w:tcW w:w="2181" w:type="dxa"/>
            <w:vAlign w:val="center"/>
          </w:tcPr>
          <w:p>
            <w:pPr>
              <w:pStyle w:val="12"/>
              <w:widowControl w:val="0"/>
              <w:spacing w:before="0" w:beforeAutospacing="0" w:after="0" w:afterAutospacing="0" w:line="360" w:lineRule="auto"/>
              <w:rPr>
                <w:rFonts w:ascii="宋体" w:hAnsi="宋体" w:eastAsia="宋体" w:cs="宋体"/>
                <w:bCs w:val="0"/>
                <w:sz w:val="24"/>
              </w:rPr>
            </w:pPr>
            <w:r>
              <w:rPr>
                <w:rFonts w:hint="eastAsia" w:ascii="宋体" w:hAnsi="宋体" w:eastAsia="宋体" w:cs="宋体"/>
                <w:bCs w:val="0"/>
                <w:sz w:val="24"/>
              </w:rPr>
              <w:t>条款名称</w:t>
            </w:r>
          </w:p>
        </w:tc>
        <w:tc>
          <w:tcPr>
            <w:tcW w:w="6151" w:type="dxa"/>
            <w:vAlign w:val="center"/>
          </w:tcPr>
          <w:p>
            <w:pPr>
              <w:pStyle w:val="12"/>
              <w:widowControl w:val="0"/>
              <w:spacing w:before="0" w:beforeAutospacing="0" w:after="0" w:afterAutospacing="0" w:line="360" w:lineRule="auto"/>
              <w:rPr>
                <w:rFonts w:ascii="宋体" w:hAnsi="宋体" w:eastAsia="宋体" w:cs="宋体"/>
                <w:bCs w:val="0"/>
                <w:sz w:val="24"/>
              </w:rPr>
            </w:pPr>
            <w:r>
              <w:rPr>
                <w:rFonts w:hint="eastAsia" w:ascii="宋体" w:hAnsi="宋体" w:eastAsia="宋体" w:cs="宋体"/>
                <w:bCs w:val="0"/>
                <w:sz w:val="24"/>
              </w:rPr>
              <w:t>内容、说明与要求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56" w:type="dxa"/>
            <w:vAlign w:val="center"/>
          </w:tcPr>
          <w:p>
            <w:pPr>
              <w:pStyle w:val="11"/>
              <w:pBdr>
                <w:bottom w:val="none" w:color="auto" w:sz="0" w:space="0"/>
              </w:pBdr>
              <w:tabs>
                <w:tab w:val="clear" w:pos="4153"/>
                <w:tab w:val="clear" w:pos="8306"/>
              </w:tabs>
              <w:adjustRightInd/>
              <w:spacing w:line="240" w:lineRule="auto"/>
              <w:textAlignment w:val="auto"/>
              <w:rPr>
                <w:rFonts w:ascii="宋体" w:hAnsi="宋体" w:eastAsia="宋体" w:cs="宋体"/>
                <w:bCs/>
                <w:kern w:val="2"/>
              </w:rPr>
            </w:pPr>
            <w:r>
              <w:rPr>
                <w:rFonts w:hint="eastAsia" w:ascii="宋体" w:hAnsi="宋体" w:eastAsia="宋体" w:cs="宋体"/>
                <w:bCs/>
                <w:kern w:val="2"/>
              </w:rPr>
              <w:t>1</w:t>
            </w:r>
          </w:p>
        </w:tc>
        <w:tc>
          <w:tcPr>
            <w:tcW w:w="2181" w:type="dxa"/>
            <w:vAlign w:val="center"/>
          </w:tcPr>
          <w:p>
            <w:pPr>
              <w:pStyle w:val="12"/>
              <w:widowControl w:val="0"/>
              <w:spacing w:before="0" w:beforeAutospacing="0" w:after="0" w:afterAutospacing="0" w:line="360" w:lineRule="auto"/>
              <w:rPr>
                <w:rFonts w:ascii="宋体" w:hAnsi="宋体" w:eastAsia="宋体" w:cs="宋体"/>
                <w:b w:val="0"/>
                <w:sz w:val="24"/>
              </w:rPr>
            </w:pPr>
            <w:r>
              <w:rPr>
                <w:rFonts w:hint="eastAsia" w:ascii="宋体" w:hAnsi="宋体" w:eastAsia="宋体" w:cs="宋体"/>
                <w:b w:val="0"/>
                <w:sz w:val="24"/>
              </w:rPr>
              <w:t>付款方式</w:t>
            </w:r>
          </w:p>
        </w:tc>
        <w:tc>
          <w:tcPr>
            <w:tcW w:w="6151" w:type="dxa"/>
            <w:vAlign w:val="center"/>
          </w:tcPr>
          <w:p>
            <w:pPr>
              <w:pStyle w:val="12"/>
              <w:widowControl w:val="0"/>
              <w:spacing w:before="0" w:beforeAutospacing="0" w:after="0" w:afterAutospacing="0" w:line="360" w:lineRule="auto"/>
              <w:jc w:val="both"/>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u w:val="single"/>
              </w:rPr>
              <w:t>进口</w:t>
            </w:r>
            <w:r>
              <w:rPr>
                <w:rFonts w:hint="eastAsia" w:ascii="宋体" w:hAnsi="宋体" w:eastAsia="宋体" w:cs="宋体"/>
                <w:b w:val="0"/>
                <w:bCs/>
                <w:color w:val="auto"/>
                <w:sz w:val="24"/>
                <w:highlight w:val="none"/>
                <w:u w:val="single"/>
                <w:lang w:eastAsia="zh-CN"/>
              </w:rPr>
              <w:t>产品</w:t>
            </w:r>
            <w:r>
              <w:rPr>
                <w:rFonts w:hint="eastAsia" w:ascii="宋体" w:hAnsi="宋体" w:eastAsia="宋体" w:cs="宋体"/>
                <w:b w:val="0"/>
                <w:bCs/>
                <w:color w:val="auto"/>
                <w:sz w:val="24"/>
                <w:highlight w:val="none"/>
                <w:u w:val="single"/>
              </w:rPr>
              <w:t>：外贸合同签订后，由采购人通过进出口业务代理公司开出全额信用证（100%L/C），90%见单即付，10%验收合格后支付</w:t>
            </w:r>
          </w:p>
          <w:p>
            <w:pPr>
              <w:pStyle w:val="12"/>
              <w:widowControl w:val="0"/>
              <w:spacing w:before="0" w:beforeAutospacing="0" w:after="0" w:afterAutospacing="0" w:line="360" w:lineRule="auto"/>
              <w:jc w:val="both"/>
              <w:rPr>
                <w:rFonts w:ascii="宋体" w:hAnsi="宋体" w:eastAsia="宋体" w:cs="宋体"/>
                <w:bCs w:val="0"/>
                <w:color w:val="auto"/>
                <w:sz w:val="24"/>
                <w:highlight w:val="none"/>
                <w:u w:val="single"/>
              </w:rPr>
            </w:pPr>
            <w:r>
              <w:rPr>
                <w:rFonts w:hint="eastAsia" w:ascii="宋体" w:hAnsi="宋体" w:eastAsia="宋体" w:cs="宋体"/>
                <w:b w:val="0"/>
                <w:bCs/>
                <w:color w:val="auto"/>
                <w:sz w:val="24"/>
                <w:highlight w:val="none"/>
                <w:u w:val="single"/>
              </w:rPr>
              <w:t>国产</w:t>
            </w:r>
            <w:r>
              <w:rPr>
                <w:rFonts w:hint="eastAsia" w:ascii="宋体" w:hAnsi="宋体" w:eastAsia="宋体" w:cs="宋体"/>
                <w:b w:val="0"/>
                <w:bCs/>
                <w:color w:val="auto"/>
                <w:sz w:val="24"/>
                <w:highlight w:val="none"/>
                <w:u w:val="single"/>
                <w:lang w:eastAsia="zh-CN"/>
              </w:rPr>
              <w:t>产品</w:t>
            </w:r>
            <w:r>
              <w:rPr>
                <w:rFonts w:hint="eastAsia" w:ascii="宋体" w:hAnsi="宋体" w:eastAsia="宋体" w:cs="宋体"/>
                <w:b w:val="0"/>
                <w:bCs/>
                <w:color w:val="auto"/>
                <w:sz w:val="24"/>
                <w:highlight w:val="none"/>
                <w:u w:val="single"/>
              </w:rPr>
              <w:t>：验收合格后30天内一次性支付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56" w:type="dxa"/>
            <w:vAlign w:val="center"/>
          </w:tcPr>
          <w:p>
            <w:pPr>
              <w:pStyle w:val="11"/>
              <w:pBdr>
                <w:bottom w:val="none" w:color="auto" w:sz="0" w:space="0"/>
              </w:pBdr>
              <w:tabs>
                <w:tab w:val="clear" w:pos="4153"/>
                <w:tab w:val="clear" w:pos="8306"/>
              </w:tabs>
              <w:adjustRightInd/>
              <w:spacing w:line="240" w:lineRule="auto"/>
              <w:textAlignment w:val="auto"/>
              <w:rPr>
                <w:rFonts w:ascii="宋体" w:hAnsi="宋体" w:eastAsia="宋体" w:cs="宋体"/>
                <w:bCs/>
                <w:kern w:val="2"/>
              </w:rPr>
            </w:pPr>
            <w:r>
              <w:rPr>
                <w:rFonts w:hint="eastAsia" w:ascii="宋体" w:hAnsi="宋体" w:eastAsia="宋体" w:cs="宋体"/>
                <w:bCs/>
                <w:kern w:val="2"/>
              </w:rPr>
              <w:t>2</w:t>
            </w:r>
          </w:p>
        </w:tc>
        <w:tc>
          <w:tcPr>
            <w:tcW w:w="2181" w:type="dxa"/>
            <w:vAlign w:val="center"/>
          </w:tcPr>
          <w:p>
            <w:pPr>
              <w:pStyle w:val="12"/>
              <w:widowControl w:val="0"/>
              <w:spacing w:before="0" w:beforeAutospacing="0" w:after="0" w:afterAutospacing="0" w:line="360" w:lineRule="auto"/>
              <w:rPr>
                <w:rFonts w:ascii="宋体" w:hAnsi="宋体" w:eastAsia="宋体" w:cs="宋体"/>
                <w:b w:val="0"/>
                <w:sz w:val="24"/>
              </w:rPr>
            </w:pPr>
            <w:r>
              <w:rPr>
                <w:rFonts w:hint="eastAsia" w:ascii="宋体" w:hAnsi="宋体" w:eastAsia="宋体" w:cs="宋体"/>
                <w:b w:val="0"/>
                <w:sz w:val="24"/>
              </w:rPr>
              <w:t>供货及安装地点</w:t>
            </w:r>
          </w:p>
        </w:tc>
        <w:tc>
          <w:tcPr>
            <w:tcW w:w="6151" w:type="dxa"/>
            <w:vAlign w:val="center"/>
          </w:tcPr>
          <w:p>
            <w:pPr>
              <w:pStyle w:val="12"/>
              <w:widowControl w:val="0"/>
              <w:spacing w:before="0" w:beforeAutospacing="0" w:after="0" w:afterAutospacing="0" w:line="360" w:lineRule="auto"/>
              <w:jc w:val="both"/>
              <w:rPr>
                <w:rFonts w:ascii="宋体" w:hAnsi="宋体" w:eastAsia="宋体" w:cs="宋体"/>
                <w:bCs w:val="0"/>
                <w:color w:val="auto"/>
                <w:sz w:val="24"/>
              </w:rPr>
            </w:pPr>
            <w:r>
              <w:rPr>
                <w:rFonts w:hint="eastAsia" w:ascii="宋体" w:hAnsi="宋体" w:eastAsia="宋体" w:cs="宋体"/>
                <w:b w:val="0"/>
                <w:bCs/>
                <w:color w:val="auto"/>
                <w:sz w:val="24"/>
                <w:u w:val="single"/>
              </w:rPr>
              <w:t>合肥工业大学宣城校区化学化工楼206实验室，采购人指定地点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56" w:type="dxa"/>
            <w:vAlign w:val="center"/>
          </w:tcPr>
          <w:p>
            <w:pPr>
              <w:pStyle w:val="11"/>
              <w:pBdr>
                <w:bottom w:val="none" w:color="auto" w:sz="0" w:space="0"/>
              </w:pBdr>
              <w:tabs>
                <w:tab w:val="clear" w:pos="4153"/>
                <w:tab w:val="clear" w:pos="8306"/>
              </w:tabs>
              <w:adjustRightInd/>
              <w:spacing w:line="240" w:lineRule="auto"/>
              <w:textAlignment w:val="auto"/>
              <w:rPr>
                <w:rFonts w:ascii="宋体" w:hAnsi="宋体" w:eastAsia="宋体" w:cs="宋体"/>
                <w:bCs/>
                <w:kern w:val="2"/>
              </w:rPr>
            </w:pPr>
            <w:r>
              <w:rPr>
                <w:rFonts w:hint="eastAsia" w:ascii="宋体" w:hAnsi="宋体" w:eastAsia="宋体" w:cs="宋体"/>
                <w:bCs/>
                <w:kern w:val="2"/>
              </w:rPr>
              <w:t>3</w:t>
            </w:r>
          </w:p>
        </w:tc>
        <w:tc>
          <w:tcPr>
            <w:tcW w:w="2181" w:type="dxa"/>
            <w:vAlign w:val="center"/>
          </w:tcPr>
          <w:p>
            <w:pPr>
              <w:pStyle w:val="12"/>
              <w:widowControl w:val="0"/>
              <w:spacing w:before="0" w:beforeAutospacing="0" w:after="0" w:afterAutospacing="0" w:line="360" w:lineRule="auto"/>
              <w:rPr>
                <w:rFonts w:ascii="宋体" w:hAnsi="宋体" w:eastAsia="宋体" w:cs="宋体"/>
                <w:b w:val="0"/>
                <w:sz w:val="24"/>
              </w:rPr>
            </w:pPr>
            <w:r>
              <w:rPr>
                <w:rFonts w:hint="eastAsia" w:ascii="宋体" w:hAnsi="宋体" w:eastAsia="宋体" w:cs="宋体"/>
                <w:b w:val="0"/>
                <w:sz w:val="24"/>
              </w:rPr>
              <w:t>供货及安装期限</w:t>
            </w:r>
          </w:p>
        </w:tc>
        <w:tc>
          <w:tcPr>
            <w:tcW w:w="6151" w:type="dxa"/>
            <w:vAlign w:val="center"/>
          </w:tcPr>
          <w:p>
            <w:pPr>
              <w:pStyle w:val="12"/>
              <w:widowControl w:val="0"/>
              <w:spacing w:before="0" w:beforeAutospacing="0" w:after="0" w:afterAutospacing="0" w:line="360" w:lineRule="auto"/>
              <w:jc w:val="both"/>
              <w:rPr>
                <w:rFonts w:ascii="宋体" w:hAnsi="宋体" w:eastAsia="宋体" w:cs="宋体"/>
                <w:bCs w:val="0"/>
                <w:color w:val="auto"/>
                <w:sz w:val="24"/>
              </w:rPr>
            </w:pPr>
            <w:r>
              <w:rPr>
                <w:rFonts w:hint="eastAsia" w:ascii="宋体" w:hAnsi="宋体" w:eastAsia="宋体" w:cs="宋体"/>
                <w:b w:val="0"/>
                <w:bCs/>
                <w:color w:val="auto"/>
                <w:sz w:val="24"/>
                <w:u w:val="single"/>
              </w:rPr>
              <w:t>进口</w:t>
            </w:r>
            <w:r>
              <w:rPr>
                <w:rFonts w:hint="eastAsia" w:ascii="宋体" w:hAnsi="宋体" w:eastAsia="宋体" w:cs="宋体"/>
                <w:b w:val="0"/>
                <w:bCs/>
                <w:color w:val="auto"/>
                <w:sz w:val="24"/>
                <w:u w:val="single"/>
                <w:lang w:eastAsia="zh-CN"/>
              </w:rPr>
              <w:t>产品于</w:t>
            </w:r>
            <w:r>
              <w:rPr>
                <w:rFonts w:hint="eastAsia" w:ascii="宋体" w:hAnsi="宋体" w:eastAsia="宋体" w:cs="宋体"/>
                <w:b w:val="0"/>
                <w:bCs/>
                <w:color w:val="auto"/>
                <w:sz w:val="24"/>
                <w:u w:val="single"/>
              </w:rPr>
              <w:t>外贸合同签订后180个日历日内完成供货、安装和调试，国</w:t>
            </w:r>
            <w:r>
              <w:rPr>
                <w:rFonts w:hint="eastAsia" w:ascii="宋体" w:hAnsi="宋体" w:eastAsia="宋体" w:cs="宋体"/>
                <w:b w:val="0"/>
                <w:bCs/>
                <w:color w:val="auto"/>
                <w:sz w:val="24"/>
                <w:u w:val="single"/>
                <w:lang w:eastAsia="zh-CN"/>
              </w:rPr>
              <w:t>内产品于</w:t>
            </w:r>
            <w:r>
              <w:rPr>
                <w:rFonts w:hint="eastAsia" w:ascii="宋体" w:hAnsi="宋体" w:eastAsia="宋体" w:cs="宋体"/>
                <w:b w:val="0"/>
                <w:bCs/>
                <w:color w:val="auto"/>
                <w:sz w:val="24"/>
                <w:u w:val="single"/>
              </w:rPr>
              <w:t>项目合同签订后60个日历日内完成供货、安装和调试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56" w:type="dxa"/>
            <w:vAlign w:val="center"/>
          </w:tcPr>
          <w:p>
            <w:pPr>
              <w:pStyle w:val="11"/>
              <w:pBdr>
                <w:bottom w:val="none" w:color="auto" w:sz="0" w:space="0"/>
              </w:pBdr>
              <w:tabs>
                <w:tab w:val="clear" w:pos="4153"/>
                <w:tab w:val="clear" w:pos="8306"/>
              </w:tabs>
              <w:adjustRightInd/>
              <w:spacing w:line="240" w:lineRule="auto"/>
              <w:textAlignment w:val="auto"/>
              <w:rPr>
                <w:rFonts w:ascii="宋体" w:hAnsi="宋体" w:eastAsia="宋体" w:cs="宋体"/>
                <w:bCs/>
                <w:kern w:val="2"/>
              </w:rPr>
            </w:pPr>
            <w:r>
              <w:rPr>
                <w:rFonts w:hint="eastAsia" w:ascii="宋体" w:hAnsi="宋体" w:eastAsia="宋体" w:cs="宋体"/>
                <w:bCs/>
                <w:kern w:val="2"/>
              </w:rPr>
              <w:t>4</w:t>
            </w:r>
          </w:p>
        </w:tc>
        <w:tc>
          <w:tcPr>
            <w:tcW w:w="2181" w:type="dxa"/>
            <w:vAlign w:val="center"/>
          </w:tcPr>
          <w:p>
            <w:pPr>
              <w:pStyle w:val="12"/>
              <w:widowControl w:val="0"/>
              <w:spacing w:before="0" w:beforeAutospacing="0" w:after="0" w:afterAutospacing="0" w:line="360" w:lineRule="auto"/>
              <w:rPr>
                <w:rFonts w:ascii="宋体" w:hAnsi="宋体" w:eastAsia="宋体" w:cs="宋体"/>
                <w:b w:val="0"/>
                <w:sz w:val="24"/>
              </w:rPr>
            </w:pPr>
            <w:r>
              <w:rPr>
                <w:rFonts w:hint="eastAsia" w:ascii="宋体" w:hAnsi="宋体" w:eastAsia="宋体" w:cs="宋体"/>
                <w:b w:val="0"/>
                <w:sz w:val="24"/>
              </w:rPr>
              <w:t>免费质保期</w:t>
            </w:r>
          </w:p>
        </w:tc>
        <w:tc>
          <w:tcPr>
            <w:tcW w:w="6151" w:type="dxa"/>
            <w:vAlign w:val="center"/>
          </w:tcPr>
          <w:p>
            <w:pPr>
              <w:pStyle w:val="12"/>
              <w:widowControl w:val="0"/>
              <w:spacing w:before="0" w:beforeAutospacing="0" w:after="0" w:afterAutospacing="0" w:line="360" w:lineRule="auto"/>
              <w:jc w:val="both"/>
              <w:rPr>
                <w:rFonts w:ascii="宋体" w:hAnsi="宋体" w:eastAsia="宋体" w:cs="宋体"/>
                <w:bCs w:val="0"/>
                <w:color w:val="auto"/>
                <w:sz w:val="24"/>
              </w:rPr>
            </w:pPr>
            <w:r>
              <w:rPr>
                <w:rFonts w:hint="eastAsia" w:ascii="宋体" w:hAnsi="宋体" w:eastAsia="宋体" w:cs="宋体"/>
                <w:b w:val="0"/>
                <w:bCs/>
                <w:color w:val="auto"/>
                <w:sz w:val="24"/>
                <w:u w:val="single"/>
              </w:rPr>
              <w:t xml:space="preserve">验收合格之日起 </w:t>
            </w:r>
            <w:r>
              <w:rPr>
                <w:rFonts w:hint="eastAsia" w:ascii="宋体" w:hAnsi="宋体" w:eastAsia="宋体" w:cs="宋体"/>
                <w:b w:val="0"/>
                <w:bCs/>
                <w:color w:val="auto"/>
                <w:sz w:val="24"/>
                <w:u w:val="single"/>
                <w:lang w:val="en-US" w:eastAsia="zh-CN"/>
              </w:rPr>
              <w:t>1</w:t>
            </w:r>
            <w:r>
              <w:rPr>
                <w:rFonts w:hint="eastAsia" w:ascii="宋体" w:hAnsi="宋体" w:eastAsia="宋体" w:cs="宋体"/>
                <w:b w:val="0"/>
                <w:bCs/>
                <w:color w:val="auto"/>
                <w:sz w:val="24"/>
                <w:u w:val="single"/>
              </w:rPr>
              <w:t xml:space="preserve">年 </w:t>
            </w:r>
          </w:p>
        </w:tc>
      </w:tr>
    </w:tbl>
    <w:p>
      <w:pPr>
        <w:spacing w:line="360" w:lineRule="auto"/>
        <w:ind w:firstLine="437"/>
        <w:outlineLvl w:val="1"/>
        <w:rPr>
          <w:rFonts w:ascii="宋体" w:hAnsi="宋体" w:eastAsia="宋体" w:cs="宋体"/>
          <w:b/>
          <w:bCs/>
          <w:sz w:val="24"/>
          <w:szCs w:val="18"/>
        </w:rPr>
      </w:pPr>
      <w:r>
        <w:rPr>
          <w:rFonts w:hint="eastAsia" w:ascii="宋体" w:hAnsi="宋体" w:eastAsia="宋体" w:cs="宋体"/>
          <w:b/>
          <w:bCs/>
          <w:sz w:val="24"/>
          <w:szCs w:val="18"/>
        </w:rPr>
        <w:t>二、货物需求</w:t>
      </w:r>
    </w:p>
    <w:p>
      <w:pPr>
        <w:spacing w:line="360" w:lineRule="auto"/>
        <w:ind w:firstLine="437"/>
        <w:outlineLvl w:val="2"/>
        <w:rPr>
          <w:rFonts w:ascii="宋体" w:hAnsi="宋体" w:eastAsia="宋体"/>
          <w:b/>
          <w:bCs/>
          <w:sz w:val="24"/>
          <w:szCs w:val="18"/>
        </w:rPr>
      </w:pPr>
      <w:r>
        <w:rPr>
          <w:rFonts w:hint="eastAsia" w:ascii="宋体" w:hAnsi="宋体" w:eastAsia="宋体"/>
          <w:b/>
          <w:bCs/>
          <w:sz w:val="24"/>
          <w:szCs w:val="18"/>
        </w:rPr>
        <w:t>（一）货物指标重要性表述</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9"/>
        <w:gridCol w:w="1270"/>
        <w:gridCol w:w="5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noWrap/>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rPr>
              <w:t>标识重要性</w:t>
            </w:r>
          </w:p>
        </w:tc>
        <w:tc>
          <w:tcPr>
            <w:tcW w:w="745" w:type="pct"/>
            <w:noWrap/>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rPr>
              <w:t>标识符号</w:t>
            </w:r>
          </w:p>
        </w:tc>
        <w:tc>
          <w:tcPr>
            <w:tcW w:w="3274" w:type="pct"/>
            <w:noWrap/>
            <w:vAlign w:val="center"/>
          </w:tcPr>
          <w:p>
            <w:pPr>
              <w:spacing w:line="360" w:lineRule="auto"/>
              <w:jc w:val="center"/>
              <w:rPr>
                <w:rFonts w:ascii="宋体" w:hAnsi="宋体" w:eastAsia="宋体" w:cs="宋体"/>
                <w:bCs/>
                <w:sz w:val="24"/>
                <w:szCs w:val="24"/>
              </w:rPr>
            </w:pPr>
            <w:r>
              <w:rPr>
                <w:rFonts w:hint="eastAsia" w:ascii="宋体" w:hAnsi="宋体" w:eastAsia="宋体" w:cs="宋体"/>
                <w:bCs/>
                <w:sz w:val="24"/>
                <w:szCs w:val="24"/>
              </w:rPr>
              <w:t>符号说明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noWrap/>
            <w:vAlign w:val="center"/>
          </w:tcPr>
          <w:p>
            <w:pPr>
              <w:spacing w:line="360" w:lineRule="auto"/>
              <w:jc w:val="center"/>
              <w:rPr>
                <w:rFonts w:hint="eastAsia" w:ascii="宋体" w:hAnsi="宋体" w:eastAsia="宋体" w:cs="宋体"/>
                <w:bCs/>
                <w:sz w:val="24"/>
                <w:szCs w:val="24"/>
                <w:lang w:eastAsia="zh-CN"/>
              </w:rPr>
            </w:pPr>
            <w:r>
              <w:rPr>
                <w:rFonts w:hint="eastAsia" w:ascii="宋体" w:hAnsi="宋体" w:eastAsia="宋体" w:cs="宋体"/>
                <w:bCs/>
                <w:sz w:val="24"/>
                <w:szCs w:val="24"/>
                <w:lang w:eastAsia="zh-CN"/>
              </w:rPr>
              <w:t>实质性指标项</w:t>
            </w:r>
          </w:p>
        </w:tc>
        <w:tc>
          <w:tcPr>
            <w:tcW w:w="745" w:type="pct"/>
            <w:noWrap/>
            <w:vAlign w:val="center"/>
          </w:tcPr>
          <w:p>
            <w:pPr>
              <w:spacing w:line="360" w:lineRule="auto"/>
              <w:jc w:val="center"/>
              <w:rPr>
                <w:rFonts w:hint="eastAsia" w:ascii="宋体" w:hAnsi="宋体" w:eastAsia="宋体" w:cs="宋体"/>
                <w:bCs/>
                <w:color w:val="auto"/>
                <w:sz w:val="24"/>
                <w:szCs w:val="24"/>
              </w:rPr>
            </w:pPr>
            <w:r>
              <w:rPr>
                <w:rFonts w:hint="eastAsia" w:ascii="宋体" w:hAnsi="宋体" w:eastAsia="宋体" w:cs="宋体"/>
                <w:color w:val="auto"/>
                <w:sz w:val="24"/>
                <w:szCs w:val="24"/>
                <w:highlight w:val="none"/>
              </w:rPr>
              <w:t>●</w:t>
            </w:r>
          </w:p>
        </w:tc>
        <w:tc>
          <w:tcPr>
            <w:tcW w:w="3274" w:type="pct"/>
            <w:noWrap/>
            <w:vAlign w:val="center"/>
          </w:tcPr>
          <w:p>
            <w:pPr>
              <w:spacing w:line="360" w:lineRule="auto"/>
              <w:jc w:val="center"/>
              <w:rPr>
                <w:rFonts w:hint="eastAsia" w:ascii="宋体" w:hAnsi="宋体" w:eastAsia="宋体" w:cs="宋体"/>
                <w:bCs/>
                <w:color w:val="auto"/>
                <w:sz w:val="24"/>
                <w:szCs w:val="24"/>
                <w:lang w:eastAsia="zh-CN"/>
              </w:rPr>
            </w:pPr>
            <w:r>
              <w:rPr>
                <w:rFonts w:hint="eastAsia" w:ascii="宋体" w:hAnsi="宋体" w:eastAsia="宋体" w:cs="宋体"/>
                <w:b/>
                <w:bCs w:val="0"/>
                <w:color w:val="auto"/>
                <w:sz w:val="24"/>
                <w:szCs w:val="24"/>
                <w:lang w:eastAsia="zh-CN"/>
              </w:rPr>
              <w:t>必须满足或由于招标文件要求，否则投标无效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noWrap/>
            <w:vAlign w:val="center"/>
          </w:tcPr>
          <w:p>
            <w:pPr>
              <w:spacing w:line="360" w:lineRule="auto"/>
              <w:jc w:val="center"/>
              <w:rPr>
                <w:rFonts w:ascii="宋体" w:hAnsi="宋体" w:eastAsia="宋体" w:cs="宋体"/>
                <w:sz w:val="24"/>
                <w:szCs w:val="24"/>
              </w:rPr>
            </w:pPr>
            <w:r>
              <w:rPr>
                <w:rFonts w:hint="eastAsia" w:ascii="宋体" w:hAnsi="宋体" w:eastAsia="宋体" w:cs="宋体"/>
                <w:sz w:val="24"/>
                <w:szCs w:val="24"/>
              </w:rPr>
              <w:t>重要指标项</w:t>
            </w:r>
          </w:p>
        </w:tc>
        <w:tc>
          <w:tcPr>
            <w:tcW w:w="745" w:type="pct"/>
            <w:noWrap/>
            <w:vAlign w:val="center"/>
          </w:tcPr>
          <w:p>
            <w:pPr>
              <w:spacing w:line="360" w:lineRule="auto"/>
              <w:jc w:val="center"/>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p>
        </w:tc>
        <w:tc>
          <w:tcPr>
            <w:tcW w:w="3274" w:type="pct"/>
            <w:noWrap/>
            <w:vAlign w:val="center"/>
          </w:tcPr>
          <w:p>
            <w:pPr>
              <w:spacing w:line="360" w:lineRule="auto"/>
              <w:jc w:val="center"/>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评分项，详见评分细则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noWrap/>
            <w:vAlign w:val="center"/>
          </w:tcPr>
          <w:p>
            <w:pPr>
              <w:spacing w:line="360" w:lineRule="auto"/>
              <w:jc w:val="center"/>
              <w:rPr>
                <w:rFonts w:ascii="宋体" w:hAnsi="宋体" w:eastAsia="宋体" w:cs="宋体"/>
                <w:sz w:val="24"/>
                <w:szCs w:val="24"/>
              </w:rPr>
            </w:pPr>
            <w:r>
              <w:rPr>
                <w:rFonts w:hint="eastAsia" w:ascii="宋体" w:hAnsi="宋体" w:eastAsia="宋体" w:cs="宋体"/>
                <w:sz w:val="24"/>
                <w:szCs w:val="24"/>
              </w:rPr>
              <w:t>无标识项</w:t>
            </w:r>
          </w:p>
        </w:tc>
        <w:tc>
          <w:tcPr>
            <w:tcW w:w="745" w:type="pct"/>
            <w:noWrap/>
            <w:vAlign w:val="center"/>
          </w:tcPr>
          <w:p>
            <w:pPr>
              <w:spacing w:line="360" w:lineRule="auto"/>
              <w:jc w:val="center"/>
              <w:rPr>
                <w:rFonts w:ascii="宋体" w:hAnsi="宋体" w:eastAsia="宋体" w:cs="宋体"/>
                <w:bCs/>
                <w:color w:val="auto"/>
                <w:sz w:val="24"/>
                <w:szCs w:val="24"/>
                <w:highlight w:val="none"/>
              </w:rPr>
            </w:pPr>
          </w:p>
        </w:tc>
        <w:tc>
          <w:tcPr>
            <w:tcW w:w="3274" w:type="pct"/>
            <w:noWrap/>
            <w:vAlign w:val="center"/>
          </w:tcPr>
          <w:p>
            <w:pPr>
              <w:spacing w:line="360" w:lineRule="auto"/>
              <w:jc w:val="center"/>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评分项，详见评分细则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noWrap/>
            <w:vAlign w:val="center"/>
          </w:tcPr>
          <w:p>
            <w:pPr>
              <w:pStyle w:val="8"/>
              <w:widowControl/>
              <w:spacing w:line="360" w:lineRule="auto"/>
              <w:rPr>
                <w:rFonts w:ascii="宋体" w:hAnsi="宋体" w:eastAsia="宋体" w:cs="宋体"/>
                <w:b/>
                <w:bCs/>
                <w:color w:val="FF0000"/>
                <w:szCs w:val="24"/>
              </w:rPr>
            </w:pPr>
            <w:r>
              <w:rPr>
                <w:rFonts w:hint="eastAsia" w:ascii="宋体" w:hAnsi="宋体" w:eastAsia="宋体" w:cs="宋体"/>
                <w:b/>
                <w:szCs w:val="24"/>
              </w:rPr>
              <w:t>注：如某项标识中包含多条技术参数或要求，则该项标识所含内容均需满足或优于采购文件要求，否则不予认可。</w:t>
            </w:r>
          </w:p>
        </w:tc>
      </w:tr>
    </w:tbl>
    <w:p>
      <w:pPr>
        <w:spacing w:line="360" w:lineRule="auto"/>
        <w:ind w:firstLine="437"/>
        <w:outlineLvl w:val="2"/>
        <w:rPr>
          <w:rFonts w:ascii="宋体" w:hAnsi="宋体" w:eastAsia="宋体" w:cs="宋体"/>
          <w:b/>
          <w:sz w:val="24"/>
          <w:szCs w:val="18"/>
        </w:rPr>
      </w:pPr>
      <w:r>
        <w:rPr>
          <w:rFonts w:hint="eastAsia" w:ascii="Times New Roman" w:hAnsi="Times New Roman" w:eastAsia="宋体" w:cs="Times New Roman"/>
          <w:b/>
          <w:bCs/>
          <w:sz w:val="24"/>
          <w:szCs w:val="24"/>
        </w:rPr>
        <w:t>（二）货物指标要求</w:t>
      </w:r>
    </w:p>
    <w:tbl>
      <w:tblPr>
        <w:tblStyle w:val="9"/>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1755"/>
        <w:gridCol w:w="4595"/>
        <w:gridCol w:w="778"/>
        <w:gridCol w:w="844"/>
        <w:gridCol w:w="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755" w:type="dxa"/>
            <w:vAlign w:val="center"/>
          </w:tcPr>
          <w:p>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4595" w:type="dxa"/>
            <w:vAlign w:val="center"/>
          </w:tcPr>
          <w:p>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技术参数及要求</w:t>
            </w:r>
          </w:p>
        </w:tc>
        <w:tc>
          <w:tcPr>
            <w:tcW w:w="778" w:type="dxa"/>
            <w:vAlign w:val="center"/>
          </w:tcPr>
          <w:p>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数量</w:t>
            </w:r>
          </w:p>
        </w:tc>
        <w:tc>
          <w:tcPr>
            <w:tcW w:w="844" w:type="dxa"/>
            <w:vAlign w:val="center"/>
          </w:tcPr>
          <w:p>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所属行业</w:t>
            </w:r>
          </w:p>
        </w:tc>
        <w:tc>
          <w:tcPr>
            <w:tcW w:w="885" w:type="dxa"/>
            <w:vAlign w:val="center"/>
          </w:tcPr>
          <w:p>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25"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755" w:type="dxa"/>
            <w:vAlign w:val="center"/>
          </w:tcPr>
          <w:p>
            <w:pPr>
              <w:spacing w:before="78" w:line="360" w:lineRule="auto"/>
              <w:ind w:left="164" w:leftChars="0"/>
              <w:jc w:val="center"/>
              <w:rPr>
                <w:rFonts w:hint="eastAsia" w:ascii="宋体" w:hAnsi="宋体" w:eastAsia="宋体" w:cs="宋体"/>
                <w:kern w:val="2"/>
                <w:sz w:val="24"/>
                <w:szCs w:val="24"/>
                <w:lang w:val="en-US" w:eastAsia="zh-CN" w:bidi="ar-SA"/>
              </w:rPr>
            </w:pPr>
            <w:r>
              <w:rPr>
                <w:rFonts w:hint="eastAsia" w:ascii="宋体" w:hAnsi="宋体" w:eastAsia="宋体" w:cs="宋体"/>
                <w:spacing w:val="-2"/>
                <w:sz w:val="24"/>
                <w:szCs w:val="24"/>
              </w:rPr>
              <w:t>▲</w:t>
            </w:r>
            <w:r>
              <w:rPr>
                <w:rFonts w:hint="eastAsia" w:ascii="宋体" w:hAnsi="宋体" w:eastAsia="宋体" w:cs="宋体"/>
                <w:sz w:val="24"/>
                <w:szCs w:val="24"/>
              </w:rPr>
              <w:t>超高效液相色谱串联四极杆飞行时间质谱联用仪</w:t>
            </w:r>
          </w:p>
        </w:tc>
        <w:tc>
          <w:tcPr>
            <w:tcW w:w="4595" w:type="dxa"/>
            <w:vAlign w:val="top"/>
          </w:tcPr>
          <w:p>
            <w:pPr>
              <w:spacing w:line="360" w:lineRule="auto"/>
              <w:rPr>
                <w:rFonts w:hint="eastAsia" w:ascii="宋体" w:hAnsi="宋体" w:eastAsia="宋体" w:cs="宋体"/>
                <w:sz w:val="24"/>
                <w:szCs w:val="24"/>
              </w:rPr>
            </w:pPr>
            <w:r>
              <w:rPr>
                <w:rFonts w:hint="eastAsia" w:ascii="宋体" w:hAnsi="宋体" w:eastAsia="宋体" w:cs="宋体"/>
                <w:sz w:val="24"/>
                <w:szCs w:val="24"/>
              </w:rPr>
              <w:t>1.用途：主要适用于代谢物鉴定、天然产物代谢策略、药物、化工材料成分鉴定以及质量控制研究等工作。</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2.工作环境</w:t>
            </w:r>
            <w:r>
              <w:rPr>
                <w:rFonts w:hint="eastAsia" w:ascii="宋体" w:hAnsi="宋体" w:eastAsia="宋体" w:cs="宋体"/>
                <w:color w:val="auto"/>
                <w:sz w:val="24"/>
                <w:szCs w:val="24"/>
                <w:highlight w:val="none"/>
              </w:rPr>
              <w:t>条件及要求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工作电压：220V±</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温度：15-30℃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湿度：40-80%</w:t>
            </w:r>
          </w:p>
          <w:p>
            <w:pPr>
              <w:spacing w:line="360" w:lineRule="auto"/>
              <w:rPr>
                <w:rFonts w:hint="eastAsia" w:ascii="宋体" w:hAnsi="宋体" w:eastAsia="宋体" w:cs="宋体"/>
                <w:sz w:val="24"/>
                <w:szCs w:val="24"/>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为</w:t>
            </w:r>
            <w:r>
              <w:rPr>
                <w:rFonts w:hint="eastAsia" w:ascii="宋体" w:hAnsi="宋体" w:eastAsia="宋体" w:cs="宋体"/>
                <w:color w:val="auto"/>
                <w:sz w:val="24"/>
                <w:szCs w:val="24"/>
                <w:highlight w:val="none"/>
              </w:rPr>
              <w:t>确保更好的仪器兼容性和售后服务</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eastAsia="zh-CN"/>
              </w:rPr>
              <w:t>要求</w:t>
            </w:r>
            <w:r>
              <w:rPr>
                <w:rFonts w:hint="eastAsia" w:ascii="宋体" w:hAnsi="宋体" w:eastAsia="宋体" w:cs="宋体"/>
                <w:b/>
                <w:bCs/>
                <w:color w:val="auto"/>
                <w:sz w:val="24"/>
                <w:szCs w:val="24"/>
                <w:highlight w:val="none"/>
              </w:rPr>
              <w:t>超高效液相</w:t>
            </w:r>
            <w:r>
              <w:rPr>
                <w:rFonts w:hint="eastAsia" w:ascii="宋体" w:hAnsi="宋体" w:eastAsia="宋体" w:cs="宋体"/>
                <w:b/>
                <w:bCs/>
                <w:color w:val="auto"/>
                <w:sz w:val="24"/>
                <w:szCs w:val="24"/>
              </w:rPr>
              <w:t>色谱系统需与四极杆飞行时间质谱系统为同一生产厂家生产</w:t>
            </w:r>
            <w:r>
              <w:rPr>
                <w:rFonts w:hint="eastAsia" w:ascii="宋体" w:hAnsi="宋体" w:eastAsia="宋体" w:cs="宋体"/>
                <w:sz w:val="24"/>
                <w:szCs w:val="24"/>
                <w:lang w:eastAsia="zh-CN"/>
              </w:rPr>
              <w:t>。</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4.超高效液相色谱部分技术要求：</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4.1超高效四元梯度液相色谱泵</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4.1.1泵结构：具有自动、连续压缩补偿功能，独立柱塞控制</w:t>
            </w:r>
            <w:r>
              <w:rPr>
                <w:rFonts w:hint="eastAsia" w:ascii="宋体" w:hAnsi="宋体" w:eastAsia="宋体" w:cs="宋体"/>
                <w:sz w:val="24"/>
                <w:szCs w:val="24"/>
                <w:lang w:eastAsia="zh-CN"/>
              </w:rPr>
              <w:t>。</w:t>
            </w:r>
            <w:r>
              <w:rPr>
                <w:rFonts w:hint="eastAsia" w:ascii="宋体" w:hAnsi="宋体" w:eastAsia="宋体" w:cs="宋体"/>
                <w:sz w:val="24"/>
                <w:szCs w:val="24"/>
              </w:rPr>
              <w:t>双压力传感器反馈回路</w:t>
            </w:r>
            <w:r>
              <w:rPr>
                <w:rFonts w:hint="eastAsia" w:ascii="宋体" w:hAnsi="宋体" w:eastAsia="宋体" w:cs="宋体"/>
                <w:color w:val="auto"/>
                <w:sz w:val="24"/>
                <w:szCs w:val="24"/>
              </w:rPr>
              <w:t>，无需阻尼器</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lang w:val="en-US" w:eastAsia="zh-CN"/>
              </w:rPr>
              <w:t>投标文件中</w:t>
            </w:r>
            <w:r>
              <w:rPr>
                <w:rFonts w:hint="eastAsia" w:ascii="宋体" w:hAnsi="宋体" w:eastAsia="宋体" w:cs="宋体"/>
                <w:b/>
                <w:bCs/>
                <w:color w:val="auto"/>
                <w:sz w:val="24"/>
                <w:szCs w:val="24"/>
              </w:rPr>
              <w:t>提供泵结构图标注柱塞及压力传感</w:t>
            </w:r>
            <w:r>
              <w:rPr>
                <w:rFonts w:hint="eastAsia" w:ascii="宋体" w:hAnsi="宋体" w:eastAsia="宋体" w:cs="宋体"/>
                <w:b/>
                <w:bCs/>
                <w:sz w:val="24"/>
                <w:szCs w:val="24"/>
              </w:rPr>
              <w:t>器位置</w:t>
            </w:r>
            <w:r>
              <w:rPr>
                <w:rFonts w:hint="eastAsia" w:ascii="宋体" w:hAnsi="宋体" w:eastAsia="宋体" w:cs="宋体"/>
                <w:b/>
                <w:bCs/>
                <w:sz w:val="24"/>
                <w:szCs w:val="24"/>
                <w:lang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4.1.2流速范围：</w:t>
            </w:r>
            <w:r>
              <w:rPr>
                <w:rFonts w:hint="eastAsia" w:ascii="宋体" w:hAnsi="宋体" w:eastAsia="宋体" w:cs="宋体"/>
                <w:sz w:val="24"/>
                <w:szCs w:val="24"/>
                <w:lang w:val="en-US" w:eastAsia="zh-CN"/>
              </w:rPr>
              <w:t>0.001-</w:t>
            </w:r>
            <w:r>
              <w:rPr>
                <w:rFonts w:hint="eastAsia" w:ascii="宋体" w:hAnsi="宋体" w:eastAsia="宋体" w:cs="宋体"/>
                <w:sz w:val="24"/>
                <w:szCs w:val="24"/>
              </w:rPr>
              <w:t>2.2000mL/min</w:t>
            </w:r>
            <w:r>
              <w:rPr>
                <w:rFonts w:hint="eastAsia" w:ascii="宋体" w:hAnsi="宋体" w:eastAsia="宋体" w:cs="宋体"/>
                <w:sz w:val="24"/>
                <w:szCs w:val="24"/>
                <w:lang w:eastAsia="zh-CN"/>
              </w:rPr>
              <w:t>，</w:t>
            </w:r>
            <w:r>
              <w:rPr>
                <w:rFonts w:hint="eastAsia" w:ascii="宋体" w:hAnsi="宋体" w:eastAsia="宋体" w:cs="宋体"/>
                <w:sz w:val="24"/>
                <w:szCs w:val="24"/>
              </w:rPr>
              <w:t>以 0.001m</w:t>
            </w:r>
            <w:r>
              <w:rPr>
                <w:rFonts w:hint="eastAsia" w:ascii="宋体" w:hAnsi="宋体" w:eastAsia="宋体" w:cs="宋体"/>
                <w:sz w:val="24"/>
                <w:szCs w:val="24"/>
                <w:lang w:val="en-US" w:eastAsia="zh-CN"/>
              </w:rPr>
              <w:t>L</w:t>
            </w:r>
            <w:r>
              <w:rPr>
                <w:rFonts w:hint="eastAsia" w:ascii="宋体" w:hAnsi="宋体" w:eastAsia="宋体" w:cs="宋体"/>
                <w:sz w:val="24"/>
                <w:szCs w:val="24"/>
              </w:rPr>
              <w:t>/min 为增量</w:t>
            </w:r>
            <w:r>
              <w:rPr>
                <w:rFonts w:hint="eastAsia" w:ascii="宋体" w:hAnsi="宋体" w:eastAsia="宋体" w:cs="宋体"/>
                <w:sz w:val="24"/>
                <w:szCs w:val="24"/>
                <w:lang w:eastAsia="zh-CN"/>
              </w:rPr>
              <w:t>。</w:t>
            </w:r>
            <w:r>
              <w:rPr>
                <w:rFonts w:hint="eastAsia" w:ascii="宋体" w:hAnsi="宋体" w:eastAsia="宋体" w:cs="宋体"/>
                <w:sz w:val="24"/>
                <w:szCs w:val="24"/>
              </w:rPr>
              <w:t>流速准确度：±</w:t>
            </w:r>
            <w:r>
              <w:rPr>
                <w:rFonts w:hint="eastAsia" w:ascii="宋体" w:hAnsi="宋体" w:eastAsia="宋体" w:cs="宋体"/>
                <w:sz w:val="24"/>
                <w:szCs w:val="24"/>
                <w:lang w:val="en-US" w:eastAsia="zh-CN"/>
              </w:rPr>
              <w:t>0.1</w:t>
            </w:r>
            <w:r>
              <w:rPr>
                <w:rFonts w:hint="eastAsia" w:ascii="宋体" w:hAnsi="宋体" w:eastAsia="宋体" w:cs="宋体"/>
                <w:sz w:val="24"/>
                <w:szCs w:val="24"/>
              </w:rPr>
              <w:t>%</w:t>
            </w:r>
            <w:r>
              <w:rPr>
                <w:rFonts w:hint="eastAsia" w:ascii="宋体" w:hAnsi="宋体" w:eastAsia="宋体" w:cs="宋体"/>
                <w:sz w:val="24"/>
                <w:szCs w:val="24"/>
                <w:lang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4.1.3 流量精度：≤0.075%</w:t>
            </w:r>
            <w:r>
              <w:rPr>
                <w:rFonts w:hint="eastAsia" w:ascii="宋体" w:hAnsi="宋体" w:eastAsia="宋体" w:cs="宋体"/>
                <w:sz w:val="24"/>
                <w:szCs w:val="24"/>
                <w:lang w:eastAsia="zh-CN"/>
              </w:rPr>
              <w:t>。</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★4.1.4最高操作压力：≥15000psi</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预设梯度曲线不少于11条</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投标文件中提供相应证明材料，“相应证明”详见标后备注，下同）</w:t>
            </w:r>
            <w:r>
              <w:rPr>
                <w:rFonts w:hint="eastAsia" w:ascii="宋体" w:hAnsi="宋体" w:eastAsia="宋体" w:cs="宋体"/>
                <w:sz w:val="24"/>
                <w:szCs w:val="24"/>
                <w:lang w:val="en-US"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4.1.5真空脱气机</w:t>
            </w:r>
            <w:r>
              <w:rPr>
                <w:rFonts w:hint="eastAsia" w:ascii="宋体" w:hAnsi="宋体" w:eastAsia="宋体" w:cs="宋体"/>
                <w:color w:val="auto"/>
                <w:sz w:val="24"/>
                <w:szCs w:val="24"/>
              </w:rPr>
              <w:t>：五通道在线</w:t>
            </w:r>
            <w:r>
              <w:rPr>
                <w:rFonts w:hint="eastAsia" w:ascii="宋体" w:hAnsi="宋体" w:eastAsia="宋体" w:cs="宋体"/>
                <w:sz w:val="24"/>
                <w:szCs w:val="24"/>
              </w:rPr>
              <w:t>脱气机</w:t>
            </w:r>
            <w:r>
              <w:rPr>
                <w:rFonts w:hint="eastAsia" w:ascii="宋体" w:hAnsi="宋体" w:eastAsia="宋体" w:cs="宋体"/>
                <w:sz w:val="24"/>
                <w:szCs w:val="24"/>
                <w:lang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4.1.</w:t>
            </w:r>
            <w:r>
              <w:rPr>
                <w:rFonts w:hint="eastAsia" w:ascii="宋体" w:hAnsi="宋体" w:eastAsia="宋体" w:cs="宋体"/>
                <w:sz w:val="24"/>
                <w:szCs w:val="24"/>
                <w:lang w:val="en-US" w:eastAsia="zh-CN"/>
              </w:rPr>
              <w:t>6</w:t>
            </w:r>
            <w:r>
              <w:rPr>
                <w:rFonts w:hint="eastAsia" w:ascii="宋体" w:hAnsi="宋体" w:eastAsia="宋体" w:cs="宋体"/>
                <w:sz w:val="24"/>
                <w:szCs w:val="24"/>
              </w:rPr>
              <w:t>梯度准确度：±0.5%，不随反压变化</w:t>
            </w:r>
            <w:r>
              <w:rPr>
                <w:rFonts w:hint="eastAsia" w:ascii="宋体" w:hAnsi="宋体" w:eastAsia="宋体" w:cs="宋体"/>
                <w:sz w:val="24"/>
                <w:szCs w:val="24"/>
                <w:lang w:eastAsia="zh-CN"/>
              </w:rPr>
              <w:t>。</w:t>
            </w:r>
            <w:r>
              <w:rPr>
                <w:rFonts w:hint="eastAsia" w:ascii="宋体" w:hAnsi="宋体" w:eastAsia="宋体" w:cs="宋体"/>
                <w:sz w:val="24"/>
                <w:szCs w:val="24"/>
              </w:rPr>
              <w:t>梯度精度：±0.15%，不随反压变化</w:t>
            </w:r>
            <w:r>
              <w:rPr>
                <w:rFonts w:hint="eastAsia" w:ascii="宋体" w:hAnsi="宋体" w:eastAsia="宋体" w:cs="宋体"/>
                <w:sz w:val="24"/>
                <w:szCs w:val="24"/>
                <w:lang w:eastAsia="zh-CN"/>
              </w:rPr>
              <w:t>。</w:t>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4.2自动进样器</w:t>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sz w:val="24"/>
                <w:szCs w:val="24"/>
              </w:rPr>
              <w:t>4.2.1</w:t>
            </w:r>
            <w:r>
              <w:rPr>
                <w:rFonts w:hint="eastAsia" w:ascii="宋体" w:hAnsi="宋体" w:eastAsia="宋体" w:cs="宋体"/>
                <w:color w:val="auto"/>
                <w:sz w:val="24"/>
                <w:szCs w:val="24"/>
              </w:rPr>
              <w:t>样品盘：兼容2mL, 4mL样品瓶，</w:t>
            </w:r>
            <w:r>
              <w:rPr>
                <w:rFonts w:hint="eastAsia" w:ascii="宋体" w:hAnsi="宋体" w:eastAsia="宋体" w:cs="宋体"/>
                <w:color w:val="auto"/>
                <w:sz w:val="24"/>
                <w:szCs w:val="24"/>
                <w:lang w:eastAsia="zh-CN"/>
              </w:rPr>
              <w:t>以及</w:t>
            </w:r>
            <w:r>
              <w:rPr>
                <w:rFonts w:hint="eastAsia" w:ascii="宋体" w:hAnsi="宋体" w:eastAsia="宋体" w:cs="宋体"/>
                <w:color w:val="auto"/>
                <w:sz w:val="24"/>
                <w:szCs w:val="24"/>
                <w:lang w:val="en-US" w:eastAsia="zh-CN"/>
              </w:rPr>
              <w:t>96孔板、384孔板。</w:t>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4.2.2 样品数量：</w:t>
            </w:r>
            <w:r>
              <w:rPr>
                <w:rFonts w:hint="eastAsia" w:ascii="宋体" w:hAnsi="宋体" w:eastAsia="宋体" w:cs="宋体"/>
                <w:color w:val="auto"/>
                <w:sz w:val="24"/>
                <w:szCs w:val="24"/>
                <w:lang w:eastAsia="zh-CN"/>
              </w:rPr>
              <w:t>不小于</w:t>
            </w:r>
            <w:r>
              <w:rPr>
                <w:rFonts w:hint="eastAsia" w:ascii="宋体" w:hAnsi="宋体" w:eastAsia="宋体" w:cs="宋体"/>
                <w:color w:val="auto"/>
                <w:sz w:val="24"/>
                <w:szCs w:val="24"/>
              </w:rPr>
              <w:t>96位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2mL样品瓶</w:t>
            </w:r>
            <w:r>
              <w:rPr>
                <w:rFonts w:hint="eastAsia" w:ascii="宋体" w:hAnsi="宋体" w:eastAsia="宋体" w:cs="宋体"/>
                <w:color w:val="auto"/>
                <w:sz w:val="24"/>
                <w:szCs w:val="24"/>
                <w:lang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4.2.3进样范围：0.1-10 </w:t>
            </w:r>
            <w:r>
              <w:rPr>
                <w:rFonts w:hint="eastAsia" w:ascii="宋体" w:hAnsi="宋体" w:eastAsia="宋体" w:cs="宋体"/>
                <w:sz w:val="24"/>
                <w:szCs w:val="24"/>
              </w:rPr>
              <w:sym w:font="Symbol" w:char="F06D"/>
            </w:r>
            <w:r>
              <w:rPr>
                <w:rFonts w:hint="eastAsia" w:ascii="宋体" w:hAnsi="宋体" w:eastAsia="宋体" w:cs="宋体"/>
                <w:sz w:val="24"/>
                <w:szCs w:val="24"/>
              </w:rPr>
              <w:t>L</w:t>
            </w:r>
            <w:r>
              <w:rPr>
                <w:rFonts w:hint="eastAsia" w:ascii="宋体" w:hAnsi="宋体" w:eastAsia="宋体" w:cs="宋体"/>
                <w:sz w:val="24"/>
                <w:szCs w:val="24"/>
                <w:lang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4.2.4进样精度：≤</w:t>
            </w:r>
            <w:r>
              <w:rPr>
                <w:rFonts w:hint="eastAsia" w:ascii="宋体" w:hAnsi="宋体" w:eastAsia="宋体" w:cs="宋体"/>
                <w:color w:val="FF0000"/>
                <w:sz w:val="24"/>
                <w:szCs w:val="24"/>
              </w:rPr>
              <w:t xml:space="preserve"> </w:t>
            </w:r>
            <w:r>
              <w:rPr>
                <w:rFonts w:hint="eastAsia" w:ascii="宋体" w:hAnsi="宋体" w:eastAsia="宋体" w:cs="宋体"/>
                <w:sz w:val="24"/>
                <w:szCs w:val="24"/>
              </w:rPr>
              <w:t>0.2%RSD</w:t>
            </w:r>
            <w:r>
              <w:rPr>
                <w:rFonts w:hint="eastAsia" w:ascii="宋体" w:hAnsi="宋体" w:eastAsia="宋体" w:cs="宋体"/>
                <w:sz w:val="24"/>
                <w:szCs w:val="24"/>
                <w:lang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4.2.5 样品交叉污染：≤0.002%</w:t>
            </w:r>
            <w:r>
              <w:rPr>
                <w:rFonts w:hint="eastAsia" w:ascii="宋体" w:hAnsi="宋体" w:eastAsia="宋体" w:cs="宋体"/>
                <w:sz w:val="24"/>
                <w:szCs w:val="24"/>
                <w:lang w:eastAsia="zh-CN"/>
              </w:rPr>
              <w:t>。</w:t>
            </w:r>
          </w:p>
          <w:p>
            <w:pPr>
              <w:spacing w:line="360" w:lineRule="auto"/>
              <w:rPr>
                <w:rFonts w:hint="eastAsia" w:ascii="宋体" w:hAnsi="宋体" w:eastAsia="宋体" w:cs="宋体"/>
                <w:color w:val="auto"/>
                <w:sz w:val="24"/>
                <w:szCs w:val="24"/>
                <w:lang w:eastAsia="zh-CN"/>
              </w:rPr>
            </w:pPr>
            <w:r>
              <w:rPr>
                <w:rFonts w:hint="eastAsia" w:ascii="宋体" w:hAnsi="宋体" w:eastAsia="宋体" w:cs="宋体"/>
                <w:sz w:val="24"/>
                <w:szCs w:val="24"/>
              </w:rPr>
              <w:t>4.2.6自动</w:t>
            </w:r>
            <w:r>
              <w:rPr>
                <w:rFonts w:hint="eastAsia" w:ascii="宋体" w:hAnsi="宋体" w:eastAsia="宋体" w:cs="宋体"/>
                <w:color w:val="auto"/>
                <w:sz w:val="24"/>
                <w:szCs w:val="24"/>
              </w:rPr>
              <w:t>进样器温控范围：4</w:t>
            </w:r>
            <w:r>
              <w:rPr>
                <w:rFonts w:hint="eastAsia" w:ascii="宋体" w:hAnsi="宋体" w:eastAsia="宋体" w:cs="宋体"/>
                <w:color w:val="auto"/>
                <w:sz w:val="24"/>
                <w:szCs w:val="24"/>
              </w:rPr>
              <w:sym w:font="Symbol" w:char="F0B0"/>
            </w:r>
            <w:r>
              <w:rPr>
                <w:rFonts w:hint="eastAsia" w:ascii="宋体" w:hAnsi="宋体" w:eastAsia="宋体" w:cs="宋体"/>
                <w:color w:val="auto"/>
                <w:sz w:val="24"/>
                <w:szCs w:val="24"/>
              </w:rPr>
              <w:t>C-40</w:t>
            </w:r>
            <w:r>
              <w:rPr>
                <w:rFonts w:hint="eastAsia" w:ascii="宋体" w:hAnsi="宋体" w:eastAsia="宋体" w:cs="宋体"/>
                <w:color w:val="auto"/>
                <w:sz w:val="24"/>
                <w:szCs w:val="24"/>
              </w:rPr>
              <w:sym w:font="Symbol" w:char="F0B0"/>
            </w:r>
            <w:r>
              <w:rPr>
                <w:rFonts w:hint="eastAsia" w:ascii="宋体" w:hAnsi="宋体" w:eastAsia="宋体" w:cs="宋体"/>
                <w:color w:val="auto"/>
                <w:sz w:val="24"/>
                <w:szCs w:val="24"/>
              </w:rPr>
              <w:t>C</w:t>
            </w:r>
            <w:r>
              <w:rPr>
                <w:rFonts w:hint="eastAsia" w:ascii="宋体" w:hAnsi="宋体" w:eastAsia="宋体" w:cs="宋体"/>
                <w:color w:val="auto"/>
                <w:sz w:val="24"/>
                <w:szCs w:val="24"/>
                <w:lang w:eastAsia="zh-CN"/>
              </w:rPr>
              <w:t>。</w:t>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4.3柱温箱</w:t>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4.3.1控温范围：20℃～90℃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控温精度：±0.5℃</w:t>
            </w:r>
            <w:r>
              <w:rPr>
                <w:rFonts w:hint="eastAsia" w:ascii="宋体" w:hAnsi="宋体" w:eastAsia="宋体" w:cs="宋体"/>
                <w:color w:val="auto"/>
                <w:sz w:val="24"/>
                <w:szCs w:val="24"/>
                <w:lang w:eastAsia="zh-CN"/>
              </w:rPr>
              <w:t>。</w:t>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4.3.2 柱温箱：可容纳至少两根尺寸内径(I.D.)4.6mm，长300 mm色谱柱，且带在线过滤器或保护柱</w:t>
            </w:r>
            <w:r>
              <w:rPr>
                <w:rFonts w:hint="eastAsia" w:ascii="宋体" w:hAnsi="宋体" w:eastAsia="宋体" w:cs="宋体"/>
                <w:color w:val="auto"/>
                <w:sz w:val="24"/>
                <w:szCs w:val="24"/>
                <w:lang w:eastAsia="zh-CN"/>
              </w:rPr>
              <w:t>。</w:t>
            </w:r>
          </w:p>
          <w:p>
            <w:pPr>
              <w:spacing w:line="360" w:lineRule="auto"/>
              <w:rPr>
                <w:rFonts w:hint="eastAsia" w:ascii="宋体" w:hAnsi="宋体" w:eastAsia="宋体" w:cs="宋体"/>
                <w:sz w:val="24"/>
                <w:szCs w:val="24"/>
              </w:rPr>
            </w:pPr>
            <w:r>
              <w:rPr>
                <w:rFonts w:hint="eastAsia" w:ascii="宋体" w:hAnsi="宋体" w:eastAsia="宋体" w:cs="宋体"/>
                <w:sz w:val="24"/>
                <w:szCs w:val="24"/>
              </w:rPr>
              <w:t>4.3.</w:t>
            </w:r>
            <w:r>
              <w:rPr>
                <w:rFonts w:hint="eastAsia" w:ascii="宋体" w:hAnsi="宋体" w:eastAsia="宋体" w:cs="宋体"/>
                <w:sz w:val="24"/>
                <w:szCs w:val="24"/>
                <w:lang w:val="en-US" w:eastAsia="zh-CN"/>
              </w:rPr>
              <w:t>3</w:t>
            </w:r>
            <w:r>
              <w:rPr>
                <w:rFonts w:hint="eastAsia" w:ascii="宋体" w:hAnsi="宋体" w:eastAsia="宋体" w:cs="宋体"/>
                <w:sz w:val="24"/>
                <w:szCs w:val="24"/>
              </w:rPr>
              <w:t>即插主动式溶剂预热器</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投标文件中</w:t>
            </w:r>
            <w:r>
              <w:rPr>
                <w:rFonts w:hint="eastAsia" w:ascii="宋体" w:hAnsi="宋体" w:eastAsia="宋体" w:cs="宋体"/>
                <w:b/>
                <w:bCs/>
                <w:sz w:val="24"/>
                <w:szCs w:val="24"/>
              </w:rPr>
              <w:t>提供实物图）</w:t>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4.4</w:t>
            </w:r>
            <w:r>
              <w:rPr>
                <w:rFonts w:hint="eastAsia" w:ascii="宋体" w:hAnsi="宋体" w:eastAsia="宋体" w:cs="宋体"/>
                <w:b/>
                <w:color w:val="auto"/>
                <w:sz w:val="24"/>
                <w:szCs w:val="24"/>
                <w:highlight w:val="none"/>
              </w:rPr>
              <w:t>紫外/可见光检测器</w:t>
            </w:r>
            <w:r>
              <w:rPr>
                <w:rFonts w:hint="eastAsia" w:ascii="宋体" w:hAnsi="宋体" w:eastAsia="宋体" w:cs="宋体"/>
                <w:b/>
                <w:color w:val="auto"/>
                <w:sz w:val="24"/>
                <w:szCs w:val="24"/>
                <w:highlight w:val="none"/>
                <w:lang w:eastAsia="zh-CN"/>
              </w:rPr>
              <w:t>：</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4.4.1波长范围：190~700 nm</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4.4.2带宽：≤5 nm</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4.4.3波长准确度：±1 nm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梯形流通池基线噪音：6.0×10</w:t>
            </w:r>
            <w:r>
              <w:rPr>
                <w:rFonts w:hint="eastAsia" w:ascii="宋体" w:hAnsi="宋体" w:eastAsia="宋体" w:cs="宋体"/>
                <w:color w:val="auto"/>
                <w:sz w:val="24"/>
                <w:szCs w:val="24"/>
                <w:highlight w:val="none"/>
                <w:vertAlign w:val="superscript"/>
              </w:rPr>
              <w:t>-6</w:t>
            </w:r>
            <w:r>
              <w:rPr>
                <w:rFonts w:hint="eastAsia" w:ascii="宋体" w:hAnsi="宋体" w:eastAsia="宋体" w:cs="宋体"/>
                <w:color w:val="auto"/>
                <w:sz w:val="24"/>
                <w:szCs w:val="24"/>
                <w:highlight w:val="none"/>
              </w:rPr>
              <w:t xml:space="preserve"> AU</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4.4.4基线漂移: ≤5.0x10</w:t>
            </w:r>
            <w:r>
              <w:rPr>
                <w:rFonts w:hint="eastAsia" w:ascii="宋体" w:hAnsi="宋体" w:eastAsia="宋体" w:cs="宋体"/>
                <w:color w:val="auto"/>
                <w:sz w:val="24"/>
                <w:szCs w:val="24"/>
                <w:highlight w:val="none"/>
                <w:vertAlign w:val="superscript"/>
              </w:rPr>
              <w:t>-4</w:t>
            </w:r>
            <w:r>
              <w:rPr>
                <w:rFonts w:hint="eastAsia" w:ascii="宋体" w:hAnsi="宋体" w:eastAsia="宋体" w:cs="宋体"/>
                <w:color w:val="auto"/>
                <w:sz w:val="24"/>
                <w:szCs w:val="24"/>
                <w:highlight w:val="none"/>
              </w:rPr>
              <w:t>AU/hr</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4.4.5线性范围：2.5 AU</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4.4.6吸收范围：0.0001~4.0000 AU</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4.4.7单一光源：氘灯，不需要其他光源</w:t>
            </w: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5</w:t>
            </w:r>
            <w:r>
              <w:rPr>
                <w:rFonts w:hint="eastAsia" w:ascii="宋体" w:hAnsi="宋体" w:eastAsia="宋体" w:cs="宋体"/>
                <w:b/>
                <w:bCs/>
                <w:sz w:val="24"/>
                <w:szCs w:val="24"/>
              </w:rPr>
              <w:t>.四极杆飞行时间质谱仪</w:t>
            </w:r>
            <w:r>
              <w:rPr>
                <w:rFonts w:hint="eastAsia" w:ascii="宋体" w:hAnsi="宋体" w:eastAsia="宋体" w:cs="宋体"/>
                <w:sz w:val="24"/>
                <w:szCs w:val="24"/>
                <w:lang w:eastAsia="zh-CN"/>
              </w:rPr>
              <w:t>：</w:t>
            </w:r>
          </w:p>
          <w:p>
            <w:pPr>
              <w:spacing w:line="360" w:lineRule="auto"/>
              <w:rPr>
                <w:rFonts w:hint="eastAsia" w:ascii="宋体" w:hAnsi="宋体" w:eastAsia="宋体" w:cs="宋体"/>
                <w:color w:val="FF0000"/>
                <w:sz w:val="24"/>
                <w:szCs w:val="24"/>
              </w:rPr>
            </w:pPr>
            <w:r>
              <w:rPr>
                <w:rFonts w:hint="eastAsia" w:ascii="宋体" w:hAnsi="宋体" w:eastAsia="宋体" w:cs="宋体"/>
                <w:color w:val="auto"/>
                <w:sz w:val="24"/>
                <w:szCs w:val="24"/>
              </w:rPr>
              <w:t>5.1离子源：</w:t>
            </w:r>
            <w:r>
              <w:rPr>
                <w:rFonts w:hint="eastAsia" w:ascii="宋体" w:hAnsi="宋体" w:eastAsia="宋体" w:cs="宋体"/>
                <w:i w:val="0"/>
                <w:iCs w:val="0"/>
                <w:color w:val="auto"/>
                <w:sz w:val="24"/>
                <w:szCs w:val="24"/>
              </w:rPr>
              <w:t>配备独立的可加热电喷雾离子源ESI，大气压化学电离源APCI，离子源具有真空锁定装置，ESI与APCI切换快速方便</w:t>
            </w:r>
            <w:r>
              <w:rPr>
                <w:rFonts w:hint="eastAsia" w:ascii="宋体" w:hAnsi="宋体" w:eastAsia="宋体" w:cs="宋体"/>
                <w:i w:val="0"/>
                <w:iCs w:val="0"/>
                <w:color w:val="auto"/>
                <w:sz w:val="24"/>
                <w:szCs w:val="24"/>
                <w:lang w:eastAsia="zh-CN"/>
              </w:rPr>
              <w:t>。或</w:t>
            </w:r>
            <w:r>
              <w:rPr>
                <w:rFonts w:hint="eastAsia" w:ascii="宋体" w:hAnsi="宋体" w:eastAsia="宋体" w:cs="宋体"/>
                <w:color w:val="auto"/>
                <w:sz w:val="24"/>
                <w:szCs w:val="24"/>
              </w:rPr>
              <w:t>多功能离子源，能够同时采集ESI和APCI模式，信号切换速度≤20ms</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投标文件中提供相应证明材料）</w:t>
            </w:r>
            <w:r>
              <w:rPr>
                <w:rFonts w:hint="eastAsia" w:ascii="宋体" w:hAnsi="宋体" w:eastAsia="宋体" w:cs="宋体"/>
                <w:color w:val="auto"/>
                <w:sz w:val="24"/>
                <w:szCs w:val="24"/>
              </w:rPr>
              <w:t>。</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★5.2四极杆选择质量范围：分辨模式m/z 20-4000，非分辨模式m/z 20-16000</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投标文件中提供相应证明材料）</w:t>
            </w:r>
            <w:r>
              <w:rPr>
                <w:rFonts w:hint="eastAsia" w:ascii="宋体" w:hAnsi="宋体" w:eastAsia="宋体" w:cs="宋体"/>
                <w:color w:val="auto"/>
                <w:sz w:val="24"/>
                <w:szCs w:val="24"/>
                <w:highlight w:val="none"/>
              </w:rPr>
              <w:t>。</w:t>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★5.3 TOF质量范围：m/z 20-100000</w:t>
            </w:r>
            <w:r>
              <w:rPr>
                <w:rFonts w:hint="eastAsia" w:ascii="宋体" w:hAnsi="宋体" w:eastAsia="宋体" w:cs="宋体"/>
                <w:sz w:val="24"/>
                <w:szCs w:val="24"/>
                <w:highlight w:val="none"/>
                <w:lang w:eastAsia="zh-CN"/>
              </w:rPr>
              <w:t>，</w:t>
            </w:r>
            <w:r>
              <w:rPr>
                <w:rFonts w:hint="eastAsia" w:ascii="宋体" w:hAnsi="宋体" w:eastAsia="宋体" w:cs="宋体"/>
                <w:b/>
                <w:bCs/>
                <w:sz w:val="24"/>
                <w:szCs w:val="24"/>
                <w:highlight w:val="none"/>
                <w:lang w:val="en-US" w:eastAsia="zh-CN"/>
              </w:rPr>
              <w:t>投标文件中</w:t>
            </w:r>
            <w:r>
              <w:rPr>
                <w:rFonts w:hint="eastAsia" w:ascii="宋体" w:hAnsi="宋体" w:eastAsia="宋体" w:cs="宋体"/>
                <w:b/>
                <w:bCs/>
                <w:sz w:val="24"/>
                <w:szCs w:val="24"/>
                <w:highlight w:val="none"/>
              </w:rPr>
              <w:t>提供可以</w:t>
            </w:r>
            <w:r>
              <w:rPr>
                <w:rFonts w:hint="eastAsia" w:ascii="宋体" w:hAnsi="宋体" w:eastAsia="宋体" w:cs="宋体"/>
                <w:b/>
                <w:bCs/>
                <w:sz w:val="24"/>
                <w:szCs w:val="24"/>
                <w:highlight w:val="none"/>
                <w:lang w:val="en-US" w:eastAsia="zh-CN"/>
              </w:rPr>
              <w:t>体现</w:t>
            </w:r>
            <w:r>
              <w:rPr>
                <w:rFonts w:hint="eastAsia" w:ascii="宋体" w:hAnsi="宋体" w:eastAsia="宋体" w:cs="宋体"/>
                <w:b/>
                <w:bCs/>
                <w:sz w:val="24"/>
                <w:szCs w:val="24"/>
                <w:highlight w:val="none"/>
              </w:rPr>
              <w:t>此功能的</w:t>
            </w:r>
            <w:r>
              <w:rPr>
                <w:rFonts w:hint="eastAsia" w:ascii="宋体" w:hAnsi="宋体" w:eastAsia="宋体" w:cs="宋体"/>
                <w:b/>
                <w:bCs/>
                <w:sz w:val="24"/>
                <w:szCs w:val="24"/>
                <w:highlight w:val="none"/>
                <w:lang w:eastAsia="zh-CN"/>
              </w:rPr>
              <w:t>软件功能截图</w:t>
            </w:r>
            <w:r>
              <w:rPr>
                <w:rFonts w:hint="eastAsia" w:ascii="宋体" w:hAnsi="宋体" w:eastAsia="宋体" w:cs="宋体"/>
                <w:sz w:val="24"/>
                <w:szCs w:val="24"/>
                <w:highlight w:val="none"/>
                <w:lang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5.4采集速率：具有与超高效液相色谱相匹配的快速数</w:t>
            </w:r>
            <w:r>
              <w:rPr>
                <w:rFonts w:hint="eastAsia" w:ascii="宋体" w:hAnsi="宋体" w:eastAsia="宋体" w:cs="宋体"/>
                <w:color w:val="auto"/>
                <w:sz w:val="24"/>
                <w:szCs w:val="24"/>
              </w:rPr>
              <w:t>据采集能力，全质量范围最高采集速率不少于30张谱图/秒</w:t>
            </w:r>
            <w:r>
              <w:rPr>
                <w:rFonts w:hint="eastAsia" w:ascii="宋体" w:hAnsi="宋体" w:eastAsia="宋体" w:cs="宋体"/>
                <w:color w:val="auto"/>
                <w:sz w:val="24"/>
                <w:szCs w:val="24"/>
                <w:lang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5.5质量精确度，外标法MS及MS/MS模式达到≤2ppm</w:t>
            </w:r>
            <w:r>
              <w:rPr>
                <w:rFonts w:hint="eastAsia" w:ascii="宋体" w:hAnsi="宋体" w:eastAsia="宋体" w:cs="宋体"/>
                <w:sz w:val="24"/>
                <w:szCs w:val="24"/>
                <w:lang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5.6定性能力：能</w:t>
            </w:r>
            <w:r>
              <w:rPr>
                <w:rFonts w:hint="eastAsia" w:ascii="宋体" w:hAnsi="宋体" w:eastAsia="宋体" w:cs="宋体"/>
                <w:color w:val="auto"/>
                <w:sz w:val="24"/>
                <w:szCs w:val="24"/>
              </w:rPr>
              <w:t>够一次进</w:t>
            </w:r>
            <w:r>
              <w:rPr>
                <w:rFonts w:hint="eastAsia" w:ascii="宋体" w:hAnsi="宋体" w:eastAsia="宋体" w:cs="宋体"/>
                <w:sz w:val="24"/>
                <w:szCs w:val="24"/>
              </w:rPr>
              <w:t>样同时得到目标化合物的MS以及MS/MS信息</w:t>
            </w:r>
            <w:r>
              <w:rPr>
                <w:rFonts w:hint="eastAsia" w:ascii="宋体" w:hAnsi="宋体" w:eastAsia="宋体" w:cs="宋体"/>
                <w:sz w:val="24"/>
                <w:szCs w:val="24"/>
                <w:lang w:eastAsia="zh-CN"/>
              </w:rPr>
              <w:t>。</w:t>
            </w:r>
          </w:p>
          <w:p>
            <w:pPr>
              <w:spacing w:line="360" w:lineRule="auto"/>
              <w:rPr>
                <w:rFonts w:hint="eastAsia" w:ascii="宋体" w:hAnsi="宋体" w:eastAsia="宋体" w:cs="宋体"/>
                <w:color w:val="auto"/>
                <w:sz w:val="24"/>
                <w:szCs w:val="24"/>
                <w:lang w:eastAsia="zh-CN"/>
              </w:rPr>
            </w:pPr>
            <w:r>
              <w:rPr>
                <w:rFonts w:hint="eastAsia" w:ascii="宋体" w:hAnsi="宋体" w:eastAsia="宋体" w:cs="宋体"/>
                <w:sz w:val="24"/>
                <w:szCs w:val="24"/>
              </w:rPr>
              <w:t>★5.7定量线性动态范围：≥5个数量级</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投标文件中提供相应证明材料）</w:t>
            </w:r>
            <w:r>
              <w:rPr>
                <w:rFonts w:hint="eastAsia" w:ascii="宋体" w:hAnsi="宋体" w:eastAsia="宋体" w:cs="宋体"/>
                <w:b/>
                <w:bCs/>
                <w:color w:val="auto"/>
                <w:sz w:val="24"/>
                <w:szCs w:val="24"/>
                <w:lang w:eastAsia="zh-CN"/>
              </w:rPr>
              <w:t>。</w:t>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★5.8分辨率：分辨率模式：在牛胰岛素(m/z 956)的(M + 6H)</w:t>
            </w:r>
            <w:r>
              <w:rPr>
                <w:rFonts w:hint="eastAsia" w:ascii="宋体" w:hAnsi="宋体" w:eastAsia="宋体" w:cs="宋体"/>
                <w:color w:val="auto"/>
                <w:sz w:val="24"/>
                <w:szCs w:val="24"/>
                <w:vertAlign w:val="superscript"/>
              </w:rPr>
              <w:t>6+</w:t>
            </w:r>
            <w:r>
              <w:rPr>
                <w:rFonts w:hint="eastAsia" w:ascii="宋体" w:hAnsi="宋体" w:eastAsia="宋体" w:cs="宋体"/>
                <w:color w:val="auto"/>
                <w:sz w:val="24"/>
                <w:szCs w:val="24"/>
              </w:rPr>
              <w:t>同位素簇上以每秒30幅谱图的采集速率 测量的结果大于60,000 FWHM，</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投标文件中提供相应证明材料）</w:t>
            </w:r>
            <w:r>
              <w:rPr>
                <w:rFonts w:hint="eastAsia" w:ascii="宋体" w:hAnsi="宋体" w:eastAsia="宋体" w:cs="宋体"/>
                <w:color w:val="auto"/>
                <w:sz w:val="24"/>
                <w:szCs w:val="24"/>
                <w:lang w:eastAsia="zh-CN"/>
              </w:rPr>
              <w:t>。</w:t>
            </w:r>
          </w:p>
          <w:p>
            <w:pPr>
              <w:spacing w:line="360" w:lineRule="auto"/>
              <w:rPr>
                <w:rFonts w:hint="eastAsia" w:ascii="宋体" w:hAnsi="宋体" w:eastAsia="宋体" w:cs="宋体"/>
                <w:sz w:val="24"/>
                <w:szCs w:val="24"/>
              </w:rPr>
            </w:pPr>
            <w:r>
              <w:rPr>
                <w:rFonts w:hint="eastAsia" w:ascii="宋体" w:hAnsi="宋体" w:eastAsia="宋体" w:cs="宋体"/>
                <w:sz w:val="24"/>
                <w:szCs w:val="24"/>
              </w:rPr>
              <w:t>5.9灵敏度(数据未经平滑处理)：</w:t>
            </w:r>
          </w:p>
          <w:p>
            <w:pPr>
              <w:spacing w:line="360" w:lineRule="auto"/>
              <w:rPr>
                <w:rFonts w:hint="eastAsia" w:ascii="宋体" w:hAnsi="宋体" w:eastAsia="宋体" w:cs="宋体"/>
                <w:sz w:val="24"/>
                <w:szCs w:val="24"/>
              </w:rPr>
            </w:pPr>
            <w:r>
              <w:rPr>
                <w:rFonts w:hint="eastAsia" w:ascii="宋体" w:hAnsi="宋体" w:eastAsia="宋体" w:cs="宋体"/>
                <w:sz w:val="24"/>
                <w:szCs w:val="24"/>
              </w:rPr>
              <w:t>1 pg八氟萘，柱上进样，MS/MS模式下，S/N ≥ 2000:1。</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5.10内置全自动注射泵并自带≥3路进样瓶，实现质谱的自动调谐和校正</w:t>
            </w:r>
            <w:r>
              <w:rPr>
                <w:rFonts w:hint="eastAsia" w:ascii="宋体" w:hAnsi="宋体" w:eastAsia="宋体" w:cs="宋体"/>
                <w:sz w:val="24"/>
                <w:szCs w:val="24"/>
                <w:lang w:eastAsia="zh-CN"/>
              </w:rPr>
              <w:t>，</w:t>
            </w:r>
            <w:r>
              <w:rPr>
                <w:rFonts w:hint="eastAsia" w:ascii="宋体" w:hAnsi="宋体" w:eastAsia="宋体" w:cs="宋体"/>
                <w:sz w:val="24"/>
                <w:szCs w:val="24"/>
              </w:rPr>
              <w:t>而且可直接进样分析</w:t>
            </w:r>
            <w:r>
              <w:rPr>
                <w:rFonts w:hint="eastAsia" w:ascii="宋体" w:hAnsi="宋体" w:eastAsia="宋体" w:cs="宋体"/>
                <w:sz w:val="24"/>
                <w:szCs w:val="24"/>
                <w:lang w:eastAsia="zh-CN"/>
              </w:rPr>
              <w:t>。</w:t>
            </w:r>
          </w:p>
          <w:p>
            <w:pPr>
              <w:spacing w:line="360" w:lineRule="auto"/>
              <w:rPr>
                <w:rFonts w:hint="eastAsia" w:ascii="宋体" w:hAnsi="宋体" w:eastAsia="宋体" w:cs="宋体"/>
                <w:bCs/>
                <w:sz w:val="24"/>
                <w:szCs w:val="24"/>
                <w:lang w:eastAsia="zh-CN"/>
              </w:rPr>
            </w:pPr>
            <w:r>
              <w:rPr>
                <w:rFonts w:hint="eastAsia" w:ascii="宋体" w:hAnsi="宋体" w:eastAsia="宋体" w:cs="宋体"/>
                <w:sz w:val="24"/>
                <w:szCs w:val="24"/>
              </w:rPr>
              <w:t>5.11</w:t>
            </w:r>
            <w:r>
              <w:rPr>
                <w:rFonts w:hint="eastAsia" w:ascii="宋体" w:hAnsi="宋体" w:eastAsia="宋体" w:cs="宋体"/>
                <w:bCs/>
                <w:sz w:val="24"/>
                <w:szCs w:val="24"/>
              </w:rPr>
              <w:t>离子源接口采用锥孔设计或为毛细管设计，若为锥孔设计，需额外多配5个锥孔；若为毛细管设计，由于损耗较大，需额外多配20根毛细管</w:t>
            </w:r>
            <w:r>
              <w:rPr>
                <w:rFonts w:hint="eastAsia" w:ascii="宋体" w:hAnsi="宋体" w:eastAsia="宋体" w:cs="宋体"/>
                <w:bCs/>
                <w:sz w:val="24"/>
                <w:szCs w:val="24"/>
                <w:lang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★5.12离子源具有双控温区域， ESI及APCI模式下均可加热至650℃或以上。</w:t>
            </w:r>
            <w:r>
              <w:rPr>
                <w:rFonts w:hint="eastAsia" w:ascii="宋体" w:hAnsi="宋体" w:eastAsia="宋体" w:cs="宋体"/>
                <w:b/>
                <w:bCs/>
                <w:sz w:val="24"/>
                <w:szCs w:val="24"/>
                <w:lang w:val="zh-TW"/>
              </w:rPr>
              <w:t>（投标文件中提供软件设置截图）</w:t>
            </w:r>
            <w:r>
              <w:rPr>
                <w:rFonts w:hint="eastAsia" w:ascii="宋体" w:hAnsi="宋体" w:eastAsia="宋体" w:cs="宋体"/>
                <w:sz w:val="24"/>
                <w:szCs w:val="24"/>
                <w:lang w:val="zh-TW" w:eastAsia="zh-CN"/>
              </w:rPr>
              <w:t>。</w:t>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5.13质量校正技术采用双进样口设计，一次进样进行实时采集校正，样品谱图与校正试剂谱图两个通道采集，且双喷针之间有隔板切换，避免样品与校准液之间接触相互干扰</w:t>
            </w:r>
            <w:r>
              <w:rPr>
                <w:rFonts w:hint="eastAsia" w:ascii="宋体" w:hAnsi="宋体" w:eastAsia="宋体" w:cs="宋体"/>
                <w:sz w:val="24"/>
                <w:szCs w:val="24"/>
                <w:highlight w:val="none"/>
                <w:lang w:eastAsia="zh-CN"/>
              </w:rPr>
              <w:t>，</w:t>
            </w:r>
            <w:r>
              <w:rPr>
                <w:rFonts w:hint="eastAsia" w:ascii="宋体" w:hAnsi="宋体" w:eastAsia="宋体" w:cs="宋体"/>
                <w:b/>
                <w:bCs/>
                <w:sz w:val="24"/>
                <w:szCs w:val="24"/>
                <w:highlight w:val="none"/>
              </w:rPr>
              <w:t>投标</w:t>
            </w:r>
            <w:r>
              <w:rPr>
                <w:rFonts w:hint="eastAsia" w:ascii="宋体" w:hAnsi="宋体" w:eastAsia="宋体" w:cs="宋体"/>
                <w:b/>
                <w:bCs/>
                <w:sz w:val="24"/>
                <w:szCs w:val="24"/>
                <w:highlight w:val="none"/>
                <w:lang w:val="en-US" w:eastAsia="zh-CN"/>
              </w:rPr>
              <w:t>文件中</w:t>
            </w:r>
            <w:r>
              <w:rPr>
                <w:rFonts w:hint="eastAsia" w:ascii="宋体" w:hAnsi="宋体" w:eastAsia="宋体" w:cs="宋体"/>
                <w:b/>
                <w:bCs/>
                <w:sz w:val="24"/>
                <w:szCs w:val="24"/>
                <w:highlight w:val="none"/>
              </w:rPr>
              <w:t>提供进</w:t>
            </w:r>
            <w:r>
              <w:rPr>
                <w:rFonts w:hint="eastAsia" w:ascii="宋体" w:hAnsi="宋体" w:eastAsia="宋体" w:cs="宋体"/>
                <w:b/>
                <w:bCs/>
                <w:color w:val="auto"/>
                <w:sz w:val="24"/>
                <w:szCs w:val="24"/>
                <w:highlight w:val="none"/>
              </w:rPr>
              <w:t>样口图片</w:t>
            </w:r>
            <w:r>
              <w:rPr>
                <w:rFonts w:hint="eastAsia" w:ascii="宋体" w:hAnsi="宋体" w:eastAsia="宋体" w:cs="宋体"/>
                <w:sz w:val="24"/>
                <w:szCs w:val="24"/>
                <w:highlight w:val="none"/>
                <w:lang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w:t>
            </w:r>
            <w:r>
              <w:rPr>
                <w:rFonts w:hint="eastAsia" w:ascii="宋体" w:hAnsi="宋体" w:eastAsia="宋体" w:cs="宋体"/>
                <w:sz w:val="24"/>
                <w:szCs w:val="24"/>
                <w:highlight w:val="none"/>
              </w:rPr>
              <w:t>5.14检测器：复合式ADC检测器，采样频率</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6GHz</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投标文件中提供相应证明材料）</w:t>
            </w:r>
            <w:r>
              <w:rPr>
                <w:rFonts w:hint="eastAsia" w:ascii="宋体" w:hAnsi="宋体" w:eastAsia="宋体" w:cs="宋体"/>
                <w:color w:val="auto"/>
                <w:sz w:val="24"/>
                <w:szCs w:val="24"/>
                <w:highlight w:val="none"/>
                <w:lang w:eastAsia="zh-CN"/>
              </w:rPr>
              <w:t>。</w:t>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5.15数据管理系统功能要求：</w:t>
            </w:r>
          </w:p>
          <w:p>
            <w:pPr>
              <w:pStyle w:val="6"/>
              <w:spacing w:line="360" w:lineRule="auto"/>
              <w:rPr>
                <w:rFonts w:ascii="宋体" w:hAnsi="宋体" w:eastAsia="宋体" w:cs="宋体"/>
                <w:color w:val="auto"/>
                <w:sz w:val="24"/>
                <w:szCs w:val="24"/>
              </w:rPr>
            </w:pPr>
            <w:r>
              <w:rPr>
                <w:rFonts w:ascii="宋体" w:hAnsi="宋体" w:eastAsia="宋体" w:cs="宋体"/>
                <w:color w:val="auto"/>
                <w:sz w:val="24"/>
                <w:szCs w:val="24"/>
              </w:rPr>
              <w:t>5.15.1 仪器操作软件，内嵌工作流程 管理系统，可以对视窗进行保存，管理和自定义。</w:t>
            </w:r>
          </w:p>
          <w:p>
            <w:pPr>
              <w:pStyle w:val="3"/>
              <w:spacing w:line="360" w:lineRule="auto"/>
              <w:ind w:left="0" w:leftChars="0" w:firstLine="0" w:firstLineChars="0"/>
              <w:rPr>
                <w:rFonts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ascii="宋体" w:hAnsi="宋体" w:eastAsia="宋体" w:cs="宋体"/>
                <w:color w:val="auto"/>
                <w:sz w:val="24"/>
                <w:szCs w:val="24"/>
              </w:rPr>
              <w:t>.15.2 代谢组学数据处理软件:分析处理代谢组学和脂质组学的数据，能够统计分析和自动批量鉴定标 记化合物,并自动进行代谢通路的检索。</w:t>
            </w:r>
          </w:p>
          <w:p>
            <w:pPr>
              <w:pStyle w:val="3"/>
              <w:spacing w:line="360" w:lineRule="auto"/>
              <w:ind w:left="0" w:leftChars="0" w:firstLine="0" w:firstLineChars="0"/>
              <w:rPr>
                <w:rFonts w:ascii="宋体" w:hAnsi="宋体" w:eastAsia="宋体" w:cs="宋体"/>
                <w:color w:val="auto"/>
                <w:sz w:val="24"/>
                <w:szCs w:val="24"/>
              </w:rPr>
            </w:pPr>
            <w:r>
              <w:rPr>
                <w:rFonts w:ascii="宋体" w:hAnsi="宋体" w:eastAsia="宋体" w:cs="宋体"/>
                <w:color w:val="auto"/>
                <w:sz w:val="24"/>
                <w:szCs w:val="24"/>
              </w:rPr>
              <w:t>5.15.3 未知物筛查数据处理软件 可以进行未知物筛查、组分分析、数据挖掘、含量测定和计算等功能；有实时的质量缺失过滤器和去烷基化工具；能够自动生成代谢产物鉴定结果的组分图，在色谱峰上自动标记化合物结构式。</w:t>
            </w:r>
          </w:p>
          <w:p>
            <w:pPr>
              <w:pStyle w:val="4"/>
              <w:spacing w:line="360" w:lineRule="auto"/>
              <w:rPr>
                <w:rFonts w:hint="eastAsia" w:eastAsia="宋体"/>
                <w:color w:val="FF0000"/>
                <w:lang w:eastAsia="zh-CN"/>
              </w:rPr>
            </w:pPr>
            <w:r>
              <w:rPr>
                <w:rFonts w:hint="eastAsia" w:ascii="宋体" w:hAnsi="宋体" w:eastAsia="宋体" w:cs="宋体"/>
                <w:color w:val="auto"/>
                <w:sz w:val="24"/>
                <w:szCs w:val="24"/>
              </w:rPr>
              <w:t>★</w:t>
            </w:r>
            <w:r>
              <w:rPr>
                <w:rFonts w:ascii="宋体" w:hAnsi="宋体" w:eastAsia="宋体" w:cs="宋体"/>
                <w:color w:val="auto"/>
                <w:sz w:val="24"/>
                <w:szCs w:val="24"/>
              </w:rPr>
              <w:t>5.15.4 以上软件终身免费升级</w:t>
            </w:r>
            <w:r>
              <w:rPr>
                <w:rFonts w:hint="eastAsia" w:ascii="宋体" w:hAnsi="宋体" w:eastAsia="宋体" w:cs="宋体"/>
                <w:color w:val="auto"/>
                <w:sz w:val="24"/>
                <w:szCs w:val="24"/>
                <w:lang w:eastAsia="zh-CN"/>
              </w:rPr>
              <w:t>。</w:t>
            </w:r>
          </w:p>
          <w:p>
            <w:pPr>
              <w:pStyle w:val="13"/>
              <w:numPr>
                <w:ilvl w:val="0"/>
                <w:numId w:val="0"/>
              </w:num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6.</w:t>
            </w:r>
            <w:r>
              <w:rPr>
                <w:rFonts w:hint="eastAsia" w:ascii="宋体" w:hAnsi="宋体" w:eastAsia="宋体" w:cs="宋体"/>
                <w:b/>
                <w:bCs/>
                <w:sz w:val="24"/>
                <w:szCs w:val="24"/>
              </w:rPr>
              <w:t>氮气发生器</w:t>
            </w:r>
            <w:r>
              <w:rPr>
                <w:rFonts w:hint="eastAsia" w:ascii="宋体" w:hAnsi="宋体" w:eastAsia="宋体" w:cs="宋体"/>
                <w:b/>
                <w:bCs/>
                <w:sz w:val="24"/>
                <w:szCs w:val="24"/>
                <w:lang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6.1输出压力≥0.7Mbar，输出流量30L/min，输出纯度最高99%以上能够完全满足多级质谱气源要求</w:t>
            </w:r>
            <w:r>
              <w:rPr>
                <w:rFonts w:hint="eastAsia" w:ascii="宋体" w:hAnsi="宋体" w:eastAsia="宋体" w:cs="宋体"/>
                <w:sz w:val="24"/>
                <w:szCs w:val="24"/>
                <w:lang w:eastAsia="zh-CN"/>
              </w:rPr>
              <w:t>。</w:t>
            </w:r>
          </w:p>
          <w:p>
            <w:pPr>
              <w:spacing w:line="360" w:lineRule="auto"/>
              <w:rPr>
                <w:rFonts w:hint="eastAsia" w:ascii="宋体" w:hAnsi="宋体" w:eastAsia="宋体" w:cs="宋体"/>
                <w:sz w:val="24"/>
                <w:szCs w:val="24"/>
              </w:rPr>
            </w:pPr>
            <w:r>
              <w:rPr>
                <w:rFonts w:hint="eastAsia" w:ascii="宋体" w:hAnsi="宋体" w:eastAsia="宋体" w:cs="宋体"/>
                <w:sz w:val="24"/>
                <w:szCs w:val="24"/>
              </w:rPr>
              <w:t>6.2内置2台原装无油空气压缩机，附隔音压缩机箱和消音器。</w:t>
            </w:r>
          </w:p>
          <w:p>
            <w:pPr>
              <w:spacing w:line="360" w:lineRule="auto"/>
              <w:rPr>
                <w:rFonts w:hint="eastAsia" w:ascii="宋体" w:hAnsi="宋体" w:eastAsia="宋体" w:cs="宋体"/>
                <w:sz w:val="24"/>
                <w:szCs w:val="24"/>
              </w:rPr>
            </w:pPr>
            <w:r>
              <w:rPr>
                <w:rFonts w:hint="eastAsia" w:ascii="宋体" w:hAnsi="宋体" w:eastAsia="宋体" w:cs="宋体"/>
                <w:sz w:val="24"/>
                <w:szCs w:val="24"/>
              </w:rPr>
              <w:t>6.3内置蒸发器，不需排水也不需另接排水孔。</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6.4实时流量、压力监测，内置电子式流量计，屏幕上可显示实时氮气流量</w:t>
            </w:r>
            <w:r>
              <w:rPr>
                <w:rFonts w:hint="eastAsia" w:ascii="宋体" w:hAnsi="宋体" w:eastAsia="宋体" w:cs="宋体"/>
                <w:sz w:val="24"/>
                <w:szCs w:val="24"/>
                <w:lang w:eastAsia="zh-CN"/>
              </w:rPr>
              <w:t>。</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6.5集成式、一体化设计，无需外接外部空气气源</w:t>
            </w:r>
            <w:r>
              <w:rPr>
                <w:rFonts w:hint="eastAsia" w:ascii="宋体" w:hAnsi="宋体" w:eastAsia="宋体" w:cs="宋体"/>
                <w:sz w:val="24"/>
                <w:szCs w:val="24"/>
                <w:lang w:eastAsia="zh-CN"/>
              </w:rPr>
              <w:t>。</w:t>
            </w:r>
            <w:r>
              <w:rPr>
                <w:rFonts w:hint="eastAsia" w:ascii="宋体" w:hAnsi="宋体" w:eastAsia="宋体" w:cs="宋体"/>
                <w:sz w:val="24"/>
                <w:szCs w:val="24"/>
              </w:rPr>
              <w:t>接通电源即可使用</w:t>
            </w:r>
            <w:r>
              <w:rPr>
                <w:rFonts w:hint="eastAsia" w:ascii="宋体" w:hAnsi="宋体" w:eastAsia="宋体" w:cs="宋体"/>
                <w:sz w:val="24"/>
                <w:szCs w:val="24"/>
                <w:lang w:eastAsia="zh-CN"/>
              </w:rPr>
              <w:t>。</w:t>
            </w:r>
          </w:p>
          <w:p>
            <w:pPr>
              <w:numPr>
                <w:ilvl w:val="0"/>
                <w:numId w:val="1"/>
              </w:numPr>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10千瓦以上</w:t>
            </w:r>
            <w:r>
              <w:rPr>
                <w:rFonts w:hint="eastAsia" w:ascii="宋体" w:hAnsi="宋体" w:eastAsia="宋体" w:cs="宋体"/>
                <w:b w:val="0"/>
                <w:bCs w:val="0"/>
                <w:sz w:val="24"/>
                <w:szCs w:val="24"/>
                <w:lang w:eastAsia="zh-CN"/>
              </w:rPr>
              <w:t>供电时长大于</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小时</w:t>
            </w:r>
            <w:r>
              <w:rPr>
                <w:rFonts w:hint="eastAsia" w:ascii="宋体" w:hAnsi="宋体" w:eastAsia="宋体" w:cs="宋体"/>
                <w:b w:val="0"/>
                <w:bCs w:val="0"/>
                <w:sz w:val="24"/>
                <w:szCs w:val="24"/>
                <w:lang w:eastAsia="zh-CN"/>
              </w:rPr>
              <w:t>品牌</w:t>
            </w:r>
            <w:r>
              <w:rPr>
                <w:rFonts w:hint="eastAsia" w:ascii="宋体" w:hAnsi="宋体" w:eastAsia="宋体" w:cs="宋体"/>
                <w:b w:val="0"/>
                <w:bCs w:val="0"/>
                <w:sz w:val="24"/>
                <w:szCs w:val="24"/>
              </w:rPr>
              <w:t>UPS电源</w:t>
            </w:r>
            <w:r>
              <w:rPr>
                <w:rFonts w:hint="eastAsia" w:ascii="宋体" w:hAnsi="宋体" w:eastAsia="宋体" w:cs="宋体"/>
                <w:b w:val="0"/>
                <w:bCs w:val="0"/>
                <w:sz w:val="24"/>
                <w:szCs w:val="24"/>
                <w:lang w:eastAsia="zh-CN"/>
              </w:rPr>
              <w:t>。</w:t>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8.备件及耗材</w:t>
            </w:r>
          </w:p>
          <w:p>
            <w:pPr>
              <w:pStyle w:val="6"/>
              <w:spacing w:line="360" w:lineRule="auto"/>
              <w:rPr>
                <w:rFonts w:hint="default" w:ascii="宋体" w:hAnsi="宋体" w:eastAsia="宋体" w:cs="宋体"/>
                <w:color w:val="auto"/>
                <w:sz w:val="24"/>
                <w:szCs w:val="24"/>
                <w:lang w:val="en-US" w:eastAsia="zh-CN"/>
              </w:rPr>
            </w:pPr>
            <w:r>
              <w:rPr>
                <w:rFonts w:ascii="宋体" w:hAnsi="宋体" w:eastAsia="宋体" w:cs="宋体"/>
                <w:color w:val="auto"/>
                <w:sz w:val="24"/>
                <w:szCs w:val="24"/>
              </w:rPr>
              <w:t xml:space="preserve">8.1 C18 色谱柱 （2 根） </w:t>
            </w:r>
            <w:r>
              <w:rPr>
                <w:rFonts w:hint="eastAsia" w:ascii="宋体" w:hAnsi="宋体" w:eastAsia="宋体" w:cs="宋体"/>
                <w:color w:val="auto"/>
                <w:sz w:val="24"/>
                <w:szCs w:val="24"/>
                <w:lang w:eastAsia="zh-CN"/>
              </w:rPr>
              <w:t>，</w:t>
            </w:r>
            <w:r>
              <w:rPr>
                <w:rFonts w:ascii="宋体" w:hAnsi="宋体" w:eastAsia="宋体" w:cs="宋体"/>
                <w:color w:val="auto"/>
                <w:sz w:val="24"/>
                <w:szCs w:val="24"/>
              </w:rPr>
              <w:t xml:space="preserve"> RP18 色谱柱（1 根） </w:t>
            </w:r>
            <w:r>
              <w:rPr>
                <w:rFonts w:hint="eastAsia" w:ascii="宋体" w:hAnsi="宋体" w:eastAsia="宋体" w:cs="宋体"/>
                <w:color w:val="auto"/>
                <w:sz w:val="24"/>
                <w:szCs w:val="24"/>
                <w:lang w:eastAsia="zh-CN"/>
              </w:rPr>
              <w:t>，</w:t>
            </w:r>
            <w:r>
              <w:rPr>
                <w:rFonts w:ascii="宋体" w:hAnsi="宋体" w:eastAsia="宋体" w:cs="宋体"/>
                <w:color w:val="auto"/>
                <w:sz w:val="24"/>
                <w:szCs w:val="24"/>
              </w:rPr>
              <w:t xml:space="preserve">T3 色谱柱 （1 根） </w:t>
            </w:r>
            <w:r>
              <w:rPr>
                <w:rFonts w:hint="eastAsia" w:ascii="宋体" w:hAnsi="宋体" w:eastAsia="宋体" w:cs="宋体"/>
                <w:color w:val="auto"/>
                <w:sz w:val="24"/>
                <w:szCs w:val="24"/>
                <w:lang w:eastAsia="zh-CN"/>
              </w:rPr>
              <w:t>，</w:t>
            </w:r>
            <w:r>
              <w:rPr>
                <w:rFonts w:ascii="宋体" w:hAnsi="宋体" w:eastAsia="宋体" w:cs="宋体"/>
                <w:color w:val="auto"/>
                <w:sz w:val="24"/>
                <w:szCs w:val="24"/>
              </w:rPr>
              <w:t xml:space="preserve"> HILIC 色谱柱（1 根） </w:t>
            </w:r>
            <w:r>
              <w:rPr>
                <w:rFonts w:hint="eastAsia" w:ascii="宋体" w:hAnsi="宋体" w:eastAsia="宋体" w:cs="宋体"/>
                <w:color w:val="auto"/>
                <w:sz w:val="24"/>
                <w:szCs w:val="24"/>
                <w:lang w:eastAsia="zh-CN"/>
              </w:rPr>
              <w:t>，</w:t>
            </w:r>
            <w:r>
              <w:rPr>
                <w:rFonts w:ascii="宋体" w:hAnsi="宋体" w:eastAsia="宋体" w:cs="宋体"/>
                <w:color w:val="auto"/>
                <w:sz w:val="24"/>
                <w:szCs w:val="24"/>
              </w:rPr>
              <w:t xml:space="preserve"> Amide HILIC 色谱柱（1 根） </w:t>
            </w:r>
            <w:r>
              <w:rPr>
                <w:rFonts w:hint="eastAsia" w:ascii="宋体" w:hAnsi="宋体" w:eastAsia="宋体" w:cs="宋体"/>
                <w:color w:val="auto"/>
                <w:sz w:val="24"/>
                <w:szCs w:val="24"/>
                <w:lang w:eastAsia="zh-CN"/>
              </w:rPr>
              <w:t>，</w:t>
            </w:r>
            <w:r>
              <w:rPr>
                <w:rFonts w:ascii="宋体" w:hAnsi="宋体" w:eastAsia="宋体" w:cs="宋体"/>
                <w:color w:val="auto"/>
                <w:sz w:val="24"/>
                <w:szCs w:val="24"/>
              </w:rPr>
              <w:t xml:space="preserve"> C30 色谱柱（1 根） </w:t>
            </w:r>
            <w:r>
              <w:rPr>
                <w:rFonts w:hint="eastAsia" w:ascii="宋体" w:hAnsi="宋体" w:eastAsia="宋体" w:cs="宋体"/>
                <w:color w:val="auto"/>
                <w:sz w:val="24"/>
                <w:szCs w:val="24"/>
                <w:lang w:eastAsia="zh-CN"/>
              </w:rPr>
              <w:t>，</w:t>
            </w:r>
            <w:r>
              <w:rPr>
                <w:rFonts w:ascii="宋体" w:hAnsi="宋体" w:eastAsia="宋体" w:cs="宋体"/>
                <w:color w:val="auto"/>
                <w:sz w:val="24"/>
                <w:szCs w:val="24"/>
              </w:rPr>
              <w:t xml:space="preserve"> 苯基</w:t>
            </w:r>
            <w:r>
              <w:rPr>
                <w:rFonts w:hint="eastAsia" w:ascii="宋体" w:hAnsi="宋体" w:eastAsia="宋体" w:cs="宋体"/>
                <w:color w:val="auto"/>
                <w:sz w:val="24"/>
                <w:szCs w:val="24"/>
                <w:lang w:eastAsia="zh-CN"/>
              </w:rPr>
              <w:t>色谱</w:t>
            </w:r>
            <w:r>
              <w:rPr>
                <w:rFonts w:ascii="宋体" w:hAnsi="宋体" w:eastAsia="宋体" w:cs="宋体"/>
                <w:color w:val="auto"/>
                <w:sz w:val="24"/>
                <w:szCs w:val="24"/>
              </w:rPr>
              <w:t xml:space="preserve">柱（1 根） </w:t>
            </w:r>
            <w:r>
              <w:rPr>
                <w:rFonts w:hint="eastAsia" w:ascii="宋体" w:hAnsi="宋体" w:eastAsia="宋体" w:cs="宋体"/>
                <w:color w:val="auto"/>
                <w:sz w:val="24"/>
                <w:szCs w:val="24"/>
                <w:lang w:eastAsia="zh-CN"/>
              </w:rPr>
              <w:t>，</w:t>
            </w:r>
            <w:r>
              <w:rPr>
                <w:rFonts w:ascii="宋体" w:hAnsi="宋体" w:eastAsia="宋体" w:cs="宋体"/>
                <w:color w:val="auto"/>
                <w:sz w:val="24"/>
                <w:szCs w:val="24"/>
              </w:rPr>
              <w:t xml:space="preserve"> C8 色谱柱（1 根）</w:t>
            </w:r>
            <w:r>
              <w:rPr>
                <w:rFonts w:hint="eastAsia" w:ascii="宋体" w:hAnsi="宋体" w:eastAsia="宋体" w:cs="宋体"/>
                <w:color w:val="auto"/>
                <w:sz w:val="24"/>
                <w:szCs w:val="24"/>
                <w:lang w:eastAsia="zh-CN"/>
              </w:rPr>
              <w:t>，保护柱一套，保护柱芯</w:t>
            </w:r>
            <w:r>
              <w:rPr>
                <w:rFonts w:hint="eastAsia" w:ascii="宋体" w:hAnsi="宋体" w:eastAsia="宋体" w:cs="宋体"/>
                <w:color w:val="auto"/>
                <w:sz w:val="24"/>
                <w:szCs w:val="24"/>
                <w:lang w:val="en-US" w:eastAsia="zh-CN"/>
              </w:rPr>
              <w:t>2包。</w:t>
            </w:r>
          </w:p>
          <w:p>
            <w:pPr>
              <w:pStyle w:val="6"/>
              <w:spacing w:line="360" w:lineRule="auto"/>
              <w:rPr>
                <w:rFonts w:ascii="宋体" w:hAnsi="宋体" w:eastAsia="宋体" w:cs="宋体"/>
                <w:color w:val="auto"/>
                <w:sz w:val="24"/>
                <w:szCs w:val="24"/>
              </w:rPr>
            </w:pPr>
            <w:r>
              <w:rPr>
                <w:rFonts w:ascii="宋体" w:hAnsi="宋体" w:eastAsia="宋体" w:cs="宋体"/>
                <w:color w:val="auto"/>
                <w:sz w:val="24"/>
                <w:szCs w:val="24"/>
              </w:rPr>
              <w:t>8.</w:t>
            </w: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 xml:space="preserve"> 超高效液相专用溶剂瓶（8 个） </w:t>
            </w:r>
            <w:r>
              <w:rPr>
                <w:rFonts w:hint="eastAsia" w:ascii="宋体" w:hAnsi="宋体" w:eastAsia="宋体" w:cs="宋体"/>
                <w:color w:val="auto"/>
                <w:sz w:val="24"/>
                <w:szCs w:val="24"/>
                <w:lang w:eastAsia="zh-CN"/>
              </w:rPr>
              <w:t>，</w:t>
            </w:r>
            <w:r>
              <w:rPr>
                <w:rFonts w:ascii="宋体" w:hAnsi="宋体" w:eastAsia="宋体" w:cs="宋体"/>
                <w:color w:val="auto"/>
                <w:sz w:val="24"/>
                <w:szCs w:val="24"/>
              </w:rPr>
              <w:t xml:space="preserve"> 碰撞气瓶 2 个 </w:t>
            </w:r>
            <w:r>
              <w:rPr>
                <w:rFonts w:hint="eastAsia" w:ascii="宋体" w:hAnsi="宋体" w:eastAsia="宋体" w:cs="宋体"/>
                <w:color w:val="auto"/>
                <w:sz w:val="24"/>
                <w:szCs w:val="24"/>
                <w:lang w:eastAsia="zh-CN"/>
              </w:rPr>
              <w:t>，</w:t>
            </w:r>
            <w:r>
              <w:rPr>
                <w:rFonts w:ascii="宋体" w:hAnsi="宋体" w:eastAsia="宋体" w:cs="宋体"/>
                <w:color w:val="auto"/>
                <w:sz w:val="24"/>
                <w:szCs w:val="24"/>
              </w:rPr>
              <w:t xml:space="preserve"> 预开口进样瓶 2ml，包括瓶盖， 瓶垫（500 套）</w:t>
            </w:r>
          </w:p>
          <w:p>
            <w:pPr>
              <w:pStyle w:val="3"/>
              <w:spacing w:line="360" w:lineRule="auto"/>
              <w:ind w:left="0" w:leftChars="0" w:firstLine="0" w:firstLineChars="0"/>
              <w:rPr>
                <w:color w:val="auto"/>
              </w:rPr>
            </w:pPr>
            <w:r>
              <w:rPr>
                <w:rFonts w:ascii="宋体" w:hAnsi="宋体" w:eastAsia="宋体" w:cs="宋体"/>
                <w:color w:val="auto"/>
                <w:sz w:val="24"/>
                <w:szCs w:val="24"/>
              </w:rPr>
              <w:t>8.</w:t>
            </w:r>
            <w:r>
              <w:rPr>
                <w:rFonts w:hint="eastAsia" w:ascii="宋体" w:hAnsi="宋体" w:eastAsia="宋体" w:cs="宋体"/>
                <w:color w:val="auto"/>
                <w:sz w:val="24"/>
                <w:szCs w:val="24"/>
                <w:lang w:val="en-US" w:eastAsia="zh-CN"/>
              </w:rPr>
              <w:t>3</w:t>
            </w:r>
            <w:r>
              <w:rPr>
                <w:rFonts w:ascii="宋体" w:hAnsi="宋体" w:eastAsia="宋体" w:cs="宋体"/>
                <w:color w:val="auto"/>
                <w:sz w:val="24"/>
                <w:szCs w:val="24"/>
              </w:rPr>
              <w:t xml:space="preserve"> 仪器安装调试所必备的管路，接头，进样器，过滤头等配件。</w:t>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9.</w:t>
            </w:r>
            <w:r>
              <w:rPr>
                <w:rFonts w:hint="eastAsia" w:ascii="宋体" w:hAnsi="宋体" w:eastAsia="宋体" w:cs="宋体"/>
                <w:sz w:val="24"/>
                <w:szCs w:val="24"/>
              </w:rPr>
              <w:t>原装质谱软件及相关应用数据库软件包（1套）</w:t>
            </w:r>
            <w:r>
              <w:rPr>
                <w:rFonts w:hint="eastAsia" w:ascii="宋体" w:hAnsi="宋体" w:eastAsia="宋体" w:cs="宋体"/>
                <w:sz w:val="24"/>
                <w:szCs w:val="24"/>
                <w:lang w:eastAsia="zh-CN"/>
              </w:rPr>
              <w:t>。</w:t>
            </w:r>
          </w:p>
          <w:p>
            <w:pPr>
              <w:numPr>
                <w:ilvl w:val="0"/>
                <w:numId w:val="0"/>
              </w:numPr>
              <w:spacing w:line="360" w:lineRule="auto"/>
              <w:rPr>
                <w:rFonts w:hint="default"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工作站两台：CPU：</w:t>
            </w:r>
            <w:r>
              <w:rPr>
                <w:rFonts w:hint="eastAsia" w:ascii="宋体" w:hAnsi="宋体" w:eastAsia="宋体" w:cs="宋体"/>
                <w:color w:val="auto"/>
                <w:sz w:val="24"/>
                <w:szCs w:val="24"/>
                <w:lang w:eastAsia="zh-CN"/>
              </w:rPr>
              <w:t>参照或相当于</w:t>
            </w:r>
            <w:r>
              <w:rPr>
                <w:rFonts w:hint="eastAsia" w:ascii="宋体" w:hAnsi="宋体" w:eastAsia="宋体" w:cs="宋体"/>
                <w:color w:val="auto"/>
                <w:sz w:val="24"/>
                <w:szCs w:val="24"/>
                <w:highlight w:val="none"/>
                <w:lang w:eastAsia="zh-CN"/>
              </w:rPr>
              <w:t>E</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lang w:eastAsia="zh-CN"/>
              </w:rPr>
              <w:t>-1630,4核8线程，内存：4×16Gb DDR4，GPU：参照或相当于K620/K40，固态硬盘：512Gb，机械硬盘：2×4Tb，1×6Tb。27英寸2K超高分辨率纤薄窄边框IPS屏显示器。</w:t>
            </w:r>
            <w:r>
              <w:rPr>
                <w:rFonts w:hint="eastAsia" w:ascii="宋体" w:hAnsi="宋体" w:eastAsia="宋体" w:cs="宋体"/>
                <w:color w:val="auto"/>
                <w:sz w:val="24"/>
                <w:szCs w:val="24"/>
                <w:lang w:val="en-US" w:eastAsia="zh-CN"/>
              </w:rPr>
              <w:t>彩色激光打印机：1台。</w:t>
            </w:r>
          </w:p>
        </w:tc>
        <w:tc>
          <w:tcPr>
            <w:tcW w:w="778"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bCs/>
                <w:color w:val="auto"/>
                <w:sz w:val="24"/>
                <w:szCs w:val="24"/>
                <w:highlight w:val="none"/>
              </w:rPr>
              <w:t>1套</w:t>
            </w:r>
          </w:p>
        </w:tc>
        <w:tc>
          <w:tcPr>
            <w:tcW w:w="844" w:type="dxa"/>
            <w:vAlign w:val="center"/>
          </w:tcPr>
          <w:p>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工业</w:t>
            </w:r>
          </w:p>
        </w:tc>
        <w:tc>
          <w:tcPr>
            <w:tcW w:w="885"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lang w:eastAsia="zh-CN"/>
              </w:rPr>
              <w:t>进口</w:t>
            </w:r>
            <w:r>
              <w:rPr>
                <w:rFonts w:hint="eastAsia" w:ascii="宋体" w:hAnsi="宋体" w:eastAsia="宋体" w:cs="宋体"/>
                <w:sz w:val="24"/>
                <w:szCs w:val="24"/>
              </w:rPr>
              <w:t>产品</w:t>
            </w:r>
          </w:p>
        </w:tc>
      </w:tr>
    </w:tbl>
    <w:p>
      <w:pPr>
        <w:spacing w:line="360" w:lineRule="auto"/>
        <w:ind w:firstLine="437"/>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注：相应证明材料为生产厂家官方网站截图或产品说明书或第三方机构检验报告或产品彩页或其他相关证明材料，未提供有效证明材料或证明材料中内容与不满足招标指标要求的，视为相应指标不满足。</w:t>
      </w:r>
    </w:p>
    <w:p>
      <w:pPr>
        <w:spacing w:line="360" w:lineRule="auto"/>
        <w:ind w:firstLine="437"/>
        <w:outlineLvl w:val="1"/>
        <w:rPr>
          <w:rFonts w:hint="eastAsia" w:ascii="宋体" w:hAnsi="宋体" w:eastAsia="宋体" w:cs="宋体"/>
          <w:b/>
          <w:bCs/>
          <w:sz w:val="24"/>
          <w:szCs w:val="18"/>
        </w:rPr>
      </w:pPr>
    </w:p>
    <w:p>
      <w:pPr>
        <w:spacing w:line="360" w:lineRule="auto"/>
        <w:ind w:firstLine="437"/>
        <w:outlineLvl w:val="1"/>
        <w:rPr>
          <w:rFonts w:ascii="宋体" w:hAnsi="宋体" w:eastAsia="宋体" w:cs="宋体"/>
          <w:b/>
          <w:bCs/>
          <w:sz w:val="24"/>
          <w:szCs w:val="18"/>
        </w:rPr>
      </w:pPr>
      <w:r>
        <w:rPr>
          <w:rFonts w:hint="eastAsia" w:ascii="宋体" w:hAnsi="宋体" w:eastAsia="宋体" w:cs="宋体"/>
          <w:b/>
          <w:bCs/>
          <w:sz w:val="24"/>
          <w:szCs w:val="18"/>
        </w:rPr>
        <w:t>三、报价要求</w:t>
      </w:r>
    </w:p>
    <w:p>
      <w:pPr>
        <w:spacing w:line="360" w:lineRule="auto"/>
        <w:ind w:firstLine="470" w:firstLineChars="196"/>
        <w:rPr>
          <w:rFonts w:ascii="宋体" w:hAnsi="宋体" w:eastAsia="宋体" w:cs="楷体"/>
          <w:sz w:val="24"/>
          <w:szCs w:val="24"/>
        </w:rPr>
      </w:pPr>
      <w:r>
        <w:rPr>
          <w:rFonts w:hint="eastAsia" w:ascii="宋体" w:hAnsi="宋体" w:eastAsia="宋体" w:cs="楷体"/>
          <w:sz w:val="24"/>
          <w:szCs w:val="24"/>
        </w:rPr>
        <w:t>本项目报总价，报价包含完成本项目全部内容所产生的一切费用，含货物的供货、包装运输(包括卸车及就位至</w:t>
      </w:r>
      <w:r>
        <w:rPr>
          <w:rFonts w:hint="eastAsia" w:ascii="宋体" w:hAnsi="宋体" w:eastAsia="宋体" w:cs="楷体"/>
          <w:sz w:val="24"/>
          <w:szCs w:val="24"/>
          <w:lang w:eastAsia="zh-CN"/>
        </w:rPr>
        <w:t>采购</w:t>
      </w:r>
      <w:r>
        <w:rPr>
          <w:rFonts w:hint="eastAsia" w:ascii="宋体" w:hAnsi="宋体" w:eastAsia="宋体" w:cs="楷体"/>
          <w:sz w:val="24"/>
          <w:szCs w:val="24"/>
        </w:rPr>
        <w:t>人指定的安装地点)、运输保险（全额投保到合肥工业大学宣城校区化工楼）、安装、调试、技术服务、培训、售后服务等所有内容</w:t>
      </w:r>
      <w:r>
        <w:rPr>
          <w:rFonts w:hint="eastAsia" w:ascii="宋体" w:hAnsi="宋体" w:eastAsia="宋体" w:cs="楷体"/>
          <w:sz w:val="24"/>
          <w:szCs w:val="24"/>
          <w:lang w:eastAsia="zh-CN"/>
        </w:rPr>
        <w:t>，</w:t>
      </w:r>
      <w:r>
        <w:rPr>
          <w:rFonts w:hint="eastAsia" w:ascii="宋体" w:hAnsi="宋体" w:eastAsia="宋体" w:cs="楷体"/>
          <w:sz w:val="24"/>
          <w:szCs w:val="24"/>
        </w:rPr>
        <w:t>履约期间采购人不再追加任何费用，投标人报价时综合考虑报价风险。</w:t>
      </w:r>
    </w:p>
    <w:p>
      <w:pPr>
        <w:spacing w:line="360" w:lineRule="auto"/>
        <w:ind w:firstLine="437"/>
        <w:rPr>
          <w:rFonts w:ascii="宋体" w:hAnsi="宋体" w:eastAsia="宋体" w:cs="宋体"/>
          <w:bCs/>
          <w:sz w:val="24"/>
          <w:szCs w:val="18"/>
        </w:rPr>
      </w:pPr>
    </w:p>
    <w:p>
      <w:pPr>
        <w:spacing w:line="360" w:lineRule="auto"/>
        <w:ind w:firstLine="437"/>
        <w:outlineLvl w:val="1"/>
        <w:rPr>
          <w:rFonts w:ascii="宋体" w:hAnsi="宋体" w:eastAsia="宋体" w:cs="宋体"/>
          <w:b/>
          <w:bCs/>
          <w:sz w:val="24"/>
          <w:szCs w:val="18"/>
        </w:rPr>
      </w:pPr>
      <w:r>
        <w:rPr>
          <w:rFonts w:hint="eastAsia" w:ascii="宋体" w:hAnsi="宋体" w:eastAsia="宋体" w:cs="宋体"/>
          <w:b/>
          <w:bCs/>
          <w:sz w:val="24"/>
          <w:szCs w:val="18"/>
        </w:rPr>
        <w:t>四、其他要求</w:t>
      </w:r>
    </w:p>
    <w:p>
      <w:pPr>
        <w:spacing w:line="360" w:lineRule="auto"/>
        <w:ind w:firstLine="480" w:firstLineChars="200"/>
        <w:outlineLvl w:val="2"/>
        <w:rPr>
          <w:rFonts w:ascii="宋体" w:hAnsi="宋体" w:eastAsia="宋体" w:cs="宋体"/>
          <w:sz w:val="24"/>
          <w:szCs w:val="24"/>
          <w:u w:val="single"/>
        </w:rPr>
      </w:pPr>
      <w:r>
        <w:rPr>
          <w:rFonts w:hint="eastAsia" w:ascii="宋体" w:hAnsi="宋体" w:eastAsia="宋体" w:cs="宋体"/>
          <w:sz w:val="24"/>
          <w:szCs w:val="24"/>
        </w:rPr>
        <w:t>1.包装</w:t>
      </w:r>
      <w:r>
        <w:rPr>
          <w:rFonts w:hint="eastAsia" w:ascii="宋体" w:hAnsi="宋体" w:eastAsia="宋体" w:cs="宋体"/>
          <w:sz w:val="24"/>
          <w:szCs w:val="24"/>
          <w:lang w:eastAsia="zh-CN"/>
        </w:rPr>
        <w:t>、</w:t>
      </w:r>
      <w:r>
        <w:rPr>
          <w:rFonts w:hint="eastAsia" w:ascii="宋体" w:hAnsi="宋体" w:eastAsia="宋体" w:cs="宋体"/>
          <w:sz w:val="24"/>
          <w:szCs w:val="24"/>
        </w:rPr>
        <w:t>运输</w:t>
      </w:r>
      <w:r>
        <w:rPr>
          <w:rFonts w:hint="eastAsia" w:ascii="宋体" w:hAnsi="宋体" w:eastAsia="宋体" w:cs="宋体"/>
          <w:sz w:val="24"/>
          <w:szCs w:val="24"/>
          <w:lang w:eastAsia="zh-CN"/>
        </w:rPr>
        <w:t>和安装调试</w:t>
      </w:r>
      <w:r>
        <w:rPr>
          <w:rFonts w:hint="eastAsia" w:ascii="宋体" w:hAnsi="宋体" w:eastAsia="宋体" w:cs="宋体"/>
          <w:sz w:val="24"/>
          <w:szCs w:val="24"/>
        </w:rPr>
        <w:t>要求：</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1.1包装：货物交货时应按国家有关标准要求进行包装</w:t>
      </w:r>
      <w:r>
        <w:rPr>
          <w:rFonts w:hint="eastAsia" w:ascii="宋体" w:hAnsi="宋体" w:eastAsia="宋体" w:cs="宋体"/>
          <w:sz w:val="24"/>
          <w:szCs w:val="24"/>
          <w:lang w:eastAsia="zh-CN"/>
        </w:rPr>
        <w:t>。落实绿色包装和绿色运输</w:t>
      </w:r>
      <w:r>
        <w:rPr>
          <w:rFonts w:hint="eastAsia" w:ascii="宋体" w:hAnsi="宋体" w:eastAsia="宋体" w:cs="宋体"/>
          <w:sz w:val="24"/>
          <w:szCs w:val="24"/>
        </w:rPr>
        <w:t>。</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1.2方式：包装必须与运输方式相适应，包装方式的确定及包装费用均由中标</w:t>
      </w:r>
      <w:r>
        <w:rPr>
          <w:rFonts w:hint="eastAsia" w:ascii="宋体" w:hAnsi="宋体" w:eastAsia="宋体" w:cs="宋体"/>
          <w:sz w:val="24"/>
          <w:szCs w:val="24"/>
          <w:lang w:eastAsia="zh-CN"/>
        </w:rPr>
        <w:t>人</w:t>
      </w:r>
      <w:r>
        <w:rPr>
          <w:rFonts w:hint="eastAsia" w:ascii="宋体" w:hAnsi="宋体" w:eastAsia="宋体" w:cs="宋体"/>
          <w:sz w:val="24"/>
          <w:szCs w:val="24"/>
        </w:rPr>
        <w:t>负责；由于不适当的包装而造成货物在运输过程中有任何损坏由中标供应商负责。包装应足以承受整个过程中的运输、转运、装卸、储存等，充分考虑到运输途中的各种情况(如暴露于恶劣气候等)和项目所在地的气候特点，以及露天存放的需要。</w:t>
      </w:r>
    </w:p>
    <w:p>
      <w:p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1.3</w:t>
      </w:r>
      <w:r>
        <w:rPr>
          <w:rFonts w:hint="eastAsia" w:ascii="宋体" w:hAnsi="宋体" w:eastAsia="宋体" w:cs="宋体"/>
          <w:sz w:val="24"/>
          <w:szCs w:val="24"/>
          <w:lang w:eastAsia="zh-CN"/>
        </w:rPr>
        <w:t>安装调试：</w:t>
      </w:r>
      <w:r>
        <w:rPr>
          <w:rFonts w:hint="eastAsia" w:ascii="宋体" w:hAnsi="宋体" w:eastAsia="宋体" w:cs="宋体"/>
          <w:sz w:val="24"/>
          <w:szCs w:val="24"/>
          <w:lang w:val="en-US" w:eastAsia="zh-CN"/>
        </w:rPr>
        <w:t>仪器到货前厂商协助采购人进行安装前的准备工作，提供相关的布局图和设计要求，提供液质联用仪实验室建设安装资料并作相应的指导。仪器到达后，7天内安排工程师前往设备使用现场，免费安装调试设备。免费提供安装调试仪器所需的标准样品；提供配套的调试工具和其他专用工具，全套仪器操作说明书。</w:t>
      </w:r>
    </w:p>
    <w:p>
      <w:pPr>
        <w:spacing w:line="360" w:lineRule="auto"/>
        <w:ind w:firstLine="480" w:firstLineChars="200"/>
        <w:outlineLvl w:val="2"/>
        <w:rPr>
          <w:rFonts w:ascii="宋体" w:hAnsi="宋体" w:eastAsia="宋体" w:cs="宋体"/>
          <w:sz w:val="24"/>
          <w:szCs w:val="24"/>
        </w:rPr>
      </w:pPr>
      <w:r>
        <w:rPr>
          <w:rFonts w:hint="eastAsia" w:ascii="宋体" w:hAnsi="宋体" w:eastAsia="宋体" w:cs="宋体"/>
          <w:sz w:val="24"/>
          <w:szCs w:val="24"/>
        </w:rPr>
        <w:t>2.履约验收标准：</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（1）所供产品规格、数量符合招标文件和</w:t>
      </w:r>
      <w:r>
        <w:rPr>
          <w:rFonts w:hint="eastAsia" w:ascii="宋体" w:hAnsi="宋体" w:eastAsia="宋体" w:cs="宋体"/>
          <w:sz w:val="24"/>
          <w:szCs w:val="24"/>
          <w:lang w:eastAsia="zh-CN"/>
        </w:rPr>
        <w:t>投标人</w:t>
      </w:r>
      <w:r>
        <w:rPr>
          <w:rFonts w:hint="eastAsia" w:ascii="宋体" w:hAnsi="宋体" w:eastAsia="宋体" w:cs="宋体"/>
          <w:sz w:val="24"/>
          <w:szCs w:val="24"/>
        </w:rPr>
        <w:t xml:space="preserve">投标承诺及采购合同约定的要求。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（2）所供产品材质、颜色符合招标文件和</w:t>
      </w:r>
      <w:r>
        <w:rPr>
          <w:rFonts w:hint="eastAsia" w:ascii="宋体" w:hAnsi="宋体" w:eastAsia="宋体" w:cs="宋体"/>
          <w:sz w:val="24"/>
          <w:szCs w:val="24"/>
          <w:lang w:eastAsia="zh-CN"/>
        </w:rPr>
        <w:t>投标人</w:t>
      </w:r>
      <w:r>
        <w:rPr>
          <w:rFonts w:hint="eastAsia" w:ascii="宋体" w:hAnsi="宋体" w:eastAsia="宋体" w:cs="宋体"/>
          <w:sz w:val="24"/>
          <w:szCs w:val="24"/>
        </w:rPr>
        <w:t xml:space="preserve">投标承诺及采购合同约定的要求。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（3）所供产品外观完好，无严重碰撞、表皮脱落、五金件生锈等明显瑕疵。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（4）所供产品结构牢固，无安全隐患。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（5）如有抽检要求的，检测结果符合招标文件和</w:t>
      </w:r>
      <w:r>
        <w:rPr>
          <w:rFonts w:hint="eastAsia" w:ascii="宋体" w:hAnsi="宋体" w:eastAsia="宋体" w:cs="宋体"/>
          <w:sz w:val="24"/>
          <w:szCs w:val="24"/>
          <w:lang w:eastAsia="zh-CN"/>
        </w:rPr>
        <w:t>投标人</w:t>
      </w:r>
      <w:r>
        <w:rPr>
          <w:rFonts w:hint="eastAsia" w:ascii="宋体" w:hAnsi="宋体" w:eastAsia="宋体" w:cs="宋体"/>
          <w:sz w:val="24"/>
          <w:szCs w:val="24"/>
        </w:rPr>
        <w:t>投标承诺及采购合同约定的要求。</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（6）所有产品均已运输至指定地点，并安装调试完毕。</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（7）招标文件和中标人投标承诺及采购合同约定的附件、工具、技术资料等齐全；提供产品使用说明书、合格证。</w:t>
      </w:r>
    </w:p>
    <w:p>
      <w:pPr>
        <w:spacing w:line="360" w:lineRule="auto"/>
        <w:ind w:firstLine="480" w:firstLineChars="200"/>
        <w:outlineLvl w:val="2"/>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货物安装完成正常运行60天后，由中标人提出验收申请，项目单位同意后，按照学校验收的权限，相关部门及人员形成验收小组，验收小组根据采购文件、投标文件、合同等项目文件约定内容对项目进行综合运行验收。如验收达不到规定要求，采购人有权要求更换货物或拒绝付款，中标人若违约，采购人将依法追究相应法律责任。</w:t>
      </w:r>
    </w:p>
    <w:p>
      <w:pPr>
        <w:spacing w:line="360" w:lineRule="auto"/>
        <w:ind w:firstLine="480" w:firstLineChars="200"/>
        <w:outlineLvl w:val="2"/>
        <w:rPr>
          <w:rFonts w:ascii="宋体" w:hAnsi="宋体" w:eastAsia="宋体" w:cs="宋体"/>
          <w:sz w:val="24"/>
          <w:szCs w:val="24"/>
        </w:rPr>
      </w:pPr>
      <w:r>
        <w:rPr>
          <w:rFonts w:hint="eastAsia" w:ascii="宋体" w:hAnsi="宋体" w:eastAsia="宋体" w:cs="宋体"/>
          <w:sz w:val="24"/>
          <w:szCs w:val="24"/>
        </w:rPr>
        <w:t>3.售后服务：</w:t>
      </w:r>
    </w:p>
    <w:p>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本项目免费质保期</w:t>
      </w:r>
      <w:r>
        <w:rPr>
          <w:rFonts w:hint="eastAsia" w:ascii="宋体" w:hAnsi="宋体" w:eastAsia="宋体" w:cs="宋体"/>
          <w:color w:val="auto"/>
          <w:sz w:val="24"/>
          <w:szCs w:val="24"/>
          <w:lang w:eastAsia="zh-CN"/>
        </w:rPr>
        <w:t>自验收合格之日起</w:t>
      </w:r>
      <w:r>
        <w:rPr>
          <w:rFonts w:hint="eastAsia" w:ascii="宋体" w:hAnsi="宋体" w:eastAsia="宋体" w:cs="宋体"/>
          <w:color w:val="auto"/>
          <w:sz w:val="24"/>
          <w:szCs w:val="24"/>
        </w:rPr>
        <w:t>不低于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年。免费质量保证期从货物供货、安装、调试正常且经采购人综合运行验收合格后开始计算。厂家提供不低于</w:t>
      </w:r>
      <w:r>
        <w:rPr>
          <w:rFonts w:hint="eastAsia" w:ascii="宋体" w:hAnsi="宋体" w:eastAsia="宋体" w:cs="宋体"/>
          <w:color w:val="auto"/>
          <w:sz w:val="24"/>
          <w:szCs w:val="24"/>
          <w:u w:val="single"/>
          <w:lang w:val="en-US" w:eastAsia="zh-CN"/>
        </w:rPr>
        <w:t>1</w:t>
      </w:r>
      <w:r>
        <w:rPr>
          <w:rFonts w:hint="eastAsia" w:ascii="宋体" w:hAnsi="宋体" w:eastAsia="宋体" w:cs="宋体"/>
          <w:color w:val="auto"/>
          <w:sz w:val="24"/>
          <w:szCs w:val="24"/>
          <w:u w:val="single"/>
        </w:rPr>
        <w:t>年</w:t>
      </w:r>
      <w:r>
        <w:rPr>
          <w:rFonts w:hint="eastAsia" w:ascii="宋体" w:hAnsi="宋体" w:eastAsia="宋体" w:cs="宋体"/>
          <w:color w:val="auto"/>
          <w:sz w:val="24"/>
          <w:szCs w:val="24"/>
        </w:rPr>
        <w:t>的整机免费保修服务。</w:t>
      </w:r>
    </w:p>
    <w:p>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中标人应在接到报修通知后</w:t>
      </w:r>
      <w:r>
        <w:rPr>
          <w:rFonts w:hint="eastAsia" w:ascii="宋体" w:hAnsi="宋体" w:eastAsia="宋体" w:cs="宋体"/>
          <w:color w:val="auto"/>
          <w:sz w:val="24"/>
          <w:szCs w:val="24"/>
          <w:u w:val="single"/>
        </w:rPr>
        <w:t xml:space="preserve"> 24 </w:t>
      </w:r>
      <w:r>
        <w:rPr>
          <w:rFonts w:hint="eastAsia" w:ascii="宋体" w:hAnsi="宋体" w:eastAsia="宋体" w:cs="宋体"/>
          <w:color w:val="auto"/>
          <w:sz w:val="24"/>
          <w:szCs w:val="24"/>
        </w:rPr>
        <w:t>小时内响应，</w:t>
      </w:r>
      <w:r>
        <w:rPr>
          <w:rFonts w:hint="eastAsia" w:ascii="宋体" w:hAnsi="宋体" w:eastAsia="宋体" w:cs="宋体"/>
          <w:color w:val="auto"/>
          <w:sz w:val="24"/>
          <w:szCs w:val="24"/>
          <w:u w:val="single"/>
        </w:rPr>
        <w:t xml:space="preserve"> 48 </w:t>
      </w:r>
      <w:r>
        <w:rPr>
          <w:rFonts w:hint="eastAsia" w:ascii="宋体" w:hAnsi="宋体" w:eastAsia="宋体" w:cs="宋体"/>
          <w:color w:val="auto"/>
          <w:sz w:val="24"/>
          <w:szCs w:val="24"/>
        </w:rPr>
        <w:t>小时内派技术人员到达现场，12小时之内排除故障；需要更换设备或配件的应在</w:t>
      </w:r>
      <w:r>
        <w:rPr>
          <w:rFonts w:hint="eastAsia" w:ascii="宋体" w:hAnsi="宋体" w:eastAsia="宋体" w:cs="宋体"/>
          <w:color w:val="auto"/>
          <w:sz w:val="24"/>
          <w:szCs w:val="24"/>
          <w:u w:val="single"/>
        </w:rPr>
        <w:t xml:space="preserve"> 3 </w:t>
      </w:r>
      <w:r>
        <w:rPr>
          <w:rFonts w:hint="eastAsia" w:ascii="宋体" w:hAnsi="宋体" w:eastAsia="宋体" w:cs="宋体"/>
          <w:color w:val="auto"/>
          <w:sz w:val="24"/>
          <w:szCs w:val="24"/>
        </w:rPr>
        <w:t>日内修复（从采购人提出现场服务要求之日开始算起），</w:t>
      </w:r>
      <w:r>
        <w:rPr>
          <w:rFonts w:hint="eastAsia" w:ascii="宋体" w:hAnsi="宋体" w:eastAsia="宋体" w:cs="宋体"/>
          <w:color w:val="auto"/>
          <w:sz w:val="24"/>
          <w:szCs w:val="24"/>
          <w:u w:val="single"/>
        </w:rPr>
        <w:t xml:space="preserve"> 5 </w:t>
      </w:r>
      <w:r>
        <w:rPr>
          <w:rFonts w:hint="eastAsia" w:ascii="宋体" w:hAnsi="宋体" w:eastAsia="宋体" w:cs="宋体"/>
          <w:color w:val="auto"/>
          <w:sz w:val="24"/>
          <w:szCs w:val="24"/>
        </w:rPr>
        <w:t>日内不能修复的须及时免费提供备用设备。保修期内的零部件、配件和人工等均为免费。</w:t>
      </w:r>
    </w:p>
    <w:p>
      <w:pPr>
        <w:spacing w:line="36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4.后续运营维护、升级更新、备品备件等要求：</w:t>
      </w:r>
    </w:p>
    <w:p>
      <w:pPr>
        <w:spacing w:line="360" w:lineRule="auto"/>
        <w:ind w:firstLine="480" w:firstLineChars="200"/>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提供</w:t>
      </w:r>
      <w:r>
        <w:rPr>
          <w:rFonts w:hint="eastAsia" w:ascii="宋体" w:hAnsi="宋体" w:eastAsia="宋体" w:cs="宋体"/>
          <w:color w:val="auto"/>
          <w:sz w:val="24"/>
          <w:szCs w:val="24"/>
          <w:lang w:val="en-US" w:eastAsia="zh-CN"/>
        </w:rPr>
        <w:t>不少于2人且</w:t>
      </w:r>
      <w:r>
        <w:rPr>
          <w:rFonts w:hint="default" w:ascii="宋体" w:hAnsi="宋体" w:eastAsia="宋体" w:cs="宋体"/>
          <w:color w:val="auto"/>
          <w:sz w:val="24"/>
          <w:szCs w:val="24"/>
          <w:lang w:val="en-US" w:eastAsia="zh-CN"/>
        </w:rPr>
        <w:t>不短于一周的免费培训。设备安装完毕后，安装工程师需在用户现场对用户操作人员提供投标货物的操作培训，培训内容包括但不限于设备的基本工作原理、软硬件操作方法、日常维护以及紧急状况应急处理措施；培训时间不少于3天，直到用户能掌握培训内容为止</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lang w:val="en-US" w:eastAsia="zh-CN"/>
        </w:rPr>
        <w:t>保修期内的零部件、配件和人工等均为免费；质保期外，至少15年能够提供设备备件和相关维修服务，在仪器硬件允许的条件下，厂家负责免费升级液质控制软件。</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678A57"/>
    <w:multiLevelType w:val="singleLevel"/>
    <w:tmpl w:val="54678A57"/>
    <w:lvl w:ilvl="0" w:tentative="0">
      <w:start w:val="7"/>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52430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仿宋_GB2312" w:eastAsia="@仿宋_GB2312" w:cs="@仿宋_GB2312"/>
      <w:kern w:val="2"/>
      <w:sz w:val="21"/>
      <w:lang w:val="en-US" w:eastAsia="zh-CN" w:bidi="ar-SA"/>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99"/>
    <w:pPr>
      <w:ind w:left="420" w:firstLine="420" w:firstLineChars="200"/>
    </w:pPr>
    <w:rPr>
      <w:rFonts w:ascii="Times New Roman" w:cs="Times New Roman"/>
    </w:rPr>
  </w:style>
  <w:style w:type="paragraph" w:styleId="3">
    <w:name w:val="Body Text Indent"/>
    <w:basedOn w:val="1"/>
    <w:next w:val="4"/>
    <w:unhideWhenUsed/>
    <w:qFormat/>
    <w:uiPriority w:val="0"/>
    <w:pPr>
      <w:ind w:firstLine="645"/>
    </w:pPr>
    <w:rPr>
      <w:rFonts w:ascii="楷体_GB2312" w:eastAsia="楷体_GB2312"/>
      <w:sz w:val="32"/>
    </w:rPr>
  </w:style>
  <w:style w:type="paragraph" w:styleId="4">
    <w:name w:val="envelope return"/>
    <w:basedOn w:val="1"/>
    <w:next w:val="5"/>
    <w:qFormat/>
    <w:uiPriority w:val="99"/>
    <w:pPr>
      <w:snapToGrid w:val="0"/>
    </w:pPr>
    <w:rPr>
      <w:rFonts w:ascii="Arial" w:hAnsi="Arial" w:cs="Arial"/>
    </w:rPr>
  </w:style>
  <w:style w:type="paragraph" w:styleId="5">
    <w:name w:val="toc 7"/>
    <w:basedOn w:val="1"/>
    <w:next w:val="1"/>
    <w:qFormat/>
    <w:uiPriority w:val="0"/>
    <w:pPr>
      <w:ind w:left="1260"/>
      <w:jc w:val="left"/>
    </w:pPr>
    <w:rPr>
      <w:rFonts w:ascii="Calibri" w:hAnsi="Calibri" w:cs="Calibri"/>
      <w:sz w:val="20"/>
    </w:rPr>
  </w:style>
  <w:style w:type="paragraph" w:styleId="6">
    <w:name w:val="annotation text"/>
    <w:basedOn w:val="1"/>
    <w:next w:val="3"/>
    <w:qFormat/>
    <w:uiPriority w:val="99"/>
    <w:pPr>
      <w:jc w:val="left"/>
    </w:pPr>
    <w:rPr>
      <w:rFonts w:ascii="Arial" w:hAnsi="Arial" w:eastAsia="黑体" w:cs="Arial"/>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Autospacing="1" w:afterAutospacing="1"/>
      <w:jc w:val="left"/>
    </w:pPr>
    <w:rPr>
      <w:kern w:val="0"/>
      <w:sz w:val="24"/>
    </w:rPr>
  </w:style>
  <w:style w:type="paragraph" w:customStyle="1" w:styleId="11">
    <w:name w:val="D&amp;L"/>
    <w:basedOn w:val="7"/>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12">
    <w:name w:val="xl31"/>
    <w:basedOn w:val="1"/>
    <w:qFormat/>
    <w:uiPriority w:val="0"/>
    <w:pPr>
      <w:widowControl/>
      <w:spacing w:before="100" w:beforeAutospacing="1" w:after="100" w:afterAutospacing="1"/>
      <w:jc w:val="center"/>
    </w:pPr>
    <w:rPr>
      <w:b/>
      <w:bCs/>
      <w:kern w:val="0"/>
      <w:sz w:val="28"/>
      <w:szCs w:val="28"/>
    </w:rPr>
  </w:style>
  <w:style w:type="paragraph" w:styleId="13">
    <w:name w:val="List Paragraph"/>
    <w:basedOn w:val="1"/>
    <w:qFormat/>
    <w:uiPriority w:val="34"/>
    <w:pPr>
      <w:ind w:firstLine="420" w:firstLineChars="200"/>
    </w:pPr>
    <w:rPr>
      <w:rFonts w:asciiTheme="minorHAnsi" w:hAnsiTheme="minorHAnsi" w:eastAsiaTheme="minorEastAsia" w:cstheme="minorBidi"/>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2023-12-26T08:56:33Z</dcterms:created>
  <dc:creator>Administrator</dc:creator>
  <cp:lastModifiedBy>NTKO</cp:lastModifiedBy>
  <dcterms:modified xsi:type="dcterms:W3CDTF">2023-12-26T08:57:10Z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ies>
</file>