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BDA09">
      <w:pPr>
        <w:pStyle w:val="2"/>
        <w:numPr>
          <w:ilvl w:val="0"/>
          <w:numId w:val="0"/>
        </w:numPr>
        <w:rPr>
          <w:rFonts w:ascii="宋体" w:hAnsi="宋体" w:eastAsia="宋体" w:cs="宋体"/>
          <w:color w:val="auto"/>
        </w:rPr>
      </w:pPr>
      <w:bookmarkStart w:id="1" w:name="_GoBack"/>
      <w:bookmarkEnd w:id="1"/>
      <w:r>
        <w:rPr>
          <w:rFonts w:hint="eastAsia" w:ascii="宋体" w:hAnsi="宋体" w:eastAsia="宋体" w:cs="宋体"/>
          <w:color w:val="auto"/>
        </w:rPr>
        <w:t>采购</w:t>
      </w:r>
      <w:bookmarkStart w:id="0" w:name="_Toc101457622"/>
      <w:r>
        <w:rPr>
          <w:rFonts w:hint="eastAsia" w:ascii="宋体" w:hAnsi="宋体" w:eastAsia="宋体" w:cs="宋体"/>
          <w:color w:val="auto"/>
        </w:rPr>
        <w:t>需求</w:t>
      </w:r>
    </w:p>
    <w:p w14:paraId="19410A88">
      <w:pPr>
        <w:numPr>
          <w:ilvl w:val="0"/>
          <w:numId w:val="1"/>
        </w:numPr>
        <w:spacing w:line="360" w:lineRule="auto"/>
        <w:rPr>
          <w:rFonts w:ascii="Times New Roman" w:hAnsi="Times New Roman" w:eastAsia="宋体" w:cs="Times New Roman"/>
          <w:b/>
          <w:szCs w:val="21"/>
        </w:rPr>
      </w:pPr>
      <w:r>
        <w:rPr>
          <w:rFonts w:ascii="Times New Roman" w:hAnsi="Times New Roman" w:eastAsia="宋体" w:cs="Times New Roman"/>
          <w:b/>
          <w:szCs w:val="21"/>
        </w:rPr>
        <w:t>采购清单</w:t>
      </w:r>
    </w:p>
    <w:bookmarkEnd w:id="0"/>
    <w:tbl>
      <w:tblPr>
        <w:tblStyle w:val="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1407"/>
        <w:gridCol w:w="4935"/>
        <w:gridCol w:w="700"/>
        <w:gridCol w:w="747"/>
      </w:tblGrid>
      <w:tr w14:paraId="39971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32A1C1B9">
            <w:pPr>
              <w:jc w:val="center"/>
              <w:rPr>
                <w:rFonts w:hint="default" w:ascii="Times New Roman" w:hAnsi="Times New Roman" w:eastAsia="宋体" w:cs="Times New Roman"/>
                <w:szCs w:val="21"/>
              </w:rPr>
            </w:pPr>
            <w:r>
              <w:rPr>
                <w:rFonts w:hint="default" w:ascii="Times New Roman" w:hAnsi="Times New Roman" w:eastAsia="宋体" w:cs="Times New Roman"/>
                <w:szCs w:val="21"/>
              </w:rPr>
              <w:t>标项</w:t>
            </w:r>
          </w:p>
        </w:tc>
        <w:tc>
          <w:tcPr>
            <w:tcW w:w="826" w:type="pct"/>
            <w:vAlign w:val="center"/>
          </w:tcPr>
          <w:p w14:paraId="721BB352">
            <w:pPr>
              <w:jc w:val="center"/>
              <w:rPr>
                <w:rFonts w:hint="default" w:ascii="Times New Roman" w:hAnsi="Times New Roman" w:eastAsia="宋体" w:cs="Times New Roman"/>
                <w:szCs w:val="21"/>
              </w:rPr>
            </w:pPr>
            <w:r>
              <w:rPr>
                <w:rFonts w:hint="default" w:ascii="Times New Roman" w:hAnsi="Times New Roman" w:eastAsia="宋体" w:cs="Times New Roman"/>
                <w:szCs w:val="21"/>
              </w:rPr>
              <w:t>设备名称</w:t>
            </w:r>
          </w:p>
        </w:tc>
        <w:tc>
          <w:tcPr>
            <w:tcW w:w="2897" w:type="pct"/>
          </w:tcPr>
          <w:p w14:paraId="6BF462BC">
            <w:pPr>
              <w:jc w:val="center"/>
              <w:rPr>
                <w:rFonts w:hint="default" w:ascii="Times New Roman" w:hAnsi="Times New Roman" w:eastAsia="宋体" w:cs="Times New Roman"/>
                <w:szCs w:val="21"/>
              </w:rPr>
            </w:pPr>
            <w:r>
              <w:rPr>
                <w:rFonts w:hint="default" w:ascii="Times New Roman" w:hAnsi="Times New Roman" w:eastAsia="宋体" w:cs="Times New Roman"/>
                <w:szCs w:val="21"/>
              </w:rPr>
              <w:t>技术参数</w:t>
            </w:r>
          </w:p>
        </w:tc>
        <w:tc>
          <w:tcPr>
            <w:tcW w:w="411" w:type="pct"/>
            <w:vAlign w:val="center"/>
          </w:tcPr>
          <w:p w14:paraId="4A8A8A60">
            <w:pPr>
              <w:jc w:val="center"/>
              <w:rPr>
                <w:rFonts w:hint="default" w:ascii="Times New Roman" w:hAnsi="Times New Roman" w:eastAsia="宋体" w:cs="Times New Roman"/>
                <w:szCs w:val="21"/>
              </w:rPr>
            </w:pPr>
            <w:r>
              <w:rPr>
                <w:rFonts w:hint="default" w:ascii="Times New Roman" w:hAnsi="Times New Roman" w:eastAsia="宋体" w:cs="Times New Roman"/>
                <w:szCs w:val="21"/>
              </w:rPr>
              <w:t>数量</w:t>
            </w:r>
          </w:p>
        </w:tc>
        <w:tc>
          <w:tcPr>
            <w:tcW w:w="438" w:type="pct"/>
            <w:vAlign w:val="center"/>
          </w:tcPr>
          <w:p w14:paraId="6D9B6CAF">
            <w:pPr>
              <w:jc w:val="center"/>
              <w:rPr>
                <w:rFonts w:hint="default" w:ascii="Times New Roman" w:hAnsi="Times New Roman" w:eastAsia="宋体" w:cs="Times New Roman"/>
                <w:szCs w:val="21"/>
              </w:rPr>
            </w:pPr>
            <w:r>
              <w:rPr>
                <w:rFonts w:hint="default" w:ascii="Times New Roman" w:hAnsi="Times New Roman" w:eastAsia="宋体" w:cs="Times New Roman"/>
                <w:szCs w:val="21"/>
              </w:rPr>
              <w:t>备注</w:t>
            </w:r>
          </w:p>
        </w:tc>
      </w:tr>
      <w:tr w14:paraId="2B5E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52D90D20">
            <w:pPr>
              <w:jc w:val="center"/>
              <w:rPr>
                <w:rFonts w:hint="default" w:ascii="Times New Roman" w:hAnsi="Times New Roman" w:eastAsia="宋体" w:cs="Times New Roman"/>
                <w:szCs w:val="21"/>
              </w:rPr>
            </w:pPr>
            <w:r>
              <w:rPr>
                <w:rFonts w:hint="default" w:ascii="Times New Roman" w:hAnsi="Times New Roman" w:eastAsia="宋体" w:cs="Times New Roman"/>
                <w:szCs w:val="21"/>
              </w:rPr>
              <w:t>1</w:t>
            </w:r>
          </w:p>
        </w:tc>
        <w:tc>
          <w:tcPr>
            <w:tcW w:w="826" w:type="pct"/>
            <w:vAlign w:val="center"/>
          </w:tcPr>
          <w:p w14:paraId="1A05E56C">
            <w:pPr>
              <w:jc w:val="center"/>
              <w:rPr>
                <w:rFonts w:hint="default" w:ascii="Times New Roman" w:hAnsi="Times New Roman" w:eastAsia="宋体" w:cs="Times New Roman"/>
                <w:szCs w:val="21"/>
                <w:lang w:eastAsia="zh-CN"/>
              </w:rPr>
            </w:pPr>
            <w:r>
              <w:rPr>
                <w:rFonts w:hint="eastAsia" w:ascii="Times New Roman" w:hAnsi="Times New Roman" w:eastAsia="宋体" w:cs="Times New Roman"/>
                <w:szCs w:val="21"/>
                <w:lang w:eastAsia="zh-CN"/>
              </w:rPr>
              <w:t>核磁共振波谱仪</w:t>
            </w:r>
          </w:p>
        </w:tc>
        <w:tc>
          <w:tcPr>
            <w:tcW w:w="2897" w:type="pct"/>
          </w:tcPr>
          <w:p w14:paraId="75A532EC">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1）400M超导磁体1套</w:t>
            </w:r>
          </w:p>
          <w:p w14:paraId="1C1B360A">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1.1 低温匀场线圈≥14组</w:t>
            </w:r>
          </w:p>
          <w:p w14:paraId="2A9AEE64">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1.2 室温匀场线圈≥36组</w:t>
            </w:r>
          </w:p>
          <w:p w14:paraId="23B1E1B6">
            <w:pPr>
              <w:spacing w:line="360" w:lineRule="auto"/>
              <w:rPr>
                <w:rFonts w:hint="default" w:ascii="Times New Roman" w:hAnsi="Times New Roman" w:eastAsia="宋体" w:cs="Times New Roman"/>
                <w:b/>
                <w:bCs/>
                <w:szCs w:val="21"/>
                <w:lang w:val="en-US" w:eastAsia="zh-CN"/>
              </w:rPr>
            </w:pPr>
            <w:r>
              <w:rPr>
                <w:rFonts w:hint="eastAsia"/>
                <w:lang w:val="en-US" w:eastAsia="zh-CN"/>
              </w:rPr>
              <w:t>▲</w:t>
            </w:r>
            <w:r>
              <w:rPr>
                <w:rFonts w:hint="default" w:ascii="Times New Roman" w:hAnsi="Times New Roman" w:eastAsia="宋体" w:cs="Times New Roman"/>
                <w:szCs w:val="21"/>
                <w:lang w:val="en-US" w:eastAsia="zh-CN"/>
              </w:rPr>
              <w:t>1.3 液氦维持时间≥365天</w:t>
            </w:r>
            <w:r>
              <w:rPr>
                <w:rFonts w:hint="eastAsia" w:ascii="Times New Roman" w:hAnsi="Times New Roman" w:eastAsia="宋体" w:cs="Times New Roman"/>
                <w:b/>
                <w:bCs/>
                <w:szCs w:val="21"/>
                <w:lang w:val="en-US" w:eastAsia="zh-CN"/>
              </w:rPr>
              <w:t>（提供产品彩页或产品说明书）</w:t>
            </w:r>
          </w:p>
          <w:p w14:paraId="677CB944">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1.4垂直5G安全线≦1.00 m；水平5G安全线≦0.5 m</w:t>
            </w:r>
          </w:p>
          <w:p w14:paraId="5473AD9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2）谱仪1套</w:t>
            </w:r>
          </w:p>
          <w:p w14:paraId="1ECB5CA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2.1 50W 1H和19F观察及去偶高性能线性功率放大器</w:t>
            </w:r>
          </w:p>
          <w:p w14:paraId="75D593A4">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2.2 140W X核的高性能线性功率放大器</w:t>
            </w:r>
          </w:p>
          <w:p w14:paraId="175F78C0">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2.3 谱仪具备多道接收功能,可在同一时间对同一样品采集两个核磁数据</w:t>
            </w:r>
          </w:p>
          <w:p w14:paraId="24EC4BAB">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3）探头</w:t>
            </w:r>
            <w:r>
              <w:rPr>
                <w:rFonts w:hint="eastAsia"/>
                <w:lang w:val="en-US" w:eastAsia="zh-CN"/>
              </w:rPr>
              <w:t>≥</w:t>
            </w:r>
            <w:r>
              <w:rPr>
                <w:rFonts w:hint="default" w:ascii="Times New Roman" w:hAnsi="Times New Roman" w:eastAsia="宋体" w:cs="Times New Roman"/>
                <w:szCs w:val="21"/>
                <w:lang w:val="en-US" w:eastAsia="zh-CN"/>
              </w:rPr>
              <w:t>2根</w:t>
            </w:r>
          </w:p>
          <w:p w14:paraId="557D81FA">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3.1 5mm Z梯度场正向宽带多核探头</w:t>
            </w:r>
          </w:p>
          <w:p w14:paraId="64808336">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3.1.1检测核：1H，19F和共振频率在31P-199Hg和17O-109Ag之间的所有核；可以完成观察1H对19F去偶和观察19F对1H去偶实验</w:t>
            </w:r>
          </w:p>
          <w:p w14:paraId="6426F2CA">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3.1.2 灵敏度：</w:t>
            </w:r>
          </w:p>
          <w:p w14:paraId="27A8A885">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（1）1H灵敏度 ≥ 550:1(0.1% EB,200Hz noise, Lb=1Hz, 核磁管壁厚=0.23mm)</w:t>
            </w:r>
          </w:p>
          <w:p w14:paraId="768845F4">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（2）13C 灵敏度 ≥ 240:1(ASTM, 5ppm noise, Lb=3.7Hz, 核磁管壁厚=0.23mm)</w:t>
            </w:r>
          </w:p>
          <w:p w14:paraId="773C690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（3）15N灵敏度 ≥ 30:1(90% Formamide,2ppm noise, Lb=0.3Hz,核磁管壁厚=0.38mm)</w:t>
            </w:r>
          </w:p>
          <w:p w14:paraId="0323E3E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（4）31P灵敏度 ≥ 200:1(TPP, 5ppm noise, Lb=5Hz, 核磁管壁厚=0.38mm)</w:t>
            </w:r>
          </w:p>
          <w:p w14:paraId="0FEDF49F">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（5）19F灵敏度 ≥ 550:1(TFT, 1ppm noise, Lb=0.5Hz, 核磁管壁厚=0.38mm )</w:t>
            </w:r>
          </w:p>
          <w:p w14:paraId="0F0A67AC">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3.1.3  90度脉冲宽度：</w:t>
            </w:r>
          </w:p>
          <w:p w14:paraId="4F8A62A5">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（1） 1H≤ 8μs   </w:t>
            </w:r>
          </w:p>
          <w:p w14:paraId="6CA53E6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（2） 13C≤ 8μs    </w:t>
            </w:r>
          </w:p>
          <w:p w14:paraId="4E29794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 15N≤ 17μs</w:t>
            </w:r>
          </w:p>
          <w:p w14:paraId="19C293F5">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 31P≤ 8μs</w:t>
            </w:r>
          </w:p>
          <w:p w14:paraId="7CFBDC0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 19F≤ 12μs</w:t>
            </w:r>
          </w:p>
          <w:p w14:paraId="0D40D2B2">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3.2 探头变温范围：-150℃～+150℃</w:t>
            </w:r>
          </w:p>
          <w:p w14:paraId="7118FF28">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3.3 Z-梯度场强度≥50G/cm</w:t>
            </w:r>
          </w:p>
          <w:p w14:paraId="1A1F371C">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4）自动进样器（60位）1套</w:t>
            </w:r>
          </w:p>
          <w:p w14:paraId="14782A31">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4.1 5mm液体常温转子90个，5mm液体高温用陶瓷转子 1个</w:t>
            </w:r>
          </w:p>
          <w:p w14:paraId="088923E5">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5）工作站一套</w:t>
            </w:r>
          </w:p>
          <w:p w14:paraId="0EBE7685">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6）3KVA不间断稳压电源，1小时电池 1套</w:t>
            </w:r>
          </w:p>
          <w:p w14:paraId="1316C816">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7）液氦回收系统 （液化率&gt;23L/D）1套</w:t>
            </w:r>
          </w:p>
          <w:p w14:paraId="6E89E3EC">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8）冷水机，1套</w:t>
            </w:r>
          </w:p>
          <w:p w14:paraId="58AF4592">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9）结构解析软件，1套</w:t>
            </w:r>
          </w:p>
          <w:p w14:paraId="0B33D03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10）氮氧分离器，1套</w:t>
            </w:r>
          </w:p>
          <w:p w14:paraId="03964879">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11）温度传感器，1套</w:t>
            </w:r>
          </w:p>
          <w:p w14:paraId="095D97B5">
            <w:pPr>
              <w:spacing w:line="360" w:lineRule="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12）</w:t>
            </w:r>
            <w:r>
              <w:rPr>
                <w:rFonts w:hint="eastAsia" w:ascii="Times New Roman" w:hAnsi="Times New Roman" w:eastAsia="宋体" w:cs="Times New Roman"/>
                <w:szCs w:val="21"/>
                <w:lang w:val="en-US" w:eastAsia="zh-CN"/>
              </w:rPr>
              <w:t>整机</w:t>
            </w:r>
            <w:r>
              <w:rPr>
                <w:rFonts w:hint="default" w:ascii="Times New Roman" w:hAnsi="Times New Roman" w:eastAsia="宋体" w:cs="Times New Roman"/>
                <w:szCs w:val="21"/>
                <w:lang w:val="en-US" w:eastAsia="zh-CN"/>
              </w:rPr>
              <w:t>维保2年</w:t>
            </w:r>
          </w:p>
        </w:tc>
        <w:tc>
          <w:tcPr>
            <w:tcW w:w="411" w:type="pct"/>
            <w:vAlign w:val="center"/>
          </w:tcPr>
          <w:p w14:paraId="7FA02C7B">
            <w:pPr>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rPr>
              <w:t>1</w:t>
            </w:r>
            <w:r>
              <w:rPr>
                <w:rFonts w:hint="eastAsia" w:ascii="Times New Roman" w:hAnsi="Times New Roman" w:eastAsia="宋体" w:cs="Times New Roman"/>
                <w:szCs w:val="21"/>
                <w:lang w:val="en-US" w:eastAsia="zh-CN"/>
              </w:rPr>
              <w:t>台</w:t>
            </w:r>
          </w:p>
        </w:tc>
        <w:tc>
          <w:tcPr>
            <w:tcW w:w="438" w:type="pct"/>
            <w:vAlign w:val="center"/>
          </w:tcPr>
          <w:p w14:paraId="148EAAD6">
            <w:pPr>
              <w:jc w:val="center"/>
              <w:rPr>
                <w:rFonts w:hint="default" w:ascii="Times New Roman" w:hAnsi="Times New Roman" w:eastAsia="宋体" w:cs="Times New Roman"/>
                <w:szCs w:val="21"/>
                <w:shd w:val="clear" w:color="auto" w:fill="FFFFFF"/>
              </w:rPr>
            </w:pPr>
            <w:r>
              <w:rPr>
                <w:rFonts w:hint="default" w:ascii="Times New Roman" w:hAnsi="Times New Roman" w:eastAsia="宋体" w:cs="Times New Roman"/>
                <w:szCs w:val="21"/>
                <w:shd w:val="clear" w:color="auto" w:fill="FFFFFF"/>
              </w:rPr>
              <w:t>允许进口</w:t>
            </w:r>
          </w:p>
        </w:tc>
      </w:tr>
    </w:tbl>
    <w:p w14:paraId="5D353696">
      <w:pPr>
        <w:autoSpaceDE w:val="0"/>
        <w:autoSpaceDN w:val="0"/>
        <w:adjustRightInd w:val="0"/>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二</w:t>
      </w:r>
      <w:r>
        <w:rPr>
          <w:rFonts w:ascii="Times New Roman" w:hAnsi="Times New Roman" w:eastAsia="宋体" w:cs="Times New Roman"/>
          <w:b/>
          <w:szCs w:val="21"/>
          <w:lang w:val="zh-CN"/>
        </w:rPr>
        <w:t>、投标报价</w:t>
      </w:r>
    </w:p>
    <w:p w14:paraId="5290A829">
      <w:pPr>
        <w:spacing w:line="360" w:lineRule="auto"/>
        <w:ind w:firstLine="420" w:firstLineChars="200"/>
        <w:jc w:val="left"/>
        <w:rPr>
          <w:rFonts w:ascii="Times New Roman" w:hAnsi="Times New Roman" w:eastAsia="宋体" w:cs="Times New Roman"/>
          <w:szCs w:val="21"/>
          <w:lang w:val="zh-CN"/>
        </w:rPr>
      </w:pPr>
      <w:r>
        <w:rPr>
          <w:rFonts w:ascii="Times New Roman" w:hAnsi="Times New Roman" w:eastAsia="宋体" w:cs="Times New Roman"/>
          <w:szCs w:val="21"/>
        </w:rPr>
        <w:t>1、</w:t>
      </w:r>
      <w:r>
        <w:rPr>
          <w:rFonts w:ascii="Times New Roman" w:hAnsi="Times New Roman" w:eastAsia="宋体" w:cs="Times New Roman"/>
          <w:szCs w:val="21"/>
          <w:lang w:val="zh-CN"/>
        </w:rPr>
        <w:t>投标报价应为人民币报价</w:t>
      </w:r>
      <w:r>
        <w:rPr>
          <w:rFonts w:ascii="Times New Roman" w:hAnsi="Times New Roman" w:eastAsia="宋体" w:cs="Times New Roman"/>
          <w:szCs w:val="21"/>
        </w:rPr>
        <w:t>且</w:t>
      </w:r>
      <w:r>
        <w:rPr>
          <w:rFonts w:ascii="Times New Roman" w:hAnsi="Times New Roman" w:eastAsia="宋体" w:cs="Times New Roman"/>
          <w:szCs w:val="21"/>
          <w:lang w:val="zh-CN"/>
        </w:rPr>
        <w:t>应在项目预算之内，</w:t>
      </w:r>
      <w:r>
        <w:rPr>
          <w:rFonts w:ascii="Times New Roman" w:hAnsi="Times New Roman" w:eastAsia="宋体" w:cs="Times New Roman"/>
          <w:szCs w:val="21"/>
        </w:rPr>
        <w:t>不符合此要求</w:t>
      </w:r>
      <w:r>
        <w:rPr>
          <w:rFonts w:ascii="Times New Roman" w:hAnsi="Times New Roman" w:eastAsia="宋体" w:cs="Times New Roman"/>
          <w:szCs w:val="21"/>
          <w:lang w:val="zh-CN"/>
        </w:rPr>
        <w:t>的投标文件按无效标处理。</w:t>
      </w:r>
    </w:p>
    <w:p w14:paraId="7B644948">
      <w:pPr>
        <w:spacing w:line="360" w:lineRule="auto"/>
        <w:ind w:firstLine="420" w:firstLineChars="200"/>
        <w:jc w:val="left"/>
        <w:rPr>
          <w:rFonts w:ascii="Times New Roman" w:hAnsi="Times New Roman" w:eastAsia="宋体" w:cs="Times New Roman"/>
          <w:szCs w:val="21"/>
          <w:lang w:val="zh-CN"/>
        </w:rPr>
      </w:pPr>
      <w:r>
        <w:rPr>
          <w:rFonts w:ascii="Times New Roman" w:hAnsi="Times New Roman" w:eastAsia="宋体" w:cs="Times New Roman"/>
          <w:szCs w:val="21"/>
          <w:lang w:val="zh-CN"/>
        </w:rPr>
        <w:t>①、不管是否为进口产品，</w:t>
      </w:r>
      <w:r>
        <w:rPr>
          <w:rFonts w:hint="eastAsia" w:ascii="Times New Roman" w:hAnsi="Times New Roman" w:eastAsia="宋体" w:cs="Times New Roman"/>
          <w:szCs w:val="21"/>
        </w:rPr>
        <w:t>投标人</w:t>
      </w:r>
      <w:r>
        <w:rPr>
          <w:rFonts w:ascii="Times New Roman" w:hAnsi="Times New Roman" w:eastAsia="宋体" w:cs="Times New Roman"/>
          <w:szCs w:val="21"/>
          <w:lang w:val="zh-CN"/>
        </w:rPr>
        <w:t xml:space="preserve">均应以人民币报价，人民币报价直接作为价格分计算依据。 </w:t>
      </w:r>
    </w:p>
    <w:p w14:paraId="61CBE23F">
      <w:pPr>
        <w:spacing w:line="360" w:lineRule="auto"/>
        <w:ind w:firstLine="420" w:firstLineChars="200"/>
        <w:jc w:val="left"/>
        <w:rPr>
          <w:rFonts w:ascii="Times New Roman" w:hAnsi="Times New Roman" w:eastAsia="宋体" w:cs="Times New Roman"/>
          <w:szCs w:val="21"/>
          <w:lang w:val="zh-CN"/>
        </w:rPr>
      </w:pPr>
      <w:r>
        <w:rPr>
          <w:rFonts w:ascii="Times New Roman" w:hAnsi="Times New Roman" w:eastAsia="宋体" w:cs="Times New Roman"/>
          <w:szCs w:val="21"/>
          <w:lang w:val="zh-CN"/>
        </w:rPr>
        <w:t xml:space="preserve">②、中标商与境外供应商约定外币计价的，汇率风险由中标商自行承担。 </w:t>
      </w:r>
    </w:p>
    <w:p w14:paraId="31E1DEBF">
      <w:pPr>
        <w:spacing w:line="360" w:lineRule="auto"/>
        <w:ind w:firstLine="420" w:firstLineChars="200"/>
        <w:jc w:val="left"/>
        <w:rPr>
          <w:rFonts w:ascii="Times New Roman" w:hAnsi="Times New Roman" w:eastAsia="宋体" w:cs="Times New Roman"/>
          <w:szCs w:val="21"/>
          <w:lang w:val="zh-CN"/>
        </w:rPr>
      </w:pPr>
      <w:r>
        <w:rPr>
          <w:rFonts w:ascii="Times New Roman" w:hAnsi="Times New Roman" w:eastAsia="宋体" w:cs="Times New Roman"/>
          <w:szCs w:val="21"/>
          <w:lang w:val="zh-CN"/>
        </w:rPr>
        <w:t>③、如需</w:t>
      </w:r>
      <w:r>
        <w:rPr>
          <w:rFonts w:ascii="Times New Roman" w:hAnsi="Times New Roman" w:eastAsia="宋体" w:cs="Times New Roman"/>
          <w:szCs w:val="21"/>
        </w:rPr>
        <w:t>采购方</w:t>
      </w:r>
      <w:r>
        <w:rPr>
          <w:rFonts w:ascii="Times New Roman" w:hAnsi="Times New Roman" w:eastAsia="宋体" w:cs="Times New Roman"/>
          <w:szCs w:val="21"/>
          <w:lang w:val="zh-CN"/>
        </w:rPr>
        <w:t>办理进口</w:t>
      </w:r>
      <w:r>
        <w:rPr>
          <w:rFonts w:ascii="Times New Roman" w:hAnsi="Times New Roman" w:eastAsia="宋体" w:cs="Times New Roman"/>
          <w:szCs w:val="21"/>
        </w:rPr>
        <w:t>及</w:t>
      </w:r>
      <w:r>
        <w:rPr>
          <w:rFonts w:ascii="Times New Roman" w:hAnsi="Times New Roman" w:eastAsia="宋体" w:cs="Times New Roman"/>
          <w:szCs w:val="21"/>
          <w:lang w:val="zh-CN"/>
        </w:rPr>
        <w:t>减免税手续，由采购方指定外贸代理机构</w:t>
      </w:r>
      <w:r>
        <w:rPr>
          <w:rFonts w:ascii="Times New Roman" w:hAnsi="Times New Roman" w:eastAsia="宋体" w:cs="Times New Roman"/>
          <w:szCs w:val="21"/>
        </w:rPr>
        <w:t>办理</w:t>
      </w:r>
      <w:r>
        <w:rPr>
          <w:rFonts w:ascii="Times New Roman" w:hAnsi="Times New Roman" w:eastAsia="宋体" w:cs="Times New Roman"/>
          <w:szCs w:val="21"/>
          <w:lang w:val="zh-CN"/>
        </w:rPr>
        <w:t>，代理费包含在中标商人民币报价中</w:t>
      </w:r>
      <w:r>
        <w:rPr>
          <w:rFonts w:hint="eastAsia" w:ascii="Times New Roman" w:hAnsi="Times New Roman" w:eastAsia="宋体" w:cs="Times New Roman"/>
          <w:szCs w:val="21"/>
          <w:lang w:val="zh-CN"/>
        </w:rPr>
        <w:t>，</w:t>
      </w:r>
      <w:r>
        <w:rPr>
          <w:rFonts w:hint="eastAsia" w:ascii="Times New Roman" w:hAnsi="Times New Roman" w:eastAsia="宋体" w:cs="Times New Roman"/>
          <w:szCs w:val="21"/>
        </w:rPr>
        <w:t>如不能办理免税，相关税费由投标人承担</w:t>
      </w:r>
      <w:r>
        <w:rPr>
          <w:rFonts w:ascii="Times New Roman" w:hAnsi="Times New Roman" w:eastAsia="宋体" w:cs="Times New Roman"/>
          <w:szCs w:val="21"/>
          <w:lang w:val="zh-CN"/>
        </w:rPr>
        <w:t>。代理费相关事宜详细说明如下:</w:t>
      </w:r>
    </w:p>
    <w:p w14:paraId="2B3A21CA">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外贸代理费用包括外贸代理公司的服务费和代收费用，</w:t>
      </w:r>
      <w:r>
        <w:rPr>
          <w:rFonts w:ascii="Times New Roman" w:hAnsi="Times New Roman" w:eastAsia="宋体" w:cs="Times New Roman"/>
          <w:szCs w:val="21"/>
          <w:lang w:val="zh-CN"/>
        </w:rPr>
        <w:t>均包含在中标商人民币报价中</w:t>
      </w:r>
      <w:r>
        <w:rPr>
          <w:rFonts w:ascii="Times New Roman" w:hAnsi="Times New Roman" w:eastAsia="宋体" w:cs="Times New Roman"/>
          <w:szCs w:val="21"/>
        </w:rPr>
        <w:t>。为规范计费，将代收费用分为常规代收费和额外代收费两类。杭州进港杭州地区安装及约定的常规方式产生的代收费特指为常规代收费，服务费和常规代收费根据单个外贸合同的金额按下表费率包干计算：</w:t>
      </w:r>
    </w:p>
    <w:p w14:paraId="560397F1">
      <w:pPr>
        <w:spacing w:line="360" w:lineRule="auto"/>
        <w:ind w:firstLine="420" w:firstLineChars="200"/>
        <w:jc w:val="left"/>
        <w:rPr>
          <w:rFonts w:ascii="Times New Roman" w:hAnsi="Times New Roman" w:eastAsia="宋体" w:cs="Times New Roman"/>
          <w:szCs w:val="21"/>
        </w:rPr>
      </w:pPr>
    </w:p>
    <w:tbl>
      <w:tblPr>
        <w:tblStyle w:val="3"/>
        <w:tblW w:w="5020" w:type="dxa"/>
        <w:jc w:val="center"/>
        <w:tblLayout w:type="autofit"/>
        <w:tblCellMar>
          <w:top w:w="0" w:type="dxa"/>
          <w:left w:w="108" w:type="dxa"/>
          <w:bottom w:w="0" w:type="dxa"/>
          <w:right w:w="108" w:type="dxa"/>
        </w:tblCellMar>
      </w:tblPr>
      <w:tblGrid>
        <w:gridCol w:w="2480"/>
        <w:gridCol w:w="2540"/>
      </w:tblGrid>
      <w:tr w14:paraId="3A93EE61">
        <w:tblPrEx>
          <w:tblCellMar>
            <w:top w:w="0" w:type="dxa"/>
            <w:left w:w="108" w:type="dxa"/>
            <w:bottom w:w="0" w:type="dxa"/>
            <w:right w:w="108" w:type="dxa"/>
          </w:tblCellMar>
        </w:tblPrEx>
        <w:trPr>
          <w:trHeight w:val="391" w:hRule="atLeast"/>
          <w:jc w:val="center"/>
        </w:trPr>
        <w:tc>
          <w:tcPr>
            <w:tcW w:w="2480" w:type="dxa"/>
            <w:tcBorders>
              <w:top w:val="single" w:color="auto" w:sz="8" w:space="0"/>
              <w:left w:val="single" w:color="auto" w:sz="8" w:space="0"/>
              <w:bottom w:val="single" w:color="auto" w:sz="8" w:space="0"/>
              <w:right w:val="single" w:color="auto" w:sz="8" w:space="0"/>
            </w:tcBorders>
            <w:vAlign w:val="center"/>
          </w:tcPr>
          <w:p w14:paraId="237EC670">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代理金额(单票)</w:t>
            </w:r>
          </w:p>
        </w:tc>
        <w:tc>
          <w:tcPr>
            <w:tcW w:w="2540" w:type="dxa"/>
            <w:tcBorders>
              <w:top w:val="single" w:color="auto" w:sz="8" w:space="0"/>
              <w:left w:val="nil"/>
              <w:bottom w:val="single" w:color="auto" w:sz="8" w:space="0"/>
              <w:right w:val="single" w:color="auto" w:sz="8" w:space="0"/>
            </w:tcBorders>
            <w:vAlign w:val="center"/>
          </w:tcPr>
          <w:p w14:paraId="535B9F6E">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招标代理公司所有项目</w:t>
            </w:r>
          </w:p>
        </w:tc>
      </w:tr>
      <w:tr w14:paraId="6141FBF9">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14:paraId="70AC8A43">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1.4万USD以下</w:t>
            </w:r>
          </w:p>
        </w:tc>
        <w:tc>
          <w:tcPr>
            <w:tcW w:w="2540" w:type="dxa"/>
            <w:tcBorders>
              <w:top w:val="nil"/>
              <w:left w:val="nil"/>
              <w:bottom w:val="single" w:color="auto" w:sz="8" w:space="0"/>
              <w:right w:val="single" w:color="auto" w:sz="8" w:space="0"/>
            </w:tcBorders>
            <w:vAlign w:val="center"/>
          </w:tcPr>
          <w:p w14:paraId="000D478F">
            <w:pPr>
              <w:widowControl/>
              <w:spacing w:line="360" w:lineRule="auto"/>
              <w:jc w:val="center"/>
              <w:rPr>
                <w:rFonts w:ascii="Times New Roman" w:hAnsi="Times New Roman" w:eastAsia="宋体" w:cs="Times New Roman"/>
                <w:kern w:val="0"/>
                <w:szCs w:val="21"/>
              </w:rPr>
            </w:pPr>
          </w:p>
        </w:tc>
      </w:tr>
      <w:tr w14:paraId="04AAD6FD">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14:paraId="4B5A3012">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［1.4-5)万USD</w:t>
            </w:r>
          </w:p>
        </w:tc>
        <w:tc>
          <w:tcPr>
            <w:tcW w:w="2540" w:type="dxa"/>
            <w:tcBorders>
              <w:top w:val="nil"/>
              <w:left w:val="nil"/>
              <w:bottom w:val="single" w:color="auto" w:sz="8" w:space="0"/>
              <w:right w:val="single" w:color="auto" w:sz="8" w:space="0"/>
            </w:tcBorders>
            <w:vAlign w:val="center"/>
          </w:tcPr>
          <w:p w14:paraId="7F8FC092">
            <w:pPr>
              <w:widowControl/>
              <w:spacing w:line="360" w:lineRule="auto"/>
              <w:jc w:val="center"/>
              <w:rPr>
                <w:rFonts w:ascii="Times New Roman" w:hAnsi="Times New Roman" w:eastAsia="宋体" w:cs="Times New Roman"/>
                <w:kern w:val="0"/>
                <w:szCs w:val="21"/>
              </w:rPr>
            </w:pPr>
            <w:r>
              <w:rPr>
                <w:rFonts w:hint="eastAsia" w:ascii="Times New Roman" w:hAnsi="Times New Roman" w:eastAsia="宋体" w:cs="Times New Roman"/>
                <w:kern w:val="0"/>
                <w:szCs w:val="21"/>
              </w:rPr>
              <w:t>2.0</w:t>
            </w:r>
            <w:r>
              <w:rPr>
                <w:rFonts w:ascii="Times New Roman" w:hAnsi="Times New Roman" w:eastAsia="宋体" w:cs="Times New Roman"/>
                <w:kern w:val="0"/>
                <w:szCs w:val="21"/>
              </w:rPr>
              <w:t>%</w:t>
            </w:r>
          </w:p>
        </w:tc>
      </w:tr>
      <w:tr w14:paraId="68B3A880">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14:paraId="71915FDA">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［5-10)万USD</w:t>
            </w:r>
          </w:p>
        </w:tc>
        <w:tc>
          <w:tcPr>
            <w:tcW w:w="2540" w:type="dxa"/>
            <w:tcBorders>
              <w:top w:val="nil"/>
              <w:left w:val="nil"/>
              <w:bottom w:val="single" w:color="auto" w:sz="8" w:space="0"/>
              <w:right w:val="single" w:color="auto" w:sz="8" w:space="0"/>
            </w:tcBorders>
            <w:vAlign w:val="center"/>
          </w:tcPr>
          <w:p w14:paraId="2D56C7AD">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r>
              <w:rPr>
                <w:rFonts w:hint="eastAsia" w:ascii="Times New Roman" w:hAnsi="Times New Roman" w:eastAsia="宋体" w:cs="Times New Roman"/>
                <w:kern w:val="0"/>
                <w:szCs w:val="21"/>
              </w:rPr>
              <w:t>5</w:t>
            </w:r>
            <w:r>
              <w:rPr>
                <w:rFonts w:ascii="Times New Roman" w:hAnsi="Times New Roman" w:eastAsia="宋体" w:cs="Times New Roman"/>
                <w:kern w:val="0"/>
                <w:szCs w:val="21"/>
              </w:rPr>
              <w:t>%</w:t>
            </w:r>
          </w:p>
        </w:tc>
      </w:tr>
      <w:tr w14:paraId="5B459A30">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14:paraId="5F40BDF4">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［10-20)万USD</w:t>
            </w:r>
          </w:p>
        </w:tc>
        <w:tc>
          <w:tcPr>
            <w:tcW w:w="2540" w:type="dxa"/>
            <w:tcBorders>
              <w:top w:val="nil"/>
              <w:left w:val="nil"/>
              <w:bottom w:val="single" w:color="auto" w:sz="8" w:space="0"/>
              <w:right w:val="single" w:color="auto" w:sz="8" w:space="0"/>
            </w:tcBorders>
            <w:vAlign w:val="center"/>
          </w:tcPr>
          <w:p w14:paraId="25A5D75F">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r>
              <w:rPr>
                <w:rFonts w:hint="eastAsia" w:ascii="Times New Roman" w:hAnsi="Times New Roman" w:eastAsia="宋体" w:cs="Times New Roman"/>
                <w:kern w:val="0"/>
                <w:szCs w:val="21"/>
              </w:rPr>
              <w:t>2</w:t>
            </w:r>
            <w:r>
              <w:rPr>
                <w:rFonts w:ascii="Times New Roman" w:hAnsi="Times New Roman" w:eastAsia="宋体" w:cs="Times New Roman"/>
                <w:kern w:val="0"/>
                <w:szCs w:val="21"/>
              </w:rPr>
              <w:t>%</w:t>
            </w:r>
          </w:p>
        </w:tc>
      </w:tr>
      <w:tr w14:paraId="227E22A0">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14:paraId="5F0D4A1C">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［20-50)万USD</w:t>
            </w:r>
          </w:p>
        </w:tc>
        <w:tc>
          <w:tcPr>
            <w:tcW w:w="2540" w:type="dxa"/>
            <w:tcBorders>
              <w:top w:val="nil"/>
              <w:left w:val="nil"/>
              <w:bottom w:val="single" w:color="auto" w:sz="8" w:space="0"/>
              <w:right w:val="single" w:color="auto" w:sz="8" w:space="0"/>
            </w:tcBorders>
            <w:vAlign w:val="center"/>
          </w:tcPr>
          <w:p w14:paraId="7B2CEE5B">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0.</w:t>
            </w:r>
            <w:r>
              <w:rPr>
                <w:rFonts w:hint="eastAsia" w:ascii="Times New Roman" w:hAnsi="Times New Roman" w:eastAsia="宋体" w:cs="Times New Roman"/>
                <w:kern w:val="0"/>
                <w:szCs w:val="21"/>
              </w:rPr>
              <w:t>7</w:t>
            </w:r>
            <w:r>
              <w:rPr>
                <w:rFonts w:ascii="Times New Roman" w:hAnsi="Times New Roman" w:eastAsia="宋体" w:cs="Times New Roman"/>
                <w:kern w:val="0"/>
                <w:szCs w:val="21"/>
              </w:rPr>
              <w:t>%</w:t>
            </w:r>
          </w:p>
        </w:tc>
      </w:tr>
      <w:tr w14:paraId="20618AA4">
        <w:tblPrEx>
          <w:tblCellMar>
            <w:top w:w="0" w:type="dxa"/>
            <w:left w:w="108" w:type="dxa"/>
            <w:bottom w:w="0" w:type="dxa"/>
            <w:right w:w="108" w:type="dxa"/>
          </w:tblCellMar>
        </w:tblPrEx>
        <w:trPr>
          <w:trHeight w:val="391" w:hRule="atLeast"/>
          <w:jc w:val="center"/>
        </w:trPr>
        <w:tc>
          <w:tcPr>
            <w:tcW w:w="2480" w:type="dxa"/>
            <w:tcBorders>
              <w:top w:val="nil"/>
              <w:left w:val="single" w:color="auto" w:sz="8" w:space="0"/>
              <w:bottom w:val="single" w:color="auto" w:sz="8" w:space="0"/>
              <w:right w:val="single" w:color="auto" w:sz="8" w:space="0"/>
            </w:tcBorders>
            <w:vAlign w:val="center"/>
          </w:tcPr>
          <w:p w14:paraId="7246DF1C">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50万USD及以上</w:t>
            </w:r>
          </w:p>
        </w:tc>
        <w:tc>
          <w:tcPr>
            <w:tcW w:w="2540" w:type="dxa"/>
            <w:tcBorders>
              <w:top w:val="nil"/>
              <w:left w:val="nil"/>
              <w:bottom w:val="single" w:color="auto" w:sz="8" w:space="0"/>
              <w:right w:val="single" w:color="auto" w:sz="8" w:space="0"/>
            </w:tcBorders>
            <w:vAlign w:val="center"/>
          </w:tcPr>
          <w:p w14:paraId="39AB9F62">
            <w:pPr>
              <w:widowControl/>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0.</w:t>
            </w:r>
            <w:r>
              <w:rPr>
                <w:rFonts w:hint="eastAsia" w:ascii="Times New Roman" w:hAnsi="Times New Roman" w:eastAsia="宋体" w:cs="Times New Roman"/>
                <w:kern w:val="0"/>
                <w:szCs w:val="21"/>
              </w:rPr>
              <w:t>5</w:t>
            </w:r>
            <w:r>
              <w:rPr>
                <w:rFonts w:ascii="Times New Roman" w:hAnsi="Times New Roman" w:eastAsia="宋体" w:cs="Times New Roman"/>
                <w:kern w:val="0"/>
                <w:szCs w:val="21"/>
              </w:rPr>
              <w:t>%</w:t>
            </w:r>
          </w:p>
        </w:tc>
      </w:tr>
    </w:tbl>
    <w:p w14:paraId="4B8D7522">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以上费率不含额外代收费。额外代收费指在办理进口及减免税过程中因故不能按约定的常规方式办理导致的额外支出，如以下费用：</w:t>
      </w:r>
    </w:p>
    <w:p w14:paraId="09D0C5F3">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1）、将一次性支付变更为多次付费的，由提出方承担增加的银行费用。如一个成交项目需要分开签署多份外贸合同的，每个合同根据合同金额所处区间确定代理费率。</w:t>
      </w:r>
    </w:p>
    <w:p w14:paraId="2542FB25">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2）、货物到港地为杭州以外的异地目的港，或者货物最终目的地为杭州以外的异地地点时，需要产生的额外运费、保险费和搬卸费。</w:t>
      </w:r>
    </w:p>
    <w:p w14:paraId="3AC1F69D">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 xml:space="preserve">3）、海运进口换单费超出 300元/票的部分 (此条款针对个别海运进口的供应商，在发货当地选择价格特别低廉甚至0成本运费的方式，从而把物流成本转嫁到国内段，以换单费等形式向国内客户收取的情况)。 </w:t>
      </w:r>
    </w:p>
    <w:p w14:paraId="1DD6D8CD">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4）、特种设备检测费、能效检测费、最终用户和最终用途说明办理费用；特殊物品生物卫生检验备案费等其它特殊收费；因特殊原因导致额外增加的仓储费，如入冷冻仓库和危险品仓库的仓储费；需要使用特殊运输车辆（如避震车、冷链运输等）的费用；试剂类产品额外增加费用。</w:t>
      </w:r>
    </w:p>
    <w:p w14:paraId="08A68A86">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5）、因供应商指定货代导致的额外费用。</w:t>
      </w:r>
    </w:p>
    <w:p w14:paraId="645CE579">
      <w:pPr>
        <w:spacing w:line="360" w:lineRule="auto"/>
        <w:ind w:firstLine="420" w:firstLineChars="200"/>
        <w:jc w:val="left"/>
        <w:rPr>
          <w:rFonts w:ascii="Times New Roman" w:hAnsi="Times New Roman" w:eastAsia="宋体" w:cs="Times New Roman"/>
          <w:szCs w:val="21"/>
        </w:rPr>
      </w:pPr>
      <w:r>
        <w:rPr>
          <w:rFonts w:ascii="Times New Roman" w:hAnsi="Times New Roman" w:eastAsia="宋体" w:cs="Times New Roman"/>
          <w:szCs w:val="21"/>
        </w:rPr>
        <w:t>如遇以上未涉及的收费，参照以上协商处理。</w:t>
      </w:r>
    </w:p>
    <w:p w14:paraId="4E7638CD">
      <w:pPr>
        <w:spacing w:line="360" w:lineRule="auto"/>
        <w:ind w:firstLine="420" w:firstLineChars="200"/>
        <w:jc w:val="left"/>
        <w:rPr>
          <w:rFonts w:ascii="Times New Roman" w:hAnsi="Times New Roman" w:eastAsia="宋体" w:cs="Times New Roman"/>
          <w:szCs w:val="21"/>
          <w:lang w:val="zh-CN"/>
        </w:rPr>
      </w:pPr>
      <w:r>
        <w:rPr>
          <w:rFonts w:ascii="Times New Roman" w:hAnsi="Times New Roman" w:eastAsia="宋体" w:cs="Times New Roman"/>
          <w:szCs w:val="21"/>
        </w:rPr>
        <w:t>额外代收费用</w:t>
      </w:r>
      <w:r>
        <w:rPr>
          <w:rFonts w:ascii="Times New Roman" w:hAnsi="Times New Roman" w:eastAsia="宋体" w:cs="Times New Roman"/>
          <w:szCs w:val="21"/>
          <w:lang w:val="zh-CN"/>
        </w:rPr>
        <w:t>包含在中标商人民币报价中</w:t>
      </w:r>
      <w:r>
        <w:rPr>
          <w:rFonts w:ascii="Times New Roman" w:hAnsi="Times New Roman" w:eastAsia="宋体" w:cs="Times New Roman"/>
          <w:szCs w:val="21"/>
        </w:rPr>
        <w:t>，外贸代理公司在结算时需向收费人列出明细及单据，并接受浙江大学采购中心的监督</w:t>
      </w:r>
      <w:r>
        <w:rPr>
          <w:rFonts w:ascii="Times New Roman" w:hAnsi="Times New Roman" w:eastAsia="宋体" w:cs="Times New Roman"/>
          <w:szCs w:val="21"/>
          <w:lang w:val="zh-CN"/>
        </w:rPr>
        <w:t xml:space="preserve">。 </w:t>
      </w:r>
    </w:p>
    <w:p w14:paraId="37D490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E83AEF"/>
    <w:multiLevelType w:val="singleLevel"/>
    <w:tmpl w:val="75E83AE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9C7867"/>
    <w:rsid w:val="039C7867"/>
    <w:rsid w:val="52FF42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qFormat/>
    <w:uiPriority w:val="9"/>
    <w:pPr>
      <w:keepNext/>
      <w:spacing w:line="360" w:lineRule="auto"/>
      <w:jc w:val="center"/>
      <w:outlineLvl w:val="0"/>
    </w:pPr>
    <w:rPr>
      <w:rFonts w:ascii="Arial" w:hAnsi="Arial" w:eastAsia="华文中宋" w:cs="Times New Roman"/>
      <w:b/>
      <w:color w:val="000000"/>
      <w:sz w:val="32"/>
      <w:szCs w:val="24"/>
      <w:lang w:val="zh-CN"/>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1402</Words>
  <Characters>1775</Characters>
  <Lines>0</Lines>
  <Paragraphs>0</Paragraphs>
  <TotalTime>0</TotalTime>
  <ScaleCrop>false</ScaleCrop>
  <LinksUpToDate>false</LinksUpToDate>
  <CharactersWithSpaces>1850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2025-10-29T07:32:00Z</dcterms:created>
  <dc:creator>小桃儿</dc:creator>
  <cp:lastModifiedBy>小桃儿</cp:lastModifiedBy>
  <dcterms:modified xsi:type="dcterms:W3CDTF">2025-10-29T07:34:43Z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7A8E29523E3741D5AB327A9D99ACB029_13</vt:lpwstr>
  </property>
  <property fmtid="{D5CDD505-2E9C-101B-9397-08002B2CF9AE}" pid="4" name="KSOTemplateDocerSaveRecord">
    <vt:lpwstr>eyJoZGlkIjoiOTc3M2Y5NzIzMDFlZjAyY2Q4Njk5ODkyYjFjNzBiNTQiLCJ1c2VySWQiOiIzNjQ2NTIyOTcifQ==</vt:lpwstr>
  </property>
</Properties>
</file>