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pageBreakBefore w:val="0"/>
        <w:widowControl w:val="0"/>
        <w:numPr>
          <w:ilvl w:val="0"/>
          <w:numId w:val="0"/>
        </w:numPr>
        <w:spacing w:before="360" w:beforeLines="150"/>
        <w:ind w:left="431"/>
        <w:rPr>
          <w:highlight w:val="none"/>
        </w:rPr>
      </w:pPr>
      <w:bookmarkStart w:id="0" w:name="_Toc72143123"/>
      <w:bookmarkStart w:id="1" w:name="_Toc71975693"/>
      <w:bookmarkStart w:id="2" w:name="_Toc85027638"/>
      <w:bookmarkStart w:id="3" w:name="_Toc110496019"/>
      <w:bookmarkStart w:id="4" w:name="_Toc113528032"/>
      <w:bookmarkStart w:id="5" w:name="_Toc72164792"/>
      <w:bookmarkStart w:id="6" w:name="_Toc142051456"/>
      <w:bookmarkStart w:id="7" w:name="_Toc72067962"/>
      <w:bookmarkStart w:id="8" w:name="_Toc76711666"/>
      <w:bookmarkStart w:id="9" w:name="_Toc81298518"/>
      <w:bookmarkStart w:id="10" w:name="_Toc73086899"/>
      <w:bookmarkStart w:id="11" w:name="_Toc73539791"/>
      <w:bookmarkStart w:id="12" w:name="_Toc72487817"/>
      <w:bookmarkStart w:id="13" w:name="_Toc72067846"/>
      <w:bookmarkStart w:id="14" w:name="_Toc73455777"/>
      <w:bookmarkStart w:id="15" w:name="_Toc73980957"/>
      <w:bookmarkStart w:id="221" w:name="_GoBack"/>
      <w:r>
        <w:rPr>
          <w:highlight w:val="none"/>
        </w:rPr>
        <w:t>致供应商的邀请函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pStyle w:val="224"/>
        <w:widowControl w:val="0"/>
        <w:spacing w:before="360" w:beforeLines="150"/>
        <w:ind w:firstLine="0" w:firstLineChars="0"/>
        <w:rPr>
          <w:rFonts w:ascii="Times New Roman" w:hAnsi="Times New Roman" w:eastAsia="黑体"/>
          <w:sz w:val="22"/>
          <w:highlight w:val="none"/>
        </w:rPr>
      </w:pPr>
      <w:r>
        <w:rPr>
          <w:rFonts w:ascii="Times New Roman" w:hAnsi="Times New Roman" w:eastAsia="黑体"/>
          <w:sz w:val="22"/>
          <w:highlight w:val="none"/>
        </w:rPr>
        <w:t>各供应商：</w:t>
      </w:r>
    </w:p>
    <w:p>
      <w:pPr>
        <w:pStyle w:val="224"/>
        <w:widowControl w:val="0"/>
        <w:rPr>
          <w:rFonts w:ascii="Times New Roman" w:hAnsi="Times New Roman"/>
          <w:highlight w:val="none"/>
        </w:rPr>
      </w:pPr>
      <w:r>
        <w:rPr>
          <w:rFonts w:ascii="Times New Roman" w:hAnsi="Times New Roman"/>
          <w:highlight w:val="none"/>
        </w:rPr>
        <w:t>为更好满足公安机关采购需要，提高采购效率，公安部警用装备采购中心（以下简称</w:t>
      </w:r>
      <w:r>
        <w:rPr>
          <w:rFonts w:hint="eastAsia" w:ascii="Times New Roman" w:hAnsi="Times New Roman"/>
          <w:highlight w:val="none"/>
        </w:rPr>
        <w:t>“</w:t>
      </w:r>
      <w:r>
        <w:rPr>
          <w:rFonts w:ascii="Times New Roman" w:hAnsi="Times New Roman"/>
          <w:highlight w:val="none"/>
        </w:rPr>
        <w:t>警采中心</w:t>
      </w:r>
      <w:r>
        <w:rPr>
          <w:rFonts w:hint="eastAsia" w:ascii="Times New Roman" w:hAnsi="Times New Roman"/>
          <w:highlight w:val="none"/>
        </w:rPr>
        <w:t>”</w:t>
      </w:r>
      <w:r>
        <w:rPr>
          <w:rFonts w:ascii="Times New Roman" w:hAnsi="Times New Roman"/>
          <w:highlight w:val="none"/>
        </w:rPr>
        <w:t>）将组织</w:t>
      </w:r>
      <w:r>
        <w:rPr>
          <w:rFonts w:hint="eastAsia" w:ascii="Times New Roman" w:hAnsi="Times New Roman"/>
          <w:highlight w:val="none"/>
        </w:rPr>
        <w:t>“2023年搜爆服</w:t>
      </w:r>
      <w:r>
        <w:rPr>
          <w:rFonts w:ascii="Times New Roman" w:hAnsi="Times New Roman"/>
          <w:highlight w:val="none"/>
        </w:rPr>
        <w:t>、排爆服、防爆球等</w:t>
      </w:r>
      <w:r>
        <w:rPr>
          <w:rFonts w:hint="eastAsia" w:ascii="Times New Roman" w:hAnsi="Times New Roman"/>
          <w:highlight w:val="none"/>
        </w:rPr>
        <w:t>爆炸物处置设备框架协议采购项目（二）”</w:t>
      </w:r>
      <w:r>
        <w:rPr>
          <w:rFonts w:ascii="Times New Roman" w:hAnsi="Times New Roman"/>
          <w:highlight w:val="none"/>
        </w:rPr>
        <w:t>（项目编号：JC-HG20230069）的公开</w:t>
      </w:r>
      <w:r>
        <w:rPr>
          <w:rFonts w:hint="eastAsia" w:ascii="Times New Roman" w:hAnsi="Times New Roman"/>
          <w:highlight w:val="none"/>
        </w:rPr>
        <w:t>征集</w:t>
      </w:r>
      <w:r>
        <w:rPr>
          <w:rFonts w:ascii="Times New Roman" w:hAnsi="Times New Roman"/>
          <w:highlight w:val="none"/>
        </w:rPr>
        <w:t>，诚邀国内各供应商进行</w:t>
      </w:r>
      <w:r>
        <w:rPr>
          <w:rFonts w:hint="eastAsia" w:ascii="Times New Roman" w:hAnsi="Times New Roman"/>
          <w:highlight w:val="none"/>
        </w:rPr>
        <w:t>响应</w:t>
      </w:r>
      <w:r>
        <w:rPr>
          <w:rFonts w:ascii="Times New Roman" w:hAnsi="Times New Roman"/>
          <w:highlight w:val="none"/>
        </w:rPr>
        <w:t>。项目主要内容如下：</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6209"/>
        <w:gridCol w:w="1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969" w:type="dxa"/>
            <w:vAlign w:val="center"/>
          </w:tcPr>
          <w:p>
            <w:pPr>
              <w:spacing w:line="400" w:lineRule="exact"/>
              <w:jc w:val="center"/>
              <w:rPr>
                <w:szCs w:val="21"/>
                <w:highlight w:val="none"/>
              </w:rPr>
            </w:pPr>
            <w:r>
              <w:rPr>
                <w:szCs w:val="21"/>
                <w:highlight w:val="none"/>
              </w:rPr>
              <w:t>包号</w:t>
            </w:r>
          </w:p>
        </w:tc>
        <w:tc>
          <w:tcPr>
            <w:tcW w:w="6209" w:type="dxa"/>
            <w:vAlign w:val="center"/>
          </w:tcPr>
          <w:p>
            <w:pPr>
              <w:spacing w:line="400" w:lineRule="exact"/>
              <w:jc w:val="center"/>
              <w:rPr>
                <w:kern w:val="0"/>
                <w:szCs w:val="21"/>
                <w:highlight w:val="none"/>
                <w:lang w:bidi="ar"/>
              </w:rPr>
            </w:pPr>
            <w:r>
              <w:rPr>
                <w:bCs/>
                <w:szCs w:val="21"/>
                <w:highlight w:val="none"/>
              </w:rPr>
              <w:t>产品名称</w:t>
            </w:r>
          </w:p>
        </w:tc>
        <w:tc>
          <w:tcPr>
            <w:tcW w:w="1657" w:type="dxa"/>
            <w:vAlign w:val="center"/>
          </w:tcPr>
          <w:p>
            <w:pPr>
              <w:jc w:val="center"/>
              <w:rPr>
                <w:bCs/>
                <w:szCs w:val="21"/>
                <w:highlight w:val="none"/>
              </w:rPr>
            </w:pPr>
            <w:r>
              <w:rPr>
                <w:bCs/>
                <w:szCs w:val="21"/>
                <w:highlight w:val="none"/>
              </w:rPr>
              <w:t>最高限制单价（元）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blHeader/>
          <w:jc w:val="center"/>
        </w:trPr>
        <w:tc>
          <w:tcPr>
            <w:tcW w:w="8835" w:type="dxa"/>
            <w:gridSpan w:val="3"/>
            <w:vAlign w:val="center"/>
          </w:tcPr>
          <w:p>
            <w:pPr>
              <w:rPr>
                <w:bCs/>
                <w:szCs w:val="21"/>
                <w:highlight w:val="none"/>
              </w:rPr>
            </w:pPr>
            <w:r>
              <w:rPr>
                <w:kern w:val="0"/>
                <w:szCs w:val="21"/>
                <w:highlight w:val="none"/>
                <w:lang w:bidi="ar"/>
              </w:rPr>
              <w:t>搜爆服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搜爆服</w:t>
            </w:r>
          </w:p>
        </w:tc>
        <w:tc>
          <w:tcPr>
            <w:tcW w:w="1657" w:type="dxa"/>
            <w:vAlign w:val="center"/>
          </w:tcPr>
          <w:p>
            <w:pPr>
              <w:spacing w:line="320" w:lineRule="exact"/>
              <w:jc w:val="center"/>
              <w:rPr>
                <w:kern w:val="0"/>
                <w:szCs w:val="21"/>
                <w:highlight w:val="none"/>
              </w:rPr>
            </w:pPr>
            <w:r>
              <w:rPr>
                <w:kern w:val="0"/>
                <w:highlight w:val="none"/>
                <w:lang w:bidi="ar"/>
              </w:rPr>
              <w:t>70000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kern w:val="0"/>
                <w:highlight w:val="none"/>
                <w:lang w:bidi="ar"/>
              </w:rPr>
            </w:pPr>
            <w:r>
              <w:rPr>
                <w:kern w:val="0"/>
                <w:szCs w:val="21"/>
                <w:highlight w:val="none"/>
                <w:lang w:bidi="ar"/>
              </w:rPr>
              <w:t>排爆服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排爆服</w:t>
            </w:r>
            <w:r>
              <w:rPr>
                <w:rFonts w:hint="eastAsia"/>
                <w:kern w:val="0"/>
                <w:szCs w:val="21"/>
                <w:highlight w:val="none"/>
                <w:lang w:bidi="ar"/>
              </w:rPr>
              <w:t>I</w:t>
            </w:r>
          </w:p>
        </w:tc>
        <w:tc>
          <w:tcPr>
            <w:tcW w:w="1657" w:type="dxa"/>
            <w:vAlign w:val="center"/>
          </w:tcPr>
          <w:p>
            <w:pPr>
              <w:spacing w:line="320" w:lineRule="exact"/>
              <w:jc w:val="center"/>
              <w:rPr>
                <w:kern w:val="0"/>
                <w:highlight w:val="none"/>
                <w:lang w:bidi="ar"/>
              </w:rPr>
            </w:pPr>
            <w:r>
              <w:rPr>
                <w:kern w:val="0"/>
                <w:highlight w:val="none"/>
                <w:lang w:bidi="ar"/>
              </w:rPr>
              <w:t>20</w:t>
            </w:r>
            <w:r>
              <w:rPr>
                <w:rFonts w:hint="eastAsia"/>
                <w:kern w:val="0"/>
                <w:highlight w:val="none"/>
                <w:lang w:bidi="ar"/>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排爆服</w:t>
            </w:r>
            <w:r>
              <w:rPr>
                <w:rFonts w:hint="eastAsia"/>
                <w:kern w:val="0"/>
                <w:szCs w:val="21"/>
                <w:highlight w:val="none"/>
                <w:lang w:bidi="ar"/>
              </w:rPr>
              <w:t>I</w:t>
            </w:r>
            <w:r>
              <w:rPr>
                <w:kern w:val="0"/>
                <w:szCs w:val="21"/>
                <w:highlight w:val="none"/>
                <w:lang w:bidi="ar"/>
              </w:rPr>
              <w:t>I</w:t>
            </w:r>
          </w:p>
        </w:tc>
        <w:tc>
          <w:tcPr>
            <w:tcW w:w="1657" w:type="dxa"/>
            <w:vAlign w:val="center"/>
          </w:tcPr>
          <w:p>
            <w:pPr>
              <w:spacing w:line="320" w:lineRule="exact"/>
              <w:jc w:val="center"/>
              <w:rPr>
                <w:kern w:val="0"/>
                <w:highlight w:val="none"/>
                <w:lang w:bidi="ar"/>
              </w:rPr>
            </w:pPr>
            <w:r>
              <w:rPr>
                <w:kern w:val="0"/>
                <w:highlight w:val="none"/>
                <w:lang w:bidi="ar"/>
              </w:rPr>
              <w:t>180000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kern w:val="0"/>
                <w:highlight w:val="none"/>
                <w:lang w:bidi="ar"/>
              </w:rPr>
            </w:pPr>
            <w:r>
              <w:rPr>
                <w:kern w:val="0"/>
                <w:szCs w:val="21"/>
                <w:highlight w:val="none"/>
                <w:lang w:bidi="ar"/>
              </w:rPr>
              <w:t>防爆球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牵引式防爆球</w:t>
            </w:r>
          </w:p>
        </w:tc>
        <w:tc>
          <w:tcPr>
            <w:tcW w:w="1657" w:type="dxa"/>
            <w:vAlign w:val="center"/>
          </w:tcPr>
          <w:p>
            <w:pPr>
              <w:spacing w:line="320" w:lineRule="exact"/>
              <w:jc w:val="center"/>
              <w:rPr>
                <w:kern w:val="0"/>
                <w:highlight w:val="none"/>
                <w:lang w:bidi="ar"/>
              </w:rPr>
            </w:pPr>
            <w:r>
              <w:rPr>
                <w:kern w:val="0"/>
                <w:highlight w:val="none"/>
                <w:lang w:bidi="ar"/>
              </w:rPr>
              <w:t>280000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无牵引防爆球</w:t>
            </w:r>
          </w:p>
        </w:tc>
        <w:tc>
          <w:tcPr>
            <w:tcW w:w="1657" w:type="dxa"/>
            <w:vAlign w:val="center"/>
          </w:tcPr>
          <w:p>
            <w:pPr>
              <w:spacing w:line="320" w:lineRule="exact"/>
              <w:jc w:val="center"/>
              <w:rPr>
                <w:kern w:val="0"/>
                <w:highlight w:val="none"/>
                <w:lang w:bidi="ar"/>
              </w:rPr>
            </w:pPr>
            <w:r>
              <w:rPr>
                <w:kern w:val="0"/>
                <w:highlight w:val="none"/>
                <w:lang w:bidi="ar"/>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kern w:val="0"/>
                <w:highlight w:val="none"/>
                <w:lang w:bidi="ar"/>
              </w:rPr>
            </w:pPr>
            <w:r>
              <w:rPr>
                <w:kern w:val="0"/>
                <w:szCs w:val="21"/>
                <w:highlight w:val="none"/>
                <w:lang w:bidi="ar"/>
              </w:rPr>
              <w:t>防爆罐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固定式防爆罐</w:t>
            </w:r>
          </w:p>
        </w:tc>
        <w:tc>
          <w:tcPr>
            <w:tcW w:w="1657" w:type="dxa"/>
            <w:vAlign w:val="center"/>
          </w:tcPr>
          <w:p>
            <w:pPr>
              <w:spacing w:line="320" w:lineRule="exact"/>
              <w:jc w:val="center"/>
              <w:textAlignment w:val="center"/>
              <w:rPr>
                <w:kern w:val="0"/>
                <w:highlight w:val="none"/>
                <w:lang w:bidi="ar"/>
              </w:rPr>
            </w:pPr>
            <w:r>
              <w:rPr>
                <w:kern w:val="0"/>
                <w:highlight w:val="none"/>
                <w:lang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拖车式防爆罐</w:t>
            </w:r>
          </w:p>
        </w:tc>
        <w:tc>
          <w:tcPr>
            <w:tcW w:w="1657" w:type="dxa"/>
            <w:vAlign w:val="center"/>
          </w:tcPr>
          <w:p>
            <w:pPr>
              <w:spacing w:line="320" w:lineRule="exact"/>
              <w:jc w:val="center"/>
              <w:textAlignment w:val="center"/>
              <w:rPr>
                <w:kern w:val="0"/>
                <w:highlight w:val="none"/>
                <w:lang w:bidi="ar"/>
              </w:rPr>
            </w:pPr>
            <w:r>
              <w:rPr>
                <w:kern w:val="0"/>
                <w:highlight w:val="none"/>
                <w:lang w:bidi="ar"/>
              </w:rPr>
              <w:t>15000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柔性防爆罐</w:t>
            </w:r>
            <w:r>
              <w:rPr>
                <w:rFonts w:hint="eastAsia"/>
                <w:kern w:val="0"/>
                <w:szCs w:val="21"/>
                <w:highlight w:val="none"/>
                <w:lang w:bidi="ar"/>
              </w:rPr>
              <w:t>I</w:t>
            </w:r>
          </w:p>
        </w:tc>
        <w:tc>
          <w:tcPr>
            <w:tcW w:w="1657" w:type="dxa"/>
            <w:vAlign w:val="center"/>
          </w:tcPr>
          <w:p>
            <w:pPr>
              <w:spacing w:line="320" w:lineRule="exact"/>
              <w:jc w:val="center"/>
              <w:rPr>
                <w:kern w:val="0"/>
                <w:szCs w:val="21"/>
                <w:highlight w:val="none"/>
              </w:rPr>
            </w:pPr>
            <w:r>
              <w:rPr>
                <w:kern w:val="0"/>
                <w:szCs w:val="21"/>
                <w:highlight w:val="none"/>
              </w:rPr>
              <w:t>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柔性防爆罐</w:t>
            </w:r>
            <w:r>
              <w:rPr>
                <w:rFonts w:hint="eastAsia"/>
                <w:kern w:val="0"/>
                <w:szCs w:val="21"/>
                <w:highlight w:val="none"/>
                <w:lang w:bidi="ar"/>
              </w:rPr>
              <w:t>I</w:t>
            </w:r>
            <w:r>
              <w:rPr>
                <w:kern w:val="0"/>
                <w:szCs w:val="21"/>
                <w:highlight w:val="none"/>
                <w:lang w:bidi="ar"/>
              </w:rPr>
              <w:t>I</w:t>
            </w:r>
          </w:p>
        </w:tc>
        <w:tc>
          <w:tcPr>
            <w:tcW w:w="1657" w:type="dxa"/>
            <w:vAlign w:val="center"/>
          </w:tcPr>
          <w:p>
            <w:pPr>
              <w:spacing w:line="320" w:lineRule="exact"/>
              <w:jc w:val="center"/>
              <w:rPr>
                <w:kern w:val="0"/>
                <w:szCs w:val="21"/>
                <w:highlight w:val="none"/>
              </w:rPr>
            </w:pPr>
            <w:r>
              <w:rPr>
                <w:rFonts w:hint="eastAsia"/>
                <w:kern w:val="0"/>
                <w:szCs w:val="21"/>
                <w:highlight w:val="none"/>
              </w:rPr>
              <w:t>85000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kern w:val="0"/>
                <w:highlight w:val="none"/>
                <w:lang w:bidi="ar"/>
              </w:rPr>
            </w:pPr>
            <w:r>
              <w:rPr>
                <w:kern w:val="0"/>
                <w:szCs w:val="21"/>
                <w:highlight w:val="none"/>
                <w:lang w:bidi="ar"/>
              </w:rPr>
              <w:t>爆炸物解体器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小口径型普通型爆炸物解体器</w:t>
            </w:r>
          </w:p>
        </w:tc>
        <w:tc>
          <w:tcPr>
            <w:tcW w:w="1657" w:type="dxa"/>
            <w:vAlign w:val="center"/>
          </w:tcPr>
          <w:p>
            <w:pPr>
              <w:spacing w:line="320" w:lineRule="exact"/>
              <w:jc w:val="center"/>
              <w:textAlignment w:val="center"/>
              <w:rPr>
                <w:kern w:val="0"/>
                <w:highlight w:val="none"/>
                <w:lang w:bidi="ar"/>
              </w:rPr>
            </w:pPr>
            <w:r>
              <w:rPr>
                <w:kern w:val="0"/>
                <w:highlight w:val="none"/>
                <w:lang w:bidi="ar"/>
              </w:rPr>
              <w:t>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中口径型普通型爆炸物解体器</w:t>
            </w:r>
          </w:p>
        </w:tc>
        <w:tc>
          <w:tcPr>
            <w:tcW w:w="1657" w:type="dxa"/>
            <w:vAlign w:val="center"/>
          </w:tcPr>
          <w:p>
            <w:pPr>
              <w:spacing w:line="320" w:lineRule="exact"/>
              <w:jc w:val="center"/>
              <w:textAlignment w:val="center"/>
              <w:rPr>
                <w:kern w:val="0"/>
                <w:highlight w:val="none"/>
                <w:lang w:bidi="ar"/>
              </w:rPr>
            </w:pPr>
            <w:r>
              <w:rPr>
                <w:kern w:val="0"/>
                <w:highlight w:val="none"/>
                <w:lang w:bidi="ar"/>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大孔径型普通型爆炸物解体器</w:t>
            </w:r>
          </w:p>
        </w:tc>
        <w:tc>
          <w:tcPr>
            <w:tcW w:w="1657" w:type="dxa"/>
            <w:vAlign w:val="center"/>
          </w:tcPr>
          <w:p>
            <w:pPr>
              <w:spacing w:line="320" w:lineRule="exact"/>
              <w:jc w:val="center"/>
              <w:textAlignment w:val="center"/>
              <w:rPr>
                <w:kern w:val="0"/>
                <w:highlight w:val="none"/>
                <w:lang w:bidi="ar"/>
              </w:rPr>
            </w:pPr>
            <w:r>
              <w:rPr>
                <w:kern w:val="0"/>
                <w:highlight w:val="none"/>
                <w:lang w:bidi="ar"/>
              </w:rPr>
              <w:t>150000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小口径型无后坐力型爆炸物解体器</w:t>
            </w:r>
          </w:p>
        </w:tc>
        <w:tc>
          <w:tcPr>
            <w:tcW w:w="1657" w:type="dxa"/>
            <w:vAlign w:val="center"/>
          </w:tcPr>
          <w:p>
            <w:pPr>
              <w:spacing w:line="320" w:lineRule="exact"/>
              <w:jc w:val="center"/>
              <w:textAlignment w:val="center"/>
              <w:rPr>
                <w:kern w:val="0"/>
                <w:highlight w:val="none"/>
                <w:lang w:bidi="ar"/>
              </w:rPr>
            </w:pPr>
            <w:r>
              <w:rPr>
                <w:kern w:val="0"/>
                <w:highlight w:val="none"/>
                <w:lang w:bidi="ar"/>
              </w:rPr>
              <w:t>150000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中口径型无后坐力型爆炸物解体器</w:t>
            </w:r>
          </w:p>
        </w:tc>
        <w:tc>
          <w:tcPr>
            <w:tcW w:w="1657" w:type="dxa"/>
            <w:vAlign w:val="center"/>
          </w:tcPr>
          <w:p>
            <w:pPr>
              <w:spacing w:line="320" w:lineRule="exact"/>
              <w:jc w:val="center"/>
              <w:textAlignment w:val="center"/>
              <w:rPr>
                <w:kern w:val="0"/>
                <w:highlight w:val="none"/>
                <w:lang w:bidi="ar"/>
              </w:rPr>
            </w:pPr>
            <w:r>
              <w:rPr>
                <w:kern w:val="0"/>
                <w:highlight w:val="none"/>
                <w:lang w:bidi="ar"/>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大孔径型无后坐力型爆炸物解体器</w:t>
            </w:r>
          </w:p>
        </w:tc>
        <w:tc>
          <w:tcPr>
            <w:tcW w:w="1657" w:type="dxa"/>
            <w:vAlign w:val="center"/>
          </w:tcPr>
          <w:p>
            <w:pPr>
              <w:spacing w:line="320" w:lineRule="exact"/>
              <w:jc w:val="center"/>
              <w:textAlignment w:val="center"/>
              <w:rPr>
                <w:kern w:val="0"/>
                <w:highlight w:val="none"/>
                <w:lang w:bidi="ar"/>
              </w:rPr>
            </w:pPr>
            <w:r>
              <w:rPr>
                <w:kern w:val="0"/>
                <w:highlight w:val="none"/>
                <w:lang w:bidi="ar"/>
              </w:rPr>
              <w:t>250000</w:t>
            </w:r>
          </w:p>
        </w:tc>
      </w:tr>
    </w:tbl>
    <w:p>
      <w:pPr>
        <w:pStyle w:val="224"/>
        <w:widowControl w:val="0"/>
        <w:rPr>
          <w:rFonts w:ascii="Times New Roman" w:hAnsi="Times New Roman"/>
          <w:highlight w:val="none"/>
          <w:lang w:val="en-US"/>
        </w:rPr>
      </w:pP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一</w:t>
      </w:r>
      <w:r>
        <w:rPr>
          <w:b/>
          <w:szCs w:val="21"/>
          <w:highlight w:val="none"/>
        </w:rPr>
        <w:t>）</w:t>
      </w:r>
      <w:r>
        <w:rPr>
          <w:rFonts w:hint="eastAsia"/>
          <w:b/>
          <w:szCs w:val="21"/>
          <w:highlight w:val="none"/>
        </w:rPr>
        <w:t>采购方式：</w:t>
      </w:r>
      <w:r>
        <w:rPr>
          <w:rFonts w:hint="eastAsia"/>
          <w:bCs/>
          <w:szCs w:val="21"/>
          <w:highlight w:val="none"/>
        </w:rPr>
        <w:t>封闭式框架协议采购，公开征集程序按照政府采购公开招标的规定执行。</w:t>
      </w:r>
    </w:p>
    <w:p>
      <w:pPr>
        <w:widowControl w:val="0"/>
        <w:tabs>
          <w:tab w:val="left" w:pos="0"/>
        </w:tabs>
        <w:spacing w:before="120" w:beforeLines="50"/>
        <w:ind w:left="420"/>
        <w:jc w:val="both"/>
        <w:rPr>
          <w:szCs w:val="21"/>
          <w:highlight w:val="none"/>
        </w:rPr>
      </w:pPr>
      <w:r>
        <w:rPr>
          <w:rFonts w:hint="eastAsia"/>
          <w:b/>
          <w:szCs w:val="21"/>
          <w:highlight w:val="none"/>
        </w:rPr>
        <w:t>（二）征集</w:t>
      </w:r>
      <w:r>
        <w:rPr>
          <w:b/>
          <w:szCs w:val="21"/>
          <w:highlight w:val="none"/>
        </w:rPr>
        <w:t>文件获取办法</w:t>
      </w:r>
      <w:r>
        <w:rPr>
          <w:b/>
          <w:szCs w:val="21"/>
          <w:highlight w:val="none"/>
          <w:lang w:val="en-US"/>
        </w:rPr>
        <w:t>。</w:t>
      </w:r>
      <w:r>
        <w:rPr>
          <w:szCs w:val="21"/>
          <w:highlight w:val="none"/>
        </w:rPr>
        <w:t>即日起至</w:t>
      </w:r>
      <w:r>
        <w:rPr>
          <w:rFonts w:hint="eastAsia"/>
          <w:szCs w:val="21"/>
          <w:highlight w:val="none"/>
        </w:rPr>
        <w:t>响应</w:t>
      </w:r>
      <w:r>
        <w:rPr>
          <w:szCs w:val="21"/>
          <w:highlight w:val="none"/>
        </w:rPr>
        <w:t>截止时间</w:t>
      </w:r>
      <w:r>
        <w:rPr>
          <w:szCs w:val="21"/>
          <w:highlight w:val="none"/>
          <w:lang w:val="en-US"/>
        </w:rPr>
        <w:t>，</w:t>
      </w:r>
      <w:r>
        <w:rPr>
          <w:szCs w:val="21"/>
          <w:highlight w:val="none"/>
        </w:rPr>
        <w:t>登录中国政府采购网免费下载</w:t>
      </w:r>
      <w:r>
        <w:rPr>
          <w:rFonts w:hint="eastAsia"/>
          <w:szCs w:val="21"/>
          <w:highlight w:val="none"/>
        </w:rPr>
        <w:t>征集文件</w:t>
      </w:r>
      <w:r>
        <w:rPr>
          <w:szCs w:val="21"/>
          <w:highlight w:val="none"/>
          <w:lang w:val="en-US"/>
        </w:rPr>
        <w:t>（www.ccgp.gov.cn）</w:t>
      </w:r>
      <w:r>
        <w:rPr>
          <w:szCs w:val="21"/>
          <w:highlight w:val="none"/>
        </w:rPr>
        <w:t>。</w:t>
      </w:r>
    </w:p>
    <w:p>
      <w:pPr>
        <w:widowControl w:val="0"/>
        <w:tabs>
          <w:tab w:val="left" w:pos="0"/>
        </w:tabs>
        <w:spacing w:before="120" w:beforeLines="50"/>
        <w:ind w:left="420"/>
        <w:jc w:val="both"/>
        <w:rPr>
          <w:szCs w:val="21"/>
          <w:highlight w:val="none"/>
          <w:lang w:val="en-US"/>
        </w:rPr>
      </w:pPr>
      <w:r>
        <w:rPr>
          <w:b/>
          <w:szCs w:val="21"/>
          <w:highlight w:val="none"/>
          <w:lang w:val="en-US"/>
        </w:rPr>
        <w:t>（</w:t>
      </w:r>
      <w:r>
        <w:rPr>
          <w:rFonts w:hint="eastAsia"/>
          <w:b/>
          <w:szCs w:val="21"/>
          <w:highlight w:val="none"/>
          <w:lang w:val="en-US"/>
        </w:rPr>
        <w:t>三</w:t>
      </w:r>
      <w:r>
        <w:rPr>
          <w:b/>
          <w:szCs w:val="21"/>
          <w:highlight w:val="none"/>
          <w:lang w:val="en-US"/>
        </w:rPr>
        <w:t>）报名方式。</w:t>
      </w:r>
      <w:r>
        <w:rPr>
          <w:szCs w:val="21"/>
          <w:highlight w:val="none"/>
        </w:rPr>
        <w:t>供应商须在202</w:t>
      </w:r>
      <w:r>
        <w:rPr>
          <w:szCs w:val="21"/>
          <w:highlight w:val="none"/>
          <w:lang w:val="en-US"/>
        </w:rPr>
        <w:t>3</w:t>
      </w:r>
      <w:r>
        <w:rPr>
          <w:szCs w:val="21"/>
          <w:highlight w:val="none"/>
        </w:rPr>
        <w:t>年10月</w:t>
      </w:r>
      <w:r>
        <w:rPr>
          <w:rFonts w:hint="eastAsia"/>
          <w:szCs w:val="21"/>
          <w:highlight w:val="none"/>
          <w:lang w:val="en-US" w:eastAsia="zh-CN"/>
        </w:rPr>
        <w:t>9</w:t>
      </w:r>
      <w:r>
        <w:rPr>
          <w:szCs w:val="21"/>
          <w:highlight w:val="none"/>
        </w:rPr>
        <w:t>日17:00前，</w:t>
      </w:r>
      <w:r>
        <w:rPr>
          <w:rFonts w:hint="eastAsia"/>
          <w:szCs w:val="21"/>
          <w:highlight w:val="none"/>
        </w:rPr>
        <w:t>在电子招投标系统（政府采购一体化云平台）进行网上报名</w:t>
      </w:r>
      <w:r>
        <w:rPr>
          <w:szCs w:val="21"/>
          <w:highlight w:val="none"/>
        </w:rPr>
        <w:t>。</w:t>
      </w:r>
      <w:r>
        <w:rPr>
          <w:rFonts w:hint="eastAsia"/>
          <w:szCs w:val="21"/>
          <w:highlight w:val="none"/>
        </w:rPr>
        <w:t>格式详见附件5.12报名函。</w:t>
      </w: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四</w:t>
      </w:r>
      <w:r>
        <w:rPr>
          <w:b/>
          <w:szCs w:val="21"/>
          <w:highlight w:val="none"/>
        </w:rPr>
        <w:t>）接受</w:t>
      </w:r>
      <w:r>
        <w:rPr>
          <w:rFonts w:hint="eastAsia"/>
          <w:b/>
          <w:szCs w:val="21"/>
          <w:highlight w:val="none"/>
        </w:rPr>
        <w:t>响应文件提交</w:t>
      </w:r>
      <w:r>
        <w:rPr>
          <w:b/>
          <w:szCs w:val="21"/>
          <w:highlight w:val="none"/>
        </w:rPr>
        <w:t>时间、</w:t>
      </w:r>
      <w:r>
        <w:rPr>
          <w:rFonts w:hint="eastAsia"/>
          <w:b/>
          <w:szCs w:val="21"/>
          <w:highlight w:val="none"/>
        </w:rPr>
        <w:t>响应文件提交截止时间及开启时间</w:t>
      </w:r>
    </w:p>
    <w:p>
      <w:pPr>
        <w:pStyle w:val="224"/>
        <w:widowControl w:val="0"/>
        <w:rPr>
          <w:rFonts w:ascii="Times New Roman" w:hAnsi="Times New Roman"/>
          <w:highlight w:val="none"/>
        </w:rPr>
      </w:pPr>
      <w:r>
        <w:rPr>
          <w:rFonts w:ascii="Times New Roman" w:hAnsi="Times New Roman"/>
          <w:highlight w:val="none"/>
        </w:rPr>
        <w:t>接受</w:t>
      </w:r>
      <w:r>
        <w:rPr>
          <w:rFonts w:hint="eastAsia" w:ascii="Times New Roman" w:hAnsi="Times New Roman"/>
          <w:highlight w:val="none"/>
        </w:rPr>
        <w:t>响应文件提交</w:t>
      </w:r>
      <w:r>
        <w:rPr>
          <w:rFonts w:ascii="Times New Roman" w:hAnsi="Times New Roman"/>
          <w:highlight w:val="none"/>
        </w:rPr>
        <w:t>时间：</w:t>
      </w:r>
      <w:r>
        <w:rPr>
          <w:rFonts w:hint="eastAsia" w:ascii="Times New Roman" w:hAnsi="Times New Roman"/>
          <w:highlight w:val="none"/>
        </w:rPr>
        <w:t>即日起至2023年</w:t>
      </w:r>
      <w:r>
        <w:rPr>
          <w:rFonts w:ascii="Times New Roman" w:hAnsi="Times New Roman"/>
          <w:highlight w:val="none"/>
        </w:rPr>
        <w:t>10</w:t>
      </w:r>
      <w:r>
        <w:rPr>
          <w:rFonts w:hint="eastAsia" w:ascii="Times New Roman" w:hAnsi="Times New Roman"/>
          <w:highlight w:val="none"/>
        </w:rPr>
        <w:t>月</w:t>
      </w:r>
      <w:r>
        <w:rPr>
          <w:rFonts w:hint="eastAsia" w:ascii="Times New Roman" w:hAnsi="Times New Roman"/>
          <w:highlight w:val="none"/>
          <w:lang w:val="en-US" w:eastAsia="zh-CN"/>
        </w:rPr>
        <w:t>10</w:t>
      </w:r>
      <w:r>
        <w:rPr>
          <w:rFonts w:hint="eastAsia" w:ascii="Times New Roman" w:hAnsi="Times New Roman"/>
          <w:highlight w:val="none"/>
        </w:rPr>
        <w:t>日</w:t>
      </w:r>
      <w:r>
        <w:rPr>
          <w:rFonts w:ascii="Times New Roman" w:hAnsi="Times New Roman"/>
          <w:highlight w:val="none"/>
        </w:rPr>
        <w:t>9</w:t>
      </w:r>
      <w:r>
        <w:rPr>
          <w:rFonts w:hint="eastAsia" w:ascii="Times New Roman" w:hAnsi="Times New Roman"/>
          <w:highlight w:val="none"/>
        </w:rPr>
        <w:t>时00分</w:t>
      </w:r>
      <w:r>
        <w:rPr>
          <w:rFonts w:ascii="Times New Roman" w:hAnsi="Times New Roman"/>
          <w:highlight w:val="none"/>
        </w:rPr>
        <w:t>（北京时间）。</w:t>
      </w:r>
    </w:p>
    <w:p>
      <w:pPr>
        <w:pStyle w:val="224"/>
        <w:widowControl w:val="0"/>
        <w:rPr>
          <w:rFonts w:ascii="Times New Roman" w:hAnsi="Times New Roman"/>
          <w:highlight w:val="none"/>
        </w:rPr>
      </w:pPr>
      <w:r>
        <w:rPr>
          <w:rFonts w:hint="eastAsia" w:ascii="Times New Roman" w:hAnsi="Times New Roman"/>
          <w:highlight w:val="none"/>
        </w:rPr>
        <w:t>响应文件提交</w:t>
      </w:r>
      <w:r>
        <w:rPr>
          <w:rFonts w:ascii="Times New Roman" w:hAnsi="Times New Roman"/>
          <w:highlight w:val="none"/>
        </w:rPr>
        <w:t>截止</w:t>
      </w:r>
      <w:r>
        <w:rPr>
          <w:rFonts w:hint="eastAsia" w:ascii="Times New Roman" w:hAnsi="Times New Roman"/>
          <w:highlight w:val="none"/>
        </w:rPr>
        <w:t>时间及开启</w:t>
      </w:r>
      <w:r>
        <w:rPr>
          <w:rFonts w:ascii="Times New Roman" w:hAnsi="Times New Roman"/>
          <w:highlight w:val="none"/>
        </w:rPr>
        <w:t>时间：202</w:t>
      </w:r>
      <w:r>
        <w:rPr>
          <w:rFonts w:hint="eastAsia" w:ascii="Times New Roman" w:hAnsi="Times New Roman"/>
          <w:highlight w:val="none"/>
          <w:lang w:val="en-US"/>
        </w:rPr>
        <w:t>3</w:t>
      </w:r>
      <w:r>
        <w:rPr>
          <w:rFonts w:ascii="Times New Roman" w:hAnsi="Times New Roman"/>
          <w:highlight w:val="none"/>
        </w:rPr>
        <w:t>年</w:t>
      </w:r>
      <w:r>
        <w:rPr>
          <w:rFonts w:ascii="Times New Roman" w:hAnsi="Times New Roman"/>
          <w:highlight w:val="none"/>
          <w:lang w:val="en-US"/>
        </w:rPr>
        <w:t>10</w:t>
      </w:r>
      <w:r>
        <w:rPr>
          <w:rFonts w:ascii="Times New Roman" w:hAnsi="Times New Roman"/>
          <w:highlight w:val="none"/>
        </w:rPr>
        <w:t>月</w:t>
      </w:r>
      <w:r>
        <w:rPr>
          <w:rFonts w:hint="eastAsia" w:ascii="Times New Roman" w:hAnsi="Times New Roman"/>
          <w:highlight w:val="none"/>
          <w:lang w:val="en-US" w:eastAsia="zh-CN"/>
        </w:rPr>
        <w:t>10</w:t>
      </w:r>
      <w:r>
        <w:rPr>
          <w:rFonts w:ascii="Times New Roman" w:hAnsi="Times New Roman"/>
          <w:highlight w:val="none"/>
        </w:rPr>
        <w:t>日9</w:t>
      </w:r>
      <w:r>
        <w:rPr>
          <w:rFonts w:hint="eastAsia" w:ascii="Times New Roman" w:hAnsi="Times New Roman"/>
          <w:highlight w:val="none"/>
        </w:rPr>
        <w:t>时00分</w:t>
      </w:r>
      <w:r>
        <w:rPr>
          <w:rFonts w:ascii="Times New Roman" w:hAnsi="Times New Roman"/>
          <w:highlight w:val="none"/>
        </w:rPr>
        <w:t>（北京时间）。</w:t>
      </w:r>
    </w:p>
    <w:p>
      <w:pPr>
        <w:pStyle w:val="224"/>
        <w:widowControl w:val="0"/>
        <w:rPr>
          <w:rFonts w:ascii="Times New Roman" w:hAnsi="Times New Roman"/>
          <w:highlight w:val="none"/>
        </w:rPr>
      </w:pPr>
      <w:r>
        <w:rPr>
          <w:rFonts w:hint="eastAsia" w:ascii="Times New Roman" w:hAnsi="Times New Roman"/>
          <w:highlight w:val="none"/>
        </w:rPr>
        <w:t>响应</w:t>
      </w:r>
      <w:r>
        <w:rPr>
          <w:rFonts w:ascii="Times New Roman" w:hAnsi="Times New Roman"/>
          <w:highlight w:val="none"/>
        </w:rPr>
        <w:t>截止时间后提交的响应文件将被拒收，在规定时间内所提交的响应文件不符合相关规定要求的也将被拒收。</w:t>
      </w:r>
    </w:p>
    <w:p>
      <w:pPr>
        <w:widowControl w:val="0"/>
        <w:tabs>
          <w:tab w:val="left" w:pos="0"/>
        </w:tabs>
        <w:ind w:left="420"/>
        <w:jc w:val="both"/>
        <w:rPr>
          <w:b/>
          <w:szCs w:val="21"/>
          <w:highlight w:val="none"/>
        </w:rPr>
      </w:pPr>
      <w:r>
        <w:rPr>
          <w:rFonts w:hint="eastAsia"/>
          <w:b/>
          <w:szCs w:val="21"/>
          <w:highlight w:val="none"/>
        </w:rPr>
        <w:t>（五）响应文件提交及开启地点、响应文件提交及开启方式。</w:t>
      </w:r>
    </w:p>
    <w:p>
      <w:pPr>
        <w:pStyle w:val="224"/>
        <w:widowControl w:val="0"/>
        <w:rPr>
          <w:rFonts w:ascii="Times New Roman" w:hAnsi="Times New Roman"/>
          <w:highlight w:val="none"/>
        </w:rPr>
      </w:pPr>
      <w:r>
        <w:rPr>
          <w:rFonts w:hint="eastAsia" w:ascii="Times New Roman" w:hAnsi="Times New Roman"/>
          <w:highlight w:val="none"/>
        </w:rPr>
        <w:t>本项目采用政府采购一体化云平台进行网上响应，请符合条件的供应商注册、报名，编制完成后加密上传响应文件等相关文件。除上述方式之外，不接受响应人以纸质文件或其他任何方式提交的响应文件。响应文件采用网上“不见面”方式开启。</w:t>
      </w:r>
    </w:p>
    <w:p>
      <w:pPr>
        <w:pStyle w:val="224"/>
        <w:widowControl w:val="0"/>
        <w:rPr>
          <w:rFonts w:ascii="Times New Roman" w:hAnsi="Times New Roman"/>
          <w:highlight w:val="none"/>
        </w:rPr>
      </w:pPr>
      <w:r>
        <w:rPr>
          <w:rFonts w:hint="eastAsia" w:ascii="Times New Roman" w:hAnsi="Times New Roman"/>
          <w:highlight w:val="none"/>
        </w:rPr>
        <w:t>2023年</w:t>
      </w:r>
      <w:r>
        <w:rPr>
          <w:rFonts w:ascii="Times New Roman" w:hAnsi="Times New Roman"/>
          <w:highlight w:val="none"/>
        </w:rPr>
        <w:t>10</w:t>
      </w:r>
      <w:r>
        <w:rPr>
          <w:rFonts w:hint="eastAsia" w:ascii="Times New Roman" w:hAnsi="Times New Roman"/>
          <w:highlight w:val="none"/>
        </w:rPr>
        <w:t>月</w:t>
      </w:r>
      <w:r>
        <w:rPr>
          <w:rFonts w:hint="eastAsia" w:ascii="Times New Roman" w:hAnsi="Times New Roman"/>
          <w:highlight w:val="none"/>
          <w:lang w:val="en-US" w:eastAsia="zh-CN"/>
        </w:rPr>
        <w:t>10</w:t>
      </w:r>
      <w:r>
        <w:rPr>
          <w:rFonts w:hint="eastAsia" w:ascii="Times New Roman" w:hAnsi="Times New Roman"/>
          <w:highlight w:val="none"/>
        </w:rPr>
        <w:t>日0:00分到9时00分供应商登录政府采购一体化云平台办理签到；</w:t>
      </w:r>
    </w:p>
    <w:p>
      <w:pPr>
        <w:pStyle w:val="224"/>
        <w:widowControl w:val="0"/>
        <w:rPr>
          <w:rFonts w:ascii="Times New Roman" w:hAnsi="Times New Roman"/>
          <w:highlight w:val="none"/>
        </w:rPr>
      </w:pPr>
      <w:r>
        <w:rPr>
          <w:rFonts w:hint="eastAsia" w:ascii="Times New Roman" w:hAnsi="Times New Roman"/>
          <w:highlight w:val="none"/>
        </w:rPr>
        <w:t>2023年</w:t>
      </w:r>
      <w:r>
        <w:rPr>
          <w:rFonts w:ascii="Times New Roman" w:hAnsi="Times New Roman"/>
          <w:highlight w:val="none"/>
        </w:rPr>
        <w:t>10</w:t>
      </w:r>
      <w:r>
        <w:rPr>
          <w:rFonts w:hint="eastAsia" w:ascii="Times New Roman" w:hAnsi="Times New Roman"/>
          <w:highlight w:val="none"/>
        </w:rPr>
        <w:t>月</w:t>
      </w:r>
      <w:r>
        <w:rPr>
          <w:rFonts w:hint="eastAsia" w:ascii="Times New Roman" w:hAnsi="Times New Roman"/>
          <w:highlight w:val="none"/>
          <w:lang w:val="en-US" w:eastAsia="zh-CN"/>
        </w:rPr>
        <w:t>10</w:t>
      </w:r>
      <w:r>
        <w:rPr>
          <w:rFonts w:hint="eastAsia" w:ascii="Times New Roman" w:hAnsi="Times New Roman"/>
          <w:highlight w:val="none"/>
        </w:rPr>
        <w:t>日9时00分到12时00分，供应商须登录政府采购一体化云平台解密响应文件。</w:t>
      </w:r>
    </w:p>
    <w:p>
      <w:pPr>
        <w:widowControl w:val="0"/>
        <w:tabs>
          <w:tab w:val="left" w:pos="0"/>
        </w:tabs>
        <w:ind w:left="420"/>
        <w:jc w:val="both"/>
        <w:rPr>
          <w:b/>
          <w:szCs w:val="21"/>
          <w:highlight w:val="none"/>
        </w:rPr>
      </w:pPr>
      <w:r>
        <w:rPr>
          <w:rFonts w:hint="eastAsia"/>
          <w:b/>
          <w:szCs w:val="21"/>
          <w:highlight w:val="none"/>
        </w:rPr>
        <w:t>（六）响应注意事项</w:t>
      </w:r>
    </w:p>
    <w:p>
      <w:pPr>
        <w:widowControl w:val="0"/>
        <w:tabs>
          <w:tab w:val="left" w:pos="0"/>
        </w:tabs>
        <w:ind w:left="420"/>
        <w:jc w:val="both"/>
        <w:rPr>
          <w:szCs w:val="21"/>
          <w:highlight w:val="none"/>
        </w:rPr>
      </w:pPr>
      <w:r>
        <w:rPr>
          <w:szCs w:val="21"/>
          <w:highlight w:val="none"/>
        </w:rPr>
        <w:t>1</w:t>
      </w:r>
      <w:r>
        <w:rPr>
          <w:rFonts w:hint="eastAsia"/>
          <w:szCs w:val="21"/>
          <w:highlight w:val="none"/>
        </w:rPr>
        <w:t>、供应商在政府采购一体化云平台注册方法见征集</w:t>
      </w:r>
      <w:r>
        <w:rPr>
          <w:szCs w:val="21"/>
          <w:highlight w:val="none"/>
        </w:rPr>
        <w:t>文件</w:t>
      </w:r>
      <w:r>
        <w:rPr>
          <w:rFonts w:hint="eastAsia"/>
          <w:szCs w:val="21"/>
          <w:highlight w:val="none"/>
        </w:rPr>
        <w:t>第6部分。</w:t>
      </w:r>
    </w:p>
    <w:p>
      <w:pPr>
        <w:widowControl w:val="0"/>
        <w:tabs>
          <w:tab w:val="left" w:pos="0"/>
        </w:tabs>
        <w:ind w:left="420"/>
        <w:rPr>
          <w:szCs w:val="21"/>
          <w:highlight w:val="none"/>
        </w:rPr>
      </w:pPr>
      <w:r>
        <w:rPr>
          <w:szCs w:val="21"/>
          <w:highlight w:val="none"/>
        </w:rPr>
        <w:t>2</w:t>
      </w:r>
      <w:r>
        <w:rPr>
          <w:rFonts w:hint="eastAsia"/>
          <w:szCs w:val="21"/>
          <w:highlight w:val="none"/>
        </w:rPr>
        <w:t>、供应商进行投报，须提前办理CA数字证书和电子签章， CA证书电子认证办法详见：</w:t>
      </w:r>
    </w:p>
    <w:p>
      <w:pPr>
        <w:widowControl w:val="0"/>
        <w:tabs>
          <w:tab w:val="left" w:pos="0"/>
        </w:tabs>
        <w:ind w:left="420"/>
        <w:rPr>
          <w:szCs w:val="21"/>
          <w:highlight w:val="none"/>
        </w:rPr>
      </w:pPr>
      <w:r>
        <w:rPr>
          <w:rFonts w:hint="eastAsia"/>
          <w:szCs w:val="21"/>
          <w:highlight w:val="none"/>
        </w:rPr>
        <w:t>https://gpmart.pcpe.cn/helpFront/gotoHelpFrontList.action?articleId=1055；电子签章使用说明详见征集</w:t>
      </w:r>
      <w:r>
        <w:rPr>
          <w:szCs w:val="21"/>
          <w:highlight w:val="none"/>
        </w:rPr>
        <w:t>文件</w:t>
      </w:r>
      <w:r>
        <w:rPr>
          <w:rFonts w:hint="eastAsia"/>
          <w:szCs w:val="21"/>
          <w:highlight w:val="none"/>
        </w:rPr>
        <w:t>第6部分；已办理数字证书请确保证书还在有效期内，如已过期或即将过期，须联系政府采购一体化云平台技术支持更新。请各供应商及时申请办理，充分考虑邮寄时间等因素，若因未及时办理导致无法投报的，后果由供应商自负。</w:t>
      </w:r>
    </w:p>
    <w:p>
      <w:pPr>
        <w:widowControl w:val="0"/>
        <w:tabs>
          <w:tab w:val="left" w:pos="0"/>
        </w:tabs>
        <w:ind w:left="420"/>
        <w:jc w:val="both"/>
        <w:rPr>
          <w:szCs w:val="21"/>
          <w:highlight w:val="none"/>
        </w:rPr>
      </w:pPr>
      <w:r>
        <w:rPr>
          <w:szCs w:val="21"/>
          <w:highlight w:val="none"/>
        </w:rPr>
        <w:t>3</w:t>
      </w:r>
      <w:r>
        <w:rPr>
          <w:rFonts w:hint="eastAsia"/>
          <w:szCs w:val="21"/>
          <w:highlight w:val="none"/>
        </w:rPr>
        <w:t>、供应商在政府采购一体化云平台报名及上传响应文件等相关文件方法见征集</w:t>
      </w:r>
      <w:r>
        <w:rPr>
          <w:szCs w:val="21"/>
          <w:highlight w:val="none"/>
        </w:rPr>
        <w:t>文件</w:t>
      </w:r>
      <w:r>
        <w:rPr>
          <w:rFonts w:hint="eastAsia"/>
          <w:szCs w:val="21"/>
          <w:highlight w:val="none"/>
        </w:rPr>
        <w:t>第6部分。</w:t>
      </w:r>
    </w:p>
    <w:p>
      <w:pPr>
        <w:widowControl w:val="0"/>
        <w:tabs>
          <w:tab w:val="left" w:pos="0"/>
        </w:tabs>
        <w:ind w:left="420"/>
        <w:jc w:val="both"/>
        <w:rPr>
          <w:szCs w:val="21"/>
          <w:highlight w:val="none"/>
        </w:rPr>
      </w:pPr>
      <w:r>
        <w:rPr>
          <w:szCs w:val="21"/>
          <w:highlight w:val="none"/>
        </w:rPr>
        <w:t>4</w:t>
      </w:r>
      <w:r>
        <w:rPr>
          <w:rFonts w:hint="eastAsia"/>
          <w:szCs w:val="21"/>
          <w:highlight w:val="none"/>
        </w:rPr>
        <w:t>、政府采购一体化云平台技术支持联系方式：021-33292991、021-22022032、021-22022008。</w:t>
      </w:r>
    </w:p>
    <w:p>
      <w:pPr>
        <w:widowControl w:val="0"/>
        <w:tabs>
          <w:tab w:val="left" w:pos="0"/>
        </w:tabs>
        <w:spacing w:before="120" w:beforeLines="50"/>
        <w:ind w:left="420"/>
        <w:jc w:val="both"/>
        <w:rPr>
          <w:szCs w:val="21"/>
          <w:highlight w:val="none"/>
        </w:rPr>
      </w:pPr>
      <w:r>
        <w:rPr>
          <w:b/>
          <w:szCs w:val="21"/>
          <w:highlight w:val="none"/>
        </w:rPr>
        <w:t>（</w:t>
      </w:r>
      <w:r>
        <w:rPr>
          <w:rFonts w:hint="eastAsia"/>
          <w:b/>
          <w:szCs w:val="21"/>
          <w:highlight w:val="none"/>
        </w:rPr>
        <w:t>八</w:t>
      </w:r>
      <w:r>
        <w:rPr>
          <w:b/>
          <w:szCs w:val="21"/>
          <w:highlight w:val="none"/>
        </w:rPr>
        <w:t>）信息发布。</w:t>
      </w:r>
      <w:r>
        <w:rPr>
          <w:szCs w:val="21"/>
          <w:highlight w:val="none"/>
        </w:rPr>
        <w:t>本项目其余相关信息均在</w:t>
      </w:r>
      <w:r>
        <w:rPr>
          <w:rFonts w:hint="eastAsia"/>
          <w:szCs w:val="21"/>
          <w:highlight w:val="none"/>
        </w:rPr>
        <w:t>“</w:t>
      </w:r>
      <w:r>
        <w:rPr>
          <w:szCs w:val="21"/>
          <w:highlight w:val="none"/>
        </w:rPr>
        <w:t>中国政府采购网（www.ccgp.gov.cn）</w:t>
      </w:r>
      <w:r>
        <w:rPr>
          <w:rFonts w:hint="eastAsia"/>
          <w:szCs w:val="21"/>
          <w:highlight w:val="none"/>
        </w:rPr>
        <w:t>”</w:t>
      </w:r>
      <w:r>
        <w:rPr>
          <w:szCs w:val="21"/>
          <w:highlight w:val="none"/>
        </w:rPr>
        <w:t>等媒体上发布。</w:t>
      </w: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九</w:t>
      </w:r>
      <w:r>
        <w:rPr>
          <w:b/>
          <w:szCs w:val="21"/>
          <w:highlight w:val="none"/>
        </w:rPr>
        <w:t>）联系方式</w:t>
      </w:r>
    </w:p>
    <w:p>
      <w:pPr>
        <w:widowControl w:val="0"/>
        <w:tabs>
          <w:tab w:val="left" w:pos="0"/>
        </w:tabs>
        <w:ind w:firstLine="420"/>
        <w:jc w:val="both"/>
        <w:rPr>
          <w:kern w:val="0"/>
          <w:szCs w:val="21"/>
          <w:highlight w:val="none"/>
        </w:rPr>
      </w:pPr>
      <w:r>
        <w:rPr>
          <w:rFonts w:hint="eastAsia"/>
          <w:kern w:val="0"/>
          <w:szCs w:val="21"/>
          <w:highlight w:val="none"/>
        </w:rPr>
        <w:t>征集人：公安部警用装备采购中心</w:t>
      </w:r>
    </w:p>
    <w:p>
      <w:pPr>
        <w:widowControl w:val="0"/>
        <w:tabs>
          <w:tab w:val="left" w:pos="0"/>
        </w:tabs>
        <w:ind w:firstLine="420"/>
        <w:jc w:val="both"/>
        <w:rPr>
          <w:kern w:val="0"/>
          <w:szCs w:val="21"/>
          <w:highlight w:val="none"/>
        </w:rPr>
      </w:pPr>
      <w:r>
        <w:rPr>
          <w:kern w:val="0"/>
          <w:szCs w:val="21"/>
          <w:highlight w:val="none"/>
        </w:rPr>
        <w:t>地址：上海市闵行区浦江镇三达路299号</w:t>
      </w:r>
    </w:p>
    <w:p>
      <w:pPr>
        <w:widowControl w:val="0"/>
        <w:tabs>
          <w:tab w:val="left" w:pos="0"/>
        </w:tabs>
        <w:ind w:firstLine="420"/>
        <w:jc w:val="both"/>
        <w:rPr>
          <w:kern w:val="0"/>
          <w:szCs w:val="21"/>
          <w:highlight w:val="none"/>
        </w:rPr>
      </w:pPr>
      <w:r>
        <w:rPr>
          <w:kern w:val="0"/>
          <w:szCs w:val="21"/>
          <w:highlight w:val="none"/>
        </w:rPr>
        <w:t>联系人：采购人代表</w:t>
      </w:r>
    </w:p>
    <w:p>
      <w:pPr>
        <w:widowControl w:val="0"/>
        <w:tabs>
          <w:tab w:val="left" w:pos="0"/>
        </w:tabs>
        <w:ind w:firstLine="420"/>
        <w:jc w:val="both"/>
        <w:rPr>
          <w:kern w:val="0"/>
          <w:szCs w:val="21"/>
          <w:highlight w:val="none"/>
        </w:rPr>
      </w:pPr>
      <w:r>
        <w:rPr>
          <w:kern w:val="0"/>
          <w:szCs w:val="21"/>
          <w:highlight w:val="none"/>
        </w:rPr>
        <w:t>联系电话：021-33292999</w:t>
      </w:r>
    </w:p>
    <w:p>
      <w:pPr>
        <w:widowControl w:val="0"/>
        <w:tabs>
          <w:tab w:val="left" w:pos="0"/>
        </w:tabs>
        <w:ind w:firstLine="420"/>
        <w:jc w:val="both"/>
        <w:rPr>
          <w:kern w:val="0"/>
          <w:szCs w:val="21"/>
          <w:highlight w:val="none"/>
        </w:rPr>
      </w:pPr>
      <w:r>
        <w:rPr>
          <w:kern w:val="0"/>
          <w:szCs w:val="21"/>
          <w:highlight w:val="none"/>
        </w:rPr>
        <w:t>邮箱：</w:t>
      </w:r>
      <w:r>
        <w:rPr>
          <w:highlight w:val="none"/>
          <w:lang w:val="en-US"/>
        </w:rPr>
        <w:t>gabjingcaizhongxin@163.com</w:t>
      </w:r>
    </w:p>
    <w:p>
      <w:pPr>
        <w:widowControl w:val="0"/>
        <w:tabs>
          <w:tab w:val="left" w:pos="0"/>
        </w:tabs>
        <w:ind w:left="420" w:leftChars="200"/>
        <w:jc w:val="both"/>
        <w:rPr>
          <w:kern w:val="0"/>
          <w:szCs w:val="21"/>
          <w:highlight w:val="none"/>
        </w:rPr>
      </w:pPr>
      <w:r>
        <w:rPr>
          <w:kern w:val="0"/>
          <w:szCs w:val="21"/>
          <w:highlight w:val="none"/>
        </w:rPr>
        <w:t>此函</w:t>
      </w:r>
    </w:p>
    <w:p>
      <w:pPr>
        <w:widowControl w:val="0"/>
        <w:ind w:right="1680" w:rightChars="800"/>
        <w:jc w:val="right"/>
        <w:rPr>
          <w:rFonts w:eastAsia="黑体"/>
          <w:sz w:val="32"/>
          <w:szCs w:val="32"/>
          <w:highlight w:val="none"/>
        </w:rPr>
      </w:pPr>
      <w:r>
        <w:rPr>
          <w:kern w:val="0"/>
          <w:szCs w:val="21"/>
          <w:highlight w:val="none"/>
        </w:rPr>
        <w:t>202</w:t>
      </w:r>
      <w:r>
        <w:rPr>
          <w:rFonts w:hint="eastAsia"/>
          <w:kern w:val="0"/>
          <w:szCs w:val="21"/>
          <w:highlight w:val="none"/>
          <w:lang w:val="en-US"/>
        </w:rPr>
        <w:t>3</w:t>
      </w:r>
      <w:r>
        <w:rPr>
          <w:kern w:val="0"/>
          <w:szCs w:val="21"/>
          <w:highlight w:val="none"/>
        </w:rPr>
        <w:t>年</w:t>
      </w:r>
      <w:r>
        <w:rPr>
          <w:szCs w:val="21"/>
          <w:highlight w:val="none"/>
          <w:lang w:val="en-US"/>
        </w:rPr>
        <w:t>9</w:t>
      </w:r>
      <w:r>
        <w:rPr>
          <w:szCs w:val="21"/>
          <w:highlight w:val="none"/>
        </w:rPr>
        <w:t>月</w:t>
      </w:r>
      <w:r>
        <w:rPr>
          <w:rFonts w:hint="eastAsia"/>
          <w:szCs w:val="21"/>
          <w:highlight w:val="none"/>
          <w:lang w:val="en-US" w:eastAsia="zh-CN"/>
        </w:rPr>
        <w:t>15</w:t>
      </w:r>
      <w:r>
        <w:rPr>
          <w:szCs w:val="21"/>
          <w:highlight w:val="none"/>
        </w:rPr>
        <w:t>日</w:t>
      </w:r>
      <w:bookmarkStart w:id="16" w:name="_Toc16531209"/>
      <w:bookmarkStart w:id="17" w:name="_Toc16531435"/>
      <w:bookmarkStart w:id="18" w:name="_Toc24825"/>
    </w:p>
    <w:bookmarkEnd w:id="16"/>
    <w:bookmarkEnd w:id="17"/>
    <w:bookmarkEnd w:id="18"/>
    <w:p>
      <w:pPr>
        <w:widowControl w:val="0"/>
        <w:tabs>
          <w:tab w:val="left" w:pos="0"/>
        </w:tabs>
        <w:snapToGrid w:val="0"/>
        <w:spacing w:line="360" w:lineRule="exact"/>
        <w:jc w:val="both"/>
        <w:rPr>
          <w:highlight w:val="none"/>
        </w:rPr>
      </w:pPr>
    </w:p>
    <w:p>
      <w:pPr>
        <w:widowControl w:val="0"/>
        <w:ind w:right="1680" w:rightChars="800"/>
        <w:jc w:val="right"/>
        <w:rPr>
          <w:kern w:val="0"/>
          <w:szCs w:val="21"/>
          <w:highlight w:val="none"/>
        </w:rPr>
        <w:sectPr>
          <w:footerReference r:id="rId3" w:type="default"/>
          <w:pgSz w:w="11907" w:h="16839"/>
          <w:pgMar w:top="1531" w:right="1531" w:bottom="1531" w:left="1531" w:header="1145" w:footer="567" w:gutter="0"/>
          <w:cols w:space="720" w:num="1"/>
          <w:docGrid w:linePitch="360" w:charSpace="0"/>
        </w:sectPr>
      </w:pPr>
    </w:p>
    <w:p>
      <w:pPr>
        <w:widowControl w:val="0"/>
        <w:tabs>
          <w:tab w:val="left" w:pos="0"/>
        </w:tabs>
        <w:jc w:val="center"/>
        <w:rPr>
          <w:rFonts w:eastAsia="方正小标宋简体"/>
          <w:bCs/>
          <w:sz w:val="22"/>
          <w:highlight w:val="none"/>
        </w:rPr>
      </w:pPr>
      <w:bookmarkStart w:id="19" w:name="_Toc27292_WPSOffice_Level1"/>
    </w:p>
    <w:p>
      <w:pPr>
        <w:widowControl w:val="0"/>
        <w:tabs>
          <w:tab w:val="left" w:pos="0"/>
        </w:tabs>
        <w:jc w:val="center"/>
        <w:rPr>
          <w:rFonts w:eastAsia="方正小标宋简体"/>
          <w:bCs/>
          <w:sz w:val="22"/>
          <w:highlight w:val="none"/>
        </w:rPr>
      </w:pPr>
    </w:p>
    <w:p>
      <w:pPr>
        <w:widowControl w:val="0"/>
        <w:tabs>
          <w:tab w:val="left" w:pos="0"/>
        </w:tabs>
        <w:jc w:val="center"/>
        <w:rPr>
          <w:b/>
          <w:kern w:val="0"/>
          <w:sz w:val="84"/>
          <w:szCs w:val="84"/>
          <w:highlight w:val="none"/>
        </w:rPr>
      </w:pPr>
    </w:p>
    <w:p>
      <w:pPr>
        <w:widowControl w:val="0"/>
        <w:tabs>
          <w:tab w:val="left" w:pos="0"/>
        </w:tabs>
        <w:jc w:val="center"/>
        <w:rPr>
          <w:b/>
          <w:kern w:val="0"/>
          <w:sz w:val="84"/>
          <w:szCs w:val="84"/>
          <w:highlight w:val="none"/>
        </w:rPr>
      </w:pPr>
      <w:r>
        <w:rPr>
          <w:rFonts w:hint="eastAsia"/>
          <w:b/>
          <w:kern w:val="0"/>
          <w:sz w:val="84"/>
          <w:szCs w:val="84"/>
          <w:highlight w:val="none"/>
        </w:rPr>
        <w:t>征集文件</w:t>
      </w:r>
    </w:p>
    <w:p>
      <w:pPr>
        <w:widowControl w:val="0"/>
        <w:tabs>
          <w:tab w:val="left" w:pos="0"/>
        </w:tabs>
        <w:jc w:val="center"/>
        <w:rPr>
          <w:kern w:val="0"/>
          <w:sz w:val="44"/>
          <w:szCs w:val="44"/>
          <w:highlight w:val="none"/>
        </w:rPr>
      </w:pPr>
    </w:p>
    <w:p>
      <w:pPr>
        <w:widowControl w:val="0"/>
        <w:tabs>
          <w:tab w:val="left" w:pos="0"/>
        </w:tabs>
        <w:jc w:val="center"/>
        <w:rPr>
          <w:kern w:val="0"/>
          <w:sz w:val="84"/>
          <w:szCs w:val="84"/>
          <w:highlight w:val="none"/>
        </w:rPr>
      </w:pPr>
    </w:p>
    <w:p>
      <w:pPr>
        <w:widowControl w:val="0"/>
        <w:tabs>
          <w:tab w:val="left" w:pos="0"/>
        </w:tabs>
        <w:jc w:val="center"/>
        <w:rPr>
          <w:rFonts w:eastAsia="方正小标宋简体"/>
          <w:bCs/>
          <w:sz w:val="84"/>
          <w:highlight w:val="none"/>
        </w:rPr>
      </w:pPr>
      <w:r>
        <w:rPr>
          <w:kern w:val="0"/>
          <w:sz w:val="32"/>
          <w:szCs w:val="32"/>
          <w:highlight w:val="none"/>
          <w:lang w:val="en-US"/>
        </w:rPr>
        <w:drawing>
          <wp:inline distT="0" distB="0" distL="0" distR="0">
            <wp:extent cx="2125980" cy="2103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pPr>
        <w:widowControl w:val="0"/>
        <w:tabs>
          <w:tab w:val="left" w:pos="0"/>
        </w:tabs>
        <w:jc w:val="both"/>
        <w:rPr>
          <w:kern w:val="0"/>
          <w:sz w:val="28"/>
          <w:szCs w:val="28"/>
          <w:highlight w:val="none"/>
        </w:rPr>
      </w:pPr>
    </w:p>
    <w:p>
      <w:pPr>
        <w:widowControl w:val="0"/>
        <w:tabs>
          <w:tab w:val="left" w:pos="0"/>
        </w:tabs>
        <w:jc w:val="both"/>
        <w:rPr>
          <w:kern w:val="0"/>
          <w:sz w:val="28"/>
          <w:szCs w:val="28"/>
          <w:highlight w:val="none"/>
        </w:rPr>
      </w:pPr>
    </w:p>
    <w:p>
      <w:pPr>
        <w:widowControl w:val="0"/>
        <w:tabs>
          <w:tab w:val="left" w:pos="0"/>
        </w:tabs>
        <w:jc w:val="both"/>
        <w:rPr>
          <w:kern w:val="0"/>
          <w:sz w:val="28"/>
          <w:szCs w:val="28"/>
          <w:highlight w:val="none"/>
        </w:rPr>
      </w:pPr>
    </w:p>
    <w:p>
      <w:pPr>
        <w:widowControl w:val="0"/>
        <w:tabs>
          <w:tab w:val="left" w:pos="0"/>
        </w:tabs>
        <w:spacing w:line="360" w:lineRule="auto"/>
        <w:jc w:val="both"/>
        <w:rPr>
          <w:kern w:val="0"/>
          <w:sz w:val="28"/>
          <w:szCs w:val="28"/>
          <w:highlight w:val="none"/>
        </w:rPr>
      </w:pPr>
    </w:p>
    <w:p>
      <w:pPr>
        <w:widowControl w:val="0"/>
        <w:tabs>
          <w:tab w:val="left" w:pos="0"/>
        </w:tabs>
        <w:spacing w:line="360" w:lineRule="auto"/>
        <w:jc w:val="both"/>
        <w:rPr>
          <w:kern w:val="0"/>
          <w:sz w:val="32"/>
          <w:szCs w:val="32"/>
          <w:highlight w:val="none"/>
          <w:lang w:val="en-US"/>
        </w:rPr>
      </w:pPr>
      <w:r>
        <w:rPr>
          <w:kern w:val="0"/>
          <w:sz w:val="32"/>
          <w:szCs w:val="32"/>
          <w:highlight w:val="none"/>
        </w:rPr>
        <w:t>项 目 编 号：</w:t>
      </w:r>
      <w:r>
        <w:rPr>
          <w:kern w:val="0"/>
          <w:sz w:val="32"/>
          <w:szCs w:val="32"/>
          <w:highlight w:val="none"/>
          <w:lang w:val="en-US"/>
        </w:rPr>
        <w:t>JC-HG20230069</w:t>
      </w:r>
    </w:p>
    <w:p>
      <w:pPr>
        <w:widowControl w:val="0"/>
        <w:tabs>
          <w:tab w:val="left" w:pos="0"/>
        </w:tabs>
        <w:spacing w:line="360" w:lineRule="auto"/>
        <w:ind w:left="2080" w:hanging="2080" w:hangingChars="650"/>
        <w:jc w:val="both"/>
        <w:rPr>
          <w:highlight w:val="none"/>
        </w:rPr>
      </w:pPr>
      <w:r>
        <w:rPr>
          <w:kern w:val="0"/>
          <w:sz w:val="32"/>
          <w:szCs w:val="32"/>
          <w:highlight w:val="none"/>
        </w:rPr>
        <w:t>项 目 名 称：</w:t>
      </w:r>
      <w:r>
        <w:rPr>
          <w:rFonts w:hint="eastAsia"/>
          <w:kern w:val="0"/>
          <w:sz w:val="32"/>
          <w:szCs w:val="32"/>
          <w:highlight w:val="none"/>
        </w:rPr>
        <w:t>2023年搜爆服、排爆服、防爆球等爆炸物处置设备框架协议采购项目（二）</w:t>
      </w:r>
    </w:p>
    <w:p>
      <w:pPr>
        <w:widowControl w:val="0"/>
        <w:tabs>
          <w:tab w:val="left" w:pos="0"/>
        </w:tabs>
        <w:spacing w:line="360" w:lineRule="auto"/>
        <w:jc w:val="center"/>
        <w:rPr>
          <w:kern w:val="0"/>
          <w:sz w:val="32"/>
          <w:szCs w:val="32"/>
          <w:highlight w:val="none"/>
        </w:rPr>
      </w:pPr>
    </w:p>
    <w:p>
      <w:pPr>
        <w:widowControl w:val="0"/>
        <w:tabs>
          <w:tab w:val="left" w:pos="0"/>
        </w:tabs>
        <w:spacing w:line="360" w:lineRule="auto"/>
        <w:jc w:val="center"/>
        <w:rPr>
          <w:highlight w:val="none"/>
        </w:rPr>
      </w:pPr>
    </w:p>
    <w:p>
      <w:pPr>
        <w:rPr>
          <w:highlight w:val="none"/>
        </w:rPr>
      </w:pPr>
    </w:p>
    <w:p>
      <w:pPr>
        <w:widowControl w:val="0"/>
        <w:tabs>
          <w:tab w:val="left" w:pos="0"/>
        </w:tabs>
        <w:spacing w:line="360" w:lineRule="auto"/>
        <w:jc w:val="center"/>
        <w:rPr>
          <w:kern w:val="0"/>
          <w:sz w:val="32"/>
          <w:szCs w:val="32"/>
          <w:highlight w:val="none"/>
        </w:rPr>
      </w:pPr>
      <w:r>
        <w:rPr>
          <w:kern w:val="0"/>
          <w:sz w:val="32"/>
          <w:szCs w:val="32"/>
          <w:highlight w:val="none"/>
        </w:rPr>
        <w:t>公 安 部 警 用 装 备 采 购 中 心</w:t>
      </w:r>
    </w:p>
    <w:p>
      <w:pPr>
        <w:widowControl w:val="0"/>
        <w:tabs>
          <w:tab w:val="left" w:pos="0"/>
        </w:tabs>
        <w:spacing w:line="360" w:lineRule="auto"/>
        <w:jc w:val="center"/>
        <w:rPr>
          <w:kern w:val="0"/>
          <w:sz w:val="32"/>
          <w:szCs w:val="32"/>
          <w:highlight w:val="none"/>
        </w:rPr>
        <w:sectPr>
          <w:headerReference r:id="rId5" w:type="first"/>
          <w:footerReference r:id="rId7" w:type="first"/>
          <w:headerReference r:id="rId4" w:type="default"/>
          <w:footerReference r:id="rId6" w:type="default"/>
          <w:pgSz w:w="11907" w:h="16839"/>
          <w:pgMar w:top="1928" w:right="1531" w:bottom="1871" w:left="1531" w:header="1145" w:footer="709" w:gutter="0"/>
          <w:pgNumType w:start="1"/>
          <w:cols w:space="720" w:num="1"/>
          <w:titlePg/>
          <w:docGrid w:linePitch="360" w:charSpace="0"/>
        </w:sectPr>
      </w:pPr>
      <w:r>
        <w:rPr>
          <w:kern w:val="0"/>
          <w:sz w:val="32"/>
          <w:szCs w:val="32"/>
          <w:highlight w:val="none"/>
        </w:rPr>
        <w:t>二〇二</w:t>
      </w:r>
      <w:r>
        <w:rPr>
          <w:rFonts w:hint="eastAsia"/>
          <w:kern w:val="0"/>
          <w:sz w:val="32"/>
          <w:szCs w:val="32"/>
          <w:highlight w:val="none"/>
        </w:rPr>
        <w:t>三</w:t>
      </w:r>
      <w:r>
        <w:rPr>
          <w:kern w:val="0"/>
          <w:sz w:val="32"/>
          <w:szCs w:val="32"/>
          <w:highlight w:val="none"/>
        </w:rPr>
        <w:t>年</w:t>
      </w:r>
      <w:r>
        <w:rPr>
          <w:rFonts w:hint="eastAsia"/>
          <w:kern w:val="0"/>
          <w:sz w:val="32"/>
          <w:szCs w:val="32"/>
          <w:highlight w:val="none"/>
        </w:rPr>
        <w:t>九</w:t>
      </w:r>
      <w:r>
        <w:rPr>
          <w:kern w:val="0"/>
          <w:sz w:val="32"/>
          <w:szCs w:val="32"/>
          <w:highlight w:val="none"/>
        </w:rPr>
        <w:t>月</w:t>
      </w:r>
    </w:p>
    <w:p>
      <w:pPr>
        <w:widowControl w:val="0"/>
        <w:tabs>
          <w:tab w:val="left" w:pos="0"/>
        </w:tabs>
        <w:spacing w:line="360" w:lineRule="auto"/>
        <w:jc w:val="both"/>
        <w:rPr>
          <w:kern w:val="0"/>
          <w:sz w:val="32"/>
          <w:szCs w:val="32"/>
          <w:highlight w:val="none"/>
        </w:rPr>
      </w:pPr>
    </w:p>
    <w:p>
      <w:pPr>
        <w:widowControl w:val="0"/>
        <w:tabs>
          <w:tab w:val="left" w:pos="0"/>
        </w:tabs>
        <w:spacing w:before="240" w:beforeLines="100" w:line="360" w:lineRule="auto"/>
        <w:jc w:val="center"/>
        <w:rPr>
          <w:highlight w:val="none"/>
        </w:rPr>
      </w:pPr>
      <w:r>
        <w:rPr>
          <w:kern w:val="0"/>
          <w:sz w:val="32"/>
          <w:szCs w:val="32"/>
          <w:highlight w:val="none"/>
        </w:rPr>
        <w:t>目  录</w:t>
      </w:r>
      <w:bookmarkStart w:id="20" w:name="_Toc16263"/>
      <w:r>
        <w:rPr>
          <w:szCs w:val="21"/>
          <w:highlight w:val="none"/>
        </w:rPr>
        <w:fldChar w:fldCharType="begin"/>
      </w:r>
      <w:r>
        <w:rPr>
          <w:szCs w:val="21"/>
          <w:highlight w:val="none"/>
        </w:rPr>
        <w:instrText xml:space="preserve"> TOC \o "1-2" \h \z \u </w:instrText>
      </w:r>
      <w:r>
        <w:rPr>
          <w:szCs w:val="21"/>
          <w:highlight w:val="none"/>
        </w:rPr>
        <w:fldChar w:fldCharType="separate"/>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"_Toc142051456" </w:instrText>
      </w:r>
      <w:r>
        <w:rPr>
          <w:highlight w:val="none"/>
        </w:rPr>
        <w:fldChar w:fldCharType="separate"/>
      </w:r>
      <w:r>
        <w:rPr>
          <w:rStyle w:val="48"/>
          <w:highlight w:val="none"/>
        </w:rPr>
        <w:t>致供应商的邀请函</w:t>
      </w:r>
      <w:r>
        <w:rPr>
          <w:highlight w:val="none"/>
        </w:rPr>
        <w:tab/>
      </w:r>
      <w:r>
        <w:rPr>
          <w:highlight w:val="none"/>
        </w:rPr>
        <w:fldChar w:fldCharType="begin"/>
      </w:r>
      <w:r>
        <w:rPr>
          <w:highlight w:val="none"/>
        </w:rPr>
        <w:instrText xml:space="preserve"> PAGEREF _Toc142051456 \h </w:instrText>
      </w:r>
      <w:r>
        <w:rPr>
          <w:highlight w:val="none"/>
        </w:rPr>
        <w:fldChar w:fldCharType="separate"/>
      </w:r>
      <w:r>
        <w:rPr>
          <w:highlight w:val="none"/>
        </w:rPr>
        <w:t>1</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"_Toc142051457" </w:instrText>
      </w:r>
      <w:r>
        <w:rPr>
          <w:highlight w:val="none"/>
        </w:rPr>
        <w:fldChar w:fldCharType="separate"/>
      </w:r>
      <w:r>
        <w:rPr>
          <w:rStyle w:val="48"/>
          <w:highlight w:val="none"/>
        </w:rPr>
        <w:t>1 项目要求</w:t>
      </w:r>
      <w:r>
        <w:rPr>
          <w:highlight w:val="none"/>
        </w:rPr>
        <w:tab/>
      </w:r>
      <w:r>
        <w:rPr>
          <w:highlight w:val="none"/>
        </w:rPr>
        <w:fldChar w:fldCharType="begin"/>
      </w:r>
      <w:r>
        <w:rPr>
          <w:highlight w:val="none"/>
        </w:rPr>
        <w:instrText xml:space="preserve"> PAGEREF _Toc142051457 \h </w:instrText>
      </w:r>
      <w:r>
        <w:rPr>
          <w:highlight w:val="none"/>
        </w:rPr>
        <w:fldChar w:fldCharType="separate"/>
      </w:r>
      <w:r>
        <w:rPr>
          <w:highlight w:val="none"/>
        </w:rPr>
        <w:t>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"_Toc142051458" </w:instrText>
      </w:r>
      <w:r>
        <w:rPr>
          <w:highlight w:val="none"/>
        </w:rPr>
        <w:fldChar w:fldCharType="separate"/>
      </w:r>
      <w:r>
        <w:rPr>
          <w:rStyle w:val="48"/>
          <w:highlight w:val="none"/>
        </w:rPr>
        <w:t>1.1 技术要求</w:t>
      </w:r>
      <w:r>
        <w:rPr>
          <w:highlight w:val="none"/>
        </w:rPr>
        <w:tab/>
      </w:r>
      <w:r>
        <w:rPr>
          <w:highlight w:val="none"/>
        </w:rPr>
        <w:fldChar w:fldCharType="begin"/>
      </w:r>
      <w:r>
        <w:rPr>
          <w:highlight w:val="none"/>
        </w:rPr>
        <w:instrText xml:space="preserve"> PAGEREF _Toc142051458 \h </w:instrText>
      </w:r>
      <w:r>
        <w:rPr>
          <w:highlight w:val="none"/>
        </w:rPr>
        <w:fldChar w:fldCharType="separate"/>
      </w:r>
      <w:r>
        <w:rPr>
          <w:highlight w:val="none"/>
        </w:rPr>
        <w:t>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"_Toc142051459" </w:instrText>
      </w:r>
      <w:r>
        <w:rPr>
          <w:highlight w:val="none"/>
        </w:rPr>
        <w:fldChar w:fldCharType="separate"/>
      </w:r>
      <w:r>
        <w:rPr>
          <w:rStyle w:val="48"/>
          <w:highlight w:val="none"/>
        </w:rPr>
        <w:t>1.2 价格要求</w:t>
      </w:r>
      <w:r>
        <w:rPr>
          <w:highlight w:val="none"/>
        </w:rPr>
        <w:tab/>
      </w:r>
      <w:r>
        <w:rPr>
          <w:highlight w:val="none"/>
        </w:rPr>
        <w:fldChar w:fldCharType="begin"/>
      </w:r>
      <w:r>
        <w:rPr>
          <w:highlight w:val="none"/>
        </w:rPr>
        <w:instrText xml:space="preserve"> PAGEREF _Toc142051459 \h </w:instrText>
      </w:r>
      <w:r>
        <w:rPr>
          <w:highlight w:val="none"/>
        </w:rPr>
        <w:fldChar w:fldCharType="separate"/>
      </w:r>
      <w:r>
        <w:rPr>
          <w:highlight w:val="none"/>
        </w:rPr>
        <w:t>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"_Toc142051460" </w:instrText>
      </w:r>
      <w:r>
        <w:rPr>
          <w:highlight w:val="none"/>
        </w:rPr>
        <w:fldChar w:fldCharType="separate"/>
      </w:r>
      <w:r>
        <w:rPr>
          <w:rStyle w:val="48"/>
          <w:highlight w:val="none"/>
        </w:rPr>
        <w:t>1.3 入场考核</w:t>
      </w:r>
      <w:r>
        <w:rPr>
          <w:highlight w:val="none"/>
        </w:rPr>
        <w:tab/>
      </w:r>
      <w:r>
        <w:rPr>
          <w:highlight w:val="none"/>
        </w:rPr>
        <w:fldChar w:fldCharType="begin"/>
      </w:r>
      <w:r>
        <w:rPr>
          <w:highlight w:val="none"/>
        </w:rPr>
        <w:instrText xml:space="preserve"> PAGEREF _Toc142051460 \h </w:instrText>
      </w:r>
      <w:r>
        <w:rPr>
          <w:highlight w:val="none"/>
        </w:rPr>
        <w:fldChar w:fldCharType="separate"/>
      </w:r>
      <w:r>
        <w:rPr>
          <w:highlight w:val="none"/>
        </w:rPr>
        <w:t>5</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"_Toc142051461" </w:instrText>
      </w:r>
      <w:r>
        <w:rPr>
          <w:highlight w:val="none"/>
        </w:rPr>
        <w:fldChar w:fldCharType="separate"/>
      </w:r>
      <w:r>
        <w:rPr>
          <w:rStyle w:val="48"/>
          <w:highlight w:val="none"/>
        </w:rPr>
        <w:t>1.4 服务要求</w:t>
      </w:r>
      <w:r>
        <w:rPr>
          <w:highlight w:val="none"/>
        </w:rPr>
        <w:tab/>
      </w:r>
      <w:r>
        <w:rPr>
          <w:highlight w:val="none"/>
        </w:rPr>
        <w:fldChar w:fldCharType="begin"/>
      </w:r>
      <w:r>
        <w:rPr>
          <w:highlight w:val="none"/>
        </w:rPr>
        <w:instrText xml:space="preserve"> PAGEREF _Toc142051461 \h </w:instrText>
      </w:r>
      <w:r>
        <w:rPr>
          <w:highlight w:val="none"/>
        </w:rPr>
        <w:fldChar w:fldCharType="separate"/>
      </w:r>
      <w:r>
        <w:rPr>
          <w:highlight w:val="none"/>
        </w:rPr>
        <w:t>5</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"_Toc142051462" </w:instrText>
      </w:r>
      <w:r>
        <w:rPr>
          <w:highlight w:val="none"/>
        </w:rPr>
        <w:fldChar w:fldCharType="separate"/>
      </w:r>
      <w:r>
        <w:rPr>
          <w:rStyle w:val="48"/>
          <w:highlight w:val="none"/>
        </w:rPr>
        <w:t>2 供应商须知</w:t>
      </w:r>
      <w:r>
        <w:rPr>
          <w:highlight w:val="none"/>
        </w:rPr>
        <w:tab/>
      </w:r>
      <w:r>
        <w:rPr>
          <w:highlight w:val="none"/>
        </w:rPr>
        <w:fldChar w:fldCharType="begin"/>
      </w:r>
      <w:r>
        <w:rPr>
          <w:highlight w:val="none"/>
        </w:rPr>
        <w:instrText xml:space="preserve"> PAGEREF _Toc142051462 \h </w:instrText>
      </w:r>
      <w:r>
        <w:rPr>
          <w:highlight w:val="none"/>
        </w:rPr>
        <w:fldChar w:fldCharType="separate"/>
      </w:r>
      <w:r>
        <w:rPr>
          <w:highlight w:val="none"/>
        </w:rPr>
        <w:t>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"_Toc142051463" </w:instrText>
      </w:r>
      <w:r>
        <w:rPr>
          <w:highlight w:val="none"/>
        </w:rPr>
        <w:fldChar w:fldCharType="separate"/>
      </w:r>
      <w:r>
        <w:rPr>
          <w:rStyle w:val="48"/>
          <w:highlight w:val="none"/>
        </w:rPr>
        <w:t>2.1 总则</w:t>
      </w:r>
      <w:r>
        <w:rPr>
          <w:highlight w:val="none"/>
        </w:rPr>
        <w:tab/>
      </w:r>
      <w:r>
        <w:rPr>
          <w:highlight w:val="none"/>
        </w:rPr>
        <w:fldChar w:fldCharType="begin"/>
      </w:r>
      <w:r>
        <w:rPr>
          <w:highlight w:val="none"/>
        </w:rPr>
        <w:instrText xml:space="preserve"> PAGEREF _Toc142051463 \h </w:instrText>
      </w:r>
      <w:r>
        <w:rPr>
          <w:highlight w:val="none"/>
        </w:rPr>
        <w:fldChar w:fldCharType="separate"/>
      </w:r>
      <w:r>
        <w:rPr>
          <w:highlight w:val="none"/>
        </w:rPr>
        <w:t>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"_Toc142051464" </w:instrText>
      </w:r>
      <w:r>
        <w:rPr>
          <w:highlight w:val="none"/>
        </w:rPr>
        <w:fldChar w:fldCharType="separate"/>
      </w:r>
      <w:r>
        <w:rPr>
          <w:rStyle w:val="48"/>
          <w:highlight w:val="none"/>
        </w:rPr>
        <w:t>2.2 征集文件</w:t>
      </w:r>
      <w:r>
        <w:rPr>
          <w:highlight w:val="none"/>
        </w:rPr>
        <w:tab/>
      </w:r>
      <w:r>
        <w:rPr>
          <w:highlight w:val="none"/>
        </w:rPr>
        <w:fldChar w:fldCharType="begin"/>
      </w:r>
      <w:r>
        <w:rPr>
          <w:highlight w:val="none"/>
        </w:rPr>
        <w:instrText xml:space="preserve"> PAGEREF _Toc142051464 \h </w:instrText>
      </w:r>
      <w:r>
        <w:rPr>
          <w:highlight w:val="none"/>
        </w:rPr>
        <w:fldChar w:fldCharType="separate"/>
      </w:r>
      <w:r>
        <w:rPr>
          <w:highlight w:val="none"/>
        </w:rPr>
        <w:t>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"_Toc142051465" </w:instrText>
      </w:r>
      <w:r>
        <w:rPr>
          <w:highlight w:val="none"/>
        </w:rPr>
        <w:fldChar w:fldCharType="separate"/>
      </w:r>
      <w:r>
        <w:rPr>
          <w:rStyle w:val="48"/>
          <w:highlight w:val="none"/>
        </w:rPr>
        <w:t>2.3 响应文件的编制</w:t>
      </w:r>
      <w:r>
        <w:rPr>
          <w:highlight w:val="none"/>
        </w:rPr>
        <w:tab/>
      </w:r>
      <w:r>
        <w:rPr>
          <w:highlight w:val="none"/>
        </w:rPr>
        <w:fldChar w:fldCharType="begin"/>
      </w:r>
      <w:r>
        <w:rPr>
          <w:highlight w:val="none"/>
        </w:rPr>
        <w:instrText xml:space="preserve"> PAGEREF _Toc142051465 \h </w:instrText>
      </w:r>
      <w:r>
        <w:rPr>
          <w:highlight w:val="none"/>
        </w:rPr>
        <w:fldChar w:fldCharType="separate"/>
      </w:r>
      <w:r>
        <w:rPr>
          <w:highlight w:val="none"/>
        </w:rPr>
        <w:t>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"_Toc142051466" </w:instrText>
      </w:r>
      <w:r>
        <w:rPr>
          <w:highlight w:val="none"/>
        </w:rPr>
        <w:fldChar w:fldCharType="separate"/>
      </w:r>
      <w:r>
        <w:rPr>
          <w:rStyle w:val="48"/>
          <w:highlight w:val="none"/>
        </w:rPr>
        <w:t>2.4 响应文件的提交</w:t>
      </w:r>
      <w:r>
        <w:rPr>
          <w:highlight w:val="none"/>
        </w:rPr>
        <w:tab/>
      </w:r>
      <w:r>
        <w:rPr>
          <w:highlight w:val="none"/>
        </w:rPr>
        <w:fldChar w:fldCharType="begin"/>
      </w:r>
      <w:r>
        <w:rPr>
          <w:highlight w:val="none"/>
        </w:rPr>
        <w:instrText xml:space="preserve"> PAGEREF _Toc142051466 \h </w:instrText>
      </w:r>
      <w:r>
        <w:rPr>
          <w:highlight w:val="none"/>
        </w:rPr>
        <w:fldChar w:fldCharType="separate"/>
      </w:r>
      <w:r>
        <w:rPr>
          <w:highlight w:val="none"/>
        </w:rPr>
        <w:t>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"_Toc142051467" </w:instrText>
      </w:r>
      <w:r>
        <w:rPr>
          <w:highlight w:val="none"/>
        </w:rPr>
        <w:fldChar w:fldCharType="separate"/>
      </w:r>
      <w:r>
        <w:rPr>
          <w:rStyle w:val="48"/>
          <w:highlight w:val="none"/>
        </w:rPr>
        <w:t>2.5 询问、质疑、投诉</w:t>
      </w:r>
      <w:r>
        <w:rPr>
          <w:highlight w:val="none"/>
        </w:rPr>
        <w:tab/>
      </w:r>
      <w:r>
        <w:rPr>
          <w:highlight w:val="none"/>
        </w:rPr>
        <w:fldChar w:fldCharType="begin"/>
      </w:r>
      <w:r>
        <w:rPr>
          <w:highlight w:val="none"/>
        </w:rPr>
        <w:instrText xml:space="preserve"> PAGEREF _Toc142051467 \h </w:instrText>
      </w:r>
      <w:r>
        <w:rPr>
          <w:highlight w:val="none"/>
        </w:rPr>
        <w:fldChar w:fldCharType="separate"/>
      </w:r>
      <w:r>
        <w:rPr>
          <w:highlight w:val="none"/>
        </w:rPr>
        <w:t>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"_Toc142051468" </w:instrText>
      </w:r>
      <w:r>
        <w:rPr>
          <w:highlight w:val="none"/>
        </w:rPr>
        <w:fldChar w:fldCharType="separate"/>
      </w:r>
      <w:r>
        <w:rPr>
          <w:rStyle w:val="48"/>
          <w:highlight w:val="none"/>
        </w:rPr>
        <w:t>2.6 有关政策</w:t>
      </w:r>
      <w:r>
        <w:rPr>
          <w:highlight w:val="none"/>
        </w:rPr>
        <w:tab/>
      </w:r>
      <w:r>
        <w:rPr>
          <w:highlight w:val="none"/>
        </w:rPr>
        <w:fldChar w:fldCharType="begin"/>
      </w:r>
      <w:r>
        <w:rPr>
          <w:highlight w:val="none"/>
        </w:rPr>
        <w:instrText xml:space="preserve"> PAGEREF _Toc142051468 \h </w:instrText>
      </w:r>
      <w:r>
        <w:rPr>
          <w:highlight w:val="none"/>
        </w:rPr>
        <w:fldChar w:fldCharType="separate"/>
      </w:r>
      <w:r>
        <w:rPr>
          <w:highlight w:val="none"/>
        </w:rPr>
        <w:t>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"_Toc142051469" </w:instrText>
      </w:r>
      <w:r>
        <w:rPr>
          <w:highlight w:val="none"/>
        </w:rPr>
        <w:fldChar w:fldCharType="separate"/>
      </w:r>
      <w:r>
        <w:rPr>
          <w:rStyle w:val="48"/>
          <w:highlight w:val="none"/>
        </w:rPr>
        <w:t>2.7 保密义务和信息披露</w:t>
      </w:r>
      <w:r>
        <w:rPr>
          <w:highlight w:val="none"/>
        </w:rPr>
        <w:tab/>
      </w:r>
      <w:r>
        <w:rPr>
          <w:highlight w:val="none"/>
        </w:rPr>
        <w:fldChar w:fldCharType="begin"/>
      </w:r>
      <w:r>
        <w:rPr>
          <w:highlight w:val="none"/>
        </w:rPr>
        <w:instrText xml:space="preserve"> PAGEREF _Toc142051469 \h </w:instrText>
      </w:r>
      <w:r>
        <w:rPr>
          <w:highlight w:val="none"/>
        </w:rPr>
        <w:fldChar w:fldCharType="separate"/>
      </w:r>
      <w:r>
        <w:rPr>
          <w:highlight w:val="none"/>
        </w:rPr>
        <w:t>9</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"_Toc142051470" </w:instrText>
      </w:r>
      <w:r>
        <w:rPr>
          <w:highlight w:val="none"/>
        </w:rPr>
        <w:fldChar w:fldCharType="separate"/>
      </w:r>
      <w:r>
        <w:rPr>
          <w:rStyle w:val="48"/>
          <w:highlight w:val="none"/>
        </w:rPr>
        <w:t>3 响应文件编制的说明与要求</w:t>
      </w:r>
      <w:r>
        <w:rPr>
          <w:highlight w:val="none"/>
        </w:rPr>
        <w:tab/>
      </w:r>
      <w:r>
        <w:rPr>
          <w:highlight w:val="none"/>
        </w:rPr>
        <w:fldChar w:fldCharType="begin"/>
      </w:r>
      <w:r>
        <w:rPr>
          <w:highlight w:val="none"/>
        </w:rPr>
        <w:instrText xml:space="preserve"> PAGEREF _Toc142051470 \h </w:instrText>
      </w:r>
      <w:r>
        <w:rPr>
          <w:highlight w:val="none"/>
        </w:rPr>
        <w:fldChar w:fldCharType="separate"/>
      </w:r>
      <w:r>
        <w:rPr>
          <w:highlight w:val="none"/>
        </w:rPr>
        <w:t>11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"_Toc142051471" </w:instrText>
      </w:r>
      <w:r>
        <w:rPr>
          <w:highlight w:val="none"/>
        </w:rPr>
        <w:fldChar w:fldCharType="separate"/>
      </w:r>
      <w:r>
        <w:rPr>
          <w:rStyle w:val="48"/>
          <w:highlight w:val="none"/>
          <w:lang w:val="en-US"/>
        </w:rPr>
        <w:t>3.1</w:t>
      </w:r>
      <w:r>
        <w:rPr>
          <w:rStyle w:val="48"/>
          <w:highlight w:val="none"/>
        </w:rPr>
        <w:t xml:space="preserve"> 供应商的说明与要求</w:t>
      </w:r>
      <w:r>
        <w:rPr>
          <w:highlight w:val="none"/>
        </w:rPr>
        <w:tab/>
      </w:r>
      <w:r>
        <w:rPr>
          <w:highlight w:val="none"/>
        </w:rPr>
        <w:fldChar w:fldCharType="begin"/>
      </w:r>
      <w:r>
        <w:rPr>
          <w:highlight w:val="none"/>
        </w:rPr>
        <w:instrText xml:space="preserve"> PAGEREF _Toc142051471 \h </w:instrText>
      </w:r>
      <w:r>
        <w:rPr>
          <w:highlight w:val="none"/>
        </w:rPr>
        <w:fldChar w:fldCharType="separate"/>
      </w:r>
      <w:r>
        <w:rPr>
          <w:highlight w:val="none"/>
        </w:rPr>
        <w:t>11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"_Toc142051472" </w:instrText>
      </w:r>
      <w:r>
        <w:rPr>
          <w:highlight w:val="none"/>
        </w:rPr>
        <w:fldChar w:fldCharType="separate"/>
      </w:r>
      <w:r>
        <w:rPr>
          <w:rStyle w:val="48"/>
          <w:highlight w:val="none"/>
        </w:rPr>
        <w:t>3.2 产品的说明与要求</w:t>
      </w:r>
      <w:r>
        <w:rPr>
          <w:highlight w:val="none"/>
        </w:rPr>
        <w:tab/>
      </w:r>
      <w:r>
        <w:rPr>
          <w:highlight w:val="none"/>
        </w:rPr>
        <w:fldChar w:fldCharType="begin"/>
      </w:r>
      <w:r>
        <w:rPr>
          <w:highlight w:val="none"/>
        </w:rPr>
        <w:instrText xml:space="preserve"> PAGEREF _Toc142051472 \h </w:instrText>
      </w:r>
      <w:r>
        <w:rPr>
          <w:highlight w:val="none"/>
        </w:rPr>
        <w:fldChar w:fldCharType="separate"/>
      </w:r>
      <w:r>
        <w:rPr>
          <w:highlight w:val="none"/>
        </w:rPr>
        <w:t>11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"_Toc142051473" </w:instrText>
      </w:r>
      <w:r>
        <w:rPr>
          <w:highlight w:val="none"/>
        </w:rPr>
        <w:fldChar w:fldCharType="separate"/>
      </w:r>
      <w:r>
        <w:rPr>
          <w:rStyle w:val="48"/>
          <w:highlight w:val="none"/>
        </w:rPr>
        <w:t>3.3 响应文件的组成</w:t>
      </w:r>
      <w:r>
        <w:rPr>
          <w:highlight w:val="none"/>
        </w:rPr>
        <w:tab/>
      </w:r>
      <w:r>
        <w:rPr>
          <w:highlight w:val="none"/>
        </w:rPr>
        <w:fldChar w:fldCharType="begin"/>
      </w:r>
      <w:r>
        <w:rPr>
          <w:highlight w:val="none"/>
        </w:rPr>
        <w:instrText xml:space="preserve"> PAGEREF _Toc142051473 \h </w:instrText>
      </w:r>
      <w:r>
        <w:rPr>
          <w:highlight w:val="none"/>
        </w:rPr>
        <w:fldChar w:fldCharType="separate"/>
      </w:r>
      <w:r>
        <w:rPr>
          <w:highlight w:val="none"/>
        </w:rPr>
        <w:t>12</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"_Toc142051474" </w:instrText>
      </w:r>
      <w:r>
        <w:rPr>
          <w:highlight w:val="none"/>
        </w:rPr>
        <w:fldChar w:fldCharType="separate"/>
      </w:r>
      <w:r>
        <w:rPr>
          <w:rStyle w:val="48"/>
          <w:highlight w:val="none"/>
        </w:rPr>
        <w:t>4 评审与入围</w:t>
      </w:r>
      <w:r>
        <w:rPr>
          <w:highlight w:val="none"/>
        </w:rPr>
        <w:tab/>
      </w:r>
      <w:r>
        <w:rPr>
          <w:highlight w:val="none"/>
        </w:rPr>
        <w:fldChar w:fldCharType="begin"/>
      </w:r>
      <w:r>
        <w:rPr>
          <w:highlight w:val="none"/>
        </w:rPr>
        <w:instrText xml:space="preserve"> PAGEREF _Toc142051474 \h </w:instrText>
      </w:r>
      <w:r>
        <w:rPr>
          <w:highlight w:val="none"/>
        </w:rPr>
        <w:fldChar w:fldCharType="separate"/>
      </w:r>
      <w:r>
        <w:rPr>
          <w:highlight w:val="none"/>
        </w:rPr>
        <w:t>14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"_Toc142051475" </w:instrText>
      </w:r>
      <w:r>
        <w:rPr>
          <w:highlight w:val="none"/>
        </w:rPr>
        <w:fldChar w:fldCharType="separate"/>
      </w:r>
      <w:r>
        <w:rPr>
          <w:rStyle w:val="48"/>
          <w:highlight w:val="none"/>
        </w:rPr>
        <w:t>4.1 评审与入围流程</w:t>
      </w:r>
      <w:r>
        <w:rPr>
          <w:highlight w:val="none"/>
        </w:rPr>
        <w:tab/>
      </w:r>
      <w:r>
        <w:rPr>
          <w:highlight w:val="none"/>
        </w:rPr>
        <w:fldChar w:fldCharType="begin"/>
      </w:r>
      <w:r>
        <w:rPr>
          <w:highlight w:val="none"/>
        </w:rPr>
        <w:instrText xml:space="preserve"> PAGEREF _Toc142051475 \h </w:instrText>
      </w:r>
      <w:r>
        <w:rPr>
          <w:highlight w:val="none"/>
        </w:rPr>
        <w:fldChar w:fldCharType="separate"/>
      </w:r>
      <w:r>
        <w:rPr>
          <w:highlight w:val="none"/>
        </w:rPr>
        <w:t>14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"_Toc142051476" </w:instrText>
      </w:r>
      <w:r>
        <w:rPr>
          <w:highlight w:val="none"/>
        </w:rPr>
        <w:fldChar w:fldCharType="separate"/>
      </w:r>
      <w:r>
        <w:rPr>
          <w:rStyle w:val="48"/>
          <w:highlight w:val="none"/>
        </w:rPr>
        <w:t>4.2 资格审查和初步评审</w:t>
      </w:r>
      <w:r>
        <w:rPr>
          <w:highlight w:val="none"/>
        </w:rPr>
        <w:tab/>
      </w:r>
      <w:r>
        <w:rPr>
          <w:highlight w:val="none"/>
        </w:rPr>
        <w:fldChar w:fldCharType="begin"/>
      </w:r>
      <w:r>
        <w:rPr>
          <w:highlight w:val="none"/>
        </w:rPr>
        <w:instrText xml:space="preserve"> PAGEREF _Toc142051476 \h </w:instrText>
      </w:r>
      <w:r>
        <w:rPr>
          <w:highlight w:val="none"/>
        </w:rPr>
        <w:fldChar w:fldCharType="separate"/>
      </w:r>
      <w:r>
        <w:rPr>
          <w:highlight w:val="none"/>
        </w:rPr>
        <w:t>16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"_Toc142051477" </w:instrText>
      </w:r>
      <w:r>
        <w:rPr>
          <w:highlight w:val="none"/>
        </w:rPr>
        <w:fldChar w:fldCharType="separate"/>
      </w:r>
      <w:r>
        <w:rPr>
          <w:rStyle w:val="48"/>
          <w:highlight w:val="none"/>
        </w:rPr>
        <w:t>4.3</w:t>
      </w:r>
      <w:r>
        <w:rPr>
          <w:rStyle w:val="48"/>
          <w:highlight w:val="none"/>
          <w:lang w:val="en-US"/>
        </w:rPr>
        <w:t xml:space="preserve"> 详细评审</w:t>
      </w:r>
      <w:r>
        <w:rPr>
          <w:highlight w:val="none"/>
        </w:rPr>
        <w:tab/>
      </w:r>
      <w:r>
        <w:rPr>
          <w:highlight w:val="none"/>
        </w:rPr>
        <w:fldChar w:fldCharType="begin"/>
      </w:r>
      <w:r>
        <w:rPr>
          <w:highlight w:val="none"/>
        </w:rPr>
        <w:instrText xml:space="preserve"> PAGEREF _Toc142051477 \h </w:instrText>
      </w:r>
      <w:r>
        <w:rPr>
          <w:highlight w:val="none"/>
        </w:rPr>
        <w:fldChar w:fldCharType="separate"/>
      </w:r>
      <w:r>
        <w:rPr>
          <w:highlight w:val="none"/>
        </w:rPr>
        <w:t>20</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"_Toc142051478" </w:instrText>
      </w:r>
      <w:r>
        <w:rPr>
          <w:highlight w:val="none"/>
        </w:rPr>
        <w:fldChar w:fldCharType="separate"/>
      </w:r>
      <w:r>
        <w:rPr>
          <w:rStyle w:val="48"/>
          <w:highlight w:val="none"/>
        </w:rPr>
        <w:t>5 附件</w:t>
      </w:r>
      <w:r>
        <w:rPr>
          <w:highlight w:val="none"/>
        </w:rPr>
        <w:tab/>
      </w:r>
      <w:r>
        <w:rPr>
          <w:highlight w:val="none"/>
        </w:rPr>
        <w:fldChar w:fldCharType="begin"/>
      </w:r>
      <w:r>
        <w:rPr>
          <w:highlight w:val="none"/>
        </w:rPr>
        <w:instrText xml:space="preserve"> PAGEREF _Toc142051478 \h </w:instrText>
      </w:r>
      <w:r>
        <w:rPr>
          <w:highlight w:val="none"/>
        </w:rPr>
        <w:fldChar w:fldCharType="separate"/>
      </w:r>
      <w:r>
        <w:rPr>
          <w:highlight w:val="none"/>
        </w:rPr>
        <w:t>21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"_Toc142051479" </w:instrText>
      </w:r>
      <w:r>
        <w:rPr>
          <w:highlight w:val="none"/>
        </w:rPr>
        <w:fldChar w:fldCharType="separate"/>
      </w:r>
      <w:r>
        <w:rPr>
          <w:rStyle w:val="48"/>
          <w:highlight w:val="none"/>
        </w:rPr>
        <w:t>5.1 框架协议</w:t>
      </w:r>
      <w:r>
        <w:rPr>
          <w:highlight w:val="none"/>
        </w:rPr>
        <w:tab/>
      </w:r>
      <w:r>
        <w:rPr>
          <w:highlight w:val="none"/>
        </w:rPr>
        <w:fldChar w:fldCharType="begin"/>
      </w:r>
      <w:r>
        <w:rPr>
          <w:highlight w:val="none"/>
        </w:rPr>
        <w:instrText xml:space="preserve"> PAGEREF _Toc142051479 \h </w:instrText>
      </w:r>
      <w:r>
        <w:rPr>
          <w:highlight w:val="none"/>
        </w:rPr>
        <w:fldChar w:fldCharType="separate"/>
      </w:r>
      <w:r>
        <w:rPr>
          <w:highlight w:val="none"/>
        </w:rPr>
        <w:t>22</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"_Toc142051480" </w:instrText>
      </w:r>
      <w:r>
        <w:rPr>
          <w:highlight w:val="none"/>
        </w:rPr>
        <w:fldChar w:fldCharType="separate"/>
      </w:r>
      <w:r>
        <w:rPr>
          <w:rStyle w:val="48"/>
          <w:highlight w:val="none"/>
        </w:rPr>
        <w:t>5.2 采购合同</w:t>
      </w:r>
      <w:r>
        <w:rPr>
          <w:highlight w:val="none"/>
        </w:rPr>
        <w:tab/>
      </w:r>
      <w:r>
        <w:rPr>
          <w:highlight w:val="none"/>
        </w:rPr>
        <w:fldChar w:fldCharType="begin"/>
      </w:r>
      <w:r>
        <w:rPr>
          <w:highlight w:val="none"/>
        </w:rPr>
        <w:instrText xml:space="preserve"> PAGEREF _Toc142051480 \h </w:instrText>
      </w:r>
      <w:r>
        <w:rPr>
          <w:highlight w:val="none"/>
        </w:rPr>
        <w:fldChar w:fldCharType="separate"/>
      </w:r>
      <w:r>
        <w:rPr>
          <w:highlight w:val="none"/>
        </w:rPr>
        <w:t>30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"_Toc142051481" </w:instrText>
      </w:r>
      <w:r>
        <w:rPr>
          <w:highlight w:val="none"/>
        </w:rPr>
        <w:fldChar w:fldCharType="separate"/>
      </w:r>
      <w:r>
        <w:rPr>
          <w:rStyle w:val="48"/>
          <w:highlight w:val="none"/>
        </w:rPr>
        <w:t>5.3 *承诺函</w:t>
      </w:r>
      <w:r>
        <w:rPr>
          <w:highlight w:val="none"/>
        </w:rPr>
        <w:tab/>
      </w:r>
      <w:r>
        <w:rPr>
          <w:highlight w:val="none"/>
        </w:rPr>
        <w:fldChar w:fldCharType="begin"/>
      </w:r>
      <w:r>
        <w:rPr>
          <w:highlight w:val="none"/>
        </w:rPr>
        <w:instrText xml:space="preserve"> PAGEREF _Toc142051481 \h </w:instrText>
      </w:r>
      <w:r>
        <w:rPr>
          <w:highlight w:val="none"/>
        </w:rPr>
        <w:fldChar w:fldCharType="separate"/>
      </w:r>
      <w:r>
        <w:rPr>
          <w:highlight w:val="none"/>
        </w:rPr>
        <w:t>39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"_Toc142051482" </w:instrText>
      </w:r>
      <w:r>
        <w:rPr>
          <w:highlight w:val="none"/>
        </w:rPr>
        <w:fldChar w:fldCharType="separate"/>
      </w:r>
      <w:r>
        <w:rPr>
          <w:rStyle w:val="48"/>
          <w:highlight w:val="none"/>
        </w:rPr>
        <w:t>5.4 *法定代表人授权委托书</w:t>
      </w:r>
      <w:r>
        <w:rPr>
          <w:highlight w:val="none"/>
        </w:rPr>
        <w:tab/>
      </w:r>
      <w:r>
        <w:rPr>
          <w:highlight w:val="none"/>
        </w:rPr>
        <w:fldChar w:fldCharType="begin"/>
      </w:r>
      <w:r>
        <w:rPr>
          <w:highlight w:val="none"/>
        </w:rPr>
        <w:instrText xml:space="preserve"> PAGEREF _Toc142051482 \h </w:instrText>
      </w:r>
      <w:r>
        <w:rPr>
          <w:highlight w:val="none"/>
        </w:rPr>
        <w:fldChar w:fldCharType="separate"/>
      </w:r>
      <w:r>
        <w:rPr>
          <w:highlight w:val="none"/>
        </w:rPr>
        <w:t>40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"_Toc142051483" </w:instrText>
      </w:r>
      <w:r>
        <w:rPr>
          <w:highlight w:val="none"/>
        </w:rPr>
        <w:fldChar w:fldCharType="separate"/>
      </w:r>
      <w:r>
        <w:rPr>
          <w:rStyle w:val="48"/>
          <w:highlight w:val="none"/>
        </w:rPr>
        <w:t>5.5 *生产制造企业承诺函</w:t>
      </w:r>
      <w:r>
        <w:rPr>
          <w:highlight w:val="none"/>
        </w:rPr>
        <w:tab/>
      </w:r>
      <w:r>
        <w:rPr>
          <w:highlight w:val="none"/>
        </w:rPr>
        <w:fldChar w:fldCharType="begin"/>
      </w:r>
      <w:r>
        <w:rPr>
          <w:highlight w:val="none"/>
        </w:rPr>
        <w:instrText xml:space="preserve"> PAGEREF _Toc142051483 \h </w:instrText>
      </w:r>
      <w:r>
        <w:rPr>
          <w:highlight w:val="none"/>
        </w:rPr>
        <w:fldChar w:fldCharType="separate"/>
      </w:r>
      <w:r>
        <w:rPr>
          <w:highlight w:val="none"/>
        </w:rPr>
        <w:t>40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"_Toc142051484" </w:instrText>
      </w:r>
      <w:r>
        <w:rPr>
          <w:highlight w:val="none"/>
        </w:rPr>
        <w:fldChar w:fldCharType="separate"/>
      </w:r>
      <w:r>
        <w:rPr>
          <w:rStyle w:val="48"/>
          <w:highlight w:val="none"/>
        </w:rPr>
        <w:t>5.6 *研发设计企业承诺函</w:t>
      </w:r>
      <w:r>
        <w:rPr>
          <w:highlight w:val="none"/>
        </w:rPr>
        <w:tab/>
      </w:r>
      <w:r>
        <w:rPr>
          <w:highlight w:val="none"/>
        </w:rPr>
        <w:fldChar w:fldCharType="begin"/>
      </w:r>
      <w:r>
        <w:rPr>
          <w:highlight w:val="none"/>
        </w:rPr>
        <w:instrText xml:space="preserve"> PAGEREF _Toc142051484 \h </w:instrText>
      </w:r>
      <w:r>
        <w:rPr>
          <w:highlight w:val="none"/>
        </w:rPr>
        <w:fldChar w:fldCharType="separate"/>
      </w:r>
      <w:r>
        <w:rPr>
          <w:highlight w:val="none"/>
        </w:rPr>
        <w:t>41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"_Toc142051485" </w:instrText>
      </w:r>
      <w:r>
        <w:rPr>
          <w:highlight w:val="none"/>
        </w:rPr>
        <w:fldChar w:fldCharType="separate"/>
      </w:r>
      <w:r>
        <w:rPr>
          <w:rStyle w:val="48"/>
          <w:highlight w:val="none"/>
        </w:rPr>
        <w:t>5.7 *报价一览表</w:t>
      </w:r>
      <w:r>
        <w:rPr>
          <w:highlight w:val="none"/>
        </w:rPr>
        <w:tab/>
      </w:r>
      <w:r>
        <w:rPr>
          <w:highlight w:val="none"/>
        </w:rPr>
        <w:fldChar w:fldCharType="begin"/>
      </w:r>
      <w:r>
        <w:rPr>
          <w:highlight w:val="none"/>
        </w:rPr>
        <w:instrText xml:space="preserve"> PAGEREF _Toc142051485 \h </w:instrText>
      </w:r>
      <w:r>
        <w:rPr>
          <w:highlight w:val="none"/>
        </w:rPr>
        <w:fldChar w:fldCharType="separate"/>
      </w:r>
      <w:r>
        <w:rPr>
          <w:highlight w:val="none"/>
        </w:rPr>
        <w:t>41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"_Toc142051486" </w:instrText>
      </w:r>
      <w:r>
        <w:rPr>
          <w:highlight w:val="none"/>
        </w:rPr>
        <w:fldChar w:fldCharType="separate"/>
      </w:r>
      <w:r>
        <w:rPr>
          <w:rStyle w:val="48"/>
          <w:highlight w:val="none"/>
          <w:lang w:val="en-US"/>
        </w:rPr>
        <w:t>5.8</w:t>
      </w:r>
      <w:r>
        <w:rPr>
          <w:rStyle w:val="48"/>
          <w:highlight w:val="none"/>
        </w:rPr>
        <w:t xml:space="preserve"> *产品技术规范偏离表</w:t>
      </w:r>
      <w:r>
        <w:rPr>
          <w:highlight w:val="none"/>
        </w:rPr>
        <w:tab/>
      </w:r>
      <w:r>
        <w:rPr>
          <w:highlight w:val="none"/>
        </w:rPr>
        <w:fldChar w:fldCharType="begin"/>
      </w:r>
      <w:r>
        <w:rPr>
          <w:highlight w:val="none"/>
        </w:rPr>
        <w:instrText xml:space="preserve"> PAGEREF _Toc142051486 \h </w:instrText>
      </w:r>
      <w:r>
        <w:rPr>
          <w:highlight w:val="none"/>
        </w:rPr>
        <w:fldChar w:fldCharType="separate"/>
      </w:r>
      <w:r>
        <w:rPr>
          <w:highlight w:val="none"/>
        </w:rPr>
        <w:t>42</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"_Toc142051487" </w:instrText>
      </w:r>
      <w:r>
        <w:rPr>
          <w:highlight w:val="none"/>
        </w:rPr>
        <w:fldChar w:fldCharType="separate"/>
      </w:r>
      <w:r>
        <w:rPr>
          <w:rStyle w:val="48"/>
          <w:highlight w:val="none"/>
        </w:rPr>
        <w:t>5.9 *服务文件</w:t>
      </w:r>
      <w:r>
        <w:rPr>
          <w:highlight w:val="none"/>
        </w:rPr>
        <w:tab/>
      </w:r>
      <w:r>
        <w:rPr>
          <w:highlight w:val="none"/>
        </w:rPr>
        <w:fldChar w:fldCharType="begin"/>
      </w:r>
      <w:r>
        <w:rPr>
          <w:highlight w:val="none"/>
        </w:rPr>
        <w:instrText xml:space="preserve"> PAGEREF _Toc142051487 \h </w:instrText>
      </w:r>
      <w:r>
        <w:rPr>
          <w:highlight w:val="none"/>
        </w:rPr>
        <w:fldChar w:fldCharType="separate"/>
      </w:r>
      <w:r>
        <w:rPr>
          <w:highlight w:val="none"/>
        </w:rPr>
        <w:t>42</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"_Toc142051488" </w:instrText>
      </w:r>
      <w:r>
        <w:rPr>
          <w:highlight w:val="none"/>
        </w:rPr>
        <w:fldChar w:fldCharType="separate"/>
      </w:r>
      <w:r>
        <w:rPr>
          <w:rStyle w:val="48"/>
          <w:highlight w:val="none"/>
        </w:rPr>
        <w:t>5.10 中小企业声明函</w:t>
      </w:r>
      <w:r>
        <w:rPr>
          <w:highlight w:val="none"/>
        </w:rPr>
        <w:tab/>
      </w:r>
      <w:r>
        <w:rPr>
          <w:highlight w:val="none"/>
        </w:rPr>
        <w:fldChar w:fldCharType="begin"/>
      </w:r>
      <w:r>
        <w:rPr>
          <w:highlight w:val="none"/>
        </w:rPr>
        <w:instrText xml:space="preserve"> PAGEREF _Toc142051488 \h </w:instrText>
      </w:r>
      <w:r>
        <w:rPr>
          <w:highlight w:val="none"/>
        </w:rPr>
        <w:fldChar w:fldCharType="separate"/>
      </w:r>
      <w:r>
        <w:rPr>
          <w:highlight w:val="none"/>
        </w:rPr>
        <w:t>45</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"_Toc142051489" </w:instrText>
      </w:r>
      <w:r>
        <w:rPr>
          <w:highlight w:val="none"/>
        </w:rPr>
        <w:fldChar w:fldCharType="separate"/>
      </w:r>
      <w:r>
        <w:rPr>
          <w:rStyle w:val="48"/>
          <w:highlight w:val="none"/>
        </w:rPr>
        <w:t>5.11 残疾人福利性单位声明函</w:t>
      </w:r>
      <w:r>
        <w:rPr>
          <w:highlight w:val="none"/>
        </w:rPr>
        <w:tab/>
      </w:r>
      <w:r>
        <w:rPr>
          <w:highlight w:val="none"/>
        </w:rPr>
        <w:fldChar w:fldCharType="begin"/>
      </w:r>
      <w:r>
        <w:rPr>
          <w:highlight w:val="none"/>
        </w:rPr>
        <w:instrText xml:space="preserve"> PAGEREF _Toc142051489 \h </w:instrText>
      </w:r>
      <w:r>
        <w:rPr>
          <w:highlight w:val="none"/>
        </w:rPr>
        <w:fldChar w:fldCharType="separate"/>
      </w:r>
      <w:r>
        <w:rPr>
          <w:highlight w:val="none"/>
        </w:rPr>
        <w:t>45</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"_Toc142051490" </w:instrText>
      </w:r>
      <w:r>
        <w:rPr>
          <w:highlight w:val="none"/>
        </w:rPr>
        <w:fldChar w:fldCharType="separate"/>
      </w:r>
      <w:r>
        <w:rPr>
          <w:rStyle w:val="48"/>
          <w:highlight w:val="none"/>
        </w:rPr>
        <w:t>5.12 报名函</w:t>
      </w:r>
      <w:r>
        <w:rPr>
          <w:highlight w:val="none"/>
        </w:rPr>
        <w:tab/>
      </w:r>
      <w:r>
        <w:rPr>
          <w:highlight w:val="none"/>
        </w:rPr>
        <w:fldChar w:fldCharType="begin"/>
      </w:r>
      <w:r>
        <w:rPr>
          <w:highlight w:val="none"/>
        </w:rPr>
        <w:instrText xml:space="preserve"> PAGEREF _Toc142051490 \h </w:instrText>
      </w:r>
      <w:r>
        <w:rPr>
          <w:highlight w:val="none"/>
        </w:rPr>
        <w:fldChar w:fldCharType="separate"/>
      </w:r>
      <w:r>
        <w:rPr>
          <w:highlight w:val="none"/>
        </w:rPr>
        <w:t>45</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"_Toc142051491" </w:instrText>
      </w:r>
      <w:r>
        <w:rPr>
          <w:highlight w:val="none"/>
        </w:rPr>
        <w:fldChar w:fldCharType="separate"/>
      </w:r>
      <w:r>
        <w:rPr>
          <w:rStyle w:val="48"/>
          <w:highlight w:val="none"/>
        </w:rPr>
        <w:t>6 政府采购一体化平台操作手册</w:t>
      </w:r>
      <w:r>
        <w:rPr>
          <w:highlight w:val="none"/>
        </w:rPr>
        <w:tab/>
      </w:r>
      <w:r>
        <w:rPr>
          <w:highlight w:val="none"/>
        </w:rPr>
        <w:fldChar w:fldCharType="begin"/>
      </w:r>
      <w:r>
        <w:rPr>
          <w:highlight w:val="none"/>
        </w:rPr>
        <w:instrText xml:space="preserve"> PAGEREF _Toc142051491 \h </w:instrText>
      </w:r>
      <w:r>
        <w:rPr>
          <w:highlight w:val="none"/>
        </w:rPr>
        <w:fldChar w:fldCharType="separate"/>
      </w:r>
      <w:r>
        <w:rPr>
          <w:highlight w:val="none"/>
        </w:rPr>
        <w:t>47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"_Toc142051492" </w:instrText>
      </w:r>
      <w:r>
        <w:rPr>
          <w:highlight w:val="none"/>
        </w:rPr>
        <w:fldChar w:fldCharType="separate"/>
      </w:r>
      <w:r>
        <w:rPr>
          <w:rStyle w:val="48"/>
          <w:highlight w:val="none"/>
          <w:lang w:val="en-US"/>
        </w:rPr>
        <w:t>6.1 供应商注册入驻操作指南</w:t>
      </w:r>
      <w:r>
        <w:rPr>
          <w:highlight w:val="none"/>
        </w:rPr>
        <w:tab/>
      </w:r>
      <w:r>
        <w:rPr>
          <w:highlight w:val="none"/>
        </w:rPr>
        <w:fldChar w:fldCharType="begin"/>
      </w:r>
      <w:r>
        <w:rPr>
          <w:highlight w:val="none"/>
        </w:rPr>
        <w:instrText xml:space="preserve"> PAGEREF _Toc142051492 \h </w:instrText>
      </w:r>
      <w:r>
        <w:rPr>
          <w:highlight w:val="none"/>
        </w:rPr>
        <w:fldChar w:fldCharType="separate"/>
      </w:r>
      <w:r>
        <w:rPr>
          <w:highlight w:val="none"/>
        </w:rPr>
        <w:t>47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"_Toc142051493" </w:instrText>
      </w:r>
      <w:r>
        <w:rPr>
          <w:highlight w:val="none"/>
        </w:rPr>
        <w:fldChar w:fldCharType="separate"/>
      </w:r>
      <w:r>
        <w:rPr>
          <w:rStyle w:val="48"/>
          <w:highlight w:val="none"/>
        </w:rPr>
        <w:t>6.2</w:t>
      </w:r>
      <w:r>
        <w:rPr>
          <w:rStyle w:val="48"/>
          <w:highlight w:val="none"/>
          <w:lang w:val="en-US"/>
        </w:rPr>
        <w:t xml:space="preserve"> 供应商系统登录及电子签章使用操作指南</w:t>
      </w:r>
      <w:r>
        <w:rPr>
          <w:highlight w:val="none"/>
        </w:rPr>
        <w:tab/>
      </w:r>
      <w:r>
        <w:rPr>
          <w:highlight w:val="none"/>
        </w:rPr>
        <w:fldChar w:fldCharType="begin"/>
      </w:r>
      <w:r>
        <w:rPr>
          <w:highlight w:val="none"/>
        </w:rPr>
        <w:instrText xml:space="preserve"> PAGEREF _Toc142051493 \h </w:instrText>
      </w:r>
      <w:r>
        <w:rPr>
          <w:highlight w:val="none"/>
        </w:rPr>
        <w:fldChar w:fldCharType="separate"/>
      </w:r>
      <w:r>
        <w:rPr>
          <w:highlight w:val="none"/>
        </w:rPr>
        <w:t>49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"_Toc142051494" </w:instrText>
      </w:r>
      <w:r>
        <w:rPr>
          <w:highlight w:val="none"/>
        </w:rPr>
        <w:fldChar w:fldCharType="separate"/>
      </w:r>
      <w:r>
        <w:rPr>
          <w:rStyle w:val="48"/>
          <w:highlight w:val="none"/>
          <w:lang w:val="en-US"/>
        </w:rPr>
        <w:t>6.3 供应商系统投报操作指南</w:t>
      </w:r>
      <w:r>
        <w:rPr>
          <w:highlight w:val="none"/>
        </w:rPr>
        <w:tab/>
      </w:r>
      <w:r>
        <w:rPr>
          <w:highlight w:val="none"/>
        </w:rPr>
        <w:fldChar w:fldCharType="begin"/>
      </w:r>
      <w:r>
        <w:rPr>
          <w:highlight w:val="none"/>
        </w:rPr>
        <w:instrText xml:space="preserve"> PAGEREF _Toc142051494 \h </w:instrText>
      </w:r>
      <w:r>
        <w:rPr>
          <w:highlight w:val="none"/>
        </w:rPr>
        <w:fldChar w:fldCharType="separate"/>
      </w:r>
      <w:r>
        <w:rPr>
          <w:highlight w:val="none"/>
        </w:rPr>
        <w:t>57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"_Toc142051495" </w:instrText>
      </w:r>
      <w:r>
        <w:rPr>
          <w:highlight w:val="none"/>
        </w:rPr>
        <w:fldChar w:fldCharType="separate"/>
      </w:r>
      <w:r>
        <w:rPr>
          <w:rStyle w:val="48"/>
          <w:highlight w:val="none"/>
          <w:lang w:val="en-US"/>
        </w:rPr>
        <w:t>6.4 供应商系统签到、解密及唱标操作指南</w:t>
      </w:r>
      <w:r>
        <w:rPr>
          <w:highlight w:val="none"/>
        </w:rPr>
        <w:tab/>
      </w:r>
      <w:r>
        <w:rPr>
          <w:highlight w:val="none"/>
        </w:rPr>
        <w:fldChar w:fldCharType="begin"/>
      </w:r>
      <w:r>
        <w:rPr>
          <w:highlight w:val="none"/>
        </w:rPr>
        <w:instrText xml:space="preserve"> PAGEREF _Toc142051495 \h </w:instrText>
      </w:r>
      <w:r>
        <w:rPr>
          <w:highlight w:val="none"/>
        </w:rPr>
        <w:fldChar w:fldCharType="separate"/>
      </w:r>
      <w:r>
        <w:rPr>
          <w:highlight w:val="none"/>
        </w:rPr>
        <w:t>61</w:t>
      </w:r>
      <w:r>
        <w:rPr>
          <w:highlight w:val="none"/>
        </w:rPr>
        <w:fldChar w:fldCharType="end"/>
      </w:r>
      <w:r>
        <w:rPr>
          <w:highlight w:val="none"/>
        </w:rPr>
        <w:fldChar w:fldCharType="end"/>
      </w:r>
    </w:p>
    <w:p>
      <w:pPr>
        <w:widowControl w:val="0"/>
        <w:tabs>
          <w:tab w:val="left" w:pos="0"/>
        </w:tabs>
        <w:spacing w:before="240" w:beforeLines="100" w:line="360" w:lineRule="auto"/>
        <w:jc w:val="center"/>
        <w:rPr>
          <w:szCs w:val="21"/>
          <w:highlight w:val="none"/>
        </w:rPr>
        <w:sectPr>
          <w:headerReference r:id="rId8" w:type="default"/>
          <w:footerReference r:id="rId9" w:type="default"/>
          <w:type w:val="continuous"/>
          <w:pgSz w:w="11907" w:h="16839"/>
          <w:pgMar w:top="1928" w:right="1531" w:bottom="1871" w:left="1531" w:header="1145" w:footer="709" w:gutter="0"/>
          <w:pgNumType w:fmt="upperRoman" w:start="1"/>
          <w:cols w:space="720" w:num="1"/>
          <w:docGrid w:linePitch="360" w:charSpace="0"/>
        </w:sectPr>
      </w:pPr>
      <w:r>
        <w:rPr>
          <w:szCs w:val="21"/>
          <w:highlight w:val="none"/>
        </w:rPr>
        <w:fldChar w:fldCharType="end"/>
      </w:r>
      <w:bookmarkEnd w:id="19"/>
      <w:bookmarkEnd w:id="20"/>
      <w:bookmarkStart w:id="21" w:name="_Toc16531105"/>
      <w:bookmarkStart w:id="22" w:name="_Toc16531331"/>
      <w:bookmarkStart w:id="23" w:name="_Toc17717"/>
    </w:p>
    <w:p>
      <w:pPr>
        <w:pStyle w:val="3"/>
        <w:rPr>
          <w:highlight w:val="none"/>
        </w:rPr>
      </w:pPr>
      <w:bookmarkStart w:id="24" w:name="_Toc142051457"/>
      <w:r>
        <w:rPr>
          <w:rFonts w:hint="eastAsia"/>
          <w:highlight w:val="none"/>
        </w:rPr>
        <w:t>项目要求</w:t>
      </w:r>
      <w:bookmarkEnd w:id="24"/>
    </w:p>
    <w:p>
      <w:pPr>
        <w:pStyle w:val="256"/>
        <w:keepNext w:val="0"/>
        <w:keepLines w:val="0"/>
        <w:widowControl w:val="0"/>
        <w:spacing w:after="0" w:afterLines="0"/>
        <w:ind w:left="0" w:firstLine="420" w:firstLineChars="200"/>
        <w:rPr>
          <w:color w:val="auto"/>
          <w:highlight w:val="none"/>
        </w:rPr>
      </w:pPr>
      <w:r>
        <w:rPr>
          <w:color w:val="auto"/>
          <w:highlight w:val="none"/>
        </w:rPr>
        <w:t>本部分是</w:t>
      </w:r>
      <w:r>
        <w:rPr>
          <w:rFonts w:hint="eastAsia"/>
          <w:color w:val="auto"/>
          <w:highlight w:val="none"/>
        </w:rPr>
        <w:t>征集文件</w:t>
      </w:r>
      <w:r>
        <w:rPr>
          <w:color w:val="auto"/>
          <w:highlight w:val="none"/>
        </w:rPr>
        <w:t>的重要组成部分，除非</w:t>
      </w:r>
      <w:r>
        <w:rPr>
          <w:rFonts w:hint="eastAsia"/>
          <w:color w:val="auto"/>
          <w:highlight w:val="none"/>
        </w:rPr>
        <w:t>征集文件</w:t>
      </w:r>
      <w:r>
        <w:rPr>
          <w:color w:val="auto"/>
          <w:highlight w:val="none"/>
        </w:rPr>
        <w:t>中另有特别注明，本项目适用中华人民共和国现行的国家规范、规程和标准。产品的具体要求如下</w:t>
      </w:r>
      <w:r>
        <w:rPr>
          <w:highlight w:val="none"/>
        </w:rPr>
        <w:t>：</w:t>
      </w:r>
    </w:p>
    <w:p>
      <w:pPr>
        <w:pStyle w:val="4"/>
        <w:keepNext w:val="0"/>
        <w:keepLines w:val="0"/>
        <w:spacing w:before="120" w:after="0"/>
        <w:ind w:left="317" w:hanging="317"/>
        <w:jc w:val="both"/>
        <w:rPr>
          <w:highlight w:val="none"/>
        </w:rPr>
      </w:pPr>
      <w:bookmarkStart w:id="25" w:name="_Toc142051458"/>
      <w:r>
        <w:rPr>
          <w:rFonts w:hint="eastAsia"/>
          <w:highlight w:val="none"/>
        </w:rPr>
        <w:t>技术要求</w:t>
      </w:r>
      <w:bookmarkEnd w:id="25"/>
    </w:p>
    <w:p>
      <w:pPr>
        <w:pStyle w:val="2"/>
        <w:spacing w:after="0"/>
        <w:rPr>
          <w:color w:val="auto"/>
          <w:highlight w:val="none"/>
        </w:rPr>
      </w:pPr>
      <w:r>
        <w:rPr>
          <w:rFonts w:hint="eastAsia"/>
          <w:color w:val="auto"/>
          <w:highlight w:val="none"/>
        </w:rPr>
        <w:t>下述技术要求为最低要求。供应商所响应产品的技术至少应满足最低要求，否则响应将被拒绝。</w:t>
      </w:r>
    </w:p>
    <w:p>
      <w:pPr>
        <w:pStyle w:val="2"/>
        <w:spacing w:after="0"/>
        <w:rPr>
          <w:highlight w:val="none"/>
        </w:rPr>
      </w:pPr>
      <w:r>
        <w:rPr>
          <w:rFonts w:hint="eastAsia"/>
          <w:color w:val="auto"/>
          <w:highlight w:val="none"/>
        </w:rPr>
        <w:t>检验报告必检项均须在检验报告中体现，若有任意一项检验报告必检项未在检验报告中体现，响应将被拒绝。其余技术指标响应以产品技术规范偏离表等为准。</w:t>
      </w:r>
    </w:p>
    <w:p>
      <w:pPr>
        <w:pStyle w:val="5"/>
        <w:keepNext w:val="0"/>
        <w:keepLines w:val="0"/>
        <w:widowControl w:val="0"/>
        <w:spacing w:before="120"/>
        <w:rPr>
          <w:color w:val="auto"/>
          <w:highlight w:val="none"/>
        </w:rPr>
      </w:pPr>
      <w:r>
        <w:rPr>
          <w:color w:val="auto"/>
          <w:highlight w:val="none"/>
        </w:rPr>
        <w:t>搜爆服</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716"/>
        <w:gridCol w:w="4820"/>
        <w:gridCol w:w="2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716" w:type="dxa"/>
            <w:vAlign w:val="center"/>
          </w:tcPr>
          <w:p>
            <w:pPr>
              <w:spacing w:line="400" w:lineRule="exact"/>
              <w:jc w:val="center"/>
              <w:rPr>
                <w:kern w:val="0"/>
                <w:szCs w:val="21"/>
                <w:highlight w:val="none"/>
                <w:lang w:bidi="ar"/>
              </w:rPr>
            </w:pPr>
            <w:r>
              <w:rPr>
                <w:b/>
                <w:bCs/>
                <w:szCs w:val="21"/>
                <w:highlight w:val="none"/>
              </w:rPr>
              <w:t>产品名称</w:t>
            </w:r>
          </w:p>
        </w:tc>
        <w:tc>
          <w:tcPr>
            <w:tcW w:w="4820" w:type="dxa"/>
            <w:vAlign w:val="center"/>
          </w:tcPr>
          <w:p>
            <w:pPr>
              <w:spacing w:line="400" w:lineRule="exact"/>
              <w:jc w:val="center"/>
              <w:rPr>
                <w:b/>
                <w:bCs/>
                <w:szCs w:val="21"/>
                <w:highlight w:val="none"/>
              </w:rPr>
            </w:pPr>
            <w:r>
              <w:rPr>
                <w:b/>
                <w:bCs/>
                <w:szCs w:val="21"/>
                <w:highlight w:val="none"/>
              </w:rPr>
              <w:t>技术要求</w:t>
            </w:r>
          </w:p>
        </w:tc>
        <w:tc>
          <w:tcPr>
            <w:tcW w:w="2603"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716"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搜爆服</w:t>
            </w:r>
          </w:p>
        </w:tc>
        <w:tc>
          <w:tcPr>
            <w:tcW w:w="4820" w:type="dxa"/>
            <w:vAlign w:val="center"/>
          </w:tcPr>
          <w:p>
            <w:pPr>
              <w:tabs>
                <w:tab w:val="left" w:pos="2030"/>
              </w:tabs>
              <w:spacing w:line="320" w:lineRule="exact"/>
              <w:textAlignment w:val="center"/>
              <w:rPr>
                <w:kern w:val="0"/>
                <w:szCs w:val="21"/>
                <w:highlight w:val="none"/>
              </w:rPr>
            </w:pPr>
            <w:r>
              <w:rPr>
                <w:rFonts w:hint="eastAsia"/>
                <w:kern w:val="0"/>
                <w:szCs w:val="21"/>
                <w:highlight w:val="none"/>
                <w:lang w:bidi="ar"/>
              </w:rPr>
              <w:t>1、</w:t>
            </w:r>
            <w:r>
              <w:rPr>
                <w:rFonts w:hint="eastAsia"/>
                <w:kern w:val="0"/>
                <w:szCs w:val="21"/>
                <w:highlight w:val="none"/>
              </w:rPr>
              <w:t>组成：</w:t>
            </w:r>
            <w:r>
              <w:rPr>
                <w:kern w:val="0"/>
                <w:szCs w:val="21"/>
                <w:highlight w:val="none"/>
              </w:rPr>
              <w:t>由头盔</w:t>
            </w:r>
            <w:r>
              <w:rPr>
                <w:rFonts w:hint="eastAsia"/>
                <w:kern w:val="0"/>
                <w:szCs w:val="21"/>
                <w:highlight w:val="none"/>
              </w:rPr>
              <w:t>、</w:t>
            </w:r>
            <w:r>
              <w:rPr>
                <w:kern w:val="0"/>
                <w:szCs w:val="21"/>
                <w:highlight w:val="none"/>
              </w:rPr>
              <w:t>面罩、护胸、</w:t>
            </w:r>
            <w:r>
              <w:rPr>
                <w:rFonts w:hint="eastAsia"/>
                <w:kern w:val="0"/>
                <w:szCs w:val="21"/>
                <w:highlight w:val="none"/>
              </w:rPr>
              <w:t>护背、护臂、</w:t>
            </w:r>
            <w:r>
              <w:rPr>
                <w:kern w:val="0"/>
                <w:szCs w:val="21"/>
                <w:highlight w:val="none"/>
              </w:rPr>
              <w:t>护颈、</w:t>
            </w:r>
            <w:r>
              <w:rPr>
                <w:rFonts w:hint="eastAsia"/>
                <w:kern w:val="0"/>
                <w:szCs w:val="21"/>
                <w:highlight w:val="none"/>
              </w:rPr>
              <w:t>护肩、护腿、护裆等组成；</w:t>
            </w:r>
          </w:p>
          <w:p>
            <w:pPr>
              <w:tabs>
                <w:tab w:val="left" w:pos="2030"/>
              </w:tabs>
              <w:spacing w:line="320" w:lineRule="exact"/>
              <w:textAlignment w:val="center"/>
              <w:rPr>
                <w:kern w:val="0"/>
                <w:szCs w:val="21"/>
                <w:highlight w:val="none"/>
                <w:lang w:bidi="ar"/>
              </w:rPr>
            </w:pPr>
            <w:r>
              <w:rPr>
                <w:rFonts w:hint="eastAsia"/>
                <w:kern w:val="0"/>
                <w:szCs w:val="21"/>
                <w:highlight w:val="none"/>
                <w:lang w:bidi="ar"/>
              </w:rPr>
              <w:t>2、</w:t>
            </w:r>
            <w:r>
              <w:rPr>
                <w:kern w:val="0"/>
                <w:szCs w:val="21"/>
                <w:highlight w:val="none"/>
                <w:lang w:bidi="ar"/>
              </w:rPr>
              <w:t>主体材料：</w:t>
            </w:r>
            <w:r>
              <w:rPr>
                <w:rFonts w:hint="eastAsia"/>
                <w:kern w:val="0"/>
                <w:szCs w:val="21"/>
                <w:highlight w:val="none"/>
                <w:lang w:bidi="ar"/>
              </w:rPr>
              <w:t>外套由</w:t>
            </w:r>
            <w:r>
              <w:rPr>
                <w:kern w:val="0"/>
                <w:szCs w:val="21"/>
                <w:highlight w:val="none"/>
                <w:lang w:bidi="ar"/>
              </w:rPr>
              <w:t>防火阻燃材料</w:t>
            </w:r>
            <w:r>
              <w:rPr>
                <w:rFonts w:hint="eastAsia"/>
                <w:kern w:val="0"/>
                <w:szCs w:val="21"/>
                <w:highlight w:val="none"/>
                <w:lang w:bidi="ar"/>
              </w:rPr>
              <w:t>制成</w:t>
            </w:r>
            <w:r>
              <w:rPr>
                <w:kern w:val="0"/>
                <w:szCs w:val="21"/>
                <w:highlight w:val="none"/>
                <w:lang w:bidi="ar"/>
              </w:rPr>
              <w:t>；</w:t>
            </w:r>
          </w:p>
          <w:p>
            <w:pPr>
              <w:tabs>
                <w:tab w:val="left" w:pos="2030"/>
              </w:tabs>
              <w:spacing w:line="320" w:lineRule="exact"/>
              <w:textAlignment w:val="center"/>
              <w:rPr>
                <w:kern w:val="0"/>
                <w:szCs w:val="21"/>
                <w:highlight w:val="none"/>
                <w:lang w:bidi="ar"/>
              </w:rPr>
            </w:pPr>
            <w:r>
              <w:rPr>
                <w:rFonts w:hint="eastAsia"/>
                <w:kern w:val="0"/>
                <w:szCs w:val="21"/>
                <w:highlight w:val="none"/>
                <w:lang w:bidi="ar"/>
              </w:rPr>
              <w:t>3、</w:t>
            </w:r>
            <w:r>
              <w:rPr>
                <w:kern w:val="0"/>
                <w:szCs w:val="21"/>
                <w:highlight w:val="none"/>
                <w:lang w:bidi="ar"/>
              </w:rPr>
              <w:t>抗爆性能V50值（m/s, 1.1g±0.02g柱状楔形模拟破片）：</w:t>
            </w:r>
          </w:p>
          <w:p>
            <w:pPr>
              <w:spacing w:line="320" w:lineRule="exact"/>
              <w:textAlignment w:val="center"/>
              <w:rPr>
                <w:kern w:val="0"/>
                <w:szCs w:val="21"/>
                <w:highlight w:val="none"/>
                <w:lang w:bidi="ar"/>
              </w:rPr>
            </w:pPr>
            <w:r>
              <w:rPr>
                <w:kern w:val="0"/>
                <w:szCs w:val="21"/>
                <w:highlight w:val="none"/>
                <w:lang w:bidi="ar"/>
              </w:rPr>
              <w:t xml:space="preserve">3.1头盔：≥650 m/s； </w:t>
            </w:r>
          </w:p>
          <w:p>
            <w:pPr>
              <w:spacing w:line="320" w:lineRule="exact"/>
              <w:textAlignment w:val="center"/>
              <w:rPr>
                <w:kern w:val="0"/>
                <w:szCs w:val="21"/>
                <w:highlight w:val="none"/>
                <w:lang w:bidi="ar"/>
              </w:rPr>
            </w:pPr>
            <w:r>
              <w:rPr>
                <w:kern w:val="0"/>
                <w:szCs w:val="21"/>
                <w:highlight w:val="none"/>
                <w:lang w:bidi="ar"/>
              </w:rPr>
              <w:t>3.2面罩：≥600 m/s；</w:t>
            </w:r>
          </w:p>
          <w:p>
            <w:pPr>
              <w:spacing w:line="320" w:lineRule="exact"/>
              <w:textAlignment w:val="center"/>
              <w:rPr>
                <w:kern w:val="0"/>
                <w:szCs w:val="21"/>
                <w:highlight w:val="none"/>
                <w:lang w:bidi="ar"/>
              </w:rPr>
            </w:pPr>
            <w:r>
              <w:rPr>
                <w:kern w:val="0"/>
                <w:szCs w:val="21"/>
                <w:highlight w:val="none"/>
                <w:lang w:bidi="ar"/>
              </w:rPr>
              <w:t>3.3</w:t>
            </w:r>
            <w:r>
              <w:rPr>
                <w:kern w:val="0"/>
                <w:szCs w:val="21"/>
                <w:highlight w:val="none"/>
              </w:rPr>
              <w:t>护胸</w:t>
            </w:r>
            <w:r>
              <w:rPr>
                <w:kern w:val="0"/>
                <w:szCs w:val="21"/>
                <w:highlight w:val="none"/>
                <w:lang w:bidi="ar"/>
              </w:rPr>
              <w:t>：≥1000m/s；</w:t>
            </w:r>
          </w:p>
          <w:p>
            <w:pPr>
              <w:tabs>
                <w:tab w:val="left" w:pos="2030"/>
              </w:tabs>
              <w:spacing w:line="320" w:lineRule="exact"/>
              <w:textAlignment w:val="center"/>
              <w:rPr>
                <w:kern w:val="0"/>
                <w:szCs w:val="21"/>
                <w:highlight w:val="none"/>
              </w:rPr>
            </w:pPr>
            <w:r>
              <w:rPr>
                <w:rFonts w:hint="eastAsia"/>
                <w:kern w:val="0"/>
                <w:szCs w:val="21"/>
                <w:highlight w:val="none"/>
              </w:rPr>
              <w:t>3.4护背：</w:t>
            </w:r>
            <w:r>
              <w:rPr>
                <w:kern w:val="0"/>
                <w:szCs w:val="21"/>
                <w:highlight w:val="none"/>
              </w:rPr>
              <w:t>≥</w:t>
            </w:r>
            <w:r>
              <w:rPr>
                <w:rFonts w:hint="eastAsia"/>
                <w:kern w:val="0"/>
                <w:szCs w:val="21"/>
                <w:highlight w:val="none"/>
              </w:rPr>
              <w:t>4</w:t>
            </w:r>
            <w:r>
              <w:rPr>
                <w:kern w:val="0"/>
                <w:szCs w:val="21"/>
                <w:highlight w:val="none"/>
              </w:rPr>
              <w:t>00 m/s；</w:t>
            </w:r>
          </w:p>
          <w:p>
            <w:pPr>
              <w:tabs>
                <w:tab w:val="left" w:pos="2030"/>
              </w:tabs>
              <w:spacing w:line="320" w:lineRule="exact"/>
              <w:textAlignment w:val="center"/>
              <w:rPr>
                <w:kern w:val="0"/>
                <w:szCs w:val="21"/>
                <w:highlight w:val="none"/>
              </w:rPr>
            </w:pPr>
            <w:r>
              <w:rPr>
                <w:rFonts w:hint="eastAsia"/>
                <w:kern w:val="0"/>
                <w:szCs w:val="21"/>
                <w:highlight w:val="none"/>
              </w:rPr>
              <w:t>3.5护臂：</w:t>
            </w:r>
            <w:r>
              <w:rPr>
                <w:kern w:val="0"/>
                <w:szCs w:val="21"/>
                <w:highlight w:val="none"/>
              </w:rPr>
              <w:t>≥</w:t>
            </w:r>
            <w:r>
              <w:rPr>
                <w:rFonts w:hint="eastAsia"/>
                <w:kern w:val="0"/>
                <w:szCs w:val="21"/>
                <w:highlight w:val="none"/>
              </w:rPr>
              <w:t>4</w:t>
            </w:r>
            <w:r>
              <w:rPr>
                <w:kern w:val="0"/>
                <w:szCs w:val="21"/>
                <w:highlight w:val="none"/>
              </w:rPr>
              <w:t>00 m/s；</w:t>
            </w:r>
          </w:p>
          <w:p>
            <w:pPr>
              <w:tabs>
                <w:tab w:val="left" w:pos="2030"/>
              </w:tabs>
              <w:spacing w:line="320" w:lineRule="exact"/>
              <w:textAlignment w:val="center"/>
              <w:rPr>
                <w:kern w:val="0"/>
                <w:szCs w:val="21"/>
                <w:highlight w:val="none"/>
              </w:rPr>
            </w:pPr>
            <w:r>
              <w:rPr>
                <w:rFonts w:hint="eastAsia"/>
                <w:kern w:val="0"/>
                <w:szCs w:val="21"/>
                <w:highlight w:val="none"/>
              </w:rPr>
              <w:t>3.6护大腿：</w:t>
            </w:r>
            <w:r>
              <w:rPr>
                <w:kern w:val="0"/>
                <w:szCs w:val="21"/>
                <w:highlight w:val="none"/>
              </w:rPr>
              <w:t>≥</w:t>
            </w:r>
            <w:r>
              <w:rPr>
                <w:rFonts w:hint="eastAsia"/>
                <w:kern w:val="0"/>
                <w:szCs w:val="21"/>
                <w:highlight w:val="none"/>
              </w:rPr>
              <w:t>4</w:t>
            </w:r>
            <w:r>
              <w:rPr>
                <w:kern w:val="0"/>
                <w:szCs w:val="21"/>
                <w:highlight w:val="none"/>
              </w:rPr>
              <w:t>00 m/s；</w:t>
            </w:r>
          </w:p>
          <w:p>
            <w:pPr>
              <w:tabs>
                <w:tab w:val="left" w:pos="2030"/>
              </w:tabs>
              <w:spacing w:line="320" w:lineRule="exact"/>
              <w:textAlignment w:val="center"/>
              <w:rPr>
                <w:kern w:val="0"/>
                <w:szCs w:val="21"/>
                <w:highlight w:val="none"/>
              </w:rPr>
            </w:pPr>
            <w:r>
              <w:rPr>
                <w:rFonts w:hint="eastAsia"/>
                <w:kern w:val="0"/>
                <w:szCs w:val="21"/>
                <w:highlight w:val="none"/>
              </w:rPr>
              <w:t>3.7护小腿：</w:t>
            </w:r>
            <w:r>
              <w:rPr>
                <w:kern w:val="0"/>
                <w:szCs w:val="21"/>
                <w:highlight w:val="none"/>
              </w:rPr>
              <w:t>≥</w:t>
            </w:r>
            <w:r>
              <w:rPr>
                <w:rFonts w:hint="eastAsia"/>
                <w:kern w:val="0"/>
                <w:szCs w:val="21"/>
                <w:highlight w:val="none"/>
              </w:rPr>
              <w:t>4</w:t>
            </w:r>
            <w:r>
              <w:rPr>
                <w:kern w:val="0"/>
                <w:szCs w:val="21"/>
                <w:highlight w:val="none"/>
              </w:rPr>
              <w:t>00 m/s</w:t>
            </w:r>
            <w:r>
              <w:rPr>
                <w:rFonts w:hint="eastAsia"/>
                <w:kern w:val="0"/>
                <w:szCs w:val="21"/>
                <w:highlight w:val="none"/>
              </w:rPr>
              <w:t>；</w:t>
            </w:r>
          </w:p>
          <w:p>
            <w:pPr>
              <w:tabs>
                <w:tab w:val="left" w:pos="2030"/>
              </w:tabs>
              <w:spacing w:line="320" w:lineRule="exact"/>
              <w:textAlignment w:val="center"/>
              <w:rPr>
                <w:kern w:val="0"/>
                <w:szCs w:val="21"/>
                <w:highlight w:val="none"/>
              </w:rPr>
            </w:pPr>
            <w:r>
              <w:rPr>
                <w:kern w:val="0"/>
                <w:szCs w:val="21"/>
                <w:highlight w:val="none"/>
              </w:rPr>
              <w:t>4、搜爆服总重：≤25kg；</w:t>
            </w:r>
          </w:p>
          <w:p>
            <w:pPr>
              <w:tabs>
                <w:tab w:val="left" w:pos="2030"/>
              </w:tabs>
              <w:spacing w:line="320" w:lineRule="exact"/>
              <w:textAlignment w:val="center"/>
              <w:rPr>
                <w:kern w:val="0"/>
                <w:szCs w:val="21"/>
                <w:highlight w:val="none"/>
                <w:lang w:bidi="ar"/>
              </w:rPr>
            </w:pPr>
            <w:r>
              <w:rPr>
                <w:kern w:val="0"/>
                <w:szCs w:val="21"/>
                <w:highlight w:val="none"/>
              </w:rPr>
              <w:t>5、保险：1年不得低于300万的保险额度（保险公司保单复印件加盖响应人公章）。</w:t>
            </w:r>
          </w:p>
        </w:tc>
        <w:tc>
          <w:tcPr>
            <w:tcW w:w="2603" w:type="dxa"/>
            <w:vAlign w:val="center"/>
          </w:tcPr>
          <w:p>
            <w:pPr>
              <w:spacing w:line="320" w:lineRule="exact"/>
              <w:textAlignment w:val="center"/>
              <w:rPr>
                <w:kern w:val="0"/>
                <w:szCs w:val="21"/>
                <w:highlight w:val="none"/>
              </w:rPr>
            </w:pPr>
            <w:r>
              <w:rPr>
                <w:kern w:val="0"/>
                <w:szCs w:val="21"/>
                <w:highlight w:val="none"/>
                <w:lang w:bidi="ar"/>
              </w:rPr>
              <w:t>1、</w:t>
            </w:r>
            <w:r>
              <w:rPr>
                <w:rFonts w:hint="eastAsia"/>
                <w:kern w:val="0"/>
                <w:szCs w:val="21"/>
                <w:highlight w:val="none"/>
              </w:rPr>
              <w:t>组成；</w:t>
            </w:r>
          </w:p>
          <w:p>
            <w:pPr>
              <w:spacing w:line="320" w:lineRule="exact"/>
              <w:textAlignment w:val="center"/>
              <w:rPr>
                <w:highlight w:val="none"/>
              </w:rPr>
            </w:pPr>
            <w:r>
              <w:rPr>
                <w:kern w:val="0"/>
                <w:szCs w:val="21"/>
                <w:highlight w:val="none"/>
                <w:lang w:bidi="ar"/>
              </w:rPr>
              <w:t>2、主体材料</w:t>
            </w:r>
            <w:r>
              <w:rPr>
                <w:rFonts w:hint="eastAsia"/>
                <w:kern w:val="0"/>
                <w:szCs w:val="21"/>
                <w:highlight w:val="none"/>
                <w:lang w:bidi="ar"/>
              </w:rPr>
              <w:t>；</w:t>
            </w:r>
          </w:p>
          <w:p>
            <w:pPr>
              <w:spacing w:line="320" w:lineRule="exact"/>
              <w:textAlignment w:val="center"/>
              <w:rPr>
                <w:kern w:val="0"/>
                <w:szCs w:val="21"/>
                <w:highlight w:val="none"/>
                <w:lang w:bidi="ar"/>
              </w:rPr>
            </w:pPr>
            <w:r>
              <w:rPr>
                <w:rFonts w:hint="eastAsia"/>
                <w:kern w:val="0"/>
                <w:szCs w:val="21"/>
                <w:highlight w:val="none"/>
                <w:lang w:bidi="ar"/>
              </w:rPr>
              <w:t>3、</w:t>
            </w:r>
            <w:r>
              <w:rPr>
                <w:kern w:val="0"/>
                <w:szCs w:val="21"/>
                <w:highlight w:val="none"/>
                <w:lang w:bidi="ar"/>
              </w:rPr>
              <w:t>抗爆性能V50值：</w:t>
            </w:r>
          </w:p>
          <w:p>
            <w:pPr>
              <w:spacing w:line="320" w:lineRule="exact"/>
              <w:textAlignment w:val="center"/>
              <w:rPr>
                <w:kern w:val="0"/>
                <w:szCs w:val="21"/>
                <w:highlight w:val="none"/>
                <w:lang w:bidi="ar"/>
              </w:rPr>
            </w:pPr>
            <w:r>
              <w:rPr>
                <w:kern w:val="0"/>
                <w:szCs w:val="21"/>
                <w:highlight w:val="none"/>
                <w:lang w:bidi="ar"/>
              </w:rPr>
              <w:t xml:space="preserve">3.1头盔； </w:t>
            </w:r>
          </w:p>
          <w:p>
            <w:pPr>
              <w:spacing w:line="320" w:lineRule="exact"/>
              <w:textAlignment w:val="center"/>
              <w:rPr>
                <w:kern w:val="0"/>
                <w:szCs w:val="21"/>
                <w:highlight w:val="none"/>
                <w:lang w:bidi="ar"/>
              </w:rPr>
            </w:pPr>
            <w:r>
              <w:rPr>
                <w:kern w:val="0"/>
                <w:szCs w:val="21"/>
                <w:highlight w:val="none"/>
                <w:lang w:bidi="ar"/>
              </w:rPr>
              <w:t>3.2面罩；</w:t>
            </w:r>
          </w:p>
          <w:p>
            <w:pPr>
              <w:spacing w:line="320" w:lineRule="exact"/>
              <w:textAlignment w:val="center"/>
              <w:rPr>
                <w:kern w:val="0"/>
                <w:szCs w:val="21"/>
                <w:highlight w:val="none"/>
                <w:lang w:bidi="ar"/>
              </w:rPr>
            </w:pPr>
            <w:r>
              <w:rPr>
                <w:kern w:val="0"/>
                <w:szCs w:val="21"/>
                <w:highlight w:val="none"/>
                <w:lang w:bidi="ar"/>
              </w:rPr>
              <w:t>3.3</w:t>
            </w:r>
            <w:r>
              <w:rPr>
                <w:kern w:val="0"/>
                <w:szCs w:val="21"/>
                <w:highlight w:val="none"/>
              </w:rPr>
              <w:t>护胸</w:t>
            </w:r>
            <w:r>
              <w:rPr>
                <w:rFonts w:hint="eastAsia"/>
                <w:kern w:val="0"/>
                <w:szCs w:val="21"/>
                <w:highlight w:val="none"/>
                <w:lang w:bidi="ar"/>
              </w:rPr>
              <w:t>；</w:t>
            </w:r>
          </w:p>
          <w:p>
            <w:pPr>
              <w:tabs>
                <w:tab w:val="left" w:pos="2030"/>
              </w:tabs>
              <w:spacing w:line="320" w:lineRule="exact"/>
              <w:textAlignment w:val="center"/>
              <w:rPr>
                <w:kern w:val="0"/>
                <w:szCs w:val="21"/>
                <w:highlight w:val="none"/>
              </w:rPr>
            </w:pPr>
            <w:r>
              <w:rPr>
                <w:rFonts w:hint="eastAsia"/>
                <w:kern w:val="0"/>
                <w:szCs w:val="21"/>
                <w:highlight w:val="none"/>
              </w:rPr>
              <w:t>3.4护背</w:t>
            </w:r>
            <w:r>
              <w:rPr>
                <w:kern w:val="0"/>
                <w:szCs w:val="21"/>
                <w:highlight w:val="none"/>
              </w:rPr>
              <w:t>；</w:t>
            </w:r>
          </w:p>
          <w:p>
            <w:pPr>
              <w:tabs>
                <w:tab w:val="left" w:pos="2030"/>
              </w:tabs>
              <w:spacing w:line="320" w:lineRule="exact"/>
              <w:textAlignment w:val="center"/>
              <w:rPr>
                <w:kern w:val="0"/>
                <w:szCs w:val="21"/>
                <w:highlight w:val="none"/>
              </w:rPr>
            </w:pPr>
            <w:r>
              <w:rPr>
                <w:rFonts w:hint="eastAsia"/>
                <w:kern w:val="0"/>
                <w:szCs w:val="21"/>
                <w:highlight w:val="none"/>
              </w:rPr>
              <w:t>3.5护臂</w:t>
            </w:r>
            <w:r>
              <w:rPr>
                <w:kern w:val="0"/>
                <w:szCs w:val="21"/>
                <w:highlight w:val="none"/>
              </w:rPr>
              <w:t>；</w:t>
            </w:r>
          </w:p>
          <w:p>
            <w:pPr>
              <w:tabs>
                <w:tab w:val="left" w:pos="2030"/>
              </w:tabs>
              <w:spacing w:line="320" w:lineRule="exact"/>
              <w:textAlignment w:val="center"/>
              <w:rPr>
                <w:kern w:val="0"/>
                <w:szCs w:val="21"/>
                <w:highlight w:val="none"/>
              </w:rPr>
            </w:pPr>
            <w:r>
              <w:rPr>
                <w:rFonts w:hint="eastAsia"/>
                <w:kern w:val="0"/>
                <w:szCs w:val="21"/>
                <w:highlight w:val="none"/>
              </w:rPr>
              <w:t>3.6护大腿</w:t>
            </w:r>
            <w:r>
              <w:rPr>
                <w:kern w:val="0"/>
                <w:szCs w:val="21"/>
                <w:highlight w:val="none"/>
              </w:rPr>
              <w:t>；</w:t>
            </w:r>
          </w:p>
          <w:p>
            <w:pPr>
              <w:spacing w:line="320" w:lineRule="exact"/>
              <w:textAlignment w:val="center"/>
              <w:rPr>
                <w:kern w:val="0"/>
                <w:szCs w:val="21"/>
                <w:highlight w:val="none"/>
              </w:rPr>
            </w:pPr>
            <w:r>
              <w:rPr>
                <w:rFonts w:hint="eastAsia"/>
                <w:kern w:val="0"/>
                <w:szCs w:val="21"/>
                <w:highlight w:val="none"/>
              </w:rPr>
              <w:t>3.7护小腿；</w:t>
            </w:r>
          </w:p>
          <w:p>
            <w:pPr>
              <w:spacing w:line="320" w:lineRule="exact"/>
              <w:textAlignment w:val="center"/>
              <w:rPr>
                <w:kern w:val="0"/>
                <w:szCs w:val="21"/>
                <w:highlight w:val="none"/>
                <w:lang w:bidi="ar"/>
              </w:rPr>
            </w:pPr>
            <w:r>
              <w:rPr>
                <w:kern w:val="0"/>
                <w:szCs w:val="21"/>
                <w:highlight w:val="none"/>
                <w:lang w:bidi="ar"/>
              </w:rPr>
              <w:t>4、搜爆服总重</w:t>
            </w:r>
            <w:r>
              <w:rPr>
                <w:rFonts w:hint="eastAsia"/>
                <w:kern w:val="0"/>
                <w:szCs w:val="21"/>
                <w:highlight w:val="none"/>
                <w:lang w:bidi="ar"/>
              </w:rPr>
              <w:t>。</w:t>
            </w:r>
          </w:p>
          <w:p>
            <w:pPr>
              <w:spacing w:line="320" w:lineRule="exact"/>
              <w:textAlignment w:val="center"/>
              <w:rPr>
                <w:kern w:val="0"/>
                <w:szCs w:val="21"/>
                <w:highlight w:val="none"/>
                <w:lang w:bidi="ar"/>
              </w:rPr>
            </w:pPr>
          </w:p>
        </w:tc>
      </w:tr>
    </w:tbl>
    <w:p>
      <w:pPr>
        <w:rPr>
          <w:highlight w:val="none"/>
        </w:rPr>
      </w:pPr>
    </w:p>
    <w:p>
      <w:pPr>
        <w:pStyle w:val="5"/>
        <w:keepNext w:val="0"/>
        <w:keepLines w:val="0"/>
        <w:widowControl w:val="0"/>
        <w:spacing w:before="120"/>
        <w:rPr>
          <w:color w:val="auto"/>
          <w:highlight w:val="none"/>
        </w:rPr>
      </w:pPr>
      <w:r>
        <w:rPr>
          <w:color w:val="auto"/>
          <w:highlight w:val="none"/>
        </w:rPr>
        <w:t>排爆服</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716"/>
        <w:gridCol w:w="4679"/>
        <w:gridCol w:w="2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716" w:type="dxa"/>
            <w:vAlign w:val="center"/>
          </w:tcPr>
          <w:p>
            <w:pPr>
              <w:spacing w:line="400" w:lineRule="exact"/>
              <w:jc w:val="center"/>
              <w:rPr>
                <w:kern w:val="0"/>
                <w:szCs w:val="21"/>
                <w:highlight w:val="none"/>
                <w:lang w:bidi="ar"/>
              </w:rPr>
            </w:pPr>
            <w:r>
              <w:rPr>
                <w:b/>
                <w:bCs/>
                <w:szCs w:val="21"/>
                <w:highlight w:val="none"/>
              </w:rPr>
              <w:t>产品名称</w:t>
            </w:r>
          </w:p>
        </w:tc>
        <w:tc>
          <w:tcPr>
            <w:tcW w:w="4679" w:type="dxa"/>
            <w:vAlign w:val="center"/>
          </w:tcPr>
          <w:p>
            <w:pPr>
              <w:spacing w:line="400" w:lineRule="exact"/>
              <w:jc w:val="center"/>
              <w:rPr>
                <w:b/>
                <w:bCs/>
                <w:szCs w:val="21"/>
                <w:highlight w:val="none"/>
              </w:rPr>
            </w:pPr>
            <w:r>
              <w:rPr>
                <w:b/>
                <w:bCs/>
                <w:szCs w:val="21"/>
                <w:highlight w:val="none"/>
              </w:rPr>
              <w:t>技术要求</w:t>
            </w:r>
          </w:p>
        </w:tc>
        <w:tc>
          <w:tcPr>
            <w:tcW w:w="2744"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716"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排爆服I</w:t>
            </w:r>
          </w:p>
        </w:tc>
        <w:tc>
          <w:tcPr>
            <w:tcW w:w="4679" w:type="dxa"/>
            <w:vAlign w:val="center"/>
          </w:tcPr>
          <w:p>
            <w:pPr>
              <w:spacing w:line="320" w:lineRule="exact"/>
              <w:textAlignment w:val="center"/>
              <w:rPr>
                <w:kern w:val="0"/>
                <w:szCs w:val="21"/>
                <w:highlight w:val="none"/>
                <w:lang w:bidi="ar"/>
              </w:rPr>
            </w:pPr>
            <w:r>
              <w:rPr>
                <w:rFonts w:hint="eastAsia"/>
                <w:kern w:val="0"/>
                <w:szCs w:val="21"/>
                <w:highlight w:val="none"/>
                <w:lang w:bidi="ar"/>
              </w:rPr>
              <w:t>1、</w:t>
            </w:r>
            <w:r>
              <w:rPr>
                <w:kern w:val="0"/>
                <w:szCs w:val="21"/>
                <w:highlight w:val="none"/>
                <w:lang w:bidi="ar"/>
              </w:rPr>
              <w:t>排爆服I</w:t>
            </w:r>
            <w:r>
              <w:rPr>
                <w:rFonts w:hint="eastAsia"/>
                <w:kern w:val="0"/>
                <w:szCs w:val="21"/>
                <w:highlight w:val="none"/>
                <w:lang w:bidi="ar"/>
              </w:rPr>
              <w:t>至少</w:t>
            </w:r>
            <w:r>
              <w:rPr>
                <w:kern w:val="0"/>
                <w:szCs w:val="21"/>
                <w:highlight w:val="none"/>
                <w:lang w:bidi="ar"/>
              </w:rPr>
              <w:t>由</w:t>
            </w:r>
            <w:r>
              <w:rPr>
                <w:rFonts w:hint="eastAsia"/>
                <w:kern w:val="0"/>
                <w:szCs w:val="21"/>
                <w:highlight w:val="none"/>
                <w:lang w:bidi="ar"/>
              </w:rPr>
              <w:t>排爆服、防弹头盔（含</w:t>
            </w:r>
            <w:r>
              <w:rPr>
                <w:kern w:val="0"/>
                <w:szCs w:val="21"/>
                <w:highlight w:val="none"/>
                <w:lang w:bidi="ar"/>
              </w:rPr>
              <w:t>面罩</w:t>
            </w:r>
            <w:r>
              <w:rPr>
                <w:rFonts w:hint="eastAsia"/>
                <w:kern w:val="0"/>
                <w:szCs w:val="21"/>
                <w:highlight w:val="none"/>
                <w:lang w:bidi="ar"/>
              </w:rPr>
              <w:t>）、</w:t>
            </w:r>
            <w:r>
              <w:rPr>
                <w:kern w:val="0"/>
                <w:szCs w:val="21"/>
                <w:highlight w:val="none"/>
                <w:lang w:bidi="ar"/>
              </w:rPr>
              <w:t>通讯系统</w:t>
            </w:r>
            <w:r>
              <w:rPr>
                <w:rFonts w:hint="eastAsia"/>
                <w:kern w:val="0"/>
                <w:szCs w:val="21"/>
                <w:highlight w:val="none"/>
                <w:lang w:bidi="ar"/>
              </w:rPr>
              <w:t>和冷却</w:t>
            </w:r>
            <w:r>
              <w:rPr>
                <w:kern w:val="0"/>
                <w:szCs w:val="21"/>
                <w:highlight w:val="none"/>
                <w:lang w:bidi="ar"/>
              </w:rPr>
              <w:t>系统</w:t>
            </w:r>
            <w:r>
              <w:rPr>
                <w:rFonts w:hint="eastAsia"/>
                <w:kern w:val="0"/>
                <w:szCs w:val="21"/>
                <w:highlight w:val="none"/>
                <w:lang w:bidi="ar"/>
              </w:rPr>
              <w:t>组成</w:t>
            </w:r>
            <w:r>
              <w:rPr>
                <w:kern w:val="0"/>
                <w:szCs w:val="21"/>
                <w:highlight w:val="none"/>
                <w:lang w:bidi="ar"/>
              </w:rPr>
              <w:t>；</w:t>
            </w:r>
            <w:r>
              <w:rPr>
                <w:rFonts w:hint="eastAsia"/>
                <w:kern w:val="0"/>
                <w:szCs w:val="21"/>
                <w:highlight w:val="none"/>
                <w:lang w:bidi="ar"/>
              </w:rPr>
              <w:t>排爆服</w:t>
            </w:r>
            <w:r>
              <w:rPr>
                <w:kern w:val="0"/>
                <w:szCs w:val="21"/>
                <w:highlight w:val="none"/>
                <w:lang w:bidi="ar"/>
              </w:rPr>
              <w:t>由排爆上衣、排爆裤、防护插板（护颈、护胸、护腹）、脊柱防护等组成。</w:t>
            </w:r>
          </w:p>
          <w:p>
            <w:pPr>
              <w:spacing w:line="320" w:lineRule="exact"/>
              <w:textAlignment w:val="center"/>
              <w:rPr>
                <w:kern w:val="0"/>
                <w:szCs w:val="21"/>
                <w:highlight w:val="none"/>
                <w:lang w:bidi="ar"/>
              </w:rPr>
            </w:pPr>
            <w:r>
              <w:rPr>
                <w:rFonts w:hint="eastAsia"/>
                <w:kern w:val="0"/>
                <w:szCs w:val="21"/>
                <w:highlight w:val="none"/>
                <w:lang w:bidi="ar"/>
              </w:rPr>
              <w:t>2、</w:t>
            </w:r>
            <w:r>
              <w:rPr>
                <w:kern w:val="0"/>
                <w:szCs w:val="21"/>
                <w:highlight w:val="none"/>
                <w:lang w:bidi="ar"/>
              </w:rPr>
              <w:t>抗爆性能V50值（m/s, 1.1g±0.02g柱状楔形模拟破片）：</w:t>
            </w:r>
          </w:p>
          <w:p>
            <w:pPr>
              <w:spacing w:line="320" w:lineRule="exact"/>
              <w:textAlignment w:val="center"/>
              <w:rPr>
                <w:kern w:val="0"/>
                <w:szCs w:val="21"/>
                <w:highlight w:val="none"/>
                <w:lang w:bidi="ar"/>
              </w:rPr>
            </w:pPr>
            <w:r>
              <w:rPr>
                <w:kern w:val="0"/>
                <w:szCs w:val="21"/>
                <w:highlight w:val="none"/>
                <w:lang w:bidi="ar"/>
              </w:rPr>
              <w:t>2.1防弹面罩：≥720 m/s；</w:t>
            </w:r>
          </w:p>
          <w:p>
            <w:pPr>
              <w:spacing w:line="320" w:lineRule="exact"/>
              <w:textAlignment w:val="center"/>
              <w:rPr>
                <w:kern w:val="0"/>
                <w:szCs w:val="21"/>
                <w:highlight w:val="none"/>
                <w:lang w:bidi="ar"/>
              </w:rPr>
            </w:pPr>
            <w:r>
              <w:rPr>
                <w:kern w:val="0"/>
                <w:szCs w:val="21"/>
                <w:highlight w:val="none"/>
                <w:lang w:bidi="ar"/>
              </w:rPr>
              <w:t>2.2防弹头盔：≥750 m/s；</w:t>
            </w:r>
          </w:p>
          <w:p>
            <w:pPr>
              <w:spacing w:line="320" w:lineRule="exact"/>
              <w:textAlignment w:val="center"/>
              <w:rPr>
                <w:kern w:val="0"/>
                <w:szCs w:val="21"/>
                <w:highlight w:val="none"/>
                <w:lang w:bidi="ar"/>
              </w:rPr>
            </w:pPr>
            <w:r>
              <w:rPr>
                <w:kern w:val="0"/>
                <w:szCs w:val="21"/>
                <w:highlight w:val="none"/>
                <w:lang w:bidi="ar"/>
              </w:rPr>
              <w:t>2.3上衣前部芯片：≥640 m/s；</w:t>
            </w:r>
          </w:p>
          <w:p>
            <w:pPr>
              <w:spacing w:line="320" w:lineRule="exact"/>
              <w:textAlignment w:val="center"/>
              <w:rPr>
                <w:kern w:val="0"/>
                <w:szCs w:val="21"/>
                <w:highlight w:val="none"/>
                <w:lang w:bidi="ar"/>
              </w:rPr>
            </w:pPr>
            <w:r>
              <w:rPr>
                <w:kern w:val="0"/>
                <w:szCs w:val="21"/>
                <w:highlight w:val="none"/>
                <w:lang w:bidi="ar"/>
              </w:rPr>
              <w:t>2.4防弹插板+上衣前部芯片：≥2000 m/s；</w:t>
            </w:r>
          </w:p>
          <w:p>
            <w:pPr>
              <w:spacing w:line="320" w:lineRule="exact"/>
              <w:textAlignment w:val="center"/>
              <w:rPr>
                <w:kern w:val="0"/>
                <w:szCs w:val="21"/>
                <w:highlight w:val="none"/>
                <w:lang w:val="en-US" w:bidi="ar"/>
              </w:rPr>
            </w:pPr>
            <w:r>
              <w:rPr>
                <w:rFonts w:hint="eastAsia"/>
                <w:kern w:val="0"/>
                <w:szCs w:val="21"/>
                <w:highlight w:val="none"/>
                <w:lang w:val="en-US" w:bidi="ar"/>
              </w:rPr>
              <w:t>2.5</w:t>
            </w:r>
            <w:r>
              <w:rPr>
                <w:rFonts w:hint="eastAsia"/>
                <w:kern w:val="0"/>
                <w:szCs w:val="21"/>
                <w:highlight w:val="none"/>
                <w:lang w:bidi="ar"/>
              </w:rPr>
              <w:t>上衣背部芯片</w:t>
            </w:r>
            <w:r>
              <w:rPr>
                <w:rFonts w:hint="eastAsia"/>
                <w:kern w:val="0"/>
                <w:szCs w:val="21"/>
                <w:highlight w:val="none"/>
                <w:lang w:val="en-US" w:bidi="ar"/>
              </w:rPr>
              <w:t>：≥460 m/s</w:t>
            </w:r>
          </w:p>
          <w:p>
            <w:pPr>
              <w:spacing w:line="320" w:lineRule="exact"/>
              <w:textAlignment w:val="center"/>
              <w:rPr>
                <w:kern w:val="0"/>
                <w:szCs w:val="21"/>
                <w:highlight w:val="none"/>
                <w:lang w:val="en-US" w:bidi="ar"/>
              </w:rPr>
            </w:pPr>
            <w:r>
              <w:rPr>
                <w:kern w:val="0"/>
                <w:szCs w:val="21"/>
                <w:highlight w:val="none"/>
                <w:lang w:val="en-US" w:bidi="ar"/>
              </w:rPr>
              <w:t>2.6</w:t>
            </w:r>
            <w:r>
              <w:rPr>
                <w:kern w:val="0"/>
                <w:szCs w:val="21"/>
                <w:highlight w:val="none"/>
                <w:lang w:bidi="ar"/>
              </w:rPr>
              <w:t>袖子芯片</w:t>
            </w:r>
            <w:r>
              <w:rPr>
                <w:kern w:val="0"/>
                <w:szCs w:val="21"/>
                <w:highlight w:val="none"/>
                <w:lang w:val="en-US" w:bidi="ar"/>
              </w:rPr>
              <w:t>：≥520 m/s,；</w:t>
            </w:r>
          </w:p>
          <w:p>
            <w:pPr>
              <w:spacing w:line="320" w:lineRule="exact"/>
              <w:textAlignment w:val="center"/>
              <w:rPr>
                <w:kern w:val="0"/>
                <w:szCs w:val="21"/>
                <w:highlight w:val="none"/>
                <w:lang w:val="en-US" w:bidi="ar"/>
              </w:rPr>
            </w:pPr>
            <w:r>
              <w:rPr>
                <w:kern w:val="0"/>
                <w:szCs w:val="21"/>
                <w:highlight w:val="none"/>
                <w:lang w:val="en-US" w:bidi="ar"/>
              </w:rPr>
              <w:t>2.7</w:t>
            </w:r>
            <w:r>
              <w:rPr>
                <w:rFonts w:hint="eastAsia"/>
                <w:kern w:val="0"/>
                <w:szCs w:val="21"/>
                <w:highlight w:val="none"/>
                <w:lang w:val="en-US" w:bidi="ar"/>
              </w:rPr>
              <w:t>大</w:t>
            </w:r>
            <w:r>
              <w:rPr>
                <w:kern w:val="0"/>
                <w:szCs w:val="21"/>
                <w:highlight w:val="none"/>
                <w:lang w:bidi="ar"/>
              </w:rPr>
              <w:t>小腿前部</w:t>
            </w:r>
            <w:r>
              <w:rPr>
                <w:kern w:val="0"/>
                <w:szCs w:val="21"/>
                <w:highlight w:val="none"/>
                <w:lang w:val="en-US" w:bidi="ar"/>
              </w:rPr>
              <w:t>：≥580 m/s；</w:t>
            </w:r>
          </w:p>
          <w:p>
            <w:pPr>
              <w:spacing w:line="320" w:lineRule="exact"/>
              <w:textAlignment w:val="center"/>
              <w:rPr>
                <w:highlight w:val="none"/>
                <w:lang w:val="en-US" w:bidi="ar"/>
              </w:rPr>
            </w:pPr>
            <w:r>
              <w:rPr>
                <w:kern w:val="0"/>
                <w:szCs w:val="21"/>
                <w:highlight w:val="none"/>
                <w:lang w:val="en-US" w:bidi="ar"/>
              </w:rPr>
              <w:t>2.8</w:t>
            </w:r>
            <w:r>
              <w:rPr>
                <w:kern w:val="0"/>
                <w:szCs w:val="21"/>
                <w:highlight w:val="none"/>
                <w:lang w:bidi="ar"/>
              </w:rPr>
              <w:t>大小腿</w:t>
            </w:r>
            <w:r>
              <w:rPr>
                <w:rFonts w:hint="eastAsia"/>
                <w:kern w:val="0"/>
                <w:szCs w:val="21"/>
                <w:highlight w:val="none"/>
                <w:lang w:bidi="ar"/>
              </w:rPr>
              <w:t>后</w:t>
            </w:r>
            <w:r>
              <w:rPr>
                <w:kern w:val="0"/>
                <w:szCs w:val="21"/>
                <w:highlight w:val="none"/>
                <w:lang w:bidi="ar"/>
              </w:rPr>
              <w:t>部</w:t>
            </w:r>
            <w:r>
              <w:rPr>
                <w:kern w:val="0"/>
                <w:szCs w:val="21"/>
                <w:highlight w:val="none"/>
                <w:lang w:val="en-US" w:bidi="ar"/>
              </w:rPr>
              <w:t>：≥460 m/s；</w:t>
            </w:r>
          </w:p>
          <w:p>
            <w:pPr>
              <w:spacing w:line="320" w:lineRule="exact"/>
              <w:textAlignment w:val="center"/>
              <w:rPr>
                <w:kern w:val="0"/>
                <w:szCs w:val="21"/>
                <w:highlight w:val="none"/>
                <w:lang w:bidi="ar"/>
              </w:rPr>
            </w:pPr>
            <w:r>
              <w:rPr>
                <w:kern w:val="0"/>
                <w:szCs w:val="21"/>
                <w:highlight w:val="none"/>
                <w:lang w:bidi="ar"/>
              </w:rPr>
              <w:t>3、排爆服总重量：≤35kg；</w:t>
            </w:r>
          </w:p>
          <w:p>
            <w:pPr>
              <w:spacing w:line="320" w:lineRule="exact"/>
              <w:textAlignment w:val="center"/>
              <w:rPr>
                <w:kern w:val="0"/>
                <w:szCs w:val="21"/>
                <w:highlight w:val="none"/>
                <w:lang w:bidi="ar"/>
              </w:rPr>
            </w:pPr>
            <w:r>
              <w:rPr>
                <w:kern w:val="0"/>
                <w:szCs w:val="21"/>
                <w:highlight w:val="none"/>
                <w:lang w:bidi="ar"/>
              </w:rPr>
              <w:t>4、通讯系统：配置有线通讯系统，有线通讯距离≥100m；</w:t>
            </w:r>
          </w:p>
          <w:p>
            <w:pPr>
              <w:spacing w:line="320" w:lineRule="exact"/>
              <w:textAlignment w:val="center"/>
              <w:rPr>
                <w:kern w:val="0"/>
                <w:szCs w:val="21"/>
                <w:highlight w:val="none"/>
                <w:lang w:bidi="ar"/>
              </w:rPr>
            </w:pPr>
            <w:r>
              <w:rPr>
                <w:kern w:val="0"/>
                <w:szCs w:val="21"/>
                <w:highlight w:val="none"/>
                <w:lang w:bidi="ar"/>
              </w:rPr>
              <w:t>5、</w:t>
            </w:r>
            <w:r>
              <w:rPr>
                <w:rFonts w:hint="eastAsia"/>
                <w:kern w:val="0"/>
                <w:szCs w:val="21"/>
                <w:highlight w:val="none"/>
                <w:lang w:bidi="ar"/>
              </w:rPr>
              <w:t>冷却系统</w:t>
            </w:r>
            <w:r>
              <w:rPr>
                <w:kern w:val="0"/>
                <w:szCs w:val="21"/>
                <w:highlight w:val="none"/>
                <w:lang w:bidi="ar"/>
              </w:rPr>
              <w:t>：速度可调，最大循环不小于200L/min</w:t>
            </w:r>
            <w:r>
              <w:rPr>
                <w:rFonts w:hint="eastAsia"/>
                <w:kern w:val="0"/>
                <w:szCs w:val="21"/>
                <w:highlight w:val="none"/>
                <w:lang w:bidi="ar"/>
              </w:rPr>
              <w:t>或者</w:t>
            </w:r>
            <w:r>
              <w:rPr>
                <w:rFonts w:hint="eastAsia"/>
                <w:highlight w:val="none"/>
              </w:rPr>
              <w:t>风量≥</w:t>
            </w:r>
            <w:r>
              <w:rPr>
                <w:highlight w:val="none"/>
              </w:rPr>
              <w:t>40</w:t>
            </w:r>
            <w:r>
              <w:rPr>
                <w:rFonts w:hint="eastAsia"/>
                <w:highlight w:val="none"/>
              </w:rPr>
              <w:t>CFM</w:t>
            </w:r>
            <w:r>
              <w:rPr>
                <w:kern w:val="0"/>
                <w:szCs w:val="21"/>
                <w:highlight w:val="none"/>
                <w:lang w:bidi="ar"/>
              </w:rPr>
              <w:t>；</w:t>
            </w:r>
          </w:p>
          <w:p>
            <w:pPr>
              <w:tabs>
                <w:tab w:val="left" w:pos="0"/>
              </w:tabs>
              <w:spacing w:line="320" w:lineRule="exact"/>
              <w:textAlignment w:val="center"/>
              <w:rPr>
                <w:kern w:val="0"/>
                <w:szCs w:val="21"/>
                <w:highlight w:val="none"/>
                <w:lang w:bidi="ar"/>
              </w:rPr>
            </w:pPr>
            <w:r>
              <w:rPr>
                <w:kern w:val="0"/>
                <w:szCs w:val="21"/>
                <w:highlight w:val="none"/>
                <w:lang w:bidi="ar"/>
              </w:rPr>
              <w:t>6、保险：1年不得低于300万的保险额度（保险公司保单复印件加盖响应人公章）；</w:t>
            </w:r>
          </w:p>
        </w:tc>
        <w:tc>
          <w:tcPr>
            <w:tcW w:w="2744" w:type="dxa"/>
            <w:vAlign w:val="center"/>
          </w:tcPr>
          <w:p>
            <w:pPr>
              <w:spacing w:line="320" w:lineRule="exact"/>
              <w:textAlignment w:val="center"/>
              <w:rPr>
                <w:kern w:val="0"/>
                <w:szCs w:val="21"/>
                <w:highlight w:val="none"/>
                <w:lang w:bidi="ar"/>
              </w:rPr>
            </w:pPr>
            <w:r>
              <w:rPr>
                <w:kern w:val="0"/>
                <w:szCs w:val="21"/>
                <w:highlight w:val="none"/>
                <w:lang w:bidi="ar"/>
              </w:rPr>
              <w:t>1</w:t>
            </w:r>
            <w:r>
              <w:rPr>
                <w:rFonts w:hint="eastAsia"/>
                <w:kern w:val="0"/>
                <w:szCs w:val="21"/>
                <w:highlight w:val="none"/>
                <w:lang w:bidi="ar"/>
              </w:rPr>
              <w:t>、</w:t>
            </w:r>
            <w:r>
              <w:rPr>
                <w:kern w:val="0"/>
                <w:szCs w:val="21"/>
                <w:highlight w:val="none"/>
                <w:lang w:bidi="ar"/>
              </w:rPr>
              <w:t>抗爆性能V50值</w:t>
            </w:r>
          </w:p>
          <w:p>
            <w:pPr>
              <w:spacing w:line="320" w:lineRule="exact"/>
              <w:textAlignment w:val="center"/>
              <w:rPr>
                <w:kern w:val="0"/>
                <w:szCs w:val="21"/>
                <w:highlight w:val="none"/>
                <w:lang w:bidi="ar"/>
              </w:rPr>
            </w:pPr>
            <w:r>
              <w:rPr>
                <w:kern w:val="0"/>
                <w:szCs w:val="21"/>
                <w:highlight w:val="none"/>
                <w:lang w:bidi="ar"/>
              </w:rPr>
              <w:t>1.1防弹面罩；</w:t>
            </w:r>
          </w:p>
          <w:p>
            <w:pPr>
              <w:spacing w:line="320" w:lineRule="exact"/>
              <w:textAlignment w:val="center"/>
              <w:rPr>
                <w:kern w:val="0"/>
                <w:szCs w:val="21"/>
                <w:highlight w:val="none"/>
                <w:lang w:bidi="ar"/>
              </w:rPr>
            </w:pPr>
            <w:r>
              <w:rPr>
                <w:kern w:val="0"/>
                <w:szCs w:val="21"/>
                <w:highlight w:val="none"/>
                <w:lang w:bidi="ar"/>
              </w:rPr>
              <w:t>1.2防弹头盔；</w:t>
            </w:r>
          </w:p>
          <w:p>
            <w:pPr>
              <w:spacing w:line="320" w:lineRule="exact"/>
              <w:textAlignment w:val="center"/>
              <w:rPr>
                <w:kern w:val="0"/>
                <w:szCs w:val="21"/>
                <w:highlight w:val="none"/>
                <w:lang w:bidi="ar"/>
              </w:rPr>
            </w:pPr>
            <w:r>
              <w:rPr>
                <w:kern w:val="0"/>
                <w:szCs w:val="21"/>
                <w:highlight w:val="none"/>
                <w:lang w:bidi="ar"/>
              </w:rPr>
              <w:t>1.3上衣前部芯片；</w:t>
            </w:r>
          </w:p>
          <w:p>
            <w:pPr>
              <w:spacing w:line="320" w:lineRule="exact"/>
              <w:textAlignment w:val="center"/>
              <w:rPr>
                <w:kern w:val="0"/>
                <w:szCs w:val="21"/>
                <w:highlight w:val="none"/>
                <w:lang w:bidi="ar"/>
              </w:rPr>
            </w:pPr>
            <w:r>
              <w:rPr>
                <w:kern w:val="0"/>
                <w:szCs w:val="21"/>
                <w:highlight w:val="none"/>
                <w:lang w:bidi="ar"/>
              </w:rPr>
              <w:t>1.4防弹插板+上衣前部芯片；</w:t>
            </w:r>
          </w:p>
          <w:p>
            <w:pPr>
              <w:spacing w:line="320" w:lineRule="exact"/>
              <w:textAlignment w:val="center"/>
              <w:rPr>
                <w:kern w:val="0"/>
                <w:szCs w:val="21"/>
                <w:highlight w:val="none"/>
                <w:lang w:bidi="ar"/>
              </w:rPr>
            </w:pPr>
            <w:r>
              <w:rPr>
                <w:rFonts w:hint="eastAsia"/>
                <w:kern w:val="0"/>
                <w:szCs w:val="21"/>
                <w:highlight w:val="none"/>
                <w:lang w:bidi="ar"/>
              </w:rPr>
              <w:t>1.5上衣背部芯片；</w:t>
            </w:r>
          </w:p>
          <w:p>
            <w:pPr>
              <w:spacing w:line="320" w:lineRule="exact"/>
              <w:textAlignment w:val="center"/>
              <w:rPr>
                <w:kern w:val="0"/>
                <w:szCs w:val="21"/>
                <w:highlight w:val="none"/>
                <w:lang w:bidi="ar"/>
              </w:rPr>
            </w:pPr>
            <w:r>
              <w:rPr>
                <w:kern w:val="0"/>
                <w:szCs w:val="21"/>
                <w:highlight w:val="none"/>
                <w:lang w:bidi="ar"/>
              </w:rPr>
              <w:t>1.6袖子芯片；</w:t>
            </w:r>
          </w:p>
          <w:p>
            <w:pPr>
              <w:spacing w:line="320" w:lineRule="exact"/>
              <w:textAlignment w:val="center"/>
              <w:rPr>
                <w:kern w:val="0"/>
                <w:szCs w:val="21"/>
                <w:highlight w:val="none"/>
                <w:lang w:bidi="ar"/>
              </w:rPr>
            </w:pPr>
            <w:r>
              <w:rPr>
                <w:kern w:val="0"/>
                <w:szCs w:val="21"/>
                <w:highlight w:val="none"/>
                <w:lang w:bidi="ar"/>
              </w:rPr>
              <w:t>1.7大小腿</w:t>
            </w:r>
            <w:r>
              <w:rPr>
                <w:rFonts w:hint="eastAsia"/>
                <w:kern w:val="0"/>
                <w:szCs w:val="21"/>
                <w:highlight w:val="none"/>
                <w:lang w:bidi="ar"/>
              </w:rPr>
              <w:t>前</w:t>
            </w:r>
            <w:r>
              <w:rPr>
                <w:kern w:val="0"/>
                <w:szCs w:val="21"/>
                <w:highlight w:val="none"/>
                <w:lang w:bidi="ar"/>
              </w:rPr>
              <w:t>部；</w:t>
            </w:r>
          </w:p>
          <w:p>
            <w:pPr>
              <w:spacing w:line="320" w:lineRule="exact"/>
              <w:textAlignment w:val="center"/>
              <w:rPr>
                <w:kern w:val="0"/>
                <w:szCs w:val="21"/>
                <w:highlight w:val="none"/>
                <w:lang w:bidi="ar"/>
              </w:rPr>
            </w:pPr>
            <w:r>
              <w:rPr>
                <w:kern w:val="0"/>
                <w:szCs w:val="21"/>
                <w:highlight w:val="none"/>
                <w:lang w:bidi="ar"/>
              </w:rPr>
              <w:t>1.8</w:t>
            </w:r>
            <w:r>
              <w:rPr>
                <w:rFonts w:hint="eastAsia"/>
                <w:kern w:val="0"/>
                <w:szCs w:val="21"/>
                <w:highlight w:val="none"/>
                <w:lang w:bidi="ar"/>
              </w:rPr>
              <w:t>大</w:t>
            </w:r>
            <w:r>
              <w:rPr>
                <w:kern w:val="0"/>
                <w:szCs w:val="21"/>
                <w:highlight w:val="none"/>
                <w:lang w:bidi="ar"/>
              </w:rPr>
              <w:t>小腿</w:t>
            </w:r>
            <w:r>
              <w:rPr>
                <w:rFonts w:hint="eastAsia"/>
                <w:kern w:val="0"/>
                <w:szCs w:val="21"/>
                <w:highlight w:val="none"/>
                <w:lang w:bidi="ar"/>
              </w:rPr>
              <w:t>后</w:t>
            </w:r>
            <w:r>
              <w:rPr>
                <w:kern w:val="0"/>
                <w:szCs w:val="21"/>
                <w:highlight w:val="none"/>
                <w:lang w:bidi="ar"/>
              </w:rPr>
              <w:t>部；</w:t>
            </w:r>
          </w:p>
          <w:p>
            <w:pPr>
              <w:spacing w:line="320" w:lineRule="exact"/>
              <w:textAlignment w:val="center"/>
              <w:rPr>
                <w:kern w:val="0"/>
                <w:szCs w:val="21"/>
                <w:highlight w:val="none"/>
                <w:lang w:bidi="ar"/>
              </w:rPr>
            </w:pPr>
            <w:r>
              <w:rPr>
                <w:kern w:val="0"/>
                <w:szCs w:val="21"/>
                <w:highlight w:val="none"/>
                <w:lang w:bidi="ar"/>
              </w:rPr>
              <w:t>2、重量要求：</w:t>
            </w:r>
          </w:p>
          <w:p>
            <w:pPr>
              <w:spacing w:line="320" w:lineRule="exact"/>
              <w:textAlignment w:val="center"/>
              <w:rPr>
                <w:kern w:val="0"/>
                <w:szCs w:val="21"/>
                <w:highlight w:val="none"/>
                <w:lang w:bidi="ar"/>
              </w:rPr>
            </w:pPr>
            <w:r>
              <w:rPr>
                <w:kern w:val="0"/>
                <w:szCs w:val="21"/>
                <w:highlight w:val="none"/>
                <w:lang w:bidi="ar"/>
              </w:rPr>
              <w:t>2.1排爆服总重量；</w:t>
            </w:r>
          </w:p>
          <w:p>
            <w:pPr>
              <w:spacing w:line="320" w:lineRule="exact"/>
              <w:textAlignment w:val="center"/>
              <w:rPr>
                <w:kern w:val="0"/>
                <w:szCs w:val="21"/>
                <w:highlight w:val="none"/>
                <w:lang w:bidi="ar"/>
              </w:rPr>
            </w:pPr>
            <w:r>
              <w:rPr>
                <w:kern w:val="0"/>
                <w:szCs w:val="21"/>
                <w:highlight w:val="none"/>
                <w:lang w:bidi="ar"/>
              </w:rPr>
              <w:t>2.2插板重量；</w:t>
            </w:r>
          </w:p>
          <w:p>
            <w:pPr>
              <w:spacing w:line="320" w:lineRule="exact"/>
              <w:textAlignment w:val="center"/>
              <w:rPr>
                <w:kern w:val="0"/>
                <w:szCs w:val="21"/>
                <w:highlight w:val="none"/>
                <w:lang w:bidi="ar"/>
              </w:rPr>
            </w:pPr>
            <w:r>
              <w:rPr>
                <w:kern w:val="0"/>
                <w:szCs w:val="21"/>
                <w:highlight w:val="none"/>
                <w:lang w:bidi="ar"/>
              </w:rPr>
              <w:t>2.3上衣重量；</w:t>
            </w:r>
          </w:p>
          <w:p>
            <w:pPr>
              <w:spacing w:line="320" w:lineRule="exact"/>
              <w:textAlignment w:val="center"/>
              <w:rPr>
                <w:kern w:val="0"/>
                <w:szCs w:val="21"/>
                <w:highlight w:val="none"/>
                <w:lang w:bidi="ar"/>
              </w:rPr>
            </w:pPr>
            <w:r>
              <w:rPr>
                <w:kern w:val="0"/>
                <w:szCs w:val="21"/>
                <w:highlight w:val="none"/>
                <w:lang w:bidi="ar"/>
              </w:rPr>
              <w:t>2.4裤子重量；</w:t>
            </w:r>
          </w:p>
          <w:p>
            <w:pPr>
              <w:spacing w:line="320" w:lineRule="exact"/>
              <w:textAlignment w:val="center"/>
              <w:rPr>
                <w:kern w:val="0"/>
                <w:szCs w:val="21"/>
                <w:highlight w:val="none"/>
                <w:lang w:bidi="ar"/>
              </w:rPr>
            </w:pPr>
            <w:r>
              <w:rPr>
                <w:kern w:val="0"/>
                <w:szCs w:val="21"/>
                <w:highlight w:val="none"/>
                <w:lang w:bidi="ar"/>
              </w:rPr>
              <w:t>3、通讯系统；</w:t>
            </w:r>
          </w:p>
          <w:p>
            <w:pPr>
              <w:spacing w:line="320" w:lineRule="exact"/>
              <w:textAlignment w:val="center"/>
              <w:rPr>
                <w:kern w:val="0"/>
                <w:szCs w:val="21"/>
                <w:highlight w:val="none"/>
                <w:lang w:bidi="ar"/>
              </w:rPr>
            </w:pPr>
            <w:r>
              <w:rPr>
                <w:kern w:val="0"/>
                <w:szCs w:val="21"/>
                <w:highlight w:val="none"/>
                <w:lang w:bidi="ar"/>
              </w:rPr>
              <w:t>4、</w:t>
            </w:r>
            <w:r>
              <w:rPr>
                <w:rFonts w:hint="eastAsia"/>
                <w:kern w:val="0"/>
                <w:szCs w:val="21"/>
                <w:highlight w:val="none"/>
                <w:lang w:bidi="ar"/>
              </w:rPr>
              <w:t>冷却系统</w:t>
            </w:r>
            <w:r>
              <w:rPr>
                <w:kern w:val="0"/>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716"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排爆服II</w:t>
            </w:r>
          </w:p>
        </w:tc>
        <w:tc>
          <w:tcPr>
            <w:tcW w:w="4679" w:type="dxa"/>
            <w:vAlign w:val="center"/>
          </w:tcPr>
          <w:p>
            <w:pPr>
              <w:spacing w:line="320" w:lineRule="exact"/>
              <w:textAlignment w:val="center"/>
              <w:rPr>
                <w:kern w:val="0"/>
                <w:szCs w:val="21"/>
                <w:highlight w:val="none"/>
                <w:lang w:bidi="ar"/>
              </w:rPr>
            </w:pPr>
            <w:r>
              <w:rPr>
                <w:rFonts w:hint="eastAsia"/>
                <w:kern w:val="0"/>
                <w:szCs w:val="21"/>
                <w:highlight w:val="none"/>
                <w:lang w:bidi="ar"/>
              </w:rPr>
              <w:t>1、排爆服</w:t>
            </w:r>
            <w:r>
              <w:rPr>
                <w:kern w:val="0"/>
                <w:szCs w:val="21"/>
                <w:highlight w:val="none"/>
                <w:lang w:bidi="ar"/>
              </w:rPr>
              <w:t>II</w:t>
            </w:r>
            <w:r>
              <w:rPr>
                <w:rFonts w:hint="eastAsia"/>
                <w:kern w:val="0"/>
                <w:szCs w:val="21"/>
                <w:highlight w:val="none"/>
                <w:lang w:bidi="ar"/>
              </w:rPr>
              <w:t>至少由排爆服、防弹头盔、</w:t>
            </w:r>
            <w:r>
              <w:rPr>
                <w:kern w:val="0"/>
                <w:szCs w:val="21"/>
                <w:highlight w:val="none"/>
                <w:lang w:bidi="ar"/>
              </w:rPr>
              <w:t>通讯系统</w:t>
            </w:r>
            <w:r>
              <w:rPr>
                <w:rFonts w:hint="eastAsia"/>
                <w:kern w:val="0"/>
                <w:szCs w:val="21"/>
                <w:highlight w:val="none"/>
                <w:lang w:bidi="ar"/>
              </w:rPr>
              <w:t>组成；排爆服由排爆上衣、排爆裤、防护插板（护颈、护胸、护腹）、脊柱防护等组成。</w:t>
            </w:r>
          </w:p>
          <w:p>
            <w:pPr>
              <w:spacing w:line="320" w:lineRule="exact"/>
              <w:textAlignment w:val="center"/>
              <w:rPr>
                <w:kern w:val="0"/>
                <w:szCs w:val="21"/>
                <w:highlight w:val="none"/>
                <w:lang w:bidi="ar"/>
              </w:rPr>
            </w:pPr>
            <w:r>
              <w:rPr>
                <w:rFonts w:hint="eastAsia"/>
                <w:highlight w:val="none"/>
                <w:lang w:bidi="ar"/>
              </w:rPr>
              <w:t>2、</w:t>
            </w:r>
            <w:r>
              <w:rPr>
                <w:kern w:val="0"/>
                <w:szCs w:val="21"/>
                <w:highlight w:val="none"/>
                <w:lang w:bidi="ar"/>
              </w:rPr>
              <w:t>抗爆性能V50值（m/s, 1.1g±0.02g柱状楔形模拟破片）：</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.1面罩：≥700</w:t>
            </w:r>
            <w:r>
              <w:rPr>
                <w:kern w:val="0"/>
                <w:szCs w:val="21"/>
                <w:highlight w:val="none"/>
                <w:lang w:bidi="ar"/>
              </w:rPr>
              <w:t xml:space="preserve"> m/s</w:t>
            </w:r>
            <w:r>
              <w:rPr>
                <w:rFonts w:hint="eastAsia"/>
                <w:kern w:val="0"/>
                <w:szCs w:val="21"/>
                <w:highlight w:val="none"/>
                <w:lang w:val="en-US"/>
              </w:rPr>
              <w:t>；</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.2头盔：≥600</w:t>
            </w:r>
            <w:r>
              <w:rPr>
                <w:kern w:val="0"/>
                <w:szCs w:val="21"/>
                <w:highlight w:val="none"/>
                <w:lang w:bidi="ar"/>
              </w:rPr>
              <w:t xml:space="preserve"> m/s</w:t>
            </w:r>
            <w:r>
              <w:rPr>
                <w:rFonts w:hint="eastAsia"/>
                <w:kern w:val="0"/>
                <w:szCs w:val="21"/>
                <w:highlight w:val="none"/>
                <w:lang w:val="en-US"/>
              </w:rPr>
              <w:t>；</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.3护颈：≥950</w:t>
            </w:r>
            <w:r>
              <w:rPr>
                <w:kern w:val="0"/>
                <w:szCs w:val="21"/>
                <w:highlight w:val="none"/>
                <w:lang w:bidi="ar"/>
              </w:rPr>
              <w:t xml:space="preserve"> m/s</w:t>
            </w:r>
            <w:r>
              <w:rPr>
                <w:rFonts w:hint="eastAsia"/>
                <w:kern w:val="0"/>
                <w:szCs w:val="21"/>
                <w:highlight w:val="none"/>
                <w:lang w:val="en-US"/>
              </w:rPr>
              <w:t>；</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.4护胸：≥1800</w:t>
            </w:r>
            <w:r>
              <w:rPr>
                <w:kern w:val="0"/>
                <w:szCs w:val="21"/>
                <w:highlight w:val="none"/>
                <w:lang w:bidi="ar"/>
              </w:rPr>
              <w:t xml:space="preserve"> m/s</w:t>
            </w:r>
            <w:r>
              <w:rPr>
                <w:rFonts w:hint="eastAsia"/>
                <w:kern w:val="0"/>
                <w:szCs w:val="21"/>
                <w:highlight w:val="none"/>
                <w:lang w:val="en-US"/>
              </w:rPr>
              <w:t>；</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.5护背：≥500</w:t>
            </w:r>
            <w:r>
              <w:rPr>
                <w:kern w:val="0"/>
                <w:szCs w:val="21"/>
                <w:highlight w:val="none"/>
                <w:lang w:bidi="ar"/>
              </w:rPr>
              <w:t xml:space="preserve"> m/s</w:t>
            </w:r>
            <w:r>
              <w:rPr>
                <w:rFonts w:hint="eastAsia"/>
                <w:kern w:val="0"/>
                <w:szCs w:val="21"/>
                <w:highlight w:val="none"/>
                <w:lang w:val="en-US"/>
              </w:rPr>
              <w:t>；</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.6护裆：≥1000</w:t>
            </w:r>
            <w:r>
              <w:rPr>
                <w:kern w:val="0"/>
                <w:szCs w:val="21"/>
                <w:highlight w:val="none"/>
                <w:lang w:bidi="ar"/>
              </w:rPr>
              <w:t xml:space="preserve"> m/s</w:t>
            </w:r>
            <w:r>
              <w:rPr>
                <w:rFonts w:hint="eastAsia"/>
                <w:kern w:val="0"/>
                <w:szCs w:val="21"/>
                <w:highlight w:val="none"/>
                <w:lang w:val="en-US"/>
              </w:rPr>
              <w:t>；</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.7护前腿：≥600；</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.8护后腿：≥550；</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.9护臂：≥500；</w:t>
            </w:r>
          </w:p>
          <w:p>
            <w:pPr>
              <w:spacing w:line="320" w:lineRule="exact"/>
              <w:textAlignment w:val="center"/>
              <w:rPr>
                <w:kern w:val="0"/>
                <w:szCs w:val="21"/>
                <w:highlight w:val="none"/>
                <w:lang w:val="en-US"/>
              </w:rPr>
            </w:pPr>
            <w:r>
              <w:rPr>
                <w:rFonts w:hint="eastAsia"/>
                <w:kern w:val="0"/>
                <w:szCs w:val="21"/>
                <w:highlight w:val="none"/>
                <w:lang w:val="en-US"/>
              </w:rPr>
              <w:t>3、面罩透光率：≥8</w:t>
            </w:r>
            <w:r>
              <w:rPr>
                <w:kern w:val="0"/>
                <w:szCs w:val="21"/>
                <w:highlight w:val="none"/>
                <w:lang w:val="en-US"/>
              </w:rPr>
              <w:t>0</w:t>
            </w:r>
            <w:r>
              <w:rPr>
                <w:rFonts w:hint="eastAsia"/>
                <w:kern w:val="0"/>
                <w:szCs w:val="21"/>
                <w:highlight w:val="none"/>
                <w:lang w:val="en-US"/>
              </w:rPr>
              <w:t>%</w:t>
            </w:r>
          </w:p>
          <w:p>
            <w:pPr>
              <w:spacing w:line="320" w:lineRule="exact"/>
              <w:textAlignment w:val="center"/>
              <w:rPr>
                <w:highlight w:val="none"/>
                <w:lang w:bidi="ar"/>
              </w:rPr>
            </w:pPr>
            <w:r>
              <w:rPr>
                <w:kern w:val="0"/>
                <w:szCs w:val="21"/>
                <w:highlight w:val="none"/>
                <w:lang w:val="en-US"/>
              </w:rPr>
              <w:t>4</w:t>
            </w:r>
            <w:r>
              <w:rPr>
                <w:rFonts w:hint="eastAsia"/>
                <w:kern w:val="0"/>
                <w:szCs w:val="21"/>
                <w:highlight w:val="none"/>
                <w:lang w:val="en-US"/>
              </w:rPr>
              <w:t>、保险：1年不得低于300万的保险额</w:t>
            </w:r>
            <w:r>
              <w:rPr>
                <w:kern w:val="0"/>
                <w:szCs w:val="21"/>
                <w:highlight w:val="none"/>
              </w:rPr>
              <w:t>度（保险公司保单复印件加盖响应人公章）；</w:t>
            </w:r>
          </w:p>
        </w:tc>
        <w:tc>
          <w:tcPr>
            <w:tcW w:w="2744" w:type="dxa"/>
            <w:vAlign w:val="center"/>
          </w:tcPr>
          <w:p>
            <w:pPr>
              <w:spacing w:line="320" w:lineRule="exact"/>
              <w:textAlignment w:val="center"/>
              <w:rPr>
                <w:kern w:val="0"/>
                <w:szCs w:val="21"/>
                <w:highlight w:val="none"/>
                <w:lang w:bidi="ar"/>
              </w:rPr>
            </w:pPr>
            <w:r>
              <w:rPr>
                <w:highlight w:val="none"/>
                <w:lang w:bidi="ar"/>
              </w:rPr>
              <w:t>1</w:t>
            </w:r>
            <w:r>
              <w:rPr>
                <w:rFonts w:hint="eastAsia"/>
                <w:highlight w:val="none"/>
                <w:lang w:bidi="ar"/>
              </w:rPr>
              <w:t>、</w:t>
            </w:r>
            <w:r>
              <w:rPr>
                <w:kern w:val="0"/>
                <w:szCs w:val="21"/>
                <w:highlight w:val="none"/>
                <w:lang w:bidi="ar"/>
              </w:rPr>
              <w:t>抗爆性能V50值（m/s, 1.1g±0.02g柱状楔形模拟破片）：</w:t>
            </w:r>
          </w:p>
          <w:p>
            <w:pPr>
              <w:spacing w:line="320" w:lineRule="exact"/>
              <w:textAlignment w:val="center"/>
              <w:rPr>
                <w:kern w:val="0"/>
                <w:szCs w:val="21"/>
                <w:highlight w:val="none"/>
                <w:lang w:val="en-US"/>
              </w:rPr>
            </w:pPr>
            <w:r>
              <w:rPr>
                <w:kern w:val="0"/>
                <w:szCs w:val="21"/>
                <w:highlight w:val="none"/>
                <w:lang w:val="en-US"/>
              </w:rPr>
              <w:t>1</w:t>
            </w:r>
            <w:r>
              <w:rPr>
                <w:rFonts w:hint="eastAsia"/>
                <w:kern w:val="0"/>
                <w:szCs w:val="21"/>
                <w:highlight w:val="none"/>
                <w:lang w:val="en-US"/>
              </w:rPr>
              <w:t>.1面罩；</w:t>
            </w:r>
          </w:p>
          <w:p>
            <w:pPr>
              <w:spacing w:line="320" w:lineRule="exact"/>
              <w:textAlignment w:val="center"/>
              <w:rPr>
                <w:kern w:val="0"/>
                <w:szCs w:val="21"/>
                <w:highlight w:val="none"/>
                <w:lang w:val="en-US"/>
              </w:rPr>
            </w:pPr>
            <w:r>
              <w:rPr>
                <w:kern w:val="0"/>
                <w:szCs w:val="21"/>
                <w:highlight w:val="none"/>
                <w:lang w:val="en-US"/>
              </w:rPr>
              <w:t>1</w:t>
            </w:r>
            <w:r>
              <w:rPr>
                <w:rFonts w:hint="eastAsia"/>
                <w:kern w:val="0"/>
                <w:szCs w:val="21"/>
                <w:highlight w:val="none"/>
                <w:lang w:val="en-US"/>
              </w:rPr>
              <w:t>.2头盔；</w:t>
            </w:r>
          </w:p>
          <w:p>
            <w:pPr>
              <w:spacing w:line="320" w:lineRule="exact"/>
              <w:textAlignment w:val="center"/>
              <w:rPr>
                <w:kern w:val="0"/>
                <w:szCs w:val="21"/>
                <w:highlight w:val="none"/>
                <w:lang w:val="en-US"/>
              </w:rPr>
            </w:pPr>
            <w:r>
              <w:rPr>
                <w:kern w:val="0"/>
                <w:szCs w:val="21"/>
                <w:highlight w:val="none"/>
                <w:lang w:val="en-US"/>
              </w:rPr>
              <w:t>1</w:t>
            </w:r>
            <w:r>
              <w:rPr>
                <w:rFonts w:hint="eastAsia"/>
                <w:kern w:val="0"/>
                <w:szCs w:val="21"/>
                <w:highlight w:val="none"/>
                <w:lang w:val="en-US"/>
              </w:rPr>
              <w:t>.3护颈；</w:t>
            </w:r>
          </w:p>
          <w:p>
            <w:pPr>
              <w:spacing w:line="320" w:lineRule="exact"/>
              <w:textAlignment w:val="center"/>
              <w:rPr>
                <w:kern w:val="0"/>
                <w:szCs w:val="21"/>
                <w:highlight w:val="none"/>
                <w:lang w:val="en-US"/>
              </w:rPr>
            </w:pPr>
            <w:r>
              <w:rPr>
                <w:kern w:val="0"/>
                <w:szCs w:val="21"/>
                <w:highlight w:val="none"/>
                <w:lang w:val="en-US"/>
              </w:rPr>
              <w:t>1</w:t>
            </w:r>
            <w:r>
              <w:rPr>
                <w:rFonts w:hint="eastAsia"/>
                <w:kern w:val="0"/>
                <w:szCs w:val="21"/>
                <w:highlight w:val="none"/>
                <w:lang w:val="en-US"/>
              </w:rPr>
              <w:t>.4护胸；</w:t>
            </w:r>
          </w:p>
          <w:p>
            <w:pPr>
              <w:spacing w:line="320" w:lineRule="exact"/>
              <w:textAlignment w:val="center"/>
              <w:rPr>
                <w:kern w:val="0"/>
                <w:szCs w:val="21"/>
                <w:highlight w:val="none"/>
                <w:lang w:val="en-US"/>
              </w:rPr>
            </w:pPr>
            <w:r>
              <w:rPr>
                <w:kern w:val="0"/>
                <w:szCs w:val="21"/>
                <w:highlight w:val="none"/>
                <w:lang w:val="en-US"/>
              </w:rPr>
              <w:t>1</w:t>
            </w:r>
            <w:r>
              <w:rPr>
                <w:rFonts w:hint="eastAsia"/>
                <w:kern w:val="0"/>
                <w:szCs w:val="21"/>
                <w:highlight w:val="none"/>
                <w:lang w:val="en-US"/>
              </w:rPr>
              <w:t>.5护背；</w:t>
            </w:r>
          </w:p>
          <w:p>
            <w:pPr>
              <w:spacing w:line="320" w:lineRule="exact"/>
              <w:textAlignment w:val="center"/>
              <w:rPr>
                <w:kern w:val="0"/>
                <w:szCs w:val="21"/>
                <w:highlight w:val="none"/>
                <w:lang w:val="en-US"/>
              </w:rPr>
            </w:pPr>
            <w:r>
              <w:rPr>
                <w:kern w:val="0"/>
                <w:szCs w:val="21"/>
                <w:highlight w:val="none"/>
                <w:lang w:val="en-US"/>
              </w:rPr>
              <w:t>1</w:t>
            </w:r>
            <w:r>
              <w:rPr>
                <w:rFonts w:hint="eastAsia"/>
                <w:kern w:val="0"/>
                <w:szCs w:val="21"/>
                <w:highlight w:val="none"/>
                <w:lang w:val="en-US"/>
              </w:rPr>
              <w:t>.6护裆；</w:t>
            </w:r>
          </w:p>
          <w:p>
            <w:pPr>
              <w:spacing w:line="320" w:lineRule="exact"/>
              <w:textAlignment w:val="center"/>
              <w:rPr>
                <w:kern w:val="0"/>
                <w:szCs w:val="21"/>
                <w:highlight w:val="none"/>
                <w:lang w:val="en-US"/>
              </w:rPr>
            </w:pPr>
            <w:r>
              <w:rPr>
                <w:kern w:val="0"/>
                <w:szCs w:val="21"/>
                <w:highlight w:val="none"/>
                <w:lang w:val="en-US"/>
              </w:rPr>
              <w:t>1</w:t>
            </w:r>
            <w:r>
              <w:rPr>
                <w:rFonts w:hint="eastAsia"/>
                <w:kern w:val="0"/>
                <w:szCs w:val="21"/>
                <w:highlight w:val="none"/>
                <w:lang w:val="en-US"/>
              </w:rPr>
              <w:t>.7护前腿；</w:t>
            </w:r>
          </w:p>
          <w:p>
            <w:pPr>
              <w:spacing w:line="320" w:lineRule="exact"/>
              <w:textAlignment w:val="center"/>
              <w:rPr>
                <w:kern w:val="0"/>
                <w:szCs w:val="21"/>
                <w:highlight w:val="none"/>
                <w:lang w:val="en-US"/>
              </w:rPr>
            </w:pPr>
            <w:r>
              <w:rPr>
                <w:kern w:val="0"/>
                <w:szCs w:val="21"/>
                <w:highlight w:val="none"/>
                <w:lang w:val="en-US"/>
              </w:rPr>
              <w:t>1</w:t>
            </w:r>
            <w:r>
              <w:rPr>
                <w:rFonts w:hint="eastAsia"/>
                <w:kern w:val="0"/>
                <w:szCs w:val="21"/>
                <w:highlight w:val="none"/>
                <w:lang w:val="en-US"/>
              </w:rPr>
              <w:t>.8护后腿；</w:t>
            </w:r>
          </w:p>
          <w:p>
            <w:pPr>
              <w:spacing w:line="320" w:lineRule="exact"/>
              <w:textAlignment w:val="center"/>
              <w:rPr>
                <w:kern w:val="0"/>
                <w:szCs w:val="21"/>
                <w:highlight w:val="none"/>
                <w:lang w:val="en-US"/>
              </w:rPr>
            </w:pPr>
            <w:r>
              <w:rPr>
                <w:kern w:val="0"/>
                <w:szCs w:val="21"/>
                <w:highlight w:val="none"/>
                <w:lang w:val="en-US"/>
              </w:rPr>
              <w:t>1</w:t>
            </w:r>
            <w:r>
              <w:rPr>
                <w:rFonts w:hint="eastAsia"/>
                <w:kern w:val="0"/>
                <w:szCs w:val="21"/>
                <w:highlight w:val="none"/>
                <w:lang w:val="en-US"/>
              </w:rPr>
              <w:t>.9护臂；</w:t>
            </w:r>
          </w:p>
          <w:p>
            <w:pPr>
              <w:spacing w:line="320" w:lineRule="exact"/>
              <w:textAlignment w:val="center"/>
              <w:rPr>
                <w:kern w:val="0"/>
                <w:szCs w:val="21"/>
                <w:highlight w:val="none"/>
                <w:lang w:val="en-US"/>
              </w:rPr>
            </w:pPr>
            <w:r>
              <w:rPr>
                <w:kern w:val="0"/>
                <w:szCs w:val="21"/>
                <w:highlight w:val="none"/>
                <w:lang w:val="en-US"/>
              </w:rPr>
              <w:t>2</w:t>
            </w:r>
            <w:r>
              <w:rPr>
                <w:rFonts w:hint="eastAsia"/>
                <w:kern w:val="0"/>
                <w:szCs w:val="21"/>
                <w:highlight w:val="none"/>
                <w:lang w:val="en-US"/>
              </w:rPr>
              <w:t>、面罩透光率：≥8</w:t>
            </w:r>
            <w:r>
              <w:rPr>
                <w:kern w:val="0"/>
                <w:szCs w:val="21"/>
                <w:highlight w:val="none"/>
                <w:lang w:val="en-US"/>
              </w:rPr>
              <w:t>0</w:t>
            </w:r>
            <w:r>
              <w:rPr>
                <w:rFonts w:hint="eastAsia"/>
                <w:kern w:val="0"/>
                <w:szCs w:val="21"/>
                <w:highlight w:val="none"/>
                <w:lang w:val="en-US"/>
              </w:rPr>
              <w:t>%</w:t>
            </w:r>
          </w:p>
          <w:p>
            <w:pPr>
              <w:tabs>
                <w:tab w:val="left" w:pos="2030"/>
              </w:tabs>
              <w:spacing w:line="320" w:lineRule="exact"/>
              <w:textAlignment w:val="center"/>
              <w:rPr>
                <w:kern w:val="0"/>
                <w:szCs w:val="21"/>
                <w:highlight w:val="none"/>
                <w:lang w:val="en-US" w:bidi="ar"/>
              </w:rPr>
            </w:pPr>
          </w:p>
        </w:tc>
      </w:tr>
    </w:tbl>
    <w:p>
      <w:pPr>
        <w:rPr>
          <w:highlight w:val="none"/>
        </w:rPr>
      </w:pPr>
    </w:p>
    <w:p>
      <w:pPr>
        <w:pStyle w:val="5"/>
        <w:keepNext w:val="0"/>
        <w:keepLines w:val="0"/>
        <w:widowControl w:val="0"/>
        <w:spacing w:before="120"/>
        <w:rPr>
          <w:highlight w:val="none"/>
        </w:rPr>
      </w:pPr>
      <w:r>
        <w:rPr>
          <w:color w:val="auto"/>
          <w:highlight w:val="none"/>
        </w:rPr>
        <w:t>防爆球</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852"/>
        <w:gridCol w:w="4395"/>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1852" w:type="dxa"/>
            <w:vAlign w:val="center"/>
          </w:tcPr>
          <w:p>
            <w:pPr>
              <w:spacing w:line="400" w:lineRule="exact"/>
              <w:jc w:val="center"/>
              <w:rPr>
                <w:kern w:val="0"/>
                <w:szCs w:val="21"/>
                <w:highlight w:val="none"/>
                <w:lang w:bidi="ar"/>
              </w:rPr>
            </w:pPr>
            <w:r>
              <w:rPr>
                <w:b/>
                <w:bCs/>
                <w:szCs w:val="21"/>
                <w:highlight w:val="none"/>
              </w:rPr>
              <w:t>产品名称</w:t>
            </w:r>
          </w:p>
        </w:tc>
        <w:tc>
          <w:tcPr>
            <w:tcW w:w="4395" w:type="dxa"/>
            <w:vAlign w:val="center"/>
          </w:tcPr>
          <w:p>
            <w:pPr>
              <w:spacing w:line="400" w:lineRule="exact"/>
              <w:jc w:val="center"/>
              <w:rPr>
                <w:b/>
                <w:bCs/>
                <w:szCs w:val="21"/>
                <w:highlight w:val="none"/>
              </w:rPr>
            </w:pPr>
            <w:r>
              <w:rPr>
                <w:b/>
                <w:bCs/>
                <w:szCs w:val="21"/>
                <w:highlight w:val="none"/>
              </w:rPr>
              <w:t>技术要求</w:t>
            </w:r>
          </w:p>
        </w:tc>
        <w:tc>
          <w:tcPr>
            <w:tcW w:w="1892"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52"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牵引式防爆球</w:t>
            </w:r>
          </w:p>
        </w:tc>
        <w:tc>
          <w:tcPr>
            <w:tcW w:w="4395" w:type="dxa"/>
            <w:vAlign w:val="center"/>
          </w:tcPr>
          <w:p>
            <w:pPr>
              <w:spacing w:line="320" w:lineRule="exact"/>
              <w:textAlignment w:val="center"/>
              <w:rPr>
                <w:kern w:val="0"/>
                <w:highlight w:val="none"/>
                <w:lang w:bidi="ar"/>
              </w:rPr>
            </w:pPr>
            <w:r>
              <w:rPr>
                <w:kern w:val="0"/>
                <w:highlight w:val="none"/>
                <w:lang w:bidi="ar"/>
              </w:rPr>
              <w:t>1、执行标准：《GA 872-2010 防爆球》；</w:t>
            </w:r>
          </w:p>
          <w:p>
            <w:pPr>
              <w:spacing w:line="320" w:lineRule="exact"/>
              <w:textAlignment w:val="center"/>
              <w:rPr>
                <w:kern w:val="0"/>
                <w:highlight w:val="none"/>
                <w:lang w:bidi="ar"/>
              </w:rPr>
            </w:pPr>
            <w:r>
              <w:rPr>
                <w:kern w:val="0"/>
                <w:highlight w:val="none"/>
                <w:lang w:bidi="ar"/>
              </w:rPr>
              <w:t>2、附带牵引装置。</w:t>
            </w:r>
          </w:p>
        </w:tc>
        <w:tc>
          <w:tcPr>
            <w:tcW w:w="1892" w:type="dxa"/>
            <w:vMerge w:val="restart"/>
            <w:vAlign w:val="center"/>
          </w:tcPr>
          <w:p>
            <w:pPr>
              <w:spacing w:line="320" w:lineRule="exact"/>
              <w:textAlignment w:val="center"/>
              <w:rPr>
                <w:kern w:val="0"/>
                <w:highlight w:val="none"/>
                <w:lang w:bidi="ar"/>
              </w:rPr>
            </w:pPr>
            <w:r>
              <w:rPr>
                <w:rFonts w:hint="eastAsia"/>
                <w:kern w:val="0"/>
                <w:highlight w:val="none"/>
                <w:lang w:bidi="ar"/>
              </w:rPr>
              <w:t>1、外观；</w:t>
            </w:r>
          </w:p>
          <w:p>
            <w:pPr>
              <w:spacing w:line="320" w:lineRule="exact"/>
              <w:textAlignment w:val="center"/>
              <w:rPr>
                <w:kern w:val="0"/>
                <w:highlight w:val="none"/>
                <w:lang w:bidi="ar"/>
              </w:rPr>
            </w:pPr>
            <w:r>
              <w:rPr>
                <w:rFonts w:hint="eastAsia"/>
                <w:kern w:val="0"/>
                <w:highlight w:val="none"/>
                <w:lang w:bidi="ar"/>
              </w:rPr>
              <w:t>2、产品标志；</w:t>
            </w:r>
          </w:p>
          <w:p>
            <w:pPr>
              <w:spacing w:line="320" w:lineRule="exact"/>
              <w:textAlignment w:val="center"/>
              <w:rPr>
                <w:kern w:val="0"/>
                <w:highlight w:val="none"/>
                <w:lang w:bidi="ar"/>
              </w:rPr>
            </w:pPr>
            <w:r>
              <w:rPr>
                <w:rFonts w:hint="eastAsia"/>
                <w:kern w:val="0"/>
                <w:highlight w:val="none"/>
                <w:lang w:bidi="ar"/>
              </w:rPr>
              <w:t>3、操作可靠性；</w:t>
            </w:r>
          </w:p>
          <w:p>
            <w:pPr>
              <w:spacing w:line="320" w:lineRule="exact"/>
              <w:textAlignment w:val="center"/>
              <w:rPr>
                <w:kern w:val="0"/>
                <w:highlight w:val="none"/>
                <w:lang w:bidi="ar"/>
              </w:rPr>
            </w:pPr>
            <w:r>
              <w:rPr>
                <w:kern w:val="0"/>
                <w:highlight w:val="none"/>
                <w:lang w:bidi="ar"/>
              </w:rPr>
              <w:t>4</w:t>
            </w:r>
            <w:r>
              <w:rPr>
                <w:rFonts w:hint="eastAsia"/>
                <w:kern w:val="0"/>
                <w:highlight w:val="none"/>
                <w:lang w:bidi="ar"/>
              </w:rPr>
              <w:t>、球盖开启尺寸；</w:t>
            </w:r>
          </w:p>
          <w:p>
            <w:pPr>
              <w:spacing w:line="320" w:lineRule="exact"/>
              <w:textAlignment w:val="center"/>
              <w:rPr>
                <w:kern w:val="0"/>
                <w:highlight w:val="none"/>
                <w:lang w:bidi="ar"/>
              </w:rPr>
            </w:pPr>
            <w:r>
              <w:rPr>
                <w:kern w:val="0"/>
                <w:highlight w:val="none"/>
                <w:lang w:bidi="ar"/>
              </w:rPr>
              <w:t>5</w:t>
            </w:r>
            <w:r>
              <w:rPr>
                <w:rFonts w:hint="eastAsia"/>
                <w:kern w:val="0"/>
                <w:highlight w:val="none"/>
                <w:lang w:bidi="ar"/>
              </w:rPr>
              <w:t>、防爆能力。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52"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无牵引防爆球</w:t>
            </w:r>
          </w:p>
        </w:tc>
        <w:tc>
          <w:tcPr>
            <w:tcW w:w="4395" w:type="dxa"/>
            <w:vAlign w:val="center"/>
          </w:tcPr>
          <w:p>
            <w:pPr>
              <w:spacing w:line="320" w:lineRule="exact"/>
              <w:textAlignment w:val="center"/>
              <w:rPr>
                <w:kern w:val="0"/>
                <w:highlight w:val="none"/>
                <w:lang w:bidi="ar"/>
              </w:rPr>
            </w:pPr>
            <w:r>
              <w:rPr>
                <w:kern w:val="0"/>
                <w:highlight w:val="none"/>
                <w:lang w:bidi="ar"/>
              </w:rPr>
              <w:t>1、执行标准：《GA 872-2010 防爆球》；</w:t>
            </w:r>
          </w:p>
          <w:p>
            <w:pPr>
              <w:spacing w:line="320" w:lineRule="exact"/>
              <w:textAlignment w:val="center"/>
              <w:rPr>
                <w:kern w:val="0"/>
                <w:highlight w:val="none"/>
                <w:lang w:bidi="ar"/>
              </w:rPr>
            </w:pPr>
            <w:r>
              <w:rPr>
                <w:kern w:val="0"/>
                <w:highlight w:val="none"/>
                <w:lang w:bidi="ar"/>
              </w:rPr>
              <w:t>2、无牵引装置。</w:t>
            </w:r>
          </w:p>
        </w:tc>
        <w:tc>
          <w:tcPr>
            <w:tcW w:w="1892" w:type="dxa"/>
            <w:vMerge w:val="continue"/>
            <w:vAlign w:val="center"/>
          </w:tcPr>
          <w:p>
            <w:pPr>
              <w:spacing w:line="320" w:lineRule="exact"/>
              <w:textAlignment w:val="center"/>
              <w:rPr>
                <w:kern w:val="0"/>
                <w:highlight w:val="none"/>
                <w:lang w:bidi="ar"/>
              </w:rPr>
            </w:pPr>
          </w:p>
        </w:tc>
      </w:tr>
    </w:tbl>
    <w:p>
      <w:pPr>
        <w:rPr>
          <w:highlight w:val="none"/>
        </w:rPr>
      </w:pPr>
    </w:p>
    <w:p>
      <w:pPr>
        <w:pStyle w:val="5"/>
        <w:keepNext w:val="0"/>
        <w:keepLines w:val="0"/>
        <w:widowControl w:val="0"/>
        <w:spacing w:before="120"/>
        <w:rPr>
          <w:color w:val="auto"/>
          <w:highlight w:val="none"/>
        </w:rPr>
      </w:pPr>
      <w:r>
        <w:rPr>
          <w:color w:val="auto"/>
          <w:highlight w:val="none"/>
        </w:rPr>
        <w:t>防爆罐</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852"/>
        <w:gridCol w:w="4395"/>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1852" w:type="dxa"/>
            <w:vAlign w:val="center"/>
          </w:tcPr>
          <w:p>
            <w:pPr>
              <w:spacing w:line="400" w:lineRule="exact"/>
              <w:jc w:val="center"/>
              <w:rPr>
                <w:kern w:val="0"/>
                <w:szCs w:val="21"/>
                <w:highlight w:val="none"/>
                <w:lang w:bidi="ar"/>
              </w:rPr>
            </w:pPr>
            <w:r>
              <w:rPr>
                <w:b/>
                <w:bCs/>
                <w:szCs w:val="21"/>
                <w:highlight w:val="none"/>
              </w:rPr>
              <w:t>产品名称</w:t>
            </w:r>
          </w:p>
        </w:tc>
        <w:tc>
          <w:tcPr>
            <w:tcW w:w="4395" w:type="dxa"/>
            <w:vAlign w:val="center"/>
          </w:tcPr>
          <w:p>
            <w:pPr>
              <w:spacing w:line="400" w:lineRule="exact"/>
              <w:jc w:val="center"/>
              <w:rPr>
                <w:b/>
                <w:bCs/>
                <w:szCs w:val="21"/>
                <w:highlight w:val="none"/>
              </w:rPr>
            </w:pPr>
            <w:r>
              <w:rPr>
                <w:b/>
                <w:bCs/>
                <w:szCs w:val="21"/>
                <w:highlight w:val="none"/>
              </w:rPr>
              <w:t>技术要求</w:t>
            </w:r>
          </w:p>
        </w:tc>
        <w:tc>
          <w:tcPr>
            <w:tcW w:w="1892"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52"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固定式防爆罐</w:t>
            </w:r>
          </w:p>
        </w:tc>
        <w:tc>
          <w:tcPr>
            <w:tcW w:w="4395" w:type="dxa"/>
            <w:vAlign w:val="center"/>
          </w:tcPr>
          <w:p>
            <w:pPr>
              <w:spacing w:line="320" w:lineRule="exact"/>
              <w:textAlignment w:val="center"/>
              <w:rPr>
                <w:kern w:val="0"/>
                <w:highlight w:val="none"/>
                <w:lang w:bidi="ar"/>
              </w:rPr>
            </w:pPr>
            <w:r>
              <w:rPr>
                <w:kern w:val="0"/>
                <w:highlight w:val="none"/>
                <w:lang w:bidi="ar"/>
              </w:rPr>
              <w:t>1、执行标准：《GA 871-2010 防爆罐》；</w:t>
            </w:r>
          </w:p>
          <w:p>
            <w:pPr>
              <w:spacing w:line="320" w:lineRule="exact"/>
              <w:textAlignment w:val="center"/>
              <w:rPr>
                <w:kern w:val="0"/>
                <w:highlight w:val="none"/>
                <w:lang w:bidi="ar"/>
              </w:rPr>
            </w:pPr>
            <w:r>
              <w:rPr>
                <w:kern w:val="0"/>
                <w:highlight w:val="none"/>
                <w:lang w:bidi="ar"/>
              </w:rPr>
              <w:t>2、固定置于某一特定位置，无自我远距离移动功能。</w:t>
            </w:r>
          </w:p>
        </w:tc>
        <w:tc>
          <w:tcPr>
            <w:tcW w:w="1892" w:type="dxa"/>
            <w:vAlign w:val="center"/>
          </w:tcPr>
          <w:p>
            <w:pPr>
              <w:spacing w:line="320" w:lineRule="exact"/>
              <w:textAlignment w:val="center"/>
              <w:rPr>
                <w:color w:val="000000"/>
                <w:kern w:val="0"/>
                <w:sz w:val="22"/>
                <w:highlight w:val="none"/>
                <w:lang w:bidi="ar"/>
              </w:rPr>
            </w:pPr>
            <w:r>
              <w:rPr>
                <w:color w:val="000000"/>
                <w:kern w:val="0"/>
                <w:sz w:val="22"/>
                <w:highlight w:val="none"/>
                <w:lang w:bidi="ar"/>
              </w:rPr>
              <w:t>1</w:t>
            </w:r>
            <w:r>
              <w:rPr>
                <w:rFonts w:hint="eastAsia"/>
                <w:kern w:val="0"/>
                <w:highlight w:val="none"/>
                <w:lang w:bidi="ar"/>
              </w:rPr>
              <w:t>、</w:t>
            </w:r>
            <w:r>
              <w:rPr>
                <w:color w:val="000000"/>
                <w:kern w:val="0"/>
                <w:sz w:val="22"/>
                <w:highlight w:val="none"/>
                <w:lang w:bidi="ar"/>
              </w:rPr>
              <w:t>一般要求；</w:t>
            </w:r>
          </w:p>
          <w:p>
            <w:pPr>
              <w:spacing w:line="320" w:lineRule="exact"/>
              <w:textAlignment w:val="center"/>
              <w:rPr>
                <w:color w:val="000000"/>
                <w:kern w:val="0"/>
                <w:sz w:val="22"/>
                <w:highlight w:val="none"/>
                <w:lang w:bidi="ar"/>
              </w:rPr>
            </w:pPr>
            <w:r>
              <w:rPr>
                <w:color w:val="000000"/>
                <w:kern w:val="0"/>
                <w:sz w:val="22"/>
                <w:highlight w:val="none"/>
                <w:lang w:bidi="ar"/>
              </w:rPr>
              <w:t>2</w:t>
            </w:r>
            <w:r>
              <w:rPr>
                <w:rFonts w:hint="eastAsia"/>
                <w:kern w:val="0"/>
                <w:highlight w:val="none"/>
                <w:lang w:bidi="ar"/>
              </w:rPr>
              <w:t>、</w:t>
            </w:r>
            <w:r>
              <w:rPr>
                <w:color w:val="000000"/>
                <w:kern w:val="0"/>
                <w:sz w:val="22"/>
                <w:highlight w:val="none"/>
                <w:lang w:bidi="ar"/>
              </w:rPr>
              <w:t>产品标志；</w:t>
            </w:r>
          </w:p>
          <w:p>
            <w:pPr>
              <w:spacing w:line="320" w:lineRule="exact"/>
              <w:textAlignment w:val="center"/>
              <w:rPr>
                <w:kern w:val="0"/>
                <w:highlight w:val="none"/>
                <w:lang w:bidi="ar"/>
              </w:rPr>
            </w:pPr>
            <w:r>
              <w:rPr>
                <w:color w:val="000000"/>
                <w:kern w:val="0"/>
                <w:sz w:val="22"/>
                <w:highlight w:val="none"/>
                <w:lang w:bidi="ar"/>
              </w:rPr>
              <w:t>3</w:t>
            </w:r>
            <w:r>
              <w:rPr>
                <w:rFonts w:hint="eastAsia"/>
                <w:kern w:val="0"/>
                <w:highlight w:val="none"/>
                <w:lang w:bidi="ar"/>
              </w:rPr>
              <w:t>、</w:t>
            </w:r>
            <w:r>
              <w:rPr>
                <w:color w:val="000000"/>
                <w:kern w:val="0"/>
                <w:sz w:val="22"/>
                <w:highlight w:val="none"/>
                <w:lang w:bidi="ar"/>
              </w:rPr>
              <w:t>防爆能力。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52"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拖车式防爆罐</w:t>
            </w:r>
          </w:p>
        </w:tc>
        <w:tc>
          <w:tcPr>
            <w:tcW w:w="4395" w:type="dxa"/>
            <w:vAlign w:val="center"/>
          </w:tcPr>
          <w:p>
            <w:pPr>
              <w:spacing w:line="320" w:lineRule="exact"/>
              <w:textAlignment w:val="center"/>
              <w:rPr>
                <w:kern w:val="0"/>
                <w:highlight w:val="none"/>
                <w:lang w:bidi="ar"/>
              </w:rPr>
            </w:pPr>
            <w:r>
              <w:rPr>
                <w:kern w:val="0"/>
                <w:highlight w:val="none"/>
                <w:lang w:bidi="ar"/>
              </w:rPr>
              <w:t>1、执行标准：《GA 871-2010 防爆罐》；</w:t>
            </w:r>
          </w:p>
          <w:p>
            <w:pPr>
              <w:spacing w:line="320" w:lineRule="exact"/>
              <w:textAlignment w:val="center"/>
              <w:rPr>
                <w:kern w:val="0"/>
                <w:highlight w:val="none"/>
                <w:lang w:bidi="ar"/>
              </w:rPr>
            </w:pPr>
            <w:r>
              <w:rPr>
                <w:kern w:val="0"/>
                <w:highlight w:val="none"/>
                <w:lang w:bidi="ar"/>
              </w:rPr>
              <w:t>2、有标准拖车为载体，具有存放与运输功能。</w:t>
            </w:r>
          </w:p>
        </w:tc>
        <w:tc>
          <w:tcPr>
            <w:tcW w:w="1892" w:type="dxa"/>
            <w:vAlign w:val="center"/>
          </w:tcPr>
          <w:p>
            <w:pPr>
              <w:spacing w:line="320" w:lineRule="exact"/>
              <w:textAlignment w:val="center"/>
              <w:rPr>
                <w:color w:val="000000"/>
                <w:kern w:val="0"/>
                <w:sz w:val="22"/>
                <w:highlight w:val="none"/>
                <w:lang w:bidi="ar"/>
              </w:rPr>
            </w:pPr>
            <w:r>
              <w:rPr>
                <w:color w:val="000000"/>
                <w:kern w:val="0"/>
                <w:sz w:val="22"/>
                <w:highlight w:val="none"/>
                <w:lang w:bidi="ar"/>
              </w:rPr>
              <w:t>1</w:t>
            </w:r>
            <w:r>
              <w:rPr>
                <w:rFonts w:hint="eastAsia"/>
                <w:kern w:val="0"/>
                <w:highlight w:val="none"/>
                <w:lang w:bidi="ar"/>
              </w:rPr>
              <w:t>、</w:t>
            </w:r>
            <w:r>
              <w:rPr>
                <w:color w:val="000000"/>
                <w:kern w:val="0"/>
                <w:sz w:val="22"/>
                <w:highlight w:val="none"/>
                <w:lang w:bidi="ar"/>
              </w:rPr>
              <w:t>一般要求；</w:t>
            </w:r>
          </w:p>
          <w:p>
            <w:pPr>
              <w:spacing w:line="320" w:lineRule="exact"/>
              <w:textAlignment w:val="center"/>
              <w:rPr>
                <w:color w:val="000000"/>
                <w:kern w:val="0"/>
                <w:sz w:val="22"/>
                <w:highlight w:val="none"/>
                <w:lang w:bidi="ar"/>
              </w:rPr>
            </w:pPr>
            <w:r>
              <w:rPr>
                <w:color w:val="000000"/>
                <w:kern w:val="0"/>
                <w:sz w:val="22"/>
                <w:highlight w:val="none"/>
                <w:lang w:bidi="ar"/>
              </w:rPr>
              <w:t>2</w:t>
            </w:r>
            <w:r>
              <w:rPr>
                <w:rFonts w:hint="eastAsia"/>
                <w:kern w:val="0"/>
                <w:highlight w:val="none"/>
                <w:lang w:bidi="ar"/>
              </w:rPr>
              <w:t>、</w:t>
            </w:r>
            <w:r>
              <w:rPr>
                <w:color w:val="000000"/>
                <w:kern w:val="0"/>
                <w:sz w:val="22"/>
                <w:highlight w:val="none"/>
                <w:lang w:bidi="ar"/>
              </w:rPr>
              <w:t>产品标志；</w:t>
            </w:r>
          </w:p>
          <w:p>
            <w:pPr>
              <w:spacing w:line="320" w:lineRule="exact"/>
              <w:textAlignment w:val="center"/>
              <w:rPr>
                <w:kern w:val="0"/>
                <w:highlight w:val="none"/>
                <w:lang w:bidi="ar"/>
              </w:rPr>
            </w:pPr>
            <w:r>
              <w:rPr>
                <w:color w:val="000000"/>
                <w:kern w:val="0"/>
                <w:sz w:val="22"/>
                <w:highlight w:val="none"/>
                <w:lang w:bidi="ar"/>
              </w:rPr>
              <w:t>3</w:t>
            </w:r>
            <w:r>
              <w:rPr>
                <w:rFonts w:hint="eastAsia"/>
                <w:kern w:val="0"/>
                <w:highlight w:val="none"/>
                <w:lang w:bidi="ar"/>
              </w:rPr>
              <w:t>、</w:t>
            </w:r>
            <w:r>
              <w:rPr>
                <w:color w:val="000000"/>
                <w:kern w:val="0"/>
                <w:sz w:val="22"/>
                <w:highlight w:val="none"/>
                <w:lang w:bidi="ar"/>
              </w:rPr>
              <w:t>防爆能力。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52"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柔性防爆罐</w:t>
            </w:r>
            <w:r>
              <w:rPr>
                <w:rFonts w:hint="eastAsia"/>
                <w:kern w:val="0"/>
                <w:szCs w:val="21"/>
                <w:highlight w:val="none"/>
                <w:lang w:bidi="ar"/>
              </w:rPr>
              <w:t>I</w:t>
            </w:r>
          </w:p>
        </w:tc>
        <w:tc>
          <w:tcPr>
            <w:tcW w:w="4395" w:type="dxa"/>
            <w:vAlign w:val="center"/>
          </w:tcPr>
          <w:p>
            <w:pPr>
              <w:pStyle w:val="436"/>
              <w:spacing w:line="320" w:lineRule="exact"/>
              <w:ind w:firstLine="0" w:firstLineChars="0"/>
              <w:jc w:val="both"/>
              <w:textAlignment w:val="center"/>
              <w:rPr>
                <w:kern w:val="0"/>
                <w:szCs w:val="21"/>
                <w:highlight w:val="none"/>
              </w:rPr>
            </w:pPr>
            <w:r>
              <w:rPr>
                <w:kern w:val="0"/>
                <w:szCs w:val="21"/>
                <w:highlight w:val="none"/>
              </w:rPr>
              <w:t>1、材质：全部为非金属柔性材料和液体制备而成；</w:t>
            </w:r>
          </w:p>
          <w:p>
            <w:pPr>
              <w:spacing w:line="320" w:lineRule="exact"/>
              <w:rPr>
                <w:kern w:val="0"/>
                <w:szCs w:val="21"/>
                <w:highlight w:val="none"/>
              </w:rPr>
            </w:pPr>
            <w:r>
              <w:rPr>
                <w:kern w:val="0"/>
                <w:szCs w:val="21"/>
                <w:highlight w:val="none"/>
              </w:rPr>
              <w:t>2、由桶体、桶盖、手柄等组成；</w:t>
            </w:r>
          </w:p>
          <w:p>
            <w:pPr>
              <w:spacing w:line="320" w:lineRule="exact"/>
              <w:textAlignment w:val="center"/>
              <w:rPr>
                <w:kern w:val="0"/>
                <w:szCs w:val="21"/>
                <w:highlight w:val="none"/>
              </w:rPr>
            </w:pPr>
            <w:r>
              <w:rPr>
                <w:kern w:val="0"/>
                <w:szCs w:val="21"/>
                <w:highlight w:val="none"/>
              </w:rPr>
              <w:t>3、</w:t>
            </w:r>
            <w:r>
              <w:rPr>
                <w:rFonts w:hint="eastAsia"/>
                <w:kern w:val="0"/>
                <w:szCs w:val="21"/>
                <w:highlight w:val="none"/>
              </w:rPr>
              <w:t>防爆</w:t>
            </w:r>
            <w:r>
              <w:rPr>
                <w:kern w:val="0"/>
                <w:szCs w:val="21"/>
                <w:highlight w:val="none"/>
              </w:rPr>
              <w:t>能力：可防不少于500g TNT</w:t>
            </w:r>
            <w:r>
              <w:rPr>
                <w:rFonts w:hint="eastAsia"/>
                <w:kern w:val="0"/>
                <w:szCs w:val="21"/>
                <w:highlight w:val="none"/>
              </w:rPr>
              <w:t>；</w:t>
            </w:r>
            <w:r>
              <w:rPr>
                <w:kern w:val="0"/>
                <w:szCs w:val="21"/>
                <w:highlight w:val="none"/>
              </w:rPr>
              <w:t xml:space="preserve"> </w:t>
            </w:r>
          </w:p>
          <w:p>
            <w:pPr>
              <w:spacing w:line="320" w:lineRule="exact"/>
              <w:rPr>
                <w:kern w:val="0"/>
                <w:szCs w:val="21"/>
                <w:highlight w:val="none"/>
              </w:rPr>
            </w:pPr>
            <w:r>
              <w:rPr>
                <w:kern w:val="0"/>
                <w:szCs w:val="21"/>
                <w:highlight w:val="none"/>
              </w:rPr>
              <w:t>4、安全距离：距离爆炸物≥3.5米外为安全距离；</w:t>
            </w:r>
          </w:p>
          <w:p>
            <w:pPr>
              <w:spacing w:line="320" w:lineRule="exact"/>
              <w:rPr>
                <w:kern w:val="0"/>
                <w:highlight w:val="none"/>
                <w:lang w:bidi="ar"/>
              </w:rPr>
            </w:pPr>
            <w:r>
              <w:rPr>
                <w:kern w:val="0"/>
                <w:szCs w:val="21"/>
                <w:highlight w:val="none"/>
              </w:rPr>
              <w:t>5、处置方式：非接触式处置和内部处置。</w:t>
            </w:r>
          </w:p>
        </w:tc>
        <w:tc>
          <w:tcPr>
            <w:tcW w:w="1892" w:type="dxa"/>
            <w:vAlign w:val="center"/>
          </w:tcPr>
          <w:p>
            <w:pPr>
              <w:spacing w:line="320" w:lineRule="exact"/>
              <w:rPr>
                <w:color w:val="000000"/>
                <w:kern w:val="0"/>
                <w:szCs w:val="21"/>
                <w:highlight w:val="none"/>
              </w:rPr>
            </w:pPr>
            <w:r>
              <w:rPr>
                <w:color w:val="000000"/>
                <w:kern w:val="0"/>
                <w:szCs w:val="21"/>
                <w:highlight w:val="none"/>
              </w:rPr>
              <w:t>1</w:t>
            </w:r>
            <w:r>
              <w:rPr>
                <w:rFonts w:hint="eastAsia"/>
                <w:color w:val="000000"/>
                <w:kern w:val="0"/>
                <w:szCs w:val="21"/>
                <w:highlight w:val="none"/>
              </w:rPr>
              <w:t>、材质</w:t>
            </w:r>
            <w:r>
              <w:rPr>
                <w:color w:val="000000"/>
                <w:kern w:val="0"/>
                <w:szCs w:val="21"/>
                <w:highlight w:val="none"/>
              </w:rPr>
              <w:t>；</w:t>
            </w:r>
          </w:p>
          <w:p>
            <w:pPr>
              <w:spacing w:line="320" w:lineRule="exact"/>
              <w:rPr>
                <w:color w:val="000000"/>
                <w:kern w:val="0"/>
                <w:szCs w:val="21"/>
                <w:highlight w:val="none"/>
              </w:rPr>
            </w:pPr>
            <w:r>
              <w:rPr>
                <w:rFonts w:hint="eastAsia"/>
                <w:color w:val="000000"/>
                <w:kern w:val="0"/>
                <w:szCs w:val="21"/>
                <w:highlight w:val="none"/>
              </w:rPr>
              <w:t>2、</w:t>
            </w:r>
            <w:r>
              <w:rPr>
                <w:color w:val="000000"/>
                <w:kern w:val="0"/>
                <w:szCs w:val="21"/>
                <w:highlight w:val="none"/>
              </w:rPr>
              <w:t>组成；</w:t>
            </w:r>
          </w:p>
          <w:p>
            <w:pPr>
              <w:spacing w:line="320" w:lineRule="exact"/>
              <w:rPr>
                <w:color w:val="000000"/>
                <w:kern w:val="0"/>
                <w:szCs w:val="21"/>
                <w:highlight w:val="none"/>
              </w:rPr>
            </w:pPr>
            <w:r>
              <w:rPr>
                <w:rFonts w:hint="eastAsia"/>
                <w:color w:val="000000"/>
                <w:kern w:val="0"/>
                <w:szCs w:val="21"/>
                <w:highlight w:val="none"/>
              </w:rPr>
              <w:t>3、</w:t>
            </w:r>
            <w:r>
              <w:rPr>
                <w:color w:val="000000"/>
                <w:kern w:val="0"/>
                <w:szCs w:val="21"/>
                <w:highlight w:val="none"/>
              </w:rPr>
              <w:t>防护能力；</w:t>
            </w:r>
          </w:p>
          <w:p>
            <w:pPr>
              <w:spacing w:line="320" w:lineRule="exact"/>
              <w:rPr>
                <w:color w:val="000000"/>
                <w:kern w:val="0"/>
                <w:szCs w:val="21"/>
                <w:highlight w:val="none"/>
              </w:rPr>
            </w:pPr>
            <w:r>
              <w:rPr>
                <w:color w:val="000000"/>
                <w:kern w:val="0"/>
                <w:szCs w:val="21"/>
                <w:highlight w:val="none"/>
              </w:rPr>
              <w:t>4</w:t>
            </w:r>
            <w:r>
              <w:rPr>
                <w:rFonts w:hint="eastAsia"/>
                <w:color w:val="000000"/>
                <w:kern w:val="0"/>
                <w:szCs w:val="21"/>
                <w:highlight w:val="none"/>
              </w:rPr>
              <w:t>、</w:t>
            </w:r>
            <w:r>
              <w:rPr>
                <w:color w:val="000000"/>
                <w:kern w:val="0"/>
                <w:szCs w:val="21"/>
                <w:highlight w:val="none"/>
              </w:rPr>
              <w:t>安全距离</w:t>
            </w:r>
            <w:r>
              <w:rPr>
                <w:rFonts w:hint="eastAsia"/>
                <w:color w:val="000000"/>
                <w:kern w:val="0"/>
                <w:szCs w:val="21"/>
                <w:highlight w:val="none"/>
              </w:rPr>
              <w:t>；</w:t>
            </w:r>
          </w:p>
          <w:p>
            <w:pPr>
              <w:pStyle w:val="2"/>
              <w:rPr>
                <w:highlight w:val="none"/>
              </w:rPr>
            </w:pPr>
            <w:r>
              <w:rPr>
                <w:rFonts w:hint="eastAsia"/>
                <w:color w:val="000000"/>
                <w:kern w:val="0"/>
                <w:szCs w:val="21"/>
                <w:highlight w:val="none"/>
              </w:rPr>
              <w:t>5、</w:t>
            </w:r>
            <w:r>
              <w:rPr>
                <w:color w:val="000000"/>
                <w:kern w:val="0"/>
                <w:szCs w:val="21"/>
                <w:highlight w:val="none"/>
              </w:rPr>
              <w:t>处置方式。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52"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柔性防爆罐</w:t>
            </w:r>
            <w:r>
              <w:rPr>
                <w:rFonts w:hint="eastAsia"/>
                <w:kern w:val="0"/>
                <w:szCs w:val="21"/>
                <w:highlight w:val="none"/>
                <w:lang w:bidi="ar"/>
              </w:rPr>
              <w:t>I</w:t>
            </w:r>
            <w:r>
              <w:rPr>
                <w:kern w:val="0"/>
                <w:szCs w:val="21"/>
                <w:highlight w:val="none"/>
                <w:lang w:bidi="ar"/>
              </w:rPr>
              <w:t>I</w:t>
            </w:r>
          </w:p>
        </w:tc>
        <w:tc>
          <w:tcPr>
            <w:tcW w:w="4395" w:type="dxa"/>
            <w:vAlign w:val="center"/>
          </w:tcPr>
          <w:p>
            <w:pPr>
              <w:pStyle w:val="436"/>
              <w:spacing w:line="320" w:lineRule="exact"/>
              <w:ind w:firstLine="0" w:firstLineChars="0"/>
              <w:jc w:val="both"/>
              <w:textAlignment w:val="center"/>
              <w:rPr>
                <w:kern w:val="0"/>
                <w:szCs w:val="21"/>
                <w:highlight w:val="none"/>
              </w:rPr>
            </w:pPr>
            <w:r>
              <w:rPr>
                <w:kern w:val="0"/>
                <w:szCs w:val="21"/>
                <w:highlight w:val="none"/>
              </w:rPr>
              <w:t>1、材质：全部为非金属柔性材料和液体制备而成；</w:t>
            </w:r>
          </w:p>
          <w:p>
            <w:pPr>
              <w:spacing w:line="320" w:lineRule="exact"/>
              <w:rPr>
                <w:kern w:val="0"/>
                <w:szCs w:val="21"/>
                <w:highlight w:val="none"/>
              </w:rPr>
            </w:pPr>
            <w:r>
              <w:rPr>
                <w:kern w:val="0"/>
                <w:szCs w:val="21"/>
                <w:highlight w:val="none"/>
              </w:rPr>
              <w:t>2、由桶体、桶盖、手柄等组成；</w:t>
            </w:r>
          </w:p>
          <w:p>
            <w:pPr>
              <w:spacing w:line="320" w:lineRule="exact"/>
              <w:textAlignment w:val="center"/>
              <w:rPr>
                <w:kern w:val="0"/>
                <w:szCs w:val="21"/>
                <w:highlight w:val="none"/>
              </w:rPr>
            </w:pPr>
            <w:r>
              <w:rPr>
                <w:kern w:val="0"/>
                <w:szCs w:val="21"/>
                <w:highlight w:val="none"/>
              </w:rPr>
              <w:t>3、</w:t>
            </w:r>
            <w:r>
              <w:rPr>
                <w:rFonts w:hint="eastAsia"/>
                <w:kern w:val="0"/>
                <w:szCs w:val="21"/>
                <w:highlight w:val="none"/>
              </w:rPr>
              <w:t>防爆</w:t>
            </w:r>
            <w:r>
              <w:rPr>
                <w:kern w:val="0"/>
                <w:szCs w:val="21"/>
                <w:highlight w:val="none"/>
              </w:rPr>
              <w:t>能力：可防不少于1000g带破片爆炸物（TNT 药柱质量≥500g，装填质量≥500g直径8mm钢珠破片）；</w:t>
            </w:r>
          </w:p>
          <w:p>
            <w:pPr>
              <w:spacing w:line="320" w:lineRule="exact"/>
              <w:rPr>
                <w:kern w:val="0"/>
                <w:szCs w:val="21"/>
                <w:highlight w:val="none"/>
              </w:rPr>
            </w:pPr>
            <w:r>
              <w:rPr>
                <w:kern w:val="0"/>
                <w:szCs w:val="21"/>
                <w:highlight w:val="none"/>
              </w:rPr>
              <w:t>4、安全距离：距离爆炸物≥3.5米外为安全距离；</w:t>
            </w:r>
          </w:p>
          <w:p>
            <w:pPr>
              <w:spacing w:line="320" w:lineRule="exact"/>
              <w:rPr>
                <w:kern w:val="0"/>
                <w:highlight w:val="none"/>
                <w:lang w:bidi="ar"/>
              </w:rPr>
            </w:pPr>
            <w:r>
              <w:rPr>
                <w:kern w:val="0"/>
                <w:szCs w:val="21"/>
                <w:highlight w:val="none"/>
              </w:rPr>
              <w:t>5、处置方式：非接触式处置和内部处置。</w:t>
            </w:r>
          </w:p>
        </w:tc>
        <w:tc>
          <w:tcPr>
            <w:tcW w:w="1892" w:type="dxa"/>
            <w:vAlign w:val="center"/>
          </w:tcPr>
          <w:p>
            <w:pPr>
              <w:spacing w:line="320" w:lineRule="exact"/>
              <w:rPr>
                <w:color w:val="000000"/>
                <w:kern w:val="0"/>
                <w:szCs w:val="21"/>
                <w:highlight w:val="none"/>
              </w:rPr>
            </w:pPr>
            <w:r>
              <w:rPr>
                <w:color w:val="000000"/>
                <w:kern w:val="0"/>
                <w:szCs w:val="21"/>
                <w:highlight w:val="none"/>
              </w:rPr>
              <w:t>1</w:t>
            </w:r>
            <w:r>
              <w:rPr>
                <w:rFonts w:hint="eastAsia"/>
                <w:color w:val="000000"/>
                <w:kern w:val="0"/>
                <w:szCs w:val="21"/>
                <w:highlight w:val="none"/>
              </w:rPr>
              <w:t>、材质</w:t>
            </w:r>
            <w:r>
              <w:rPr>
                <w:color w:val="000000"/>
                <w:kern w:val="0"/>
                <w:szCs w:val="21"/>
                <w:highlight w:val="none"/>
              </w:rPr>
              <w:t>；</w:t>
            </w:r>
          </w:p>
          <w:p>
            <w:pPr>
              <w:spacing w:line="320" w:lineRule="exact"/>
              <w:rPr>
                <w:color w:val="000000"/>
                <w:kern w:val="0"/>
                <w:szCs w:val="21"/>
                <w:highlight w:val="none"/>
              </w:rPr>
            </w:pPr>
            <w:r>
              <w:rPr>
                <w:rFonts w:hint="eastAsia"/>
                <w:color w:val="000000"/>
                <w:kern w:val="0"/>
                <w:szCs w:val="21"/>
                <w:highlight w:val="none"/>
              </w:rPr>
              <w:t>2、</w:t>
            </w:r>
            <w:r>
              <w:rPr>
                <w:color w:val="000000"/>
                <w:kern w:val="0"/>
                <w:szCs w:val="21"/>
                <w:highlight w:val="none"/>
              </w:rPr>
              <w:t>组成；</w:t>
            </w:r>
          </w:p>
          <w:p>
            <w:pPr>
              <w:spacing w:line="320" w:lineRule="exact"/>
              <w:rPr>
                <w:color w:val="000000"/>
                <w:kern w:val="0"/>
                <w:szCs w:val="21"/>
                <w:highlight w:val="none"/>
              </w:rPr>
            </w:pPr>
            <w:r>
              <w:rPr>
                <w:rFonts w:hint="eastAsia"/>
                <w:color w:val="000000"/>
                <w:kern w:val="0"/>
                <w:szCs w:val="21"/>
                <w:highlight w:val="none"/>
              </w:rPr>
              <w:t>3、</w:t>
            </w:r>
            <w:r>
              <w:rPr>
                <w:color w:val="000000"/>
                <w:kern w:val="0"/>
                <w:szCs w:val="21"/>
                <w:highlight w:val="none"/>
              </w:rPr>
              <w:t>防护能力；</w:t>
            </w:r>
          </w:p>
          <w:p>
            <w:pPr>
              <w:spacing w:line="320" w:lineRule="exact"/>
              <w:rPr>
                <w:color w:val="000000"/>
                <w:kern w:val="0"/>
                <w:szCs w:val="21"/>
                <w:highlight w:val="none"/>
              </w:rPr>
            </w:pPr>
            <w:r>
              <w:rPr>
                <w:color w:val="000000"/>
                <w:kern w:val="0"/>
                <w:szCs w:val="21"/>
                <w:highlight w:val="none"/>
              </w:rPr>
              <w:t>4</w:t>
            </w:r>
            <w:r>
              <w:rPr>
                <w:rFonts w:hint="eastAsia"/>
                <w:color w:val="000000"/>
                <w:kern w:val="0"/>
                <w:szCs w:val="21"/>
                <w:highlight w:val="none"/>
              </w:rPr>
              <w:t>、</w:t>
            </w:r>
            <w:r>
              <w:rPr>
                <w:color w:val="000000"/>
                <w:kern w:val="0"/>
                <w:szCs w:val="21"/>
                <w:highlight w:val="none"/>
              </w:rPr>
              <w:t>安全距离</w:t>
            </w:r>
            <w:r>
              <w:rPr>
                <w:rFonts w:hint="eastAsia"/>
                <w:color w:val="000000"/>
                <w:kern w:val="0"/>
                <w:szCs w:val="21"/>
                <w:highlight w:val="none"/>
              </w:rPr>
              <w:t>；</w:t>
            </w:r>
          </w:p>
          <w:p>
            <w:pPr>
              <w:pStyle w:val="2"/>
              <w:rPr>
                <w:highlight w:val="none"/>
              </w:rPr>
            </w:pPr>
            <w:r>
              <w:rPr>
                <w:rFonts w:hint="eastAsia"/>
                <w:color w:val="000000"/>
                <w:kern w:val="0"/>
                <w:szCs w:val="21"/>
                <w:highlight w:val="none"/>
              </w:rPr>
              <w:t>5、</w:t>
            </w:r>
            <w:r>
              <w:rPr>
                <w:color w:val="000000"/>
                <w:kern w:val="0"/>
                <w:szCs w:val="21"/>
                <w:highlight w:val="none"/>
              </w:rPr>
              <w:t>处置方式。</w:t>
            </w:r>
          </w:p>
        </w:tc>
      </w:tr>
    </w:tbl>
    <w:p>
      <w:pPr>
        <w:rPr>
          <w:highlight w:val="none"/>
        </w:rPr>
      </w:pPr>
    </w:p>
    <w:p>
      <w:pPr>
        <w:pStyle w:val="5"/>
        <w:keepNext w:val="0"/>
        <w:keepLines w:val="0"/>
        <w:widowControl w:val="0"/>
        <w:spacing w:before="120"/>
        <w:rPr>
          <w:color w:val="auto"/>
          <w:highlight w:val="none"/>
        </w:rPr>
      </w:pPr>
      <w:r>
        <w:rPr>
          <w:color w:val="auto"/>
          <w:highlight w:val="none"/>
        </w:rPr>
        <w:t>爆炸物解体器</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845"/>
        <w:gridCol w:w="4110"/>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703" w:type="dxa"/>
            <w:vAlign w:val="center"/>
          </w:tcPr>
          <w:p>
            <w:pPr>
              <w:spacing w:line="400" w:lineRule="exact"/>
              <w:jc w:val="center"/>
              <w:rPr>
                <w:b/>
                <w:bCs/>
                <w:szCs w:val="21"/>
                <w:highlight w:val="none"/>
              </w:rPr>
            </w:pPr>
            <w:r>
              <w:rPr>
                <w:b/>
                <w:bCs/>
                <w:szCs w:val="21"/>
                <w:highlight w:val="none"/>
              </w:rPr>
              <w:t>包号</w:t>
            </w:r>
          </w:p>
        </w:tc>
        <w:tc>
          <w:tcPr>
            <w:tcW w:w="1845" w:type="dxa"/>
            <w:vAlign w:val="center"/>
          </w:tcPr>
          <w:p>
            <w:pPr>
              <w:spacing w:line="400" w:lineRule="exact"/>
              <w:jc w:val="center"/>
              <w:rPr>
                <w:kern w:val="0"/>
                <w:szCs w:val="21"/>
                <w:highlight w:val="none"/>
                <w:lang w:bidi="ar"/>
              </w:rPr>
            </w:pPr>
            <w:r>
              <w:rPr>
                <w:b/>
                <w:bCs/>
                <w:szCs w:val="21"/>
                <w:highlight w:val="none"/>
              </w:rPr>
              <w:t>产品名称</w:t>
            </w:r>
          </w:p>
        </w:tc>
        <w:tc>
          <w:tcPr>
            <w:tcW w:w="4110" w:type="dxa"/>
            <w:vAlign w:val="center"/>
          </w:tcPr>
          <w:p>
            <w:pPr>
              <w:spacing w:line="400" w:lineRule="exact"/>
              <w:jc w:val="center"/>
              <w:rPr>
                <w:b/>
                <w:bCs/>
                <w:szCs w:val="21"/>
                <w:highlight w:val="none"/>
              </w:rPr>
            </w:pPr>
            <w:r>
              <w:rPr>
                <w:b/>
                <w:bCs/>
                <w:szCs w:val="21"/>
                <w:highlight w:val="none"/>
              </w:rPr>
              <w:t>技术要求</w:t>
            </w:r>
          </w:p>
        </w:tc>
        <w:tc>
          <w:tcPr>
            <w:tcW w:w="2177"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45"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小口径型普通型爆炸物解体器</w:t>
            </w:r>
          </w:p>
        </w:tc>
        <w:tc>
          <w:tcPr>
            <w:tcW w:w="4110" w:type="dxa"/>
            <w:vAlign w:val="center"/>
          </w:tcPr>
          <w:p>
            <w:pPr>
              <w:spacing w:line="320" w:lineRule="exact"/>
              <w:textAlignment w:val="center"/>
              <w:rPr>
                <w:kern w:val="0"/>
                <w:highlight w:val="none"/>
                <w:lang w:bidi="ar"/>
              </w:rPr>
            </w:pPr>
            <w:r>
              <w:rPr>
                <w:kern w:val="0"/>
                <w:highlight w:val="none"/>
                <w:lang w:bidi="ar"/>
              </w:rPr>
              <w:t>1、执行标准：《GB 12662-2008 爆炸物解体器》；</w:t>
            </w:r>
          </w:p>
          <w:p>
            <w:pPr>
              <w:spacing w:line="320" w:lineRule="exact"/>
              <w:textAlignment w:val="center"/>
              <w:rPr>
                <w:kern w:val="0"/>
                <w:highlight w:val="none"/>
                <w:lang w:bidi="ar"/>
              </w:rPr>
            </w:pPr>
            <w:r>
              <w:rPr>
                <w:kern w:val="0"/>
                <w:highlight w:val="none"/>
                <w:lang w:bidi="ar"/>
              </w:rPr>
              <w:t>2、发射管发射孔径≤20mm。</w:t>
            </w:r>
          </w:p>
        </w:tc>
        <w:tc>
          <w:tcPr>
            <w:tcW w:w="2177" w:type="dxa"/>
            <w:vMerge w:val="restart"/>
            <w:vAlign w:val="center"/>
          </w:tcPr>
          <w:p>
            <w:pPr>
              <w:spacing w:line="320" w:lineRule="exact"/>
              <w:textAlignment w:val="center"/>
              <w:rPr>
                <w:color w:val="000000"/>
                <w:kern w:val="0"/>
                <w:sz w:val="22"/>
                <w:highlight w:val="none"/>
                <w:lang w:bidi="ar"/>
              </w:rPr>
            </w:pPr>
            <w:r>
              <w:rPr>
                <w:rFonts w:hint="eastAsia"/>
                <w:color w:val="000000"/>
                <w:kern w:val="0"/>
                <w:sz w:val="22"/>
                <w:highlight w:val="none"/>
                <w:lang w:bidi="ar"/>
              </w:rPr>
              <w:t>1、外观和尺寸检验；2、重量检验；3、点火控制器输出电压检验；</w:t>
            </w:r>
            <w:r>
              <w:rPr>
                <w:color w:val="000000"/>
                <w:kern w:val="0"/>
                <w:sz w:val="22"/>
                <w:highlight w:val="none"/>
                <w:lang w:bidi="ar"/>
              </w:rPr>
              <w:t>4</w:t>
            </w:r>
            <w:r>
              <w:rPr>
                <w:rFonts w:hint="eastAsia"/>
                <w:color w:val="000000"/>
                <w:kern w:val="0"/>
                <w:sz w:val="22"/>
                <w:highlight w:val="none"/>
                <w:lang w:bidi="ar"/>
              </w:rPr>
              <w:t>、点火控制器输出电流检验；</w:t>
            </w:r>
            <w:r>
              <w:rPr>
                <w:color w:val="000000"/>
                <w:kern w:val="0"/>
                <w:sz w:val="22"/>
                <w:highlight w:val="none"/>
                <w:lang w:bidi="ar"/>
              </w:rPr>
              <w:t>5</w:t>
            </w:r>
            <w:r>
              <w:rPr>
                <w:rFonts w:hint="eastAsia"/>
                <w:color w:val="000000"/>
                <w:kern w:val="0"/>
                <w:sz w:val="22"/>
                <w:highlight w:val="none"/>
                <w:lang w:bidi="ar"/>
              </w:rPr>
              <w:t>、点火导线长度检验；6、点火导线电阻检验；7、发射药简电点火头电阻检验；</w:t>
            </w:r>
            <w:r>
              <w:rPr>
                <w:color w:val="000000"/>
                <w:kern w:val="0"/>
                <w:sz w:val="22"/>
                <w:highlight w:val="none"/>
                <w:lang w:bidi="ar"/>
              </w:rPr>
              <w:t>8</w:t>
            </w:r>
            <w:r>
              <w:rPr>
                <w:rFonts w:hint="eastAsia"/>
                <w:color w:val="000000"/>
                <w:kern w:val="0"/>
                <w:sz w:val="22"/>
                <w:highlight w:val="none"/>
                <w:lang w:bidi="ar"/>
              </w:rPr>
              <w:t>、发射药简安全电流试验；</w:t>
            </w:r>
            <w:r>
              <w:rPr>
                <w:color w:val="000000"/>
                <w:kern w:val="0"/>
                <w:sz w:val="22"/>
                <w:highlight w:val="none"/>
                <w:lang w:bidi="ar"/>
              </w:rPr>
              <w:t>9</w:t>
            </w:r>
            <w:r>
              <w:rPr>
                <w:rFonts w:hint="eastAsia"/>
                <w:color w:val="000000"/>
                <w:kern w:val="0"/>
                <w:sz w:val="22"/>
                <w:highlight w:val="none"/>
                <w:lang w:bidi="ar"/>
              </w:rPr>
              <w:t>、发射药简发火可靠性试验；</w:t>
            </w:r>
            <w:r>
              <w:rPr>
                <w:color w:val="000000"/>
                <w:kern w:val="0"/>
                <w:sz w:val="22"/>
                <w:highlight w:val="none"/>
                <w:lang w:bidi="ar"/>
              </w:rPr>
              <w:t>10</w:t>
            </w:r>
            <w:r>
              <w:rPr>
                <w:rFonts w:hint="eastAsia"/>
                <w:color w:val="000000"/>
                <w:kern w:val="0"/>
                <w:sz w:val="22"/>
                <w:highlight w:val="none"/>
                <w:lang w:bidi="ar"/>
              </w:rPr>
              <w:t>、安全性试验；</w:t>
            </w:r>
          </w:p>
          <w:p>
            <w:pPr>
              <w:spacing w:line="320" w:lineRule="exact"/>
              <w:textAlignment w:val="center"/>
              <w:rPr>
                <w:kern w:val="0"/>
                <w:highlight w:val="none"/>
                <w:lang w:bidi="ar"/>
              </w:rPr>
            </w:pPr>
            <w:r>
              <w:rPr>
                <w:rFonts w:hint="eastAsia"/>
                <w:color w:val="000000"/>
                <w:kern w:val="0"/>
                <w:sz w:val="22"/>
                <w:highlight w:val="none"/>
                <w:lang w:bidi="ar"/>
              </w:rPr>
              <w:t>11、解体性能试验；</w:t>
            </w:r>
            <w:r>
              <w:rPr>
                <w:color w:val="000000"/>
                <w:kern w:val="0"/>
                <w:sz w:val="22"/>
                <w:highlight w:val="none"/>
                <w:lang w:bidi="ar"/>
              </w:rPr>
              <w:t>12</w:t>
            </w:r>
            <w:r>
              <w:rPr>
                <w:rFonts w:hint="eastAsia"/>
                <w:color w:val="000000"/>
                <w:kern w:val="0"/>
                <w:sz w:val="22"/>
                <w:highlight w:val="none"/>
                <w:lang w:bidi="ar"/>
              </w:rPr>
              <w:t>、强度试验；</w:t>
            </w:r>
            <w:r>
              <w:rPr>
                <w:color w:val="000000"/>
                <w:kern w:val="0"/>
                <w:sz w:val="22"/>
                <w:highlight w:val="none"/>
                <w:lang w:bidi="ar"/>
              </w:rPr>
              <w:t>13</w:t>
            </w:r>
            <w:r>
              <w:rPr>
                <w:rFonts w:hint="eastAsia"/>
                <w:color w:val="000000"/>
                <w:kern w:val="0"/>
                <w:sz w:val="22"/>
                <w:highlight w:val="none"/>
                <w:lang w:bidi="ar"/>
              </w:rPr>
              <w:t>、后坐移动范围检验。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45"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中口径型普通型爆炸物解体器</w:t>
            </w:r>
          </w:p>
        </w:tc>
        <w:tc>
          <w:tcPr>
            <w:tcW w:w="4110" w:type="dxa"/>
            <w:vAlign w:val="center"/>
          </w:tcPr>
          <w:p>
            <w:pPr>
              <w:spacing w:line="320" w:lineRule="exact"/>
              <w:textAlignment w:val="center"/>
              <w:rPr>
                <w:kern w:val="0"/>
                <w:highlight w:val="none"/>
                <w:lang w:bidi="ar"/>
              </w:rPr>
            </w:pPr>
            <w:r>
              <w:rPr>
                <w:kern w:val="0"/>
                <w:highlight w:val="none"/>
                <w:lang w:bidi="ar"/>
              </w:rPr>
              <w:t>1、执行标准：《GB 12662-2008 爆炸物解体器》；</w:t>
            </w:r>
          </w:p>
          <w:p>
            <w:pPr>
              <w:spacing w:line="320" w:lineRule="exact"/>
              <w:textAlignment w:val="center"/>
              <w:rPr>
                <w:kern w:val="0"/>
                <w:highlight w:val="none"/>
                <w:lang w:bidi="ar"/>
              </w:rPr>
            </w:pPr>
            <w:r>
              <w:rPr>
                <w:kern w:val="0"/>
                <w:highlight w:val="none"/>
                <w:lang w:bidi="ar"/>
              </w:rPr>
              <w:t>2、20mm＜发射管发射孔径≤30mm。</w:t>
            </w:r>
          </w:p>
        </w:tc>
        <w:tc>
          <w:tcPr>
            <w:tcW w:w="2177" w:type="dxa"/>
            <w:vMerge w:val="continue"/>
            <w:vAlign w:val="center"/>
          </w:tcPr>
          <w:p>
            <w:pPr>
              <w:spacing w:line="320" w:lineRule="exact"/>
              <w:textAlignment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45"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大孔径型普通型爆炸物解体器</w:t>
            </w:r>
          </w:p>
        </w:tc>
        <w:tc>
          <w:tcPr>
            <w:tcW w:w="4110" w:type="dxa"/>
            <w:vAlign w:val="center"/>
          </w:tcPr>
          <w:p>
            <w:pPr>
              <w:spacing w:line="320" w:lineRule="exact"/>
              <w:textAlignment w:val="center"/>
              <w:rPr>
                <w:kern w:val="0"/>
                <w:highlight w:val="none"/>
                <w:lang w:bidi="ar"/>
              </w:rPr>
            </w:pPr>
            <w:r>
              <w:rPr>
                <w:kern w:val="0"/>
                <w:highlight w:val="none"/>
                <w:lang w:bidi="ar"/>
              </w:rPr>
              <w:t>1、执行标准：《GB 12662-2008 爆炸物解体器》；</w:t>
            </w:r>
          </w:p>
          <w:p>
            <w:pPr>
              <w:spacing w:line="320" w:lineRule="exact"/>
              <w:textAlignment w:val="center"/>
              <w:rPr>
                <w:kern w:val="0"/>
                <w:highlight w:val="none"/>
                <w:lang w:bidi="ar"/>
              </w:rPr>
            </w:pPr>
            <w:r>
              <w:rPr>
                <w:kern w:val="0"/>
                <w:highlight w:val="none"/>
                <w:lang w:bidi="ar"/>
              </w:rPr>
              <w:t>2、发射管发射孔径＞30mm。</w:t>
            </w:r>
          </w:p>
        </w:tc>
        <w:tc>
          <w:tcPr>
            <w:tcW w:w="2177" w:type="dxa"/>
            <w:vMerge w:val="continue"/>
            <w:vAlign w:val="center"/>
          </w:tcPr>
          <w:p>
            <w:pPr>
              <w:spacing w:line="320" w:lineRule="exact"/>
              <w:textAlignment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45"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小口径型无后坐力型爆炸物解体器</w:t>
            </w:r>
          </w:p>
        </w:tc>
        <w:tc>
          <w:tcPr>
            <w:tcW w:w="4110" w:type="dxa"/>
            <w:vAlign w:val="center"/>
          </w:tcPr>
          <w:p>
            <w:pPr>
              <w:spacing w:line="320" w:lineRule="exact"/>
              <w:textAlignment w:val="center"/>
              <w:rPr>
                <w:kern w:val="0"/>
                <w:highlight w:val="none"/>
                <w:lang w:bidi="ar"/>
              </w:rPr>
            </w:pPr>
            <w:r>
              <w:rPr>
                <w:kern w:val="0"/>
                <w:highlight w:val="none"/>
                <w:lang w:bidi="ar"/>
              </w:rPr>
              <w:t>1、执行标准：《GB 12662-2008 爆炸物解体器》；</w:t>
            </w:r>
          </w:p>
          <w:p>
            <w:pPr>
              <w:spacing w:line="320" w:lineRule="exact"/>
              <w:textAlignment w:val="center"/>
              <w:rPr>
                <w:kern w:val="0"/>
                <w:highlight w:val="none"/>
                <w:lang w:bidi="ar"/>
              </w:rPr>
            </w:pPr>
            <w:r>
              <w:rPr>
                <w:kern w:val="0"/>
                <w:highlight w:val="none"/>
                <w:lang w:bidi="ar"/>
              </w:rPr>
              <w:t>2、发射管发射孔径≤20mm；</w:t>
            </w:r>
          </w:p>
          <w:p>
            <w:pPr>
              <w:spacing w:line="320" w:lineRule="exact"/>
              <w:textAlignment w:val="center"/>
              <w:rPr>
                <w:highlight w:val="none"/>
                <w:lang w:bidi="ar"/>
              </w:rPr>
            </w:pPr>
            <w:r>
              <w:rPr>
                <w:kern w:val="0"/>
                <w:highlight w:val="none"/>
                <w:lang w:bidi="ar"/>
              </w:rPr>
              <w:t>3、无后坐力。</w:t>
            </w:r>
          </w:p>
        </w:tc>
        <w:tc>
          <w:tcPr>
            <w:tcW w:w="2177" w:type="dxa"/>
            <w:vMerge w:val="continue"/>
            <w:vAlign w:val="center"/>
          </w:tcPr>
          <w:p>
            <w:pPr>
              <w:spacing w:line="320" w:lineRule="exact"/>
              <w:textAlignment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45"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中口径型无后坐力型爆炸物解体器</w:t>
            </w:r>
          </w:p>
        </w:tc>
        <w:tc>
          <w:tcPr>
            <w:tcW w:w="4110" w:type="dxa"/>
            <w:vAlign w:val="center"/>
          </w:tcPr>
          <w:p>
            <w:pPr>
              <w:spacing w:line="320" w:lineRule="exact"/>
              <w:textAlignment w:val="center"/>
              <w:rPr>
                <w:kern w:val="0"/>
                <w:highlight w:val="none"/>
                <w:lang w:bidi="ar"/>
              </w:rPr>
            </w:pPr>
            <w:r>
              <w:rPr>
                <w:kern w:val="0"/>
                <w:highlight w:val="none"/>
                <w:lang w:bidi="ar"/>
              </w:rPr>
              <w:t>1、执行标准：《GB 12662-2008 爆炸物解体器》；</w:t>
            </w:r>
          </w:p>
          <w:p>
            <w:pPr>
              <w:spacing w:line="320" w:lineRule="exact"/>
              <w:textAlignment w:val="center"/>
              <w:rPr>
                <w:kern w:val="0"/>
                <w:highlight w:val="none"/>
                <w:lang w:bidi="ar"/>
              </w:rPr>
            </w:pPr>
            <w:r>
              <w:rPr>
                <w:kern w:val="0"/>
                <w:highlight w:val="none"/>
                <w:lang w:bidi="ar"/>
              </w:rPr>
              <w:t>2、20mm＜发射管发射孔径≤30mm；</w:t>
            </w:r>
          </w:p>
          <w:p>
            <w:pPr>
              <w:spacing w:line="320" w:lineRule="exact"/>
              <w:textAlignment w:val="center"/>
              <w:rPr>
                <w:kern w:val="0"/>
                <w:highlight w:val="none"/>
                <w:lang w:bidi="ar"/>
              </w:rPr>
            </w:pPr>
            <w:r>
              <w:rPr>
                <w:kern w:val="0"/>
                <w:highlight w:val="none"/>
                <w:lang w:bidi="ar"/>
              </w:rPr>
              <w:t>3、无后坐力。</w:t>
            </w:r>
          </w:p>
        </w:tc>
        <w:tc>
          <w:tcPr>
            <w:tcW w:w="2177" w:type="dxa"/>
            <w:vMerge w:val="continue"/>
            <w:vAlign w:val="center"/>
          </w:tcPr>
          <w:p>
            <w:pPr>
              <w:spacing w:line="320" w:lineRule="exact"/>
              <w:textAlignment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845"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大孔径型无后坐力型爆炸物解体器</w:t>
            </w:r>
          </w:p>
        </w:tc>
        <w:tc>
          <w:tcPr>
            <w:tcW w:w="4110" w:type="dxa"/>
            <w:vAlign w:val="center"/>
          </w:tcPr>
          <w:p>
            <w:pPr>
              <w:spacing w:line="320" w:lineRule="exact"/>
              <w:textAlignment w:val="center"/>
              <w:rPr>
                <w:kern w:val="0"/>
                <w:highlight w:val="none"/>
                <w:lang w:bidi="ar"/>
              </w:rPr>
            </w:pPr>
            <w:r>
              <w:rPr>
                <w:kern w:val="0"/>
                <w:highlight w:val="none"/>
                <w:lang w:bidi="ar"/>
              </w:rPr>
              <w:t>1、执行标准：《GB 12662-2008 爆炸物解体器》；</w:t>
            </w:r>
          </w:p>
          <w:p>
            <w:pPr>
              <w:spacing w:line="320" w:lineRule="exact"/>
              <w:textAlignment w:val="center"/>
              <w:rPr>
                <w:kern w:val="0"/>
                <w:highlight w:val="none"/>
                <w:lang w:bidi="ar"/>
              </w:rPr>
            </w:pPr>
            <w:r>
              <w:rPr>
                <w:kern w:val="0"/>
                <w:highlight w:val="none"/>
                <w:lang w:bidi="ar"/>
              </w:rPr>
              <w:t>2、发射管发射孔径＞30mm；</w:t>
            </w:r>
          </w:p>
          <w:p>
            <w:pPr>
              <w:spacing w:line="320" w:lineRule="exact"/>
              <w:textAlignment w:val="center"/>
              <w:rPr>
                <w:kern w:val="0"/>
                <w:highlight w:val="none"/>
                <w:lang w:bidi="ar"/>
              </w:rPr>
            </w:pPr>
            <w:r>
              <w:rPr>
                <w:kern w:val="0"/>
                <w:highlight w:val="none"/>
                <w:lang w:bidi="ar"/>
              </w:rPr>
              <w:t>3、无后坐力。</w:t>
            </w:r>
          </w:p>
        </w:tc>
        <w:tc>
          <w:tcPr>
            <w:tcW w:w="2177" w:type="dxa"/>
            <w:vMerge w:val="continue"/>
            <w:vAlign w:val="center"/>
          </w:tcPr>
          <w:p>
            <w:pPr>
              <w:pStyle w:val="2"/>
              <w:rPr>
                <w:highlight w:val="none"/>
              </w:rPr>
            </w:pPr>
          </w:p>
        </w:tc>
      </w:tr>
    </w:tbl>
    <w:p>
      <w:pPr>
        <w:rPr>
          <w:highlight w:val="none"/>
        </w:rPr>
      </w:pPr>
    </w:p>
    <w:p>
      <w:pPr>
        <w:pStyle w:val="4"/>
        <w:keepNext w:val="0"/>
        <w:keepLines w:val="0"/>
        <w:spacing w:before="120" w:after="0"/>
        <w:ind w:left="317" w:hanging="317"/>
        <w:jc w:val="both"/>
        <w:rPr>
          <w:highlight w:val="none"/>
        </w:rPr>
      </w:pPr>
      <w:bookmarkStart w:id="26" w:name="_Toc142051459"/>
      <w:bookmarkStart w:id="27" w:name="_Toc27489979"/>
      <w:bookmarkStart w:id="28" w:name="_Toc56157932"/>
      <w:bookmarkStart w:id="29" w:name="_Toc56157930"/>
      <w:bookmarkStart w:id="30" w:name="_Toc27489977"/>
      <w:r>
        <w:rPr>
          <w:rFonts w:hint="eastAsia"/>
          <w:highlight w:val="none"/>
        </w:rPr>
        <w:t>价格要求</w:t>
      </w:r>
      <w:bookmarkEnd w:id="26"/>
    </w:p>
    <w:p>
      <w:pPr>
        <w:pStyle w:val="5"/>
        <w:keepNext w:val="0"/>
        <w:keepLines w:val="0"/>
        <w:widowControl w:val="0"/>
        <w:spacing w:before="120"/>
        <w:rPr>
          <w:color w:val="auto"/>
          <w:highlight w:val="none"/>
        </w:rPr>
      </w:pPr>
      <w:bookmarkStart w:id="31" w:name="_Hlk72485365"/>
      <w:r>
        <w:rPr>
          <w:color w:val="auto"/>
          <w:highlight w:val="none"/>
        </w:rPr>
        <w:t>报价要求</w:t>
      </w:r>
    </w:p>
    <w:p>
      <w:pPr>
        <w:widowControl w:val="0"/>
        <w:ind w:firstLine="420" w:firstLineChars="200"/>
        <w:jc w:val="both"/>
        <w:rPr>
          <w:highlight w:val="none"/>
        </w:rPr>
      </w:pPr>
      <w:r>
        <w:rPr>
          <w:rFonts w:hint="eastAsia"/>
          <w:highlight w:val="none"/>
        </w:rPr>
        <w:t>各包</w:t>
      </w:r>
      <w:r>
        <w:rPr>
          <w:highlight w:val="none"/>
        </w:rPr>
        <w:t>最高限制单价</w:t>
      </w:r>
      <w:r>
        <w:rPr>
          <w:rFonts w:hint="eastAsia"/>
          <w:highlight w:val="none"/>
        </w:rPr>
        <w:t>详见框架协议采购产品清单。响应报价应不超过最高限制单价</w:t>
      </w:r>
      <w:r>
        <w:rPr>
          <w:highlight w:val="none"/>
        </w:rPr>
        <w:t>。</w:t>
      </w:r>
    </w:p>
    <w:p>
      <w:pPr>
        <w:widowControl w:val="0"/>
        <w:ind w:firstLine="420" w:firstLineChars="200"/>
        <w:jc w:val="both"/>
        <w:rPr>
          <w:highlight w:val="none"/>
        </w:rPr>
      </w:pPr>
      <w:r>
        <w:rPr>
          <w:rFonts w:hint="eastAsia"/>
          <w:highlight w:val="none"/>
        </w:rPr>
        <w:t>响应报价</w:t>
      </w:r>
      <w:r>
        <w:rPr>
          <w:highlight w:val="none"/>
        </w:rPr>
        <w:t>包含但不限于包装、运输、仓储、安装调试、检测检验、培训等费用，为交付采购人时的最终价格。</w:t>
      </w:r>
    </w:p>
    <w:p>
      <w:pPr>
        <w:pStyle w:val="5"/>
        <w:keepNext w:val="0"/>
        <w:keepLines w:val="0"/>
        <w:widowControl w:val="0"/>
        <w:spacing w:before="120"/>
        <w:rPr>
          <w:color w:val="auto"/>
          <w:highlight w:val="none"/>
        </w:rPr>
      </w:pPr>
      <w:r>
        <w:rPr>
          <w:color w:val="auto"/>
          <w:highlight w:val="none"/>
        </w:rPr>
        <w:t>最低价承诺</w:t>
      </w:r>
    </w:p>
    <w:p>
      <w:pPr>
        <w:widowControl w:val="0"/>
        <w:ind w:firstLine="420" w:firstLineChars="200"/>
        <w:rPr>
          <w:highlight w:val="none"/>
        </w:rPr>
      </w:pPr>
      <w:r>
        <w:rPr>
          <w:highlight w:val="none"/>
        </w:rPr>
        <w:t>供应商承诺在入围后，协议</w:t>
      </w:r>
      <w:r>
        <w:rPr>
          <w:rFonts w:hint="eastAsia"/>
          <w:highlight w:val="none"/>
        </w:rPr>
        <w:t>价格</w:t>
      </w:r>
      <w:r>
        <w:rPr>
          <w:highlight w:val="none"/>
        </w:rPr>
        <w:t>在</w:t>
      </w:r>
      <w:r>
        <w:rPr>
          <w:rFonts w:hint="eastAsia"/>
          <w:highlight w:val="none"/>
        </w:rPr>
        <w:t>框架</w:t>
      </w:r>
      <w:r>
        <w:rPr>
          <w:highlight w:val="none"/>
        </w:rPr>
        <w:t>协议有效期内为销售最低价，保证不高于同期销售给任何第三方的价格。</w:t>
      </w:r>
    </w:p>
    <w:p>
      <w:pPr>
        <w:widowControl w:val="0"/>
        <w:ind w:firstLine="420" w:firstLineChars="200"/>
        <w:rPr>
          <w:highlight w:val="none"/>
        </w:rPr>
      </w:pPr>
      <w:r>
        <w:rPr>
          <w:highlight w:val="none"/>
        </w:rPr>
        <w:t>若供应商在</w:t>
      </w:r>
      <w:r>
        <w:rPr>
          <w:rFonts w:hint="eastAsia"/>
          <w:highlight w:val="none"/>
        </w:rPr>
        <w:t>框架协议</w:t>
      </w:r>
      <w:r>
        <w:rPr>
          <w:highlight w:val="none"/>
        </w:rPr>
        <w:t>外销售价格低于协议价格，则应在5个工作日内及时下调协议价格至该销售价格。最低价承诺是指供应商自愿作出的向警采中心提供最低价格的有效承诺。</w:t>
      </w:r>
    </w:p>
    <w:p>
      <w:pPr>
        <w:pStyle w:val="5"/>
        <w:keepNext w:val="0"/>
        <w:keepLines w:val="0"/>
        <w:widowControl w:val="0"/>
        <w:spacing w:before="120"/>
        <w:rPr>
          <w:color w:val="auto"/>
          <w:highlight w:val="none"/>
        </w:rPr>
      </w:pPr>
      <w:r>
        <w:rPr>
          <w:color w:val="auto"/>
          <w:highlight w:val="none"/>
        </w:rPr>
        <w:t>价格调整</w:t>
      </w:r>
    </w:p>
    <w:p>
      <w:pPr>
        <w:widowControl w:val="0"/>
        <w:ind w:firstLine="420" w:firstLineChars="200"/>
        <w:rPr>
          <w:highlight w:val="none"/>
        </w:rPr>
      </w:pPr>
      <w:bookmarkStart w:id="32" w:name="_Hlk72482344"/>
      <w:r>
        <w:rPr>
          <w:rFonts w:hint="eastAsia"/>
          <w:highlight w:val="none"/>
        </w:rPr>
        <w:t>本期框架协议执行期间，供应商应确保入围产品的价格低于该产品的市场平均价格，供应商应当随产品市场价格的下调随时下调入围产品价格（但不得调高产品价格）。</w:t>
      </w:r>
      <w:r>
        <w:rPr>
          <w:highlight w:val="none"/>
        </w:rPr>
        <w:t>供应商</w:t>
      </w:r>
      <w:bookmarkEnd w:id="32"/>
      <w:r>
        <w:rPr>
          <w:highlight w:val="none"/>
        </w:rPr>
        <w:t>因市场原因所做的价格下调对未确认收货之前的产品订单依然有效。</w:t>
      </w:r>
    </w:p>
    <w:p>
      <w:pPr>
        <w:pStyle w:val="5"/>
        <w:keepNext w:val="0"/>
        <w:keepLines w:val="0"/>
        <w:widowControl w:val="0"/>
        <w:spacing w:before="120"/>
        <w:rPr>
          <w:highlight w:val="none"/>
        </w:rPr>
      </w:pPr>
      <w:r>
        <w:rPr>
          <w:highlight w:val="none"/>
        </w:rPr>
        <w:t>审价</w:t>
      </w:r>
    </w:p>
    <w:p>
      <w:pPr>
        <w:widowControl w:val="0"/>
        <w:ind w:firstLine="420" w:firstLineChars="200"/>
        <w:rPr>
          <w:highlight w:val="none"/>
        </w:rPr>
      </w:pPr>
      <w:r>
        <w:rPr>
          <w:highlight w:val="none"/>
        </w:rPr>
        <w:t>供应商应保证</w:t>
      </w:r>
      <w:r>
        <w:rPr>
          <w:rFonts w:hint="eastAsia"/>
          <w:highlight w:val="none"/>
        </w:rPr>
        <w:t>响应报价</w:t>
      </w:r>
      <w:r>
        <w:rPr>
          <w:highlight w:val="none"/>
        </w:rPr>
        <w:t>真实、可靠，不存在价格虚高、谋取暴利等违法违规行为。警采中心有权组织审价，如发现存在虚假等情况的，有权要求供应商下调价格并按有关规定处理。</w:t>
      </w:r>
    </w:p>
    <w:p>
      <w:pPr>
        <w:pStyle w:val="5"/>
        <w:keepNext w:val="0"/>
        <w:keepLines w:val="0"/>
        <w:widowControl w:val="0"/>
        <w:spacing w:before="120"/>
        <w:rPr>
          <w:highlight w:val="none"/>
        </w:rPr>
      </w:pPr>
      <w:r>
        <w:rPr>
          <w:highlight w:val="none"/>
        </w:rPr>
        <w:t>优惠待遇</w:t>
      </w:r>
    </w:p>
    <w:p>
      <w:pPr>
        <w:widowControl w:val="0"/>
        <w:ind w:firstLine="420" w:firstLineChars="200"/>
        <w:rPr>
          <w:highlight w:val="none"/>
        </w:rPr>
      </w:pPr>
      <w:r>
        <w:rPr>
          <w:highlight w:val="none"/>
        </w:rPr>
        <w:t>若供应商给予第三方额外的优惠及补贴，如达标奖励、超额奖励、利息补贴、库存补贴等，警采中心应享受同等待遇，可通过签订补充协议等方式执行。</w:t>
      </w:r>
    </w:p>
    <w:bookmarkEnd w:id="27"/>
    <w:bookmarkEnd w:id="28"/>
    <w:bookmarkEnd w:id="29"/>
    <w:bookmarkEnd w:id="30"/>
    <w:bookmarkEnd w:id="31"/>
    <w:p>
      <w:pPr>
        <w:pStyle w:val="4"/>
        <w:keepNext w:val="0"/>
        <w:keepLines w:val="0"/>
        <w:spacing w:before="120" w:after="0"/>
        <w:ind w:left="317" w:hanging="317"/>
        <w:jc w:val="both"/>
        <w:rPr>
          <w:highlight w:val="none"/>
        </w:rPr>
      </w:pPr>
      <w:bookmarkStart w:id="33" w:name="_Toc142051460"/>
      <w:bookmarkStart w:id="34" w:name="_Toc27489978"/>
      <w:bookmarkStart w:id="35" w:name="_Toc56157931"/>
      <w:r>
        <w:rPr>
          <w:rFonts w:hint="eastAsia"/>
          <w:highlight w:val="none"/>
        </w:rPr>
        <w:t>入场考核</w:t>
      </w:r>
      <w:bookmarkEnd w:id="33"/>
    </w:p>
    <w:p>
      <w:pPr>
        <w:ind w:firstLine="420" w:firstLineChars="200"/>
        <w:rPr>
          <w:highlight w:val="none"/>
        </w:rPr>
      </w:pPr>
      <w:r>
        <w:rPr>
          <w:highlight w:val="none"/>
          <w:lang w:val="en-US"/>
        </w:rPr>
        <w:t>警采中心有权组织入场考核，</w:t>
      </w:r>
      <w:r>
        <w:rPr>
          <w:highlight w:val="none"/>
        </w:rPr>
        <w:t>如发现存在虚假等情况的，有权按有关规定处理</w:t>
      </w:r>
      <w:r>
        <w:rPr>
          <w:highlight w:val="none"/>
          <w:lang w:val="en-US"/>
        </w:rPr>
        <w:t>。</w:t>
      </w:r>
    </w:p>
    <w:p>
      <w:pPr>
        <w:pStyle w:val="4"/>
        <w:keepNext w:val="0"/>
        <w:keepLines w:val="0"/>
        <w:spacing w:before="120" w:after="0"/>
        <w:ind w:left="317" w:hanging="317"/>
        <w:jc w:val="both"/>
        <w:rPr>
          <w:highlight w:val="none"/>
        </w:rPr>
      </w:pPr>
      <w:bookmarkStart w:id="36" w:name="_Toc142051461"/>
      <w:r>
        <w:rPr>
          <w:rFonts w:hint="eastAsia"/>
          <w:highlight w:val="none"/>
        </w:rPr>
        <w:t>服务要求</w:t>
      </w:r>
      <w:bookmarkEnd w:id="34"/>
      <w:bookmarkEnd w:id="35"/>
      <w:bookmarkEnd w:id="36"/>
    </w:p>
    <w:p>
      <w:pPr>
        <w:pStyle w:val="5"/>
        <w:keepNext w:val="0"/>
        <w:keepLines w:val="0"/>
        <w:widowControl w:val="0"/>
        <w:spacing w:before="120"/>
        <w:rPr>
          <w:highlight w:val="none"/>
        </w:rPr>
      </w:pPr>
      <w:bookmarkStart w:id="37" w:name="_Toc56157934"/>
      <w:bookmarkStart w:id="38" w:name="_Toc27489980"/>
      <w:r>
        <w:rPr>
          <w:highlight w:val="none"/>
        </w:rPr>
        <w:t>服务团队</w:t>
      </w:r>
    </w:p>
    <w:p>
      <w:pPr>
        <w:pStyle w:val="224"/>
        <w:widowControl w:val="0"/>
        <w:rPr>
          <w:rFonts w:ascii="Times New Roman" w:hAnsi="Times New Roman"/>
          <w:highlight w:val="none"/>
        </w:rPr>
      </w:pPr>
      <w:bookmarkStart w:id="39" w:name="_Hlk72482447"/>
      <w:r>
        <w:rPr>
          <w:rFonts w:ascii="Times New Roman" w:hAnsi="Times New Roman"/>
          <w:highlight w:val="none"/>
        </w:rPr>
        <w:t>供应商</w:t>
      </w:r>
      <w:bookmarkEnd w:id="39"/>
      <w:r>
        <w:rPr>
          <w:rFonts w:ascii="Times New Roman" w:hAnsi="Times New Roman"/>
          <w:highlight w:val="none"/>
        </w:rPr>
        <w:t>应组建服务团队（至少包括项目负责人、销售主管、订单管理员各一名），负责处理新产品动态发布、生产供应、价格变动、产品更新等情况；负责执行和检查产品订单、售后服务、投诉处理及情况反馈，按时汇报产品供货和交货周期等工作情况。</w:t>
      </w:r>
    </w:p>
    <w:p>
      <w:pPr>
        <w:pStyle w:val="224"/>
        <w:widowControl w:val="0"/>
        <w:rPr>
          <w:rFonts w:ascii="Times New Roman" w:hAnsi="Times New Roman"/>
          <w:highlight w:val="none"/>
        </w:rPr>
      </w:pPr>
      <w:r>
        <w:rPr>
          <w:rFonts w:ascii="Times New Roman" w:hAnsi="Times New Roman"/>
          <w:highlight w:val="none"/>
        </w:rPr>
        <w:t>供应商入围后及时将服务团队人员名单和联系方式提供给</w:t>
      </w:r>
      <w:bookmarkStart w:id="40" w:name="_Hlk72482904"/>
      <w:r>
        <w:rPr>
          <w:rFonts w:ascii="Times New Roman" w:hAnsi="Times New Roman"/>
          <w:highlight w:val="none"/>
        </w:rPr>
        <w:t>警采中心</w:t>
      </w:r>
      <w:bookmarkEnd w:id="40"/>
      <w:r>
        <w:rPr>
          <w:rFonts w:ascii="Times New Roman" w:hAnsi="Times New Roman"/>
          <w:highlight w:val="none"/>
        </w:rPr>
        <w:t>。为提供更优质服务，警采中心有权要求供应商更新服务团队。</w:t>
      </w:r>
    </w:p>
    <w:p>
      <w:pPr>
        <w:pStyle w:val="224"/>
        <w:widowControl w:val="0"/>
        <w:rPr>
          <w:rFonts w:ascii="Times New Roman" w:hAnsi="Times New Roman"/>
          <w:highlight w:val="none"/>
        </w:rPr>
      </w:pPr>
      <w:r>
        <w:rPr>
          <w:rFonts w:ascii="Times New Roman" w:hAnsi="Times New Roman"/>
          <w:highlight w:val="none"/>
        </w:rPr>
        <w:t>入围后，在</w:t>
      </w:r>
      <w:r>
        <w:rPr>
          <w:rFonts w:hint="eastAsia" w:ascii="Times New Roman" w:hAnsi="Times New Roman"/>
          <w:highlight w:val="none"/>
        </w:rPr>
        <w:t>框架协议</w:t>
      </w:r>
      <w:r>
        <w:rPr>
          <w:rFonts w:ascii="Times New Roman" w:hAnsi="Times New Roman"/>
          <w:highlight w:val="none"/>
        </w:rPr>
        <w:t>有效期内，服务团队人员如发生工作调动，入围供应商应在5个工作日内函告警采中心。</w:t>
      </w:r>
    </w:p>
    <w:p>
      <w:pPr>
        <w:pStyle w:val="5"/>
        <w:keepNext w:val="0"/>
        <w:keepLines w:val="0"/>
        <w:widowControl w:val="0"/>
        <w:spacing w:before="120"/>
        <w:rPr>
          <w:highlight w:val="none"/>
        </w:rPr>
      </w:pPr>
      <w:r>
        <w:rPr>
          <w:highlight w:val="none"/>
        </w:rPr>
        <w:t>服务内容</w:t>
      </w:r>
    </w:p>
    <w:p>
      <w:pPr>
        <w:pStyle w:val="224"/>
        <w:widowControl w:val="0"/>
        <w:rPr>
          <w:rFonts w:ascii="Times New Roman" w:hAnsi="Times New Roman"/>
          <w:highlight w:val="none"/>
        </w:rPr>
      </w:pPr>
      <w:r>
        <w:rPr>
          <w:rFonts w:ascii="Times New Roman" w:hAnsi="Times New Roman"/>
          <w:highlight w:val="none"/>
        </w:rPr>
        <w:t>供应商入围后针对入围产品向采购人提供服务保障，应当符合供应商在响应文件中的服务承诺。包括但不限于以下：</w:t>
      </w:r>
    </w:p>
    <w:p>
      <w:pPr>
        <w:pStyle w:val="224"/>
        <w:widowControl w:val="0"/>
        <w:rPr>
          <w:rFonts w:ascii="Times New Roman" w:hAnsi="Times New Roman"/>
          <w:szCs w:val="22"/>
          <w:highlight w:val="none"/>
          <w:lang w:val="en-US"/>
        </w:rPr>
      </w:pPr>
      <w:r>
        <w:rPr>
          <w:rFonts w:ascii="Times New Roman" w:hAnsi="Times New Roman"/>
          <w:highlight w:val="none"/>
        </w:rPr>
        <w:t>（1）</w:t>
      </w:r>
      <w:r>
        <w:rPr>
          <w:rFonts w:ascii="Times New Roman" w:hAnsi="Times New Roman"/>
          <w:szCs w:val="22"/>
          <w:highlight w:val="none"/>
          <w:lang w:val="en-US"/>
        </w:rPr>
        <w:t>质保期内：实行</w:t>
      </w:r>
      <w:r>
        <w:rPr>
          <w:rFonts w:hint="eastAsia" w:ascii="Times New Roman" w:hAnsi="Times New Roman"/>
          <w:szCs w:val="22"/>
          <w:highlight w:val="none"/>
          <w:lang w:val="en-US"/>
        </w:rPr>
        <w:t>“</w:t>
      </w:r>
      <w:r>
        <w:rPr>
          <w:rFonts w:hint="eastAsia" w:cs="宋体"/>
          <w:szCs w:val="22"/>
          <w:highlight w:val="none"/>
          <w:lang w:val="en-US"/>
        </w:rPr>
        <w:t>三包</w:t>
      </w:r>
      <w:r>
        <w:rPr>
          <w:rFonts w:hint="eastAsia" w:ascii="Times New Roman" w:hAnsi="Times New Roman"/>
          <w:szCs w:val="22"/>
          <w:highlight w:val="none"/>
          <w:lang w:val="en-US"/>
        </w:rPr>
        <w:t>”</w:t>
      </w:r>
      <w:r>
        <w:rPr>
          <w:rFonts w:ascii="Times New Roman" w:hAnsi="Times New Roman"/>
          <w:szCs w:val="22"/>
          <w:highlight w:val="none"/>
          <w:lang w:val="en-US"/>
        </w:rPr>
        <w:t>服务，如</w:t>
      </w:r>
      <w:r>
        <w:rPr>
          <w:rFonts w:ascii="Times New Roman" w:hAnsi="Times New Roman"/>
          <w:highlight w:val="none"/>
        </w:rPr>
        <w:t>货物</w:t>
      </w:r>
      <w:r>
        <w:rPr>
          <w:rFonts w:ascii="Times New Roman" w:hAnsi="Times New Roman"/>
          <w:szCs w:val="22"/>
          <w:highlight w:val="none"/>
          <w:lang w:val="en-US"/>
        </w:rPr>
        <w:t>出现质量问题，供应商根据实际情况进行修理、更换或退货处理，并承担由此发生的一切费用；</w:t>
      </w:r>
    </w:p>
    <w:p>
      <w:pPr>
        <w:pStyle w:val="224"/>
        <w:widowControl w:val="0"/>
        <w:rPr>
          <w:rFonts w:ascii="Times New Roman" w:hAnsi="Times New Roman"/>
          <w:highlight w:val="none"/>
        </w:rPr>
      </w:pPr>
      <w:r>
        <w:rPr>
          <w:rFonts w:ascii="Times New Roman" w:hAnsi="Times New Roman"/>
          <w:szCs w:val="22"/>
          <w:highlight w:val="none"/>
          <w:lang w:val="en-US"/>
        </w:rPr>
        <w:t>（2）服务响应时间：</w:t>
      </w:r>
      <w:r>
        <w:rPr>
          <w:rFonts w:ascii="Times New Roman" w:hAnsi="Times New Roman"/>
          <w:highlight w:val="none"/>
        </w:rPr>
        <w:t>供应商应提供7×24小时技术响应，</w:t>
      </w:r>
      <w:r>
        <w:rPr>
          <w:rFonts w:ascii="Times New Roman" w:hAnsi="Times New Roman"/>
          <w:szCs w:val="22"/>
          <w:highlight w:val="none"/>
          <w:lang w:val="en-US"/>
        </w:rPr>
        <w:t>在质保期内货物出现故障时，应在</w:t>
      </w:r>
      <w:r>
        <w:rPr>
          <w:rFonts w:ascii="Times New Roman" w:hAnsi="Times New Roman"/>
          <w:highlight w:val="none"/>
        </w:rPr>
        <w:t>接到采购人通知后2小时内作出实质性反应，并在24小时内赶赴现场处理故障。</w:t>
      </w:r>
    </w:p>
    <w:p>
      <w:pPr>
        <w:pStyle w:val="5"/>
        <w:keepNext w:val="0"/>
        <w:keepLines w:val="0"/>
        <w:widowControl w:val="0"/>
        <w:spacing w:before="120"/>
        <w:rPr>
          <w:highlight w:val="none"/>
        </w:rPr>
      </w:pPr>
      <w:r>
        <w:rPr>
          <w:highlight w:val="none"/>
        </w:rPr>
        <w:t>服务网络</w:t>
      </w:r>
    </w:p>
    <w:p>
      <w:pPr>
        <w:pStyle w:val="224"/>
        <w:widowControl w:val="0"/>
        <w:rPr>
          <w:rFonts w:ascii="Times New Roman" w:hAnsi="Times New Roman"/>
          <w:highlight w:val="none"/>
        </w:rPr>
      </w:pPr>
      <w:r>
        <w:rPr>
          <w:rFonts w:ascii="Times New Roman" w:hAnsi="Times New Roman"/>
          <w:highlight w:val="none"/>
        </w:rPr>
        <w:t>供应商</w:t>
      </w:r>
      <w:r>
        <w:rPr>
          <w:rFonts w:hint="eastAsia" w:ascii="Times New Roman" w:hAnsi="Times New Roman"/>
          <w:highlight w:val="none"/>
        </w:rPr>
        <w:t>须</w:t>
      </w:r>
      <w:r>
        <w:rPr>
          <w:rFonts w:ascii="Times New Roman" w:hAnsi="Times New Roman"/>
          <w:highlight w:val="none"/>
        </w:rPr>
        <w:t>提供在全国销售服务网点清单，清单包括但不限于联系人、联系电话、地址等内容。提供工商注册证明或营业执照或长期售后服务协议等能体现与供应商关联的证明文件，加盖供应商公章</w:t>
      </w:r>
      <w:r>
        <w:rPr>
          <w:rFonts w:ascii="Times New Roman" w:hAnsi="Times New Roman"/>
          <w:highlight w:val="none"/>
          <w:lang w:val="en-US"/>
        </w:rPr>
        <w:t>。</w:t>
      </w:r>
    </w:p>
    <w:bookmarkEnd w:id="37"/>
    <w:bookmarkEnd w:id="38"/>
    <w:p>
      <w:pPr>
        <w:pStyle w:val="5"/>
        <w:keepNext w:val="0"/>
        <w:keepLines w:val="0"/>
        <w:widowControl w:val="0"/>
        <w:spacing w:before="120"/>
        <w:rPr>
          <w:highlight w:val="none"/>
        </w:rPr>
      </w:pPr>
      <w:bookmarkStart w:id="41" w:name="_Toc56157936"/>
      <w:bookmarkStart w:id="42" w:name="_Toc27489982"/>
      <w:r>
        <w:rPr>
          <w:highlight w:val="none"/>
        </w:rPr>
        <w:t>交货要求</w:t>
      </w:r>
      <w:bookmarkEnd w:id="41"/>
      <w:bookmarkEnd w:id="42"/>
    </w:p>
    <w:p>
      <w:pPr>
        <w:pStyle w:val="224"/>
        <w:widowControl w:val="0"/>
        <w:rPr>
          <w:rFonts w:ascii="Times New Roman" w:hAnsi="Times New Roman"/>
          <w:highlight w:val="none"/>
        </w:rPr>
      </w:pPr>
      <w:r>
        <w:rPr>
          <w:rFonts w:hint="eastAsia" w:ascii="Times New Roman" w:hAnsi="Times New Roman"/>
          <w:highlight w:val="none"/>
        </w:rPr>
        <w:t>本次征集交货的地域范围：全国范围内。</w:t>
      </w:r>
      <w:r>
        <w:rPr>
          <w:rFonts w:ascii="Times New Roman" w:hAnsi="Times New Roman"/>
          <w:highlight w:val="none"/>
        </w:rPr>
        <w:t>供货时间及地点：产品供货时间最长不得超过</w:t>
      </w:r>
      <w:r>
        <w:rPr>
          <w:rFonts w:hint="eastAsia" w:ascii="Times New Roman" w:hAnsi="Times New Roman"/>
          <w:highlight w:val="none"/>
          <w:lang w:val="en-US"/>
        </w:rPr>
        <w:t>30</w:t>
      </w:r>
      <w:r>
        <w:rPr>
          <w:rFonts w:ascii="Times New Roman" w:hAnsi="Times New Roman"/>
          <w:highlight w:val="none"/>
        </w:rPr>
        <w:t>个日历日</w:t>
      </w:r>
      <w:r>
        <w:rPr>
          <w:rFonts w:hint="eastAsia" w:ascii="Times New Roman" w:hAnsi="Times New Roman"/>
          <w:highlight w:val="none"/>
        </w:rPr>
        <w:t>，</w:t>
      </w:r>
      <w:r>
        <w:rPr>
          <w:rFonts w:ascii="Times New Roman" w:hAnsi="Times New Roman"/>
          <w:highlight w:val="none"/>
        </w:rPr>
        <w:t>并按采购人指定地点优先供货；入围供应商须提供验收服务标准，采购人按照验收服务标准进行验收。</w:t>
      </w:r>
    </w:p>
    <w:p>
      <w:pPr>
        <w:pStyle w:val="224"/>
        <w:widowControl w:val="0"/>
        <w:rPr>
          <w:rFonts w:ascii="Times New Roman" w:hAnsi="Times New Roman"/>
          <w:highlight w:val="none"/>
        </w:rPr>
      </w:pPr>
      <w:r>
        <w:rPr>
          <w:rFonts w:hint="eastAsia"/>
          <w:highlight w:val="none"/>
          <w:lang w:val="en-US"/>
        </w:rPr>
        <w:t>产品包装除符合对应技术标准中包装要求外，同时需执行《关于印发&lt;商品包装政府采购需求标准（试行）&gt;、&lt;快递包装政府采购需求标准（试行）&gt;的通知》（财办库</w:t>
      </w:r>
      <w:r>
        <w:rPr>
          <w:rFonts w:ascii="Times New Roman" w:hAnsi="Times New Roman"/>
          <w:highlight w:val="none"/>
          <w:lang w:val="en-US"/>
        </w:rPr>
        <w:t xml:space="preserve">〔2020〕123 </w:t>
      </w:r>
      <w:r>
        <w:rPr>
          <w:rFonts w:hint="eastAsia"/>
          <w:highlight w:val="none"/>
          <w:lang w:val="en-US"/>
        </w:rPr>
        <w:t>号）规定。</w:t>
      </w:r>
    </w:p>
    <w:p>
      <w:pPr>
        <w:pStyle w:val="224"/>
        <w:widowControl w:val="0"/>
        <w:rPr>
          <w:rFonts w:ascii="Times New Roman" w:hAnsi="Times New Roman"/>
          <w:highlight w:val="none"/>
        </w:rPr>
      </w:pPr>
      <w:r>
        <w:rPr>
          <w:rFonts w:ascii="Times New Roman" w:hAnsi="Times New Roman"/>
          <w:highlight w:val="none"/>
        </w:rPr>
        <w:t>验收时发现产品发生损毁，或产品规格与订单约定不符，则采购人有权拒收产品，供应商应当及时按照</w:t>
      </w:r>
      <w:r>
        <w:rPr>
          <w:rFonts w:hint="eastAsia" w:ascii="Times New Roman" w:hAnsi="Times New Roman"/>
          <w:highlight w:val="none"/>
        </w:rPr>
        <w:t>征集文件</w:t>
      </w:r>
      <w:r>
        <w:rPr>
          <w:rFonts w:ascii="Times New Roman" w:hAnsi="Times New Roman"/>
          <w:highlight w:val="none"/>
        </w:rPr>
        <w:t>、框架协议等文件中相关约定进行更换或维修，与采购人协商解决直至验收合格。</w:t>
      </w:r>
    </w:p>
    <w:p>
      <w:pPr>
        <w:rPr>
          <w:highlight w:val="none"/>
          <w:lang w:val="en-US"/>
        </w:rPr>
      </w:pPr>
    </w:p>
    <w:p>
      <w:pPr>
        <w:pStyle w:val="4"/>
        <w:spacing w:before="120"/>
        <w:rPr>
          <w:highlight w:val="none"/>
          <w:lang w:val="en-US"/>
        </w:rPr>
        <w:sectPr>
          <w:headerReference r:id="rId10" w:type="default"/>
          <w:pgSz w:w="11907" w:h="16839"/>
          <w:pgMar w:top="1928" w:right="1531" w:bottom="1871" w:left="1531" w:header="1145" w:footer="709" w:gutter="0"/>
          <w:pgNumType w:start="1"/>
          <w:cols w:space="720" w:num="1"/>
          <w:docGrid w:linePitch="360" w:charSpace="0"/>
        </w:sectPr>
      </w:pPr>
    </w:p>
    <w:p>
      <w:pPr>
        <w:pStyle w:val="3"/>
        <w:pageBreakBefore w:val="0"/>
        <w:widowControl w:val="0"/>
        <w:rPr>
          <w:highlight w:val="none"/>
        </w:rPr>
      </w:pPr>
      <w:bookmarkStart w:id="43" w:name="_Toc142051462"/>
      <w:bookmarkStart w:id="44" w:name="_Toc16691184"/>
      <w:bookmarkStart w:id="45" w:name="_Toc56157880"/>
      <w:bookmarkStart w:id="46" w:name="_Toc27489932"/>
      <w:bookmarkStart w:id="47" w:name="_Toc13528"/>
      <w:r>
        <w:rPr>
          <w:highlight w:val="none"/>
        </w:rPr>
        <w:t>供应商须知</w:t>
      </w:r>
      <w:bookmarkEnd w:id="43"/>
      <w:bookmarkEnd w:id="44"/>
      <w:bookmarkEnd w:id="45"/>
      <w:bookmarkEnd w:id="46"/>
    </w:p>
    <w:p>
      <w:pPr>
        <w:pStyle w:val="4"/>
        <w:keepNext w:val="0"/>
        <w:keepLines w:val="0"/>
        <w:spacing w:before="120"/>
        <w:ind w:left="320" w:hanging="320"/>
        <w:jc w:val="both"/>
        <w:rPr>
          <w:highlight w:val="none"/>
        </w:rPr>
      </w:pPr>
      <w:bookmarkStart w:id="48" w:name="_Toc21215"/>
      <w:bookmarkStart w:id="49" w:name="_Toc2582263"/>
      <w:bookmarkStart w:id="50" w:name="_Toc21015"/>
      <w:bookmarkStart w:id="51" w:name="_Toc142051463"/>
      <w:bookmarkStart w:id="52" w:name="_Toc532473449"/>
      <w:r>
        <w:rPr>
          <w:highlight w:val="none"/>
        </w:rPr>
        <w:t>总则</w:t>
      </w:r>
      <w:bookmarkEnd w:id="48"/>
      <w:bookmarkEnd w:id="49"/>
      <w:bookmarkEnd w:id="50"/>
      <w:bookmarkEnd w:id="51"/>
      <w:bookmarkEnd w:id="52"/>
    </w:p>
    <w:p>
      <w:pPr>
        <w:pStyle w:val="5"/>
        <w:keepNext w:val="0"/>
        <w:keepLines w:val="0"/>
        <w:widowControl w:val="0"/>
        <w:spacing w:before="120"/>
        <w:rPr>
          <w:highlight w:val="none"/>
        </w:rPr>
      </w:pPr>
      <w:bookmarkStart w:id="53" w:name="_Toc2582264"/>
      <w:bookmarkStart w:id="54" w:name="_Toc515647758"/>
      <w:bookmarkStart w:id="55" w:name="_Toc532473450"/>
      <w:bookmarkStart w:id="56" w:name="_Toc520356144"/>
      <w:bookmarkStart w:id="57" w:name="_Toc32623"/>
      <w:bookmarkStart w:id="58" w:name="_Toc32189"/>
      <w:r>
        <w:rPr>
          <w:highlight w:val="none"/>
        </w:rPr>
        <w:t>采购人、</w:t>
      </w:r>
      <w:r>
        <w:rPr>
          <w:rFonts w:hint="eastAsia"/>
          <w:highlight w:val="none"/>
        </w:rPr>
        <w:t>征集人</w:t>
      </w:r>
      <w:r>
        <w:rPr>
          <w:highlight w:val="none"/>
        </w:rPr>
        <w:t>及</w:t>
      </w:r>
      <w:bookmarkEnd w:id="53"/>
      <w:bookmarkEnd w:id="54"/>
      <w:bookmarkEnd w:id="55"/>
      <w:bookmarkEnd w:id="56"/>
      <w:bookmarkEnd w:id="57"/>
      <w:bookmarkEnd w:id="58"/>
      <w:r>
        <w:rPr>
          <w:highlight w:val="none"/>
        </w:rPr>
        <w:t>供应商</w:t>
      </w:r>
    </w:p>
    <w:p>
      <w:pPr>
        <w:pStyle w:val="6"/>
        <w:rPr>
          <w:highlight w:val="none"/>
        </w:rPr>
      </w:pPr>
      <w:r>
        <w:rPr>
          <w:highlight w:val="none"/>
        </w:rPr>
        <w:t>采购人：</w:t>
      </w:r>
      <w:r>
        <w:rPr>
          <w:rFonts w:hint="eastAsia"/>
          <w:highlight w:val="none"/>
        </w:rPr>
        <w:t>指公安部本级有关部门及单位。对纳入地方部门集中采购目录或分散采购限额以下的警用装备采购项目，地方各级公安机关报当地财政部门同意后自愿执行</w:t>
      </w:r>
      <w:r>
        <w:rPr>
          <w:highlight w:val="none"/>
        </w:rPr>
        <w:t>。</w:t>
      </w:r>
    </w:p>
    <w:p>
      <w:pPr>
        <w:pStyle w:val="6"/>
        <w:rPr>
          <w:highlight w:val="none"/>
        </w:rPr>
      </w:pPr>
      <w:r>
        <w:rPr>
          <w:rFonts w:hint="eastAsia"/>
          <w:highlight w:val="none"/>
        </w:rPr>
        <w:t>征集人</w:t>
      </w:r>
      <w:r>
        <w:rPr>
          <w:highlight w:val="none"/>
        </w:rPr>
        <w:t>：公安部警用装备采购中心。</w:t>
      </w:r>
    </w:p>
    <w:p>
      <w:pPr>
        <w:pStyle w:val="6"/>
        <w:rPr>
          <w:highlight w:val="none"/>
        </w:rPr>
      </w:pPr>
      <w:r>
        <w:rPr>
          <w:highlight w:val="none"/>
        </w:rPr>
        <w:t>供应商：是指响应</w:t>
      </w:r>
      <w:r>
        <w:rPr>
          <w:rFonts w:hint="eastAsia"/>
          <w:highlight w:val="none"/>
        </w:rPr>
        <w:t>征集</w:t>
      </w:r>
      <w:r>
        <w:rPr>
          <w:highlight w:val="none"/>
        </w:rPr>
        <w:t>邀请，并参与</w:t>
      </w:r>
      <w:r>
        <w:rPr>
          <w:rFonts w:hint="eastAsia"/>
          <w:highlight w:val="none"/>
        </w:rPr>
        <w:t>征集</w:t>
      </w:r>
      <w:r>
        <w:rPr>
          <w:highlight w:val="none"/>
        </w:rPr>
        <w:t>的法人、非法人组织或者自然人。</w:t>
      </w:r>
    </w:p>
    <w:p>
      <w:pPr>
        <w:pStyle w:val="6"/>
        <w:rPr>
          <w:highlight w:val="none"/>
        </w:rPr>
      </w:pPr>
      <w:r>
        <w:rPr>
          <w:highlight w:val="none"/>
        </w:rPr>
        <w:t>潜在供应商：是指以</w:t>
      </w:r>
      <w:r>
        <w:rPr>
          <w:rFonts w:hint="eastAsia"/>
          <w:highlight w:val="none"/>
        </w:rPr>
        <w:t>征集文件</w:t>
      </w:r>
      <w:r>
        <w:rPr>
          <w:highlight w:val="none"/>
        </w:rPr>
        <w:t>规定的方式获取本项目</w:t>
      </w:r>
      <w:r>
        <w:rPr>
          <w:rFonts w:hint="eastAsia"/>
          <w:highlight w:val="none"/>
        </w:rPr>
        <w:t>征集文件</w:t>
      </w:r>
      <w:r>
        <w:rPr>
          <w:highlight w:val="none"/>
        </w:rPr>
        <w:t>的法人、非法人组织或者自然人。</w:t>
      </w:r>
    </w:p>
    <w:p>
      <w:pPr>
        <w:pStyle w:val="6"/>
        <w:keepNext w:val="0"/>
        <w:keepLines w:val="0"/>
        <w:widowControl w:val="0"/>
        <w:jc w:val="both"/>
        <w:rPr>
          <w:rFonts w:cs="Times New Roman"/>
          <w:highlight w:val="none"/>
        </w:rPr>
      </w:pPr>
      <w:r>
        <w:rPr>
          <w:rFonts w:cs="Times New Roman"/>
          <w:highlight w:val="none"/>
        </w:rPr>
        <w:t>单位负责人为同一人或者存在直接控股、管理关系的不同供应商参与本项目同一产品的</w:t>
      </w:r>
      <w:r>
        <w:rPr>
          <w:rFonts w:hint="eastAsia" w:cs="Times New Roman"/>
          <w:highlight w:val="none"/>
        </w:rPr>
        <w:t>响应</w:t>
      </w:r>
      <w:r>
        <w:rPr>
          <w:rFonts w:cs="Times New Roman"/>
          <w:highlight w:val="none"/>
        </w:rPr>
        <w:t>的，其相关</w:t>
      </w:r>
      <w:r>
        <w:rPr>
          <w:rFonts w:hint="eastAsia" w:cs="Times New Roman"/>
          <w:highlight w:val="none"/>
        </w:rPr>
        <w:t>响应</w:t>
      </w:r>
      <w:r>
        <w:rPr>
          <w:rFonts w:cs="Times New Roman"/>
          <w:highlight w:val="none"/>
        </w:rPr>
        <w:t>将被认定为</w:t>
      </w:r>
      <w:r>
        <w:rPr>
          <w:rFonts w:hint="eastAsia" w:cs="Times New Roman"/>
          <w:b/>
          <w:highlight w:val="none"/>
        </w:rPr>
        <w:t>响应</w:t>
      </w:r>
      <w:r>
        <w:rPr>
          <w:rFonts w:cs="Times New Roman"/>
          <w:b/>
          <w:highlight w:val="none"/>
        </w:rPr>
        <w:t>无效</w:t>
      </w:r>
      <w:r>
        <w:rPr>
          <w:rFonts w:cs="Times New Roman"/>
          <w:highlight w:val="none"/>
        </w:rPr>
        <w:t>。</w:t>
      </w:r>
    </w:p>
    <w:p>
      <w:pPr>
        <w:pStyle w:val="5"/>
        <w:keepNext w:val="0"/>
        <w:keepLines w:val="0"/>
        <w:widowControl w:val="0"/>
        <w:spacing w:before="120"/>
        <w:rPr>
          <w:highlight w:val="none"/>
        </w:rPr>
      </w:pPr>
      <w:bookmarkStart w:id="59" w:name="_Toc2582266"/>
      <w:bookmarkStart w:id="60" w:name="_Toc15936"/>
      <w:bookmarkStart w:id="61" w:name="_Toc20526"/>
      <w:bookmarkStart w:id="62" w:name="_Toc520356145"/>
      <w:bookmarkStart w:id="63" w:name="_Toc515647760"/>
      <w:bookmarkStart w:id="64" w:name="_Toc532473452"/>
      <w:r>
        <w:rPr>
          <w:highlight w:val="none"/>
        </w:rPr>
        <w:t>框架协议</w:t>
      </w:r>
    </w:p>
    <w:p>
      <w:pPr>
        <w:pStyle w:val="6"/>
        <w:rPr>
          <w:highlight w:val="none"/>
        </w:rPr>
      </w:pPr>
      <w:r>
        <w:rPr>
          <w:rFonts w:hint="eastAsia"/>
          <w:highlight w:val="none"/>
          <w:lang w:val="en-US"/>
        </w:rPr>
        <w:t>框架协议的期限：自框架协议签订之日起一年。</w:t>
      </w:r>
    </w:p>
    <w:p>
      <w:pPr>
        <w:pStyle w:val="6"/>
        <w:rPr>
          <w:highlight w:val="none"/>
        </w:rPr>
      </w:pPr>
      <w:r>
        <w:rPr>
          <w:highlight w:val="none"/>
        </w:rPr>
        <w:t>入围供应商应当自入围通知书发出之日起30日内，按照</w:t>
      </w:r>
      <w:r>
        <w:rPr>
          <w:rFonts w:hint="eastAsia"/>
          <w:highlight w:val="none"/>
        </w:rPr>
        <w:t>征集文件</w:t>
      </w:r>
      <w:r>
        <w:rPr>
          <w:highlight w:val="none"/>
        </w:rPr>
        <w:t>、响应文件确定的事项与警采中心签订框架协议，详见附件5.1。</w:t>
      </w:r>
    </w:p>
    <w:p>
      <w:pPr>
        <w:pStyle w:val="6"/>
        <w:rPr>
          <w:highlight w:val="none"/>
        </w:rPr>
      </w:pPr>
      <w:r>
        <w:rPr>
          <w:highlight w:val="none"/>
        </w:rPr>
        <w:t>入围供应商与警采中心签订框架协议，默认</w:t>
      </w:r>
      <w:r>
        <w:rPr>
          <w:highlight w:val="none"/>
          <w:lang w:val="en-US"/>
        </w:rPr>
        <w:t>了解并接受《框架采购协议》的全部条款，并履行协议责任和义务。</w:t>
      </w:r>
    </w:p>
    <w:p>
      <w:pPr>
        <w:pStyle w:val="5"/>
        <w:keepNext w:val="0"/>
        <w:keepLines w:val="0"/>
        <w:widowControl w:val="0"/>
        <w:spacing w:before="120"/>
        <w:rPr>
          <w:highlight w:val="none"/>
        </w:rPr>
      </w:pPr>
      <w:r>
        <w:rPr>
          <w:rFonts w:hint="eastAsia"/>
          <w:highlight w:val="none"/>
        </w:rPr>
        <w:t>采购资金的支付方式、时间和条件</w:t>
      </w:r>
    </w:p>
    <w:p>
      <w:pPr>
        <w:pStyle w:val="224"/>
        <w:widowControl w:val="0"/>
        <w:rPr>
          <w:highlight w:val="none"/>
        </w:rPr>
      </w:pPr>
      <w:r>
        <w:rPr>
          <w:rFonts w:hint="eastAsia"/>
          <w:highlight w:val="none"/>
        </w:rPr>
        <w:t>由采购人直接与成交供应商付款结算或委托警采中心转付采购款，具体按照采购合同约定的支付方式、时间和条件执行。</w:t>
      </w:r>
    </w:p>
    <w:p>
      <w:pPr>
        <w:pStyle w:val="5"/>
        <w:keepNext w:val="0"/>
        <w:keepLines w:val="0"/>
        <w:widowControl w:val="0"/>
        <w:spacing w:before="120"/>
        <w:rPr>
          <w:highlight w:val="none"/>
        </w:rPr>
      </w:pPr>
      <w:r>
        <w:rPr>
          <w:rFonts w:hint="eastAsia"/>
          <w:highlight w:val="none"/>
        </w:rPr>
        <w:t>用户反馈和评价机制</w:t>
      </w:r>
    </w:p>
    <w:p>
      <w:pPr>
        <w:pStyle w:val="224"/>
        <w:widowControl w:val="0"/>
        <w:rPr>
          <w:highlight w:val="none"/>
        </w:rPr>
      </w:pPr>
      <w:r>
        <w:rPr>
          <w:rFonts w:hint="eastAsia" w:ascii="Times New Roman" w:hAnsi="Times New Roman"/>
          <w:highlight w:val="none"/>
        </w:rPr>
        <w:t>警采中心将建立用户反馈和评价机制，接受采购人对入围供应商履行框架协议和采购合同情况的反馈与评价，并向采购人公开用户反馈和评价情况，作为确定第二阶段成交供应商的参考。</w:t>
      </w:r>
    </w:p>
    <w:p>
      <w:pPr>
        <w:pStyle w:val="5"/>
        <w:keepNext w:val="0"/>
        <w:keepLines w:val="0"/>
        <w:widowControl w:val="0"/>
        <w:spacing w:before="120"/>
        <w:rPr>
          <w:highlight w:val="none"/>
        </w:rPr>
      </w:pPr>
      <w:r>
        <w:rPr>
          <w:rFonts w:hint="eastAsia"/>
          <w:highlight w:val="none"/>
        </w:rPr>
        <w:t>响应</w:t>
      </w:r>
      <w:r>
        <w:rPr>
          <w:highlight w:val="none"/>
        </w:rPr>
        <w:t>费用</w:t>
      </w:r>
      <w:bookmarkEnd w:id="59"/>
      <w:bookmarkEnd w:id="60"/>
      <w:bookmarkEnd w:id="61"/>
      <w:bookmarkEnd w:id="62"/>
      <w:bookmarkEnd w:id="63"/>
      <w:bookmarkEnd w:id="64"/>
    </w:p>
    <w:p>
      <w:pPr>
        <w:pStyle w:val="6"/>
        <w:keepNext w:val="0"/>
        <w:keepLines w:val="0"/>
        <w:widowControl w:val="0"/>
        <w:jc w:val="both"/>
        <w:rPr>
          <w:rFonts w:cs="Times New Roman"/>
          <w:highlight w:val="none"/>
        </w:rPr>
      </w:pPr>
      <w:r>
        <w:rPr>
          <w:rFonts w:cs="Times New Roman"/>
          <w:highlight w:val="none"/>
        </w:rPr>
        <w:t>不论</w:t>
      </w:r>
      <w:r>
        <w:rPr>
          <w:rFonts w:hint="eastAsia" w:cs="Times New Roman"/>
          <w:highlight w:val="none"/>
        </w:rPr>
        <w:t>响应</w:t>
      </w:r>
      <w:r>
        <w:rPr>
          <w:rFonts w:cs="Times New Roman"/>
          <w:highlight w:val="none"/>
        </w:rPr>
        <w:t>的结果如何，响应供应商应承担所有与</w:t>
      </w:r>
      <w:r>
        <w:rPr>
          <w:rFonts w:hint="eastAsia" w:cs="Times New Roman"/>
          <w:highlight w:val="none"/>
        </w:rPr>
        <w:t>响应</w:t>
      </w:r>
      <w:r>
        <w:rPr>
          <w:rFonts w:cs="Times New Roman"/>
          <w:highlight w:val="none"/>
        </w:rPr>
        <w:t>有关的费用。</w:t>
      </w:r>
    </w:p>
    <w:p>
      <w:pPr>
        <w:pStyle w:val="5"/>
        <w:keepNext w:val="0"/>
        <w:keepLines w:val="0"/>
        <w:widowControl w:val="0"/>
        <w:spacing w:before="120"/>
        <w:rPr>
          <w:highlight w:val="none"/>
        </w:rPr>
      </w:pPr>
      <w:bookmarkStart w:id="65" w:name="_Toc515647761"/>
      <w:bookmarkStart w:id="66" w:name="_Toc4463"/>
      <w:bookmarkStart w:id="67" w:name="_Toc532473453"/>
      <w:bookmarkStart w:id="68" w:name="_Toc6116"/>
      <w:bookmarkStart w:id="69" w:name="_Toc2582267"/>
      <w:r>
        <w:rPr>
          <w:highlight w:val="none"/>
        </w:rPr>
        <w:t>适用法律</w:t>
      </w:r>
      <w:bookmarkEnd w:id="65"/>
      <w:bookmarkEnd w:id="66"/>
      <w:bookmarkEnd w:id="67"/>
      <w:bookmarkEnd w:id="68"/>
      <w:bookmarkEnd w:id="69"/>
    </w:p>
    <w:p>
      <w:pPr>
        <w:pStyle w:val="6"/>
        <w:keepNext w:val="0"/>
        <w:keepLines w:val="0"/>
        <w:widowControl w:val="0"/>
        <w:jc w:val="both"/>
        <w:rPr>
          <w:rFonts w:cs="Times New Roman"/>
          <w:highlight w:val="none"/>
        </w:rPr>
      </w:pPr>
      <w:r>
        <w:rPr>
          <w:rFonts w:cs="Times New Roman"/>
          <w:highlight w:val="none"/>
        </w:rPr>
        <w:t>本项目采购人、</w:t>
      </w:r>
      <w:r>
        <w:rPr>
          <w:rFonts w:hint="eastAsia" w:cs="Times New Roman"/>
          <w:highlight w:val="none"/>
        </w:rPr>
        <w:t>征集人</w:t>
      </w:r>
      <w:r>
        <w:rPr>
          <w:rFonts w:cs="Times New Roman"/>
          <w:highlight w:val="none"/>
        </w:rPr>
        <w:t>、供应商、</w:t>
      </w:r>
      <w:r>
        <w:rPr>
          <w:rFonts w:hint="eastAsia" w:cs="Times New Roman"/>
          <w:highlight w:val="none"/>
        </w:rPr>
        <w:t>评审小组</w:t>
      </w:r>
      <w:r>
        <w:rPr>
          <w:rFonts w:cs="Times New Roman"/>
          <w:highlight w:val="none"/>
        </w:rPr>
        <w:t>的相关行为均受《中华人民共和国政府采购法》、《中华人民共和国政府采购法实施条例》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及本项目本级和上级财政部门政府采购有关规定的约束和保护。</w:t>
      </w:r>
    </w:p>
    <w:p>
      <w:pPr>
        <w:pStyle w:val="4"/>
        <w:keepNext w:val="0"/>
        <w:keepLines w:val="0"/>
        <w:spacing w:before="120"/>
        <w:ind w:left="320" w:hanging="320"/>
        <w:jc w:val="both"/>
        <w:rPr>
          <w:highlight w:val="none"/>
        </w:rPr>
      </w:pPr>
      <w:bookmarkStart w:id="70" w:name="_Toc142051464"/>
      <w:r>
        <w:rPr>
          <w:rFonts w:hint="eastAsia"/>
          <w:highlight w:val="none"/>
        </w:rPr>
        <w:t>征集文件</w:t>
      </w:r>
      <w:bookmarkEnd w:id="70"/>
    </w:p>
    <w:p>
      <w:pPr>
        <w:pStyle w:val="5"/>
        <w:keepNext w:val="0"/>
        <w:keepLines w:val="0"/>
        <w:widowControl w:val="0"/>
        <w:spacing w:before="120"/>
        <w:rPr>
          <w:highlight w:val="none"/>
        </w:rPr>
      </w:pPr>
      <w:bookmarkStart w:id="71" w:name="_Toc56157890"/>
      <w:bookmarkStart w:id="72" w:name="_Toc71873095"/>
      <w:bookmarkStart w:id="73" w:name="_Toc27489942"/>
      <w:bookmarkStart w:id="74" w:name="_Toc71873096"/>
      <w:bookmarkStart w:id="75" w:name="_Toc56157891"/>
      <w:bookmarkStart w:id="76" w:name="_Toc27489943"/>
      <w:bookmarkStart w:id="77" w:name="_Toc532473457"/>
      <w:bookmarkStart w:id="78" w:name="_Toc515904806"/>
      <w:bookmarkStart w:id="79" w:name="_Toc25635"/>
      <w:bookmarkStart w:id="80" w:name="_Toc2582271"/>
      <w:bookmarkStart w:id="81" w:name="_Toc14569"/>
      <w:bookmarkStart w:id="82" w:name="_Toc520356149"/>
      <w:bookmarkStart w:id="83" w:name="_Ref467378678"/>
      <w:r>
        <w:rPr>
          <w:rFonts w:hint="eastAsia"/>
          <w:highlight w:val="none"/>
        </w:rPr>
        <w:t>征集文件</w:t>
      </w:r>
      <w:r>
        <w:rPr>
          <w:highlight w:val="none"/>
        </w:rPr>
        <w:t>包括下述内容</w:t>
      </w:r>
      <w:bookmarkEnd w:id="71"/>
      <w:bookmarkEnd w:id="72"/>
      <w:bookmarkEnd w:id="73"/>
    </w:p>
    <w:p>
      <w:pPr>
        <w:widowControl w:val="0"/>
        <w:ind w:firstLine="840" w:firstLineChars="400"/>
        <w:jc w:val="both"/>
        <w:rPr>
          <w:highlight w:val="none"/>
        </w:rPr>
      </w:pPr>
      <w:r>
        <w:rPr>
          <w:highlight w:val="none"/>
        </w:rPr>
        <w:t xml:space="preserve">第1部分 </w:t>
      </w:r>
      <w:r>
        <w:rPr>
          <w:rFonts w:hint="eastAsia"/>
          <w:highlight w:val="none"/>
        </w:rPr>
        <w:t>项目要求</w:t>
      </w:r>
    </w:p>
    <w:p>
      <w:pPr>
        <w:widowControl w:val="0"/>
        <w:ind w:firstLine="840" w:firstLineChars="400"/>
        <w:jc w:val="both"/>
        <w:rPr>
          <w:highlight w:val="none"/>
        </w:rPr>
      </w:pPr>
      <w:r>
        <w:rPr>
          <w:highlight w:val="none"/>
        </w:rPr>
        <w:t>第</w:t>
      </w:r>
      <w:r>
        <w:rPr>
          <w:rFonts w:hint="eastAsia"/>
          <w:highlight w:val="none"/>
        </w:rPr>
        <w:t>2</w:t>
      </w:r>
      <w:r>
        <w:rPr>
          <w:highlight w:val="none"/>
        </w:rPr>
        <w:t>部分 供应商须知</w:t>
      </w:r>
    </w:p>
    <w:p>
      <w:pPr>
        <w:widowControl w:val="0"/>
        <w:ind w:firstLine="840" w:firstLineChars="400"/>
        <w:jc w:val="both"/>
        <w:rPr>
          <w:highlight w:val="none"/>
        </w:rPr>
      </w:pPr>
      <w:r>
        <w:rPr>
          <w:highlight w:val="none"/>
        </w:rPr>
        <w:t>第</w:t>
      </w:r>
      <w:r>
        <w:rPr>
          <w:rFonts w:hint="eastAsia"/>
          <w:highlight w:val="none"/>
        </w:rPr>
        <w:t>3</w:t>
      </w:r>
      <w:r>
        <w:rPr>
          <w:highlight w:val="none"/>
        </w:rPr>
        <w:t>部分 响应文件编制的说明与要求</w:t>
      </w:r>
    </w:p>
    <w:p>
      <w:pPr>
        <w:widowControl w:val="0"/>
        <w:ind w:firstLine="840" w:firstLineChars="400"/>
        <w:jc w:val="both"/>
        <w:rPr>
          <w:highlight w:val="none"/>
        </w:rPr>
      </w:pPr>
      <w:r>
        <w:rPr>
          <w:highlight w:val="none"/>
        </w:rPr>
        <w:t>第</w:t>
      </w:r>
      <w:r>
        <w:rPr>
          <w:rFonts w:hint="eastAsia"/>
          <w:highlight w:val="none"/>
        </w:rPr>
        <w:t>4</w:t>
      </w:r>
      <w:r>
        <w:rPr>
          <w:highlight w:val="none"/>
        </w:rPr>
        <w:t>部分 评审与入围</w:t>
      </w:r>
    </w:p>
    <w:p>
      <w:pPr>
        <w:widowControl w:val="0"/>
        <w:ind w:firstLine="840" w:firstLineChars="400"/>
        <w:jc w:val="both"/>
        <w:rPr>
          <w:highlight w:val="none"/>
        </w:rPr>
      </w:pPr>
      <w:r>
        <w:rPr>
          <w:highlight w:val="none"/>
        </w:rPr>
        <w:t>第</w:t>
      </w:r>
      <w:r>
        <w:rPr>
          <w:rFonts w:hint="eastAsia"/>
          <w:highlight w:val="none"/>
        </w:rPr>
        <w:t>5</w:t>
      </w:r>
      <w:r>
        <w:rPr>
          <w:highlight w:val="none"/>
        </w:rPr>
        <w:t>部分 附件</w:t>
      </w:r>
    </w:p>
    <w:p>
      <w:pPr>
        <w:widowControl w:val="0"/>
        <w:ind w:firstLine="840" w:firstLineChars="400"/>
        <w:jc w:val="both"/>
        <w:rPr>
          <w:highlight w:val="none"/>
        </w:rPr>
      </w:pPr>
      <w:r>
        <w:rPr>
          <w:rFonts w:hint="eastAsia"/>
          <w:highlight w:val="none"/>
        </w:rPr>
        <w:t>第6部分 政府采购一体化云平台操作</w:t>
      </w:r>
      <w:r>
        <w:rPr>
          <w:highlight w:val="none"/>
        </w:rPr>
        <w:t>手册</w:t>
      </w:r>
    </w:p>
    <w:p>
      <w:pPr>
        <w:pStyle w:val="5"/>
        <w:keepNext w:val="0"/>
        <w:keepLines w:val="0"/>
        <w:widowControl w:val="0"/>
        <w:spacing w:before="120"/>
        <w:rPr>
          <w:highlight w:val="none"/>
        </w:rPr>
      </w:pPr>
      <w:r>
        <w:rPr>
          <w:rFonts w:hint="eastAsia"/>
          <w:highlight w:val="none"/>
        </w:rPr>
        <w:t>响应</w:t>
      </w:r>
      <w:r>
        <w:rPr>
          <w:highlight w:val="none"/>
        </w:rPr>
        <w:t>前</w:t>
      </w:r>
      <w:r>
        <w:rPr>
          <w:rFonts w:hint="eastAsia"/>
          <w:highlight w:val="none"/>
        </w:rPr>
        <w:t>征集文件</w:t>
      </w:r>
      <w:r>
        <w:rPr>
          <w:highlight w:val="none"/>
        </w:rPr>
        <w:t>的澄清和修改</w:t>
      </w:r>
      <w:bookmarkEnd w:id="74"/>
      <w:bookmarkEnd w:id="75"/>
      <w:bookmarkEnd w:id="76"/>
    </w:p>
    <w:p>
      <w:pPr>
        <w:pStyle w:val="6"/>
        <w:keepNext w:val="0"/>
        <w:keepLines w:val="0"/>
        <w:widowControl w:val="0"/>
        <w:jc w:val="both"/>
        <w:rPr>
          <w:rFonts w:cs="Times New Roman"/>
          <w:highlight w:val="none"/>
        </w:rPr>
      </w:pPr>
      <w:r>
        <w:rPr>
          <w:rFonts w:cs="Times New Roman"/>
          <w:highlight w:val="none"/>
        </w:rPr>
        <w:t>任何已获得</w:t>
      </w:r>
      <w:r>
        <w:rPr>
          <w:rFonts w:hint="eastAsia" w:cs="Times New Roman"/>
          <w:highlight w:val="none"/>
        </w:rPr>
        <w:t>征集文件</w:t>
      </w:r>
      <w:r>
        <w:rPr>
          <w:rFonts w:cs="Times New Roman"/>
          <w:highlight w:val="none"/>
        </w:rPr>
        <w:t>的潜在供应商，均可要求对</w:t>
      </w:r>
      <w:r>
        <w:rPr>
          <w:rFonts w:hint="eastAsia" w:cs="Times New Roman"/>
          <w:highlight w:val="none"/>
        </w:rPr>
        <w:t>征集文件</w:t>
      </w:r>
      <w:r>
        <w:rPr>
          <w:rFonts w:cs="Times New Roman"/>
          <w:highlight w:val="none"/>
        </w:rPr>
        <w:t>进行澄清或修改，通过《致供应商的邀请函》中的联系方式以书面形式送达警采中心。</w:t>
      </w:r>
    </w:p>
    <w:p>
      <w:pPr>
        <w:pStyle w:val="6"/>
        <w:keepNext w:val="0"/>
        <w:keepLines w:val="0"/>
        <w:widowControl w:val="0"/>
        <w:jc w:val="both"/>
        <w:rPr>
          <w:rFonts w:cs="Times New Roman"/>
          <w:highlight w:val="none"/>
        </w:rPr>
      </w:pPr>
      <w:r>
        <w:rPr>
          <w:rFonts w:cs="Times New Roman"/>
          <w:highlight w:val="none"/>
        </w:rPr>
        <w:t>按照责权利相一致原则，</w:t>
      </w:r>
      <w:r>
        <w:rPr>
          <w:rFonts w:hint="eastAsia" w:cs="Times New Roman"/>
          <w:highlight w:val="none"/>
        </w:rPr>
        <w:t>征集文件</w:t>
      </w:r>
      <w:r>
        <w:rPr>
          <w:rFonts w:cs="Times New Roman"/>
          <w:highlight w:val="none"/>
        </w:rPr>
        <w:t>的提出方负责解释供应商提出的相关澄清、修改要求，并应当视情况作出澄清或修改的决定。</w:t>
      </w:r>
    </w:p>
    <w:p>
      <w:pPr>
        <w:pStyle w:val="6"/>
        <w:keepNext w:val="0"/>
        <w:keepLines w:val="0"/>
        <w:widowControl w:val="0"/>
        <w:jc w:val="both"/>
        <w:rPr>
          <w:rFonts w:cs="Times New Roman"/>
          <w:highlight w:val="none"/>
        </w:rPr>
      </w:pPr>
      <w:r>
        <w:rPr>
          <w:rFonts w:cs="Times New Roman"/>
          <w:highlight w:val="none"/>
        </w:rPr>
        <w:t>警采中心对澄清、修改要求的处理：警采中心根据项目实际，认为不必要进行澄清或修改，也不需要进行答复的，可以对澄清、修改要求不予答复。若警采中心决定给予澄清、修改，将在中国政府采购网上进行公告。</w:t>
      </w:r>
    </w:p>
    <w:p>
      <w:pPr>
        <w:pStyle w:val="6"/>
        <w:keepNext w:val="0"/>
        <w:keepLines w:val="0"/>
        <w:widowControl w:val="0"/>
        <w:jc w:val="both"/>
        <w:rPr>
          <w:rFonts w:cs="Times New Roman"/>
          <w:highlight w:val="none"/>
        </w:rPr>
      </w:pPr>
      <w:r>
        <w:rPr>
          <w:rFonts w:cs="Times New Roman"/>
          <w:highlight w:val="none"/>
        </w:rPr>
        <w:t>警采中心主动进行的澄清、修改：警采中心无论出于何种原因，均可主动对</w:t>
      </w:r>
      <w:r>
        <w:rPr>
          <w:rFonts w:hint="eastAsia" w:cs="Times New Roman"/>
          <w:highlight w:val="none"/>
        </w:rPr>
        <w:t>征集文件</w:t>
      </w:r>
      <w:r>
        <w:rPr>
          <w:rFonts w:cs="Times New Roman"/>
          <w:highlight w:val="none"/>
        </w:rPr>
        <w:t>中的相关事项进行澄清、修改，并在中国政府采购网上进行公告。</w:t>
      </w:r>
    </w:p>
    <w:p>
      <w:pPr>
        <w:pStyle w:val="6"/>
        <w:keepNext w:val="0"/>
        <w:keepLines w:val="0"/>
        <w:widowControl w:val="0"/>
        <w:jc w:val="both"/>
        <w:rPr>
          <w:rFonts w:cs="Times New Roman"/>
          <w:highlight w:val="none"/>
        </w:rPr>
      </w:pPr>
      <w:r>
        <w:rPr>
          <w:rFonts w:cs="Times New Roman"/>
          <w:highlight w:val="none"/>
        </w:rPr>
        <w:t>澄清、修改后的更正文件：更正文件发出之日起至所规定的供应商提交响应文件截止之日止，不得少于15日，需要为此调整响应文件提交截止日期的，应当重新确定，并就变更后的</w:t>
      </w:r>
      <w:r>
        <w:rPr>
          <w:rFonts w:hint="eastAsia" w:cs="Times New Roman"/>
          <w:highlight w:val="none"/>
        </w:rPr>
        <w:t>响应</w:t>
      </w:r>
      <w:r>
        <w:rPr>
          <w:rFonts w:cs="Times New Roman"/>
          <w:highlight w:val="none"/>
        </w:rPr>
        <w:t>截止日期重新发出公告。</w:t>
      </w:r>
    </w:p>
    <w:bookmarkEnd w:id="77"/>
    <w:bookmarkEnd w:id="78"/>
    <w:bookmarkEnd w:id="79"/>
    <w:bookmarkEnd w:id="80"/>
    <w:bookmarkEnd w:id="81"/>
    <w:bookmarkEnd w:id="82"/>
    <w:bookmarkEnd w:id="83"/>
    <w:p>
      <w:pPr>
        <w:pStyle w:val="4"/>
        <w:keepNext w:val="0"/>
        <w:keepLines w:val="0"/>
        <w:spacing w:before="120"/>
        <w:ind w:left="320" w:hanging="320"/>
        <w:jc w:val="both"/>
        <w:rPr>
          <w:highlight w:val="none"/>
        </w:rPr>
      </w:pPr>
      <w:bookmarkStart w:id="84" w:name="_Toc516367020"/>
      <w:bookmarkStart w:id="85" w:name="_Toc216582807"/>
      <w:bookmarkStart w:id="86" w:name="_Toc30808"/>
      <w:bookmarkStart w:id="87" w:name="_Toc520356150"/>
      <w:bookmarkStart w:id="88" w:name="_Toc2582272"/>
      <w:bookmarkStart w:id="89" w:name="_Toc532473458"/>
      <w:bookmarkStart w:id="90" w:name="_Toc7636"/>
      <w:bookmarkStart w:id="91" w:name="_Toc515647766"/>
      <w:bookmarkStart w:id="92" w:name="_Toc142051465"/>
      <w:r>
        <w:rPr>
          <w:highlight w:val="none"/>
        </w:rPr>
        <w:t>响应文件</w:t>
      </w:r>
      <w:bookmarkEnd w:id="84"/>
      <w:r>
        <w:rPr>
          <w:highlight w:val="none"/>
        </w:rPr>
        <w:t>的编制</w:t>
      </w:r>
      <w:bookmarkEnd w:id="85"/>
      <w:bookmarkEnd w:id="86"/>
      <w:bookmarkEnd w:id="87"/>
      <w:bookmarkEnd w:id="88"/>
      <w:bookmarkEnd w:id="89"/>
      <w:bookmarkEnd w:id="90"/>
      <w:bookmarkEnd w:id="91"/>
      <w:bookmarkEnd w:id="92"/>
    </w:p>
    <w:p>
      <w:pPr>
        <w:pStyle w:val="5"/>
        <w:keepNext w:val="0"/>
        <w:keepLines w:val="0"/>
        <w:widowControl w:val="0"/>
        <w:spacing w:before="120"/>
        <w:rPr>
          <w:highlight w:val="none"/>
        </w:rPr>
      </w:pPr>
      <w:bookmarkStart w:id="93" w:name="_Toc56157893"/>
      <w:bookmarkStart w:id="94" w:name="_Toc71873098"/>
      <w:bookmarkStart w:id="95" w:name="_Toc27489945"/>
      <w:bookmarkStart w:id="96" w:name="_Toc532473461"/>
      <w:bookmarkStart w:id="97" w:name="_Toc4601"/>
      <w:bookmarkStart w:id="98" w:name="_Toc520356153"/>
      <w:bookmarkStart w:id="99" w:name="_Toc515647769"/>
      <w:bookmarkStart w:id="100" w:name="_Toc516367023"/>
      <w:bookmarkStart w:id="101" w:name="_Toc2582275"/>
      <w:bookmarkStart w:id="102" w:name="_Toc10379"/>
      <w:r>
        <w:rPr>
          <w:highlight w:val="none"/>
        </w:rPr>
        <w:t>响应文件的语言和计量单位</w:t>
      </w:r>
      <w:bookmarkEnd w:id="93"/>
      <w:bookmarkEnd w:id="94"/>
      <w:bookmarkEnd w:id="95"/>
    </w:p>
    <w:p>
      <w:pPr>
        <w:pStyle w:val="6"/>
        <w:keepNext w:val="0"/>
        <w:keepLines w:val="0"/>
        <w:widowControl w:val="0"/>
        <w:jc w:val="both"/>
        <w:rPr>
          <w:rFonts w:cs="Times New Roman"/>
          <w:highlight w:val="none"/>
        </w:rPr>
      </w:pPr>
      <w:r>
        <w:rPr>
          <w:rFonts w:cs="Times New Roman"/>
          <w:highlight w:val="none"/>
        </w:rPr>
        <w:t>供应商提交的响应文件以及供应商与警采中心就有关</w:t>
      </w:r>
      <w:r>
        <w:rPr>
          <w:rFonts w:hint="eastAsia" w:cs="Times New Roman"/>
          <w:highlight w:val="none"/>
        </w:rPr>
        <w:t>响应</w:t>
      </w:r>
      <w:r>
        <w:rPr>
          <w:rFonts w:cs="Times New Roman"/>
          <w:highlight w:val="none"/>
        </w:rPr>
        <w:t>的所有来往函件等均应使用中文简体字。</w:t>
      </w:r>
    </w:p>
    <w:p>
      <w:pPr>
        <w:pStyle w:val="6"/>
        <w:keepNext w:val="0"/>
        <w:keepLines w:val="0"/>
        <w:widowControl w:val="0"/>
        <w:jc w:val="both"/>
        <w:rPr>
          <w:rFonts w:cs="Times New Roman"/>
          <w:highlight w:val="none"/>
        </w:rPr>
      </w:pPr>
      <w:r>
        <w:rPr>
          <w:rFonts w:cs="Times New Roman"/>
          <w:highlight w:val="none"/>
        </w:rPr>
        <w:t>原版为外文的证书类、证明类文件，以及由外国人作出的本人签名、外国公司的名称或外国印章等可以是外文，但应当提供中文翻译文件（可以是</w:t>
      </w:r>
      <w:r>
        <w:rPr>
          <w:rFonts w:hint="eastAsia" w:cs="Times New Roman"/>
          <w:highlight w:val="none"/>
        </w:rPr>
        <w:t>扫描</w:t>
      </w:r>
      <w:r>
        <w:rPr>
          <w:rFonts w:cs="Times New Roman"/>
          <w:highlight w:val="none"/>
        </w:rPr>
        <w:t>件）并加盖供应商公章。</w:t>
      </w:r>
    </w:p>
    <w:p>
      <w:pPr>
        <w:pStyle w:val="6"/>
        <w:keepNext w:val="0"/>
        <w:keepLines w:val="0"/>
        <w:widowControl w:val="0"/>
        <w:jc w:val="both"/>
        <w:rPr>
          <w:rFonts w:cs="Times New Roman"/>
          <w:highlight w:val="none"/>
        </w:rPr>
      </w:pPr>
      <w:r>
        <w:rPr>
          <w:rFonts w:cs="Times New Roman"/>
          <w:highlight w:val="none"/>
        </w:rPr>
        <w:t>原版为外文的证书类、证明类文件，与供应商名称或其他实际情况不符的，供应商应当提供相关证明文件。</w:t>
      </w:r>
    </w:p>
    <w:p>
      <w:pPr>
        <w:pStyle w:val="6"/>
        <w:keepNext w:val="0"/>
        <w:keepLines w:val="0"/>
        <w:widowControl w:val="0"/>
        <w:jc w:val="both"/>
        <w:rPr>
          <w:rFonts w:cs="Times New Roman"/>
          <w:highlight w:val="none"/>
        </w:rPr>
      </w:pPr>
      <w:r>
        <w:rPr>
          <w:rFonts w:cs="Times New Roman"/>
          <w:highlight w:val="none"/>
        </w:rPr>
        <w:t>响应文件所使用的计量单位，应使用国家法定计量单位。</w:t>
      </w:r>
    </w:p>
    <w:bookmarkEnd w:id="96"/>
    <w:bookmarkEnd w:id="97"/>
    <w:bookmarkEnd w:id="98"/>
    <w:bookmarkEnd w:id="99"/>
    <w:bookmarkEnd w:id="100"/>
    <w:bookmarkEnd w:id="101"/>
    <w:bookmarkEnd w:id="102"/>
    <w:p>
      <w:pPr>
        <w:pStyle w:val="5"/>
        <w:keepNext w:val="0"/>
        <w:keepLines w:val="0"/>
        <w:widowControl w:val="0"/>
        <w:spacing w:before="120"/>
        <w:rPr>
          <w:highlight w:val="none"/>
        </w:rPr>
      </w:pPr>
      <w:r>
        <w:rPr>
          <w:bCs w:val="0"/>
          <w:iCs/>
          <w:highlight w:val="none"/>
        </w:rPr>
        <w:t>响应文件编写</w:t>
      </w:r>
    </w:p>
    <w:p>
      <w:pPr>
        <w:pStyle w:val="6"/>
        <w:keepNext w:val="0"/>
        <w:keepLines w:val="0"/>
        <w:widowControl w:val="0"/>
        <w:jc w:val="both"/>
        <w:rPr>
          <w:rFonts w:cs="Times New Roman"/>
          <w:highlight w:val="none"/>
        </w:rPr>
      </w:pPr>
      <w:r>
        <w:rPr>
          <w:rFonts w:cs="Times New Roman"/>
          <w:highlight w:val="none"/>
        </w:rPr>
        <w:t>按照</w:t>
      </w:r>
      <w:r>
        <w:rPr>
          <w:rFonts w:hint="eastAsia" w:cs="Times New Roman"/>
          <w:highlight w:val="none"/>
        </w:rPr>
        <w:t>征集文件</w:t>
      </w:r>
      <w:r>
        <w:rPr>
          <w:rFonts w:cs="Times New Roman"/>
          <w:highlight w:val="none"/>
        </w:rPr>
        <w:t>中第三部分规定的提交文件的顺序，统一编目编码并编制目录。由于编排混乱导致响应文件被误读或查找不到，责任应当由供应商承担。</w:t>
      </w:r>
    </w:p>
    <w:p>
      <w:pPr>
        <w:pStyle w:val="6"/>
        <w:keepNext w:val="0"/>
        <w:keepLines w:val="0"/>
        <w:widowControl w:val="0"/>
        <w:jc w:val="both"/>
        <w:rPr>
          <w:rFonts w:cs="Times New Roman"/>
          <w:highlight w:val="none"/>
        </w:rPr>
      </w:pPr>
      <w:r>
        <w:rPr>
          <w:rFonts w:cs="Times New Roman"/>
          <w:highlight w:val="none"/>
        </w:rPr>
        <w:t>响应文件应按照</w:t>
      </w:r>
      <w:r>
        <w:rPr>
          <w:rFonts w:hint="eastAsia" w:cs="Times New Roman"/>
          <w:highlight w:val="none"/>
        </w:rPr>
        <w:t>征集文件</w:t>
      </w:r>
      <w:r>
        <w:rPr>
          <w:rFonts w:cs="Times New Roman"/>
          <w:highlight w:val="none"/>
        </w:rPr>
        <w:t>的格式逐项填写，无相应内容可填的项应</w:t>
      </w:r>
      <w:r>
        <w:rPr>
          <w:rFonts w:hint="eastAsia" w:ascii="宋体" w:hAnsi="宋体" w:cs="宋体"/>
          <w:highlight w:val="none"/>
        </w:rPr>
        <w:t>填写“无”、“未测试”、“没有相应指标”等明确的回答文字</w:t>
      </w:r>
      <w:r>
        <w:rPr>
          <w:rFonts w:cs="Times New Roman"/>
          <w:highlight w:val="none"/>
        </w:rPr>
        <w:t>。</w:t>
      </w:r>
    </w:p>
    <w:p>
      <w:pPr>
        <w:pStyle w:val="6"/>
        <w:keepNext w:val="0"/>
        <w:keepLines w:val="0"/>
        <w:widowControl w:val="0"/>
        <w:jc w:val="both"/>
        <w:rPr>
          <w:rFonts w:cs="Times New Roman"/>
          <w:highlight w:val="none"/>
        </w:rPr>
      </w:pPr>
      <w:r>
        <w:rPr>
          <w:rFonts w:cs="Times New Roman"/>
          <w:highlight w:val="none"/>
        </w:rPr>
        <w:t>供应商必须保证响应文件所提供的全部资料真实可靠，并接受</w:t>
      </w:r>
      <w:r>
        <w:rPr>
          <w:rFonts w:hint="eastAsia" w:cs="Times New Roman"/>
          <w:highlight w:val="none"/>
        </w:rPr>
        <w:t>评审小组</w:t>
      </w:r>
      <w:r>
        <w:rPr>
          <w:rFonts w:cs="Times New Roman"/>
          <w:highlight w:val="none"/>
        </w:rPr>
        <w:t>对其中任何资料进一步原件审查的要求。</w:t>
      </w:r>
      <w:r>
        <w:rPr>
          <w:rFonts w:hint="eastAsia" w:cs="Times New Roman"/>
          <w:highlight w:val="none"/>
        </w:rPr>
        <w:t>供应商应对响应文件的真实性和合法性承担法律责任。</w:t>
      </w:r>
    </w:p>
    <w:p>
      <w:pPr>
        <w:pStyle w:val="5"/>
        <w:keepNext w:val="0"/>
        <w:keepLines w:val="0"/>
        <w:widowControl w:val="0"/>
        <w:spacing w:before="120"/>
        <w:rPr>
          <w:bCs w:val="0"/>
          <w:iCs/>
          <w:highlight w:val="none"/>
        </w:rPr>
      </w:pPr>
      <w:bookmarkStart w:id="103" w:name="_Toc2248"/>
      <w:bookmarkStart w:id="104" w:name="_Toc23231"/>
      <w:bookmarkStart w:id="105" w:name="_Toc532473462"/>
      <w:bookmarkStart w:id="106" w:name="_Toc515647770"/>
      <w:bookmarkStart w:id="107" w:name="_Toc520356155"/>
      <w:bookmarkStart w:id="108" w:name="_Toc2582276"/>
      <w:r>
        <w:rPr>
          <w:rFonts w:hint="eastAsia"/>
          <w:bCs w:val="0"/>
          <w:iCs/>
          <w:highlight w:val="none"/>
        </w:rPr>
        <w:t>响应</w:t>
      </w:r>
      <w:r>
        <w:rPr>
          <w:bCs w:val="0"/>
          <w:iCs/>
          <w:highlight w:val="none"/>
        </w:rPr>
        <w:t>报价</w:t>
      </w:r>
      <w:bookmarkEnd w:id="103"/>
      <w:bookmarkEnd w:id="104"/>
      <w:bookmarkEnd w:id="105"/>
      <w:bookmarkEnd w:id="106"/>
      <w:bookmarkEnd w:id="107"/>
      <w:bookmarkEnd w:id="108"/>
    </w:p>
    <w:p>
      <w:pPr>
        <w:pStyle w:val="6"/>
        <w:keepNext w:val="0"/>
        <w:keepLines w:val="0"/>
        <w:widowControl w:val="0"/>
        <w:jc w:val="both"/>
        <w:rPr>
          <w:rFonts w:cs="Times New Roman"/>
          <w:highlight w:val="none"/>
        </w:rPr>
      </w:pPr>
      <w:r>
        <w:rPr>
          <w:rFonts w:cs="Times New Roman"/>
          <w:highlight w:val="none"/>
        </w:rPr>
        <w:t>供应商的</w:t>
      </w:r>
      <w:r>
        <w:rPr>
          <w:rFonts w:hint="eastAsia" w:cs="Times New Roman"/>
          <w:highlight w:val="none"/>
        </w:rPr>
        <w:t>响应报价</w:t>
      </w:r>
      <w:r>
        <w:rPr>
          <w:rFonts w:cs="Times New Roman"/>
          <w:highlight w:val="none"/>
        </w:rPr>
        <w:t>应遵守《中华人民共和国价格法》，均应以人民币报价。</w:t>
      </w:r>
    </w:p>
    <w:p>
      <w:pPr>
        <w:pStyle w:val="6"/>
        <w:keepNext w:val="0"/>
        <w:keepLines w:val="0"/>
        <w:widowControl w:val="0"/>
        <w:jc w:val="both"/>
        <w:rPr>
          <w:rFonts w:cs="Times New Roman"/>
          <w:highlight w:val="none"/>
        </w:rPr>
      </w:pPr>
      <w:r>
        <w:rPr>
          <w:rFonts w:cs="Times New Roman"/>
          <w:highlight w:val="none"/>
        </w:rPr>
        <w:t>响应文件报价出现前后不一致的，按照下列规定修正：</w:t>
      </w:r>
    </w:p>
    <w:p>
      <w:pPr>
        <w:pStyle w:val="6"/>
        <w:keepNext w:val="0"/>
        <w:keepLines w:val="0"/>
        <w:widowControl w:val="0"/>
        <w:numPr>
          <w:ilvl w:val="0"/>
          <w:numId w:val="0"/>
        </w:numPr>
        <w:ind w:left="680"/>
        <w:jc w:val="both"/>
        <w:rPr>
          <w:rFonts w:cs="Times New Roman"/>
          <w:highlight w:val="none"/>
        </w:rPr>
      </w:pPr>
      <w:r>
        <w:rPr>
          <w:rFonts w:cs="Times New Roman"/>
          <w:highlight w:val="none"/>
        </w:rPr>
        <w:t xml:space="preserve">响应文件中报价一览表内容与响应文件中相应内容不一致的，以报价一览表为准； </w:t>
      </w:r>
    </w:p>
    <w:p>
      <w:pPr>
        <w:pStyle w:val="6"/>
        <w:keepNext w:val="0"/>
        <w:keepLines w:val="0"/>
        <w:widowControl w:val="0"/>
        <w:numPr>
          <w:ilvl w:val="0"/>
          <w:numId w:val="0"/>
        </w:numPr>
        <w:ind w:left="680"/>
        <w:jc w:val="both"/>
        <w:rPr>
          <w:rFonts w:cs="Times New Roman"/>
          <w:highlight w:val="none"/>
        </w:rPr>
      </w:pPr>
      <w:r>
        <w:rPr>
          <w:rFonts w:cs="Times New Roman"/>
          <w:highlight w:val="none"/>
        </w:rPr>
        <w:t>大写金额和小写金额不一致的，以大写金额为准；</w:t>
      </w:r>
    </w:p>
    <w:p>
      <w:pPr>
        <w:pStyle w:val="6"/>
        <w:keepNext w:val="0"/>
        <w:keepLines w:val="0"/>
        <w:widowControl w:val="0"/>
        <w:numPr>
          <w:ilvl w:val="0"/>
          <w:numId w:val="0"/>
        </w:numPr>
        <w:ind w:left="680"/>
        <w:jc w:val="both"/>
        <w:rPr>
          <w:rFonts w:cs="Times New Roman"/>
          <w:highlight w:val="none"/>
        </w:rPr>
      </w:pPr>
      <w:r>
        <w:rPr>
          <w:rFonts w:cs="Times New Roman"/>
          <w:highlight w:val="none"/>
        </w:rPr>
        <w:t>单价金额小数点或者百分比有明显错位的，以报价一览表的总价为准，并修改单价；</w:t>
      </w:r>
    </w:p>
    <w:p>
      <w:pPr>
        <w:pStyle w:val="6"/>
        <w:keepNext w:val="0"/>
        <w:keepLines w:val="0"/>
        <w:widowControl w:val="0"/>
        <w:numPr>
          <w:ilvl w:val="0"/>
          <w:numId w:val="0"/>
        </w:numPr>
        <w:ind w:left="680"/>
        <w:jc w:val="both"/>
        <w:rPr>
          <w:rFonts w:cs="Times New Roman"/>
          <w:highlight w:val="none"/>
        </w:rPr>
      </w:pPr>
      <w:r>
        <w:rPr>
          <w:rFonts w:cs="Times New Roman"/>
          <w:highlight w:val="none"/>
        </w:rPr>
        <w:t>总价金额与按单价汇总金额不一致的，以单价金额计算结果为准。</w:t>
      </w:r>
    </w:p>
    <w:p>
      <w:pPr>
        <w:pStyle w:val="6"/>
        <w:keepNext w:val="0"/>
        <w:keepLines w:val="0"/>
        <w:widowControl w:val="0"/>
        <w:numPr>
          <w:ilvl w:val="0"/>
          <w:numId w:val="0"/>
        </w:numPr>
        <w:ind w:left="680"/>
        <w:jc w:val="both"/>
        <w:rPr>
          <w:rFonts w:cs="Times New Roman"/>
          <w:highlight w:val="none"/>
        </w:rPr>
      </w:pPr>
      <w:r>
        <w:rPr>
          <w:rFonts w:cs="Times New Roman"/>
          <w:highlight w:val="none"/>
        </w:rPr>
        <w:t>同时出现两种以上不一致的，按照前款规定的顺序修正。修正后的报价经供应商确认后产生约束力，供应商不确认的，其</w:t>
      </w:r>
      <w:r>
        <w:rPr>
          <w:rFonts w:hint="eastAsia" w:cs="Times New Roman"/>
          <w:highlight w:val="none"/>
        </w:rPr>
        <w:t>响应</w:t>
      </w:r>
      <w:r>
        <w:rPr>
          <w:rFonts w:cs="Times New Roman"/>
          <w:highlight w:val="none"/>
        </w:rPr>
        <w:t>无效。</w:t>
      </w:r>
    </w:p>
    <w:p>
      <w:pPr>
        <w:pStyle w:val="5"/>
        <w:keepNext w:val="0"/>
        <w:keepLines w:val="0"/>
        <w:widowControl w:val="0"/>
        <w:spacing w:before="120"/>
        <w:rPr>
          <w:bCs w:val="0"/>
          <w:iCs/>
          <w:highlight w:val="none"/>
        </w:rPr>
      </w:pPr>
      <w:r>
        <w:rPr>
          <w:rFonts w:hint="eastAsia"/>
          <w:bCs w:val="0"/>
          <w:iCs/>
          <w:highlight w:val="none"/>
        </w:rPr>
        <w:t>响应文件有效期</w:t>
      </w:r>
    </w:p>
    <w:p>
      <w:pPr>
        <w:pStyle w:val="6"/>
        <w:keepNext w:val="0"/>
        <w:keepLines w:val="0"/>
        <w:widowControl w:val="0"/>
        <w:jc w:val="both"/>
        <w:rPr>
          <w:rFonts w:cs="Times New Roman"/>
          <w:highlight w:val="none"/>
        </w:rPr>
      </w:pPr>
      <w:r>
        <w:rPr>
          <w:rFonts w:cs="Times New Roman"/>
          <w:highlight w:val="none"/>
        </w:rPr>
        <w:t>本项目响应文件的有效期为120天。</w:t>
      </w:r>
      <w:r>
        <w:rPr>
          <w:rFonts w:hint="eastAsia" w:cs="Times New Roman"/>
          <w:highlight w:val="none"/>
        </w:rPr>
        <w:t>响应</w:t>
      </w:r>
      <w:r>
        <w:rPr>
          <w:rFonts w:cs="Times New Roman"/>
          <w:highlight w:val="none"/>
        </w:rPr>
        <w:t>截止时间后，供应商在</w:t>
      </w:r>
      <w:r>
        <w:rPr>
          <w:rFonts w:hint="eastAsia" w:cs="Times New Roman"/>
          <w:highlight w:val="none"/>
        </w:rPr>
        <w:t>响应</w:t>
      </w:r>
      <w:r>
        <w:rPr>
          <w:rFonts w:cs="Times New Roman"/>
          <w:highlight w:val="none"/>
        </w:rPr>
        <w:t>有效期内不得撤销响应文件。</w:t>
      </w:r>
    </w:p>
    <w:p>
      <w:pPr>
        <w:pStyle w:val="6"/>
        <w:keepNext w:val="0"/>
        <w:keepLines w:val="0"/>
        <w:widowControl w:val="0"/>
        <w:jc w:val="both"/>
        <w:rPr>
          <w:rFonts w:cs="Times New Roman"/>
          <w:highlight w:val="none"/>
        </w:rPr>
      </w:pPr>
      <w:r>
        <w:rPr>
          <w:rFonts w:cs="Times New Roman"/>
          <w:highlight w:val="none"/>
        </w:rPr>
        <w:t>在特殊情况下，警采中心可与供应商以书面形式进行协商，延长响应文件的有效期。同意延长有效期的供应商除按照警采中心要求修改响应文件有效期外，不得修改响应文件的其他内容。</w:t>
      </w:r>
    </w:p>
    <w:p>
      <w:pPr>
        <w:pStyle w:val="4"/>
        <w:keepNext w:val="0"/>
        <w:keepLines w:val="0"/>
        <w:spacing w:before="120"/>
        <w:ind w:left="320" w:hanging="320"/>
        <w:jc w:val="both"/>
        <w:rPr>
          <w:highlight w:val="none"/>
        </w:rPr>
      </w:pPr>
      <w:bookmarkStart w:id="109" w:name="_Toc142051466"/>
      <w:r>
        <w:rPr>
          <w:rFonts w:hint="eastAsia"/>
          <w:highlight w:val="none"/>
        </w:rPr>
        <w:t>响应文件的提交</w:t>
      </w:r>
      <w:bookmarkEnd w:id="109"/>
    </w:p>
    <w:p>
      <w:pPr>
        <w:pStyle w:val="5"/>
        <w:keepNext w:val="0"/>
        <w:keepLines w:val="0"/>
        <w:widowControl w:val="0"/>
        <w:spacing w:before="120"/>
        <w:rPr>
          <w:bCs w:val="0"/>
          <w:iCs/>
          <w:highlight w:val="none"/>
        </w:rPr>
      </w:pPr>
      <w:r>
        <w:rPr>
          <w:rFonts w:hint="eastAsia"/>
          <w:bCs w:val="0"/>
          <w:iCs/>
          <w:highlight w:val="none"/>
        </w:rPr>
        <w:t>响应截止时间</w:t>
      </w:r>
    </w:p>
    <w:p>
      <w:pPr>
        <w:ind w:firstLine="420" w:firstLineChars="200"/>
        <w:rPr>
          <w:highlight w:val="none"/>
        </w:rPr>
      </w:pPr>
      <w:r>
        <w:rPr>
          <w:rFonts w:hint="eastAsia"/>
          <w:highlight w:val="none"/>
        </w:rPr>
        <w:t>响应文件须按照征集文件规定的响应时间上传。截至响应截止时间，电子</w:t>
      </w:r>
      <w:r>
        <w:rPr>
          <w:highlight w:val="none"/>
        </w:rPr>
        <w:t>招投标</w:t>
      </w:r>
      <w:r>
        <w:rPr>
          <w:rFonts w:hint="eastAsia"/>
          <w:highlight w:val="none"/>
        </w:rPr>
        <w:t>系统响应通道将关闭，响应人未完成电子响应文件上传的，响应将被拒绝，在规定时间内上传的响应文件不符合相关规定要求的，响应也将被拒绝。</w:t>
      </w:r>
    </w:p>
    <w:p>
      <w:pPr>
        <w:pStyle w:val="5"/>
        <w:keepNext w:val="0"/>
        <w:keepLines w:val="0"/>
        <w:widowControl w:val="0"/>
        <w:spacing w:before="120"/>
        <w:rPr>
          <w:bCs w:val="0"/>
          <w:iCs/>
          <w:highlight w:val="none"/>
        </w:rPr>
      </w:pPr>
      <w:r>
        <w:rPr>
          <w:rFonts w:hint="eastAsia"/>
          <w:bCs w:val="0"/>
          <w:iCs/>
          <w:highlight w:val="none"/>
        </w:rPr>
        <w:t>响应文件的补充、修改和撤回</w:t>
      </w:r>
    </w:p>
    <w:p>
      <w:pPr>
        <w:pStyle w:val="6"/>
        <w:keepNext w:val="0"/>
        <w:keepLines w:val="0"/>
        <w:widowControl w:val="0"/>
        <w:jc w:val="both"/>
        <w:rPr>
          <w:rFonts w:cs="Times New Roman"/>
          <w:highlight w:val="none"/>
        </w:rPr>
      </w:pPr>
      <w:r>
        <w:rPr>
          <w:rFonts w:hint="eastAsia" w:cs="Times New Roman"/>
          <w:highlight w:val="none"/>
        </w:rPr>
        <w:t>响应人在响应截止时间前，可对其所递交的响应文件进行补充、修改或者撤回。</w:t>
      </w:r>
    </w:p>
    <w:p>
      <w:pPr>
        <w:pStyle w:val="6"/>
        <w:keepNext w:val="0"/>
        <w:keepLines w:val="0"/>
        <w:widowControl w:val="0"/>
        <w:jc w:val="both"/>
        <w:rPr>
          <w:rFonts w:cs="Times New Roman"/>
          <w:highlight w:val="none"/>
        </w:rPr>
      </w:pPr>
      <w:r>
        <w:rPr>
          <w:rFonts w:hint="eastAsia" w:cs="Times New Roman"/>
          <w:highlight w:val="none"/>
        </w:rPr>
        <w:t>响应人在响应截止时间前需要对响应文件进行补充、修改的，应当重新制作并上传，多次</w:t>
      </w:r>
      <w:r>
        <w:rPr>
          <w:rFonts w:cs="Times New Roman"/>
          <w:highlight w:val="none"/>
        </w:rPr>
        <w:t>提交</w:t>
      </w:r>
      <w:r>
        <w:rPr>
          <w:rFonts w:hint="eastAsia" w:cs="Times New Roman"/>
          <w:highlight w:val="none"/>
        </w:rPr>
        <w:t>以最后一次为准。</w:t>
      </w:r>
    </w:p>
    <w:p>
      <w:pPr>
        <w:pStyle w:val="6"/>
        <w:keepNext w:val="0"/>
        <w:keepLines w:val="0"/>
        <w:widowControl w:val="0"/>
        <w:jc w:val="both"/>
        <w:rPr>
          <w:rFonts w:cs="Times New Roman"/>
          <w:highlight w:val="none"/>
        </w:rPr>
      </w:pPr>
      <w:r>
        <w:rPr>
          <w:rFonts w:hint="eastAsia" w:cs="Times New Roman"/>
          <w:highlight w:val="none"/>
        </w:rPr>
        <w:t>在响应截止时间之后，响应人不得撤回响应。</w:t>
      </w:r>
    </w:p>
    <w:p>
      <w:pPr>
        <w:pStyle w:val="5"/>
        <w:keepNext w:val="0"/>
        <w:keepLines w:val="0"/>
        <w:widowControl w:val="0"/>
        <w:spacing w:before="120"/>
        <w:rPr>
          <w:bCs w:val="0"/>
          <w:iCs/>
          <w:highlight w:val="none"/>
        </w:rPr>
      </w:pPr>
      <w:r>
        <w:rPr>
          <w:rFonts w:hint="eastAsia"/>
          <w:bCs w:val="0"/>
          <w:iCs/>
          <w:highlight w:val="none"/>
        </w:rPr>
        <w:t>响应文件的递交方式</w:t>
      </w:r>
    </w:p>
    <w:p>
      <w:pPr>
        <w:ind w:firstLine="420" w:firstLineChars="200"/>
        <w:rPr>
          <w:highlight w:val="none"/>
        </w:rPr>
      </w:pPr>
      <w:r>
        <w:rPr>
          <w:rFonts w:hint="eastAsia"/>
          <w:highlight w:val="none"/>
        </w:rPr>
        <w:t>本项目采用电子</w:t>
      </w:r>
      <w:r>
        <w:rPr>
          <w:highlight w:val="none"/>
        </w:rPr>
        <w:t>招投标</w:t>
      </w:r>
      <w:r>
        <w:rPr>
          <w:rFonts w:hint="eastAsia"/>
          <w:highlight w:val="none"/>
        </w:rPr>
        <w:t>系统进行响应。响应人必须通过电子招投标系统上传加密后的响应文件，除上述方式之外，不接受响应人以纸质文件以及其他任何方式提交的响应文件。</w:t>
      </w:r>
    </w:p>
    <w:p>
      <w:pPr>
        <w:rPr>
          <w:highlight w:val="none"/>
        </w:rPr>
      </w:pPr>
    </w:p>
    <w:p>
      <w:pPr>
        <w:pStyle w:val="4"/>
        <w:keepNext w:val="0"/>
        <w:keepLines w:val="0"/>
        <w:spacing w:before="120"/>
        <w:ind w:left="320" w:hanging="320"/>
        <w:jc w:val="both"/>
        <w:rPr>
          <w:highlight w:val="none"/>
        </w:rPr>
      </w:pPr>
      <w:bookmarkStart w:id="110" w:name="_Toc27489969"/>
      <w:bookmarkStart w:id="111" w:name="_Toc71873118"/>
      <w:bookmarkStart w:id="112" w:name="_Toc56157915"/>
      <w:bookmarkStart w:id="113" w:name="_Toc142051467"/>
      <w:r>
        <w:rPr>
          <w:highlight w:val="none"/>
        </w:rPr>
        <w:t>询问、质疑、投诉</w:t>
      </w:r>
      <w:bookmarkEnd w:id="110"/>
      <w:bookmarkEnd w:id="111"/>
      <w:bookmarkEnd w:id="112"/>
      <w:bookmarkEnd w:id="113"/>
    </w:p>
    <w:p>
      <w:pPr>
        <w:pStyle w:val="5"/>
        <w:keepNext w:val="0"/>
        <w:keepLines w:val="0"/>
        <w:widowControl w:val="0"/>
        <w:spacing w:before="120"/>
        <w:rPr>
          <w:bCs w:val="0"/>
          <w:iCs/>
          <w:highlight w:val="none"/>
        </w:rPr>
      </w:pPr>
      <w:bookmarkStart w:id="114" w:name="_Toc71873119"/>
      <w:bookmarkStart w:id="115" w:name="_Toc27489970"/>
      <w:bookmarkStart w:id="116" w:name="_Toc56157916"/>
      <w:r>
        <w:rPr>
          <w:bCs w:val="0"/>
          <w:iCs/>
          <w:highlight w:val="none"/>
        </w:rPr>
        <w:t>询问</w:t>
      </w:r>
      <w:bookmarkEnd w:id="114"/>
      <w:bookmarkEnd w:id="115"/>
      <w:bookmarkEnd w:id="116"/>
    </w:p>
    <w:p>
      <w:pPr>
        <w:pStyle w:val="6"/>
        <w:keepNext w:val="0"/>
        <w:keepLines w:val="0"/>
        <w:widowControl w:val="0"/>
        <w:jc w:val="both"/>
        <w:rPr>
          <w:rFonts w:cs="Times New Roman"/>
          <w:bCs w:val="0"/>
          <w:iCs w:val="0"/>
          <w:highlight w:val="none"/>
        </w:rPr>
      </w:pPr>
      <w:r>
        <w:rPr>
          <w:rFonts w:cs="Times New Roman"/>
          <w:bCs w:val="0"/>
          <w:iCs w:val="0"/>
          <w:highlight w:val="none"/>
        </w:rPr>
        <w:t>供应商对政府采购活动事项有疑问的，可以向警采中心提出询问。询问可以采取电话、当面询问或书面等形式。</w:t>
      </w:r>
    </w:p>
    <w:p>
      <w:pPr>
        <w:pStyle w:val="6"/>
        <w:keepNext w:val="0"/>
        <w:keepLines w:val="0"/>
        <w:widowControl w:val="0"/>
        <w:jc w:val="both"/>
        <w:rPr>
          <w:rFonts w:cs="Times New Roman"/>
          <w:bCs w:val="0"/>
          <w:iCs w:val="0"/>
          <w:highlight w:val="none"/>
        </w:rPr>
      </w:pPr>
      <w:r>
        <w:rPr>
          <w:rFonts w:cs="Times New Roman"/>
          <w:bCs w:val="0"/>
          <w:iCs w:val="0"/>
          <w:highlight w:val="none"/>
        </w:rPr>
        <w:t>采购人或者警采中心应当在3个工作日内对供应商依法提出的询问作出答复。</w:t>
      </w:r>
    </w:p>
    <w:p>
      <w:pPr>
        <w:pStyle w:val="5"/>
        <w:keepNext w:val="0"/>
        <w:keepLines w:val="0"/>
        <w:widowControl w:val="0"/>
        <w:spacing w:before="120"/>
        <w:rPr>
          <w:bCs w:val="0"/>
          <w:iCs/>
          <w:highlight w:val="none"/>
        </w:rPr>
      </w:pPr>
      <w:bookmarkStart w:id="117" w:name="_Toc56157917"/>
      <w:bookmarkStart w:id="118" w:name="_Toc71873120"/>
      <w:bookmarkStart w:id="119" w:name="_Toc27489971"/>
      <w:r>
        <w:rPr>
          <w:bCs w:val="0"/>
          <w:iCs/>
          <w:highlight w:val="none"/>
        </w:rPr>
        <w:t>质疑、投诉</w:t>
      </w:r>
      <w:bookmarkEnd w:id="117"/>
      <w:bookmarkEnd w:id="118"/>
      <w:bookmarkEnd w:id="119"/>
    </w:p>
    <w:p>
      <w:pPr>
        <w:pStyle w:val="6"/>
        <w:keepNext w:val="0"/>
        <w:keepLines w:val="0"/>
        <w:widowControl w:val="0"/>
        <w:jc w:val="both"/>
        <w:rPr>
          <w:rFonts w:cs="Times New Roman"/>
          <w:highlight w:val="none"/>
        </w:rPr>
      </w:pPr>
      <w:r>
        <w:rPr>
          <w:rFonts w:cs="Times New Roman"/>
          <w:highlight w:val="none"/>
        </w:rPr>
        <w:t>供应商（潜在供应商）针对同一采购程序环节的质疑须一次性提出。</w:t>
      </w:r>
    </w:p>
    <w:p>
      <w:pPr>
        <w:pStyle w:val="6"/>
        <w:keepNext w:val="0"/>
        <w:keepLines w:val="0"/>
        <w:widowControl w:val="0"/>
        <w:jc w:val="both"/>
        <w:rPr>
          <w:rFonts w:cs="Times New Roman"/>
          <w:highlight w:val="none"/>
        </w:rPr>
      </w:pPr>
      <w:r>
        <w:rPr>
          <w:rFonts w:cs="Times New Roman"/>
          <w:highlight w:val="none"/>
        </w:rPr>
        <w:t>提出质疑的供应商（潜在供应商）应当是参与所质疑项目采购活动的供应商，潜在供应商已依法获取其可质疑的</w:t>
      </w:r>
      <w:r>
        <w:rPr>
          <w:rFonts w:hint="eastAsia" w:cs="Times New Roman"/>
          <w:highlight w:val="none"/>
        </w:rPr>
        <w:t>征集文件</w:t>
      </w:r>
      <w:r>
        <w:rPr>
          <w:rFonts w:cs="Times New Roman"/>
          <w:highlight w:val="none"/>
        </w:rPr>
        <w:t>的，可以对该文件提出质疑。</w:t>
      </w:r>
    </w:p>
    <w:p>
      <w:pPr>
        <w:pStyle w:val="6"/>
        <w:keepNext w:val="0"/>
        <w:keepLines w:val="0"/>
        <w:widowControl w:val="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提出质疑的供应商，认为</w:t>
      </w:r>
      <w:r>
        <w:rPr>
          <w:rFonts w:hint="eastAsia" w:cs="Times New Roman"/>
          <w:highlight w:val="none"/>
        </w:rPr>
        <w:t>征集文件</w:t>
      </w:r>
      <w:r>
        <w:rPr>
          <w:rFonts w:cs="Times New Roman"/>
          <w:highlight w:val="none"/>
        </w:rPr>
        <w:t>、</w:t>
      </w:r>
      <w:r>
        <w:rPr>
          <w:rFonts w:hint="eastAsia" w:cs="Times New Roman"/>
          <w:highlight w:val="none"/>
        </w:rPr>
        <w:t>采购</w:t>
      </w:r>
      <w:r>
        <w:rPr>
          <w:rFonts w:cs="Times New Roman"/>
          <w:highlight w:val="none"/>
        </w:rPr>
        <w:t>过程、入围结果使自己的权益受到损害的，可以在知道或者应知其权益受到损害之日起7个工作日内，以书面形式向采购人、警采中心提出质疑。供应商应知其权益受到损害之日，是指：</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提出质疑的，为获取</w:t>
      </w:r>
      <w:r>
        <w:rPr>
          <w:rFonts w:hint="eastAsia" w:cs="Times New Roman"/>
          <w:highlight w:val="none"/>
        </w:rPr>
        <w:t>征集文件</w:t>
      </w:r>
      <w:r>
        <w:rPr>
          <w:rFonts w:cs="Times New Roman"/>
          <w:highlight w:val="none"/>
        </w:rPr>
        <w:t>之日或者</w:t>
      </w:r>
      <w:r>
        <w:rPr>
          <w:rFonts w:hint="eastAsia" w:cs="Times New Roman"/>
          <w:highlight w:val="none"/>
        </w:rPr>
        <w:t>征集文件</w:t>
      </w:r>
      <w:r>
        <w:rPr>
          <w:rFonts w:cs="Times New Roman"/>
          <w:highlight w:val="none"/>
        </w:rPr>
        <w:t>公告期限届满之日；</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采购</w:t>
      </w:r>
      <w:r>
        <w:rPr>
          <w:rFonts w:cs="Times New Roman"/>
          <w:highlight w:val="none"/>
        </w:rPr>
        <w:t>过程提出质疑的，为各</w:t>
      </w:r>
      <w:r>
        <w:rPr>
          <w:rFonts w:hint="eastAsia" w:cs="Times New Roman"/>
          <w:highlight w:val="none"/>
        </w:rPr>
        <w:t>采购</w:t>
      </w:r>
      <w:r>
        <w:rPr>
          <w:rFonts w:cs="Times New Roman"/>
          <w:highlight w:val="none"/>
        </w:rPr>
        <w:t>程序环节结束之日；</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入围</w:t>
      </w:r>
      <w:r>
        <w:rPr>
          <w:rFonts w:cs="Times New Roman"/>
          <w:highlight w:val="none"/>
        </w:rPr>
        <w:t>结果提出质疑的，为</w:t>
      </w:r>
      <w:r>
        <w:rPr>
          <w:rFonts w:hint="eastAsia" w:cs="Times New Roman"/>
          <w:highlight w:val="none"/>
        </w:rPr>
        <w:t>入围</w:t>
      </w:r>
      <w:r>
        <w:rPr>
          <w:rFonts w:cs="Times New Roman"/>
          <w:highlight w:val="none"/>
        </w:rPr>
        <w:t>结果公告期限届满之日。</w:t>
      </w:r>
    </w:p>
    <w:p>
      <w:pPr>
        <w:pStyle w:val="6"/>
        <w:keepNext w:val="0"/>
        <w:keepLines w:val="0"/>
        <w:widowControl w:val="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提出质疑的潜在供应商，认为</w:t>
      </w:r>
      <w:r>
        <w:rPr>
          <w:rFonts w:hint="eastAsia" w:cs="Times New Roman"/>
          <w:highlight w:val="none"/>
        </w:rPr>
        <w:t>征集文件</w:t>
      </w:r>
      <w:r>
        <w:rPr>
          <w:rFonts w:cs="Times New Roman"/>
          <w:highlight w:val="none"/>
        </w:rPr>
        <w:t>使自己的权益受到损害的，可以在知道或者应知其权益受到损害之日起7个工作日内，以书面形式向采购人、警采中心提出质疑。供应商应知其权益受到损害之日，是指：为获取</w:t>
      </w:r>
      <w:r>
        <w:rPr>
          <w:rFonts w:hint="eastAsia" w:cs="Times New Roman"/>
          <w:highlight w:val="none"/>
        </w:rPr>
        <w:t>征集文件</w:t>
      </w:r>
      <w:r>
        <w:rPr>
          <w:rFonts w:cs="Times New Roman"/>
          <w:highlight w:val="none"/>
        </w:rPr>
        <w:t>之日或者</w:t>
      </w:r>
      <w:r>
        <w:rPr>
          <w:rFonts w:hint="eastAsia" w:cs="Times New Roman"/>
          <w:highlight w:val="none"/>
        </w:rPr>
        <w:t>征集文件</w:t>
      </w:r>
      <w:r>
        <w:rPr>
          <w:rFonts w:cs="Times New Roman"/>
          <w:highlight w:val="none"/>
        </w:rPr>
        <w:t>公告期限届满之日。</w:t>
      </w:r>
    </w:p>
    <w:p>
      <w:pPr>
        <w:pStyle w:val="6"/>
        <w:keepNext w:val="0"/>
        <w:keepLines w:val="0"/>
        <w:widowControl w:val="0"/>
        <w:jc w:val="both"/>
        <w:rPr>
          <w:rFonts w:cs="Times New Roman"/>
          <w:highlight w:val="none"/>
        </w:rPr>
      </w:pPr>
      <w:r>
        <w:rPr>
          <w:rFonts w:cs="Times New Roman"/>
          <w:highlight w:val="none"/>
        </w:rPr>
        <w:t>供应商（潜在供应商）提出质疑应当提交质疑函和必要的证明材料。质疑函应当包括下列内容：</w:t>
      </w:r>
    </w:p>
    <w:p>
      <w:pPr>
        <w:pStyle w:val="6"/>
        <w:keepNext w:val="0"/>
        <w:keepLines w:val="0"/>
        <w:widowControl w:val="0"/>
        <w:numPr>
          <w:ilvl w:val="0"/>
          <w:numId w:val="0"/>
        </w:numPr>
        <w:ind w:left="680"/>
        <w:jc w:val="both"/>
        <w:rPr>
          <w:rFonts w:cs="Times New Roman"/>
          <w:highlight w:val="none"/>
        </w:rPr>
      </w:pPr>
      <w:r>
        <w:rPr>
          <w:rFonts w:cs="Times New Roman"/>
          <w:highlight w:val="none"/>
        </w:rPr>
        <w:t>供应商（潜在供应商）的姓名或者名称、地址、邮编、联系人及联系电话；</w:t>
      </w:r>
    </w:p>
    <w:p>
      <w:pPr>
        <w:pStyle w:val="6"/>
        <w:keepNext w:val="0"/>
        <w:keepLines w:val="0"/>
        <w:widowControl w:val="0"/>
        <w:numPr>
          <w:ilvl w:val="0"/>
          <w:numId w:val="0"/>
        </w:numPr>
        <w:ind w:left="680"/>
        <w:jc w:val="both"/>
        <w:rPr>
          <w:rFonts w:cs="Times New Roman"/>
          <w:highlight w:val="none"/>
        </w:rPr>
      </w:pPr>
      <w:r>
        <w:rPr>
          <w:rFonts w:cs="Times New Roman"/>
          <w:highlight w:val="none"/>
        </w:rPr>
        <w:t>质疑项目的名称、编号；</w:t>
      </w:r>
    </w:p>
    <w:p>
      <w:pPr>
        <w:pStyle w:val="6"/>
        <w:keepNext w:val="0"/>
        <w:keepLines w:val="0"/>
        <w:widowControl w:val="0"/>
        <w:numPr>
          <w:ilvl w:val="0"/>
          <w:numId w:val="0"/>
        </w:numPr>
        <w:ind w:left="680"/>
        <w:jc w:val="both"/>
        <w:rPr>
          <w:rFonts w:cs="Times New Roman"/>
          <w:highlight w:val="none"/>
        </w:rPr>
      </w:pPr>
      <w:r>
        <w:rPr>
          <w:rFonts w:cs="Times New Roman"/>
          <w:highlight w:val="none"/>
        </w:rPr>
        <w:t>具体、明确的质疑事项和与质疑事项相关的请求；</w:t>
      </w:r>
    </w:p>
    <w:p>
      <w:pPr>
        <w:pStyle w:val="6"/>
        <w:keepNext w:val="0"/>
        <w:keepLines w:val="0"/>
        <w:widowControl w:val="0"/>
        <w:numPr>
          <w:ilvl w:val="0"/>
          <w:numId w:val="0"/>
        </w:numPr>
        <w:ind w:left="680"/>
        <w:jc w:val="both"/>
        <w:rPr>
          <w:rFonts w:cs="Times New Roman"/>
          <w:highlight w:val="none"/>
        </w:rPr>
      </w:pPr>
      <w:r>
        <w:rPr>
          <w:rFonts w:cs="Times New Roman"/>
          <w:highlight w:val="none"/>
        </w:rPr>
        <w:t>事实依据；</w:t>
      </w:r>
    </w:p>
    <w:p>
      <w:pPr>
        <w:pStyle w:val="6"/>
        <w:keepNext w:val="0"/>
        <w:keepLines w:val="0"/>
        <w:widowControl w:val="0"/>
        <w:numPr>
          <w:ilvl w:val="0"/>
          <w:numId w:val="0"/>
        </w:numPr>
        <w:ind w:left="680"/>
        <w:jc w:val="both"/>
        <w:rPr>
          <w:rFonts w:cs="Times New Roman"/>
          <w:highlight w:val="none"/>
        </w:rPr>
      </w:pPr>
      <w:r>
        <w:rPr>
          <w:rFonts w:cs="Times New Roman"/>
          <w:highlight w:val="none"/>
        </w:rPr>
        <w:t>必要的法律依据；</w:t>
      </w:r>
    </w:p>
    <w:p>
      <w:pPr>
        <w:pStyle w:val="6"/>
        <w:keepNext w:val="0"/>
        <w:keepLines w:val="0"/>
        <w:widowControl w:val="0"/>
        <w:numPr>
          <w:ilvl w:val="0"/>
          <w:numId w:val="0"/>
        </w:numPr>
        <w:ind w:left="680"/>
        <w:jc w:val="both"/>
        <w:rPr>
          <w:rFonts w:cs="Times New Roman"/>
          <w:highlight w:val="none"/>
        </w:rPr>
      </w:pPr>
      <w:r>
        <w:rPr>
          <w:rFonts w:cs="Times New Roman"/>
          <w:highlight w:val="none"/>
        </w:rPr>
        <w:t>提出质疑的日期。</w:t>
      </w:r>
    </w:p>
    <w:p>
      <w:pPr>
        <w:pStyle w:val="6"/>
        <w:keepNext w:val="0"/>
        <w:keepLines w:val="0"/>
        <w:widowControl w:val="0"/>
        <w:jc w:val="both"/>
        <w:rPr>
          <w:rFonts w:cs="Times New Roman"/>
          <w:highlight w:val="none"/>
        </w:rPr>
      </w:pPr>
      <w:r>
        <w:rPr>
          <w:rFonts w:cs="Times New Roman"/>
          <w:highlight w:val="none"/>
        </w:rPr>
        <w:t>供应商（潜在供应商）为自然人的，应当由本人签字；供应商（潜在供应商）为法人或者其他组织的，应当由法定代表人、主要负责人，或者其授权代表签字或者盖章，并加盖公章。质疑函内容有缺失的，警采中心应当一次性告知质疑供应商需补全的材料及补交的截止时间。补交的截止时间与法定质疑期的截止时间一致。质疑供应商于截止时间后递交补充材料的，将被拒绝。</w:t>
      </w:r>
    </w:p>
    <w:p>
      <w:pPr>
        <w:pStyle w:val="6"/>
        <w:keepNext w:val="0"/>
        <w:keepLines w:val="0"/>
        <w:widowControl w:val="0"/>
        <w:jc w:val="both"/>
        <w:rPr>
          <w:rFonts w:cs="Times New Roman"/>
          <w:highlight w:val="none"/>
        </w:rPr>
      </w:pPr>
      <w:r>
        <w:rPr>
          <w:rFonts w:cs="Times New Roman"/>
          <w:highlight w:val="none"/>
        </w:rPr>
        <w:t>质疑事项如无实质内容，仅为询问质疑供应商得分情况或质疑供应商未入围原因等的，警采中心可将此类质疑函作为书面询问接收，警采中心按询问程序处理。</w:t>
      </w:r>
    </w:p>
    <w:p>
      <w:pPr>
        <w:pStyle w:val="6"/>
        <w:keepNext w:val="0"/>
        <w:keepLines w:val="0"/>
        <w:widowControl w:val="0"/>
        <w:jc w:val="both"/>
        <w:rPr>
          <w:rFonts w:cs="Times New Roman"/>
          <w:highlight w:val="none"/>
        </w:rPr>
      </w:pPr>
      <w:r>
        <w:rPr>
          <w:rFonts w:cs="Times New Roman"/>
          <w:highlight w:val="none"/>
        </w:rPr>
        <w:t>质疑函应递交原件到警采中心，地址：上海市闵行区浦江镇三达路299号，联系电话：021-33292999。</w:t>
      </w:r>
    </w:p>
    <w:p>
      <w:pPr>
        <w:pStyle w:val="6"/>
        <w:keepNext w:val="0"/>
        <w:keepLines w:val="0"/>
        <w:widowControl w:val="0"/>
        <w:jc w:val="both"/>
        <w:rPr>
          <w:rFonts w:cs="Times New Roman"/>
          <w:highlight w:val="none"/>
        </w:rPr>
      </w:pPr>
      <w:r>
        <w:rPr>
          <w:rFonts w:cs="Times New Roman"/>
          <w:highlight w:val="none"/>
        </w:rPr>
        <w:t>警采中心不得拒收质疑供应商在法定质疑期内发出的质疑函，应当在收到质疑函后7个工作日内作出答复，并以书面形式通知质疑供应商和其他有关供应商。</w:t>
      </w:r>
    </w:p>
    <w:p>
      <w:pPr>
        <w:pStyle w:val="6"/>
        <w:keepNext w:val="0"/>
        <w:keepLines w:val="0"/>
        <w:widowControl w:val="0"/>
        <w:jc w:val="both"/>
        <w:rPr>
          <w:rFonts w:cs="Times New Roman"/>
          <w:highlight w:val="none"/>
        </w:rPr>
      </w:pPr>
      <w:r>
        <w:rPr>
          <w:rFonts w:cs="Times New Roman"/>
          <w:highlight w:val="none"/>
        </w:rPr>
        <w:t>质疑供应商对警采中心的答复不满意，或者警采中心未在规定时间内作出答复的，质疑供应商可以在答复期满后15个工作日内依法向相关财政部门提起投诉。</w:t>
      </w:r>
    </w:p>
    <w:p>
      <w:pPr>
        <w:pStyle w:val="4"/>
        <w:keepNext w:val="0"/>
        <w:keepLines w:val="0"/>
        <w:spacing w:before="120"/>
        <w:ind w:left="320" w:hanging="320"/>
        <w:jc w:val="both"/>
        <w:rPr>
          <w:highlight w:val="none"/>
        </w:rPr>
      </w:pPr>
      <w:bookmarkStart w:id="120" w:name="_Toc73108174"/>
      <w:bookmarkStart w:id="121" w:name="_Toc142051468"/>
      <w:bookmarkStart w:id="122" w:name="_Toc71873121"/>
      <w:bookmarkStart w:id="123" w:name="_Toc56157918"/>
      <w:bookmarkStart w:id="124" w:name="_Toc27489972"/>
      <w:r>
        <w:rPr>
          <w:highlight w:val="none"/>
        </w:rPr>
        <w:t>有关政策</w:t>
      </w:r>
      <w:bookmarkEnd w:id="120"/>
      <w:bookmarkEnd w:id="121"/>
    </w:p>
    <w:p>
      <w:pPr>
        <w:pStyle w:val="5"/>
        <w:keepNext w:val="0"/>
        <w:keepLines w:val="0"/>
        <w:widowControl w:val="0"/>
        <w:spacing w:before="120"/>
        <w:rPr>
          <w:bCs w:val="0"/>
          <w:iCs/>
          <w:highlight w:val="none"/>
        </w:rPr>
      </w:pPr>
      <w:r>
        <w:rPr>
          <w:bCs w:val="0"/>
          <w:iCs/>
          <w:highlight w:val="none"/>
        </w:rPr>
        <w:t>中小企业有关政策</w:t>
      </w:r>
    </w:p>
    <w:p>
      <w:pPr>
        <w:pStyle w:val="6"/>
        <w:rPr>
          <w:highlight w:val="none"/>
        </w:rPr>
      </w:pPr>
      <w:r>
        <w:rPr>
          <w:highlight w:val="none"/>
        </w:rPr>
        <w:t>根据</w:t>
      </w:r>
      <w:r>
        <w:rPr>
          <w:rFonts w:hint="eastAsia" w:cs="Times New Roman"/>
          <w:highlight w:val="none"/>
        </w:rPr>
        <w:t>《关于印发中小企业划型标准规定的通知》（工信部联企业〔2011〕300号）</w:t>
      </w:r>
      <w:r>
        <w:rPr>
          <w:highlight w:val="none"/>
        </w:rPr>
        <w:t>按照本次采购标的所属行业的划型标准，符合条件的中小微企业应按照采购文件格式要求提供《中小企业声明函》（格式详见附件5.10）</w:t>
      </w:r>
      <w:r>
        <w:rPr>
          <w:rFonts w:hint="eastAsia"/>
          <w:highlight w:val="none"/>
        </w:rPr>
        <w:t>，本项目所有标的所属行业均为：工业。</w:t>
      </w:r>
    </w:p>
    <w:p>
      <w:pPr>
        <w:pStyle w:val="6"/>
        <w:rPr>
          <w:highlight w:val="none"/>
        </w:rPr>
      </w:pPr>
      <w:r>
        <w:rPr>
          <w:highlight w:val="none"/>
        </w:rPr>
        <w:t>根据财政部和工业和信息化部发布的关于印发《政府采购促进中小企业发展管理办法》（财库〔2020〕46号）</w:t>
      </w:r>
      <w:r>
        <w:rPr>
          <w:rFonts w:hint="eastAsia"/>
          <w:highlight w:val="none"/>
        </w:rPr>
        <w:t>和《</w:t>
      </w:r>
      <w:r>
        <w:rPr>
          <w:rFonts w:hint="eastAsia" w:cs="Times New Roman"/>
          <w:highlight w:val="none"/>
        </w:rPr>
        <w:t>关于进一步加大政府采购支持中小企业力度的通知</w:t>
      </w:r>
      <w:r>
        <w:rPr>
          <w:rFonts w:hint="eastAsia"/>
          <w:highlight w:val="none"/>
        </w:rPr>
        <w:t>》（财库〔2022〕19号）等</w:t>
      </w:r>
      <w:r>
        <w:rPr>
          <w:highlight w:val="none"/>
        </w:rPr>
        <w:t>规定，对小型和微型企业产品的</w:t>
      </w:r>
      <w:r>
        <w:rPr>
          <w:rFonts w:hint="eastAsia"/>
          <w:highlight w:val="none"/>
        </w:rPr>
        <w:t>响应</w:t>
      </w:r>
      <w:r>
        <w:rPr>
          <w:highlight w:val="none"/>
        </w:rPr>
        <w:t>价格给予10%的扣除，用扣除后的价格参加评审。</w:t>
      </w:r>
    </w:p>
    <w:p>
      <w:pPr>
        <w:pStyle w:val="6"/>
        <w:keepNext w:val="0"/>
        <w:keepLines w:val="0"/>
        <w:widowControl w:val="0"/>
        <w:jc w:val="both"/>
        <w:rPr>
          <w:rFonts w:cs="Times New Roman"/>
          <w:highlight w:val="none"/>
        </w:rPr>
      </w:pPr>
      <w:r>
        <w:rPr>
          <w:rFonts w:cs="Times New Roman"/>
          <w:highlight w:val="none"/>
        </w:rPr>
        <w:t>提供由省级以上监狱管理局、戒毒管理局（含新疆生产建设兵团）出具的属于监狱企业证明文件的，视同为小型和微型企业给予10%的扣除，用扣除后的价格参与评审。</w:t>
      </w:r>
    </w:p>
    <w:p>
      <w:pPr>
        <w:pStyle w:val="6"/>
        <w:keepNext w:val="0"/>
        <w:keepLines w:val="0"/>
        <w:widowControl w:val="0"/>
        <w:jc w:val="both"/>
        <w:rPr>
          <w:rFonts w:cs="Times New Roman"/>
          <w:highlight w:val="none"/>
        </w:rPr>
      </w:pPr>
      <w:r>
        <w:rPr>
          <w:rFonts w:cs="Times New Roman"/>
          <w:highlight w:val="none"/>
        </w:rPr>
        <w:t>符合享受政府采购支持政策的残疾人福利性单位条件且提供《残疾人福利性单位声明函》（格式详见附件5.11）的，视同为小型和微型企业给予10%的扣除，用扣除后的价格参与评审。</w:t>
      </w:r>
    </w:p>
    <w:p>
      <w:pPr>
        <w:pStyle w:val="4"/>
        <w:keepNext w:val="0"/>
        <w:keepLines w:val="0"/>
        <w:spacing w:before="120"/>
        <w:ind w:left="320" w:hanging="320"/>
        <w:jc w:val="both"/>
        <w:rPr>
          <w:highlight w:val="none"/>
        </w:rPr>
      </w:pPr>
      <w:bookmarkStart w:id="125" w:name="_Toc142051469"/>
      <w:r>
        <w:rPr>
          <w:highlight w:val="none"/>
        </w:rPr>
        <w:t>保密义务和信息披露</w:t>
      </w:r>
      <w:bookmarkEnd w:id="122"/>
      <w:bookmarkEnd w:id="123"/>
      <w:bookmarkEnd w:id="124"/>
      <w:bookmarkEnd w:id="125"/>
    </w:p>
    <w:p>
      <w:pPr>
        <w:pStyle w:val="6"/>
        <w:keepNext w:val="0"/>
        <w:keepLines w:val="0"/>
        <w:widowControl w:val="0"/>
        <w:jc w:val="both"/>
        <w:rPr>
          <w:rFonts w:cs="Times New Roman"/>
          <w:highlight w:val="none"/>
        </w:rPr>
      </w:pPr>
      <w:r>
        <w:rPr>
          <w:rFonts w:cs="Times New Roman"/>
          <w:highlight w:val="none"/>
        </w:rPr>
        <w:t>供应商自获取</w:t>
      </w:r>
      <w:r>
        <w:rPr>
          <w:rFonts w:hint="eastAsia" w:cs="Times New Roman"/>
          <w:highlight w:val="none"/>
        </w:rPr>
        <w:t>征集文件</w:t>
      </w:r>
      <w:r>
        <w:rPr>
          <w:rFonts w:cs="Times New Roman"/>
          <w:highlight w:val="none"/>
        </w:rPr>
        <w:t>之日起，须履行本项目下保密义务，不得将</w:t>
      </w:r>
      <w:r>
        <w:rPr>
          <w:rFonts w:hint="eastAsia" w:cs="Times New Roman"/>
          <w:highlight w:val="none"/>
        </w:rPr>
        <w:t>因</w:t>
      </w:r>
      <w:r>
        <w:rPr>
          <w:rFonts w:cs="Times New Roman"/>
          <w:highlight w:val="none"/>
        </w:rPr>
        <w:t>本次</w:t>
      </w:r>
      <w:r>
        <w:rPr>
          <w:rFonts w:hint="eastAsia" w:cs="Times New Roman"/>
          <w:highlight w:val="none"/>
        </w:rPr>
        <w:t>采购项目</w:t>
      </w:r>
      <w:r>
        <w:rPr>
          <w:rFonts w:cs="Times New Roman"/>
          <w:highlight w:val="none"/>
        </w:rPr>
        <w:t>获得的信息向第三人外传。</w:t>
      </w:r>
    </w:p>
    <w:p>
      <w:pPr>
        <w:pStyle w:val="6"/>
        <w:keepNext w:val="0"/>
        <w:keepLines w:val="0"/>
        <w:widowControl w:val="0"/>
        <w:jc w:val="both"/>
        <w:rPr>
          <w:rFonts w:cs="Times New Roman"/>
          <w:highlight w:val="none"/>
        </w:rPr>
      </w:pPr>
      <w:r>
        <w:rPr>
          <w:rFonts w:cs="Times New Roman"/>
          <w:highlight w:val="none"/>
        </w:rPr>
        <w:t>警采中心有权将供应商提供的所有资料向有关政府部门或</w:t>
      </w:r>
      <w:r>
        <w:rPr>
          <w:rFonts w:hint="eastAsia" w:cs="Times New Roman"/>
          <w:highlight w:val="none"/>
        </w:rPr>
        <w:t>评审小组</w:t>
      </w:r>
      <w:r>
        <w:rPr>
          <w:rFonts w:cs="Times New Roman"/>
          <w:highlight w:val="none"/>
        </w:rPr>
        <w:t>披露。</w:t>
      </w:r>
    </w:p>
    <w:p>
      <w:pPr>
        <w:pStyle w:val="6"/>
        <w:keepNext w:val="0"/>
        <w:keepLines w:val="0"/>
        <w:widowControl w:val="0"/>
        <w:jc w:val="both"/>
        <w:rPr>
          <w:highlight w:val="none"/>
        </w:rPr>
      </w:pPr>
      <w:r>
        <w:rPr>
          <w:rFonts w:cs="Times New Roman"/>
          <w:highlight w:val="none"/>
        </w:rPr>
        <w:t>在警采中心认为适当时，国家机关在调查、审查、审计以及其他符合法律规定的情形下，警采中心无须事先征求供应商同意即可披露关于采购过程、合同文本、签署情况的资料、供应商的名称及地址、响应文件的有关信息及补充条款等，但应在合理的范围内。对任何已公布过的内容或与之内容相同的资料，以及供应商已经泄露或公开的，警采中心无须再承担保密责任。</w:t>
      </w:r>
    </w:p>
    <w:p>
      <w:pPr>
        <w:widowControl w:val="0"/>
        <w:jc w:val="both"/>
        <w:rPr>
          <w:highlight w:val="none"/>
        </w:rPr>
        <w:sectPr>
          <w:headerReference r:id="rId11" w:type="default"/>
          <w:pgSz w:w="11907" w:h="16839"/>
          <w:pgMar w:top="1928" w:right="1531" w:bottom="1871" w:left="1531" w:header="1145" w:footer="709" w:gutter="0"/>
          <w:cols w:space="720" w:num="1"/>
          <w:docGrid w:linePitch="360" w:charSpace="0"/>
        </w:sectPr>
      </w:pPr>
    </w:p>
    <w:bookmarkEnd w:id="47"/>
    <w:p>
      <w:pPr>
        <w:pStyle w:val="3"/>
        <w:pageBreakBefore w:val="0"/>
        <w:widowControl w:val="0"/>
        <w:ind w:left="431" w:hanging="431"/>
        <w:rPr>
          <w:highlight w:val="none"/>
        </w:rPr>
      </w:pPr>
      <w:bookmarkStart w:id="126" w:name="_Toc142051470"/>
      <w:r>
        <w:rPr>
          <w:highlight w:val="none"/>
        </w:rPr>
        <w:t>响应文件编制的说明与要求</w:t>
      </w:r>
      <w:bookmarkEnd w:id="21"/>
      <w:bookmarkEnd w:id="22"/>
      <w:bookmarkEnd w:id="126"/>
    </w:p>
    <w:p>
      <w:pPr>
        <w:pStyle w:val="256"/>
        <w:keepNext w:val="0"/>
        <w:keepLines w:val="0"/>
        <w:widowControl w:val="0"/>
        <w:spacing w:before="120" w:beforeLines="50" w:after="0" w:afterLines="0"/>
        <w:ind w:left="0" w:firstLine="420" w:firstLineChars="200"/>
        <w:rPr>
          <w:rFonts w:eastAsia="黑体"/>
          <w:b/>
          <w:color w:val="auto"/>
          <w:sz w:val="24"/>
          <w:highlight w:val="none"/>
          <w:lang w:val="en-US"/>
        </w:rPr>
      </w:pPr>
      <w:r>
        <w:rPr>
          <w:rFonts w:eastAsia="黑体"/>
          <w:color w:val="auto"/>
          <w:highlight w:val="none"/>
          <w:lang w:val="en-US"/>
        </w:rPr>
        <w:t>本章说明与要求的内容如与</w:t>
      </w:r>
      <w:r>
        <w:rPr>
          <w:rFonts w:hint="eastAsia" w:eastAsia="黑体"/>
          <w:color w:val="auto"/>
          <w:highlight w:val="none"/>
          <w:lang w:val="en-US"/>
        </w:rPr>
        <w:t>征集文件</w:t>
      </w:r>
      <w:r>
        <w:rPr>
          <w:rFonts w:eastAsia="黑体"/>
          <w:color w:val="auto"/>
          <w:highlight w:val="none"/>
          <w:lang w:val="en-US"/>
        </w:rPr>
        <w:t>其他部分不一致，以本章内容为准。</w:t>
      </w:r>
      <w:r>
        <w:rPr>
          <w:rFonts w:hint="eastAsia"/>
          <w:b/>
          <w:sz w:val="24"/>
          <w:highlight w:val="none"/>
        </w:rPr>
        <w:t>政府采购一体化云平台上</w:t>
      </w:r>
      <w:r>
        <w:rPr>
          <w:rFonts w:eastAsia="黑体"/>
          <w:b/>
          <w:color w:val="auto"/>
          <w:sz w:val="24"/>
          <w:highlight w:val="none"/>
          <w:lang w:val="en-US"/>
        </w:rPr>
        <w:t>提</w:t>
      </w:r>
      <w:r>
        <w:rPr>
          <w:rFonts w:hint="eastAsia" w:eastAsia="黑体"/>
          <w:b/>
          <w:color w:val="auto"/>
          <w:sz w:val="24"/>
          <w:highlight w:val="none"/>
          <w:lang w:val="en-US"/>
        </w:rPr>
        <w:t>交</w:t>
      </w:r>
      <w:r>
        <w:rPr>
          <w:rFonts w:eastAsia="黑体"/>
          <w:b/>
          <w:color w:val="auto"/>
          <w:sz w:val="24"/>
          <w:highlight w:val="none"/>
          <w:lang w:val="en-US"/>
        </w:rPr>
        <w:t>的</w:t>
      </w:r>
      <w:r>
        <w:rPr>
          <w:rFonts w:hint="eastAsia" w:eastAsia="黑体"/>
          <w:b/>
          <w:color w:val="auto"/>
          <w:sz w:val="24"/>
          <w:highlight w:val="none"/>
          <w:lang w:val="en-US"/>
        </w:rPr>
        <w:t>资格审查</w:t>
      </w:r>
      <w:r>
        <w:rPr>
          <w:rFonts w:eastAsia="黑体"/>
          <w:b/>
          <w:color w:val="auto"/>
          <w:sz w:val="24"/>
          <w:highlight w:val="none"/>
          <w:lang w:val="en-US"/>
        </w:rPr>
        <w:t>文件与</w:t>
      </w:r>
      <w:r>
        <w:rPr>
          <w:rFonts w:hint="eastAsia" w:eastAsia="黑体"/>
          <w:b/>
          <w:color w:val="auto"/>
          <w:sz w:val="24"/>
          <w:highlight w:val="none"/>
          <w:lang w:val="en-US"/>
        </w:rPr>
        <w:t>响应</w:t>
      </w:r>
      <w:r>
        <w:rPr>
          <w:rFonts w:eastAsia="黑体"/>
          <w:b/>
          <w:color w:val="auto"/>
          <w:sz w:val="24"/>
          <w:highlight w:val="none"/>
          <w:lang w:val="en-US"/>
        </w:rPr>
        <w:t>文件</w:t>
      </w:r>
      <w:r>
        <w:rPr>
          <w:rFonts w:hint="eastAsia" w:eastAsia="黑体"/>
          <w:b/>
          <w:color w:val="auto"/>
          <w:sz w:val="24"/>
          <w:highlight w:val="none"/>
          <w:lang w:val="en-US"/>
        </w:rPr>
        <w:t>内容应</w:t>
      </w:r>
      <w:r>
        <w:rPr>
          <w:rFonts w:eastAsia="黑体"/>
          <w:b/>
          <w:color w:val="auto"/>
          <w:sz w:val="24"/>
          <w:highlight w:val="none"/>
          <w:lang w:val="en-US"/>
        </w:rPr>
        <w:t>相同。</w:t>
      </w:r>
    </w:p>
    <w:p>
      <w:pPr>
        <w:pStyle w:val="4"/>
        <w:keepNext w:val="0"/>
        <w:keepLines w:val="0"/>
        <w:spacing w:before="120"/>
        <w:ind w:left="320" w:hanging="320"/>
        <w:jc w:val="both"/>
        <w:rPr>
          <w:highlight w:val="none"/>
          <w:lang w:val="en-US"/>
        </w:rPr>
      </w:pPr>
      <w:bookmarkStart w:id="127" w:name="_Toc142051471"/>
      <w:r>
        <w:rPr>
          <w:highlight w:val="none"/>
        </w:rPr>
        <w:t>供应商的说明与要求</w:t>
      </w:r>
      <w:bookmarkEnd w:id="127"/>
    </w:p>
    <w:p>
      <w:pPr>
        <w:pStyle w:val="256"/>
        <w:keepNext w:val="0"/>
        <w:keepLines w:val="0"/>
        <w:widowControl w:val="0"/>
        <w:spacing w:before="120" w:beforeLines="50" w:after="0" w:afterLines="0"/>
        <w:ind w:left="0" w:firstLine="420" w:firstLineChars="200"/>
        <w:rPr>
          <w:rFonts w:eastAsia="黑体"/>
          <w:color w:val="auto"/>
          <w:highlight w:val="none"/>
          <w:lang w:val="en-US"/>
        </w:rPr>
      </w:pPr>
      <w:r>
        <w:rPr>
          <w:color w:val="auto"/>
          <w:highlight w:val="none"/>
          <w:lang w:val="en-US"/>
        </w:rPr>
        <w:t>“*”</w:t>
      </w:r>
      <w:r>
        <w:rPr>
          <w:rFonts w:eastAsia="黑体"/>
          <w:color w:val="auto"/>
          <w:highlight w:val="none"/>
          <w:lang w:val="en-US"/>
        </w:rPr>
        <w:t>项为本项目实质性条款，若有一项不满足，</w:t>
      </w:r>
      <w:r>
        <w:rPr>
          <w:rFonts w:hint="eastAsia" w:eastAsia="黑体"/>
          <w:color w:val="auto"/>
          <w:highlight w:val="none"/>
          <w:lang w:val="en-US"/>
        </w:rPr>
        <w:t>响应</w:t>
      </w:r>
      <w:r>
        <w:rPr>
          <w:rFonts w:eastAsia="黑体"/>
          <w:color w:val="auto"/>
          <w:highlight w:val="none"/>
          <w:lang w:val="en-US"/>
        </w:rPr>
        <w:t>将被拒绝。</w:t>
      </w:r>
    </w:p>
    <w:p>
      <w:pPr>
        <w:pStyle w:val="5"/>
        <w:keepNext w:val="0"/>
        <w:keepLines w:val="0"/>
        <w:widowControl w:val="0"/>
        <w:spacing w:before="120"/>
        <w:rPr>
          <w:highlight w:val="none"/>
        </w:rPr>
      </w:pPr>
      <w:r>
        <w:rPr>
          <w:highlight w:val="none"/>
        </w:rPr>
        <w:t>*资质条件</w:t>
      </w:r>
    </w:p>
    <w:p>
      <w:pPr>
        <w:widowControl w:val="0"/>
        <w:ind w:firstLine="420" w:firstLineChars="200"/>
        <w:jc w:val="both"/>
        <w:rPr>
          <w:highlight w:val="none"/>
        </w:rPr>
      </w:pPr>
      <w:r>
        <w:rPr>
          <w:highlight w:val="none"/>
        </w:rPr>
        <w:t>须符合《中华人民共和国政府采购法》第二十二条的规定。</w:t>
      </w:r>
    </w:p>
    <w:p>
      <w:pPr>
        <w:widowControl w:val="0"/>
        <w:ind w:firstLine="420" w:firstLineChars="200"/>
        <w:jc w:val="both"/>
        <w:rPr>
          <w:highlight w:val="none"/>
        </w:rPr>
      </w:pPr>
      <w:r>
        <w:rPr>
          <w:highlight w:val="none"/>
        </w:rPr>
        <w:t>须为在中华人民共和国境内合法注册的具有独立法人资格的产品生产制造或研发设计企业。</w:t>
      </w:r>
    </w:p>
    <w:p>
      <w:pPr>
        <w:widowControl w:val="0"/>
        <w:ind w:firstLine="420" w:firstLineChars="200"/>
        <w:jc w:val="both"/>
        <w:rPr>
          <w:highlight w:val="none"/>
        </w:rPr>
      </w:pPr>
      <w:r>
        <w:rPr>
          <w:rFonts w:hint="eastAsia"/>
          <w:highlight w:val="none"/>
        </w:rPr>
        <w:t>如国家或政府有关部门对本项目征集文件相关产品的生产销售资格提出许可规定或其他要求，无论在征集或执行期，均按相关规定要求执行。</w:t>
      </w:r>
    </w:p>
    <w:p>
      <w:pPr>
        <w:pStyle w:val="5"/>
        <w:keepNext w:val="0"/>
        <w:keepLines w:val="0"/>
        <w:widowControl w:val="0"/>
        <w:spacing w:before="120"/>
        <w:rPr>
          <w:highlight w:val="none"/>
        </w:rPr>
      </w:pPr>
      <w:r>
        <w:rPr>
          <w:highlight w:val="none"/>
        </w:rPr>
        <w:t>*信用记录</w:t>
      </w:r>
    </w:p>
    <w:p>
      <w:pPr>
        <w:widowControl w:val="0"/>
        <w:ind w:firstLine="420" w:firstLineChars="200"/>
        <w:jc w:val="both"/>
        <w:rPr>
          <w:highlight w:val="none"/>
        </w:rPr>
      </w:pPr>
      <w:r>
        <w:rPr>
          <w:rFonts w:hint="eastAsia"/>
          <w:highlight w:val="none"/>
        </w:rPr>
        <w:t>资格审查时，</w:t>
      </w:r>
      <w:r>
        <w:rPr>
          <w:highlight w:val="none"/>
        </w:rPr>
        <w:t>通过</w:t>
      </w:r>
      <w:r>
        <w:rPr>
          <w:rFonts w:hint="eastAsia" w:ascii="宋体" w:hAnsi="宋体" w:cs="宋体"/>
          <w:highlight w:val="none"/>
        </w:rPr>
        <w:t>“信用中国”</w:t>
      </w:r>
      <w:r>
        <w:rPr>
          <w:highlight w:val="none"/>
        </w:rPr>
        <w:t>网站（www.creditchina.gov.cn）、中国政府采购网（www.ccgp.gov.cn）渠道查询供应商信用记录，经查询列入失信被执行人、</w:t>
      </w:r>
      <w:r>
        <w:rPr>
          <w:rFonts w:hint="eastAsia"/>
          <w:highlight w:val="none"/>
        </w:rPr>
        <w:t>税收违法黑名单</w:t>
      </w:r>
      <w:r>
        <w:rPr>
          <w:highlight w:val="none"/>
        </w:rPr>
        <w:t>、政府采购严重违法失信行为记录名单，其</w:t>
      </w:r>
      <w:r>
        <w:rPr>
          <w:rFonts w:hint="eastAsia"/>
          <w:highlight w:val="none"/>
        </w:rPr>
        <w:t>响应</w:t>
      </w:r>
      <w:r>
        <w:rPr>
          <w:highlight w:val="none"/>
        </w:rPr>
        <w:t>无效，该供应商的信用记录查询结果截图将作为资格审查材料的组成部分。</w:t>
      </w:r>
    </w:p>
    <w:p>
      <w:pPr>
        <w:pStyle w:val="5"/>
        <w:keepNext w:val="0"/>
        <w:keepLines w:val="0"/>
        <w:widowControl w:val="0"/>
        <w:spacing w:before="120"/>
        <w:rPr>
          <w:highlight w:val="none"/>
        </w:rPr>
      </w:pPr>
      <w:r>
        <w:rPr>
          <w:highlight w:val="none"/>
        </w:rPr>
        <w:t>其他要求</w:t>
      </w:r>
    </w:p>
    <w:p>
      <w:pPr>
        <w:pStyle w:val="256"/>
        <w:keepNext w:val="0"/>
        <w:keepLines w:val="0"/>
        <w:widowControl w:val="0"/>
        <w:spacing w:after="0" w:afterLines="0"/>
        <w:ind w:left="0" w:firstLine="420" w:firstLineChars="200"/>
        <w:rPr>
          <w:highlight w:val="none"/>
        </w:rPr>
      </w:pPr>
      <w:r>
        <w:rPr>
          <w:rFonts w:hint="eastAsia" w:ascii="宋体" w:hAnsi="宋体" w:cs="宋体"/>
          <w:highlight w:val="none"/>
        </w:rPr>
        <w:t>①</w:t>
      </w:r>
      <w:r>
        <w:rPr>
          <w:highlight w:val="none"/>
        </w:rPr>
        <w:t>本项目不允许联合体</w:t>
      </w:r>
      <w:r>
        <w:rPr>
          <w:rFonts w:hint="eastAsia"/>
          <w:highlight w:val="none"/>
        </w:rPr>
        <w:t>响应</w:t>
      </w:r>
      <w:r>
        <w:rPr>
          <w:highlight w:val="none"/>
        </w:rPr>
        <w:t>。</w:t>
      </w:r>
    </w:p>
    <w:p>
      <w:pPr>
        <w:pStyle w:val="256"/>
        <w:keepNext w:val="0"/>
        <w:keepLines w:val="0"/>
        <w:widowControl w:val="0"/>
        <w:spacing w:after="0" w:afterLines="0"/>
        <w:ind w:left="0" w:firstLine="420" w:firstLineChars="200"/>
        <w:rPr>
          <w:highlight w:val="none"/>
        </w:rPr>
      </w:pPr>
      <w:r>
        <w:rPr>
          <w:rFonts w:hint="eastAsia" w:ascii="宋体" w:hAnsi="宋体" w:cs="宋体"/>
          <w:highlight w:val="none"/>
        </w:rPr>
        <w:t>②</w:t>
      </w:r>
      <w:r>
        <w:rPr>
          <w:highlight w:val="none"/>
        </w:rPr>
        <w:t>不允许供应商将项目非主体、非关键性工作交由他人完成。</w:t>
      </w:r>
    </w:p>
    <w:p>
      <w:pPr>
        <w:pStyle w:val="256"/>
        <w:keepNext w:val="0"/>
        <w:keepLines w:val="0"/>
        <w:widowControl w:val="0"/>
        <w:spacing w:after="0" w:afterLines="0"/>
        <w:ind w:left="0" w:firstLine="420" w:firstLineChars="200"/>
        <w:rPr>
          <w:color w:val="auto"/>
          <w:highlight w:val="none"/>
          <w:lang w:val="en-US" w:eastAsia="ja-JP"/>
        </w:rPr>
      </w:pPr>
      <w:r>
        <w:rPr>
          <w:rFonts w:hint="eastAsia" w:ascii="宋体" w:hAnsi="宋体" w:cs="宋体"/>
          <w:highlight w:val="none"/>
        </w:rPr>
        <w:t>③</w:t>
      </w:r>
      <w:r>
        <w:rPr>
          <w:color w:val="auto"/>
          <w:highlight w:val="none"/>
          <w:lang w:val="en-US" w:eastAsia="ja-JP"/>
        </w:rPr>
        <w:t>不收取</w:t>
      </w:r>
      <w:r>
        <w:rPr>
          <w:rFonts w:hint="eastAsia"/>
          <w:color w:val="auto"/>
          <w:highlight w:val="none"/>
          <w:lang w:val="en-US"/>
        </w:rPr>
        <w:t>响应</w:t>
      </w:r>
      <w:r>
        <w:rPr>
          <w:color w:val="auto"/>
          <w:highlight w:val="none"/>
          <w:lang w:val="en-US" w:eastAsia="ja-JP"/>
        </w:rPr>
        <w:t>保证金。</w:t>
      </w:r>
    </w:p>
    <w:p>
      <w:pPr>
        <w:pStyle w:val="256"/>
        <w:keepNext w:val="0"/>
        <w:keepLines w:val="0"/>
        <w:widowControl w:val="0"/>
        <w:spacing w:after="0" w:afterLines="0"/>
        <w:ind w:left="0" w:firstLine="420" w:firstLineChars="200"/>
        <w:rPr>
          <w:rFonts w:ascii="宋体" w:hAnsi="宋体" w:cs="宋体"/>
          <w:highlight w:val="none"/>
          <w:lang w:val="en-US"/>
        </w:rPr>
      </w:pPr>
      <w:r>
        <w:rPr>
          <w:rFonts w:hint="eastAsia" w:ascii="宋体" w:hAnsi="宋体" w:cs="宋体"/>
          <w:highlight w:val="none"/>
          <w:lang w:val="en-US"/>
        </w:rPr>
        <w:t>④</w:t>
      </w:r>
      <w:r>
        <w:rPr>
          <w:rFonts w:hint="eastAsia" w:ascii="宋体" w:hAnsi="宋体" w:cs="宋体"/>
          <w:highlight w:val="none"/>
        </w:rPr>
        <w:t>本项目不收取履约保证金。</w:t>
      </w:r>
    </w:p>
    <w:p>
      <w:pPr>
        <w:pStyle w:val="256"/>
        <w:keepNext w:val="0"/>
        <w:keepLines w:val="0"/>
        <w:widowControl w:val="0"/>
        <w:spacing w:after="0" w:afterLines="0"/>
        <w:ind w:left="0" w:firstLine="420" w:firstLineChars="200"/>
        <w:rPr>
          <w:color w:val="auto"/>
          <w:highlight w:val="none"/>
          <w:lang w:val="en-US"/>
        </w:rPr>
      </w:pPr>
      <w:r>
        <w:rPr>
          <w:highlight w:val="none"/>
        </w:rPr>
        <w:t>*</w:t>
      </w:r>
      <w:r>
        <w:rPr>
          <w:rFonts w:hint="eastAsia" w:ascii="宋体" w:hAnsi="宋体" w:cs="宋体"/>
          <w:color w:val="auto"/>
          <w:highlight w:val="none"/>
          <w:lang w:val="en-US"/>
        </w:rPr>
        <w:t>⑤</w:t>
      </w:r>
      <w:r>
        <w:rPr>
          <w:color w:val="auto"/>
          <w:highlight w:val="none"/>
          <w:lang w:val="en-US"/>
        </w:rPr>
        <w:t>供应商可</w:t>
      </w:r>
      <w:r>
        <w:rPr>
          <w:rFonts w:hint="eastAsia"/>
          <w:color w:val="auto"/>
          <w:highlight w:val="none"/>
          <w:lang w:val="en-US"/>
        </w:rPr>
        <w:t>响应</w:t>
      </w:r>
      <w:r>
        <w:rPr>
          <w:color w:val="auto"/>
          <w:highlight w:val="none"/>
          <w:lang w:val="en-US"/>
        </w:rPr>
        <w:t>一包或多包，每款产品只能对应</w:t>
      </w:r>
      <w:r>
        <w:rPr>
          <w:rFonts w:hint="eastAsia"/>
          <w:color w:val="auto"/>
          <w:highlight w:val="none"/>
          <w:lang w:val="en-US"/>
        </w:rPr>
        <w:t>响应</w:t>
      </w:r>
      <w:r>
        <w:rPr>
          <w:color w:val="auto"/>
          <w:highlight w:val="none"/>
          <w:lang w:val="en-US"/>
        </w:rPr>
        <w:t>一包</w:t>
      </w:r>
      <w:r>
        <w:rPr>
          <w:rFonts w:hint="eastAsia"/>
          <w:color w:val="auto"/>
          <w:highlight w:val="none"/>
          <w:lang w:val="en-US"/>
        </w:rPr>
        <w:t>，</w:t>
      </w:r>
      <w:r>
        <w:rPr>
          <w:color w:val="auto"/>
          <w:highlight w:val="none"/>
          <w:lang w:val="en-US"/>
        </w:rPr>
        <w:t>不可重复</w:t>
      </w:r>
      <w:r>
        <w:rPr>
          <w:rFonts w:hint="eastAsia"/>
          <w:color w:val="auto"/>
          <w:highlight w:val="none"/>
          <w:lang w:val="en-US"/>
        </w:rPr>
        <w:t>响应</w:t>
      </w:r>
      <w:r>
        <w:rPr>
          <w:color w:val="auto"/>
          <w:highlight w:val="none"/>
          <w:lang w:val="en-US"/>
        </w:rPr>
        <w:t>，</w:t>
      </w:r>
      <w:r>
        <w:rPr>
          <w:rFonts w:hint="eastAsia"/>
          <w:b/>
          <w:color w:val="auto"/>
          <w:highlight w:val="none"/>
          <w:lang w:val="en-US"/>
        </w:rPr>
        <w:t>且每包只能用一个产品进行响应</w:t>
      </w:r>
      <w:r>
        <w:rPr>
          <w:color w:val="auto"/>
          <w:highlight w:val="none"/>
          <w:lang w:val="en-US"/>
        </w:rPr>
        <w:t>。</w:t>
      </w:r>
      <w:r>
        <w:rPr>
          <w:rFonts w:hint="eastAsia"/>
          <w:color w:val="auto"/>
          <w:highlight w:val="none"/>
          <w:lang w:val="en-US"/>
        </w:rPr>
        <w:t>供应商未按上述要求进行响应的，响应将被拒绝。</w:t>
      </w:r>
    </w:p>
    <w:p>
      <w:pPr>
        <w:pStyle w:val="256"/>
        <w:keepNext w:val="0"/>
        <w:keepLines w:val="0"/>
        <w:widowControl w:val="0"/>
        <w:spacing w:after="0" w:afterLines="0"/>
        <w:ind w:left="0" w:firstLine="420" w:firstLineChars="200"/>
        <w:rPr>
          <w:color w:val="auto"/>
          <w:highlight w:val="none"/>
          <w:lang w:val="en-US"/>
        </w:rPr>
      </w:pPr>
      <w:r>
        <w:rPr>
          <w:rFonts w:ascii="宋体" w:hAnsi="宋体" w:cs="宋体"/>
          <w:color w:val="auto"/>
          <w:highlight w:val="none"/>
          <w:lang w:val="en-US"/>
        </w:rPr>
        <w:t>⑥</w:t>
      </w:r>
      <w:r>
        <w:rPr>
          <w:color w:val="auto"/>
          <w:highlight w:val="none"/>
          <w:lang w:val="en-US"/>
        </w:rPr>
        <w:t>供应商</w:t>
      </w:r>
      <w:r>
        <w:rPr>
          <w:rFonts w:hint="eastAsia"/>
          <w:color w:val="auto"/>
          <w:highlight w:val="none"/>
          <w:lang w:val="en-US"/>
        </w:rPr>
        <w:t>响应</w:t>
      </w:r>
      <w:r>
        <w:rPr>
          <w:color w:val="auto"/>
          <w:highlight w:val="none"/>
          <w:lang w:val="en-US"/>
        </w:rPr>
        <w:t>多包的，</w:t>
      </w:r>
      <w:r>
        <w:rPr>
          <w:rFonts w:hint="eastAsia"/>
          <w:color w:val="auto"/>
          <w:highlight w:val="none"/>
          <w:lang w:val="en-US"/>
        </w:rPr>
        <w:t>按照警采中心电子招投标系统要求分包提交</w:t>
      </w:r>
      <w:r>
        <w:rPr>
          <w:color w:val="auto"/>
          <w:highlight w:val="none"/>
          <w:lang w:val="en-US"/>
        </w:rPr>
        <w:t>。</w:t>
      </w:r>
    </w:p>
    <w:p>
      <w:pPr>
        <w:pStyle w:val="4"/>
        <w:keepNext w:val="0"/>
        <w:keepLines w:val="0"/>
        <w:spacing w:before="120"/>
        <w:ind w:left="320" w:hanging="320"/>
        <w:jc w:val="both"/>
        <w:rPr>
          <w:highlight w:val="none"/>
        </w:rPr>
      </w:pPr>
      <w:bookmarkStart w:id="128" w:name="_Toc142051472"/>
      <w:r>
        <w:rPr>
          <w:highlight w:val="none"/>
        </w:rPr>
        <w:t>产品的说明与要求</w:t>
      </w:r>
      <w:bookmarkEnd w:id="128"/>
    </w:p>
    <w:p>
      <w:pPr>
        <w:pStyle w:val="256"/>
        <w:keepNext w:val="0"/>
        <w:keepLines w:val="0"/>
        <w:widowControl w:val="0"/>
        <w:spacing w:before="120" w:beforeLines="50" w:after="0" w:afterLines="0"/>
        <w:ind w:left="0" w:firstLine="420" w:firstLineChars="200"/>
        <w:rPr>
          <w:rFonts w:eastAsia="黑体"/>
          <w:color w:val="auto"/>
          <w:highlight w:val="none"/>
          <w:lang w:val="en-US"/>
        </w:rPr>
      </w:pPr>
      <w:r>
        <w:rPr>
          <w:color w:val="auto"/>
          <w:highlight w:val="none"/>
          <w:lang w:val="en-US"/>
        </w:rPr>
        <w:t>“*”</w:t>
      </w:r>
      <w:r>
        <w:rPr>
          <w:rFonts w:eastAsia="黑体"/>
          <w:color w:val="auto"/>
          <w:highlight w:val="none"/>
          <w:lang w:val="en-US"/>
        </w:rPr>
        <w:t>项为本项目实质性条款，若有一项不满足，该</w:t>
      </w:r>
      <w:r>
        <w:rPr>
          <w:rFonts w:hint="eastAsia" w:eastAsia="黑体"/>
          <w:color w:val="auto"/>
          <w:highlight w:val="none"/>
          <w:lang w:val="en-US"/>
        </w:rPr>
        <w:t>响应</w:t>
      </w:r>
      <w:r>
        <w:rPr>
          <w:rFonts w:eastAsia="黑体"/>
          <w:color w:val="auto"/>
          <w:highlight w:val="none"/>
          <w:lang w:val="en-US"/>
        </w:rPr>
        <w:t>产品将被拒绝。</w:t>
      </w:r>
    </w:p>
    <w:p>
      <w:pPr>
        <w:pStyle w:val="5"/>
        <w:keepNext w:val="0"/>
        <w:keepLines w:val="0"/>
        <w:widowControl w:val="0"/>
        <w:spacing w:before="120"/>
        <w:rPr>
          <w:highlight w:val="none"/>
        </w:rPr>
      </w:pPr>
      <w:r>
        <w:rPr>
          <w:highlight w:val="none"/>
        </w:rPr>
        <w:t>*最高</w:t>
      </w:r>
      <w:r>
        <w:rPr>
          <w:rFonts w:hint="eastAsia"/>
          <w:highlight w:val="none"/>
        </w:rPr>
        <w:t>限制单</w:t>
      </w:r>
      <w:r>
        <w:rPr>
          <w:highlight w:val="none"/>
        </w:rPr>
        <w:t>价</w:t>
      </w:r>
    </w:p>
    <w:p>
      <w:pPr>
        <w:widowControl w:val="0"/>
        <w:ind w:firstLine="420" w:firstLineChars="200"/>
        <w:jc w:val="both"/>
        <w:rPr>
          <w:highlight w:val="none"/>
        </w:rPr>
      </w:pPr>
      <w:r>
        <w:rPr>
          <w:rFonts w:hint="eastAsia"/>
          <w:highlight w:val="none"/>
          <w:lang w:val="en-US"/>
        </w:rPr>
        <w:t>各包最高限制单价详见</w:t>
      </w:r>
      <w:r>
        <w:rPr>
          <w:rFonts w:hint="eastAsia"/>
          <w:highlight w:val="none"/>
        </w:rPr>
        <w:t>框架协议采购产品清单</w:t>
      </w:r>
      <w:r>
        <w:rPr>
          <w:rFonts w:hint="eastAsia"/>
          <w:highlight w:val="none"/>
          <w:lang w:val="en-US"/>
        </w:rPr>
        <w:t>，响应报价应不超过最高限制单价。</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供应商应有明确报价，无报价</w:t>
      </w:r>
      <w:r>
        <w:rPr>
          <w:rFonts w:hint="eastAsia"/>
          <w:color w:val="auto"/>
          <w:highlight w:val="none"/>
          <w:lang w:val="en-US"/>
        </w:rPr>
        <w:t>响应</w:t>
      </w:r>
      <w:r>
        <w:rPr>
          <w:color w:val="auto"/>
          <w:highlight w:val="none"/>
          <w:lang w:val="en-US"/>
        </w:rPr>
        <w:t>的，</w:t>
      </w:r>
      <w:r>
        <w:rPr>
          <w:rFonts w:hint="eastAsia"/>
          <w:color w:val="auto"/>
          <w:highlight w:val="none"/>
          <w:lang w:val="en-US"/>
        </w:rPr>
        <w:t>响应</w:t>
      </w:r>
      <w:r>
        <w:rPr>
          <w:color w:val="auto"/>
          <w:highlight w:val="none"/>
          <w:lang w:val="en-US"/>
        </w:rPr>
        <w:t>无效。</w:t>
      </w:r>
    </w:p>
    <w:p>
      <w:pPr>
        <w:pStyle w:val="5"/>
        <w:keepNext w:val="0"/>
        <w:keepLines w:val="0"/>
        <w:widowControl w:val="0"/>
        <w:spacing w:before="120"/>
        <w:rPr>
          <w:bCs w:val="0"/>
          <w:iCs/>
          <w:highlight w:val="none"/>
        </w:rPr>
      </w:pPr>
      <w:r>
        <w:rPr>
          <w:bCs w:val="0"/>
          <w:iCs/>
          <w:highlight w:val="none"/>
        </w:rPr>
        <w:t>强制性产品认证</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响应</w:t>
      </w:r>
      <w:r>
        <w:rPr>
          <w:color w:val="auto"/>
          <w:highlight w:val="none"/>
          <w:lang w:val="en-US"/>
        </w:rPr>
        <w:t>产品如为国家强制认证产品的，须提供国家认监委指定的认证机构出具的</w:t>
      </w:r>
      <w:r>
        <w:rPr>
          <w:color w:val="auto"/>
          <w:highlight w:val="none"/>
        </w:rPr>
        <w:t>强制性产品认证证书</w:t>
      </w:r>
      <w:r>
        <w:rPr>
          <w:color w:val="auto"/>
          <w:highlight w:val="none"/>
          <w:lang w:val="en-US"/>
        </w:rPr>
        <w:t>。</w:t>
      </w:r>
    </w:p>
    <w:p>
      <w:pPr>
        <w:pStyle w:val="5"/>
        <w:keepNext w:val="0"/>
        <w:keepLines w:val="0"/>
        <w:widowControl w:val="0"/>
        <w:spacing w:before="120"/>
        <w:rPr>
          <w:color w:val="auto"/>
          <w:highlight w:val="none"/>
          <w:lang w:val="en-US"/>
        </w:rPr>
      </w:pPr>
      <w:r>
        <w:rPr>
          <w:rFonts w:hint="eastAsia"/>
          <w:color w:val="auto"/>
          <w:highlight w:val="none"/>
          <w:lang w:val="en-US"/>
        </w:rPr>
        <w:t>网络安全要求</w:t>
      </w:r>
    </w:p>
    <w:p>
      <w:pPr>
        <w:pStyle w:val="256"/>
        <w:keepNext w:val="0"/>
        <w:keepLines w:val="0"/>
        <w:widowControl w:val="0"/>
        <w:spacing w:after="0" w:afterLines="0"/>
        <w:ind w:left="0" w:firstLine="420" w:firstLineChars="200"/>
        <w:rPr>
          <w:highlight w:val="none"/>
          <w:lang w:val="en-US"/>
        </w:rPr>
      </w:pPr>
      <w:r>
        <w:rPr>
          <w:rFonts w:hint="eastAsia"/>
          <w:highlight w:val="none"/>
          <w:lang w:val="en-US"/>
        </w:rPr>
        <w:t>本项目中如涉及网络关键设备或网络安全专用产品的，应严格执行国家互联网信息办公室、工业和信息化部、公安部、财政部和国家认证认可监督管理委员会2017年第1号《关于发布&lt;网络关键设备和网络安全专用产品目录（第一批）&gt;的公告》及国家互联网信息办公室、工业和信息化部、公安部、财政部和国家认证认可监督管理委员会2023年第1号《关于调整网络安全专用产品安全管理有关事项的公告》等相关文件要求，所响应设备或产品至少符合以下条件之一：一是已由具备资格的机构安全认证合格或安全检测符合要求；二是已获得《计算机信息系统安全专用产品销售许可证》，且在有效期内。</w:t>
      </w:r>
    </w:p>
    <w:p>
      <w:pPr>
        <w:pStyle w:val="256"/>
        <w:keepNext w:val="0"/>
        <w:keepLines w:val="0"/>
        <w:widowControl w:val="0"/>
        <w:spacing w:after="0" w:afterLines="0"/>
        <w:ind w:left="0" w:firstLine="420" w:firstLineChars="200"/>
        <w:rPr>
          <w:color w:val="auto"/>
          <w:highlight w:val="none"/>
          <w:lang w:val="en-US"/>
        </w:rPr>
      </w:pPr>
    </w:p>
    <w:p>
      <w:pPr>
        <w:pStyle w:val="5"/>
        <w:keepNext w:val="0"/>
        <w:keepLines w:val="0"/>
        <w:widowControl w:val="0"/>
        <w:spacing w:before="120"/>
        <w:rPr>
          <w:bCs w:val="0"/>
          <w:iCs/>
          <w:highlight w:val="none"/>
        </w:rPr>
      </w:pPr>
      <w:r>
        <w:rPr>
          <w:bCs w:val="0"/>
          <w:iCs/>
          <w:highlight w:val="none"/>
        </w:rPr>
        <w:t>节能环保要求</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w:t>
      </w:r>
      <w:r>
        <w:rPr>
          <w:rFonts w:hint="eastAsia"/>
          <w:color w:val="auto"/>
          <w:highlight w:val="none"/>
          <w:lang w:val="en-US"/>
        </w:rPr>
        <w:t>响应</w:t>
      </w:r>
      <w:r>
        <w:rPr>
          <w:color w:val="auto"/>
          <w:highlight w:val="none"/>
          <w:lang w:val="en-US"/>
        </w:rPr>
        <w:t>产品类别如为政府强制采购产品类别的，须按照要求提供依据国家确定的认证机构出具的、处于有效期之内的节能产品或环境标志产品认证证书，否则</w:t>
      </w:r>
      <w:r>
        <w:rPr>
          <w:rFonts w:hint="eastAsia"/>
          <w:color w:val="auto"/>
          <w:highlight w:val="none"/>
          <w:lang w:val="en-US"/>
        </w:rPr>
        <w:t>响应</w:t>
      </w:r>
      <w:r>
        <w:rPr>
          <w:color w:val="auto"/>
          <w:highlight w:val="none"/>
          <w:lang w:val="en-US"/>
        </w:rPr>
        <w:t>无效；如为政府优先采购产品类别的，须按照要求提供依据国家确定的认证机构出具的、处于有效期之内的节能产品或环境标志产品认证证书，否则不予认定。</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响应产品已获得有效的</w:t>
      </w:r>
      <w:r>
        <w:rPr>
          <w:color w:val="auto"/>
          <w:highlight w:val="none"/>
          <w:lang w:val="en-US"/>
        </w:rPr>
        <w:t>节能产品或环境标志产品认证证书</w:t>
      </w:r>
      <w:r>
        <w:rPr>
          <w:rFonts w:hint="eastAsia"/>
          <w:color w:val="auto"/>
          <w:highlight w:val="none"/>
          <w:lang w:val="en-US"/>
        </w:rPr>
        <w:t>的，供应商应在响应时提供，警采中心将在“电子卖场交易平台”相应的产品介绍页面进行公示，以便采购人优先采购。</w:t>
      </w:r>
    </w:p>
    <w:p>
      <w:pPr>
        <w:pStyle w:val="5"/>
        <w:keepNext w:val="0"/>
        <w:keepLines w:val="0"/>
        <w:widowControl w:val="0"/>
        <w:spacing w:before="120"/>
        <w:rPr>
          <w:highlight w:val="none"/>
        </w:rPr>
      </w:pPr>
      <w:r>
        <w:rPr>
          <w:highlight w:val="none"/>
        </w:rPr>
        <w:t>*其他要求</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①</w:t>
      </w:r>
      <w:r>
        <w:rPr>
          <w:color w:val="auto"/>
          <w:highlight w:val="none"/>
          <w:lang w:val="en-US"/>
        </w:rPr>
        <w:t>本项目不允许进口产品</w:t>
      </w:r>
      <w:r>
        <w:rPr>
          <w:rFonts w:hint="eastAsia"/>
          <w:color w:val="auto"/>
          <w:highlight w:val="none"/>
          <w:lang w:val="en-US"/>
        </w:rPr>
        <w:t>响应</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②供应商响应的货物和服务的技术、商务等条件不得低于采购需求，货物原则上应当是市场上已有销售的规格型号，不得是专供政府采购的产品。</w:t>
      </w:r>
    </w:p>
    <w:p>
      <w:pPr>
        <w:pStyle w:val="4"/>
        <w:keepNext w:val="0"/>
        <w:keepLines w:val="0"/>
        <w:spacing w:before="120"/>
        <w:ind w:left="320" w:hanging="320"/>
        <w:jc w:val="both"/>
        <w:rPr>
          <w:highlight w:val="none"/>
        </w:rPr>
      </w:pPr>
      <w:bookmarkStart w:id="129" w:name="_Toc142051473"/>
      <w:r>
        <w:rPr>
          <w:highlight w:val="none"/>
        </w:rPr>
        <w:t>响应文件的组成</w:t>
      </w:r>
      <w:bookmarkEnd w:id="129"/>
    </w:p>
    <w:p>
      <w:pPr>
        <w:pStyle w:val="256"/>
        <w:keepNext w:val="0"/>
        <w:keepLines w:val="0"/>
        <w:widowControl w:val="0"/>
        <w:spacing w:after="0" w:afterLines="0"/>
        <w:ind w:left="0" w:firstLine="420" w:firstLineChars="200"/>
        <w:rPr>
          <w:b/>
          <w:color w:val="auto"/>
          <w:highlight w:val="none"/>
          <w:lang w:val="en-US"/>
        </w:rPr>
      </w:pPr>
      <w:r>
        <w:rPr>
          <w:rFonts w:eastAsia="黑体"/>
          <w:color w:val="auto"/>
          <w:highlight w:val="none"/>
          <w:lang w:val="en-US"/>
        </w:rPr>
        <w:t>下述加</w:t>
      </w:r>
      <w:r>
        <w:rPr>
          <w:color w:val="auto"/>
          <w:highlight w:val="none"/>
          <w:lang w:val="en-US"/>
        </w:rPr>
        <w:t>“*”</w:t>
      </w:r>
      <w:r>
        <w:rPr>
          <w:rFonts w:eastAsia="黑体"/>
          <w:color w:val="auto"/>
          <w:highlight w:val="none"/>
          <w:lang w:val="en-US"/>
        </w:rPr>
        <w:t>项若有缺失、虚假或无效，</w:t>
      </w:r>
      <w:r>
        <w:rPr>
          <w:rFonts w:hint="eastAsia" w:eastAsia="黑体"/>
          <w:color w:val="auto"/>
          <w:highlight w:val="none"/>
          <w:lang w:val="en-US"/>
        </w:rPr>
        <w:t>响应</w:t>
      </w:r>
      <w:r>
        <w:rPr>
          <w:rFonts w:eastAsia="黑体"/>
          <w:color w:val="auto"/>
          <w:highlight w:val="none"/>
          <w:lang w:val="en-US"/>
        </w:rPr>
        <w:t>将被拒绝；供应商须保证响应文件所提供的全部资料真实可靠，并接受</w:t>
      </w:r>
      <w:r>
        <w:rPr>
          <w:rFonts w:hint="eastAsia" w:eastAsia="黑体"/>
          <w:color w:val="auto"/>
          <w:highlight w:val="none"/>
          <w:lang w:val="en-US"/>
        </w:rPr>
        <w:t>评审小组</w:t>
      </w:r>
      <w:r>
        <w:rPr>
          <w:rFonts w:eastAsia="黑体"/>
          <w:color w:val="auto"/>
          <w:highlight w:val="none"/>
          <w:lang w:val="en-US"/>
        </w:rPr>
        <w:t>对其中任何资料进一步原件审查的要求。</w:t>
      </w:r>
      <w:r>
        <w:rPr>
          <w:rFonts w:hint="eastAsia" w:eastAsia="黑体"/>
          <w:color w:val="auto"/>
          <w:highlight w:val="none"/>
          <w:lang w:val="en-US"/>
        </w:rPr>
        <w:t>供应商应对响应文件的真实性和合法性承担法律责任。</w:t>
      </w:r>
      <w:r>
        <w:rPr>
          <w:b/>
          <w:color w:val="auto"/>
          <w:highlight w:val="none"/>
          <w:lang w:val="en-US"/>
        </w:rPr>
        <w:t>响应文件中若有虚假材料，将</w:t>
      </w:r>
      <w:r>
        <w:rPr>
          <w:rFonts w:hint="eastAsia"/>
          <w:b/>
          <w:color w:val="auto"/>
          <w:highlight w:val="none"/>
          <w:lang w:val="en-US"/>
        </w:rPr>
        <w:t>报政府采购监督管理部门依法处理</w:t>
      </w:r>
      <w:r>
        <w:rPr>
          <w:b/>
          <w:color w:val="auto"/>
          <w:highlight w:val="none"/>
          <w:lang w:val="en-US"/>
        </w:rPr>
        <w:t>。</w:t>
      </w:r>
    </w:p>
    <w:p>
      <w:pPr>
        <w:pStyle w:val="5"/>
        <w:keepNext w:val="0"/>
        <w:keepLines w:val="0"/>
        <w:widowControl w:val="0"/>
        <w:spacing w:before="120"/>
        <w:rPr>
          <w:highlight w:val="none"/>
        </w:rPr>
      </w:pPr>
      <w:r>
        <w:rPr>
          <w:highlight w:val="none"/>
        </w:rPr>
        <w:t>生产制造企业</w:t>
      </w:r>
    </w:p>
    <w:p>
      <w:pPr>
        <w:pStyle w:val="256"/>
        <w:keepNext w:val="0"/>
        <w:keepLines w:val="0"/>
        <w:widowControl w:val="0"/>
        <w:spacing w:after="0" w:afterLines="0"/>
        <w:ind w:left="0" w:firstLine="420" w:firstLineChars="200"/>
        <w:rPr>
          <w:color w:val="auto"/>
          <w:highlight w:val="none"/>
          <w:lang w:val="en-US"/>
        </w:rPr>
      </w:pPr>
      <w:r>
        <w:rPr>
          <w:highlight w:val="none"/>
        </w:rPr>
        <w:t>1.</w:t>
      </w:r>
      <w:r>
        <w:rPr>
          <w:color w:val="auto"/>
          <w:highlight w:val="none"/>
          <w:lang w:val="en-US"/>
        </w:rPr>
        <w:t xml:space="preserve"> *承诺函，详见附件5.3；</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2. *法定代表人授权委托书（须同时提供法定代表人和被授权人的身份证</w:t>
      </w:r>
      <w:r>
        <w:rPr>
          <w:rFonts w:hint="eastAsia"/>
          <w:color w:val="auto"/>
          <w:highlight w:val="none"/>
          <w:lang w:val="en-US"/>
        </w:rPr>
        <w:t>扫描件</w:t>
      </w:r>
      <w:r>
        <w:rPr>
          <w:color w:val="auto"/>
          <w:highlight w:val="none"/>
          <w:lang w:val="en-US"/>
        </w:rPr>
        <w:t>；若法定代表人直接参与</w:t>
      </w:r>
      <w:r>
        <w:rPr>
          <w:rFonts w:hint="eastAsia"/>
          <w:color w:val="auto"/>
          <w:highlight w:val="none"/>
          <w:lang w:val="en-US"/>
        </w:rPr>
        <w:t>响应</w:t>
      </w:r>
      <w:r>
        <w:rPr>
          <w:color w:val="auto"/>
          <w:highlight w:val="none"/>
          <w:lang w:val="en-US"/>
        </w:rPr>
        <w:t>，则仅需提供法定代表人身份证扫描件），详见附件5.4；</w:t>
      </w:r>
    </w:p>
    <w:p>
      <w:pPr>
        <w:pStyle w:val="256"/>
        <w:keepNext w:val="0"/>
        <w:keepLines w:val="0"/>
        <w:widowControl w:val="0"/>
        <w:spacing w:after="0" w:afterLines="0"/>
        <w:ind w:left="0" w:firstLine="420" w:firstLineChars="200"/>
        <w:rPr>
          <w:color w:val="auto"/>
          <w:highlight w:val="none"/>
          <w:lang w:val="en-US"/>
        </w:rPr>
      </w:pPr>
      <w:r>
        <w:rPr>
          <w:highlight w:val="none"/>
        </w:rPr>
        <w:t xml:space="preserve">3. </w:t>
      </w:r>
      <w:r>
        <w:rPr>
          <w:color w:val="auto"/>
          <w:highlight w:val="none"/>
          <w:lang w:val="en-US"/>
        </w:rPr>
        <w:t>*有效的企业法人营业执照/事业单位法人证书副本扫描件，并加盖供应商公章；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4. *提供自2022年12月1日起至响应截止之日内连续3个月的纳税证明材料并加盖供应商公章；如至评审之日成立不足三个月的新企业，应出具本企业将依法纳税的声明承诺函加盖供应商公章；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 xml:space="preserve">5. </w:t>
      </w:r>
      <w:r>
        <w:rPr>
          <w:color w:val="auto"/>
          <w:highlight w:val="none"/>
          <w:lang w:val="en-US"/>
        </w:rPr>
        <w:t>*提供自2022年12月1日起至响应截止之日内连续3个月</w:t>
      </w:r>
      <w:r>
        <w:rPr>
          <w:highlight w:val="none"/>
          <w:lang w:val="en-US"/>
        </w:rPr>
        <w:t>的列有企业人员名单</w:t>
      </w:r>
      <w:r>
        <w:rPr>
          <w:color w:val="auto"/>
          <w:highlight w:val="none"/>
          <w:lang w:val="en-US"/>
        </w:rPr>
        <w:t>的社保缴费记录证明文件扫描件加盖供应商公章；如至评审之日成立不足三个月的新企业，应出具本企业将依法缴纳社保的声明承诺函加盖供应商公章；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6. *提供会计师事务所出具的</w:t>
      </w:r>
      <w:r>
        <w:rPr>
          <w:rFonts w:hint="eastAsia"/>
          <w:color w:val="auto"/>
          <w:highlight w:val="none"/>
          <w:lang w:val="en-US"/>
        </w:rPr>
        <w:t>2021年或2022年审计报告</w:t>
      </w:r>
      <w:r>
        <w:rPr>
          <w:color w:val="auto"/>
          <w:highlight w:val="none"/>
          <w:lang w:val="en-US"/>
        </w:rPr>
        <w:t>（审计报告、财务报表及附注）</w:t>
      </w:r>
      <w:r>
        <w:rPr>
          <w:rFonts w:hint="eastAsia"/>
          <w:color w:val="auto"/>
          <w:highlight w:val="none"/>
          <w:lang w:val="en-US"/>
        </w:rPr>
        <w:t>扫描件</w:t>
      </w:r>
      <w:r>
        <w:rPr>
          <w:color w:val="auto"/>
          <w:highlight w:val="none"/>
          <w:lang w:val="en-US"/>
        </w:rPr>
        <w:t>加盖</w:t>
      </w:r>
      <w:r>
        <w:rPr>
          <w:rFonts w:hint="eastAsia"/>
          <w:color w:val="auto"/>
          <w:highlight w:val="none"/>
          <w:lang w:val="en-US"/>
        </w:rPr>
        <w:t>供应商公章</w:t>
      </w:r>
      <w:r>
        <w:rPr>
          <w:color w:val="auto"/>
          <w:highlight w:val="none"/>
          <w:lang w:val="en-US"/>
        </w:rPr>
        <w:t>，开业不足一年的可出具基本账户开户银行出具的资信证明；</w:t>
      </w:r>
    </w:p>
    <w:p>
      <w:pPr>
        <w:pStyle w:val="256"/>
        <w:keepNext w:val="0"/>
        <w:keepLines w:val="0"/>
        <w:widowControl w:val="0"/>
        <w:spacing w:after="0" w:afterLines="0"/>
        <w:ind w:left="0" w:firstLine="420" w:firstLineChars="200"/>
        <w:rPr>
          <w:highlight w:val="none"/>
        </w:rPr>
      </w:pPr>
      <w:r>
        <w:rPr>
          <w:color w:val="auto"/>
          <w:highlight w:val="none"/>
          <w:lang w:val="en-US"/>
        </w:rPr>
        <w:t>7.*生产制造企业承诺函，详见附件5.5；</w:t>
      </w:r>
    </w:p>
    <w:p>
      <w:pPr>
        <w:pStyle w:val="256"/>
        <w:keepNext w:val="0"/>
        <w:keepLines w:val="0"/>
        <w:widowControl w:val="0"/>
        <w:spacing w:after="0" w:afterLines="0"/>
        <w:ind w:left="0" w:firstLine="420" w:firstLineChars="200"/>
        <w:rPr>
          <w:highlight w:val="none"/>
          <w:lang w:val="en-US"/>
        </w:rPr>
      </w:pPr>
      <w:r>
        <w:rPr>
          <w:color w:val="auto"/>
          <w:highlight w:val="none"/>
          <w:lang w:val="en-US"/>
        </w:rPr>
        <w:t>8. *</w:t>
      </w:r>
      <w:r>
        <w:rPr>
          <w:highlight w:val="none"/>
          <w:lang w:val="en-US"/>
        </w:rPr>
        <w:t>房产证或租赁合同或其他有效的生产场地证明文件，扫描件加盖供应商公章；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9.*</w:t>
      </w:r>
      <w:r>
        <w:rPr>
          <w:color w:val="auto"/>
          <w:highlight w:val="none"/>
          <w:lang w:val="en-US"/>
        </w:rPr>
        <w:t>提供由国家认证认可监督管理委员会资质审批的认证机构出具的《质量管理体系（ISO9001或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产品的生产制造</w:t>
      </w:r>
      <w:r>
        <w:rPr>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10. *报价一览表：供应商如实填报所</w:t>
      </w:r>
      <w:r>
        <w:rPr>
          <w:rFonts w:hint="eastAsia"/>
          <w:color w:val="auto"/>
          <w:highlight w:val="none"/>
          <w:lang w:val="en-US"/>
        </w:rPr>
        <w:t>响应</w:t>
      </w:r>
      <w:r>
        <w:rPr>
          <w:color w:val="auto"/>
          <w:highlight w:val="none"/>
          <w:lang w:val="en-US"/>
        </w:rPr>
        <w:t>产品的品牌、规格型号、价格等，详见附件5.7；</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11. *</w:t>
      </w:r>
      <w:r>
        <w:rPr>
          <w:rFonts w:hint="eastAsia"/>
          <w:color w:val="auto"/>
          <w:highlight w:val="none"/>
          <w:lang w:val="en-US"/>
        </w:rPr>
        <w:t>供应商须提供所投产品由国家认证认可监督管理委员会资质认定的检验机构</w:t>
      </w:r>
      <w:r>
        <w:rPr>
          <w:color w:val="auto"/>
          <w:highlight w:val="none"/>
          <w:lang w:val="en-US"/>
        </w:rPr>
        <w:t>出具的自2019年1月1日起至响应截止之日的合格检验报告，</w:t>
      </w:r>
      <w:r>
        <w:rPr>
          <w:b/>
          <w:color w:val="auto"/>
          <w:highlight w:val="none"/>
          <w:lang w:val="en-US"/>
        </w:rPr>
        <w:t>送检人必须是</w:t>
      </w:r>
      <w:r>
        <w:rPr>
          <w:rFonts w:hint="eastAsia"/>
          <w:b/>
          <w:color w:val="auto"/>
          <w:highlight w:val="none"/>
          <w:lang w:val="en-US"/>
        </w:rPr>
        <w:t>响应</w:t>
      </w:r>
      <w:r>
        <w:rPr>
          <w:b/>
          <w:color w:val="auto"/>
          <w:highlight w:val="none"/>
          <w:lang w:val="en-US"/>
        </w:rPr>
        <w:t>供应商</w:t>
      </w:r>
      <w:r>
        <w:rPr>
          <w:color w:val="auto"/>
          <w:highlight w:val="none"/>
          <w:lang w:val="en-US"/>
        </w:rPr>
        <w:t>。扫描件加盖供应商公章；</w:t>
      </w:r>
    </w:p>
    <w:p>
      <w:pPr>
        <w:pStyle w:val="256"/>
        <w:keepNext w:val="0"/>
        <w:keepLines w:val="0"/>
        <w:widowControl w:val="0"/>
        <w:spacing w:after="0" w:afterLines="0"/>
        <w:ind w:left="0" w:firstLine="420" w:firstLineChars="200"/>
        <w:rPr>
          <w:b/>
          <w:color w:val="auto"/>
          <w:highlight w:val="none"/>
          <w:lang w:val="en-US"/>
        </w:rPr>
      </w:pPr>
      <w:r>
        <w:rPr>
          <w:rFonts w:hint="eastAsia"/>
          <w:color w:val="auto"/>
          <w:highlight w:val="none"/>
          <w:lang w:val="en-US"/>
        </w:rPr>
        <w:t>12.</w:t>
      </w:r>
      <w:r>
        <w:rPr>
          <w:color w:val="auto"/>
          <w:highlight w:val="none"/>
          <w:lang w:val="en-US"/>
        </w:rPr>
        <w:t xml:space="preserve"> </w:t>
      </w:r>
      <w:r>
        <w:rPr>
          <w:rFonts w:hint="eastAsia"/>
          <w:color w:val="auto"/>
          <w:highlight w:val="none"/>
          <w:lang w:val="en-US"/>
        </w:rPr>
        <w:t>*产品技术规范偏离表，</w:t>
      </w:r>
      <w:r>
        <w:rPr>
          <w:color w:val="auto"/>
          <w:highlight w:val="none"/>
          <w:lang w:val="en-US"/>
        </w:rPr>
        <w:t>格式详见附件</w:t>
      </w:r>
      <w:r>
        <w:rPr>
          <w:rFonts w:hint="eastAsia"/>
          <w:color w:val="auto"/>
          <w:highlight w:val="none"/>
          <w:lang w:val="en-US"/>
        </w:rPr>
        <w:t>5.8；</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13. *提供</w:t>
      </w:r>
      <w:r>
        <w:rPr>
          <w:rFonts w:hint="eastAsia"/>
          <w:color w:val="auto"/>
          <w:highlight w:val="none"/>
          <w:lang w:val="en-US"/>
        </w:rPr>
        <w:t>响应</w:t>
      </w:r>
      <w:r>
        <w:rPr>
          <w:color w:val="auto"/>
          <w:highlight w:val="none"/>
          <w:lang w:val="en-US"/>
        </w:rPr>
        <w:t>产品含规格型号、参数配置和性能描述等内容的技术文件；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14. *按照采购需求</w:t>
      </w:r>
      <w:r>
        <w:rPr>
          <w:rFonts w:hint="eastAsia" w:ascii="宋体" w:hAnsi="宋体" w:cs="宋体"/>
          <w:color w:val="auto"/>
          <w:highlight w:val="none"/>
          <w:lang w:val="en-US"/>
        </w:rPr>
        <w:t>“</w:t>
      </w:r>
      <w:r>
        <w:rPr>
          <w:color w:val="auto"/>
          <w:highlight w:val="none"/>
          <w:lang w:val="en-US"/>
        </w:rPr>
        <w:t>1.5服务要求</w:t>
      </w:r>
      <w:r>
        <w:rPr>
          <w:rFonts w:hint="eastAsia" w:ascii="宋体" w:hAnsi="宋体" w:cs="宋体"/>
          <w:color w:val="auto"/>
          <w:highlight w:val="none"/>
          <w:lang w:val="en-US"/>
        </w:rPr>
        <w:t>”</w:t>
      </w:r>
      <w:r>
        <w:rPr>
          <w:color w:val="auto"/>
          <w:highlight w:val="none"/>
          <w:lang w:val="en-US"/>
        </w:rPr>
        <w:t>，提供详细的服务相关材料，详见附件5.9；</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15. *</w:t>
      </w:r>
      <w:r>
        <w:rPr>
          <w:rFonts w:hint="eastAsia"/>
          <w:color w:val="auto"/>
          <w:highlight w:val="none"/>
          <w:lang w:val="en-US"/>
        </w:rPr>
        <w:t>响应</w:t>
      </w:r>
      <w:r>
        <w:rPr>
          <w:color w:val="auto"/>
          <w:highlight w:val="none"/>
          <w:lang w:val="en-US"/>
        </w:rPr>
        <w:t>产品如符合本章</w:t>
      </w:r>
      <w:r>
        <w:rPr>
          <w:rFonts w:hint="eastAsia" w:ascii="宋体" w:hAnsi="宋体" w:cs="宋体"/>
          <w:color w:val="auto"/>
          <w:highlight w:val="none"/>
          <w:lang w:val="en-US"/>
        </w:rPr>
        <w:t>“</w:t>
      </w:r>
      <w:r>
        <w:rPr>
          <w:color w:val="auto"/>
          <w:highlight w:val="none"/>
          <w:lang w:val="en-US"/>
        </w:rPr>
        <w:t>3.2.2、3.2.3、3.2.4</w:t>
      </w:r>
      <w:r>
        <w:rPr>
          <w:rFonts w:hint="eastAsia" w:ascii="宋体" w:hAnsi="宋体" w:cs="宋体"/>
          <w:color w:val="auto"/>
          <w:highlight w:val="none"/>
          <w:lang w:val="en-US"/>
        </w:rPr>
        <w:t>”</w:t>
      </w:r>
      <w:r>
        <w:rPr>
          <w:color w:val="auto"/>
          <w:highlight w:val="none"/>
          <w:lang w:val="en-US"/>
        </w:rPr>
        <w:t>的相关要求，供应商须提供相关资质文件；</w:t>
      </w:r>
    </w:p>
    <w:p>
      <w:pPr>
        <w:pStyle w:val="256"/>
        <w:keepNext w:val="0"/>
        <w:keepLines w:val="0"/>
        <w:widowControl w:val="0"/>
        <w:spacing w:after="0" w:afterLines="0"/>
        <w:ind w:left="0" w:firstLine="420" w:firstLineChars="200"/>
        <w:rPr>
          <w:highlight w:val="none"/>
          <w:lang w:val="en-US"/>
        </w:rPr>
      </w:pPr>
      <w:r>
        <w:rPr>
          <w:color w:val="auto"/>
          <w:highlight w:val="none"/>
          <w:lang w:val="en-US"/>
        </w:rPr>
        <w:t>16.</w:t>
      </w:r>
      <w:r>
        <w:rPr>
          <w:highlight w:val="none"/>
          <w:lang w:val="en-US"/>
        </w:rPr>
        <w:t xml:space="preserve"> 由国家知识产权局或原商标局颁发的商标注册证</w:t>
      </w:r>
      <w:r>
        <w:rPr>
          <w:rFonts w:hint="eastAsia"/>
          <w:highlight w:val="none"/>
          <w:lang w:val="en-US"/>
        </w:rPr>
        <w:t>，</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17. 中小企业声明函，格式详见附件5.1</w:t>
      </w:r>
      <w:r>
        <w:rPr>
          <w:rFonts w:hint="eastAsia"/>
          <w:color w:val="auto"/>
          <w:highlight w:val="none"/>
          <w:lang w:val="en-US"/>
        </w:rPr>
        <w:t>0</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w:t>
      </w:r>
      <w:r>
        <w:rPr>
          <w:rFonts w:hint="eastAsia"/>
          <w:color w:val="auto"/>
          <w:highlight w:val="none"/>
          <w:lang w:val="en-US"/>
        </w:rPr>
        <w:t>8</w:t>
      </w:r>
      <w:r>
        <w:rPr>
          <w:color w:val="auto"/>
          <w:highlight w:val="none"/>
          <w:lang w:val="en-US"/>
        </w:rPr>
        <w:t>. 残疾人福利性单位声明函，格式详见附件5.1</w:t>
      </w:r>
      <w:r>
        <w:rPr>
          <w:rFonts w:hint="eastAsia"/>
          <w:color w:val="auto"/>
          <w:highlight w:val="none"/>
          <w:lang w:val="en-US"/>
        </w:rPr>
        <w:t>1</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19</w:t>
      </w:r>
      <w:r>
        <w:rPr>
          <w:color w:val="auto"/>
          <w:highlight w:val="none"/>
          <w:lang w:val="en-US"/>
        </w:rPr>
        <w:t>. 供应商认为与</w:t>
      </w:r>
      <w:r>
        <w:rPr>
          <w:rFonts w:hint="eastAsia"/>
          <w:color w:val="auto"/>
          <w:highlight w:val="none"/>
          <w:lang w:val="en-US"/>
        </w:rPr>
        <w:t>本项目</w:t>
      </w:r>
      <w:r>
        <w:rPr>
          <w:color w:val="auto"/>
          <w:highlight w:val="none"/>
          <w:lang w:val="en-US"/>
        </w:rPr>
        <w:t>相关的其他文件。</w:t>
      </w:r>
    </w:p>
    <w:p>
      <w:pPr>
        <w:pStyle w:val="5"/>
        <w:keepNext w:val="0"/>
        <w:keepLines w:val="0"/>
        <w:widowControl w:val="0"/>
        <w:spacing w:before="120"/>
        <w:rPr>
          <w:highlight w:val="none"/>
        </w:rPr>
      </w:pPr>
      <w:r>
        <w:rPr>
          <w:highlight w:val="none"/>
        </w:rPr>
        <w:t>研发设计企业</w:t>
      </w:r>
    </w:p>
    <w:p>
      <w:pPr>
        <w:pStyle w:val="256"/>
        <w:keepNext w:val="0"/>
        <w:keepLines w:val="0"/>
        <w:widowControl w:val="0"/>
        <w:spacing w:after="0" w:afterLines="0"/>
        <w:ind w:left="0" w:firstLine="420" w:firstLineChars="200"/>
        <w:rPr>
          <w:color w:val="auto"/>
          <w:highlight w:val="none"/>
          <w:lang w:val="en-US"/>
        </w:rPr>
      </w:pPr>
      <w:r>
        <w:rPr>
          <w:highlight w:val="none"/>
        </w:rPr>
        <w:t>1.</w:t>
      </w:r>
      <w:r>
        <w:rPr>
          <w:color w:val="auto"/>
          <w:highlight w:val="none"/>
          <w:lang w:val="en-US"/>
        </w:rPr>
        <w:t xml:space="preserve"> *承诺函，详见附件5.3；</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2. *法定代表人授权委托书（须同时提供法定代表人和被授权人的身份证扫描件；若法定代表人直接参与</w:t>
      </w:r>
      <w:r>
        <w:rPr>
          <w:rFonts w:hint="eastAsia"/>
          <w:color w:val="auto"/>
          <w:highlight w:val="none"/>
          <w:lang w:val="en-US"/>
        </w:rPr>
        <w:t>响应</w:t>
      </w:r>
      <w:r>
        <w:rPr>
          <w:color w:val="auto"/>
          <w:highlight w:val="none"/>
          <w:lang w:val="en-US"/>
        </w:rPr>
        <w:t>，则仅需提供法定代表人身份证扫描件），详见附件5.4；</w:t>
      </w:r>
    </w:p>
    <w:p>
      <w:pPr>
        <w:pStyle w:val="256"/>
        <w:keepNext w:val="0"/>
        <w:keepLines w:val="0"/>
        <w:widowControl w:val="0"/>
        <w:spacing w:after="0" w:afterLines="0"/>
        <w:ind w:left="0" w:firstLine="420" w:firstLineChars="200"/>
        <w:rPr>
          <w:color w:val="auto"/>
          <w:highlight w:val="none"/>
          <w:lang w:val="en-US"/>
        </w:rPr>
      </w:pPr>
      <w:r>
        <w:rPr>
          <w:highlight w:val="none"/>
        </w:rPr>
        <w:t xml:space="preserve">3. </w:t>
      </w:r>
      <w:r>
        <w:rPr>
          <w:color w:val="auto"/>
          <w:highlight w:val="none"/>
          <w:lang w:val="en-US"/>
        </w:rPr>
        <w:t>*有效的企业法人营业执照/事业单位法人证书副本扫描件，并加盖供应商公章；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4. *提供自2022年12月1日起至响应截止之日内连续3个月的纳税证明材料并加盖供应商公章；如至评审之日成立不足三个月的新企业，应出具本企业将依法纳税的声明承诺函加盖供应商公章；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 xml:space="preserve">5. </w:t>
      </w:r>
      <w:r>
        <w:rPr>
          <w:color w:val="auto"/>
          <w:highlight w:val="none"/>
          <w:lang w:val="en-US"/>
        </w:rPr>
        <w:t>*提供自2022年12月1日起至响应截止之日内连续3个月</w:t>
      </w:r>
      <w:r>
        <w:rPr>
          <w:highlight w:val="none"/>
          <w:lang w:val="en-US"/>
        </w:rPr>
        <w:t>的列有企业人员名单</w:t>
      </w:r>
      <w:r>
        <w:rPr>
          <w:color w:val="auto"/>
          <w:highlight w:val="none"/>
          <w:lang w:val="en-US"/>
        </w:rPr>
        <w:t>的社保缴费记录证明文件扫描件加盖供应商公章；如至评审之日成立不足三个月的新企业，应出具本企业将依法缴纳社保的声明承诺函加盖供应商公章；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6. *提供会计师事务所出具的</w:t>
      </w:r>
      <w:r>
        <w:rPr>
          <w:rFonts w:hint="eastAsia"/>
          <w:color w:val="auto"/>
          <w:highlight w:val="none"/>
          <w:lang w:val="en-US"/>
        </w:rPr>
        <w:t>2021年或2022年审计报告</w:t>
      </w:r>
      <w:r>
        <w:rPr>
          <w:color w:val="auto"/>
          <w:highlight w:val="none"/>
          <w:lang w:val="en-US"/>
        </w:rPr>
        <w:t>（审计报告、财务报表及附注）</w:t>
      </w:r>
      <w:r>
        <w:rPr>
          <w:rFonts w:hint="eastAsia"/>
          <w:color w:val="auto"/>
          <w:highlight w:val="none"/>
          <w:lang w:val="en-US"/>
        </w:rPr>
        <w:t>扫描件</w:t>
      </w:r>
      <w:r>
        <w:rPr>
          <w:color w:val="auto"/>
          <w:highlight w:val="none"/>
          <w:lang w:val="en-US"/>
        </w:rPr>
        <w:t>加盖</w:t>
      </w:r>
      <w:r>
        <w:rPr>
          <w:rFonts w:hint="eastAsia"/>
          <w:color w:val="auto"/>
          <w:highlight w:val="none"/>
          <w:lang w:val="en-US"/>
        </w:rPr>
        <w:t>供应商公章</w:t>
      </w:r>
      <w:r>
        <w:rPr>
          <w:color w:val="auto"/>
          <w:highlight w:val="none"/>
          <w:lang w:val="en-US"/>
        </w:rPr>
        <w:t>，开业不足一年的可出具基本账户开户银行出具的资信证明；</w:t>
      </w:r>
    </w:p>
    <w:p>
      <w:pPr>
        <w:pStyle w:val="256"/>
        <w:keepNext w:val="0"/>
        <w:keepLines w:val="0"/>
        <w:widowControl w:val="0"/>
        <w:spacing w:after="0" w:afterLines="0"/>
        <w:ind w:left="0" w:firstLine="420" w:firstLineChars="200"/>
        <w:rPr>
          <w:highlight w:val="none"/>
        </w:rPr>
      </w:pPr>
      <w:r>
        <w:rPr>
          <w:color w:val="auto"/>
          <w:highlight w:val="none"/>
          <w:lang w:val="en-US"/>
        </w:rPr>
        <w:t>7. *研发设计企业承诺函，详见附件5.6；</w:t>
      </w:r>
    </w:p>
    <w:p>
      <w:pPr>
        <w:pStyle w:val="256"/>
        <w:keepNext w:val="0"/>
        <w:keepLines w:val="0"/>
        <w:widowControl w:val="0"/>
        <w:spacing w:after="0" w:afterLines="0"/>
        <w:ind w:left="0" w:firstLine="420" w:firstLineChars="200"/>
        <w:rPr>
          <w:highlight w:val="none"/>
        </w:rPr>
      </w:pPr>
      <w:r>
        <w:rPr>
          <w:color w:val="auto"/>
          <w:highlight w:val="none"/>
          <w:lang w:val="en-US"/>
        </w:rPr>
        <w:t>8. *</w:t>
      </w:r>
      <w:r>
        <w:rPr>
          <w:highlight w:val="none"/>
        </w:rPr>
        <w:t>委托加工合同或代理协议书,</w:t>
      </w:r>
      <w:r>
        <w:rPr>
          <w:color w:val="auto"/>
          <w:highlight w:val="none"/>
          <w:lang w:val="en-US"/>
        </w:rPr>
        <w:t xml:space="preserve"> 扫描件加盖供应商公章；</w:t>
      </w:r>
      <w:r>
        <w:rPr>
          <w:highlight w:val="none"/>
        </w:rPr>
        <w:t xml:space="preserve"> </w:t>
      </w:r>
    </w:p>
    <w:p>
      <w:pPr>
        <w:pStyle w:val="256"/>
        <w:keepNext w:val="0"/>
        <w:keepLines w:val="0"/>
        <w:widowControl w:val="0"/>
        <w:spacing w:after="0" w:afterLines="0"/>
        <w:ind w:left="0" w:firstLine="420" w:firstLineChars="200"/>
        <w:rPr>
          <w:highlight w:val="none"/>
          <w:lang w:val="en-US"/>
        </w:rPr>
      </w:pPr>
      <w:r>
        <w:rPr>
          <w:highlight w:val="none"/>
        </w:rPr>
        <w:t>9. *</w:t>
      </w:r>
      <w:r>
        <w:rPr>
          <w:color w:val="auto"/>
          <w:highlight w:val="none"/>
          <w:lang w:val="en-US"/>
        </w:rPr>
        <w:t>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产品的研发设计</w:t>
      </w:r>
      <w:r>
        <w:rPr>
          <w:highlight w:val="none"/>
          <w:lang w:val="en-US"/>
        </w:rPr>
        <w:t>；</w:t>
      </w:r>
    </w:p>
    <w:p>
      <w:pPr>
        <w:pStyle w:val="256"/>
        <w:keepNext w:val="0"/>
        <w:keepLines w:val="0"/>
        <w:widowControl w:val="0"/>
        <w:spacing w:after="0" w:afterLines="0"/>
        <w:ind w:left="0" w:firstLine="420" w:firstLineChars="200"/>
        <w:rPr>
          <w:highlight w:val="none"/>
          <w:lang w:val="en-US"/>
        </w:rPr>
      </w:pPr>
      <w:r>
        <w:rPr>
          <w:highlight w:val="none"/>
          <w:lang w:val="en-US"/>
        </w:rPr>
        <w:t>10. *由国家知识产权局或原商标局颁发的商标注册证</w:t>
      </w:r>
      <w:r>
        <w:rPr>
          <w:rFonts w:hint="eastAsia"/>
          <w:highlight w:val="none"/>
          <w:lang w:val="en-US"/>
        </w:rPr>
        <w:t>，</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11.*报价一览表。供应商如实填报所</w:t>
      </w:r>
      <w:r>
        <w:rPr>
          <w:rFonts w:hint="eastAsia"/>
          <w:color w:val="auto"/>
          <w:highlight w:val="none"/>
          <w:lang w:val="en-US"/>
        </w:rPr>
        <w:t>响应</w:t>
      </w:r>
      <w:r>
        <w:rPr>
          <w:color w:val="auto"/>
          <w:highlight w:val="none"/>
          <w:lang w:val="en-US"/>
        </w:rPr>
        <w:t>产品的品牌、规格型号、价格等。详见附件5.7；</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 xml:space="preserve">12.* </w:t>
      </w:r>
      <w:r>
        <w:rPr>
          <w:rFonts w:hint="eastAsia"/>
          <w:color w:val="auto"/>
          <w:highlight w:val="none"/>
          <w:lang w:val="en-US"/>
        </w:rPr>
        <w:t>供应商须提供所投产品由国家认证认可监督管理委员会资质认定的检验机构</w:t>
      </w:r>
      <w:r>
        <w:rPr>
          <w:color w:val="auto"/>
          <w:highlight w:val="none"/>
          <w:lang w:val="en-US"/>
        </w:rPr>
        <w:t>出具的自2019年1月1日起至响应截止之日的合格检验报告，</w:t>
      </w:r>
      <w:r>
        <w:rPr>
          <w:b/>
          <w:color w:val="auto"/>
          <w:highlight w:val="none"/>
          <w:lang w:val="en-US"/>
        </w:rPr>
        <w:t>送检人必须是</w:t>
      </w:r>
      <w:r>
        <w:rPr>
          <w:rFonts w:hint="eastAsia"/>
          <w:b/>
          <w:color w:val="auto"/>
          <w:highlight w:val="none"/>
          <w:lang w:val="en-US"/>
        </w:rPr>
        <w:t>响应</w:t>
      </w:r>
      <w:r>
        <w:rPr>
          <w:b/>
          <w:color w:val="auto"/>
          <w:highlight w:val="none"/>
          <w:lang w:val="en-US"/>
        </w:rPr>
        <w:t>供应商</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w:t>
      </w:r>
      <w:r>
        <w:rPr>
          <w:color w:val="auto"/>
          <w:highlight w:val="none"/>
          <w:lang w:val="en-US"/>
        </w:rPr>
        <w:t>3</w:t>
      </w:r>
      <w:r>
        <w:rPr>
          <w:rFonts w:hint="eastAsia"/>
          <w:color w:val="auto"/>
          <w:highlight w:val="none"/>
          <w:lang w:val="en-US"/>
        </w:rPr>
        <w:t>.</w:t>
      </w:r>
      <w:r>
        <w:rPr>
          <w:color w:val="auto"/>
          <w:highlight w:val="none"/>
          <w:lang w:val="en-US"/>
        </w:rPr>
        <w:t xml:space="preserve"> </w:t>
      </w:r>
      <w:r>
        <w:rPr>
          <w:rFonts w:hint="eastAsia"/>
          <w:color w:val="auto"/>
          <w:highlight w:val="none"/>
          <w:lang w:val="en-US"/>
        </w:rPr>
        <w:t>*产品技术规范偏离表，</w:t>
      </w:r>
      <w:r>
        <w:rPr>
          <w:color w:val="auto"/>
          <w:highlight w:val="none"/>
          <w:lang w:val="en-US"/>
        </w:rPr>
        <w:t>格式详见附件</w:t>
      </w:r>
      <w:r>
        <w:rPr>
          <w:rFonts w:hint="eastAsia"/>
          <w:color w:val="auto"/>
          <w:highlight w:val="none"/>
          <w:lang w:val="en-US"/>
        </w:rPr>
        <w:t>5.8；</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14 . *提供</w:t>
      </w:r>
      <w:r>
        <w:rPr>
          <w:rFonts w:hint="eastAsia"/>
          <w:color w:val="auto"/>
          <w:highlight w:val="none"/>
          <w:lang w:val="en-US"/>
        </w:rPr>
        <w:t>响应</w:t>
      </w:r>
      <w:r>
        <w:rPr>
          <w:color w:val="auto"/>
          <w:highlight w:val="none"/>
          <w:lang w:val="en-US"/>
        </w:rPr>
        <w:t>产品含规格型号、参数配置和性能描述等内容的技术文件；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15. *按照采购需求</w:t>
      </w:r>
      <w:r>
        <w:rPr>
          <w:rFonts w:hint="eastAsia" w:ascii="宋体" w:hAnsi="宋体" w:cs="宋体"/>
          <w:color w:val="auto"/>
          <w:highlight w:val="none"/>
          <w:lang w:val="en-US"/>
        </w:rPr>
        <w:t>“</w:t>
      </w:r>
      <w:r>
        <w:rPr>
          <w:color w:val="auto"/>
          <w:highlight w:val="none"/>
          <w:lang w:val="en-US"/>
        </w:rPr>
        <w:t>1.5服务要求</w:t>
      </w:r>
      <w:r>
        <w:rPr>
          <w:rFonts w:hint="eastAsia" w:ascii="宋体" w:hAnsi="宋体" w:cs="宋体"/>
          <w:color w:val="auto"/>
          <w:highlight w:val="none"/>
          <w:lang w:val="en-US"/>
        </w:rPr>
        <w:t>”</w:t>
      </w:r>
      <w:r>
        <w:rPr>
          <w:color w:val="auto"/>
          <w:highlight w:val="none"/>
          <w:lang w:val="en-US"/>
        </w:rPr>
        <w:t>，提供详细的服务相关材料，详见附件5.9；</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16. *</w:t>
      </w:r>
      <w:r>
        <w:rPr>
          <w:rFonts w:hint="eastAsia"/>
          <w:color w:val="auto"/>
          <w:highlight w:val="none"/>
          <w:lang w:val="en-US"/>
        </w:rPr>
        <w:t>响应</w:t>
      </w:r>
      <w:r>
        <w:rPr>
          <w:color w:val="auto"/>
          <w:highlight w:val="none"/>
          <w:lang w:val="en-US"/>
        </w:rPr>
        <w:t>产品如符合本章</w:t>
      </w:r>
      <w:r>
        <w:rPr>
          <w:rFonts w:hint="eastAsia" w:ascii="宋体" w:hAnsi="宋体" w:cs="宋体"/>
          <w:color w:val="auto"/>
          <w:highlight w:val="none"/>
          <w:lang w:val="en-US"/>
        </w:rPr>
        <w:t>“</w:t>
      </w:r>
      <w:r>
        <w:rPr>
          <w:color w:val="auto"/>
          <w:highlight w:val="none"/>
          <w:lang w:val="en-US"/>
        </w:rPr>
        <w:t>3.2.2、3.2.3、3.2.4</w:t>
      </w:r>
      <w:r>
        <w:rPr>
          <w:rFonts w:hint="eastAsia" w:ascii="宋体" w:hAnsi="宋体" w:cs="宋体"/>
          <w:color w:val="auto"/>
          <w:highlight w:val="none"/>
          <w:lang w:val="en-US"/>
        </w:rPr>
        <w:t>”</w:t>
      </w:r>
      <w:r>
        <w:rPr>
          <w:color w:val="auto"/>
          <w:highlight w:val="none"/>
          <w:lang w:val="en-US"/>
        </w:rPr>
        <w:t>的相关要求，供应商须提供相关资质文件；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17. 中小企业声明函，格式详见附件5.1</w:t>
      </w:r>
      <w:r>
        <w:rPr>
          <w:rFonts w:hint="eastAsia"/>
          <w:color w:val="auto"/>
          <w:highlight w:val="none"/>
          <w:lang w:val="en-US"/>
        </w:rPr>
        <w:t>0</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18</w:t>
      </w:r>
      <w:r>
        <w:rPr>
          <w:color w:val="auto"/>
          <w:highlight w:val="none"/>
          <w:lang w:val="en-US"/>
        </w:rPr>
        <w:t>. 残疾人福利性单位声明函，格式详见附件5.1</w:t>
      </w:r>
      <w:r>
        <w:rPr>
          <w:rFonts w:hint="eastAsia"/>
          <w:color w:val="auto"/>
          <w:highlight w:val="none"/>
          <w:lang w:val="en-US"/>
        </w:rPr>
        <w:t>1</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19</w:t>
      </w:r>
      <w:r>
        <w:rPr>
          <w:color w:val="auto"/>
          <w:highlight w:val="none"/>
          <w:lang w:val="en-US"/>
        </w:rPr>
        <w:t>. 供应商认为与</w:t>
      </w:r>
      <w:r>
        <w:rPr>
          <w:rFonts w:hint="eastAsia"/>
          <w:color w:val="auto"/>
          <w:highlight w:val="none"/>
          <w:lang w:val="en-US"/>
        </w:rPr>
        <w:t>本项目</w:t>
      </w:r>
      <w:r>
        <w:rPr>
          <w:color w:val="auto"/>
          <w:highlight w:val="none"/>
          <w:lang w:val="en-US"/>
        </w:rPr>
        <w:t>相关的其他文件。</w:t>
      </w:r>
    </w:p>
    <w:p>
      <w:pPr>
        <w:pStyle w:val="256"/>
        <w:keepNext w:val="0"/>
        <w:keepLines w:val="0"/>
        <w:widowControl w:val="0"/>
        <w:spacing w:after="0" w:afterLines="0"/>
        <w:ind w:left="0" w:firstLine="420" w:firstLineChars="200"/>
        <w:rPr>
          <w:color w:val="auto"/>
          <w:highlight w:val="none"/>
          <w:lang w:val="en-US" w:eastAsia="ja-JP"/>
        </w:rPr>
        <w:sectPr>
          <w:headerReference r:id="rId12" w:type="default"/>
          <w:pgSz w:w="11907" w:h="16839"/>
          <w:pgMar w:top="1928" w:right="1531" w:bottom="1871" w:left="1531" w:header="454" w:footer="897" w:gutter="0"/>
          <w:cols w:space="720" w:num="1"/>
          <w:docGrid w:linePitch="286" w:charSpace="0"/>
        </w:sectPr>
      </w:pPr>
    </w:p>
    <w:bookmarkEnd w:id="23"/>
    <w:p>
      <w:pPr>
        <w:pStyle w:val="3"/>
        <w:keepNext/>
        <w:keepLines/>
        <w:pageBreakBefore w:val="0"/>
        <w:widowControl w:val="0"/>
        <w:rPr>
          <w:highlight w:val="none"/>
        </w:rPr>
      </w:pPr>
      <w:bookmarkStart w:id="130" w:name="_Toc16531147"/>
      <w:bookmarkStart w:id="131" w:name="_Toc56157919"/>
      <w:bookmarkStart w:id="132" w:name="_Toc16531373"/>
      <w:bookmarkStart w:id="133" w:name="_Toc27489973"/>
      <w:bookmarkStart w:id="134" w:name="_Toc142051474"/>
      <w:r>
        <w:rPr>
          <w:highlight w:val="none"/>
        </w:rPr>
        <w:t>评审</w:t>
      </w:r>
      <w:bookmarkEnd w:id="130"/>
      <w:bookmarkEnd w:id="131"/>
      <w:bookmarkEnd w:id="132"/>
      <w:bookmarkEnd w:id="133"/>
      <w:r>
        <w:rPr>
          <w:highlight w:val="none"/>
        </w:rPr>
        <w:t>与入围</w:t>
      </w:r>
      <w:bookmarkEnd w:id="134"/>
    </w:p>
    <w:p>
      <w:pPr>
        <w:pStyle w:val="4"/>
        <w:spacing w:before="120"/>
        <w:ind w:left="320" w:hanging="320"/>
        <w:jc w:val="both"/>
        <w:rPr>
          <w:highlight w:val="none"/>
        </w:rPr>
      </w:pPr>
      <w:bookmarkStart w:id="135" w:name="_Toc142051475"/>
      <w:bookmarkStart w:id="136" w:name="_Toc16531374"/>
      <w:bookmarkStart w:id="137" w:name="_Toc16531148"/>
      <w:r>
        <w:rPr>
          <w:highlight w:val="none"/>
        </w:rPr>
        <w:t>评审</w:t>
      </w:r>
      <w:r>
        <w:rPr>
          <w:rFonts w:hint="eastAsia"/>
          <w:highlight w:val="none"/>
        </w:rPr>
        <w:t>与入围</w:t>
      </w:r>
      <w:r>
        <w:rPr>
          <w:highlight w:val="none"/>
        </w:rPr>
        <w:t>流程</w:t>
      </w:r>
      <w:bookmarkEnd w:id="135"/>
    </w:p>
    <w:p>
      <w:pPr>
        <w:pStyle w:val="5"/>
        <w:spacing w:before="120"/>
        <w:rPr>
          <w:highlight w:val="none"/>
        </w:rPr>
      </w:pPr>
      <w:bookmarkStart w:id="138" w:name="_Toc27489955"/>
      <w:bookmarkStart w:id="139" w:name="_Toc56157902"/>
      <w:bookmarkStart w:id="140" w:name="_Toc71873107"/>
      <w:r>
        <w:rPr>
          <w:highlight w:val="none"/>
        </w:rPr>
        <w:t>资格审查</w:t>
      </w:r>
      <w:bookmarkEnd w:id="138"/>
      <w:bookmarkEnd w:id="139"/>
      <w:bookmarkEnd w:id="140"/>
    </w:p>
    <w:p>
      <w:pPr>
        <w:pStyle w:val="6"/>
        <w:widowControl w:val="0"/>
        <w:jc w:val="both"/>
        <w:rPr>
          <w:rFonts w:cs="Times New Roman"/>
          <w:highlight w:val="none"/>
        </w:rPr>
      </w:pPr>
      <w:r>
        <w:rPr>
          <w:rFonts w:cs="Times New Roman"/>
          <w:highlight w:val="none"/>
        </w:rPr>
        <w:t>警采中心依法按照</w:t>
      </w:r>
      <w:r>
        <w:rPr>
          <w:rFonts w:hint="eastAsia" w:cs="Times New Roman"/>
          <w:highlight w:val="none"/>
        </w:rPr>
        <w:t>征集文件</w:t>
      </w:r>
      <w:r>
        <w:rPr>
          <w:rFonts w:cs="Times New Roman"/>
          <w:highlight w:val="none"/>
        </w:rPr>
        <w:t>规定，按照</w:t>
      </w:r>
      <w:r>
        <w:rPr>
          <w:rFonts w:hint="eastAsia" w:cs="Times New Roman"/>
          <w:highlight w:val="none"/>
        </w:rPr>
        <w:t>征集文件</w:t>
      </w:r>
      <w:r>
        <w:rPr>
          <w:rFonts w:cs="Times New Roman"/>
          <w:highlight w:val="none"/>
        </w:rPr>
        <w:t>对供应商进行资格审查。由资格审查小组从响应文件的有效性、完整性和对</w:t>
      </w:r>
      <w:r>
        <w:rPr>
          <w:rFonts w:hint="eastAsia" w:cs="Times New Roman"/>
          <w:highlight w:val="none"/>
        </w:rPr>
        <w:t>征集文件</w:t>
      </w:r>
      <w:r>
        <w:rPr>
          <w:rFonts w:cs="Times New Roman"/>
          <w:highlight w:val="none"/>
        </w:rPr>
        <w:t>的响应程度进行资格审查，供应商未能通过资格审查，其</w:t>
      </w:r>
      <w:r>
        <w:rPr>
          <w:rFonts w:hint="eastAsia" w:cs="Times New Roman"/>
          <w:highlight w:val="none"/>
        </w:rPr>
        <w:t>响应</w:t>
      </w:r>
      <w:r>
        <w:rPr>
          <w:rFonts w:cs="Times New Roman"/>
          <w:highlight w:val="none"/>
        </w:rPr>
        <w:t>将被拒绝。通过资格审查的供应商进入专家评审阶段。</w:t>
      </w:r>
    </w:p>
    <w:p>
      <w:pPr>
        <w:pStyle w:val="5"/>
        <w:widowControl w:val="0"/>
        <w:spacing w:before="120"/>
        <w:rPr>
          <w:highlight w:val="none"/>
        </w:rPr>
      </w:pPr>
      <w:bookmarkStart w:id="141" w:name="_Toc27489956"/>
      <w:bookmarkStart w:id="142" w:name="_Toc56157903"/>
      <w:bookmarkStart w:id="143" w:name="_Toc71873108"/>
      <w:r>
        <w:rPr>
          <w:highlight w:val="none"/>
        </w:rPr>
        <w:t>组建</w:t>
      </w:r>
      <w:bookmarkEnd w:id="141"/>
      <w:bookmarkEnd w:id="142"/>
      <w:bookmarkEnd w:id="143"/>
      <w:r>
        <w:rPr>
          <w:rFonts w:hint="eastAsia"/>
          <w:highlight w:val="none"/>
        </w:rPr>
        <w:t>评审小组</w:t>
      </w:r>
    </w:p>
    <w:p>
      <w:pPr>
        <w:pStyle w:val="6"/>
        <w:jc w:val="both"/>
        <w:rPr>
          <w:highlight w:val="none"/>
        </w:rPr>
      </w:pPr>
      <w:r>
        <w:rPr>
          <w:highlight w:val="none"/>
        </w:rPr>
        <w:t>警采中心根据有关法律法规和本</w:t>
      </w:r>
      <w:r>
        <w:rPr>
          <w:rFonts w:hint="eastAsia"/>
          <w:highlight w:val="none"/>
        </w:rPr>
        <w:t>征集文件</w:t>
      </w:r>
      <w:r>
        <w:rPr>
          <w:highlight w:val="none"/>
        </w:rPr>
        <w:t>的规定，结合本项目专业要求组建</w:t>
      </w:r>
      <w:r>
        <w:rPr>
          <w:rFonts w:hint="eastAsia"/>
          <w:highlight w:val="none"/>
        </w:rPr>
        <w:t>评审小组</w:t>
      </w:r>
      <w:r>
        <w:rPr>
          <w:highlight w:val="none"/>
        </w:rPr>
        <w:t>，对具备实质性响应的响应文件进行评审。</w:t>
      </w:r>
      <w:r>
        <w:rPr>
          <w:rFonts w:hint="eastAsia"/>
          <w:highlight w:val="none"/>
        </w:rPr>
        <w:t>评审小组</w:t>
      </w:r>
      <w:r>
        <w:rPr>
          <w:highlight w:val="none"/>
        </w:rPr>
        <w:t>由采购人代表和有关技术、经济等方面的专家组成，</w:t>
      </w:r>
      <w:r>
        <w:rPr>
          <w:rFonts w:hint="eastAsia" w:cs="Times New Roman"/>
          <w:highlight w:val="none"/>
        </w:rPr>
        <w:t>其中专家不得少于成员总数的三分之二</w:t>
      </w:r>
      <w:r>
        <w:rPr>
          <w:highlight w:val="none"/>
        </w:rPr>
        <w:t>。</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成员与参加采购活动的供应商存在下列利害关系之一的，不能参加评审：</w:t>
      </w:r>
    </w:p>
    <w:p>
      <w:pPr>
        <w:pStyle w:val="6"/>
        <w:widowControl w:val="0"/>
        <w:numPr>
          <w:ilvl w:val="0"/>
          <w:numId w:val="0"/>
        </w:numPr>
        <w:ind w:left="680"/>
        <w:jc w:val="both"/>
        <w:rPr>
          <w:rFonts w:cs="Times New Roman"/>
          <w:highlight w:val="none"/>
        </w:rPr>
      </w:pPr>
      <w:r>
        <w:rPr>
          <w:rFonts w:cs="Times New Roman"/>
          <w:highlight w:val="none"/>
        </w:rPr>
        <w:t>参加采购活动前三年内，与供应商存在劳动关系，或者担任过供应商的董事、监事，或者是供应商的控股股东或实际控制人；</w:t>
      </w:r>
    </w:p>
    <w:p>
      <w:pPr>
        <w:pStyle w:val="6"/>
        <w:widowControl w:val="0"/>
        <w:numPr>
          <w:ilvl w:val="0"/>
          <w:numId w:val="0"/>
        </w:numPr>
        <w:ind w:left="680"/>
        <w:jc w:val="both"/>
        <w:rPr>
          <w:rFonts w:cs="Times New Roman"/>
          <w:highlight w:val="none"/>
        </w:rPr>
      </w:pPr>
      <w:r>
        <w:rPr>
          <w:rFonts w:cs="Times New Roman"/>
          <w:highlight w:val="none"/>
        </w:rPr>
        <w:t>与供应商的法定代表人或者负责人有夫妻、直系血亲、三代以内旁系血亲或者近姻亲关系；</w:t>
      </w:r>
    </w:p>
    <w:p>
      <w:pPr>
        <w:pStyle w:val="6"/>
        <w:widowControl w:val="0"/>
        <w:numPr>
          <w:ilvl w:val="0"/>
          <w:numId w:val="0"/>
        </w:numPr>
        <w:ind w:left="680"/>
        <w:jc w:val="both"/>
        <w:rPr>
          <w:rFonts w:cs="Times New Roman"/>
          <w:highlight w:val="none"/>
        </w:rPr>
      </w:pPr>
      <w:r>
        <w:rPr>
          <w:rFonts w:cs="Times New Roman"/>
          <w:highlight w:val="none"/>
        </w:rPr>
        <w:t>与供应商有其他可能影响政府采购活动公平、公正进行的关系。</w:t>
      </w:r>
    </w:p>
    <w:p>
      <w:pPr>
        <w:pStyle w:val="6"/>
        <w:widowControl w:val="0"/>
        <w:jc w:val="both"/>
        <w:rPr>
          <w:rFonts w:cs="Times New Roman"/>
          <w:highlight w:val="none"/>
        </w:rPr>
      </w:pPr>
      <w:r>
        <w:rPr>
          <w:rFonts w:cs="Times New Roman"/>
          <w:highlight w:val="none"/>
        </w:rPr>
        <w:t>警采中心就本项目</w:t>
      </w:r>
      <w:r>
        <w:rPr>
          <w:rFonts w:hint="eastAsia" w:cs="Times New Roman"/>
          <w:highlight w:val="none"/>
        </w:rPr>
        <w:t>征集文件</w:t>
      </w:r>
      <w:r>
        <w:rPr>
          <w:rFonts w:cs="Times New Roman"/>
          <w:highlight w:val="none"/>
        </w:rPr>
        <w:t>征询过意见的专家，不能参加评审。</w:t>
      </w:r>
      <w:r>
        <w:rPr>
          <w:rFonts w:cs="Times New Roman"/>
          <w:bCs w:val="0"/>
          <w:iCs w:val="0"/>
          <w:highlight w:val="none"/>
        </w:rPr>
        <w:t>警采中心工作人员不得担任</w:t>
      </w:r>
      <w:r>
        <w:rPr>
          <w:rFonts w:hint="eastAsia" w:cs="Times New Roman"/>
          <w:bCs w:val="0"/>
          <w:iCs w:val="0"/>
          <w:highlight w:val="none"/>
        </w:rPr>
        <w:t>评审小组</w:t>
      </w:r>
      <w:r>
        <w:rPr>
          <w:rFonts w:cs="Times New Roman"/>
          <w:bCs w:val="0"/>
          <w:iCs w:val="0"/>
          <w:highlight w:val="none"/>
        </w:rPr>
        <w:t>成员。</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负责具体评审事务，并独立履行下列职责：</w:t>
      </w:r>
    </w:p>
    <w:p>
      <w:pPr>
        <w:pStyle w:val="6"/>
        <w:widowControl w:val="0"/>
        <w:numPr>
          <w:ilvl w:val="0"/>
          <w:numId w:val="0"/>
        </w:numPr>
        <w:ind w:left="680"/>
        <w:jc w:val="both"/>
        <w:rPr>
          <w:rFonts w:cs="Times New Roman"/>
          <w:highlight w:val="none"/>
        </w:rPr>
      </w:pPr>
      <w:r>
        <w:rPr>
          <w:rFonts w:cs="Times New Roman"/>
          <w:highlight w:val="none"/>
        </w:rPr>
        <w:t>审查、评价响应文件是否符合</w:t>
      </w:r>
      <w:r>
        <w:rPr>
          <w:rFonts w:hint="eastAsia" w:cs="Times New Roman"/>
          <w:highlight w:val="none"/>
        </w:rPr>
        <w:t>征集文件</w:t>
      </w:r>
      <w:r>
        <w:rPr>
          <w:rFonts w:cs="Times New Roman"/>
          <w:highlight w:val="none"/>
        </w:rPr>
        <w:t>的实质性要求；</w:t>
      </w:r>
    </w:p>
    <w:p>
      <w:pPr>
        <w:pStyle w:val="6"/>
        <w:widowControl w:val="0"/>
        <w:numPr>
          <w:ilvl w:val="0"/>
          <w:numId w:val="0"/>
        </w:numPr>
        <w:ind w:left="680"/>
        <w:jc w:val="both"/>
        <w:rPr>
          <w:rFonts w:cs="Times New Roman"/>
          <w:highlight w:val="none"/>
        </w:rPr>
      </w:pPr>
      <w:r>
        <w:rPr>
          <w:rFonts w:cs="Times New Roman"/>
          <w:highlight w:val="none"/>
        </w:rPr>
        <w:t>要求供应商对响应文件有关事项作出澄清或者说明；</w:t>
      </w:r>
    </w:p>
    <w:p>
      <w:pPr>
        <w:pStyle w:val="6"/>
        <w:widowControl w:val="0"/>
        <w:numPr>
          <w:ilvl w:val="0"/>
          <w:numId w:val="0"/>
        </w:numPr>
        <w:ind w:left="680"/>
        <w:jc w:val="both"/>
        <w:rPr>
          <w:rFonts w:cs="Times New Roman"/>
          <w:highlight w:val="none"/>
        </w:rPr>
      </w:pPr>
      <w:r>
        <w:rPr>
          <w:rFonts w:cs="Times New Roman"/>
          <w:highlight w:val="none"/>
        </w:rPr>
        <w:t>对响应文件进行比较和评价；</w:t>
      </w:r>
    </w:p>
    <w:p>
      <w:pPr>
        <w:pStyle w:val="6"/>
        <w:widowControl w:val="0"/>
        <w:numPr>
          <w:ilvl w:val="0"/>
          <w:numId w:val="0"/>
        </w:numPr>
        <w:ind w:left="680"/>
        <w:jc w:val="both"/>
        <w:rPr>
          <w:rFonts w:cs="Times New Roman"/>
          <w:highlight w:val="none"/>
        </w:rPr>
      </w:pPr>
      <w:r>
        <w:rPr>
          <w:rFonts w:cs="Times New Roman"/>
          <w:highlight w:val="none"/>
        </w:rPr>
        <w:t>向警采中心或者有关部门报告评审中发现的违法行为。</w:t>
      </w:r>
    </w:p>
    <w:p>
      <w:pPr>
        <w:pStyle w:val="5"/>
        <w:widowControl w:val="0"/>
        <w:spacing w:before="120"/>
        <w:rPr>
          <w:highlight w:val="none"/>
        </w:rPr>
      </w:pPr>
      <w:bookmarkStart w:id="144" w:name="_Toc71873109"/>
      <w:bookmarkStart w:id="145" w:name="_Toc27489957"/>
      <w:bookmarkStart w:id="146" w:name="_Toc56157904"/>
      <w:r>
        <w:rPr>
          <w:highlight w:val="none"/>
        </w:rPr>
        <w:t>评审</w:t>
      </w:r>
      <w:bookmarkEnd w:id="144"/>
      <w:bookmarkEnd w:id="145"/>
      <w:bookmarkEnd w:id="146"/>
    </w:p>
    <w:p>
      <w:pPr>
        <w:pStyle w:val="6"/>
        <w:widowControl w:val="0"/>
        <w:jc w:val="both"/>
        <w:rPr>
          <w:rFonts w:cs="Times New Roman"/>
          <w:highlight w:val="none"/>
        </w:rPr>
      </w:pPr>
      <w:r>
        <w:rPr>
          <w:rFonts w:cs="Times New Roman"/>
          <w:highlight w:val="none"/>
        </w:rPr>
        <w:t>评审应严格按照</w:t>
      </w:r>
      <w:r>
        <w:rPr>
          <w:rFonts w:hint="eastAsia" w:cs="Times New Roman"/>
          <w:highlight w:val="none"/>
        </w:rPr>
        <w:t>征集文件</w:t>
      </w:r>
      <w:r>
        <w:rPr>
          <w:rFonts w:cs="Times New Roman"/>
          <w:highlight w:val="none"/>
        </w:rPr>
        <w:t>的要求和条件进行，</w:t>
      </w:r>
      <w:r>
        <w:rPr>
          <w:rFonts w:hint="eastAsia" w:cs="Times New Roman"/>
          <w:highlight w:val="none"/>
        </w:rPr>
        <w:t>评审小组</w:t>
      </w:r>
      <w:r>
        <w:rPr>
          <w:rFonts w:cs="Times New Roman"/>
          <w:highlight w:val="none"/>
        </w:rPr>
        <w:t>不得擅自改动、细化</w:t>
      </w:r>
      <w:r>
        <w:rPr>
          <w:rFonts w:hint="eastAsia" w:cs="Times New Roman"/>
          <w:highlight w:val="none"/>
        </w:rPr>
        <w:t>征集文件</w:t>
      </w:r>
      <w:r>
        <w:rPr>
          <w:rFonts w:cs="Times New Roman"/>
          <w:highlight w:val="none"/>
        </w:rPr>
        <w:t>。</w:t>
      </w:r>
    </w:p>
    <w:p>
      <w:pPr>
        <w:pStyle w:val="6"/>
        <w:widowControl w:val="0"/>
        <w:jc w:val="both"/>
        <w:rPr>
          <w:rFonts w:cs="Times New Roman"/>
          <w:highlight w:val="none"/>
        </w:rPr>
      </w:pPr>
      <w:r>
        <w:rPr>
          <w:rFonts w:cs="Times New Roman"/>
          <w:highlight w:val="none"/>
        </w:rPr>
        <w:t>依据相关法律法规和</w:t>
      </w:r>
      <w:r>
        <w:rPr>
          <w:rFonts w:hint="eastAsia" w:cs="Times New Roman"/>
          <w:highlight w:val="none"/>
        </w:rPr>
        <w:t>征集文件</w:t>
      </w:r>
      <w:r>
        <w:rPr>
          <w:rFonts w:cs="Times New Roman"/>
          <w:highlight w:val="none"/>
        </w:rPr>
        <w:t>的规定，由</w:t>
      </w:r>
      <w:r>
        <w:rPr>
          <w:rFonts w:hint="eastAsia" w:cs="Times New Roman"/>
          <w:highlight w:val="none"/>
        </w:rPr>
        <w:t>评审小组</w:t>
      </w:r>
      <w:r>
        <w:rPr>
          <w:rFonts w:cs="Times New Roman"/>
          <w:highlight w:val="none"/>
        </w:rPr>
        <w:t>从响应文件的有效性、完整性和对</w:t>
      </w:r>
      <w:r>
        <w:rPr>
          <w:rFonts w:hint="eastAsia" w:cs="Times New Roman"/>
          <w:highlight w:val="none"/>
        </w:rPr>
        <w:t>征集文件</w:t>
      </w:r>
      <w:r>
        <w:rPr>
          <w:rFonts w:cs="Times New Roman"/>
          <w:highlight w:val="none"/>
        </w:rPr>
        <w:t>的响应程度进行初步评审，通过初步审查的供应商进入详细评审阶段。供应商未能通过初步评审，其</w:t>
      </w:r>
      <w:r>
        <w:rPr>
          <w:rFonts w:hint="eastAsia" w:cs="Times New Roman"/>
          <w:highlight w:val="none"/>
        </w:rPr>
        <w:t>响应</w:t>
      </w:r>
      <w:r>
        <w:rPr>
          <w:rFonts w:cs="Times New Roman"/>
          <w:highlight w:val="none"/>
        </w:rPr>
        <w:t>将被拒绝；供应商数少于2家的分包，直接作废包处理。</w:t>
      </w:r>
    </w:p>
    <w:p>
      <w:pPr>
        <w:pStyle w:val="6"/>
        <w:widowControl w:val="0"/>
        <w:jc w:val="both"/>
        <w:rPr>
          <w:rFonts w:cs="Times New Roman"/>
          <w:highlight w:val="none"/>
        </w:rPr>
      </w:pPr>
      <w:r>
        <w:rPr>
          <w:rFonts w:cs="Times New Roman"/>
          <w:highlight w:val="none"/>
        </w:rPr>
        <w:t>实质性响应是指符合</w:t>
      </w:r>
      <w:r>
        <w:rPr>
          <w:rFonts w:hint="eastAsia" w:cs="Times New Roman"/>
          <w:highlight w:val="none"/>
        </w:rPr>
        <w:t>征集文件</w:t>
      </w:r>
      <w:r>
        <w:rPr>
          <w:rFonts w:cs="Times New Roman"/>
          <w:highlight w:val="none"/>
        </w:rPr>
        <w:t>的主要条款要求，没有重大偏离或保留。重大偏离或保留指响应文件明显不能满足</w:t>
      </w:r>
      <w:r>
        <w:rPr>
          <w:rFonts w:hint="eastAsia" w:cs="Times New Roman"/>
          <w:highlight w:val="none"/>
        </w:rPr>
        <w:t>征集文件</w:t>
      </w:r>
      <w:r>
        <w:rPr>
          <w:rFonts w:cs="Times New Roman"/>
          <w:highlight w:val="none"/>
        </w:rPr>
        <w:t>的要求，而且限制了采购人的权利或供应商的义务。如果响应文件实质上没有响应</w:t>
      </w:r>
      <w:r>
        <w:rPr>
          <w:rFonts w:hint="eastAsia" w:cs="Times New Roman"/>
          <w:highlight w:val="none"/>
        </w:rPr>
        <w:t>征集文件</w:t>
      </w:r>
      <w:r>
        <w:rPr>
          <w:rFonts w:cs="Times New Roman"/>
          <w:highlight w:val="none"/>
        </w:rPr>
        <w:t>的要求，</w:t>
      </w:r>
      <w:r>
        <w:rPr>
          <w:rFonts w:hint="eastAsia" w:cs="Times New Roman"/>
          <w:highlight w:val="none"/>
        </w:rPr>
        <w:t>评审小组</w:t>
      </w:r>
      <w:r>
        <w:rPr>
          <w:rFonts w:cs="Times New Roman"/>
          <w:highlight w:val="none"/>
        </w:rPr>
        <w:t>将予以拒绝，供应商不得再对响应文件进行任何修正。</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只对通过初步审查的供应商的响应文件进行详细评审；评审应严格按照</w:t>
      </w:r>
      <w:r>
        <w:rPr>
          <w:rFonts w:hint="eastAsia" w:cs="Times New Roman"/>
          <w:highlight w:val="none"/>
        </w:rPr>
        <w:t>征集文件</w:t>
      </w:r>
      <w:r>
        <w:rPr>
          <w:rFonts w:cs="Times New Roman"/>
          <w:highlight w:val="none"/>
        </w:rPr>
        <w:t>的要求和条件进行。</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采用</w:t>
      </w:r>
      <w:r>
        <w:rPr>
          <w:rFonts w:cs="Times New Roman"/>
          <w:b/>
          <w:highlight w:val="none"/>
        </w:rPr>
        <w:t>价格优先法</w:t>
      </w:r>
      <w:r>
        <w:rPr>
          <w:rFonts w:cs="Times New Roman"/>
          <w:highlight w:val="none"/>
        </w:rPr>
        <w:t>进行详细评审，</w:t>
      </w:r>
      <w:r>
        <w:rPr>
          <w:rFonts w:hint="eastAsia" w:cs="Times New Roman"/>
          <w:highlight w:val="none"/>
        </w:rPr>
        <w:t>确定每包第一阶段入围供应商</w:t>
      </w:r>
      <w:r>
        <w:rPr>
          <w:rFonts w:cs="Times New Roman"/>
          <w:highlight w:val="none"/>
        </w:rPr>
        <w:t>。</w:t>
      </w:r>
    </w:p>
    <w:p>
      <w:pPr>
        <w:pStyle w:val="6"/>
        <w:widowControl w:val="0"/>
        <w:jc w:val="both"/>
        <w:rPr>
          <w:rFonts w:cs="Times New Roman"/>
          <w:highlight w:val="none"/>
        </w:rPr>
      </w:pPr>
      <w:r>
        <w:rPr>
          <w:rFonts w:hint="eastAsia" w:cs="Times New Roman"/>
          <w:highlight w:val="none"/>
        </w:rPr>
        <w:t>本项目</w:t>
      </w:r>
      <w:r>
        <w:rPr>
          <w:rFonts w:hint="eastAsia" w:cs="Times New Roman"/>
          <w:b/>
          <w:bCs w:val="0"/>
          <w:highlight w:val="none"/>
        </w:rPr>
        <w:t>价格优先法</w:t>
      </w:r>
      <w:r>
        <w:rPr>
          <w:rFonts w:hint="eastAsia" w:cs="Times New Roman"/>
          <w:highlight w:val="none"/>
        </w:rPr>
        <w:t>是指：对满足采购需求且响应报价不超过最高限制单价的产品，按照响应报价从低到高排序，根据征集文件规定的淘汰率，确定入围供应商的评审方法。</w:t>
      </w:r>
    </w:p>
    <w:p>
      <w:pPr>
        <w:pStyle w:val="6"/>
        <w:widowControl w:val="0"/>
        <w:jc w:val="both"/>
        <w:rPr>
          <w:highlight w:val="none"/>
        </w:rPr>
      </w:pPr>
      <w:r>
        <w:rPr>
          <w:rFonts w:hint="eastAsia"/>
          <w:highlight w:val="none"/>
        </w:rPr>
        <w:t>每包入围供应商的</w:t>
      </w:r>
      <w:r>
        <w:rPr>
          <w:rFonts w:hint="eastAsia"/>
          <w:b/>
          <w:highlight w:val="none"/>
        </w:rPr>
        <w:t>淘汰比例</w:t>
      </w:r>
      <w:r>
        <w:rPr>
          <w:rFonts w:hint="eastAsia"/>
          <w:highlight w:val="none"/>
        </w:rPr>
        <w:t>：20%。</w:t>
      </w:r>
      <w:r>
        <w:rPr>
          <w:highlight w:val="none"/>
        </w:rPr>
        <w:t>每包</w:t>
      </w:r>
      <w:r>
        <w:rPr>
          <w:rFonts w:hint="eastAsia"/>
          <w:highlight w:val="none"/>
        </w:rPr>
        <w:t>供应商的响应报价由低至高进行排序（小微企业用扣除后的价格参加排序），按照</w:t>
      </w:r>
      <w:r>
        <w:rPr>
          <w:rFonts w:hint="eastAsia"/>
          <w:highlight w:val="none"/>
          <w:lang w:val="en-US"/>
        </w:rPr>
        <w:t>2</w:t>
      </w:r>
      <w:r>
        <w:rPr>
          <w:rFonts w:hint="eastAsia"/>
          <w:highlight w:val="none"/>
        </w:rPr>
        <w:t>0%的淘汰率进行淘汰，且每包至少淘汰一家供应商。</w:t>
      </w:r>
    </w:p>
    <w:p>
      <w:pPr>
        <w:pStyle w:val="6"/>
        <w:jc w:val="both"/>
        <w:rPr>
          <w:highlight w:val="none"/>
        </w:rPr>
      </w:pPr>
      <w:r>
        <w:rPr>
          <w:rFonts w:hint="eastAsia" w:cs="Times New Roman"/>
          <w:highlight w:val="none"/>
        </w:rPr>
        <w:t>根据财政部和工业和信息化部发布的关于印发《政府采购促进中小企业发展管理办法》（财库〔2020〕46号）和《关于进一步加大政府采购支持中小企业力度的通知》（财库〔2022〕19号）等规定</w:t>
      </w:r>
      <w:r>
        <w:rPr>
          <w:highlight w:val="none"/>
        </w:rPr>
        <w:t>，本项目对小型和微型企业产品的价格给予一定的扣除，用扣除后的价格参与评审，折扣比例参见2.6.1中小企业有关政策。</w:t>
      </w:r>
    </w:p>
    <w:p>
      <w:pPr>
        <w:pStyle w:val="6"/>
        <w:widowControl w:val="0"/>
        <w:jc w:val="both"/>
        <w:rPr>
          <w:rFonts w:cs="Times New Roman"/>
          <w:highlight w:val="none"/>
        </w:rPr>
      </w:pPr>
      <w:r>
        <w:rPr>
          <w:rFonts w:cs="Times New Roman"/>
          <w:highlight w:val="none"/>
        </w:rPr>
        <w:t>评审中，对明显的文字和计算错误按下述原则处理，若出现相互矛盾之处，应以排列在先的原则为准优先处理：</w:t>
      </w:r>
    </w:p>
    <w:p>
      <w:pPr>
        <w:keepNext/>
        <w:keepLines/>
        <w:ind w:left="680"/>
        <w:jc w:val="both"/>
        <w:rPr>
          <w:rStyle w:val="93"/>
          <w:highlight w:val="none"/>
        </w:rPr>
      </w:pPr>
      <w:r>
        <w:rPr>
          <w:rStyle w:val="93"/>
          <w:highlight w:val="none"/>
        </w:rPr>
        <w:t>报价一览表内容与响应文件中明细表内容不一致的，以报价一览表为准。</w:t>
      </w:r>
    </w:p>
    <w:p>
      <w:pPr>
        <w:keepNext/>
        <w:keepLines/>
        <w:ind w:left="680"/>
        <w:jc w:val="both"/>
        <w:rPr>
          <w:rStyle w:val="93"/>
          <w:highlight w:val="none"/>
        </w:rPr>
      </w:pPr>
      <w:r>
        <w:rPr>
          <w:rStyle w:val="93"/>
          <w:highlight w:val="none"/>
        </w:rPr>
        <w:t>如果以文字表示的数据与数字表示的有差别，以文字为准修正数字。如果大小写金额不一致的，以大写金额为准，数字1至0的大写应为</w:t>
      </w:r>
      <w:r>
        <w:rPr>
          <w:rStyle w:val="93"/>
          <w:rFonts w:hint="eastAsia" w:ascii="宋体" w:hAnsi="宋体" w:cs="宋体"/>
          <w:highlight w:val="none"/>
        </w:rPr>
        <w:t>“壹贰叁肆伍陆柒捌玖零”</w:t>
      </w:r>
      <w:r>
        <w:rPr>
          <w:rStyle w:val="93"/>
          <w:highlight w:val="none"/>
        </w:rPr>
        <w:t>。</w:t>
      </w:r>
    </w:p>
    <w:p>
      <w:pPr>
        <w:keepNext/>
        <w:keepLines/>
        <w:ind w:left="680"/>
        <w:jc w:val="both"/>
        <w:rPr>
          <w:rStyle w:val="93"/>
          <w:highlight w:val="none"/>
        </w:rPr>
      </w:pPr>
      <w:r>
        <w:rPr>
          <w:rStyle w:val="93"/>
          <w:highlight w:val="none"/>
        </w:rPr>
        <w:t>按上述认定后的数据应对供应商具有约束力，供应商不同意以上修正，其</w:t>
      </w:r>
      <w:r>
        <w:rPr>
          <w:rStyle w:val="93"/>
          <w:rFonts w:hint="eastAsia"/>
          <w:highlight w:val="none"/>
        </w:rPr>
        <w:t>响应</w:t>
      </w:r>
      <w:r>
        <w:rPr>
          <w:rStyle w:val="93"/>
          <w:highlight w:val="none"/>
        </w:rPr>
        <w:t>将被拒绝。</w:t>
      </w:r>
    </w:p>
    <w:p>
      <w:pPr>
        <w:pStyle w:val="6"/>
        <w:widowControl w:val="0"/>
        <w:jc w:val="both"/>
        <w:rPr>
          <w:rFonts w:cs="Times New Roman"/>
          <w:highlight w:val="none"/>
        </w:rPr>
      </w:pPr>
      <w:r>
        <w:rPr>
          <w:rFonts w:hint="eastAsia" w:cs="Times New Roman"/>
          <w:highlight w:val="none"/>
        </w:rPr>
        <w:t>征集文件</w:t>
      </w:r>
      <w:r>
        <w:rPr>
          <w:rFonts w:cs="Times New Roman"/>
          <w:highlight w:val="none"/>
        </w:rPr>
        <w:t>内容违反国家有关强制性规定的，</w:t>
      </w:r>
      <w:r>
        <w:rPr>
          <w:rFonts w:hint="eastAsia" w:cs="Times New Roman"/>
          <w:highlight w:val="none"/>
        </w:rPr>
        <w:t>评审小组</w:t>
      </w:r>
      <w:r>
        <w:rPr>
          <w:rFonts w:cs="Times New Roman"/>
          <w:highlight w:val="none"/>
        </w:rPr>
        <w:t>应当停止评审并向警采中心说明情况。</w:t>
      </w:r>
    </w:p>
    <w:p>
      <w:pPr>
        <w:pStyle w:val="5"/>
        <w:widowControl w:val="0"/>
        <w:spacing w:before="120"/>
        <w:rPr>
          <w:highlight w:val="none"/>
        </w:rPr>
      </w:pPr>
      <w:bookmarkStart w:id="147" w:name="_Toc27489958"/>
      <w:bookmarkStart w:id="148" w:name="_Toc71873110"/>
      <w:bookmarkStart w:id="149" w:name="_Toc56157905"/>
      <w:r>
        <w:rPr>
          <w:rFonts w:hint="eastAsia"/>
          <w:highlight w:val="none"/>
        </w:rPr>
        <w:t>响应</w:t>
      </w:r>
      <w:r>
        <w:rPr>
          <w:highlight w:val="none"/>
        </w:rPr>
        <w:t>的澄清</w:t>
      </w:r>
      <w:bookmarkEnd w:id="147"/>
      <w:bookmarkEnd w:id="148"/>
      <w:bookmarkEnd w:id="149"/>
    </w:p>
    <w:p>
      <w:pPr>
        <w:pStyle w:val="6"/>
        <w:widowControl w:val="0"/>
        <w:jc w:val="both"/>
        <w:rPr>
          <w:rFonts w:cs="Times New Roman"/>
          <w:highlight w:val="none"/>
        </w:rPr>
      </w:pPr>
      <w:r>
        <w:rPr>
          <w:rFonts w:cs="Times New Roman"/>
          <w:highlight w:val="none"/>
        </w:rPr>
        <w:t>对于响应文件中含义不明确、同类问题表述不一致或者有明显文字和计算错误的内容，</w:t>
      </w:r>
      <w:r>
        <w:rPr>
          <w:rFonts w:hint="eastAsia" w:cs="Times New Roman"/>
          <w:highlight w:val="none"/>
        </w:rPr>
        <w:t>评审小组</w:t>
      </w:r>
      <w:r>
        <w:rPr>
          <w:rFonts w:cs="Times New Roman"/>
          <w:highlight w:val="none"/>
        </w:rPr>
        <w:t>应当以书面形式要求供应商作出必要的澄清、说明或者补正。</w:t>
      </w:r>
    </w:p>
    <w:p>
      <w:pPr>
        <w:pStyle w:val="6"/>
        <w:widowControl w:val="0"/>
        <w:jc w:val="both"/>
        <w:rPr>
          <w:rFonts w:cs="Times New Roman"/>
          <w:highlight w:val="none"/>
        </w:rPr>
      </w:pPr>
      <w:r>
        <w:rPr>
          <w:rFonts w:cs="Times New Roman"/>
          <w:highlight w:val="none"/>
        </w:rPr>
        <w:t>供应商的澄清、说明或者补正应当采用书面形式，并加盖公章，或者由法定代表人或其授权的代表签字。供应商的澄清、说明或者补正不得超出响应文件的范围或者改变响应文件的实质性内容。</w:t>
      </w:r>
    </w:p>
    <w:p>
      <w:pPr>
        <w:pStyle w:val="5"/>
        <w:widowControl w:val="0"/>
        <w:spacing w:before="120"/>
        <w:rPr>
          <w:highlight w:val="none"/>
        </w:rPr>
      </w:pPr>
      <w:bookmarkStart w:id="150" w:name="_Toc56157907"/>
      <w:bookmarkStart w:id="151" w:name="_Toc27489960"/>
      <w:bookmarkStart w:id="152" w:name="_Toc71873112"/>
      <w:r>
        <w:rPr>
          <w:highlight w:val="none"/>
        </w:rPr>
        <w:t>评审过程要求</w:t>
      </w:r>
      <w:bookmarkEnd w:id="150"/>
      <w:bookmarkEnd w:id="151"/>
      <w:bookmarkEnd w:id="152"/>
    </w:p>
    <w:p>
      <w:pPr>
        <w:pStyle w:val="6"/>
        <w:widowControl w:val="0"/>
        <w:jc w:val="both"/>
        <w:rPr>
          <w:rFonts w:cs="Times New Roman"/>
          <w:highlight w:val="none"/>
        </w:rPr>
      </w:pPr>
      <w:r>
        <w:rPr>
          <w:rFonts w:hint="eastAsia" w:cs="Times New Roman"/>
          <w:highlight w:val="none"/>
        </w:rPr>
        <w:t>评审小组</w:t>
      </w:r>
      <w:r>
        <w:rPr>
          <w:rFonts w:cs="Times New Roman"/>
          <w:highlight w:val="none"/>
        </w:rPr>
        <w:t>成员应当在评审报告上签字，对自己的评审意见承担法律责任。对需要共同认定的事项存在争议的，应当按照少数服从多数的原则作出结论。持不同意见的</w:t>
      </w:r>
      <w:r>
        <w:rPr>
          <w:rFonts w:hint="eastAsia" w:cs="Times New Roman"/>
          <w:highlight w:val="none"/>
        </w:rPr>
        <w:t>评审小组</w:t>
      </w:r>
      <w:r>
        <w:rPr>
          <w:rFonts w:cs="Times New Roman"/>
          <w:highlight w:val="none"/>
        </w:rPr>
        <w:t>成员应当在评审报告上签署不同意见及理由，否则视为同意评审报告。</w:t>
      </w:r>
    </w:p>
    <w:p>
      <w:pPr>
        <w:pStyle w:val="5"/>
        <w:widowControl w:val="0"/>
        <w:spacing w:before="120"/>
        <w:rPr>
          <w:highlight w:val="none"/>
        </w:rPr>
      </w:pPr>
      <w:bookmarkStart w:id="153" w:name="_Toc27489961"/>
      <w:bookmarkStart w:id="154" w:name="_Toc56157908"/>
      <w:bookmarkStart w:id="155" w:name="_Toc71873113"/>
      <w:r>
        <w:rPr>
          <w:highlight w:val="none"/>
        </w:rPr>
        <w:t>关于供应商瑕疵滞后发现的处理规则</w:t>
      </w:r>
      <w:bookmarkEnd w:id="153"/>
      <w:bookmarkEnd w:id="154"/>
      <w:bookmarkEnd w:id="155"/>
    </w:p>
    <w:p>
      <w:pPr>
        <w:pStyle w:val="6"/>
        <w:widowControl w:val="0"/>
        <w:jc w:val="both"/>
        <w:rPr>
          <w:rFonts w:cs="Times New Roman"/>
          <w:highlight w:val="none"/>
        </w:rPr>
      </w:pPr>
      <w:r>
        <w:rPr>
          <w:rFonts w:cs="Times New Roman"/>
          <w:highlight w:val="none"/>
        </w:rPr>
        <w:t>无论基于何种原因，各项本应作拒绝处理的情形即便未被及时发现而使该供应商进入评审后续程序，包括已经签约的情形，一旦在任何时间被发现存在上述情形，将按照</w:t>
      </w:r>
      <w:r>
        <w:rPr>
          <w:rFonts w:hint="eastAsia" w:cs="Times New Roman"/>
          <w:highlight w:val="none"/>
        </w:rPr>
        <w:t>征集文件</w:t>
      </w:r>
      <w:r>
        <w:rPr>
          <w:rFonts w:cs="Times New Roman"/>
          <w:highlight w:val="none"/>
        </w:rPr>
        <w:t>、相关法律法规的规定进行处理，必要时将提请监管部门进行处理。</w:t>
      </w:r>
    </w:p>
    <w:p>
      <w:pPr>
        <w:pStyle w:val="5"/>
        <w:widowControl w:val="0"/>
        <w:spacing w:before="120"/>
        <w:rPr>
          <w:highlight w:val="none"/>
        </w:rPr>
      </w:pPr>
      <w:bookmarkStart w:id="156" w:name="_Toc56157909"/>
      <w:bookmarkStart w:id="157" w:name="_Toc27489962"/>
      <w:bookmarkStart w:id="158" w:name="_Toc71873114"/>
      <w:r>
        <w:rPr>
          <w:highlight w:val="none"/>
        </w:rPr>
        <w:t>确定</w:t>
      </w:r>
      <w:bookmarkEnd w:id="156"/>
      <w:bookmarkEnd w:id="157"/>
      <w:r>
        <w:rPr>
          <w:rFonts w:hint="eastAsia"/>
          <w:highlight w:val="none"/>
        </w:rPr>
        <w:t>第一阶段</w:t>
      </w:r>
      <w:r>
        <w:rPr>
          <w:highlight w:val="none"/>
        </w:rPr>
        <w:t>入围供应商</w:t>
      </w:r>
      <w:bookmarkEnd w:id="158"/>
    </w:p>
    <w:p>
      <w:pPr>
        <w:pStyle w:val="6"/>
        <w:widowControl w:val="0"/>
        <w:jc w:val="both"/>
        <w:rPr>
          <w:rFonts w:cs="Times New Roman"/>
          <w:highlight w:val="none"/>
        </w:rPr>
      </w:pPr>
      <w:r>
        <w:rPr>
          <w:rFonts w:hint="eastAsia" w:cs="Times New Roman"/>
          <w:highlight w:val="none"/>
        </w:rPr>
        <w:t>评审小组</w:t>
      </w:r>
      <w:r>
        <w:rPr>
          <w:rFonts w:cs="Times New Roman"/>
          <w:highlight w:val="none"/>
        </w:rPr>
        <w:t>根据评审结果确定推荐的入围候选供应商名单。</w:t>
      </w:r>
    </w:p>
    <w:p>
      <w:pPr>
        <w:pStyle w:val="5"/>
        <w:widowControl w:val="0"/>
        <w:spacing w:before="120"/>
        <w:rPr>
          <w:highlight w:val="none"/>
        </w:rPr>
      </w:pPr>
      <w:bookmarkStart w:id="159" w:name="_Toc71873116"/>
      <w:bookmarkStart w:id="160" w:name="_Toc27489965"/>
      <w:bookmarkStart w:id="161" w:name="_Toc56157911"/>
      <w:r>
        <w:rPr>
          <w:highlight w:val="none"/>
        </w:rPr>
        <w:t>通知</w:t>
      </w:r>
      <w:bookmarkEnd w:id="159"/>
      <w:bookmarkEnd w:id="160"/>
      <w:bookmarkEnd w:id="161"/>
      <w:r>
        <w:rPr>
          <w:highlight w:val="none"/>
        </w:rPr>
        <w:t>入围供应商</w:t>
      </w:r>
    </w:p>
    <w:p>
      <w:pPr>
        <w:pStyle w:val="6"/>
        <w:widowControl w:val="0"/>
        <w:jc w:val="both"/>
        <w:rPr>
          <w:rFonts w:cs="Times New Roman"/>
          <w:highlight w:val="none"/>
        </w:rPr>
      </w:pPr>
      <w:r>
        <w:rPr>
          <w:rFonts w:cs="Times New Roman"/>
          <w:highlight w:val="none"/>
        </w:rPr>
        <w:t>入围供应商确定后，警采中心应于2个工作日内，在中国政府采购网上发布入围结果公告，同时以书面形式向入围供应商发出入围通知书，但该入围结果的有效性不依赖于未入围的供应商是否已经收到该通知。</w:t>
      </w:r>
    </w:p>
    <w:p>
      <w:pPr>
        <w:pStyle w:val="6"/>
        <w:widowControl w:val="0"/>
        <w:jc w:val="both"/>
        <w:rPr>
          <w:rFonts w:cs="Times New Roman"/>
          <w:highlight w:val="none"/>
        </w:rPr>
      </w:pPr>
      <w:r>
        <w:rPr>
          <w:rFonts w:cs="Times New Roman"/>
          <w:highlight w:val="none"/>
        </w:rPr>
        <w:t>入围通知书对采购人和入围供应商具有同等法律效力。入围通知书发出以后，警采中心</w:t>
      </w:r>
      <w:r>
        <w:rPr>
          <w:rFonts w:hint="eastAsia" w:cs="Times New Roman"/>
          <w:highlight w:val="none"/>
        </w:rPr>
        <w:t>违规</w:t>
      </w:r>
      <w:r>
        <w:rPr>
          <w:rFonts w:cs="Times New Roman"/>
          <w:highlight w:val="none"/>
        </w:rPr>
        <w:t>改变入围结果或者入围供应商放弃入围，应当承担相应的法律责任，出现争议的，报财政部门处理。</w:t>
      </w:r>
    </w:p>
    <w:p>
      <w:pPr>
        <w:pStyle w:val="6"/>
        <w:widowControl w:val="0"/>
        <w:jc w:val="both"/>
        <w:rPr>
          <w:rFonts w:cs="Times New Roman"/>
          <w:highlight w:val="none"/>
        </w:rPr>
      </w:pPr>
      <w:r>
        <w:rPr>
          <w:rFonts w:cs="Times New Roman"/>
          <w:highlight w:val="none"/>
        </w:rPr>
        <w:t>入围通知书是框架协议的组成部分。</w:t>
      </w:r>
    </w:p>
    <w:p>
      <w:pPr>
        <w:pStyle w:val="5"/>
        <w:widowControl w:val="0"/>
        <w:spacing w:before="120"/>
        <w:rPr>
          <w:highlight w:val="none"/>
        </w:rPr>
      </w:pPr>
      <w:r>
        <w:rPr>
          <w:rFonts w:hint="eastAsia"/>
          <w:highlight w:val="none"/>
        </w:rPr>
        <w:t>签订框架协议</w:t>
      </w:r>
    </w:p>
    <w:p>
      <w:pPr>
        <w:pStyle w:val="6"/>
        <w:widowControl w:val="0"/>
        <w:rPr>
          <w:rFonts w:cs="Times New Roman"/>
          <w:highlight w:val="none"/>
        </w:rPr>
      </w:pPr>
      <w:r>
        <w:rPr>
          <w:rFonts w:hint="eastAsia" w:cs="Times New Roman"/>
          <w:highlight w:val="none"/>
        </w:rPr>
        <w:t>在结果公告期限届满之日起30日内，警采中心与入围供应商签订《框架协议》。</w:t>
      </w:r>
    </w:p>
    <w:p>
      <w:pPr>
        <w:keepNext/>
        <w:keepLines/>
        <w:rPr>
          <w:highlight w:val="none"/>
        </w:rPr>
      </w:pPr>
    </w:p>
    <w:p>
      <w:pPr>
        <w:pStyle w:val="5"/>
        <w:widowControl w:val="0"/>
        <w:spacing w:before="120"/>
        <w:rPr>
          <w:highlight w:val="none"/>
        </w:rPr>
      </w:pPr>
      <w:bookmarkStart w:id="162" w:name="_Toc56157933"/>
      <w:r>
        <w:rPr>
          <w:rFonts w:hint="eastAsia"/>
          <w:highlight w:val="none"/>
        </w:rPr>
        <w:t>确定第二阶段成交供应商</w:t>
      </w:r>
    </w:p>
    <w:p>
      <w:pPr>
        <w:pStyle w:val="224"/>
        <w:keepNext/>
        <w:keepLines/>
        <w:widowControl w:val="0"/>
        <w:rPr>
          <w:rFonts w:ascii="Times New Roman" w:hAnsi="Times New Roman"/>
          <w:highlight w:val="none"/>
        </w:rPr>
      </w:pPr>
      <w:r>
        <w:rPr>
          <w:rFonts w:hint="eastAsia" w:ascii="Times New Roman" w:hAnsi="Times New Roman"/>
          <w:highlight w:val="none"/>
        </w:rPr>
        <w:t>①本次征集确定第二阶段成交供应商的主要方式为直接选定。由采购人依据入围产品价格、质量以及服务便利性、用户评价等因素，从第一阶段入围供应商中直接选定</w:t>
      </w:r>
      <w:r>
        <w:rPr>
          <w:rFonts w:ascii="Times New Roman" w:hAnsi="Times New Roman"/>
          <w:szCs w:val="32"/>
          <w:highlight w:val="none"/>
        </w:rPr>
        <w:t>并授予合同</w:t>
      </w:r>
      <w:r>
        <w:rPr>
          <w:rFonts w:hint="eastAsia" w:ascii="Times New Roman" w:hAnsi="Times New Roman"/>
          <w:highlight w:val="none"/>
        </w:rPr>
        <w:t>。</w:t>
      </w:r>
    </w:p>
    <w:p>
      <w:pPr>
        <w:pStyle w:val="224"/>
        <w:keepNext/>
        <w:keepLines/>
        <w:widowControl w:val="0"/>
        <w:rPr>
          <w:rFonts w:ascii="Times New Roman" w:hAnsi="Times New Roman"/>
          <w:highlight w:val="none"/>
        </w:rPr>
      </w:pPr>
      <w:r>
        <w:rPr>
          <w:rFonts w:hint="eastAsia" w:ascii="Times New Roman" w:hAnsi="Times New Roman"/>
          <w:highlight w:val="none"/>
        </w:rPr>
        <w:t>②采购人也可根据实际需求特点采用二次竞价的方式确定第二阶段成交供应商。以框架协议约定的入围产品、采购合同文本等为依据，以协议价格（入围供应商第一阶段响应报价）为最高限价，采购人明确第二阶段竞价需求，从入围供应商中选择所有符合竞价需求的供应商参与二次竞价，确定报价最低的为成交供应商并授予合同。警采中心当在确定成交供应商后2个工作日内逐笔发布成交结果公告。成交结果单笔公告在</w:t>
      </w:r>
      <w:r>
        <w:rPr>
          <w:highlight w:val="none"/>
        </w:rPr>
        <w:t>警采中心电子卖场交易平台</w:t>
      </w:r>
      <w:r>
        <w:rPr>
          <w:rFonts w:hint="eastAsia" w:ascii="Times New Roman" w:hAnsi="Times New Roman"/>
          <w:highlight w:val="none"/>
        </w:rPr>
        <w:t>发布。</w:t>
      </w:r>
    </w:p>
    <w:p>
      <w:pPr>
        <w:pStyle w:val="5"/>
        <w:widowControl w:val="0"/>
        <w:spacing w:before="120"/>
        <w:rPr>
          <w:highlight w:val="none"/>
        </w:rPr>
      </w:pPr>
      <w:r>
        <w:rPr>
          <w:highlight w:val="none"/>
        </w:rPr>
        <w:t>入围产品管理</w:t>
      </w:r>
      <w:bookmarkEnd w:id="162"/>
    </w:p>
    <w:p>
      <w:pPr>
        <w:pStyle w:val="224"/>
        <w:keepNext/>
        <w:keepLines/>
        <w:widowControl w:val="0"/>
        <w:rPr>
          <w:rFonts w:ascii="Times New Roman" w:hAnsi="Times New Roman"/>
          <w:kern w:val="2"/>
          <w:highlight w:val="none"/>
          <w:lang w:val="en-US"/>
        </w:rPr>
      </w:pPr>
      <w:r>
        <w:rPr>
          <w:rFonts w:hint="eastAsia" w:ascii="Times New Roman" w:hAnsi="Times New Roman"/>
          <w:kern w:val="2"/>
          <w:highlight w:val="none"/>
          <w:lang w:val="en-US"/>
        </w:rPr>
        <w:t>如入围供应商因产品升级换代，需用新产品替代原入围产品的，新产品质量应不低于原入围产品的质量，新产品价格不高于原入围产品的价格。</w:t>
      </w:r>
      <w:r>
        <w:rPr>
          <w:rFonts w:ascii="Times New Roman" w:hAnsi="Times New Roman"/>
          <w:highlight w:val="none"/>
        </w:rPr>
        <w:t>入围供应商须提前以正式书面方式提出申请，警采中心将在原评审规则基础上，按科学合理的规程组织审查</w:t>
      </w:r>
      <w:r>
        <w:rPr>
          <w:rFonts w:hint="eastAsia" w:ascii="Times New Roman" w:hAnsi="Times New Roman"/>
          <w:highlight w:val="none"/>
        </w:rPr>
        <w:t>；</w:t>
      </w:r>
    </w:p>
    <w:p>
      <w:pPr>
        <w:pStyle w:val="224"/>
        <w:keepNext/>
        <w:keepLines/>
        <w:widowControl w:val="0"/>
        <w:rPr>
          <w:rFonts w:ascii="Times New Roman" w:hAnsi="Times New Roman"/>
          <w:kern w:val="2"/>
          <w:highlight w:val="none"/>
          <w:lang w:val="en-US"/>
        </w:rPr>
      </w:pPr>
      <w:r>
        <w:rPr>
          <w:rFonts w:ascii="Times New Roman" w:hAnsi="Times New Roman"/>
          <w:kern w:val="2"/>
          <w:highlight w:val="none"/>
          <w:lang w:val="en-US"/>
        </w:rPr>
        <w:t>如</w:t>
      </w:r>
      <w:r>
        <w:rPr>
          <w:rFonts w:ascii="Times New Roman" w:hAnsi="Times New Roman"/>
          <w:highlight w:val="none"/>
        </w:rPr>
        <w:t>入围产品在</w:t>
      </w:r>
      <w:r>
        <w:rPr>
          <w:rFonts w:hint="eastAsia" w:ascii="Times New Roman" w:hAnsi="Times New Roman"/>
          <w:highlight w:val="none"/>
        </w:rPr>
        <w:t>框架协议</w:t>
      </w:r>
      <w:r>
        <w:rPr>
          <w:rFonts w:ascii="Times New Roman" w:hAnsi="Times New Roman"/>
          <w:highlight w:val="none"/>
        </w:rPr>
        <w:t>外销售价格低于协议价格</w:t>
      </w:r>
      <w:r>
        <w:rPr>
          <w:rFonts w:ascii="Times New Roman" w:hAnsi="Times New Roman"/>
          <w:kern w:val="2"/>
          <w:highlight w:val="none"/>
          <w:lang w:val="en-US"/>
        </w:rPr>
        <w:t>，则应在</w:t>
      </w:r>
      <w:r>
        <w:rPr>
          <w:rFonts w:ascii="Times New Roman" w:hAnsi="Times New Roman"/>
          <w:highlight w:val="none"/>
        </w:rPr>
        <w:t>5个工作日</w:t>
      </w:r>
      <w:r>
        <w:rPr>
          <w:rFonts w:ascii="Times New Roman" w:hAnsi="Times New Roman"/>
          <w:kern w:val="2"/>
          <w:highlight w:val="none"/>
          <w:lang w:val="en-US"/>
        </w:rPr>
        <w:t>内及时下调协议</w:t>
      </w:r>
      <w:r>
        <w:rPr>
          <w:rFonts w:hint="eastAsia" w:ascii="Times New Roman" w:hAnsi="Times New Roman"/>
          <w:kern w:val="2"/>
          <w:highlight w:val="none"/>
          <w:lang w:val="en-US"/>
        </w:rPr>
        <w:t>价格</w:t>
      </w:r>
      <w:r>
        <w:rPr>
          <w:rFonts w:ascii="Times New Roman" w:hAnsi="Times New Roman"/>
          <w:kern w:val="2"/>
          <w:highlight w:val="none"/>
          <w:lang w:val="en-US"/>
        </w:rPr>
        <w:t>；</w:t>
      </w:r>
    </w:p>
    <w:p>
      <w:pPr>
        <w:pStyle w:val="224"/>
        <w:keepNext/>
        <w:keepLines/>
        <w:widowControl w:val="0"/>
        <w:rPr>
          <w:rFonts w:ascii="Times New Roman" w:hAnsi="Times New Roman"/>
          <w:kern w:val="2"/>
          <w:highlight w:val="none"/>
          <w:lang w:val="en-US"/>
        </w:rPr>
      </w:pPr>
      <w:r>
        <w:rPr>
          <w:rFonts w:ascii="Times New Roman" w:hAnsi="Times New Roman"/>
          <w:highlight w:val="none"/>
        </w:rPr>
        <w:t>如入围产品</w:t>
      </w:r>
      <w:r>
        <w:rPr>
          <w:rFonts w:hint="eastAsia" w:ascii="Times New Roman" w:hAnsi="Times New Roman"/>
          <w:highlight w:val="none"/>
        </w:rPr>
        <w:t>因停产、</w:t>
      </w:r>
      <w:r>
        <w:rPr>
          <w:rFonts w:ascii="Times New Roman" w:hAnsi="Times New Roman"/>
          <w:highlight w:val="none"/>
        </w:rPr>
        <w:t>退市</w:t>
      </w:r>
      <w:r>
        <w:rPr>
          <w:rFonts w:hint="eastAsia" w:ascii="Times New Roman" w:hAnsi="Times New Roman"/>
          <w:highlight w:val="none"/>
        </w:rPr>
        <w:t>等需</w:t>
      </w:r>
      <w:r>
        <w:rPr>
          <w:rFonts w:ascii="Times New Roman" w:hAnsi="Times New Roman"/>
          <w:highlight w:val="none"/>
        </w:rPr>
        <w:t>下架，入围供应商应3个工作日内向警采中心提出</w:t>
      </w:r>
      <w:r>
        <w:rPr>
          <w:rFonts w:hint="eastAsia" w:ascii="Times New Roman" w:hAnsi="Times New Roman"/>
          <w:highlight w:val="none"/>
        </w:rPr>
        <w:t>下架</w:t>
      </w:r>
      <w:r>
        <w:rPr>
          <w:rFonts w:ascii="Times New Roman" w:hAnsi="Times New Roman"/>
          <w:highlight w:val="none"/>
        </w:rPr>
        <w:t>申请</w:t>
      </w:r>
      <w:r>
        <w:rPr>
          <w:rFonts w:hint="eastAsia" w:ascii="Times New Roman" w:hAnsi="Times New Roman"/>
          <w:highlight w:val="none"/>
        </w:rPr>
        <w:t>，并附相关证明文件。</w:t>
      </w:r>
    </w:p>
    <w:bookmarkEnd w:id="136"/>
    <w:bookmarkEnd w:id="137"/>
    <w:p>
      <w:pPr>
        <w:pStyle w:val="5"/>
        <w:widowControl w:val="0"/>
        <w:spacing w:before="120"/>
        <w:rPr>
          <w:highlight w:val="none"/>
        </w:rPr>
      </w:pPr>
      <w:r>
        <w:rPr>
          <w:highlight w:val="none"/>
        </w:rPr>
        <w:t>供应商补充</w:t>
      </w:r>
      <w:r>
        <w:rPr>
          <w:rFonts w:hint="eastAsia"/>
          <w:highlight w:val="none"/>
        </w:rPr>
        <w:t>规则</w:t>
      </w:r>
    </w:p>
    <w:p>
      <w:pPr>
        <w:pStyle w:val="224"/>
        <w:keepNext/>
        <w:keepLines/>
        <w:widowControl w:val="0"/>
        <w:rPr>
          <w:rFonts w:cs="宋体"/>
          <w:highlight w:val="none"/>
        </w:rPr>
      </w:pPr>
      <w:r>
        <w:rPr>
          <w:rFonts w:ascii="Times New Roman" w:hAnsi="Times New Roman"/>
          <w:highlight w:val="none"/>
        </w:rPr>
        <w:t>框架协议有效期内，由于入围供应商退出或者取消供应商入围资格后，导致分包剩余入围供应商不足入围供应商总数70%且影响框架协议执行时，警采中心</w:t>
      </w:r>
      <w:r>
        <w:rPr>
          <w:rFonts w:hint="eastAsia" w:ascii="Times New Roman" w:hAnsi="Times New Roman"/>
          <w:highlight w:val="none"/>
        </w:rPr>
        <w:t>可</w:t>
      </w:r>
      <w:r>
        <w:rPr>
          <w:rFonts w:ascii="Times New Roman" w:hAnsi="Times New Roman"/>
          <w:highlight w:val="none"/>
        </w:rPr>
        <w:t>组织补充征集供应商。补充征集的条件、程序、评审方法和淘汰比例与本次征集相同。补充征集遵守原框架协议的有效期。补充征集期间，原框架协议继续履行。</w:t>
      </w:r>
    </w:p>
    <w:p>
      <w:pPr>
        <w:pStyle w:val="5"/>
        <w:widowControl w:val="0"/>
        <w:spacing w:before="120"/>
        <w:rPr>
          <w:highlight w:val="none"/>
        </w:rPr>
      </w:pPr>
      <w:r>
        <w:rPr>
          <w:highlight w:val="none"/>
        </w:rPr>
        <w:t>供应商</w:t>
      </w:r>
      <w:r>
        <w:rPr>
          <w:rFonts w:hint="eastAsia"/>
          <w:highlight w:val="none"/>
        </w:rPr>
        <w:t>清退规则</w:t>
      </w:r>
    </w:p>
    <w:p>
      <w:pPr>
        <w:pStyle w:val="224"/>
        <w:keepNext/>
        <w:keepLines/>
        <w:widowControl w:val="0"/>
        <w:rPr>
          <w:rFonts w:ascii="Times New Roman" w:hAnsi="Times New Roman"/>
          <w:highlight w:val="none"/>
        </w:rPr>
      </w:pPr>
      <w:r>
        <w:rPr>
          <w:rFonts w:hint="eastAsia" w:ascii="Times New Roman" w:hAnsi="Times New Roman"/>
          <w:highlight w:val="none"/>
        </w:rPr>
        <w:t>入围供应商有下列情形之一，尚未签订框架协议的，取消其入围资格；已经签订框架协议的，解除与其签订的框架协议：</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1</w:t>
      </w:r>
      <w:r>
        <w:rPr>
          <w:rFonts w:hint="eastAsia" w:ascii="Times New Roman" w:hAnsi="Times New Roman"/>
          <w:highlight w:val="none"/>
        </w:rPr>
        <w:t>）恶意串通谋取入围或者合同成交的；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2</w:t>
      </w:r>
      <w:r>
        <w:rPr>
          <w:rFonts w:hint="eastAsia" w:ascii="Times New Roman" w:hAnsi="Times New Roman"/>
          <w:highlight w:val="none"/>
        </w:rPr>
        <w:t>）提供虚假材料谋取入围或者合同成交的；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3</w:t>
      </w:r>
      <w:r>
        <w:rPr>
          <w:rFonts w:hint="eastAsia" w:ascii="Times New Roman" w:hAnsi="Times New Roman"/>
          <w:highlight w:val="none"/>
        </w:rPr>
        <w:t>）无正当理由拒不接受合同授予的；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4</w:t>
      </w:r>
      <w:r>
        <w:rPr>
          <w:rFonts w:hint="eastAsia" w:ascii="Times New Roman" w:hAnsi="Times New Roman"/>
          <w:highlight w:val="none"/>
        </w:rPr>
        <w:t>）不履行合同义务或者履行合同义务不符合约定，经采购人请求履行后仍不履行或者仍未按约定履行的；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5</w:t>
      </w:r>
      <w:r>
        <w:rPr>
          <w:rFonts w:hint="eastAsia" w:ascii="Times New Roman" w:hAnsi="Times New Roman"/>
          <w:highlight w:val="none"/>
        </w:rPr>
        <w:t>）框架协议有效期内，因违法行为被禁止或限制参加政府采购活动的；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6</w:t>
      </w:r>
      <w:r>
        <w:rPr>
          <w:rFonts w:hint="eastAsia" w:ascii="Times New Roman" w:hAnsi="Times New Roman"/>
          <w:highlight w:val="none"/>
        </w:rPr>
        <w:t>）框架协议约定的其他情形。</w:t>
      </w:r>
    </w:p>
    <w:p>
      <w:pPr>
        <w:pStyle w:val="224"/>
        <w:keepNext/>
        <w:keepLines/>
        <w:widowControl w:val="0"/>
        <w:rPr>
          <w:rFonts w:ascii="Times New Roman" w:hAnsi="Times New Roman"/>
          <w:highlight w:val="none"/>
        </w:rPr>
      </w:pPr>
      <w:r>
        <w:rPr>
          <w:rFonts w:hint="eastAsia" w:cs="宋体"/>
          <w:highlight w:val="none"/>
        </w:rPr>
        <w:t>被取消入围资格或者被解除框架协议的供应商不得参加本框架协议的补充征集。</w:t>
      </w:r>
    </w:p>
    <w:p>
      <w:pPr>
        <w:pStyle w:val="224"/>
        <w:keepNext/>
        <w:keepLines/>
        <w:widowControl w:val="0"/>
        <w:rPr>
          <w:rFonts w:cs="宋体"/>
          <w:highlight w:val="none"/>
        </w:rPr>
      </w:pPr>
      <w:r>
        <w:rPr>
          <w:rFonts w:hint="eastAsia" w:ascii="Times New Roman" w:hAnsi="Times New Roman"/>
          <w:highlight w:val="none"/>
        </w:rPr>
        <w:t>入围供应商无正当理由，不得主动放弃入围资格或者退出框架协议。若有正当理由须退出的，协议供应商须以书面方式</w:t>
      </w:r>
      <w:r>
        <w:rPr>
          <w:rFonts w:ascii="Times New Roman" w:hAnsi="Times New Roman"/>
          <w:highlight w:val="none"/>
        </w:rPr>
        <w:t>向警采中心</w:t>
      </w:r>
      <w:r>
        <w:rPr>
          <w:rFonts w:hint="eastAsia" w:ascii="Times New Roman" w:hAnsi="Times New Roman"/>
          <w:highlight w:val="none"/>
        </w:rPr>
        <w:t>提出申请。</w:t>
      </w:r>
    </w:p>
    <w:p>
      <w:pPr>
        <w:pStyle w:val="224"/>
        <w:widowControl w:val="0"/>
        <w:rPr>
          <w:rFonts w:ascii="Times New Roman" w:hAnsi="Times New Roman"/>
          <w:highlight w:val="none"/>
        </w:rPr>
      </w:pPr>
    </w:p>
    <w:p>
      <w:pPr>
        <w:pStyle w:val="4"/>
        <w:spacing w:before="120"/>
        <w:ind w:left="578" w:hanging="578"/>
        <w:rPr>
          <w:highlight w:val="none"/>
        </w:rPr>
      </w:pPr>
      <w:bookmarkStart w:id="163" w:name="_Toc142051476"/>
      <w:r>
        <w:rPr>
          <w:highlight w:val="none"/>
        </w:rPr>
        <w:t>资格审查和初步评审</w:t>
      </w:r>
      <w:bookmarkEnd w:id="163"/>
    </w:p>
    <w:p>
      <w:pPr>
        <w:pStyle w:val="5"/>
        <w:keepNext w:val="0"/>
        <w:keepLines w:val="0"/>
        <w:widowControl w:val="0"/>
        <w:spacing w:before="120"/>
        <w:rPr>
          <w:highlight w:val="none"/>
        </w:rPr>
      </w:pPr>
      <w:r>
        <w:rPr>
          <w:highlight w:val="none"/>
        </w:rPr>
        <w:t>生产制造企业</w:t>
      </w:r>
    </w:p>
    <w:p>
      <w:pPr>
        <w:pStyle w:val="224"/>
        <w:widowControl w:val="0"/>
        <w:rPr>
          <w:rFonts w:ascii="Times New Roman" w:hAnsi="Times New Roman"/>
          <w:highlight w:val="none"/>
        </w:rPr>
      </w:pPr>
      <w:r>
        <w:rPr>
          <w:rFonts w:ascii="Times New Roman" w:hAnsi="Times New Roman"/>
          <w:highlight w:val="none"/>
        </w:rPr>
        <w:t>由资格审查小组、</w:t>
      </w:r>
      <w:r>
        <w:rPr>
          <w:rFonts w:hint="eastAsia" w:ascii="Times New Roman" w:hAnsi="Times New Roman"/>
          <w:highlight w:val="none"/>
        </w:rPr>
        <w:t>评审小组</w:t>
      </w:r>
      <w:r>
        <w:rPr>
          <w:rFonts w:ascii="Times New Roman" w:hAnsi="Times New Roman"/>
          <w:highlight w:val="none"/>
        </w:rPr>
        <w:t>依次按照下表要求对供应商响应文件分别进行资格审查和初步评审，通过审查的供应商进入详细评审阶段。</w:t>
      </w:r>
      <w:r>
        <w:rPr>
          <w:rFonts w:hint="eastAsia" w:ascii="Times New Roman" w:hAnsi="Times New Roman"/>
          <w:highlight w:val="none"/>
        </w:rPr>
        <w:t>如分包通过初步评审的供应商数少于</w:t>
      </w:r>
      <w:r>
        <w:rPr>
          <w:rFonts w:ascii="Times New Roman" w:hAnsi="Times New Roman"/>
          <w:highlight w:val="none"/>
        </w:rPr>
        <w:t>2</w:t>
      </w:r>
      <w:r>
        <w:rPr>
          <w:rFonts w:hint="eastAsia" w:ascii="Times New Roman" w:hAnsi="Times New Roman"/>
          <w:highlight w:val="none"/>
        </w:rPr>
        <w:t>家，直接作废包处理。</w:t>
      </w:r>
    </w:p>
    <w:tbl>
      <w:tblPr>
        <w:tblStyle w:val="41"/>
        <w:tblpPr w:leftFromText="180" w:rightFromText="180" w:vertAnchor="text" w:tblpXSpec="center" w:tblpY="1"/>
        <w:tblOverlap w:val="never"/>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568"/>
        <w:gridCol w:w="5766"/>
        <w:gridCol w:w="426"/>
        <w:gridCol w:w="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49" w:type="dxa"/>
            <w:vAlign w:val="center"/>
          </w:tcPr>
          <w:p>
            <w:pPr>
              <w:widowControl w:val="0"/>
              <w:tabs>
                <w:tab w:val="left" w:pos="0"/>
              </w:tabs>
              <w:jc w:val="center"/>
              <w:rPr>
                <w:rFonts w:eastAsia="黑体"/>
                <w:szCs w:val="21"/>
                <w:highlight w:val="none"/>
              </w:rPr>
            </w:pPr>
            <w:bookmarkStart w:id="164" w:name="_Toc10066"/>
            <w:bookmarkStart w:id="165" w:name="_Toc16531381"/>
            <w:bookmarkStart w:id="166" w:name="_Toc16531155"/>
            <w:r>
              <w:rPr>
                <w:rFonts w:eastAsia="黑体"/>
                <w:szCs w:val="21"/>
                <w:highlight w:val="none"/>
              </w:rPr>
              <w:t>序号</w:t>
            </w:r>
          </w:p>
        </w:tc>
        <w:tc>
          <w:tcPr>
            <w:tcW w:w="1568"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5766" w:type="dxa"/>
            <w:vAlign w:val="center"/>
          </w:tcPr>
          <w:p>
            <w:pPr>
              <w:widowControl w:val="0"/>
              <w:tabs>
                <w:tab w:val="left" w:pos="0"/>
              </w:tabs>
              <w:jc w:val="center"/>
              <w:rPr>
                <w:rFonts w:eastAsia="黑体"/>
                <w:szCs w:val="21"/>
                <w:highlight w:val="none"/>
              </w:rPr>
            </w:pPr>
            <w:r>
              <w:rPr>
                <w:rFonts w:eastAsia="黑体"/>
                <w:szCs w:val="21"/>
                <w:highlight w:val="none"/>
              </w:rPr>
              <w:t>审核要求</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是否提供</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pPr>
              <w:widowControl w:val="0"/>
              <w:numPr>
                <w:ilvl w:val="0"/>
                <w:numId w:val="14"/>
              </w:numPr>
              <w:ind w:left="0" w:firstLine="210" w:firstLineChars="100"/>
              <w:jc w:val="both"/>
              <w:textAlignment w:val="center"/>
              <w:rPr>
                <w:color w:val="000000"/>
                <w:szCs w:val="21"/>
                <w:highlight w:val="none"/>
              </w:rPr>
            </w:pPr>
          </w:p>
        </w:tc>
        <w:tc>
          <w:tcPr>
            <w:tcW w:w="1568" w:type="dxa"/>
            <w:vAlign w:val="center"/>
          </w:tcPr>
          <w:p>
            <w:pPr>
              <w:widowControl w:val="0"/>
              <w:snapToGrid w:val="0"/>
              <w:jc w:val="both"/>
              <w:rPr>
                <w:szCs w:val="21"/>
                <w:highlight w:val="none"/>
              </w:rPr>
            </w:pPr>
            <w:r>
              <w:rPr>
                <w:szCs w:val="21"/>
                <w:highlight w:val="none"/>
              </w:rPr>
              <w:t>*信用记录查询</w:t>
            </w:r>
          </w:p>
        </w:tc>
        <w:tc>
          <w:tcPr>
            <w:tcW w:w="5766"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资格审查时，</w:t>
            </w:r>
            <w:r>
              <w:rPr>
                <w:rFonts w:ascii="Times New Roman" w:hAnsi="Times New Roman"/>
                <w:highlight w:val="none"/>
              </w:rPr>
              <w:t>资格审查小组</w:t>
            </w:r>
            <w:r>
              <w:rPr>
                <w:rFonts w:ascii="Times New Roman" w:hAnsi="Times New Roman"/>
                <w:highlight w:val="none"/>
                <w:lang w:val="en-US"/>
              </w:rPr>
              <w:t>通过</w:t>
            </w:r>
            <w:r>
              <w:rPr>
                <w:rFonts w:hint="eastAsia" w:cs="宋体"/>
                <w:highlight w:val="none"/>
                <w:lang w:val="en-US"/>
              </w:rPr>
              <w:t>“</w:t>
            </w:r>
            <w:r>
              <w:rPr>
                <w:rFonts w:ascii="Times New Roman" w:hAnsi="Times New Roman"/>
                <w:highlight w:val="none"/>
                <w:lang w:val="en-US"/>
              </w:rPr>
              <w:t>信用中国</w:t>
            </w:r>
            <w:r>
              <w:rPr>
                <w:rFonts w:hint="eastAsia" w:cs="宋体"/>
                <w:highlight w:val="none"/>
                <w:lang w:val="en-US"/>
              </w:rPr>
              <w:t>”</w:t>
            </w:r>
            <w:r>
              <w:rPr>
                <w:rFonts w:ascii="Times New Roman" w:hAnsi="Times New Roman"/>
                <w:highlight w:val="none"/>
                <w:lang w:val="en-US"/>
              </w:rPr>
              <w:t>网站（www.creditchina.gov.cn）渠道查询供应商信用记录，经查询列入失信被执行人、税收违法黑名单、政府采购严重违法失信行为记录名单，通过中国政府采购网（www.ccgp.gov.cn）渠道查询供应商信用记录，经查询列入政府采购严重违法失信行为记录名单的供应商，其</w:t>
            </w:r>
            <w:r>
              <w:rPr>
                <w:rFonts w:hint="eastAsia" w:ascii="Times New Roman" w:hAnsi="Times New Roman"/>
                <w:highlight w:val="none"/>
                <w:lang w:val="en-US"/>
              </w:rPr>
              <w:t>响应</w:t>
            </w:r>
            <w:r>
              <w:rPr>
                <w:rFonts w:ascii="Times New Roman" w:hAnsi="Times New Roman"/>
                <w:highlight w:val="none"/>
                <w:lang w:val="en-US"/>
              </w:rPr>
              <w:t>无效。供应商的信用记录查询结果截图将作为资格审查结果的组成部分。</w:t>
            </w:r>
          </w:p>
        </w:tc>
        <w:tc>
          <w:tcPr>
            <w:tcW w:w="426" w:type="dxa"/>
            <w:vAlign w:val="center"/>
          </w:tcPr>
          <w:p>
            <w:pPr>
              <w:widowControl w:val="0"/>
              <w:tabs>
                <w:tab w:val="left" w:pos="0"/>
              </w:tabs>
              <w:jc w:val="center"/>
              <w:rPr>
                <w:rFonts w:eastAsia="黑体"/>
                <w:szCs w:val="21"/>
                <w:highlight w:val="none"/>
              </w:rPr>
            </w:pPr>
            <w:r>
              <w:rPr>
                <w:rFonts w:hint="eastAsia"/>
                <w:b/>
                <w:bCs/>
                <w:szCs w:val="21"/>
                <w:highlight w:val="none"/>
                <w:lang w:val="en-US"/>
              </w:rPr>
              <w:t>/</w:t>
            </w:r>
          </w:p>
        </w:tc>
        <w:tc>
          <w:tcPr>
            <w:tcW w:w="426" w:type="dxa"/>
            <w:vAlign w:val="center"/>
          </w:tcPr>
          <w:p>
            <w:pPr>
              <w:widowControl w:val="0"/>
              <w:tabs>
                <w:tab w:val="left" w:pos="0"/>
              </w:tabs>
              <w:jc w:val="both"/>
              <w:rPr>
                <w:rFonts w:eastAsia="黑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rPr>
            </w:pPr>
          </w:p>
        </w:tc>
        <w:tc>
          <w:tcPr>
            <w:tcW w:w="1568" w:type="dxa"/>
            <w:vAlign w:val="center"/>
          </w:tcPr>
          <w:p>
            <w:pPr>
              <w:widowControl w:val="0"/>
              <w:snapToGrid w:val="0"/>
              <w:jc w:val="both"/>
              <w:rPr>
                <w:szCs w:val="21"/>
                <w:highlight w:val="none"/>
                <w:lang w:val="en-US"/>
              </w:rPr>
            </w:pPr>
            <w:r>
              <w:rPr>
                <w:szCs w:val="21"/>
                <w:highlight w:val="none"/>
              </w:rPr>
              <w:t>*承诺函</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w:t>
            </w:r>
            <w:r>
              <w:rPr>
                <w:rFonts w:hint="eastAsia" w:cs="宋体"/>
                <w:highlight w:val="none"/>
                <w:lang w:val="en-US"/>
              </w:rPr>
              <w:t>“</w:t>
            </w:r>
            <w:r>
              <w:rPr>
                <w:rFonts w:ascii="Times New Roman" w:hAnsi="Times New Roman"/>
                <w:highlight w:val="none"/>
                <w:lang w:val="en-US"/>
              </w:rPr>
              <w:t>附件5.3</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rPr>
            </w:pPr>
          </w:p>
        </w:tc>
        <w:tc>
          <w:tcPr>
            <w:tcW w:w="1568" w:type="dxa"/>
            <w:vAlign w:val="center"/>
          </w:tcPr>
          <w:p>
            <w:pPr>
              <w:widowControl w:val="0"/>
              <w:snapToGrid w:val="0"/>
              <w:jc w:val="both"/>
              <w:rPr>
                <w:szCs w:val="21"/>
                <w:highlight w:val="none"/>
              </w:rPr>
            </w:pPr>
            <w:r>
              <w:rPr>
                <w:szCs w:val="21"/>
                <w:highlight w:val="none"/>
              </w:rPr>
              <w:t>*</w:t>
            </w:r>
            <w:r>
              <w:rPr>
                <w:szCs w:val="21"/>
                <w:highlight w:val="none"/>
                <w:lang w:val="en-US"/>
              </w:rPr>
              <w:t>法定代表人授权委托书</w:t>
            </w:r>
          </w:p>
        </w:tc>
        <w:tc>
          <w:tcPr>
            <w:tcW w:w="5766" w:type="dxa"/>
          </w:tcPr>
          <w:p>
            <w:pPr>
              <w:pStyle w:val="224"/>
              <w:widowControl w:val="0"/>
              <w:ind w:firstLine="0" w:firstLineChars="0"/>
              <w:rPr>
                <w:rFonts w:ascii="Times New Roman" w:hAnsi="Times New Roman"/>
                <w:highlight w:val="none"/>
              </w:rPr>
            </w:pPr>
            <w:r>
              <w:rPr>
                <w:rFonts w:ascii="Times New Roman" w:hAnsi="Times New Roman"/>
                <w:highlight w:val="none"/>
              </w:rPr>
              <w:t>法定代表人授权委托书（须同时提供法定代表人和被授权人的身份证扫描件；若法定代表人直接参与</w:t>
            </w:r>
            <w:r>
              <w:rPr>
                <w:rFonts w:hint="eastAsia" w:ascii="Times New Roman" w:hAnsi="Times New Roman"/>
                <w:highlight w:val="none"/>
              </w:rPr>
              <w:t>响应</w:t>
            </w:r>
            <w:r>
              <w:rPr>
                <w:rFonts w:ascii="Times New Roman" w:hAnsi="Times New Roman"/>
                <w:highlight w:val="none"/>
              </w:rPr>
              <w:t>，则仅须提供法定代表人的身份证扫描件）。</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附件5.4</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rPr>
            </w:pPr>
          </w:p>
        </w:tc>
        <w:tc>
          <w:tcPr>
            <w:tcW w:w="1568" w:type="dxa"/>
            <w:vAlign w:val="center"/>
          </w:tcPr>
          <w:p>
            <w:pPr>
              <w:widowControl w:val="0"/>
              <w:snapToGrid w:val="0"/>
              <w:jc w:val="both"/>
              <w:rPr>
                <w:szCs w:val="21"/>
                <w:highlight w:val="none"/>
                <w:lang w:val="en-US"/>
              </w:rPr>
            </w:pPr>
            <w:r>
              <w:rPr>
                <w:szCs w:val="21"/>
                <w:highlight w:val="none"/>
              </w:rPr>
              <w:t>*营业执照</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有效的企业法人营业执照/事业单位法人证书扫描件，并加盖供应商公章。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ascii="Times New Roman" w:hAnsi="Times New Roman"/>
                <w:highlight w:val="none"/>
              </w:rPr>
              <w:t>国家市场监督管理总局</w:t>
            </w:r>
            <w:r>
              <w:rPr>
                <w:rFonts w:ascii="Times New Roman" w:hAnsi="Times New Roman"/>
                <w:highlight w:val="none"/>
                <w:lang w:val="en-US"/>
              </w:rPr>
              <w:t>“国家企业信用信息公示系统”(http://www.gsxt.gov.cn/index.html)查询上述文件的真实有效性。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*纳税证明</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供应商提供自2022年12月1日起至响应截止之日连续3个月的纳税证明材料并加盖供应商公章；如至评审之日成立不足三个月的新企业，应出具本企业将依法纳税的声明承诺函加盖供应商公章。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审查上述材料的真实有效性。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*社保缴费记录证明</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列有企业人员名单的社保缴费记录证明文件扫描件加盖供应商公章；如至评审之日成立不足三个月的新企业，应出具本企业将依法缴纳社保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*审计报告</w:t>
            </w:r>
          </w:p>
        </w:tc>
        <w:tc>
          <w:tcPr>
            <w:tcW w:w="5766" w:type="dxa"/>
            <w:vAlign w:val="center"/>
          </w:tcPr>
          <w:p>
            <w:pPr>
              <w:pStyle w:val="224"/>
              <w:widowControl w:val="0"/>
              <w:ind w:firstLine="0" w:firstLineChars="0"/>
              <w:rPr>
                <w:rFonts w:ascii="Times New Roman" w:hAnsi="Times New Roman"/>
                <w:highlight w:val="none"/>
                <w:lang w:val="en-US"/>
              </w:rPr>
            </w:pPr>
            <w:r>
              <w:rPr>
                <w:highlight w:val="none"/>
                <w:lang w:val="en-US"/>
              </w:rPr>
              <w:t>提供会计师事务所</w:t>
            </w:r>
            <w:r>
              <w:rPr>
                <w:rFonts w:ascii="Times New Roman" w:hAnsi="Times New Roman"/>
                <w:highlight w:val="none"/>
                <w:lang w:val="en-US"/>
              </w:rPr>
              <w:t>出具的</w:t>
            </w:r>
            <w:r>
              <w:rPr>
                <w:rFonts w:hint="eastAsia" w:ascii="Times New Roman" w:hAnsi="Times New Roman"/>
                <w:highlight w:val="none"/>
                <w:lang w:val="en-US"/>
              </w:rPr>
              <w:t>2021年或2022年审计报告</w:t>
            </w:r>
            <w:r>
              <w:rPr>
                <w:rFonts w:ascii="Times New Roman" w:hAnsi="Times New Roman"/>
                <w:highlight w:val="none"/>
                <w:lang w:val="en-US"/>
              </w:rPr>
              <w:t>（审计报告、财务报表及附注）扫描件加盖供应商公章，</w:t>
            </w:r>
            <w:r>
              <w:rPr>
                <w:highlight w:val="none"/>
                <w:lang w:val="en-US"/>
              </w:rPr>
              <w:t>开业不足一年的可出具基本账户开户银行出具的资信证明</w:t>
            </w:r>
            <w:r>
              <w:rPr>
                <w:rFonts w:hint="eastAsia"/>
                <w:highlight w:val="none"/>
                <w:lang w:val="en-US"/>
              </w:rPr>
              <w:t>。</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*生产制造企业承诺函</w:t>
            </w:r>
          </w:p>
        </w:tc>
        <w:tc>
          <w:tcPr>
            <w:tcW w:w="5766"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供应商须提供生产制造企业承诺函。</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附件5.5</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*生产场地证明文件</w:t>
            </w:r>
          </w:p>
        </w:tc>
        <w:tc>
          <w:tcPr>
            <w:tcW w:w="5766"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房产证或租赁合同或其他有效的生产场地证明文件；扫描件加盖供应商公章。</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w:t>
            </w:r>
            <w:r>
              <w:rPr>
                <w:highlight w:val="none"/>
              </w:rPr>
              <w:t>质量管理体系</w:t>
            </w:r>
            <w:r>
              <w:rPr>
                <w:rFonts w:hint="eastAsia"/>
                <w:highlight w:val="none"/>
              </w:rPr>
              <w:t>证书</w:t>
            </w:r>
          </w:p>
        </w:tc>
        <w:tc>
          <w:tcPr>
            <w:tcW w:w="5766" w:type="dxa"/>
          </w:tcPr>
          <w:p>
            <w:pPr>
              <w:pStyle w:val="256"/>
              <w:keepNext w:val="0"/>
              <w:keepLines w:val="0"/>
              <w:widowControl w:val="0"/>
              <w:spacing w:after="0" w:afterLines="0"/>
              <w:ind w:left="0"/>
              <w:rPr>
                <w:color w:val="auto"/>
                <w:highlight w:val="none"/>
                <w:lang w:val="en-US"/>
              </w:rPr>
            </w:pPr>
            <w:r>
              <w:rPr>
                <w:color w:val="auto"/>
                <w:highlight w:val="none"/>
                <w:lang w:val="en-US"/>
              </w:rPr>
              <w:t>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产品的生产制造</w:t>
            </w:r>
            <w:r>
              <w:rPr>
                <w:color w:val="auto"/>
                <w:highlight w:val="none"/>
                <w:lang w:val="en-US"/>
              </w:rPr>
              <w:t>。扫描件加盖供应商公章。</w:t>
            </w:r>
          </w:p>
          <w:p>
            <w:pPr>
              <w:pStyle w:val="256"/>
              <w:keepNext w:val="0"/>
              <w:keepLines w:val="0"/>
              <w:widowControl w:val="0"/>
              <w:spacing w:after="0" w:afterLines="0"/>
              <w:ind w:left="0"/>
              <w:rPr>
                <w:color w:val="auto"/>
                <w:highlight w:val="none"/>
                <w:lang w:val="en-US"/>
              </w:rPr>
            </w:pPr>
            <w:r>
              <w:rPr>
                <w:highlight w:val="none"/>
                <w:lang w:val="en-US"/>
              </w:rPr>
              <w:t>审查是否满足</w:t>
            </w:r>
            <w:r>
              <w:rPr>
                <w:rFonts w:hint="eastAsia"/>
                <w:highlight w:val="none"/>
                <w:lang w:val="en-US"/>
              </w:rPr>
              <w:t>征集文件</w:t>
            </w:r>
            <w:r>
              <w:rPr>
                <w:highlight w:val="none"/>
                <w:lang w:val="en-US"/>
              </w:rPr>
              <w:t xml:space="preserve">要求。 </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*报价一览表</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供应商如实填报所</w:t>
            </w:r>
            <w:r>
              <w:rPr>
                <w:rFonts w:hint="eastAsia" w:ascii="Times New Roman" w:hAnsi="Times New Roman"/>
                <w:highlight w:val="none"/>
                <w:lang w:val="en-US"/>
              </w:rPr>
              <w:t>响应</w:t>
            </w:r>
            <w:r>
              <w:rPr>
                <w:rFonts w:ascii="Times New Roman" w:hAnsi="Times New Roman"/>
                <w:highlight w:val="none"/>
                <w:lang w:val="en-US"/>
              </w:rPr>
              <w:t>产品的品牌、规格型号、价格等。</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附件5.7</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r>
              <w:rPr>
                <w:rFonts w:ascii="Times New Roman" w:hAnsi="Times New Roman"/>
                <w:color w:val="000000"/>
                <w:highlight w:val="none"/>
                <w:lang w:val="en-US"/>
              </w:rPr>
              <w:t xml:space="preserve"> </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*检验报告</w:t>
            </w:r>
          </w:p>
        </w:tc>
        <w:tc>
          <w:tcPr>
            <w:tcW w:w="5766" w:type="dxa"/>
          </w:tcPr>
          <w:p>
            <w:pPr>
              <w:pStyle w:val="224"/>
              <w:widowControl w:val="0"/>
              <w:ind w:firstLine="0" w:firstLineChars="0"/>
              <w:rPr>
                <w:rFonts w:ascii="Times New Roman" w:hAnsi="Times New Roman"/>
                <w:highlight w:val="none"/>
                <w:lang w:val="en-US"/>
              </w:rPr>
            </w:pPr>
            <w:r>
              <w:rPr>
                <w:rFonts w:hint="eastAsia"/>
                <w:highlight w:val="none"/>
                <w:lang w:val="en-US"/>
              </w:rPr>
              <w:t>供应商须提供所投产品由国家认证认可监督管理委员会资质认定的检验机构</w:t>
            </w:r>
            <w:r>
              <w:rPr>
                <w:highlight w:val="none"/>
                <w:lang w:val="en-US"/>
              </w:rPr>
              <w:t>出具的自</w:t>
            </w:r>
            <w:r>
              <w:rPr>
                <w:rFonts w:ascii="Times New Roman" w:hAnsi="Times New Roman"/>
                <w:highlight w:val="none"/>
                <w:lang w:val="en-US"/>
              </w:rPr>
              <w:t>2019年1月1日</w:t>
            </w:r>
            <w:r>
              <w:rPr>
                <w:highlight w:val="none"/>
                <w:lang w:val="en-US"/>
              </w:rPr>
              <w:t>起至响应截止之日的合格检验报告</w:t>
            </w:r>
            <w:r>
              <w:rPr>
                <w:rFonts w:ascii="Times New Roman" w:hAnsi="Times New Roman"/>
                <w:b/>
                <w:highlight w:val="none"/>
                <w:lang w:val="en-US"/>
              </w:rPr>
              <w:t>，送检人必须是</w:t>
            </w:r>
            <w:r>
              <w:rPr>
                <w:rFonts w:hint="eastAsia" w:ascii="Times New Roman" w:hAnsi="Times New Roman"/>
                <w:b/>
                <w:highlight w:val="none"/>
                <w:lang w:val="en-US"/>
              </w:rPr>
              <w:t>响应</w:t>
            </w:r>
            <w:r>
              <w:rPr>
                <w:rFonts w:ascii="Times New Roman" w:hAnsi="Times New Roman"/>
                <w:b/>
                <w:highlight w:val="none"/>
                <w:lang w:val="en-US"/>
              </w:rPr>
              <w:t>供应商</w:t>
            </w:r>
            <w:r>
              <w:rPr>
                <w:rFonts w:ascii="Times New Roman" w:hAnsi="Times New Roman"/>
                <w:highlight w:val="none"/>
                <w:lang w:val="en-US"/>
              </w:rPr>
              <w:t>。扫描件加盖供应商公章。</w:t>
            </w:r>
          </w:p>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审查</w:t>
            </w:r>
            <w:r>
              <w:rPr>
                <w:rFonts w:ascii="Times New Roman" w:hAnsi="Times New Roman"/>
                <w:highlight w:val="none"/>
                <w:lang w:val="en-US"/>
              </w:rPr>
              <w:t>上述文件的真实有效性</w:t>
            </w:r>
            <w:r>
              <w:rPr>
                <w:rFonts w:hint="eastAsia" w:ascii="Times New Roman" w:hAnsi="Times New Roman"/>
                <w:highlight w:val="none"/>
                <w:lang w:val="en-US"/>
              </w:rPr>
              <w:t>及</w:t>
            </w:r>
            <w:r>
              <w:rPr>
                <w:rFonts w:ascii="Times New Roman" w:hAnsi="Times New Roman"/>
                <w:highlight w:val="none"/>
                <w:lang w:val="en-US"/>
              </w:rPr>
              <w:t>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rFonts w:hint="eastAsia"/>
                <w:highlight w:val="none"/>
                <w:lang w:val="en-US"/>
              </w:rPr>
              <w:t>*产品技术规范偏离表</w:t>
            </w:r>
          </w:p>
        </w:tc>
        <w:tc>
          <w:tcPr>
            <w:tcW w:w="5766"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供应商</w:t>
            </w:r>
            <w:r>
              <w:rPr>
                <w:rFonts w:ascii="Times New Roman" w:hAnsi="Times New Roman"/>
                <w:highlight w:val="none"/>
                <w:lang w:val="en-US"/>
              </w:rPr>
              <w:t>提供</w:t>
            </w:r>
            <w:r>
              <w:rPr>
                <w:rFonts w:hint="eastAsia" w:ascii="Times New Roman" w:hAnsi="Times New Roman"/>
                <w:highlight w:val="none"/>
                <w:lang w:val="en-US"/>
              </w:rPr>
              <w:t>“</w:t>
            </w:r>
            <w:r>
              <w:rPr>
                <w:rFonts w:ascii="Times New Roman" w:hAnsi="Times New Roman"/>
                <w:highlight w:val="none"/>
                <w:lang w:val="en-US"/>
              </w:rPr>
              <w:t>产品技术规范偏离表</w:t>
            </w:r>
            <w:r>
              <w:rPr>
                <w:rFonts w:hint="eastAsia" w:ascii="Times New Roman" w:hAnsi="Times New Roman"/>
                <w:highlight w:val="none"/>
                <w:lang w:val="en-US"/>
              </w:rPr>
              <w:t>”，</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附件5.8</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*技术文件</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w:t>
            </w:r>
            <w:r>
              <w:rPr>
                <w:rFonts w:hint="eastAsia" w:ascii="Times New Roman" w:hAnsi="Times New Roman"/>
                <w:highlight w:val="none"/>
                <w:lang w:val="en-US"/>
              </w:rPr>
              <w:t>响应</w:t>
            </w:r>
            <w:r>
              <w:rPr>
                <w:rFonts w:ascii="Times New Roman" w:hAnsi="Times New Roman"/>
                <w:highlight w:val="none"/>
                <w:lang w:val="en-US"/>
              </w:rPr>
              <w:t>产品含规格型号、参数配置和性能描述等内容的技术文件。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w:t>
            </w:r>
            <w:r>
              <w:rPr>
                <w:rFonts w:hint="eastAsia" w:ascii="Times New Roman" w:hAnsi="Times New Roman"/>
                <w:highlight w:val="none"/>
                <w:lang w:val="en-US"/>
              </w:rPr>
              <w:t>响应</w:t>
            </w:r>
            <w:r>
              <w:rPr>
                <w:rFonts w:ascii="Times New Roman" w:hAnsi="Times New Roman"/>
                <w:highlight w:val="none"/>
                <w:lang w:val="en-US"/>
              </w:rPr>
              <w:t>产品的技术文件是否满足</w:t>
            </w:r>
            <w:r>
              <w:rPr>
                <w:rFonts w:hint="eastAsia" w:ascii="Times New Roman" w:hAnsi="Times New Roman"/>
                <w:highlight w:val="none"/>
                <w:lang w:val="en-US"/>
              </w:rPr>
              <w:t>征集文件</w:t>
            </w:r>
            <w:r>
              <w:rPr>
                <w:rFonts w:ascii="Times New Roman" w:hAnsi="Times New Roman"/>
                <w:highlight w:val="none"/>
                <w:lang w:val="en-US"/>
              </w:rPr>
              <w:t>技术要求。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*服务文件</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按照采购需求</w:t>
            </w:r>
            <w:r>
              <w:rPr>
                <w:rFonts w:hint="eastAsia" w:cs="宋体"/>
                <w:highlight w:val="none"/>
                <w:lang w:val="en-US"/>
              </w:rPr>
              <w:t>“</w:t>
            </w:r>
            <w:r>
              <w:rPr>
                <w:rFonts w:ascii="Times New Roman" w:hAnsi="Times New Roman"/>
                <w:highlight w:val="none"/>
                <w:lang w:val="en-US"/>
              </w:rPr>
              <w:t>1.5服务要求</w:t>
            </w:r>
            <w:r>
              <w:rPr>
                <w:rFonts w:hint="eastAsia" w:cs="宋体"/>
                <w:highlight w:val="none"/>
                <w:lang w:val="en-US"/>
              </w:rPr>
              <w:t>”</w:t>
            </w:r>
            <w:r>
              <w:rPr>
                <w:rFonts w:ascii="Times New Roman" w:hAnsi="Times New Roman"/>
                <w:highlight w:val="none"/>
                <w:lang w:val="en-US"/>
              </w:rPr>
              <w:t>，提供详细的服务相关材料，</w:t>
            </w:r>
            <w:r>
              <w:rPr>
                <w:rFonts w:ascii="Times New Roman" w:hAnsi="Times New Roman"/>
                <w:highlight w:val="none"/>
              </w:rPr>
              <w:t>按照</w:t>
            </w:r>
            <w:r>
              <w:rPr>
                <w:rFonts w:ascii="Times New Roman" w:hAnsi="Times New Roman"/>
                <w:highlight w:val="none"/>
                <w:lang w:val="en-US"/>
              </w:rPr>
              <w:t>“附件5.9”格式与内容要求提供。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*资质文件</w:t>
            </w:r>
          </w:p>
        </w:tc>
        <w:tc>
          <w:tcPr>
            <w:tcW w:w="5766" w:type="dxa"/>
            <w:vAlign w:val="center"/>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响应</w:t>
            </w:r>
            <w:r>
              <w:rPr>
                <w:rFonts w:ascii="Times New Roman" w:hAnsi="Times New Roman"/>
                <w:highlight w:val="none"/>
                <w:lang w:val="en-US"/>
              </w:rPr>
              <w:t>产品如符合第3章</w:t>
            </w:r>
            <w:r>
              <w:rPr>
                <w:rFonts w:hint="eastAsia" w:cs="宋体"/>
                <w:highlight w:val="none"/>
                <w:lang w:val="en-US"/>
              </w:rPr>
              <w:t>“</w:t>
            </w:r>
            <w:r>
              <w:rPr>
                <w:rFonts w:ascii="Times New Roman" w:hAnsi="Times New Roman"/>
                <w:highlight w:val="none"/>
                <w:lang w:val="en-US"/>
              </w:rPr>
              <w:t>3.2.2</w:t>
            </w:r>
            <w:r>
              <w:rPr>
                <w:rFonts w:hint="eastAsia" w:ascii="Times New Roman" w:hAnsi="Times New Roman"/>
                <w:highlight w:val="none"/>
                <w:lang w:val="en-US"/>
              </w:rPr>
              <w:t>、</w:t>
            </w:r>
            <w:r>
              <w:rPr>
                <w:rFonts w:ascii="Times New Roman" w:hAnsi="Times New Roman"/>
                <w:highlight w:val="none"/>
                <w:lang w:val="en-US"/>
              </w:rPr>
              <w:t>3.2.3</w:t>
            </w:r>
            <w:r>
              <w:rPr>
                <w:rFonts w:hint="eastAsia" w:ascii="Times New Roman" w:hAnsi="Times New Roman"/>
                <w:highlight w:val="none"/>
                <w:lang w:val="en-US"/>
              </w:rPr>
              <w:t>、</w:t>
            </w:r>
            <w:r>
              <w:rPr>
                <w:rFonts w:ascii="Times New Roman" w:hAnsi="Times New Roman"/>
                <w:highlight w:val="none"/>
                <w:lang w:val="en-US"/>
              </w:rPr>
              <w:t>3.2.4</w:t>
            </w:r>
            <w:r>
              <w:rPr>
                <w:rFonts w:hint="eastAsia" w:cs="宋体"/>
                <w:highlight w:val="none"/>
                <w:lang w:val="en-US"/>
              </w:rPr>
              <w:t>”</w:t>
            </w:r>
            <w:r>
              <w:rPr>
                <w:rFonts w:ascii="Times New Roman" w:hAnsi="Times New Roman"/>
                <w:highlight w:val="none"/>
                <w:lang w:val="en-US"/>
              </w:rPr>
              <w:t>的相关要求，供应商须提供相关资质文件。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若有，则审查文件的真实有效性。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商标注册证</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由国家知识产权局或原商标局颁发的商标注册证。扫描件加盖供应商公章。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hint="eastAsia" w:cs="宋体"/>
                <w:highlight w:val="none"/>
                <w:lang w:val="en-US"/>
              </w:rPr>
              <w:t>“</w:t>
            </w:r>
            <w:r>
              <w:rPr>
                <w:rFonts w:ascii="Times New Roman" w:hAnsi="Times New Roman"/>
                <w:highlight w:val="none"/>
                <w:lang w:val="en-US"/>
              </w:rPr>
              <w:t>国家知识产权局商标局 中国商标网</w:t>
            </w:r>
            <w:r>
              <w:rPr>
                <w:rFonts w:hint="eastAsia" w:cs="宋体"/>
                <w:highlight w:val="none"/>
                <w:lang w:val="en-US"/>
              </w:rPr>
              <w:t>”</w:t>
            </w:r>
            <w:r>
              <w:rPr>
                <w:rFonts w:ascii="Times New Roman" w:hAnsi="Times New Roman"/>
                <w:highlight w:val="none"/>
                <w:lang w:val="en-US"/>
              </w:rPr>
              <w:t>（wcjs.sbj.cnipa.gov.cn）查询上述证书的真实有效性。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中小企业声明函</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供应商提供中小企业声明函，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0</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4"/>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lang w:val="en-US"/>
              </w:rPr>
            </w:pPr>
            <w:r>
              <w:rPr>
                <w:highlight w:val="none"/>
                <w:lang w:val="en-US"/>
              </w:rPr>
              <w:t>残疾人福利性单位声明函</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供应商提供残疾人福利性单位声明函，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1</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bl>
    <w:p>
      <w:pPr>
        <w:pStyle w:val="5"/>
        <w:keepNext w:val="0"/>
        <w:keepLines w:val="0"/>
        <w:widowControl w:val="0"/>
        <w:spacing w:before="120"/>
        <w:rPr>
          <w:color w:val="auto"/>
          <w:highlight w:val="none"/>
        </w:rPr>
      </w:pPr>
      <w:bookmarkStart w:id="167" w:name="_Toc71537722"/>
      <w:r>
        <w:rPr>
          <w:color w:val="auto"/>
          <w:highlight w:val="none"/>
        </w:rPr>
        <w:t>研发设计企业</w:t>
      </w:r>
    </w:p>
    <w:p>
      <w:pPr>
        <w:pStyle w:val="224"/>
        <w:widowControl w:val="0"/>
        <w:rPr>
          <w:rFonts w:ascii="Times New Roman" w:hAnsi="Times New Roman"/>
          <w:highlight w:val="none"/>
        </w:rPr>
      </w:pPr>
      <w:r>
        <w:rPr>
          <w:rFonts w:ascii="Times New Roman" w:hAnsi="Times New Roman"/>
          <w:highlight w:val="none"/>
        </w:rPr>
        <w:t>由资格审查小组、</w:t>
      </w:r>
      <w:r>
        <w:rPr>
          <w:rFonts w:hint="eastAsia" w:ascii="Times New Roman" w:hAnsi="Times New Roman"/>
          <w:highlight w:val="none"/>
        </w:rPr>
        <w:t>评审小组</w:t>
      </w:r>
      <w:r>
        <w:rPr>
          <w:rFonts w:ascii="Times New Roman" w:hAnsi="Times New Roman"/>
          <w:highlight w:val="none"/>
        </w:rPr>
        <w:t>依次按照下表要求对供应商响应文件分别进行资格审查和初步评审，通过审查的供应商进入详细评审阶段。</w:t>
      </w:r>
      <w:r>
        <w:rPr>
          <w:rFonts w:hint="eastAsia" w:ascii="Times New Roman" w:hAnsi="Times New Roman"/>
          <w:highlight w:val="none"/>
        </w:rPr>
        <w:t>如分包通过初步评审的供应商数少于</w:t>
      </w:r>
      <w:r>
        <w:rPr>
          <w:rFonts w:ascii="Times New Roman" w:hAnsi="Times New Roman"/>
          <w:highlight w:val="none"/>
        </w:rPr>
        <w:t>2</w:t>
      </w:r>
      <w:r>
        <w:rPr>
          <w:rFonts w:hint="eastAsia" w:ascii="Times New Roman" w:hAnsi="Times New Roman"/>
          <w:highlight w:val="none"/>
        </w:rPr>
        <w:t>家，直接作废包处理。</w:t>
      </w:r>
    </w:p>
    <w:tbl>
      <w:tblPr>
        <w:tblStyle w:val="41"/>
        <w:tblpPr w:leftFromText="180" w:rightFromText="180" w:vertAnchor="text" w:tblpXSpec="center" w:tblpY="1"/>
        <w:tblOverlap w:val="never"/>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568"/>
        <w:gridCol w:w="5764"/>
        <w:gridCol w:w="426"/>
        <w:gridCol w:w="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1" w:type="dxa"/>
            <w:vAlign w:val="center"/>
          </w:tcPr>
          <w:p>
            <w:pPr>
              <w:widowControl w:val="0"/>
              <w:tabs>
                <w:tab w:val="left" w:pos="0"/>
              </w:tabs>
              <w:jc w:val="center"/>
              <w:rPr>
                <w:rFonts w:eastAsia="黑体"/>
                <w:szCs w:val="21"/>
                <w:highlight w:val="none"/>
              </w:rPr>
            </w:pPr>
            <w:r>
              <w:rPr>
                <w:rFonts w:eastAsia="黑体"/>
                <w:szCs w:val="21"/>
                <w:highlight w:val="none"/>
              </w:rPr>
              <w:t>序号</w:t>
            </w:r>
          </w:p>
        </w:tc>
        <w:tc>
          <w:tcPr>
            <w:tcW w:w="1568"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5764" w:type="dxa"/>
            <w:vAlign w:val="center"/>
          </w:tcPr>
          <w:p>
            <w:pPr>
              <w:widowControl w:val="0"/>
              <w:tabs>
                <w:tab w:val="left" w:pos="0"/>
              </w:tabs>
              <w:jc w:val="center"/>
              <w:rPr>
                <w:rFonts w:eastAsia="黑体"/>
                <w:szCs w:val="21"/>
                <w:highlight w:val="none"/>
              </w:rPr>
            </w:pPr>
            <w:r>
              <w:rPr>
                <w:rFonts w:eastAsia="黑体"/>
                <w:szCs w:val="21"/>
                <w:highlight w:val="none"/>
              </w:rPr>
              <w:t>审核要求</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是否提供</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lang w:val="en-US"/>
              </w:rPr>
            </w:pPr>
            <w:r>
              <w:rPr>
                <w:szCs w:val="21"/>
                <w:highlight w:val="none"/>
              </w:rPr>
              <w:t>*信用记录查询</w:t>
            </w:r>
          </w:p>
        </w:tc>
        <w:tc>
          <w:tcPr>
            <w:tcW w:w="5764"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资格审查时，</w:t>
            </w:r>
            <w:r>
              <w:rPr>
                <w:rFonts w:ascii="Times New Roman" w:hAnsi="Times New Roman"/>
                <w:highlight w:val="none"/>
              </w:rPr>
              <w:t>资格审查小组</w:t>
            </w:r>
            <w:r>
              <w:rPr>
                <w:rFonts w:ascii="Times New Roman" w:hAnsi="Times New Roman"/>
                <w:highlight w:val="none"/>
                <w:lang w:val="en-US"/>
              </w:rPr>
              <w:t>通过</w:t>
            </w:r>
            <w:r>
              <w:rPr>
                <w:rFonts w:hint="eastAsia" w:cs="宋体"/>
                <w:highlight w:val="none"/>
                <w:lang w:val="en-US"/>
              </w:rPr>
              <w:t>“信用中国”</w:t>
            </w:r>
            <w:r>
              <w:rPr>
                <w:rFonts w:ascii="Times New Roman" w:hAnsi="Times New Roman"/>
                <w:highlight w:val="none"/>
                <w:lang w:val="en-US"/>
              </w:rPr>
              <w:t>网站（www.creditchina.gov.cn）渠道查询供应商信用记录，经查询列入失信被执行人、税收违法黑名单、政府采购严重违法失信行为记录名单，通过中国政府采购网（www.ccgp.gov.cn）渠道查询供应商信用记录，经查询列入政府采购严重违法失信行为记录名单的供应商，其</w:t>
            </w:r>
            <w:r>
              <w:rPr>
                <w:rFonts w:hint="eastAsia" w:ascii="Times New Roman" w:hAnsi="Times New Roman"/>
                <w:highlight w:val="none"/>
                <w:lang w:val="en-US"/>
              </w:rPr>
              <w:t>响应</w:t>
            </w:r>
            <w:r>
              <w:rPr>
                <w:rFonts w:ascii="Times New Roman" w:hAnsi="Times New Roman"/>
                <w:highlight w:val="none"/>
                <w:lang w:val="en-US"/>
              </w:rPr>
              <w:t>无效。供应商的信用记录查询结果截图将作为资格审查结果的组成部分。</w:t>
            </w:r>
          </w:p>
        </w:tc>
        <w:tc>
          <w:tcPr>
            <w:tcW w:w="426" w:type="dxa"/>
            <w:vAlign w:val="center"/>
          </w:tcPr>
          <w:p>
            <w:pPr>
              <w:widowControl w:val="0"/>
              <w:snapToGrid w:val="0"/>
              <w:jc w:val="center"/>
              <w:rPr>
                <w:szCs w:val="21"/>
                <w:highlight w:val="none"/>
                <w:lang w:val="en-US"/>
              </w:rPr>
            </w:pPr>
            <w:r>
              <w:rPr>
                <w:rFonts w:hint="eastAsia"/>
                <w:b/>
                <w:bCs/>
                <w:szCs w:val="21"/>
                <w:highlight w:val="none"/>
                <w:lang w:val="en-US"/>
              </w:rPr>
              <w:t>/</w:t>
            </w: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rPr>
            </w:pPr>
            <w:r>
              <w:rPr>
                <w:szCs w:val="21"/>
                <w:highlight w:val="none"/>
              </w:rPr>
              <w:t>*承诺函</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w:t>
            </w:r>
            <w:r>
              <w:rPr>
                <w:rFonts w:hint="eastAsia" w:cs="宋体"/>
                <w:highlight w:val="none"/>
                <w:lang w:val="en-US"/>
              </w:rPr>
              <w:t>“</w:t>
            </w:r>
            <w:r>
              <w:rPr>
                <w:rFonts w:ascii="Times New Roman" w:hAnsi="Times New Roman"/>
                <w:highlight w:val="none"/>
                <w:lang w:val="en-US"/>
              </w:rPr>
              <w:t>附件5.3</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rPr>
            </w:pPr>
            <w:r>
              <w:rPr>
                <w:szCs w:val="21"/>
                <w:highlight w:val="none"/>
              </w:rPr>
              <w:t>*</w:t>
            </w:r>
            <w:r>
              <w:rPr>
                <w:szCs w:val="21"/>
                <w:highlight w:val="none"/>
                <w:lang w:val="en-US"/>
              </w:rPr>
              <w:t>法定代表人授权委托书</w:t>
            </w:r>
          </w:p>
        </w:tc>
        <w:tc>
          <w:tcPr>
            <w:tcW w:w="5764" w:type="dxa"/>
          </w:tcPr>
          <w:p>
            <w:pPr>
              <w:pStyle w:val="224"/>
              <w:widowControl w:val="0"/>
              <w:ind w:firstLine="0" w:firstLineChars="0"/>
              <w:rPr>
                <w:rFonts w:ascii="Times New Roman" w:hAnsi="Times New Roman"/>
                <w:highlight w:val="none"/>
              </w:rPr>
            </w:pPr>
            <w:r>
              <w:rPr>
                <w:rFonts w:ascii="Times New Roman" w:hAnsi="Times New Roman"/>
                <w:highlight w:val="none"/>
              </w:rPr>
              <w:t>法定代表人授权委托书（须同时提供法定代表人和被授权人的身份证扫描件；若法定代表人直接参与</w:t>
            </w:r>
            <w:r>
              <w:rPr>
                <w:rFonts w:hint="eastAsia" w:ascii="Times New Roman" w:hAnsi="Times New Roman"/>
                <w:highlight w:val="none"/>
              </w:rPr>
              <w:t>响应</w:t>
            </w:r>
            <w:r>
              <w:rPr>
                <w:rFonts w:ascii="Times New Roman" w:hAnsi="Times New Roman"/>
                <w:highlight w:val="none"/>
              </w:rPr>
              <w:t>，则仅须提供法定代表人的身份证扫描件）。</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附件5.4</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lang w:val="en-US"/>
              </w:rPr>
            </w:pPr>
            <w:r>
              <w:rPr>
                <w:szCs w:val="21"/>
                <w:highlight w:val="none"/>
              </w:rPr>
              <w:t>*营业执照</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有效的企业法人营业执照/事业单位法人证书扫描件，并加盖供应商公章。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ascii="Times New Roman" w:hAnsi="Times New Roman"/>
                <w:highlight w:val="none"/>
              </w:rPr>
              <w:t>国家市场监督管理总局</w:t>
            </w:r>
            <w:r>
              <w:rPr>
                <w:rFonts w:hint="eastAsia" w:cs="宋体"/>
                <w:highlight w:val="none"/>
                <w:lang w:val="en-US"/>
              </w:rPr>
              <w:t>“</w:t>
            </w:r>
            <w:r>
              <w:rPr>
                <w:rFonts w:ascii="Times New Roman" w:hAnsi="Times New Roman"/>
                <w:highlight w:val="none"/>
                <w:lang w:val="en-US"/>
              </w:rPr>
              <w:t>国家企业信用信息公示系统</w:t>
            </w:r>
            <w:r>
              <w:rPr>
                <w:rFonts w:hint="eastAsia" w:cs="宋体"/>
                <w:highlight w:val="none"/>
                <w:lang w:val="en-US"/>
              </w:rPr>
              <w:t>”</w:t>
            </w:r>
            <w:r>
              <w:rPr>
                <w:rFonts w:ascii="Times New Roman" w:hAnsi="Times New Roman"/>
                <w:highlight w:val="none"/>
                <w:lang w:val="en-US"/>
              </w:rPr>
              <w:t>(http://www.gsxt.gov.cn/index.html)查询上述文件的真实有效性。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*纳税证明</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供应商提供自2022年12月1日起至响应截止之日连续3个月的纳税证明材料并加盖供应商公章；如至评审之日成立不足三个月的新企业，应出具本企业将依法纳税的声明承诺函加盖供应商公章。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审查上述材料的真实有效性。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*社保缴费记录证明</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列有企业人员名单的社保缴费记录证明文件扫描件加盖供应商公章；如至评审之日成立不足三个月的新企业，应出具本企业将依法缴纳社保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*审计报告</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提供会计师事务所出具的</w:t>
            </w:r>
            <w:r>
              <w:rPr>
                <w:rFonts w:hint="eastAsia" w:ascii="Times New Roman" w:hAnsi="Times New Roman"/>
                <w:highlight w:val="none"/>
                <w:lang w:val="en-US"/>
              </w:rPr>
              <w:t>2021年或2022年审计报告</w:t>
            </w:r>
            <w:r>
              <w:rPr>
                <w:rFonts w:ascii="Times New Roman" w:hAnsi="Times New Roman"/>
                <w:highlight w:val="none"/>
                <w:lang w:val="en-US"/>
              </w:rPr>
              <w:t>（审计报告、财务报表及附注）扫描件加盖供应商公章，开业不足一年的可出具基本账户开户银行出具的资信证明。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*研发设计企业承诺函</w:t>
            </w:r>
          </w:p>
        </w:tc>
        <w:tc>
          <w:tcPr>
            <w:tcW w:w="5764"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供应商须提供研发设计企业承诺函。</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附件5.6</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*委托加工合同或代理协议书</w:t>
            </w:r>
          </w:p>
        </w:tc>
        <w:tc>
          <w:tcPr>
            <w:tcW w:w="5764"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供应商须提供委托加工合同或代理协议书，扫描件加盖供应商公章。</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w:t>
            </w:r>
            <w:r>
              <w:rPr>
                <w:highlight w:val="none"/>
              </w:rPr>
              <w:t>质量管理体系</w:t>
            </w:r>
            <w:r>
              <w:rPr>
                <w:rFonts w:hint="eastAsia"/>
                <w:highlight w:val="none"/>
              </w:rPr>
              <w:t>证书</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由国家认证认可监督管理委员会资质审批的认证机构出具的《质量管理体系（ISO9001或</w:t>
            </w:r>
            <w:r>
              <w:rPr>
                <w:rFonts w:hint="eastAsia" w:ascii="Times New Roman" w:hAnsi="Times New Roman"/>
                <w:highlight w:val="none"/>
                <w:lang w:val="en-US"/>
              </w:rPr>
              <w:t>GB/T19001</w:t>
            </w:r>
            <w:r>
              <w:rPr>
                <w:rFonts w:ascii="Times New Roman" w:hAnsi="Times New Roman"/>
                <w:highlight w:val="none"/>
                <w:lang w:val="en-US"/>
              </w:rPr>
              <w:t>》或《武器装备质量体系（GJB9001）》认证证书，</w:t>
            </w:r>
            <w:r>
              <w:rPr>
                <w:rFonts w:ascii="Times New Roman" w:hAnsi="Times New Roman"/>
                <w:b/>
                <w:highlight w:val="none"/>
                <w:lang w:val="en-US"/>
              </w:rPr>
              <w:t>认证的业务范围覆盖所</w:t>
            </w:r>
            <w:r>
              <w:rPr>
                <w:rFonts w:hint="eastAsia" w:ascii="Times New Roman" w:hAnsi="Times New Roman"/>
                <w:b/>
                <w:highlight w:val="none"/>
                <w:lang w:val="en-US"/>
              </w:rPr>
              <w:t>响应</w:t>
            </w:r>
            <w:r>
              <w:rPr>
                <w:rFonts w:ascii="Times New Roman" w:hAnsi="Times New Roman"/>
                <w:b/>
                <w:highlight w:val="none"/>
                <w:lang w:val="en-US"/>
              </w:rPr>
              <w:t>产品的研发设计</w:t>
            </w:r>
            <w:r>
              <w:rPr>
                <w:rFonts w:ascii="Times New Roman" w:hAnsi="Times New Roman"/>
                <w:highlight w:val="none"/>
              </w:rPr>
              <w:t>；</w:t>
            </w:r>
            <w:r>
              <w:rPr>
                <w:rFonts w:ascii="Times New Roman" w:hAnsi="Times New Roman"/>
                <w:highlight w:val="none"/>
                <w:lang w:val="en-US"/>
              </w:rPr>
              <w:t>提供扫描件加盖供应商公章</w:t>
            </w:r>
            <w:r>
              <w:rPr>
                <w:rFonts w:hint="eastAsia" w:ascii="Times New Roman" w:hAnsi="Times New Roman"/>
                <w:highlight w:val="none"/>
                <w:lang w:val="en-US"/>
              </w:rPr>
              <w:t>。</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rPr>
              <w:t>*商标注册证</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由国家知识产权局或原商标局颁发的商标注册证。扫描件加盖供应商公章。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 xml:space="preserve">通过 </w:t>
            </w:r>
            <w:r>
              <w:rPr>
                <w:rFonts w:hint="eastAsia" w:cs="宋体"/>
                <w:highlight w:val="none"/>
                <w:lang w:val="en-US"/>
              </w:rPr>
              <w:t>“</w:t>
            </w:r>
            <w:r>
              <w:rPr>
                <w:rFonts w:ascii="Times New Roman" w:hAnsi="Times New Roman"/>
                <w:highlight w:val="none"/>
                <w:lang w:val="en-US"/>
              </w:rPr>
              <w:t>国家知识产权局商标局 中国商标网</w:t>
            </w:r>
            <w:r>
              <w:rPr>
                <w:rFonts w:hint="eastAsia" w:cs="宋体"/>
                <w:highlight w:val="none"/>
                <w:lang w:val="en-US"/>
              </w:rPr>
              <w:t>”</w:t>
            </w:r>
            <w:r>
              <w:rPr>
                <w:rFonts w:ascii="Times New Roman" w:hAnsi="Times New Roman"/>
                <w:highlight w:val="none"/>
                <w:lang w:val="en-US"/>
              </w:rPr>
              <w:t>（wcjs.sbj.cnipa.gov.cn）查询上述证书的真实有效性。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*报价一览表</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供应商如实填报所</w:t>
            </w:r>
            <w:r>
              <w:rPr>
                <w:rFonts w:hint="eastAsia" w:ascii="Times New Roman" w:hAnsi="Times New Roman"/>
                <w:highlight w:val="none"/>
                <w:lang w:val="en-US"/>
              </w:rPr>
              <w:t>响应</w:t>
            </w:r>
            <w:r>
              <w:rPr>
                <w:rFonts w:ascii="Times New Roman" w:hAnsi="Times New Roman"/>
                <w:highlight w:val="none"/>
                <w:lang w:val="en-US"/>
              </w:rPr>
              <w:t>产品的品牌、规格型号、价格等。</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附件5.7</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 xml:space="preserve">要求。 </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*检验报告</w:t>
            </w:r>
          </w:p>
        </w:tc>
        <w:tc>
          <w:tcPr>
            <w:tcW w:w="5764" w:type="dxa"/>
          </w:tcPr>
          <w:p>
            <w:pPr>
              <w:pStyle w:val="224"/>
              <w:widowControl w:val="0"/>
              <w:ind w:firstLine="0" w:firstLineChars="0"/>
              <w:rPr>
                <w:rFonts w:ascii="Times New Roman" w:hAnsi="Times New Roman"/>
                <w:highlight w:val="none"/>
                <w:lang w:val="en-US"/>
              </w:rPr>
            </w:pPr>
            <w:r>
              <w:rPr>
                <w:rFonts w:hint="eastAsia"/>
                <w:highlight w:val="none"/>
                <w:lang w:val="en-US"/>
              </w:rPr>
              <w:t>供应商须提供所投产品由国家认证认可监督管理委员会资质认定的检验机构</w:t>
            </w:r>
            <w:r>
              <w:rPr>
                <w:highlight w:val="none"/>
                <w:lang w:val="en-US"/>
              </w:rPr>
              <w:t>出具的自</w:t>
            </w:r>
            <w:r>
              <w:rPr>
                <w:rFonts w:ascii="Times New Roman" w:hAnsi="Times New Roman"/>
                <w:highlight w:val="none"/>
                <w:lang w:val="en-US"/>
              </w:rPr>
              <w:t>2019年1月1日</w:t>
            </w:r>
            <w:r>
              <w:rPr>
                <w:highlight w:val="none"/>
                <w:lang w:val="en-US"/>
              </w:rPr>
              <w:t>起至响应截止之日的合格检验报告</w:t>
            </w:r>
            <w:r>
              <w:rPr>
                <w:rFonts w:ascii="Times New Roman" w:hAnsi="Times New Roman"/>
                <w:b/>
                <w:highlight w:val="none"/>
                <w:lang w:val="en-US"/>
              </w:rPr>
              <w:t>，送检人必须是</w:t>
            </w:r>
            <w:r>
              <w:rPr>
                <w:rFonts w:hint="eastAsia" w:ascii="Times New Roman" w:hAnsi="Times New Roman"/>
                <w:b/>
                <w:highlight w:val="none"/>
                <w:lang w:val="en-US"/>
              </w:rPr>
              <w:t>响应</w:t>
            </w:r>
            <w:r>
              <w:rPr>
                <w:rFonts w:ascii="Times New Roman" w:hAnsi="Times New Roman"/>
                <w:b/>
                <w:highlight w:val="none"/>
                <w:lang w:val="en-US"/>
              </w:rPr>
              <w:t>供应商</w:t>
            </w:r>
            <w:r>
              <w:rPr>
                <w:rFonts w:ascii="Times New Roman" w:hAnsi="Times New Roman"/>
                <w:highlight w:val="none"/>
                <w:lang w:val="en-US"/>
              </w:rPr>
              <w:t>。扫描件加盖供应商公章。</w:t>
            </w:r>
          </w:p>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审查</w:t>
            </w:r>
            <w:r>
              <w:rPr>
                <w:rFonts w:ascii="Times New Roman" w:hAnsi="Times New Roman"/>
                <w:highlight w:val="none"/>
                <w:lang w:val="en-US"/>
              </w:rPr>
              <w:t>上述文件的真实有效性</w:t>
            </w:r>
            <w:r>
              <w:rPr>
                <w:rFonts w:hint="eastAsia" w:ascii="Times New Roman" w:hAnsi="Times New Roman"/>
                <w:highlight w:val="none"/>
                <w:lang w:val="en-US"/>
              </w:rPr>
              <w:t>及</w:t>
            </w:r>
            <w:r>
              <w:rPr>
                <w:rFonts w:ascii="Times New Roman" w:hAnsi="Times New Roman"/>
                <w:highlight w:val="none"/>
                <w:lang w:val="en-US"/>
              </w:rPr>
              <w:t>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rFonts w:hint="eastAsia"/>
                <w:highlight w:val="none"/>
                <w:lang w:val="en-US"/>
              </w:rPr>
              <w:t>*产品技术规范偏离表</w:t>
            </w:r>
          </w:p>
        </w:tc>
        <w:tc>
          <w:tcPr>
            <w:tcW w:w="5764"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供应商</w:t>
            </w:r>
            <w:r>
              <w:rPr>
                <w:rFonts w:ascii="Times New Roman" w:hAnsi="Times New Roman"/>
                <w:highlight w:val="none"/>
                <w:lang w:val="en-US"/>
              </w:rPr>
              <w:t>提供</w:t>
            </w:r>
            <w:r>
              <w:rPr>
                <w:rFonts w:hint="eastAsia" w:ascii="Times New Roman" w:hAnsi="Times New Roman"/>
                <w:highlight w:val="none"/>
                <w:lang w:val="en-US"/>
              </w:rPr>
              <w:t>“</w:t>
            </w:r>
            <w:r>
              <w:rPr>
                <w:rFonts w:ascii="Times New Roman" w:hAnsi="Times New Roman"/>
                <w:highlight w:val="none"/>
                <w:lang w:val="en-US"/>
              </w:rPr>
              <w:t>产品技术规范偏离表</w:t>
            </w:r>
            <w:r>
              <w:rPr>
                <w:rFonts w:hint="eastAsia" w:ascii="Times New Roman" w:hAnsi="Times New Roman"/>
                <w:highlight w:val="none"/>
                <w:lang w:val="en-US"/>
              </w:rPr>
              <w:t>”，</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附件5.8</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*技术文件</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w:t>
            </w:r>
            <w:r>
              <w:rPr>
                <w:rFonts w:hint="eastAsia" w:ascii="Times New Roman" w:hAnsi="Times New Roman"/>
                <w:highlight w:val="none"/>
                <w:lang w:val="en-US"/>
              </w:rPr>
              <w:t>响应</w:t>
            </w:r>
            <w:r>
              <w:rPr>
                <w:rFonts w:ascii="Times New Roman" w:hAnsi="Times New Roman"/>
                <w:highlight w:val="none"/>
                <w:lang w:val="en-US"/>
              </w:rPr>
              <w:t>产品含规格型号、参数配置和性能描述等内容的技术文件。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w:t>
            </w:r>
            <w:r>
              <w:rPr>
                <w:rFonts w:hint="eastAsia" w:ascii="Times New Roman" w:hAnsi="Times New Roman"/>
                <w:highlight w:val="none"/>
                <w:lang w:val="en-US"/>
              </w:rPr>
              <w:t>响应</w:t>
            </w:r>
            <w:r>
              <w:rPr>
                <w:rFonts w:ascii="Times New Roman" w:hAnsi="Times New Roman"/>
                <w:highlight w:val="none"/>
                <w:lang w:val="en-US"/>
              </w:rPr>
              <w:t>产品的技术文件是否满足</w:t>
            </w:r>
            <w:r>
              <w:rPr>
                <w:rFonts w:hint="eastAsia" w:ascii="Times New Roman" w:hAnsi="Times New Roman"/>
                <w:highlight w:val="none"/>
                <w:lang w:val="en-US"/>
              </w:rPr>
              <w:t>征集文件</w:t>
            </w:r>
            <w:r>
              <w:rPr>
                <w:rFonts w:ascii="Times New Roman" w:hAnsi="Times New Roman"/>
                <w:highlight w:val="none"/>
                <w:lang w:val="en-US"/>
              </w:rPr>
              <w:t>技术要求。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*服务文件</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按照采购需求</w:t>
            </w:r>
            <w:r>
              <w:rPr>
                <w:rFonts w:hint="eastAsia" w:cs="宋体"/>
                <w:highlight w:val="none"/>
                <w:lang w:val="en-US"/>
              </w:rPr>
              <w:t>“</w:t>
            </w:r>
            <w:r>
              <w:rPr>
                <w:rFonts w:ascii="Times New Roman" w:hAnsi="Times New Roman"/>
                <w:highlight w:val="none"/>
                <w:lang w:val="en-US"/>
              </w:rPr>
              <w:t>1.5服务要求</w:t>
            </w:r>
            <w:r>
              <w:rPr>
                <w:rFonts w:hint="eastAsia" w:cs="宋体"/>
                <w:highlight w:val="none"/>
                <w:lang w:val="en-US"/>
              </w:rPr>
              <w:t>”</w:t>
            </w:r>
            <w:r>
              <w:rPr>
                <w:rFonts w:ascii="Times New Roman" w:hAnsi="Times New Roman"/>
                <w:highlight w:val="none"/>
                <w:lang w:val="en-US"/>
              </w:rPr>
              <w:t>，提供详细的服务相关材料，</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附件5.9</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*资质文件</w:t>
            </w:r>
          </w:p>
        </w:tc>
        <w:tc>
          <w:tcPr>
            <w:tcW w:w="5764" w:type="dxa"/>
            <w:vAlign w:val="center"/>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响应</w:t>
            </w:r>
            <w:r>
              <w:rPr>
                <w:rFonts w:ascii="Times New Roman" w:hAnsi="Times New Roman"/>
                <w:highlight w:val="none"/>
                <w:lang w:val="en-US"/>
              </w:rPr>
              <w:t>产品如符合第3章</w:t>
            </w:r>
            <w:r>
              <w:rPr>
                <w:rFonts w:hint="eastAsia" w:cs="宋体"/>
                <w:highlight w:val="none"/>
                <w:lang w:val="en-US"/>
              </w:rPr>
              <w:t>“</w:t>
            </w:r>
            <w:r>
              <w:rPr>
                <w:rFonts w:ascii="Times New Roman" w:hAnsi="Times New Roman"/>
                <w:highlight w:val="none"/>
                <w:lang w:val="en-US"/>
              </w:rPr>
              <w:t>3.2.2</w:t>
            </w:r>
            <w:r>
              <w:rPr>
                <w:rFonts w:hint="eastAsia" w:ascii="Times New Roman" w:hAnsi="Times New Roman"/>
                <w:highlight w:val="none"/>
                <w:lang w:val="en-US"/>
              </w:rPr>
              <w:t>、</w:t>
            </w:r>
            <w:r>
              <w:rPr>
                <w:rFonts w:ascii="Times New Roman" w:hAnsi="Times New Roman"/>
                <w:highlight w:val="none"/>
                <w:lang w:val="en-US"/>
              </w:rPr>
              <w:t>3.2.3</w:t>
            </w:r>
            <w:r>
              <w:rPr>
                <w:rFonts w:hint="eastAsia" w:ascii="Times New Roman" w:hAnsi="Times New Roman"/>
                <w:highlight w:val="none"/>
                <w:lang w:val="en-US"/>
              </w:rPr>
              <w:t>、</w:t>
            </w:r>
            <w:r>
              <w:rPr>
                <w:rFonts w:ascii="Times New Roman" w:hAnsi="Times New Roman"/>
                <w:highlight w:val="none"/>
                <w:lang w:val="en-US"/>
              </w:rPr>
              <w:t>3.2.4</w:t>
            </w:r>
            <w:r>
              <w:rPr>
                <w:rFonts w:hint="eastAsia" w:cs="宋体"/>
                <w:highlight w:val="none"/>
                <w:lang w:val="en-US"/>
              </w:rPr>
              <w:t>”</w:t>
            </w:r>
            <w:r>
              <w:rPr>
                <w:rFonts w:ascii="Times New Roman" w:hAnsi="Times New Roman"/>
                <w:highlight w:val="none"/>
                <w:lang w:val="en-US"/>
              </w:rPr>
              <w:t>的相关要求，供应商须提供相关资质文件。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若有，则审查文件的真实有效性。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中小企业声明函</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供应商提供中小企业声明函，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0</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残疾人福利性单位声明函</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供应商提供残疾人福利性单位声明函，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1</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bl>
    <w:p>
      <w:pPr>
        <w:rPr>
          <w:highlight w:val="none"/>
        </w:rPr>
      </w:pPr>
    </w:p>
    <w:p>
      <w:pPr>
        <w:pStyle w:val="4"/>
        <w:keepNext w:val="0"/>
        <w:keepLines w:val="0"/>
        <w:spacing w:before="120" w:line="240" w:lineRule="auto"/>
        <w:ind w:left="578" w:hanging="578"/>
        <w:rPr>
          <w:highlight w:val="none"/>
        </w:rPr>
      </w:pPr>
      <w:bookmarkStart w:id="168" w:name="_Toc142051477"/>
      <w:r>
        <w:rPr>
          <w:highlight w:val="none"/>
          <w:lang w:val="en-US"/>
        </w:rPr>
        <w:t>详细评审</w:t>
      </w:r>
      <w:bookmarkEnd w:id="168"/>
    </w:p>
    <w:p>
      <w:pPr>
        <w:widowControl w:val="0"/>
        <w:rPr>
          <w:highlight w:val="none"/>
        </w:rPr>
      </w:pPr>
    </w:p>
    <w:tbl>
      <w:tblPr>
        <w:tblStyle w:val="41"/>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7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0"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7975" w:type="dxa"/>
            <w:vAlign w:val="center"/>
          </w:tcPr>
          <w:p>
            <w:pPr>
              <w:widowControl w:val="0"/>
              <w:tabs>
                <w:tab w:val="left" w:pos="0"/>
              </w:tabs>
              <w:jc w:val="center"/>
              <w:rPr>
                <w:rFonts w:eastAsia="黑体"/>
                <w:szCs w:val="21"/>
                <w:highlight w:val="none"/>
              </w:rPr>
            </w:pPr>
            <w:r>
              <w:rPr>
                <w:rFonts w:eastAsia="黑体"/>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0" w:type="dxa"/>
            <w:vAlign w:val="center"/>
          </w:tcPr>
          <w:p>
            <w:pPr>
              <w:widowControl w:val="0"/>
              <w:tabs>
                <w:tab w:val="left" w:pos="0"/>
              </w:tabs>
              <w:jc w:val="center"/>
              <w:rPr>
                <w:szCs w:val="21"/>
                <w:highlight w:val="none"/>
              </w:rPr>
            </w:pPr>
            <w:r>
              <w:rPr>
                <w:rFonts w:hint="eastAsia"/>
                <w:szCs w:val="21"/>
                <w:highlight w:val="none"/>
              </w:rPr>
              <w:t>供应商的淘汰规则</w:t>
            </w:r>
          </w:p>
        </w:tc>
        <w:tc>
          <w:tcPr>
            <w:tcW w:w="7975" w:type="dxa"/>
            <w:vAlign w:val="center"/>
          </w:tcPr>
          <w:p>
            <w:pPr>
              <w:widowControl w:val="0"/>
              <w:tabs>
                <w:tab w:val="left" w:pos="0"/>
              </w:tabs>
              <w:jc w:val="both"/>
              <w:rPr>
                <w:highlight w:val="none"/>
              </w:rPr>
            </w:pPr>
            <w:r>
              <w:rPr>
                <w:highlight w:val="none"/>
              </w:rPr>
              <w:t>每包</w:t>
            </w:r>
            <w:r>
              <w:rPr>
                <w:rFonts w:hint="eastAsia"/>
                <w:highlight w:val="none"/>
              </w:rPr>
              <w:t>供应商的响应报价由低至高进行排序（小微企业用扣除后的价格参加排序），按照</w:t>
            </w:r>
            <w:r>
              <w:rPr>
                <w:rFonts w:hint="eastAsia"/>
                <w:highlight w:val="none"/>
                <w:lang w:val="en-US"/>
              </w:rPr>
              <w:t>2</w:t>
            </w:r>
            <w:r>
              <w:rPr>
                <w:rFonts w:hint="eastAsia"/>
                <w:highlight w:val="none"/>
              </w:rPr>
              <w:t>0%的淘汰率进行淘汰，且每包至少淘汰一家供应商。</w:t>
            </w:r>
          </w:p>
          <w:p>
            <w:pPr>
              <w:widowControl w:val="0"/>
              <w:tabs>
                <w:tab w:val="left" w:pos="0"/>
              </w:tabs>
              <w:jc w:val="both"/>
              <w:rPr>
                <w:highlight w:val="none"/>
              </w:rPr>
            </w:pPr>
            <w:r>
              <w:rPr>
                <w:rFonts w:hint="eastAsia"/>
                <w:highlight w:val="none"/>
              </w:rPr>
              <w:t>每包淘汰供应商规则如下：</w:t>
            </w:r>
          </w:p>
          <w:p>
            <w:pPr>
              <w:widowControl w:val="0"/>
              <w:tabs>
                <w:tab w:val="left" w:pos="0"/>
              </w:tabs>
              <w:jc w:val="both"/>
              <w:rPr>
                <w:highlight w:val="none"/>
              </w:rPr>
            </w:pPr>
            <w:r>
              <w:rPr>
                <w:rFonts w:hint="eastAsia"/>
                <w:highlight w:val="none"/>
              </w:rPr>
              <w:t>设共有m个供应商进入详细评审，淘汰供应商数量为n。n为</w:t>
            </w:r>
            <w:r>
              <w:rPr>
                <w:rFonts w:hint="eastAsia"/>
                <w:highlight w:val="none"/>
                <w:lang w:val="en-US"/>
              </w:rPr>
              <w:t>2</w:t>
            </w:r>
            <w:r>
              <w:rPr>
                <w:rFonts w:hint="eastAsia"/>
                <w:highlight w:val="none"/>
              </w:rPr>
              <w:t>0%m取整后的整数（四舍五入）。</w:t>
            </w:r>
          </w:p>
        </w:tc>
      </w:tr>
    </w:tbl>
    <w:p>
      <w:pPr>
        <w:pStyle w:val="4"/>
        <w:keepNext w:val="0"/>
        <w:keepLines w:val="0"/>
        <w:numPr>
          <w:ilvl w:val="1"/>
          <w:numId w:val="0"/>
        </w:numPr>
        <w:spacing w:before="120" w:line="240" w:lineRule="auto"/>
        <w:rPr>
          <w:highlight w:val="none"/>
        </w:rPr>
        <w:sectPr>
          <w:headerReference r:id="rId13" w:type="default"/>
          <w:pgSz w:w="11907" w:h="16839"/>
          <w:pgMar w:top="1928" w:right="1531" w:bottom="1871" w:left="1531" w:header="1145" w:footer="709" w:gutter="0"/>
          <w:cols w:space="720" w:num="1"/>
          <w:docGrid w:linePitch="360" w:charSpace="0"/>
        </w:sectPr>
      </w:pPr>
    </w:p>
    <w:bookmarkEnd w:id="164"/>
    <w:bookmarkEnd w:id="165"/>
    <w:bookmarkEnd w:id="166"/>
    <w:bookmarkEnd w:id="167"/>
    <w:p>
      <w:pPr>
        <w:pStyle w:val="3"/>
        <w:pageBreakBefore w:val="0"/>
        <w:widowControl w:val="0"/>
        <w:rPr>
          <w:highlight w:val="none"/>
        </w:rPr>
      </w:pPr>
      <w:bookmarkStart w:id="169" w:name="_Toc142051478"/>
      <w:bookmarkStart w:id="170" w:name="_Toc16531182"/>
      <w:bookmarkStart w:id="171" w:name="_Toc19149"/>
      <w:bookmarkStart w:id="172" w:name="_Toc16531408"/>
      <w:r>
        <w:rPr>
          <w:highlight w:val="none"/>
        </w:rPr>
        <w:t>附件</w:t>
      </w:r>
      <w:bookmarkEnd w:id="169"/>
    </w:p>
    <w:p>
      <w:pPr>
        <w:pStyle w:val="256"/>
        <w:keepNext w:val="0"/>
        <w:keepLines w:val="0"/>
        <w:widowControl w:val="0"/>
        <w:spacing w:after="120"/>
        <w:ind w:left="0"/>
        <w:rPr>
          <w:color w:val="auto"/>
          <w:highlight w:val="none"/>
          <w:lang w:val="en-US"/>
        </w:rPr>
      </w:pPr>
    </w:p>
    <w:p>
      <w:pPr>
        <w:pStyle w:val="256"/>
        <w:keepNext w:val="0"/>
        <w:keepLines w:val="0"/>
        <w:widowControl w:val="0"/>
        <w:spacing w:after="120"/>
        <w:ind w:left="0"/>
        <w:rPr>
          <w:b/>
          <w:color w:val="auto"/>
          <w:highlight w:val="none"/>
          <w:lang w:val="en-US"/>
        </w:rPr>
      </w:pPr>
      <w:r>
        <w:rPr>
          <w:b/>
          <w:color w:val="auto"/>
          <w:highlight w:val="none"/>
          <w:lang w:val="en-US"/>
        </w:rPr>
        <w:t>说明：</w:t>
      </w:r>
    </w:p>
    <w:p>
      <w:pPr>
        <w:pStyle w:val="256"/>
        <w:keepNext w:val="0"/>
        <w:keepLines w:val="0"/>
        <w:widowControl w:val="0"/>
        <w:spacing w:after="120"/>
        <w:ind w:left="0" w:firstLine="420" w:firstLineChars="200"/>
        <w:rPr>
          <w:color w:val="auto"/>
          <w:highlight w:val="none"/>
          <w:lang w:val="en-US"/>
        </w:rPr>
      </w:pPr>
      <w:r>
        <w:rPr>
          <w:color w:val="auto"/>
          <w:highlight w:val="none"/>
          <w:lang w:val="en-US"/>
        </w:rPr>
        <w:t>1.加“*”文件的内容与格式，如有任何实质性修改将被视为非实质性响应</w:t>
      </w:r>
      <w:r>
        <w:rPr>
          <w:rFonts w:hint="eastAsia"/>
          <w:color w:val="auto"/>
          <w:highlight w:val="none"/>
          <w:lang w:val="en-US"/>
        </w:rPr>
        <w:t>响应</w:t>
      </w:r>
      <w:r>
        <w:rPr>
          <w:color w:val="auto"/>
          <w:highlight w:val="none"/>
          <w:lang w:val="en-US"/>
        </w:rPr>
        <w:t>，则该</w:t>
      </w:r>
      <w:r>
        <w:rPr>
          <w:rFonts w:hint="eastAsia"/>
          <w:color w:val="auto"/>
          <w:highlight w:val="none"/>
          <w:lang w:val="en-US"/>
        </w:rPr>
        <w:t>响应</w:t>
      </w:r>
      <w:r>
        <w:rPr>
          <w:color w:val="auto"/>
          <w:highlight w:val="none"/>
          <w:lang w:val="en-US"/>
        </w:rPr>
        <w:t>无效，供应商提交的材料不予退还。</w:t>
      </w:r>
    </w:p>
    <w:p>
      <w:pPr>
        <w:pStyle w:val="256"/>
        <w:keepNext w:val="0"/>
        <w:keepLines w:val="0"/>
        <w:widowControl w:val="0"/>
        <w:spacing w:after="120"/>
        <w:ind w:left="0" w:firstLine="420" w:firstLineChars="200"/>
        <w:rPr>
          <w:color w:val="auto"/>
          <w:highlight w:val="none"/>
          <w:lang w:val="en-US"/>
        </w:rPr>
      </w:pPr>
      <w:r>
        <w:rPr>
          <w:color w:val="auto"/>
          <w:highlight w:val="none"/>
          <w:lang w:val="en-US"/>
        </w:rPr>
        <w:t>2.供应商应严格按照以下顺序、格式和内容填写。无相应内容可填的项应填</w:t>
      </w:r>
      <w:r>
        <w:rPr>
          <w:rFonts w:hint="eastAsia" w:ascii="宋体" w:hAnsi="宋体" w:cs="宋体"/>
          <w:color w:val="auto"/>
          <w:highlight w:val="none"/>
          <w:lang w:val="en-US"/>
        </w:rPr>
        <w:t>写“无”、“未测试”、“没有相应指标”等明</w:t>
      </w:r>
      <w:r>
        <w:rPr>
          <w:color w:val="auto"/>
          <w:highlight w:val="none"/>
          <w:lang w:val="en-US"/>
        </w:rPr>
        <w:t>确的回答文字。</w:t>
      </w:r>
    </w:p>
    <w:p>
      <w:pPr>
        <w:pStyle w:val="4"/>
        <w:keepNext w:val="0"/>
        <w:keepLines w:val="0"/>
        <w:spacing w:before="120"/>
        <w:ind w:left="318" w:hanging="318"/>
        <w:jc w:val="both"/>
        <w:rPr>
          <w:highlight w:val="none"/>
        </w:rPr>
      </w:pPr>
      <w:r>
        <w:rPr>
          <w:highlight w:val="none"/>
        </w:rPr>
        <w:br w:type="page"/>
      </w:r>
      <w:bookmarkStart w:id="173" w:name="_Toc142051479"/>
      <w:bookmarkStart w:id="174" w:name="_Toc16531423"/>
      <w:bookmarkStart w:id="175" w:name="_Toc16531197"/>
      <w:bookmarkStart w:id="176" w:name="_Ref462505461"/>
      <w:bookmarkStart w:id="177" w:name="_Toc8150"/>
      <w:bookmarkStart w:id="178" w:name="_Ref462740391"/>
      <w:r>
        <w:rPr>
          <w:highlight w:val="none"/>
        </w:rPr>
        <w:t>框架协议</w:t>
      </w:r>
      <w:bookmarkEnd w:id="173"/>
    </w:p>
    <w:p>
      <w:pPr>
        <w:widowControl w:val="0"/>
        <w:jc w:val="center"/>
        <w:rPr>
          <w:rFonts w:eastAsia="方正小标宋简体"/>
          <w:sz w:val="52"/>
          <w:szCs w:val="52"/>
          <w:highlight w:val="none"/>
        </w:rPr>
      </w:pPr>
    </w:p>
    <w:p>
      <w:pPr>
        <w:widowControl w:val="0"/>
        <w:jc w:val="center"/>
        <w:rPr>
          <w:rFonts w:eastAsia="方正小标宋简体"/>
          <w:sz w:val="52"/>
          <w:szCs w:val="52"/>
          <w:highlight w:val="none"/>
        </w:rPr>
      </w:pPr>
    </w:p>
    <w:p>
      <w:pPr>
        <w:widowControl w:val="0"/>
        <w:jc w:val="center"/>
        <w:rPr>
          <w:rFonts w:eastAsia="方正小标宋简体"/>
          <w:sz w:val="52"/>
          <w:szCs w:val="52"/>
          <w:highlight w:val="none"/>
        </w:rPr>
      </w:pPr>
      <w:r>
        <w:rPr>
          <w:rFonts w:hint="eastAsia" w:eastAsia="方正小标宋简体"/>
          <w:sz w:val="52"/>
          <w:szCs w:val="52"/>
          <w:highlight w:val="none"/>
          <w:lang w:val="en-US"/>
        </w:rPr>
        <w:t>XXX项目</w:t>
      </w:r>
      <w:r>
        <w:rPr>
          <w:rFonts w:eastAsia="方正小标宋简体"/>
          <w:sz w:val="52"/>
          <w:szCs w:val="52"/>
          <w:highlight w:val="none"/>
        </w:rPr>
        <w:t>框架协议</w:t>
      </w:r>
    </w:p>
    <w:p>
      <w:pPr>
        <w:widowControl w:val="0"/>
        <w:spacing w:before="240" w:beforeLines="100" w:after="240" w:afterLines="100"/>
        <w:jc w:val="center"/>
        <w:rPr>
          <w:szCs w:val="21"/>
          <w:highlight w:val="none"/>
        </w:rPr>
      </w:pPr>
    </w:p>
    <w:p>
      <w:pPr>
        <w:widowControl w:val="0"/>
        <w:jc w:val="center"/>
        <w:rPr>
          <w:szCs w:val="21"/>
          <w:highlight w:val="none"/>
        </w:rPr>
      </w:pPr>
    </w:p>
    <w:p>
      <w:pPr>
        <w:widowControl w:val="0"/>
        <w:jc w:val="center"/>
        <w:rPr>
          <w:szCs w:val="21"/>
          <w:highlight w:val="none"/>
        </w:rPr>
      </w:pPr>
      <w:r>
        <w:rPr>
          <w:szCs w:val="21"/>
          <w:highlight w:val="none"/>
        </w:rPr>
        <w:t>版本号：1.0</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甲方：</w:t>
      </w:r>
    </w:p>
    <w:p>
      <w:pPr>
        <w:widowControl w:val="0"/>
        <w:jc w:val="center"/>
        <w:rPr>
          <w:sz w:val="28"/>
          <w:szCs w:val="28"/>
          <w:highlight w:val="none"/>
        </w:rPr>
      </w:pPr>
      <w:r>
        <w:rPr>
          <w:sz w:val="28"/>
          <w:szCs w:val="28"/>
          <w:highlight w:val="none"/>
        </w:rPr>
        <w:t>公安部警用装备采购中心</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乙方：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签订日期：</w:t>
      </w:r>
    </w:p>
    <w:p>
      <w:pPr>
        <w:widowControl w:val="0"/>
        <w:jc w:val="center"/>
        <w:rPr>
          <w:sz w:val="28"/>
          <w:szCs w:val="28"/>
          <w:highlight w:val="none"/>
        </w:rPr>
      </w:pPr>
      <w:r>
        <w:rPr>
          <w:sz w:val="28"/>
          <w:szCs w:val="28"/>
          <w:highlight w:val="none"/>
        </w:rPr>
        <w:t>20XX年X月X日</w:t>
      </w: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jc w:val="center"/>
        <w:rPr>
          <w:highlight w:val="none"/>
        </w:rPr>
      </w:pPr>
      <w:r>
        <w:rPr>
          <w:szCs w:val="21"/>
          <w:highlight w:val="none"/>
        </w:rPr>
        <w:t>Copyright© 202</w:t>
      </w:r>
      <w:r>
        <w:rPr>
          <w:rFonts w:hint="eastAsia"/>
          <w:szCs w:val="21"/>
          <w:highlight w:val="none"/>
        </w:rPr>
        <w:t>3</w:t>
      </w:r>
      <w:r>
        <w:rPr>
          <w:szCs w:val="21"/>
          <w:highlight w:val="none"/>
        </w:rPr>
        <w:t xml:space="preserve"> 公安部警用装备采购中心</w:t>
      </w:r>
      <w:r>
        <w:rPr>
          <w:highlight w:val="none"/>
        </w:rPr>
        <w:br w:type="page"/>
      </w:r>
    </w:p>
    <w:p>
      <w:pPr>
        <w:widowControl w:val="0"/>
        <w:spacing w:before="120" w:beforeLines="50" w:after="120" w:afterLines="50"/>
        <w:jc w:val="center"/>
        <w:rPr>
          <w:rFonts w:ascii="方正小标宋简体" w:eastAsia="方正小标宋简体"/>
          <w:sz w:val="44"/>
          <w:szCs w:val="44"/>
          <w:highlight w:val="none"/>
        </w:rPr>
      </w:pPr>
      <w:r>
        <w:rPr>
          <w:rFonts w:hint="eastAsia" w:ascii="方正小标宋简体" w:eastAsia="方正小标宋简体"/>
          <w:sz w:val="44"/>
          <w:szCs w:val="44"/>
          <w:highlight w:val="none"/>
          <w:lang w:val="en-US"/>
        </w:rPr>
        <w:t>XXX项目</w:t>
      </w:r>
      <w:r>
        <w:rPr>
          <w:rFonts w:hint="eastAsia" w:ascii="方正小标宋简体" w:eastAsia="方正小标宋简体"/>
          <w:sz w:val="44"/>
          <w:szCs w:val="44"/>
          <w:highlight w:val="none"/>
        </w:rPr>
        <w:t>框架协议</w:t>
      </w:r>
    </w:p>
    <w:p>
      <w:pPr>
        <w:widowControl w:val="0"/>
        <w:spacing w:line="360" w:lineRule="exact"/>
        <w:rPr>
          <w:highlight w:val="none"/>
        </w:rPr>
      </w:pPr>
      <w:r>
        <w:rPr>
          <w:highlight w:val="none"/>
        </w:rPr>
        <w:t>甲方：公安部警用装备采购中心</w:t>
      </w:r>
    </w:p>
    <w:p>
      <w:pPr>
        <w:widowControl w:val="0"/>
        <w:spacing w:line="360" w:lineRule="exact"/>
        <w:rPr>
          <w:highlight w:val="none"/>
        </w:rPr>
      </w:pPr>
      <w:r>
        <w:rPr>
          <w:highlight w:val="none"/>
        </w:rPr>
        <w:t>地址：上海市闵行区浦江镇三达路299号</w:t>
      </w:r>
    </w:p>
    <w:p>
      <w:pPr>
        <w:widowControl w:val="0"/>
        <w:spacing w:line="360" w:lineRule="exact"/>
        <w:rPr>
          <w:highlight w:val="none"/>
        </w:rPr>
      </w:pPr>
      <w:r>
        <w:rPr>
          <w:highlight w:val="none"/>
        </w:rPr>
        <w:t>邮编：201112</w:t>
      </w:r>
    </w:p>
    <w:p>
      <w:pPr>
        <w:widowControl w:val="0"/>
        <w:spacing w:line="360" w:lineRule="exact"/>
        <w:rPr>
          <w:highlight w:val="none"/>
        </w:rPr>
      </w:pPr>
      <w:r>
        <w:rPr>
          <w:highlight w:val="none"/>
        </w:rPr>
        <w:t>电话：</w:t>
      </w:r>
      <w:r>
        <w:rPr>
          <w:rFonts w:hint="eastAsia"/>
          <w:highlight w:val="none"/>
        </w:rPr>
        <w:t>0</w:t>
      </w:r>
      <w:r>
        <w:rPr>
          <w:highlight w:val="none"/>
        </w:rPr>
        <w:t>21-33292999</w:t>
      </w:r>
    </w:p>
    <w:p>
      <w:pPr>
        <w:widowControl w:val="0"/>
        <w:spacing w:line="360" w:lineRule="exact"/>
        <w:rPr>
          <w:highlight w:val="none"/>
        </w:rPr>
      </w:pPr>
    </w:p>
    <w:p>
      <w:pPr>
        <w:widowControl w:val="0"/>
        <w:spacing w:line="360" w:lineRule="exact"/>
        <w:rPr>
          <w:highlight w:val="none"/>
        </w:rPr>
      </w:pPr>
      <w:r>
        <w:rPr>
          <w:highlight w:val="none"/>
        </w:rPr>
        <w:t xml:space="preserve">乙方： </w:t>
      </w:r>
    </w:p>
    <w:p>
      <w:pPr>
        <w:widowControl w:val="0"/>
        <w:spacing w:line="360" w:lineRule="exact"/>
        <w:rPr>
          <w:highlight w:val="none"/>
        </w:rPr>
      </w:pPr>
      <w:r>
        <w:rPr>
          <w:highlight w:val="none"/>
        </w:rPr>
        <w:t xml:space="preserve">地址： </w:t>
      </w:r>
    </w:p>
    <w:p>
      <w:pPr>
        <w:widowControl w:val="0"/>
        <w:spacing w:line="360" w:lineRule="exact"/>
        <w:rPr>
          <w:highlight w:val="none"/>
        </w:rPr>
      </w:pPr>
      <w:r>
        <w:rPr>
          <w:highlight w:val="none"/>
        </w:rPr>
        <w:t xml:space="preserve">邮编： </w:t>
      </w:r>
    </w:p>
    <w:p>
      <w:pPr>
        <w:widowControl w:val="0"/>
        <w:spacing w:line="360" w:lineRule="exact"/>
        <w:rPr>
          <w:highlight w:val="none"/>
        </w:rPr>
      </w:pPr>
      <w:r>
        <w:rPr>
          <w:highlight w:val="none"/>
        </w:rPr>
        <w:t>电话：</w:t>
      </w:r>
    </w:p>
    <w:p>
      <w:pPr>
        <w:pStyle w:val="5"/>
        <w:keepNext w:val="0"/>
        <w:keepLines w:val="0"/>
        <w:widowControl w:val="0"/>
        <w:spacing w:before="120"/>
        <w:rPr>
          <w:color w:val="auto"/>
          <w:highlight w:val="none"/>
        </w:rPr>
      </w:pPr>
      <w:r>
        <w:rPr>
          <w:color w:val="auto"/>
          <w:highlight w:val="none"/>
        </w:rPr>
        <w:t>总则</w:t>
      </w:r>
    </w:p>
    <w:p>
      <w:pPr>
        <w:pStyle w:val="6"/>
        <w:keepNext w:val="0"/>
        <w:keepLines w:val="0"/>
        <w:widowControl w:val="0"/>
        <w:spacing w:after="120" w:afterLines="50" w:line="360" w:lineRule="exact"/>
        <w:rPr>
          <w:rFonts w:cs="Times New Roman"/>
          <w:highlight w:val="none"/>
        </w:rPr>
      </w:pPr>
      <w:r>
        <w:rPr>
          <w:rFonts w:cs="Times New Roman"/>
          <w:highlight w:val="none"/>
        </w:rPr>
        <w:t>甲乙双方根据《中华人民共和国政府采购法》《中华人民共和国政府采购法实施条例》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《中华人民共和国民法典》等相关法律法规，自愿签订本协议。</w:t>
      </w:r>
    </w:p>
    <w:p>
      <w:pPr>
        <w:pStyle w:val="6"/>
        <w:keepNext w:val="0"/>
        <w:keepLines w:val="0"/>
        <w:widowControl w:val="0"/>
        <w:spacing w:after="120" w:afterLines="50" w:line="360" w:lineRule="exact"/>
        <w:ind w:left="862" w:hanging="862"/>
        <w:rPr>
          <w:rFonts w:cs="Times New Roman"/>
          <w:highlight w:val="none"/>
        </w:rPr>
      </w:pPr>
      <w:r>
        <w:rPr>
          <w:rFonts w:cs="Times New Roman"/>
          <w:highlight w:val="none"/>
        </w:rPr>
        <w:t>本协议有效期为1年，自</w:t>
      </w:r>
      <w:r>
        <w:rPr>
          <w:rFonts w:hint="eastAsia" w:cs="Times New Roman"/>
          <w:highlight w:val="none"/>
        </w:rPr>
        <w:t xml:space="preserve">   </w:t>
      </w:r>
      <w:r>
        <w:rPr>
          <w:rFonts w:cs="Times New Roman"/>
          <w:highlight w:val="none"/>
        </w:rPr>
        <w:t>年   月   日起至</w:t>
      </w:r>
      <w:r>
        <w:rPr>
          <w:rFonts w:hint="eastAsia" w:cs="Times New Roman"/>
          <w:highlight w:val="none"/>
        </w:rPr>
        <w:t xml:space="preserve">    </w:t>
      </w:r>
      <w:r>
        <w:rPr>
          <w:rFonts w:cs="Times New Roman"/>
          <w:highlight w:val="none"/>
        </w:rPr>
        <w:t>年   月   日止。</w:t>
      </w:r>
    </w:p>
    <w:p>
      <w:pPr>
        <w:pStyle w:val="6"/>
        <w:keepNext w:val="0"/>
        <w:keepLines w:val="0"/>
        <w:widowControl w:val="0"/>
        <w:spacing w:after="120" w:afterLines="50" w:line="360" w:lineRule="exact"/>
        <w:rPr>
          <w:rFonts w:cs="Times New Roman"/>
          <w:highlight w:val="none"/>
        </w:rPr>
      </w:pPr>
      <w:r>
        <w:rPr>
          <w:rFonts w:cs="Times New Roman"/>
          <w:highlight w:val="none"/>
        </w:rPr>
        <w:t>本协议适用于甲方通过</w:t>
      </w:r>
      <w:r>
        <w:rPr>
          <w:rFonts w:hint="eastAsia" w:cs="Times New Roman"/>
          <w:highlight w:val="none"/>
        </w:rPr>
        <w:t>封闭式框架协议采购</w:t>
      </w:r>
      <w:r>
        <w:rPr>
          <w:rFonts w:cs="Times New Roman"/>
          <w:highlight w:val="none"/>
        </w:rPr>
        <w:t>方式确定的乙方及其</w:t>
      </w:r>
      <w:r>
        <w:rPr>
          <w:rFonts w:hint="eastAsia" w:cs="Times New Roman"/>
          <w:highlight w:val="none"/>
        </w:rPr>
        <w:t>入围</w:t>
      </w:r>
      <w:r>
        <w:rPr>
          <w:rFonts w:cs="Times New Roman"/>
          <w:highlight w:val="none"/>
        </w:rPr>
        <w:t>产品，乙方根据本框架协议履行</w:t>
      </w:r>
      <w:r>
        <w:rPr>
          <w:rFonts w:hint="eastAsia" w:cs="Times New Roman"/>
          <w:highlight w:val="none"/>
        </w:rPr>
        <w:t>相关</w:t>
      </w:r>
      <w:r>
        <w:rPr>
          <w:rFonts w:cs="Times New Roman"/>
          <w:highlight w:val="none"/>
        </w:rPr>
        <w:t>义务。</w:t>
      </w:r>
    </w:p>
    <w:p>
      <w:pPr>
        <w:pStyle w:val="6"/>
        <w:keepNext w:val="0"/>
        <w:keepLines w:val="0"/>
        <w:widowControl w:val="0"/>
        <w:spacing w:after="120" w:afterLines="50" w:line="360" w:lineRule="exact"/>
        <w:rPr>
          <w:rFonts w:cs="Times New Roman"/>
          <w:highlight w:val="none"/>
        </w:rPr>
      </w:pPr>
      <w:r>
        <w:rPr>
          <w:rFonts w:cs="Times New Roman"/>
          <w:highlight w:val="none"/>
        </w:rPr>
        <w:t>本协议中的采购人是</w:t>
      </w:r>
      <w:r>
        <w:rPr>
          <w:rFonts w:hint="eastAsia" w:cs="Times New Roman"/>
          <w:highlight w:val="none"/>
        </w:rPr>
        <w:t>指公安部本级有关部门及单位。对纳入地方部门集中采购目录或分散采购限额以下的警用装备采购项目，地方各级公安机关报当地财政部门同意后自愿执行。</w:t>
      </w:r>
    </w:p>
    <w:p>
      <w:pPr>
        <w:pStyle w:val="6"/>
        <w:keepNext w:val="0"/>
        <w:keepLines w:val="0"/>
        <w:widowControl w:val="0"/>
        <w:spacing w:after="120" w:afterLines="50" w:line="360" w:lineRule="exact"/>
        <w:rPr>
          <w:highlight w:val="none"/>
        </w:rPr>
      </w:pPr>
      <w:r>
        <w:rPr>
          <w:rFonts w:hint="eastAsia"/>
          <w:highlight w:val="none"/>
        </w:rPr>
        <w:t>本协议中确定第二阶段成交供应商的方式为直接选定、二次竞价。</w:t>
      </w:r>
    </w:p>
    <w:p>
      <w:pPr>
        <w:pStyle w:val="6"/>
        <w:keepNext w:val="0"/>
        <w:keepLines w:val="0"/>
        <w:widowControl w:val="0"/>
        <w:spacing w:after="120" w:afterLines="50" w:line="360" w:lineRule="exact"/>
        <w:ind w:left="862" w:hanging="862"/>
        <w:rPr>
          <w:rFonts w:cs="Times New Roman"/>
          <w:highlight w:val="none"/>
        </w:rPr>
      </w:pPr>
      <w:r>
        <w:rPr>
          <w:rFonts w:cs="Times New Roman"/>
          <w:highlight w:val="none"/>
        </w:rPr>
        <w:t xml:space="preserve">甲乙双方应当自觉执行廉洁自律的各项有关规定，严禁以下不廉洁的行为： </w:t>
      </w:r>
    </w:p>
    <w:p>
      <w:pPr>
        <w:widowControl w:val="0"/>
        <w:spacing w:line="360" w:lineRule="exact"/>
        <w:ind w:left="680"/>
        <w:rPr>
          <w:highlight w:val="none"/>
        </w:rPr>
      </w:pPr>
      <w:r>
        <w:rPr>
          <w:highlight w:val="none"/>
        </w:rPr>
        <w:t>（1）支付、报销应当由对方或对方工作人员个人支付的费用；</w:t>
      </w:r>
    </w:p>
    <w:p>
      <w:pPr>
        <w:widowControl w:val="0"/>
        <w:spacing w:line="360" w:lineRule="exact"/>
        <w:ind w:left="680"/>
        <w:rPr>
          <w:highlight w:val="none"/>
        </w:rPr>
      </w:pPr>
      <w:r>
        <w:rPr>
          <w:highlight w:val="none"/>
        </w:rPr>
        <w:t>（2）向对方或对方工作人员索取、提供或收受好处费、感谢费、礼品、礼金、消费卡、有价证券、股权、其他金融产品等财物；</w:t>
      </w:r>
    </w:p>
    <w:p>
      <w:pPr>
        <w:widowControl w:val="0"/>
        <w:spacing w:line="360" w:lineRule="exact"/>
        <w:ind w:left="680"/>
        <w:rPr>
          <w:highlight w:val="none"/>
        </w:rPr>
      </w:pPr>
      <w:r>
        <w:rPr>
          <w:highlight w:val="none"/>
        </w:rPr>
        <w:t>（3）接受或向对方工作人员提供可能影响公正执行公务的宴请、旅游、健身、娱乐消费等活动安排；</w:t>
      </w:r>
    </w:p>
    <w:p>
      <w:pPr>
        <w:widowControl w:val="0"/>
        <w:spacing w:line="360" w:lineRule="exact"/>
        <w:ind w:left="680"/>
        <w:rPr>
          <w:highlight w:val="none"/>
        </w:rPr>
      </w:pPr>
      <w:r>
        <w:rPr>
          <w:highlight w:val="none"/>
        </w:rPr>
        <w:t>（4）以明显低于市场的价格向对方或对方工作人员提供物品、服务及股权，或以明显高于市场的价格购买对方或对方工作人员提供的物品、服务及股权；</w:t>
      </w:r>
    </w:p>
    <w:p>
      <w:pPr>
        <w:widowControl w:val="0"/>
        <w:spacing w:line="360" w:lineRule="exact"/>
        <w:ind w:left="680"/>
        <w:rPr>
          <w:highlight w:val="none"/>
        </w:rPr>
      </w:pPr>
      <w:r>
        <w:rPr>
          <w:highlight w:val="none"/>
        </w:rPr>
        <w:t>（5）以借贷等名义与对方工作人员发生经济往来</w:t>
      </w:r>
      <w:r>
        <w:rPr>
          <w:rFonts w:hint="eastAsia"/>
          <w:highlight w:val="none"/>
        </w:rPr>
        <w:t>；</w:t>
      </w:r>
    </w:p>
    <w:p>
      <w:pPr>
        <w:widowControl w:val="0"/>
        <w:spacing w:line="360" w:lineRule="exact"/>
        <w:ind w:left="680"/>
        <w:rPr>
          <w:highlight w:val="none"/>
        </w:rPr>
      </w:pPr>
      <w:r>
        <w:rPr>
          <w:highlight w:val="none"/>
        </w:rPr>
        <w:t>（6）接受或为对方工作人员及其亲友的营利活动提供便利条件；</w:t>
      </w:r>
    </w:p>
    <w:p>
      <w:pPr>
        <w:widowControl w:val="0"/>
        <w:spacing w:line="360" w:lineRule="exact"/>
        <w:ind w:left="680"/>
        <w:rPr>
          <w:highlight w:val="none"/>
        </w:rPr>
      </w:pPr>
      <w:r>
        <w:rPr>
          <w:highlight w:val="none"/>
        </w:rPr>
        <w:t>（7）串通相关人员参与二次竞价采购等不正当竞争行为的；</w:t>
      </w:r>
    </w:p>
    <w:p>
      <w:pPr>
        <w:widowControl w:val="0"/>
        <w:spacing w:line="360" w:lineRule="exact"/>
        <w:ind w:left="680"/>
        <w:rPr>
          <w:highlight w:val="none"/>
        </w:rPr>
      </w:pPr>
      <w:r>
        <w:rPr>
          <w:highlight w:val="none"/>
        </w:rPr>
        <w:t>（8）为谋取私利与对方工作人员就有关采购项目问题进行私下商谈或达成默契；</w:t>
      </w:r>
    </w:p>
    <w:p>
      <w:pPr>
        <w:widowControl w:val="0"/>
        <w:spacing w:after="120" w:afterLines="50" w:line="360" w:lineRule="exact"/>
        <w:ind w:left="680"/>
        <w:rPr>
          <w:highlight w:val="none"/>
        </w:rPr>
      </w:pPr>
      <w:r>
        <w:rPr>
          <w:highlight w:val="none"/>
        </w:rPr>
        <w:t>（9）其他违反国家法律法规、党纪的不廉洁行为。</w:t>
      </w:r>
    </w:p>
    <w:p>
      <w:pPr>
        <w:widowControl w:val="0"/>
        <w:spacing w:line="360" w:lineRule="exact"/>
        <w:ind w:left="680"/>
        <w:rPr>
          <w:highlight w:val="none"/>
        </w:rPr>
      </w:pPr>
      <w:r>
        <w:rPr>
          <w:highlight w:val="none"/>
        </w:rPr>
        <w:t>甲方及其工作人员发现乙方人员有不廉洁行为，应及时向乙方或有关部门举报，</w:t>
      </w:r>
    </w:p>
    <w:p>
      <w:pPr>
        <w:widowControl w:val="0"/>
        <w:spacing w:line="360" w:lineRule="exact"/>
        <w:ind w:left="680"/>
        <w:rPr>
          <w:highlight w:val="none"/>
        </w:rPr>
      </w:pPr>
      <w:r>
        <w:rPr>
          <w:highlight w:val="none"/>
        </w:rPr>
        <w:t>乙方联系方式如下：</w:t>
      </w:r>
    </w:p>
    <w:p>
      <w:pPr>
        <w:widowControl w:val="0"/>
        <w:spacing w:line="360" w:lineRule="exact"/>
        <w:ind w:left="1077"/>
        <w:rPr>
          <w:highlight w:val="none"/>
        </w:rPr>
      </w:pPr>
      <w:r>
        <w:rPr>
          <w:highlight w:val="none"/>
        </w:rPr>
        <w:t>联 系 人：</w:t>
      </w:r>
    </w:p>
    <w:p>
      <w:pPr>
        <w:widowControl w:val="0"/>
        <w:spacing w:line="360" w:lineRule="exact"/>
        <w:ind w:left="1077"/>
        <w:rPr>
          <w:highlight w:val="none"/>
        </w:rPr>
      </w:pPr>
      <w:r>
        <w:rPr>
          <w:highlight w:val="none"/>
        </w:rPr>
        <w:t>举报电话：</w:t>
      </w:r>
    </w:p>
    <w:p>
      <w:pPr>
        <w:widowControl w:val="0"/>
        <w:spacing w:after="120" w:afterLines="50" w:line="360" w:lineRule="exact"/>
        <w:ind w:left="1077"/>
        <w:rPr>
          <w:highlight w:val="none"/>
        </w:rPr>
      </w:pPr>
      <w:r>
        <w:rPr>
          <w:highlight w:val="none"/>
        </w:rPr>
        <w:t>举报邮箱：</w:t>
      </w:r>
    </w:p>
    <w:p>
      <w:pPr>
        <w:widowControl w:val="0"/>
        <w:spacing w:line="360" w:lineRule="exact"/>
        <w:ind w:left="680"/>
        <w:rPr>
          <w:highlight w:val="none"/>
        </w:rPr>
      </w:pPr>
      <w:r>
        <w:rPr>
          <w:highlight w:val="none"/>
        </w:rPr>
        <w:t>乙方及其工作人员发现甲方人员有不廉洁行为，应及时向甲方或有关部门举报，</w:t>
      </w:r>
    </w:p>
    <w:p>
      <w:pPr>
        <w:widowControl w:val="0"/>
        <w:spacing w:line="360" w:lineRule="exact"/>
        <w:ind w:left="680"/>
        <w:rPr>
          <w:highlight w:val="none"/>
        </w:rPr>
      </w:pPr>
      <w:r>
        <w:rPr>
          <w:highlight w:val="none"/>
        </w:rPr>
        <w:t>甲方联系方式如下：</w:t>
      </w:r>
    </w:p>
    <w:p>
      <w:pPr>
        <w:widowControl w:val="0"/>
        <w:spacing w:line="360" w:lineRule="exact"/>
        <w:ind w:left="1077"/>
        <w:rPr>
          <w:highlight w:val="none"/>
        </w:rPr>
      </w:pPr>
      <w:r>
        <w:rPr>
          <w:highlight w:val="none"/>
        </w:rPr>
        <w:t xml:space="preserve">举报电话： 021-33292998 </w:t>
      </w:r>
    </w:p>
    <w:p>
      <w:pPr>
        <w:widowControl w:val="0"/>
        <w:spacing w:line="360" w:lineRule="exact"/>
        <w:ind w:left="1077"/>
        <w:rPr>
          <w:highlight w:val="none"/>
        </w:rPr>
      </w:pPr>
      <w:r>
        <w:rPr>
          <w:highlight w:val="none"/>
        </w:rPr>
        <w:t xml:space="preserve">举报材料可现场递交或邮寄送达，邮寄信息如下：                                  </w:t>
      </w:r>
    </w:p>
    <w:p>
      <w:pPr>
        <w:widowControl w:val="0"/>
        <w:spacing w:line="360" w:lineRule="exact"/>
        <w:ind w:left="1077"/>
        <w:rPr>
          <w:highlight w:val="none"/>
        </w:rPr>
      </w:pPr>
      <w:r>
        <w:rPr>
          <w:highlight w:val="none"/>
        </w:rPr>
        <w:t xml:space="preserve">收 件 人： </w:t>
      </w:r>
      <w:r>
        <w:rPr>
          <w:rFonts w:hint="eastAsia"/>
          <w:highlight w:val="none"/>
        </w:rPr>
        <w:t>监督管理处</w:t>
      </w:r>
    </w:p>
    <w:p>
      <w:pPr>
        <w:widowControl w:val="0"/>
        <w:spacing w:after="120" w:afterLines="50" w:line="360" w:lineRule="exact"/>
        <w:ind w:left="1077"/>
        <w:rPr>
          <w:highlight w:val="none"/>
        </w:rPr>
      </w:pPr>
      <w:r>
        <w:rPr>
          <w:highlight w:val="none"/>
        </w:rPr>
        <w:t xml:space="preserve">地    址： 上海市闵行区浦江镇三达路299号                                                                                                           </w:t>
      </w:r>
    </w:p>
    <w:p>
      <w:pPr>
        <w:pStyle w:val="6"/>
        <w:keepNext w:val="0"/>
        <w:keepLines w:val="0"/>
        <w:widowControl w:val="0"/>
        <w:spacing w:after="120" w:afterLines="50" w:line="360" w:lineRule="exact"/>
        <w:rPr>
          <w:rFonts w:cs="Times New Roman"/>
          <w:highlight w:val="none"/>
        </w:rPr>
      </w:pPr>
      <w:r>
        <w:rPr>
          <w:rFonts w:cs="Times New Roman"/>
          <w:highlight w:val="none"/>
        </w:rPr>
        <w:t>因公安工作特殊性，乙方不得以审查、审计等理由向甲方要求提供采购人信息、采购数据、发票等信息，并不得以甲方不能提供上述信息而拒绝提供各项服务。</w:t>
      </w:r>
    </w:p>
    <w:p>
      <w:pPr>
        <w:pStyle w:val="6"/>
        <w:keepNext w:val="0"/>
        <w:keepLines w:val="0"/>
        <w:widowControl w:val="0"/>
        <w:spacing w:after="120" w:afterLines="50" w:line="360" w:lineRule="exact"/>
        <w:rPr>
          <w:rFonts w:cs="Times New Roman"/>
          <w:highlight w:val="none"/>
        </w:rPr>
      </w:pPr>
      <w:r>
        <w:rPr>
          <w:rFonts w:cs="Times New Roman"/>
          <w:highlight w:val="none"/>
        </w:rPr>
        <w:t>乙方应当对在履行本协议期间获得的采购人信息（包括但不限于采购人名单、采购订单资料等）、甲方内部资料（包括但不限于标明保密的材料、定价政策、行销计划、财务资料、工作人员信息等其他不予公开的信息）、其他入围（成交）企业的信息（包括但不限于产品定价、优惠力度、促销活动、服务承诺、成交记录、评价记录、包装规格等信息）进行保密，未经甲方事先同意，不得向本协议以外的任何第三方披露，双方应仅为履行本协议而复制和使用保密信息。</w:t>
      </w:r>
    </w:p>
    <w:p>
      <w:pPr>
        <w:pStyle w:val="6"/>
        <w:keepNext w:val="0"/>
        <w:keepLines w:val="0"/>
        <w:widowControl w:val="0"/>
        <w:spacing w:after="120" w:afterLines="50" w:line="360" w:lineRule="exact"/>
        <w:rPr>
          <w:rFonts w:cs="Times New Roman"/>
          <w:highlight w:val="none"/>
        </w:rPr>
      </w:pPr>
      <w:r>
        <w:rPr>
          <w:rFonts w:cs="Times New Roman"/>
          <w:highlight w:val="none"/>
        </w:rPr>
        <w:t>本保密义务在本协议期满、解除或终止后仍然有效。</w:t>
      </w:r>
    </w:p>
    <w:p>
      <w:pPr>
        <w:pStyle w:val="5"/>
        <w:keepNext w:val="0"/>
        <w:keepLines w:val="0"/>
        <w:widowControl w:val="0"/>
        <w:spacing w:before="120"/>
        <w:rPr>
          <w:color w:val="auto"/>
          <w:highlight w:val="none"/>
        </w:rPr>
      </w:pPr>
      <w:r>
        <w:rPr>
          <w:color w:val="auto"/>
          <w:highlight w:val="none"/>
        </w:rPr>
        <w:t>标的</w:t>
      </w:r>
    </w:p>
    <w:p>
      <w:pPr>
        <w:pStyle w:val="6"/>
        <w:keepNext w:val="0"/>
        <w:keepLines w:val="0"/>
        <w:widowControl w:val="0"/>
        <w:spacing w:after="120" w:afterLines="50" w:line="360" w:lineRule="exact"/>
        <w:rPr>
          <w:rFonts w:cs="Times New Roman"/>
          <w:highlight w:val="none"/>
        </w:rPr>
      </w:pPr>
      <w:r>
        <w:rPr>
          <w:rFonts w:cs="Times New Roman"/>
          <w:highlight w:val="none"/>
        </w:rPr>
        <w:t>乙方入围产品</w:t>
      </w:r>
      <w:r>
        <w:rPr>
          <w:rFonts w:hint="eastAsia" w:cs="Times New Roman"/>
          <w:highlight w:val="none"/>
        </w:rPr>
        <w:t>有:</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）。（上述</w:t>
      </w:r>
      <w:r>
        <w:rPr>
          <w:rFonts w:cs="Times New Roman"/>
          <w:highlight w:val="none"/>
        </w:rPr>
        <w:t>信息</w:t>
      </w:r>
      <w:r>
        <w:rPr>
          <w:rFonts w:hint="eastAsia" w:cs="Times New Roman"/>
          <w:highlight w:val="none"/>
        </w:rPr>
        <w:t>如有需要</w:t>
      </w:r>
      <w:r>
        <w:rPr>
          <w:rFonts w:cs="Times New Roman"/>
          <w:highlight w:val="none"/>
        </w:rPr>
        <w:t>，</w:t>
      </w:r>
      <w:r>
        <w:rPr>
          <w:rFonts w:hint="eastAsia" w:cs="Times New Roman"/>
          <w:highlight w:val="none"/>
        </w:rPr>
        <w:t>可按照该</w:t>
      </w:r>
      <w:r>
        <w:rPr>
          <w:rFonts w:cs="Times New Roman"/>
          <w:highlight w:val="none"/>
        </w:rPr>
        <w:t>格式继续</w:t>
      </w:r>
      <w:r>
        <w:rPr>
          <w:rFonts w:hint="eastAsia" w:cs="Times New Roman"/>
          <w:highlight w:val="none"/>
        </w:rPr>
        <w:t>自行</w:t>
      </w:r>
      <w:r>
        <w:rPr>
          <w:rFonts w:cs="Times New Roman"/>
          <w:highlight w:val="none"/>
        </w:rPr>
        <w:t>添加</w:t>
      </w:r>
      <w:r>
        <w:rPr>
          <w:rFonts w:hint="eastAsia" w:cs="Times New Roman"/>
          <w:highlight w:val="none"/>
        </w:rPr>
        <w:t>）产品</w:t>
      </w:r>
      <w:r>
        <w:rPr>
          <w:rFonts w:cs="Times New Roman"/>
          <w:highlight w:val="none"/>
        </w:rPr>
        <w:t>基本信息</w:t>
      </w:r>
      <w:r>
        <w:rPr>
          <w:rFonts w:hint="eastAsia" w:cs="Times New Roman"/>
          <w:highlight w:val="none"/>
        </w:rPr>
        <w:t>详</w:t>
      </w:r>
      <w:r>
        <w:rPr>
          <w:rFonts w:cs="Times New Roman"/>
          <w:highlight w:val="none"/>
        </w:rPr>
        <w:t>见</w:t>
      </w:r>
      <w:r>
        <w:rPr>
          <w:rFonts w:hint="eastAsia" w:cs="Times New Roman"/>
          <w:highlight w:val="none"/>
        </w:rPr>
        <w:t>附件1</w:t>
      </w:r>
      <w:r>
        <w:rPr>
          <w:rFonts w:cs="Times New Roman"/>
          <w:highlight w:val="none"/>
        </w:rPr>
        <w:t>，产品的质量、参数、配置、售后服务等详细信息</w:t>
      </w:r>
      <w:r>
        <w:rPr>
          <w:rFonts w:hint="eastAsia" w:cs="Times New Roman"/>
          <w:highlight w:val="none"/>
        </w:rPr>
        <w:t>以</w:t>
      </w:r>
      <w:r>
        <w:rPr>
          <w:rFonts w:cs="Times New Roman"/>
          <w:highlight w:val="none"/>
        </w:rPr>
        <w:t>乙方在响应文件中的</w:t>
      </w:r>
      <w:r>
        <w:rPr>
          <w:rFonts w:hint="eastAsia" w:cs="Times New Roman"/>
          <w:highlight w:val="none"/>
        </w:rPr>
        <w:t>实际响应</w:t>
      </w:r>
      <w:r>
        <w:rPr>
          <w:rFonts w:cs="Times New Roman"/>
          <w:highlight w:val="none"/>
        </w:rPr>
        <w:t>为准，</w:t>
      </w:r>
      <w:r>
        <w:rPr>
          <w:rFonts w:hint="eastAsia" w:cs="Times New Roman"/>
          <w:highlight w:val="none"/>
        </w:rPr>
        <w:t>具体内容见附件2</w:t>
      </w:r>
      <w:r>
        <w:rPr>
          <w:rFonts w:cs="Times New Roman"/>
          <w:highlight w:val="none"/>
        </w:rPr>
        <w:t>。</w:t>
      </w:r>
    </w:p>
    <w:p>
      <w:pPr>
        <w:pStyle w:val="6"/>
        <w:keepNext w:val="0"/>
        <w:keepLines w:val="0"/>
        <w:widowControl w:val="0"/>
        <w:spacing w:after="120" w:afterLines="50" w:line="360" w:lineRule="exact"/>
        <w:rPr>
          <w:rFonts w:cs="Times New Roman"/>
          <w:highlight w:val="none"/>
        </w:rPr>
      </w:pPr>
      <w:r>
        <w:rPr>
          <w:rFonts w:cs="Times New Roman"/>
          <w:highlight w:val="none"/>
        </w:rPr>
        <w:t>在</w:t>
      </w:r>
      <w:r>
        <w:rPr>
          <w:rFonts w:hint="eastAsia" w:cs="Times New Roman"/>
          <w:highlight w:val="none"/>
        </w:rPr>
        <w:t>框架协议</w:t>
      </w:r>
      <w:r>
        <w:rPr>
          <w:rFonts w:cs="Times New Roman"/>
          <w:highlight w:val="none"/>
        </w:rPr>
        <w:t>有效期内，乙方若</w:t>
      </w:r>
      <w:r>
        <w:rPr>
          <w:rFonts w:hint="eastAsia"/>
          <w:highlight w:val="none"/>
        </w:rPr>
        <w:t>因产品升级换代，需用新产品替代原入围产品的</w:t>
      </w:r>
      <w:r>
        <w:rPr>
          <w:rFonts w:cs="Times New Roman"/>
          <w:highlight w:val="none"/>
        </w:rPr>
        <w:t>，须按甲方要求以书面方式提前申请，</w:t>
      </w:r>
      <w:r>
        <w:rPr>
          <w:rFonts w:hint="eastAsia"/>
          <w:highlight w:val="none"/>
        </w:rPr>
        <w:t>新产品质量应不低于原入围产品的质量，新产品价格不高于原入围产品的价格。</w:t>
      </w:r>
      <w:r>
        <w:rPr>
          <w:rFonts w:cs="Times New Roman"/>
          <w:highlight w:val="none"/>
        </w:rPr>
        <w:t>升级换代产品</w:t>
      </w:r>
      <w:r>
        <w:rPr>
          <w:rFonts w:hint="eastAsia" w:cs="Times New Roman"/>
          <w:highlight w:val="none"/>
        </w:rPr>
        <w:t>审核</w:t>
      </w:r>
      <w:r>
        <w:rPr>
          <w:rFonts w:cs="Times New Roman"/>
          <w:highlight w:val="none"/>
        </w:rPr>
        <w:t>按照</w:t>
      </w:r>
      <w:r>
        <w:rPr>
          <w:rFonts w:hint="eastAsia" w:cs="Times New Roman"/>
          <w:highlight w:val="none"/>
        </w:rPr>
        <w:t>征集文件</w:t>
      </w:r>
      <w:r>
        <w:rPr>
          <w:rFonts w:cs="Times New Roman"/>
          <w:highlight w:val="none"/>
        </w:rPr>
        <w:t>相关规定执行。</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乙方提供的产品应当为未曾销售、未曾使用、未曾返修、新下线的合格产品。</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乙方提供的产品必须符合国家有关质量技术标准及相关法律、法规规定的要求。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乙方应保证提供的产品不得侵犯第三方专利权、商标权和工业设计权、版权等。否则乙方应负全部责任，并承担由此引起的一切后果。</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乙方应保证其产品在正常使用和保养条件下，在其使用寿命期内应具有合格的性能。</w:t>
      </w:r>
    </w:p>
    <w:p>
      <w:pPr>
        <w:pStyle w:val="5"/>
        <w:keepNext w:val="0"/>
        <w:keepLines w:val="0"/>
        <w:widowControl w:val="0"/>
        <w:spacing w:before="120"/>
        <w:rPr>
          <w:color w:val="auto"/>
          <w:highlight w:val="none"/>
        </w:rPr>
      </w:pPr>
      <w:r>
        <w:rPr>
          <w:color w:val="auto"/>
          <w:highlight w:val="none"/>
        </w:rPr>
        <w:t>价格要求</w:t>
      </w:r>
    </w:p>
    <w:p>
      <w:pPr>
        <w:pStyle w:val="6"/>
        <w:keepNext w:val="0"/>
        <w:keepLines w:val="0"/>
        <w:widowControl w:val="0"/>
        <w:spacing w:after="120" w:afterLines="50" w:line="360" w:lineRule="exact"/>
        <w:rPr>
          <w:rFonts w:cs="Times New Roman"/>
          <w:highlight w:val="none"/>
        </w:rPr>
      </w:pPr>
      <w:r>
        <w:rPr>
          <w:rFonts w:hint="eastAsia" w:cs="Times New Roman"/>
          <w:highlight w:val="none"/>
        </w:rPr>
        <w:t>乙方第一阶段响应报价（以下统称协议价格）是采购人确定第二阶段成交供应商的最高限价，第二阶段的成交单价不得超过此价格。</w:t>
      </w:r>
    </w:p>
    <w:p>
      <w:pPr>
        <w:pStyle w:val="6"/>
        <w:keepNext w:val="0"/>
        <w:keepLines w:val="0"/>
        <w:widowControl w:val="0"/>
        <w:spacing w:after="120" w:afterLines="50" w:line="360" w:lineRule="exact"/>
        <w:rPr>
          <w:rFonts w:cs="Times New Roman"/>
          <w:highlight w:val="none"/>
        </w:rPr>
      </w:pPr>
      <w:r>
        <w:rPr>
          <w:rFonts w:hint="eastAsia" w:cs="Times New Roman"/>
          <w:highlight w:val="none"/>
        </w:rPr>
        <w:t>协议价格</w:t>
      </w:r>
      <w:r>
        <w:rPr>
          <w:rFonts w:cs="Times New Roman"/>
          <w:highlight w:val="none"/>
        </w:rPr>
        <w:t>包含但不限于包装、运输、仓储、安装调试、检测检验、培训等费用，为交付采购人时的最终价格。</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w:t>
      </w:r>
      <w:r>
        <w:rPr>
          <w:rFonts w:hint="eastAsia" w:cs="Times New Roman"/>
          <w:highlight w:val="none"/>
        </w:rPr>
        <w:t>响应报价</w:t>
      </w:r>
      <w:r>
        <w:rPr>
          <w:rFonts w:cs="Times New Roman"/>
          <w:highlight w:val="none"/>
        </w:rPr>
        <w:t>真实、可靠，不得存在价格虚高、</w:t>
      </w:r>
      <w:r>
        <w:rPr>
          <w:rFonts w:hint="eastAsia" w:cs="Times New Roman"/>
          <w:highlight w:val="none"/>
        </w:rPr>
        <w:t>牟取</w:t>
      </w:r>
      <w:r>
        <w:rPr>
          <w:rFonts w:cs="Times New Roman"/>
          <w:highlight w:val="none"/>
        </w:rPr>
        <w:t>暴利等违法违规行为。甲方有权组织审价，如发现存在虚假等情况的，有权要求乙方下调价格并按有关规定处理。</w:t>
      </w:r>
    </w:p>
    <w:p>
      <w:pPr>
        <w:pStyle w:val="6"/>
        <w:keepNext w:val="0"/>
        <w:keepLines w:val="0"/>
        <w:widowControl w:val="0"/>
        <w:spacing w:after="120" w:afterLines="50" w:line="360" w:lineRule="exact"/>
        <w:rPr>
          <w:rFonts w:cs="Times New Roman"/>
          <w:highlight w:val="none"/>
        </w:rPr>
      </w:pPr>
      <w:r>
        <w:rPr>
          <w:rFonts w:cs="Times New Roman"/>
          <w:highlight w:val="none"/>
        </w:rPr>
        <w:t>乙方应作出最低价承诺，保证所提供给甲方的价格不高于销售给任何第三方的价格。若乙方在协议外销售价格低于协议价格，则应在5个工作日内及时下调协议价格至该销售价格。最低价承诺是指乙方自愿作出的向甲方提供最低价格的有效承诺。</w:t>
      </w:r>
    </w:p>
    <w:p>
      <w:pPr>
        <w:pStyle w:val="6"/>
        <w:keepNext w:val="0"/>
        <w:keepLines w:val="0"/>
        <w:widowControl w:val="0"/>
        <w:spacing w:after="120" w:afterLines="50" w:line="360" w:lineRule="exact"/>
        <w:rPr>
          <w:rFonts w:cs="Times New Roman"/>
          <w:highlight w:val="none"/>
        </w:rPr>
      </w:pPr>
      <w:r>
        <w:rPr>
          <w:rFonts w:hint="eastAsia" w:cs="Times New Roman"/>
          <w:highlight w:val="none"/>
        </w:rPr>
        <w:t>本期框架协议执行期间，乙方应当随产品市场价格的下调随时下调入围产品价格（但不得调高产品价格）。乙方因市场原因所做的价格下调对未确认收货之前的产品订单依然有效。</w:t>
      </w:r>
    </w:p>
    <w:p>
      <w:pPr>
        <w:pStyle w:val="6"/>
        <w:keepNext w:val="0"/>
        <w:keepLines w:val="0"/>
        <w:widowControl w:val="0"/>
        <w:spacing w:after="120" w:afterLines="50" w:line="360" w:lineRule="exact"/>
        <w:rPr>
          <w:rFonts w:cs="Times New Roman"/>
          <w:highlight w:val="none"/>
        </w:rPr>
      </w:pPr>
      <w:r>
        <w:rPr>
          <w:rFonts w:cs="Times New Roman"/>
          <w:highlight w:val="none"/>
        </w:rPr>
        <w:t>若乙方给予第三方额外的优惠及补贴，如达标奖励、超额奖励、利息补贴、库存补贴等，甲方应享受同等待遇。</w:t>
      </w:r>
    </w:p>
    <w:p>
      <w:pPr>
        <w:pStyle w:val="5"/>
        <w:keepNext w:val="0"/>
        <w:keepLines w:val="0"/>
        <w:widowControl w:val="0"/>
        <w:spacing w:before="120"/>
        <w:rPr>
          <w:color w:val="auto"/>
          <w:highlight w:val="none"/>
        </w:rPr>
      </w:pPr>
      <w:r>
        <w:rPr>
          <w:color w:val="auto"/>
          <w:highlight w:val="none"/>
        </w:rPr>
        <w:t>服务要求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组建服务团队（至少包括项目负责人、销售主管、订单管理员各一名），乙方配备服务人员负责申报新产品动态、生产供应、价格变动、产品更新等情况；负责执行和检查产品订单、售后服务、投诉处理及情况反馈，按时汇报产品供货和交货周期等工作情况。</w:t>
      </w:r>
    </w:p>
    <w:p>
      <w:pPr>
        <w:pStyle w:val="6"/>
        <w:keepNext w:val="0"/>
        <w:keepLines w:val="0"/>
        <w:widowControl w:val="0"/>
        <w:spacing w:after="120" w:afterLines="50" w:line="360" w:lineRule="exact"/>
        <w:rPr>
          <w:rFonts w:cs="Times New Roman"/>
          <w:highlight w:val="none"/>
        </w:rPr>
      </w:pPr>
      <w:r>
        <w:rPr>
          <w:rFonts w:cs="Times New Roman"/>
          <w:highlight w:val="none"/>
        </w:rPr>
        <w:t>乙方应当在本协议生效后及时将服务团队人员名单和联系方式提供给甲方。为提供更优质服务，甲方有权要求乙方更新团队。</w:t>
      </w:r>
    </w:p>
    <w:p>
      <w:pPr>
        <w:pStyle w:val="6"/>
        <w:keepNext w:val="0"/>
        <w:keepLines w:val="0"/>
        <w:widowControl w:val="0"/>
        <w:spacing w:after="120" w:afterLines="50" w:line="360" w:lineRule="exact"/>
        <w:rPr>
          <w:rFonts w:cs="Times New Roman"/>
          <w:highlight w:val="none"/>
        </w:rPr>
      </w:pPr>
      <w:r>
        <w:rPr>
          <w:rFonts w:cs="Times New Roman"/>
          <w:highlight w:val="none"/>
        </w:rPr>
        <w:t>在</w:t>
      </w:r>
      <w:r>
        <w:rPr>
          <w:rFonts w:hint="eastAsia" w:cs="Times New Roman"/>
          <w:highlight w:val="none"/>
        </w:rPr>
        <w:t>框架</w:t>
      </w:r>
      <w:r>
        <w:rPr>
          <w:rFonts w:cs="Times New Roman"/>
          <w:highlight w:val="none"/>
        </w:rPr>
        <w:t>协议有效期内，以上服务人员如发生工作调动，乙方应在5个工作日内函告甲方。</w:t>
      </w:r>
    </w:p>
    <w:p>
      <w:pPr>
        <w:pStyle w:val="6"/>
        <w:keepNext w:val="0"/>
        <w:keepLines w:val="0"/>
        <w:widowControl w:val="0"/>
        <w:spacing w:after="120" w:afterLines="50" w:line="360" w:lineRule="exact"/>
        <w:rPr>
          <w:rFonts w:cs="Times New Roman"/>
          <w:highlight w:val="none"/>
        </w:rPr>
      </w:pPr>
      <w:r>
        <w:rPr>
          <w:rFonts w:cs="Times New Roman"/>
          <w:highlight w:val="none"/>
        </w:rPr>
        <w:t>乙方针对相关</w:t>
      </w:r>
      <w:r>
        <w:rPr>
          <w:rFonts w:hint="eastAsia" w:cs="Times New Roman"/>
          <w:highlight w:val="none"/>
        </w:rPr>
        <w:t>入围</w:t>
      </w:r>
      <w:r>
        <w:rPr>
          <w:rFonts w:cs="Times New Roman"/>
          <w:highlight w:val="none"/>
        </w:rPr>
        <w:t>产品向采购人提供服务保障，应当</w:t>
      </w:r>
      <w:r>
        <w:rPr>
          <w:rFonts w:hint="eastAsia" w:cs="Times New Roman"/>
          <w:highlight w:val="none"/>
        </w:rPr>
        <w:t>符合</w:t>
      </w:r>
      <w:r>
        <w:rPr>
          <w:rFonts w:cs="Times New Roman"/>
          <w:highlight w:val="none"/>
        </w:rPr>
        <w:t>乙方在响应文件中的服务承诺。乙方标的物的质保期为</w:t>
      </w:r>
      <w:r>
        <w:rPr>
          <w:rFonts w:cs="Times New Roman"/>
          <w:highlight w:val="none"/>
          <w:u w:val="single"/>
        </w:rPr>
        <w:t xml:space="preserve">     </w:t>
      </w:r>
      <w:r>
        <w:rPr>
          <w:rFonts w:cs="Times New Roman"/>
          <w:highlight w:val="none"/>
        </w:rPr>
        <w:t>年，自协议产品交付并验收合格之日起计算。质保期内实行</w:t>
      </w:r>
      <w:r>
        <w:rPr>
          <w:rFonts w:hint="eastAsia" w:ascii="宋体" w:hAnsi="宋体" w:cs="宋体"/>
          <w:highlight w:val="none"/>
        </w:rPr>
        <w:t>“三包”</w:t>
      </w:r>
      <w:r>
        <w:rPr>
          <w:rFonts w:cs="Times New Roman"/>
          <w:highlight w:val="none"/>
        </w:rPr>
        <w:t>服务，如货物出现质量问题，</w:t>
      </w:r>
      <w:r>
        <w:rPr>
          <w:rFonts w:cs="Times New Roman"/>
          <w:highlight w:val="none"/>
          <w:lang w:val="en-US"/>
        </w:rPr>
        <w:t>乙方</w:t>
      </w:r>
      <w:r>
        <w:rPr>
          <w:rFonts w:cs="Times New Roman"/>
          <w:highlight w:val="none"/>
        </w:rPr>
        <w:t>根据实际情况进行修理、更换或退货处理，并承担由此发生的一切费用。乙方负责向甲方提供7×24小时售后服务响应，在质保期内货物出现故障时，应在接到甲方通知后2小时内作出实质性反应，并在24小时内赶赴现场处理故障。</w:t>
      </w:r>
    </w:p>
    <w:p>
      <w:pPr>
        <w:pStyle w:val="6"/>
        <w:keepNext w:val="0"/>
        <w:keepLines w:val="0"/>
        <w:widowControl w:val="0"/>
        <w:spacing w:after="120" w:afterLines="50" w:line="360" w:lineRule="exact"/>
        <w:rPr>
          <w:rFonts w:cs="Times New Roman"/>
          <w:highlight w:val="none"/>
        </w:rPr>
      </w:pPr>
      <w:r>
        <w:rPr>
          <w:rFonts w:cs="Times New Roman"/>
          <w:highlight w:val="none"/>
        </w:rPr>
        <w:t>乙方应专门为甲方设立</w:t>
      </w:r>
      <w:r>
        <w:rPr>
          <w:rFonts w:hint="eastAsia" w:cs="Times New Roman"/>
          <w:color w:val="000000" w:themeColor="text1"/>
          <w:highlight w:val="none"/>
          <w14:textFill>
            <w14:solidFill>
              <w14:schemeClr w14:val="tx1"/>
            </w14:solidFill>
          </w14:textFill>
        </w:rPr>
        <w:t>咨询及</w:t>
      </w:r>
      <w:r>
        <w:rPr>
          <w:rFonts w:cs="Times New Roman"/>
          <w:highlight w:val="none"/>
        </w:rPr>
        <w:t>售后服务受理电话（电话号码：          ），及时响应甲方、采购人对产品及服务的要求。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乙方应甲方提供全国销售服务网点清单，清单包括但不限于联系人、联系电话、地址等内容。</w:t>
      </w:r>
    </w:p>
    <w:p>
      <w:pPr>
        <w:pStyle w:val="5"/>
        <w:keepNext w:val="0"/>
        <w:keepLines w:val="0"/>
        <w:widowControl w:val="0"/>
        <w:spacing w:before="120" w:line="360" w:lineRule="exact"/>
        <w:rPr>
          <w:color w:val="auto"/>
          <w:highlight w:val="none"/>
        </w:rPr>
      </w:pPr>
      <w:r>
        <w:rPr>
          <w:color w:val="auto"/>
          <w:highlight w:val="none"/>
        </w:rPr>
        <w:t>协议履行</w:t>
      </w:r>
    </w:p>
    <w:p>
      <w:pPr>
        <w:pStyle w:val="6"/>
        <w:keepNext w:val="0"/>
        <w:keepLines w:val="0"/>
        <w:widowControl w:val="0"/>
        <w:spacing w:after="120" w:afterLines="50" w:line="360" w:lineRule="exact"/>
        <w:rPr>
          <w:rFonts w:cs="Times New Roman"/>
          <w:highlight w:val="none"/>
        </w:rPr>
      </w:pPr>
      <w:r>
        <w:rPr>
          <w:rFonts w:hint="eastAsia" w:cs="Times New Roman"/>
          <w:highlight w:val="none"/>
        </w:rPr>
        <w:t>履行合同的地域范围：全国范围内。</w:t>
      </w:r>
      <w:r>
        <w:rPr>
          <w:rFonts w:cs="Times New Roman"/>
          <w:highlight w:val="none"/>
        </w:rPr>
        <w:t>乙方按采购人要求在规定的时间（</w:t>
      </w:r>
      <w:r>
        <w:rPr>
          <w:highlight w:val="none"/>
        </w:rPr>
        <w:t>产品供货时间最长不得超过</w:t>
      </w:r>
      <w:r>
        <w:rPr>
          <w:rFonts w:hint="eastAsia"/>
          <w:highlight w:val="none"/>
          <w:lang w:val="en-US"/>
        </w:rPr>
        <w:t>30</w:t>
      </w:r>
      <w:r>
        <w:rPr>
          <w:highlight w:val="none"/>
        </w:rPr>
        <w:t>个日历日</w:t>
      </w:r>
      <w:r>
        <w:rPr>
          <w:rFonts w:cs="Times New Roman"/>
          <w:highlight w:val="none"/>
        </w:rPr>
        <w:t>）、地点优先供货</w:t>
      </w:r>
      <w:r>
        <w:rPr>
          <w:rFonts w:hint="eastAsia" w:cs="Times New Roman"/>
          <w:highlight w:val="none"/>
        </w:rPr>
        <w:t>。</w:t>
      </w:r>
    </w:p>
    <w:p>
      <w:pPr>
        <w:pStyle w:val="6"/>
        <w:keepNext w:val="0"/>
        <w:keepLines w:val="0"/>
        <w:widowControl w:val="0"/>
        <w:spacing w:after="120" w:afterLines="50" w:line="360" w:lineRule="exact"/>
        <w:rPr>
          <w:rFonts w:cs="Times New Roman"/>
          <w:highlight w:val="none"/>
        </w:rPr>
      </w:pPr>
      <w:r>
        <w:rPr>
          <w:rFonts w:cs="Times New Roman"/>
          <w:highlight w:val="none"/>
        </w:rPr>
        <w:t>乙方确保产品安全无损地运抵指定地点，确认收货前，产品发生的一切毁损、灭失的风险，由乙方承担。</w:t>
      </w:r>
    </w:p>
    <w:p>
      <w:pPr>
        <w:pStyle w:val="6"/>
        <w:keepNext w:val="0"/>
        <w:keepLines w:val="0"/>
        <w:widowControl w:val="0"/>
        <w:spacing w:after="120" w:afterLines="50" w:line="360" w:lineRule="exact"/>
        <w:rPr>
          <w:rFonts w:cs="Times New Roman"/>
          <w:highlight w:val="none"/>
        </w:rPr>
      </w:pPr>
      <w:r>
        <w:rPr>
          <w:rFonts w:cs="Times New Roman"/>
          <w:highlight w:val="none"/>
        </w:rPr>
        <w:t>验收时发现产品发生损毁，或产品规格与订单约定不符，则采购人有权拒收产品，乙方应当及时按照</w:t>
      </w:r>
      <w:r>
        <w:rPr>
          <w:rFonts w:hint="eastAsia" w:cs="Times New Roman"/>
          <w:highlight w:val="none"/>
        </w:rPr>
        <w:t>征集文件</w:t>
      </w:r>
      <w:r>
        <w:rPr>
          <w:rFonts w:cs="Times New Roman"/>
          <w:highlight w:val="none"/>
        </w:rPr>
        <w:t>、本协议等文件中相关约定进行更换或维修，与采购人协商解决直至验收合格。</w:t>
      </w:r>
    </w:p>
    <w:p>
      <w:pPr>
        <w:pStyle w:val="6"/>
        <w:keepNext w:val="0"/>
        <w:keepLines w:val="0"/>
        <w:widowControl w:val="0"/>
        <w:spacing w:after="120" w:afterLines="50" w:line="360" w:lineRule="exact"/>
        <w:rPr>
          <w:rFonts w:cs="Times New Roman"/>
          <w:highlight w:val="none"/>
        </w:rPr>
      </w:pPr>
      <w:r>
        <w:rPr>
          <w:rFonts w:cs="Times New Roman"/>
          <w:highlight w:val="none"/>
        </w:rPr>
        <w:t>使用过程中，发现乙方提供的产品不符合质量标准或存在产品质量缺陷，采购人有权向乙方提出索赔等要求，乙方应按照采购人同意的下列方式解决：</w:t>
      </w:r>
    </w:p>
    <w:p>
      <w:pPr>
        <w:widowControl w:val="0"/>
        <w:spacing w:line="360" w:lineRule="exact"/>
        <w:ind w:left="680"/>
        <w:rPr>
          <w:highlight w:val="none"/>
        </w:rPr>
      </w:pPr>
      <w:r>
        <w:rPr>
          <w:highlight w:val="none"/>
        </w:rPr>
        <w:t>（1）乙方应在接到采购人通知后5个工作日内负责采用符合协议规定的规格、质量和性能要求的新零件、部件和设备来更换有缺陷的部分或修补缺陷部分，其费用由乙方负担。同时，乙方应在约定的质量保证期基础上相应延长修补和更换件的质量保证期。</w:t>
      </w:r>
    </w:p>
    <w:p>
      <w:pPr>
        <w:widowControl w:val="0"/>
        <w:spacing w:after="120" w:afterLines="50" w:line="360" w:lineRule="exact"/>
        <w:ind w:left="680"/>
        <w:rPr>
          <w:highlight w:val="none"/>
        </w:rPr>
      </w:pPr>
      <w:r>
        <w:rPr>
          <w:highlight w:val="none"/>
        </w:rPr>
        <w:t>（2</w:t>
      </w:r>
      <w:r>
        <w:rPr>
          <w:rFonts w:hint="eastAsia"/>
          <w:highlight w:val="none"/>
        </w:rPr>
        <w:t>）</w:t>
      </w:r>
      <w:r>
        <w:rPr>
          <w:highlight w:val="none"/>
        </w:rPr>
        <w:t>乙方同意退货并将货款退还给采购人，由此发生的一切费用和损失由乙方</w:t>
      </w:r>
      <w:r>
        <w:rPr>
          <w:rFonts w:hint="eastAsia"/>
          <w:highlight w:val="none"/>
        </w:rPr>
        <w:t>承</w:t>
      </w:r>
      <w:r>
        <w:rPr>
          <w:highlight w:val="none"/>
        </w:rPr>
        <w:t>担。</w:t>
      </w:r>
    </w:p>
    <w:p>
      <w:pPr>
        <w:pStyle w:val="6"/>
        <w:keepNext w:val="0"/>
        <w:keepLines w:val="0"/>
        <w:widowControl w:val="0"/>
        <w:spacing w:after="120" w:afterLines="50" w:line="360" w:lineRule="exact"/>
        <w:rPr>
          <w:rFonts w:cs="Times New Roman"/>
          <w:highlight w:val="none"/>
        </w:rPr>
      </w:pPr>
      <w:r>
        <w:rPr>
          <w:rFonts w:cs="Times New Roman"/>
          <w:highlight w:val="none"/>
        </w:rPr>
        <w:t>甲方有权对乙方</w:t>
      </w:r>
      <w:r>
        <w:rPr>
          <w:rFonts w:hint="eastAsia" w:cs="Times New Roman"/>
          <w:highlight w:val="none"/>
        </w:rPr>
        <w:t>入围</w:t>
      </w:r>
      <w:r>
        <w:rPr>
          <w:rFonts w:cs="Times New Roman"/>
          <w:highlight w:val="none"/>
        </w:rPr>
        <w:t>产品的生产制造过程、供货渠道及产品质量进行监督检查，或指定第三方检验检测机构对</w:t>
      </w:r>
      <w:r>
        <w:rPr>
          <w:rFonts w:hint="eastAsia" w:cs="Times New Roman"/>
          <w:highlight w:val="none"/>
        </w:rPr>
        <w:t>入围</w:t>
      </w:r>
      <w:r>
        <w:rPr>
          <w:rFonts w:cs="Times New Roman"/>
          <w:highlight w:val="none"/>
        </w:rPr>
        <w:t>产品进行抽检，对发现或采购人反映的问题进行调查，并依据有关法律法规、</w:t>
      </w:r>
      <w:r>
        <w:rPr>
          <w:rFonts w:hint="eastAsia" w:cs="Times New Roman"/>
          <w:highlight w:val="none"/>
        </w:rPr>
        <w:t>征集文件</w:t>
      </w:r>
      <w:r>
        <w:rPr>
          <w:rFonts w:cs="Times New Roman"/>
          <w:highlight w:val="none"/>
        </w:rPr>
        <w:t>、本协议等规定处理。</w:t>
      </w:r>
    </w:p>
    <w:p>
      <w:pPr>
        <w:pStyle w:val="6"/>
        <w:keepNext w:val="0"/>
        <w:keepLines w:val="0"/>
        <w:widowControl w:val="0"/>
        <w:numPr>
          <w:ilvl w:val="0"/>
          <w:numId w:val="0"/>
        </w:numPr>
        <w:spacing w:after="120" w:afterLines="50" w:line="360" w:lineRule="exact"/>
        <w:ind w:left="680"/>
        <w:rPr>
          <w:rFonts w:cs="Times New Roman"/>
          <w:dstrike/>
          <w:color w:val="FF0000"/>
          <w:highlight w:val="none"/>
        </w:rPr>
      </w:pPr>
      <w:r>
        <w:rPr>
          <w:rFonts w:cs="Times New Roman"/>
          <w:highlight w:val="none"/>
        </w:rPr>
        <w:t>由采购人直接与成交供应商</w:t>
      </w:r>
      <w:r>
        <w:rPr>
          <w:rFonts w:hint="eastAsia" w:cs="Times New Roman"/>
          <w:highlight w:val="none"/>
        </w:rPr>
        <w:t>按双方采购合同约定</w:t>
      </w:r>
      <w:r>
        <w:rPr>
          <w:rFonts w:cs="Times New Roman"/>
          <w:highlight w:val="none"/>
        </w:rPr>
        <w:t>付款结算</w:t>
      </w:r>
      <w:r>
        <w:rPr>
          <w:rFonts w:hint="eastAsia" w:cs="Times New Roman"/>
          <w:highlight w:val="none"/>
        </w:rPr>
        <w:t>。</w:t>
      </w:r>
    </w:p>
    <w:p>
      <w:pPr>
        <w:pStyle w:val="6"/>
        <w:keepNext w:val="0"/>
        <w:keepLines w:val="0"/>
        <w:widowControl w:val="0"/>
        <w:spacing w:after="120" w:afterLines="50" w:line="360" w:lineRule="exact"/>
        <w:rPr>
          <w:rFonts w:cs="Times New Roman"/>
          <w:highlight w:val="none"/>
        </w:rPr>
      </w:pPr>
      <w:r>
        <w:rPr>
          <w:rFonts w:hint="eastAsia"/>
          <w:highlight w:val="none"/>
        </w:rPr>
        <w:t>入围供应商清退和补充规则按照征集文件相关规定执行。乙方无正当理由，不得主动放弃入围资格或者退出框架协议。</w:t>
      </w:r>
    </w:p>
    <w:p>
      <w:pPr>
        <w:pStyle w:val="6"/>
        <w:keepNext w:val="0"/>
        <w:keepLines w:val="0"/>
        <w:widowControl w:val="0"/>
        <w:spacing w:after="120" w:afterLines="50" w:line="360" w:lineRule="exact"/>
        <w:rPr>
          <w:rFonts w:cs="Times New Roman"/>
          <w:highlight w:val="none"/>
        </w:rPr>
      </w:pPr>
      <w:r>
        <w:rPr>
          <w:rFonts w:cs="Times New Roman"/>
          <w:highlight w:val="none"/>
        </w:rPr>
        <w:t>在协议期内，乙方因不可抗力事件造成不能履行协议时，应</w:t>
      </w:r>
      <w:r>
        <w:rPr>
          <w:rFonts w:hint="eastAsia" w:cs="Times New Roman"/>
          <w:highlight w:val="none"/>
        </w:rPr>
        <w:t>以</w:t>
      </w:r>
      <w:r>
        <w:rPr>
          <w:rFonts w:cs="Times New Roman"/>
          <w:highlight w:val="none"/>
        </w:rPr>
        <w:t>书面形式立即通知甲方。</w:t>
      </w:r>
    </w:p>
    <w:p>
      <w:pPr>
        <w:pStyle w:val="6"/>
        <w:keepNext w:val="0"/>
        <w:keepLines w:val="0"/>
        <w:widowControl w:val="0"/>
        <w:spacing w:after="120" w:afterLines="50" w:line="360" w:lineRule="exact"/>
        <w:rPr>
          <w:rFonts w:cs="Times New Roman"/>
          <w:highlight w:val="none"/>
        </w:rPr>
      </w:pPr>
      <w:r>
        <w:rPr>
          <w:rFonts w:cs="Times New Roman"/>
          <w:highlight w:val="none"/>
        </w:rPr>
        <w:t>如果乙方破产或无清偿能力，甲方可在任何时候以书面形式通知乙方终止本协议</w:t>
      </w:r>
      <w:r>
        <w:rPr>
          <w:rFonts w:hint="eastAsia" w:cs="Times New Roman"/>
          <w:highlight w:val="none"/>
        </w:rPr>
        <w:t>，</w:t>
      </w:r>
      <w:r>
        <w:rPr>
          <w:rFonts w:hint="eastAsia" w:cs="Times New Roman"/>
          <w:color w:val="000000" w:themeColor="text1"/>
          <w:highlight w:val="none"/>
          <w14:textFill>
            <w14:solidFill>
              <w14:schemeClr w14:val="tx1"/>
            </w14:solidFill>
          </w14:textFill>
        </w:rPr>
        <w:t>并保障甲方一切权益不受损失</w:t>
      </w:r>
      <w:r>
        <w:rPr>
          <w:rFonts w:cs="Times New Roman"/>
          <w:color w:val="000000" w:themeColor="text1"/>
          <w:highlight w:val="none"/>
          <w14:textFill>
            <w14:solidFill>
              <w14:schemeClr w14:val="tx1"/>
            </w14:solidFill>
          </w14:textFill>
        </w:rPr>
        <w:t>。</w:t>
      </w:r>
      <w:r>
        <w:rPr>
          <w:rFonts w:cs="Times New Roman"/>
          <w:highlight w:val="none"/>
        </w:rPr>
        <w:t>该终止将不损害或影响甲方已经采取或将要采取的任何行动或补救措施的</w:t>
      </w:r>
      <w:r>
        <w:rPr>
          <w:rFonts w:hint="eastAsia" w:cs="Times New Roman"/>
          <w:highlight w:val="none"/>
        </w:rPr>
        <w:t>权利</w:t>
      </w:r>
      <w:r>
        <w:rPr>
          <w:rFonts w:cs="Times New Roman"/>
          <w:highlight w:val="none"/>
        </w:rPr>
        <w:t>。</w:t>
      </w:r>
    </w:p>
    <w:p>
      <w:pPr>
        <w:pStyle w:val="5"/>
        <w:keepNext w:val="0"/>
        <w:keepLines w:val="0"/>
        <w:widowControl w:val="0"/>
        <w:spacing w:before="120"/>
        <w:rPr>
          <w:color w:val="auto"/>
          <w:highlight w:val="none"/>
        </w:rPr>
      </w:pPr>
      <w:r>
        <w:rPr>
          <w:color w:val="auto"/>
          <w:highlight w:val="none"/>
        </w:rPr>
        <w:t>违约责任</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乙方提供的产品存在严重质量问题，或未及时有效解决出现的质量问题的，甲方</w:t>
      </w:r>
      <w:r>
        <w:rPr>
          <w:rFonts w:hint="eastAsia" w:cs="Times New Roman"/>
          <w:highlight w:val="none"/>
        </w:rPr>
        <w:t>有权对其作出约谈整改、暂停框架协议入围资格。</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cs="Times New Roman"/>
          <w:highlight w:val="none"/>
        </w:rPr>
        <w:t>乙方</w:t>
      </w:r>
      <w:r>
        <w:rPr>
          <w:rFonts w:cs="Times New Roman"/>
          <w:color w:val="000000" w:themeColor="text1"/>
          <w:highlight w:val="none"/>
          <w14:textFill>
            <w14:solidFill>
              <w14:schemeClr w14:val="tx1"/>
            </w14:solidFill>
          </w14:textFill>
        </w:rPr>
        <w:t>违反最低价承诺，在规定期限内拒不调整的，</w:t>
      </w:r>
      <w:r>
        <w:rPr>
          <w:rFonts w:hint="eastAsia" w:cs="Times New Roman"/>
          <w:color w:val="000000" w:themeColor="text1"/>
          <w:highlight w:val="none"/>
          <w14:textFill>
            <w14:solidFill>
              <w14:schemeClr w14:val="tx1"/>
            </w14:solidFill>
          </w14:textFill>
        </w:rPr>
        <w:t>甲方有权解除</w:t>
      </w:r>
      <w:r>
        <w:rPr>
          <w:rFonts w:cs="Times New Roman"/>
          <w:color w:val="000000" w:themeColor="text1"/>
          <w:highlight w:val="none"/>
          <w14:textFill>
            <w14:solidFill>
              <w14:schemeClr w14:val="tx1"/>
            </w14:solidFill>
          </w14:textFill>
        </w:rPr>
        <w:t>本协议，并视情追究相应责任</w:t>
      </w:r>
      <w:r>
        <w:rPr>
          <w:rFonts w:hint="eastAsia" w:cs="Times New Roman"/>
          <w:color w:val="000000" w:themeColor="text1"/>
          <w:highlight w:val="none"/>
          <w14:textFill>
            <w14:solidFill>
              <w14:schemeClr w14:val="tx1"/>
            </w14:solidFill>
          </w14:textFill>
        </w:rPr>
        <w:t>，包括但不限于系统通报、上报政府采购监督管理部门等</w:t>
      </w:r>
      <w:r>
        <w:rPr>
          <w:rFonts w:cs="Times New Roman"/>
          <w:color w:val="000000" w:themeColor="text1"/>
          <w:highlight w:val="none"/>
          <w14:textFill>
            <w14:solidFill>
              <w14:schemeClr w14:val="tx1"/>
            </w14:solidFill>
          </w14:textFill>
        </w:rPr>
        <w:t>。</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乙方以暂时缺货为由（事前未向甲方报备、未经甲方同意的）拒不接受采购订单，</w:t>
      </w:r>
      <w:r>
        <w:rPr>
          <w:rFonts w:hint="eastAsia" w:cs="Times New Roman"/>
          <w:color w:val="000000" w:themeColor="text1"/>
          <w:highlight w:val="none"/>
          <w14:textFill>
            <w14:solidFill>
              <w14:schemeClr w14:val="tx1"/>
            </w14:solidFill>
          </w14:textFill>
        </w:rPr>
        <w:t>或未经甲方同意下架产品的，甲方有权解除</w:t>
      </w:r>
      <w:r>
        <w:rPr>
          <w:rFonts w:cs="Times New Roman"/>
          <w:color w:val="000000" w:themeColor="text1"/>
          <w:highlight w:val="none"/>
          <w14:textFill>
            <w14:solidFill>
              <w14:schemeClr w14:val="tx1"/>
            </w14:solidFill>
          </w14:textFill>
        </w:rPr>
        <w:t>本协议，并视情追究相应责任。</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乙方无正当理由放弃入围资格或者退出框架协议的，</w:t>
      </w:r>
      <w:r>
        <w:rPr>
          <w:rFonts w:hint="eastAsia" w:cs="Times New Roman"/>
          <w:color w:val="000000" w:themeColor="text1"/>
          <w:highlight w:val="none"/>
          <w14:textFill>
            <w14:solidFill>
              <w14:schemeClr w14:val="tx1"/>
            </w14:solidFill>
          </w14:textFill>
        </w:rPr>
        <w:t>依照《政府采购法》等</w:t>
      </w:r>
      <w:r>
        <w:rPr>
          <w:rFonts w:hint="eastAsia" w:cs="Times New Roman"/>
          <w:highlight w:val="none"/>
        </w:rPr>
        <w:t>有关法律、行政法规追究法律责任。</w:t>
      </w:r>
    </w:p>
    <w:p>
      <w:pPr>
        <w:pStyle w:val="6"/>
        <w:keepNext w:val="0"/>
        <w:keepLines w:val="0"/>
        <w:widowControl w:val="0"/>
        <w:spacing w:after="120" w:afterLines="50" w:line="360" w:lineRule="exact"/>
        <w:rPr>
          <w:rFonts w:cs="Times New Roman"/>
          <w:highlight w:val="none"/>
        </w:rPr>
      </w:pPr>
      <w:r>
        <w:rPr>
          <w:rFonts w:cs="Times New Roman"/>
          <w:highlight w:val="none"/>
        </w:rPr>
        <w:t>违反保密约定，给对方造成损失的，由责任方承担违约责任。</w:t>
      </w:r>
    </w:p>
    <w:p>
      <w:pPr>
        <w:pStyle w:val="6"/>
        <w:keepNext w:val="0"/>
        <w:keepLines w:val="0"/>
        <w:widowControl w:val="0"/>
        <w:spacing w:after="120" w:afterLines="50" w:line="360" w:lineRule="exact"/>
        <w:rPr>
          <w:rFonts w:cs="Times New Roman"/>
          <w:highlight w:val="none"/>
        </w:rPr>
      </w:pPr>
      <w:r>
        <w:rPr>
          <w:rFonts w:cs="Times New Roman"/>
          <w:highlight w:val="none"/>
        </w:rPr>
        <w:t>违反廉洁约定，按国家相关规定处理。若乙方存在不廉洁行为，</w:t>
      </w:r>
      <w:r>
        <w:rPr>
          <w:rFonts w:hint="eastAsia" w:cs="Times New Roman"/>
          <w:highlight w:val="none"/>
        </w:rPr>
        <w:t>甲方有权解除</w:t>
      </w:r>
      <w:r>
        <w:rPr>
          <w:rFonts w:cs="Times New Roman"/>
          <w:highlight w:val="none"/>
        </w:rPr>
        <w:t>本协议，并视情追究相应责任。</w:t>
      </w:r>
    </w:p>
    <w:p>
      <w:pPr>
        <w:pStyle w:val="6"/>
        <w:keepNext w:val="0"/>
        <w:keepLines w:val="0"/>
        <w:widowControl w:val="0"/>
        <w:spacing w:after="120" w:afterLines="50" w:line="360" w:lineRule="exact"/>
        <w:rPr>
          <w:rFonts w:cs="Times New Roman"/>
          <w:highlight w:val="none"/>
        </w:rPr>
      </w:pPr>
      <w:r>
        <w:rPr>
          <w:rFonts w:cs="Times New Roman"/>
          <w:highlight w:val="none"/>
        </w:rPr>
        <w:t>乙方存在提供虚假无效的文件或信息谋取入围、虚报价格组成、恶意串通谋取入围或者成交合同等情形的，</w:t>
      </w:r>
      <w:r>
        <w:rPr>
          <w:rFonts w:hint="eastAsia" w:cs="Times New Roman"/>
          <w:highlight w:val="none"/>
        </w:rPr>
        <w:t>甲方有权解除</w:t>
      </w:r>
      <w:r>
        <w:rPr>
          <w:rFonts w:cs="Times New Roman"/>
          <w:highlight w:val="none"/>
        </w:rPr>
        <w:t>本协议，将违规、违约行为报财政部政府采购监管部门处理。</w:t>
      </w:r>
    </w:p>
    <w:p>
      <w:pPr>
        <w:pStyle w:val="6"/>
        <w:keepNext w:val="0"/>
        <w:keepLines w:val="0"/>
        <w:widowControl w:val="0"/>
        <w:spacing w:after="120" w:afterLines="50" w:line="360" w:lineRule="exact"/>
        <w:rPr>
          <w:rFonts w:cs="Times New Roman"/>
          <w:highlight w:val="none"/>
        </w:rPr>
      </w:pPr>
      <w:r>
        <w:rPr>
          <w:rFonts w:cs="Times New Roman"/>
          <w:highlight w:val="none"/>
        </w:rPr>
        <w:t>乙方框架协议有效期内出现重大违法记录，在产品质量价格、服务等方面受到采购人有效投诉的以及其他违规、违约行为，甲方有权根据情节轻重，暂停部分或全部协议执行。</w:t>
      </w:r>
    </w:p>
    <w:p>
      <w:pPr>
        <w:pStyle w:val="5"/>
        <w:keepNext w:val="0"/>
        <w:keepLines w:val="0"/>
        <w:widowControl w:val="0"/>
        <w:spacing w:before="120"/>
        <w:rPr>
          <w:color w:val="auto"/>
          <w:highlight w:val="none"/>
        </w:rPr>
      </w:pPr>
      <w:r>
        <w:rPr>
          <w:color w:val="auto"/>
          <w:highlight w:val="none"/>
        </w:rPr>
        <w:t>附则</w:t>
      </w:r>
    </w:p>
    <w:p>
      <w:pPr>
        <w:pStyle w:val="6"/>
        <w:keepNext w:val="0"/>
        <w:keepLines w:val="0"/>
        <w:widowControl w:val="0"/>
        <w:spacing w:after="120" w:afterLines="50" w:line="360" w:lineRule="exact"/>
        <w:rPr>
          <w:rFonts w:cs="Times New Roman"/>
          <w:highlight w:val="none"/>
        </w:rPr>
      </w:pPr>
      <w:r>
        <w:rPr>
          <w:rFonts w:cs="Times New Roman"/>
          <w:highlight w:val="none"/>
        </w:rPr>
        <w:t>本协议在履行中，甲乙双方出现争议的，应先友好协商解决，解决不成的，任何一方可将争议提交甲方所在地人民法院诉讼解决。</w:t>
      </w:r>
    </w:p>
    <w:p>
      <w:pPr>
        <w:pStyle w:val="6"/>
        <w:keepNext w:val="0"/>
        <w:keepLines w:val="0"/>
        <w:widowControl w:val="0"/>
        <w:spacing w:after="120" w:afterLines="50" w:line="360" w:lineRule="exact"/>
        <w:rPr>
          <w:rFonts w:cs="Times New Roman"/>
          <w:highlight w:val="none"/>
        </w:rPr>
      </w:pPr>
      <w:r>
        <w:rPr>
          <w:rFonts w:cs="Times New Roman"/>
          <w:highlight w:val="none"/>
        </w:rPr>
        <w:t>本协议</w:t>
      </w:r>
      <w:r>
        <w:rPr>
          <w:rFonts w:hint="eastAsia" w:cs="Times New Roman"/>
          <w:highlight w:val="none"/>
        </w:rPr>
        <w:t>经</w:t>
      </w:r>
      <w:r>
        <w:rPr>
          <w:rFonts w:cs="Times New Roman"/>
          <w:highlight w:val="none"/>
        </w:rPr>
        <w:t>双</w:t>
      </w:r>
      <w:r>
        <w:rPr>
          <w:rFonts w:hint="eastAsia" w:cs="Times New Roman"/>
          <w:highlight w:val="none"/>
        </w:rPr>
        <w:t>方</w:t>
      </w:r>
      <w:r>
        <w:rPr>
          <w:rFonts w:cs="Times New Roman"/>
          <w:highlight w:val="none"/>
        </w:rPr>
        <w:t>加盖公章</w:t>
      </w:r>
      <w:r>
        <w:rPr>
          <w:rFonts w:hint="eastAsia" w:cs="Times New Roman"/>
          <w:highlight w:val="none"/>
        </w:rPr>
        <w:t>后</w:t>
      </w:r>
      <w:r>
        <w:rPr>
          <w:rFonts w:cs="Times New Roman"/>
          <w:highlight w:val="none"/>
        </w:rPr>
        <w:t xml:space="preserve">生效。 </w:t>
      </w:r>
    </w:p>
    <w:p>
      <w:pPr>
        <w:pStyle w:val="6"/>
        <w:keepNext w:val="0"/>
        <w:keepLines w:val="0"/>
        <w:widowControl w:val="0"/>
        <w:spacing w:after="120" w:afterLines="50" w:line="360" w:lineRule="exact"/>
        <w:rPr>
          <w:rFonts w:cs="Times New Roman"/>
          <w:highlight w:val="none"/>
        </w:rPr>
      </w:pPr>
      <w:r>
        <w:rPr>
          <w:rFonts w:cs="Times New Roman"/>
          <w:highlight w:val="none"/>
        </w:rPr>
        <w:t>与本协议相关的</w:t>
      </w:r>
      <w:r>
        <w:rPr>
          <w:rFonts w:hint="eastAsia" w:cs="Times New Roman"/>
          <w:highlight w:val="none"/>
        </w:rPr>
        <w:t>征集文件</w:t>
      </w:r>
      <w:r>
        <w:rPr>
          <w:rFonts w:cs="Times New Roman"/>
          <w:highlight w:val="none"/>
        </w:rPr>
        <w:t>、乙方响应文件、入围通知书以及本协议附件，为本协议的组成部分，与本协议具有同等的法律效力。</w:t>
      </w:r>
    </w:p>
    <w:p>
      <w:pPr>
        <w:pStyle w:val="6"/>
        <w:keepNext w:val="0"/>
        <w:keepLines w:val="0"/>
        <w:widowControl w:val="0"/>
        <w:spacing w:after="120" w:afterLines="50" w:line="360" w:lineRule="exact"/>
        <w:rPr>
          <w:rFonts w:cs="Times New Roman"/>
          <w:highlight w:val="none"/>
        </w:rPr>
      </w:pPr>
      <w:r>
        <w:rPr>
          <w:rFonts w:cs="Times New Roman"/>
          <w:highlight w:val="none"/>
        </w:rPr>
        <w:t>双方协商一致，可以对本协议进行补充、修改或变更。对本协议的任何补充、修改或变更必须以书面形式进行。双方签订的补充协议以及修改或变更的条款与本协议具有同等法律效力。</w:t>
      </w:r>
    </w:p>
    <w:p>
      <w:pPr>
        <w:pStyle w:val="436"/>
        <w:widowControl w:val="0"/>
        <w:spacing w:after="240" w:afterLines="100" w:line="360" w:lineRule="exact"/>
        <w:ind w:left="567"/>
        <w:rPr>
          <w:rFonts w:eastAsia="黑体"/>
          <w:highlight w:val="none"/>
        </w:rPr>
      </w:pPr>
      <w:r>
        <w:rPr>
          <w:rFonts w:eastAsia="黑体"/>
          <w:highlight w:val="none"/>
        </w:rPr>
        <w:t>（以下无正文）</w:t>
      </w:r>
    </w:p>
    <w:p>
      <w:pPr>
        <w:pStyle w:val="436"/>
        <w:widowControl w:val="0"/>
        <w:spacing w:after="240" w:afterLines="100" w:line="360" w:lineRule="exact"/>
        <w:ind w:left="567"/>
        <w:rPr>
          <w:highlight w:val="none"/>
        </w:rPr>
      </w:pPr>
      <w:r>
        <w:rPr>
          <w:highlight w:val="none"/>
        </w:rPr>
        <w:t>甲方：（盖章）                                 乙方：（盖章）</w:t>
      </w:r>
    </w:p>
    <w:p>
      <w:pPr>
        <w:pStyle w:val="436"/>
        <w:widowControl w:val="0"/>
        <w:spacing w:after="240" w:afterLines="100" w:line="360" w:lineRule="exact"/>
        <w:ind w:left="567"/>
        <w:rPr>
          <w:highlight w:val="none"/>
        </w:rPr>
      </w:pPr>
      <w:r>
        <w:rPr>
          <w:highlight w:val="none"/>
        </w:rPr>
        <w:t>法定代表人（授权代表）：                       法定代表人（授权代表）：</w:t>
      </w:r>
    </w:p>
    <w:p>
      <w:pPr>
        <w:pStyle w:val="436"/>
        <w:widowControl w:val="0"/>
        <w:spacing w:after="240" w:afterLines="100" w:line="360" w:lineRule="exact"/>
        <w:ind w:left="567"/>
        <w:rPr>
          <w:highlight w:val="none"/>
        </w:rPr>
      </w:pPr>
      <w:r>
        <w:rPr>
          <w:highlight w:val="none"/>
        </w:rPr>
        <w:t>时间：    年    月    日                      时间：    年    月    日</w:t>
      </w:r>
    </w:p>
    <w:p>
      <w:pPr>
        <w:pStyle w:val="436"/>
        <w:widowControl w:val="0"/>
        <w:spacing w:after="240" w:afterLines="100" w:line="360" w:lineRule="exact"/>
        <w:ind w:left="567"/>
        <w:rPr>
          <w:highlight w:val="none"/>
        </w:rPr>
      </w:pPr>
    </w:p>
    <w:p>
      <w:pPr>
        <w:pStyle w:val="436"/>
        <w:widowControl w:val="0"/>
        <w:spacing w:after="240" w:afterLines="100" w:line="360" w:lineRule="exact"/>
        <w:ind w:left="567"/>
        <w:rPr>
          <w:highlight w:val="none"/>
        </w:rPr>
      </w:pPr>
    </w:p>
    <w:p>
      <w:pPr>
        <w:rPr>
          <w:b/>
          <w:bCs/>
          <w:sz w:val="24"/>
          <w:highlight w:val="none"/>
        </w:rPr>
      </w:pPr>
      <w:r>
        <w:rPr>
          <w:rFonts w:hint="eastAsia"/>
          <w:b/>
          <w:bCs/>
          <w:sz w:val="24"/>
          <w:highlight w:val="none"/>
        </w:rPr>
        <w:t>附件1</w:t>
      </w:r>
    </w:p>
    <w:p>
      <w:pPr>
        <w:widowControl w:val="0"/>
        <w:spacing w:before="240" w:beforeLines="100" w:after="120" w:afterLines="5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入围产品清单</w:t>
      </w:r>
    </w:p>
    <w:tbl>
      <w:tblPr>
        <w:tblStyle w:val="41"/>
        <w:tblW w:w="10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850"/>
        <w:gridCol w:w="846"/>
        <w:gridCol w:w="1241"/>
        <w:gridCol w:w="1134"/>
        <w:gridCol w:w="1417"/>
        <w:gridCol w:w="1361"/>
        <w:gridCol w:w="1587"/>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134"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序号</w:t>
            </w:r>
          </w:p>
        </w:tc>
        <w:tc>
          <w:tcPr>
            <w:tcW w:w="850" w:type="dxa"/>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项目</w:t>
            </w:r>
          </w:p>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名称</w:t>
            </w:r>
          </w:p>
        </w:tc>
        <w:tc>
          <w:tcPr>
            <w:tcW w:w="846" w:type="dxa"/>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项目编号</w:t>
            </w:r>
          </w:p>
        </w:tc>
        <w:tc>
          <w:tcPr>
            <w:tcW w:w="1241" w:type="dxa"/>
            <w:vAlign w:val="center"/>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产品名称</w:t>
            </w:r>
          </w:p>
        </w:tc>
        <w:tc>
          <w:tcPr>
            <w:tcW w:w="1134"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品牌</w:t>
            </w:r>
          </w:p>
        </w:tc>
        <w:tc>
          <w:tcPr>
            <w:tcW w:w="1417"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规格型号</w:t>
            </w:r>
          </w:p>
        </w:tc>
        <w:tc>
          <w:tcPr>
            <w:tcW w:w="1361"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单价（元）</w:t>
            </w:r>
          </w:p>
        </w:tc>
        <w:tc>
          <w:tcPr>
            <w:tcW w:w="1587"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供货周期</w:t>
            </w:r>
          </w:p>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lang w:val="en-US"/>
                <w14:textFill>
                  <w14:solidFill>
                    <w14:schemeClr w14:val="tx1"/>
                  </w14:solidFill>
                </w14:textFill>
              </w:rPr>
              <w:t>日历日</w:t>
            </w:r>
            <w:r>
              <w:rPr>
                <w:rFonts w:ascii="宋体" w:hAnsi="宋体"/>
                <w:b/>
                <w:color w:val="000000" w:themeColor="text1"/>
                <w:szCs w:val="21"/>
                <w:highlight w:val="none"/>
                <w14:textFill>
                  <w14:solidFill>
                    <w14:schemeClr w14:val="tx1"/>
                  </w14:solidFill>
                </w14:textFill>
              </w:rPr>
              <w:t>）</w:t>
            </w:r>
          </w:p>
        </w:tc>
        <w:tc>
          <w:tcPr>
            <w:tcW w:w="1418"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1</w:t>
            </w:r>
          </w:p>
        </w:tc>
        <w:tc>
          <w:tcPr>
            <w:tcW w:w="850" w:type="dxa"/>
          </w:tcPr>
          <w:p>
            <w:pPr>
              <w:widowControl w:val="0"/>
              <w:jc w:val="center"/>
              <w:rPr>
                <w:rFonts w:eastAsia="黑体"/>
                <w:highlight w:val="none"/>
              </w:rPr>
            </w:pPr>
          </w:p>
        </w:tc>
        <w:tc>
          <w:tcPr>
            <w:tcW w:w="846" w:type="dxa"/>
          </w:tcPr>
          <w:p>
            <w:pPr>
              <w:widowControl w:val="0"/>
              <w:jc w:val="center"/>
              <w:rPr>
                <w:rFonts w:eastAsia="黑体"/>
                <w:highlight w:val="none"/>
              </w:rPr>
            </w:pPr>
          </w:p>
        </w:tc>
        <w:tc>
          <w:tcPr>
            <w:tcW w:w="1241" w:type="dxa"/>
            <w:vAlign w:val="center"/>
          </w:tcPr>
          <w:p>
            <w:pPr>
              <w:widowControl w:val="0"/>
              <w:jc w:val="center"/>
              <w:rPr>
                <w:rFonts w:eastAsia="黑体"/>
                <w:highlight w:val="none"/>
              </w:rPr>
            </w:pPr>
          </w:p>
        </w:tc>
        <w:tc>
          <w:tcPr>
            <w:tcW w:w="1134" w:type="dxa"/>
            <w:vAlign w:val="center"/>
          </w:tcPr>
          <w:p>
            <w:pPr>
              <w:widowControl w:val="0"/>
              <w:jc w:val="center"/>
              <w:rPr>
                <w:rFonts w:eastAsia="黑体"/>
                <w:highlight w:val="none"/>
              </w:rPr>
            </w:pPr>
          </w:p>
        </w:tc>
        <w:tc>
          <w:tcPr>
            <w:tcW w:w="1417" w:type="dxa"/>
            <w:vAlign w:val="center"/>
          </w:tcPr>
          <w:p>
            <w:pPr>
              <w:widowControl w:val="0"/>
              <w:jc w:val="center"/>
              <w:rPr>
                <w:rFonts w:eastAsia="黑体"/>
                <w:highlight w:val="none"/>
              </w:rPr>
            </w:pPr>
          </w:p>
        </w:tc>
        <w:tc>
          <w:tcPr>
            <w:tcW w:w="1361" w:type="dxa"/>
            <w:vAlign w:val="center"/>
          </w:tcPr>
          <w:p>
            <w:pPr>
              <w:widowControl w:val="0"/>
              <w:jc w:val="center"/>
              <w:rPr>
                <w:rFonts w:eastAsia="黑体"/>
                <w:highlight w:val="none"/>
              </w:rPr>
            </w:pPr>
          </w:p>
        </w:tc>
        <w:tc>
          <w:tcPr>
            <w:tcW w:w="1587" w:type="dxa"/>
            <w:vAlign w:val="center"/>
          </w:tcPr>
          <w:p>
            <w:pPr>
              <w:widowControl w:val="0"/>
              <w:jc w:val="center"/>
              <w:rPr>
                <w:rFonts w:eastAsia="黑体"/>
                <w:highlight w:val="none"/>
              </w:rPr>
            </w:pPr>
          </w:p>
        </w:tc>
        <w:tc>
          <w:tcPr>
            <w:tcW w:w="1418" w:type="dxa"/>
            <w:vAlign w:val="center"/>
          </w:tcPr>
          <w:p>
            <w:pPr>
              <w:widowControl w:val="0"/>
              <w:jc w:val="center"/>
              <w:rPr>
                <w:rFonts w:eastAsia="黑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2</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3</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4</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5</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6</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7</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8</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9</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bl>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rPr>
          <w:color w:val="595959"/>
          <w:highlight w:val="none"/>
        </w:rPr>
      </w:pPr>
      <w:r>
        <w:rPr>
          <w:highlight w:val="none"/>
        </w:rPr>
        <w:br w:type="page"/>
      </w:r>
    </w:p>
    <w:p>
      <w:pPr>
        <w:pStyle w:val="2"/>
        <w:rPr>
          <w:highlight w:val="none"/>
        </w:rPr>
      </w:pPr>
    </w:p>
    <w:p>
      <w:pPr>
        <w:pStyle w:val="2"/>
        <w:rPr>
          <w:b/>
          <w:bCs/>
          <w:highlight w:val="none"/>
        </w:rPr>
      </w:pPr>
      <w:r>
        <w:rPr>
          <w:rFonts w:hint="eastAsia"/>
          <w:b/>
          <w:bCs/>
          <w:highlight w:val="none"/>
        </w:rPr>
        <w:t>附件2</w:t>
      </w:r>
    </w:p>
    <w:p>
      <w:pPr>
        <w:pStyle w:val="2"/>
        <w:rPr>
          <w:color w:val="auto"/>
          <w:highlight w:val="none"/>
        </w:rPr>
      </w:pPr>
      <w:r>
        <w:rPr>
          <w:rFonts w:hint="eastAsia"/>
          <w:color w:val="auto"/>
          <w:highlight w:val="none"/>
        </w:rPr>
        <w:t>产品的</w:t>
      </w:r>
      <w:r>
        <w:rPr>
          <w:color w:val="auto"/>
          <w:highlight w:val="none"/>
        </w:rPr>
        <w:t>质量、参数、配置、售后服务等详细信息如下</w:t>
      </w:r>
      <w:r>
        <w:rPr>
          <w:rFonts w:hint="eastAsia"/>
          <w:color w:val="auto"/>
          <w:highlight w:val="none"/>
        </w:rPr>
        <w:t>：</w:t>
      </w: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pStyle w:val="436"/>
        <w:widowControl w:val="0"/>
        <w:spacing w:after="240" w:afterLines="100" w:line="360" w:lineRule="exact"/>
        <w:ind w:left="567"/>
        <w:rPr>
          <w:highlight w:val="none"/>
        </w:rPr>
      </w:pPr>
    </w:p>
    <w:p>
      <w:pPr>
        <w:pStyle w:val="436"/>
        <w:widowControl w:val="0"/>
        <w:spacing w:after="240" w:afterLines="100" w:line="360" w:lineRule="exact"/>
        <w:ind w:left="567"/>
        <w:rPr>
          <w:highlight w:val="none"/>
        </w:rPr>
        <w:sectPr>
          <w:headerReference r:id="rId14" w:type="default"/>
          <w:pgSz w:w="11907" w:h="16839"/>
          <w:pgMar w:top="1928" w:right="1531" w:bottom="1871" w:left="1531" w:header="1145" w:footer="709" w:gutter="0"/>
          <w:cols w:space="720" w:num="1"/>
          <w:docGrid w:linePitch="360" w:charSpace="0"/>
        </w:sectPr>
      </w:pPr>
    </w:p>
    <w:p>
      <w:pPr>
        <w:pStyle w:val="4"/>
        <w:keepNext w:val="0"/>
        <w:keepLines w:val="0"/>
        <w:spacing w:before="120"/>
        <w:ind w:left="318" w:hanging="318"/>
        <w:jc w:val="both"/>
        <w:rPr>
          <w:highlight w:val="none"/>
        </w:rPr>
      </w:pPr>
      <w:bookmarkStart w:id="179" w:name="_Toc142051480"/>
      <w:r>
        <w:rPr>
          <w:rFonts w:hint="eastAsia"/>
          <w:highlight w:val="none"/>
        </w:rPr>
        <w:t>采购合同</w:t>
      </w:r>
      <w:bookmarkEnd w:id="179"/>
    </w:p>
    <w:p>
      <w:pPr>
        <w:widowControl w:val="0"/>
        <w:spacing w:line="700" w:lineRule="exact"/>
        <w:jc w:val="center"/>
        <w:rPr>
          <w:rFonts w:eastAsia="方正小标宋简体"/>
          <w:sz w:val="52"/>
          <w:szCs w:val="52"/>
          <w:highlight w:val="none"/>
        </w:rPr>
      </w:pPr>
    </w:p>
    <w:p>
      <w:pPr>
        <w:widowControl w:val="0"/>
        <w:jc w:val="center"/>
        <w:rPr>
          <w:rFonts w:eastAsia="方正小标宋简体"/>
          <w:sz w:val="52"/>
          <w:szCs w:val="52"/>
          <w:highlight w:val="none"/>
        </w:rPr>
      </w:pPr>
      <w:r>
        <w:rPr>
          <w:rFonts w:eastAsia="方正小标宋简体"/>
          <w:sz w:val="52"/>
          <w:szCs w:val="52"/>
          <w:highlight w:val="none"/>
        </w:rPr>
        <w:t>公安部警用装备采购中心</w:t>
      </w:r>
    </w:p>
    <w:p>
      <w:pPr>
        <w:widowControl w:val="0"/>
        <w:jc w:val="center"/>
        <w:rPr>
          <w:rFonts w:eastAsia="方正小标宋简体"/>
          <w:sz w:val="52"/>
          <w:szCs w:val="52"/>
          <w:highlight w:val="none"/>
        </w:rPr>
      </w:pPr>
      <w:r>
        <w:rPr>
          <w:rFonts w:hint="eastAsia" w:eastAsia="方正小标宋简体"/>
          <w:sz w:val="52"/>
          <w:szCs w:val="52"/>
          <w:highlight w:val="none"/>
        </w:rPr>
        <w:t>框架协议采购合同</w:t>
      </w:r>
    </w:p>
    <w:p>
      <w:pPr>
        <w:widowControl w:val="0"/>
        <w:jc w:val="center"/>
        <w:rPr>
          <w:szCs w:val="21"/>
          <w:highlight w:val="none"/>
        </w:rPr>
      </w:pPr>
    </w:p>
    <w:p>
      <w:pPr>
        <w:widowControl w:val="0"/>
        <w:jc w:val="center"/>
        <w:rPr>
          <w:szCs w:val="21"/>
          <w:highlight w:val="none"/>
        </w:rPr>
      </w:pPr>
      <w:r>
        <w:rPr>
          <w:szCs w:val="21"/>
          <w:highlight w:val="none"/>
        </w:rPr>
        <w:t>版本号：1.0</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甲方：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乙方：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签订日期：</w:t>
      </w:r>
    </w:p>
    <w:p>
      <w:pPr>
        <w:widowControl w:val="0"/>
        <w:jc w:val="center"/>
        <w:rPr>
          <w:sz w:val="28"/>
          <w:szCs w:val="28"/>
          <w:highlight w:val="none"/>
        </w:rPr>
      </w:pPr>
      <w:r>
        <w:rPr>
          <w:sz w:val="28"/>
          <w:szCs w:val="28"/>
          <w:highlight w:val="none"/>
        </w:rPr>
        <w:t>20XX年X月X日</w:t>
      </w: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jc w:val="center"/>
        <w:rPr>
          <w:szCs w:val="21"/>
          <w:highlight w:val="none"/>
        </w:rPr>
      </w:pPr>
      <w:r>
        <w:rPr>
          <w:szCs w:val="21"/>
          <w:highlight w:val="none"/>
        </w:rPr>
        <w:t>Copyright © 202</w:t>
      </w:r>
      <w:r>
        <w:rPr>
          <w:rFonts w:hint="eastAsia"/>
          <w:szCs w:val="21"/>
          <w:highlight w:val="none"/>
        </w:rPr>
        <w:t>3</w:t>
      </w:r>
      <w:r>
        <w:rPr>
          <w:szCs w:val="21"/>
          <w:highlight w:val="none"/>
        </w:rPr>
        <w:t>公安部警用装备采购中心</w:t>
      </w:r>
    </w:p>
    <w:p>
      <w:pPr>
        <w:keepNext/>
        <w:keepLines/>
        <w:widowControl w:val="0"/>
        <w:spacing w:before="120" w:beforeLines="50" w:after="120" w:afterLines="50"/>
        <w:jc w:val="center"/>
        <w:rPr>
          <w:rFonts w:eastAsia="方正小标宋简体"/>
          <w:kern w:val="2"/>
          <w:sz w:val="44"/>
          <w:szCs w:val="44"/>
          <w:highlight w:val="none"/>
          <w:lang w:val="en-US"/>
        </w:rPr>
      </w:pPr>
      <w:r>
        <w:rPr>
          <w:szCs w:val="21"/>
          <w:highlight w:val="none"/>
        </w:rPr>
        <w:br w:type="page"/>
      </w:r>
      <w:r>
        <w:rPr>
          <w:rFonts w:eastAsia="方正小标宋简体"/>
          <w:kern w:val="2"/>
          <w:sz w:val="44"/>
          <w:szCs w:val="44"/>
          <w:highlight w:val="none"/>
          <w:lang w:val="en-US"/>
        </w:rPr>
        <w:t>公安部警用装备采购中心</w:t>
      </w:r>
      <w:r>
        <w:rPr>
          <w:rFonts w:hint="eastAsia" w:eastAsia="方正小标宋简体"/>
          <w:kern w:val="2"/>
          <w:sz w:val="44"/>
          <w:szCs w:val="44"/>
          <w:highlight w:val="none"/>
          <w:lang w:val="en-US"/>
        </w:rPr>
        <w:t>框架协议采购</w:t>
      </w:r>
      <w:r>
        <w:rPr>
          <w:rFonts w:eastAsia="方正小标宋简体"/>
          <w:kern w:val="2"/>
          <w:sz w:val="44"/>
          <w:szCs w:val="44"/>
          <w:highlight w:val="none"/>
          <w:lang w:val="en-US"/>
        </w:rPr>
        <w:t>合同</w:t>
      </w:r>
    </w:p>
    <w:p>
      <w:pPr>
        <w:keepNext/>
        <w:keepLines/>
        <w:widowControl w:val="0"/>
        <w:spacing w:line="360" w:lineRule="exact"/>
        <w:rPr>
          <w:highlight w:val="none"/>
        </w:rPr>
      </w:pPr>
      <w:r>
        <w:rPr>
          <w:highlight w:val="none"/>
        </w:rPr>
        <w:t>甲方（采购人）：</w:t>
      </w:r>
    </w:p>
    <w:p>
      <w:pPr>
        <w:keepNext/>
        <w:keepLines/>
        <w:widowControl w:val="0"/>
        <w:spacing w:line="360" w:lineRule="exact"/>
        <w:rPr>
          <w:highlight w:val="none"/>
        </w:rPr>
      </w:pPr>
      <w:r>
        <w:rPr>
          <w:highlight w:val="none"/>
        </w:rPr>
        <w:t>地址：                                  邮编：</w:t>
      </w:r>
    </w:p>
    <w:p>
      <w:pPr>
        <w:keepNext/>
        <w:keepLines/>
        <w:widowControl w:val="0"/>
        <w:spacing w:line="360" w:lineRule="exact"/>
        <w:rPr>
          <w:highlight w:val="none"/>
        </w:rPr>
      </w:pPr>
      <w:r>
        <w:rPr>
          <w:highlight w:val="none"/>
        </w:rPr>
        <w:t>法定代表人：                            电话：</w:t>
      </w:r>
    </w:p>
    <w:p>
      <w:pPr>
        <w:keepNext/>
        <w:keepLines/>
        <w:widowControl w:val="0"/>
        <w:spacing w:line="360" w:lineRule="exact"/>
        <w:rPr>
          <w:highlight w:val="none"/>
        </w:rPr>
      </w:pPr>
      <w:r>
        <w:rPr>
          <w:highlight w:val="none"/>
        </w:rPr>
        <w:t>委托代理人：                            电话：</w:t>
      </w:r>
    </w:p>
    <w:p>
      <w:pPr>
        <w:keepNext/>
        <w:keepLines/>
        <w:widowControl w:val="0"/>
        <w:spacing w:line="360" w:lineRule="exact"/>
        <w:rPr>
          <w:highlight w:val="none"/>
        </w:rPr>
      </w:pPr>
    </w:p>
    <w:p>
      <w:pPr>
        <w:keepNext/>
        <w:keepLines/>
        <w:widowControl w:val="0"/>
        <w:spacing w:line="360" w:lineRule="exact"/>
        <w:rPr>
          <w:highlight w:val="none"/>
        </w:rPr>
      </w:pPr>
      <w:r>
        <w:rPr>
          <w:highlight w:val="none"/>
        </w:rPr>
        <w:t>乙方（</w:t>
      </w:r>
      <w:r>
        <w:rPr>
          <w:rFonts w:hint="eastAsia"/>
          <w:highlight w:val="none"/>
        </w:rPr>
        <w:t>成交供应商</w:t>
      </w:r>
      <w:r>
        <w:rPr>
          <w:highlight w:val="none"/>
        </w:rPr>
        <w:t>）：</w:t>
      </w:r>
    </w:p>
    <w:p>
      <w:pPr>
        <w:keepNext/>
        <w:keepLines/>
        <w:widowControl w:val="0"/>
        <w:spacing w:line="360" w:lineRule="exact"/>
        <w:rPr>
          <w:highlight w:val="none"/>
        </w:rPr>
      </w:pPr>
      <w:r>
        <w:rPr>
          <w:highlight w:val="none"/>
        </w:rPr>
        <w:t>地址：                                  邮编：</w:t>
      </w:r>
    </w:p>
    <w:p>
      <w:pPr>
        <w:keepNext/>
        <w:keepLines/>
        <w:widowControl w:val="0"/>
        <w:spacing w:line="360" w:lineRule="exact"/>
        <w:rPr>
          <w:highlight w:val="none"/>
        </w:rPr>
      </w:pPr>
      <w:r>
        <w:rPr>
          <w:highlight w:val="none"/>
        </w:rPr>
        <w:t>法定代表人：                            电话：</w:t>
      </w:r>
    </w:p>
    <w:p>
      <w:pPr>
        <w:keepNext/>
        <w:keepLines/>
        <w:widowControl w:val="0"/>
        <w:spacing w:line="360" w:lineRule="exact"/>
        <w:rPr>
          <w:highlight w:val="none"/>
        </w:rPr>
      </w:pPr>
      <w:r>
        <w:rPr>
          <w:highlight w:val="none"/>
        </w:rPr>
        <w:t>委托代理人：                            电话：</w:t>
      </w:r>
    </w:p>
    <w:p>
      <w:pPr>
        <w:pStyle w:val="5"/>
        <w:widowControl w:val="0"/>
        <w:spacing w:before="120" w:after="120" w:afterLines="50" w:line="360" w:lineRule="exact"/>
        <w:rPr>
          <w:color w:val="auto"/>
          <w:highlight w:val="none"/>
        </w:rPr>
      </w:pPr>
      <w:r>
        <w:rPr>
          <w:color w:val="auto"/>
          <w:highlight w:val="none"/>
        </w:rPr>
        <w:t>基本约定</w:t>
      </w:r>
    </w:p>
    <w:p>
      <w:pPr>
        <w:pStyle w:val="6"/>
        <w:widowControl w:val="0"/>
        <w:spacing w:after="120" w:afterLines="50" w:line="360" w:lineRule="exact"/>
        <w:jc w:val="both"/>
        <w:rPr>
          <w:highlight w:val="none"/>
        </w:rPr>
      </w:pPr>
      <w:r>
        <w:rPr>
          <w:highlight w:val="none"/>
        </w:rPr>
        <w:t>根据《中华人民共和国政府采购法》、《中华人民共和国政府采购法实施条例》、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《中华人民共和国民法典》</w:t>
      </w:r>
      <w:r>
        <w:rPr>
          <w:highlight w:val="none"/>
        </w:rPr>
        <w:t>等法律法规，本合同双方当事人在平等、自愿的基础上，经协商一致，同意按下述条款和条件签署本合同。</w:t>
      </w:r>
    </w:p>
    <w:p>
      <w:pPr>
        <w:pStyle w:val="6"/>
        <w:widowControl w:val="0"/>
        <w:spacing w:after="120" w:afterLines="50" w:line="360" w:lineRule="exact"/>
        <w:jc w:val="both"/>
        <w:rPr>
          <w:highlight w:val="none"/>
        </w:rPr>
      </w:pPr>
      <w:r>
        <w:rPr>
          <w:highlight w:val="none"/>
        </w:rPr>
        <w:t>本合同签署    日内，乙方应向甲方提交本合同履约保证金：金额     元，大写      （不收取填“—”，如收取，应当填写收取金额，金额不超过合同总价的10%），履约保证金可以采用支票或者甲方认可的银行出具的履约保函，乙方提交履约保证金所需的有关费用均由其自行负担。履约保证金在按本合同规定验收合格后      （</w:t>
      </w:r>
      <w:r>
        <w:rPr>
          <w:highlight w:val="none"/>
        </w:rPr>
        <w:sym w:font="Wingdings 2" w:char="00A3"/>
      </w:r>
      <w:r>
        <w:rPr>
          <w:highlight w:val="none"/>
        </w:rPr>
        <w:t>日/□年）一次性无息退还乙方。</w:t>
      </w:r>
    </w:p>
    <w:p>
      <w:pPr>
        <w:pStyle w:val="6"/>
        <w:widowControl w:val="0"/>
        <w:spacing w:after="120" w:afterLines="50" w:line="360" w:lineRule="exact"/>
        <w:ind w:left="862" w:hanging="862"/>
        <w:jc w:val="both"/>
        <w:rPr>
          <w:rFonts w:cs="Times New Roman"/>
          <w:highlight w:val="none"/>
        </w:rPr>
      </w:pPr>
      <w:r>
        <w:rPr>
          <w:rFonts w:cs="Times New Roman"/>
          <w:highlight w:val="none"/>
        </w:rPr>
        <w:t>瑕疵担保</w:t>
      </w:r>
    </w:p>
    <w:p>
      <w:pPr>
        <w:pStyle w:val="7"/>
        <w:spacing w:after="120" w:afterLines="50" w:line="360" w:lineRule="exact"/>
        <w:ind w:left="1009" w:hanging="1009"/>
        <w:rPr>
          <w:highlight w:val="none"/>
        </w:rPr>
      </w:pPr>
      <w:r>
        <w:rPr>
          <w:highlight w:val="none"/>
        </w:rPr>
        <w:t>标的物的瑕疵担保</w:t>
      </w:r>
    </w:p>
    <w:p>
      <w:pPr>
        <w:pStyle w:val="8"/>
        <w:widowControl w:val="0"/>
        <w:spacing w:after="120" w:afterLines="50" w:line="360" w:lineRule="exact"/>
        <w:ind w:left="924" w:hanging="924" w:hangingChars="440"/>
        <w:jc w:val="both"/>
        <w:rPr>
          <w:highlight w:val="none"/>
        </w:rPr>
      </w:pPr>
      <w:r>
        <w:rPr>
          <w:highlight w:val="none"/>
        </w:rPr>
        <w:t>乙方应当按照约定的质量要求交付标的物。</w:t>
      </w:r>
    </w:p>
    <w:p>
      <w:pPr>
        <w:pStyle w:val="8"/>
        <w:widowControl w:val="0"/>
        <w:spacing w:after="120" w:afterLines="50" w:line="360" w:lineRule="exact"/>
        <w:jc w:val="both"/>
        <w:rPr>
          <w:highlight w:val="none"/>
        </w:rPr>
      </w:pPr>
      <w:r>
        <w:rPr>
          <w:highlight w:val="none"/>
        </w:rPr>
        <w:t>因标的物质量不符合要求，致使不能实现合同目的的，甲方可以拒绝接受标的物或者解除合同。甲方拒绝接受标的物或者解除合同的，标的物毁损、灭失的风险由乙方承担。</w:t>
      </w:r>
    </w:p>
    <w:p>
      <w:pPr>
        <w:pStyle w:val="8"/>
        <w:widowControl w:val="0"/>
        <w:spacing w:after="120" w:afterLines="50" w:line="360" w:lineRule="exact"/>
        <w:jc w:val="both"/>
        <w:rPr>
          <w:highlight w:val="none"/>
        </w:rPr>
      </w:pPr>
      <w:r>
        <w:rPr>
          <w:highlight w:val="none"/>
        </w:rPr>
        <w:t>标的物毁损、灭失的风险由甲方承担的，不影响因乙方履行债务不符合约定时，甲方要求其承担违约责任的权利。</w:t>
      </w:r>
    </w:p>
    <w:p>
      <w:pPr>
        <w:pStyle w:val="8"/>
        <w:widowControl w:val="0"/>
        <w:spacing w:after="120" w:afterLines="50" w:line="360" w:lineRule="exact"/>
        <w:jc w:val="both"/>
        <w:rPr>
          <w:highlight w:val="none"/>
        </w:rPr>
      </w:pPr>
      <w:r>
        <w:rPr>
          <w:highlight w:val="none"/>
        </w:rPr>
        <w:t>在质保期内，如果标的物的质量或规格与合同不符，或证实标的物是有缺陷的，包括潜在的缺陷或使用不符合要求的材料等，甲方有权根据本合同规定以书面形式向乙方提出补救措施或索赔。</w:t>
      </w:r>
    </w:p>
    <w:p>
      <w:pPr>
        <w:pStyle w:val="8"/>
        <w:widowControl w:val="0"/>
        <w:jc w:val="both"/>
        <w:rPr>
          <w:highlight w:val="none"/>
        </w:rPr>
      </w:pPr>
      <w:r>
        <w:rPr>
          <w:highlight w:val="none"/>
        </w:rPr>
        <w:t>乙方在约定的时间内未能弥补缺陷，甲方可自行采取必要的补救措施，但其风险和费用将由乙方承担，甲方根据合同规定对乙方行使的其他权利不受影响。</w:t>
      </w:r>
    </w:p>
    <w:p>
      <w:pPr>
        <w:pStyle w:val="7"/>
        <w:spacing w:after="120" w:afterLines="50" w:line="360" w:lineRule="exact"/>
        <w:ind w:left="1009" w:hanging="1009"/>
        <w:rPr>
          <w:highlight w:val="none"/>
        </w:rPr>
      </w:pPr>
      <w:r>
        <w:rPr>
          <w:highlight w:val="none"/>
        </w:rPr>
        <w:t>权利的瑕疵担保</w:t>
      </w:r>
    </w:p>
    <w:p>
      <w:pPr>
        <w:pStyle w:val="8"/>
        <w:widowControl w:val="0"/>
        <w:spacing w:after="120" w:afterLines="50" w:line="360" w:lineRule="exact"/>
        <w:jc w:val="both"/>
        <w:rPr>
          <w:highlight w:val="none"/>
        </w:rPr>
      </w:pPr>
      <w:r>
        <w:rPr>
          <w:highlight w:val="none"/>
        </w:rPr>
        <w:t>乙方就交付的标的物，负有保证第三人不得向甲方主张任何权利的义务，但法律另有规定的除外。</w:t>
      </w:r>
    </w:p>
    <w:p>
      <w:pPr>
        <w:pStyle w:val="8"/>
        <w:widowControl w:val="0"/>
        <w:spacing w:after="120" w:afterLines="50" w:line="360" w:lineRule="exact"/>
        <w:jc w:val="both"/>
        <w:rPr>
          <w:highlight w:val="none"/>
        </w:rPr>
      </w:pPr>
      <w:r>
        <w:rPr>
          <w:highlight w:val="none"/>
        </w:rPr>
        <w:t>乙方保证对其出售的标的物享有合法的权利。</w:t>
      </w:r>
    </w:p>
    <w:p>
      <w:pPr>
        <w:pStyle w:val="8"/>
        <w:widowControl w:val="0"/>
        <w:spacing w:after="120" w:afterLines="50" w:line="360" w:lineRule="exact"/>
        <w:jc w:val="both"/>
        <w:rPr>
          <w:highlight w:val="none"/>
        </w:rPr>
      </w:pPr>
      <w:r>
        <w:rPr>
          <w:highlight w:val="none"/>
        </w:rPr>
        <w:t>乙方应保证在其出售的标的物上不存在任何未曾向甲方透露的担保物权，如抵押权、质押权、留置权等。</w:t>
      </w:r>
    </w:p>
    <w:p>
      <w:pPr>
        <w:pStyle w:val="8"/>
        <w:widowControl w:val="0"/>
        <w:spacing w:after="120" w:afterLines="50" w:line="360" w:lineRule="exact"/>
        <w:jc w:val="both"/>
        <w:rPr>
          <w:highlight w:val="none"/>
        </w:rPr>
      </w:pPr>
      <w:r>
        <w:rPr>
          <w:highlight w:val="none"/>
        </w:rPr>
        <w:t>乙方应保证其所出售的标的物没有侵犯任何第三人的知识产权和商业秘密等权利。</w:t>
      </w:r>
    </w:p>
    <w:p>
      <w:pPr>
        <w:pStyle w:val="8"/>
        <w:widowControl w:val="0"/>
        <w:spacing w:after="120" w:afterLines="50" w:line="360" w:lineRule="exact"/>
        <w:jc w:val="both"/>
        <w:rPr>
          <w:highlight w:val="none"/>
        </w:rPr>
      </w:pPr>
      <w:r>
        <w:rPr>
          <w:highlight w:val="none"/>
        </w:rPr>
        <w:t>如甲方使用该标的物构成上述侵权的，由乙方承担全部责任。</w:t>
      </w:r>
    </w:p>
    <w:p>
      <w:pPr>
        <w:pStyle w:val="8"/>
        <w:widowControl w:val="0"/>
        <w:spacing w:after="120" w:afterLines="50" w:line="360" w:lineRule="exact"/>
        <w:jc w:val="both"/>
        <w:rPr>
          <w:highlight w:val="none"/>
        </w:rPr>
      </w:pPr>
      <w:r>
        <w:rPr>
          <w:highlight w:val="none"/>
        </w:rPr>
        <w:t>甲方订立合同时知道或者应当知道第三人对买卖的标的物享有权利的，乙方不承担5规定的义务。</w:t>
      </w:r>
    </w:p>
    <w:p>
      <w:pPr>
        <w:pStyle w:val="8"/>
        <w:widowControl w:val="0"/>
        <w:spacing w:after="120" w:afterLines="50" w:line="360" w:lineRule="exact"/>
        <w:jc w:val="both"/>
        <w:rPr>
          <w:highlight w:val="none"/>
        </w:rPr>
      </w:pPr>
      <w:r>
        <w:rPr>
          <w:highlight w:val="none"/>
        </w:rPr>
        <w:t>甲方有确切证据证明第三人可能就标的物主张权利的，可以中止支付相应的价款，但乙方提供适当担保的除外。</w:t>
      </w:r>
    </w:p>
    <w:p>
      <w:pPr>
        <w:pStyle w:val="6"/>
        <w:widowControl w:val="0"/>
        <w:spacing w:after="120" w:afterLines="50" w:line="360" w:lineRule="exact"/>
        <w:ind w:left="862" w:hanging="862"/>
        <w:jc w:val="both"/>
        <w:rPr>
          <w:rFonts w:cs="Times New Roman"/>
          <w:highlight w:val="none"/>
        </w:rPr>
      </w:pPr>
      <w:r>
        <w:rPr>
          <w:rFonts w:cs="Times New Roman"/>
          <w:highlight w:val="none"/>
        </w:rPr>
        <w:t>不可抗力</w:t>
      </w:r>
    </w:p>
    <w:p>
      <w:pPr>
        <w:pStyle w:val="7"/>
        <w:spacing w:after="120" w:afterLines="50" w:line="360" w:lineRule="exact"/>
        <w:ind w:left="839" w:hanging="839"/>
        <w:rPr>
          <w:highlight w:val="none"/>
        </w:rPr>
      </w:pPr>
      <w:r>
        <w:rPr>
          <w:highlight w:val="none"/>
        </w:rPr>
        <w:t>本条所述的“不可抗力”系指那些双方不可预见、不可避免、不可克服的事件，但不包括双方的违约或疏忽。这些事件包括但不限于：战争、严重火灾、洪水、台风、地震、国家政策的重大变化，以及其它双方商定的其他事件。</w:t>
      </w:r>
    </w:p>
    <w:p>
      <w:pPr>
        <w:pStyle w:val="7"/>
        <w:spacing w:after="120" w:afterLines="50" w:line="360" w:lineRule="exact"/>
        <w:ind w:left="839" w:hanging="839"/>
        <w:rPr>
          <w:highlight w:val="none"/>
        </w:rPr>
      </w:pPr>
      <w:r>
        <w:rPr>
          <w:highlight w:val="none"/>
        </w:rPr>
        <w:t>因不可抗力不能履行合同的，根据不可抗力的影响，部分或者全部免除责任，但法律另有规定的除外。甲乙双方迟延履行后发生不可抗力的，不能免除责任。</w:t>
      </w:r>
    </w:p>
    <w:p>
      <w:pPr>
        <w:pStyle w:val="7"/>
        <w:spacing w:after="120" w:afterLines="50" w:line="360" w:lineRule="exact"/>
        <w:ind w:left="839" w:hanging="839"/>
        <w:rPr>
          <w:highlight w:val="none"/>
        </w:rPr>
      </w:pPr>
      <w:r>
        <w:rPr>
          <w:highlight w:val="none"/>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pPr>
        <w:pStyle w:val="6"/>
        <w:widowControl w:val="0"/>
        <w:spacing w:after="120" w:afterLines="50" w:line="360" w:lineRule="exact"/>
        <w:ind w:left="862" w:hanging="862"/>
        <w:jc w:val="both"/>
        <w:rPr>
          <w:rFonts w:cs="Times New Roman"/>
          <w:kern w:val="2"/>
          <w:szCs w:val="21"/>
          <w:highlight w:val="none"/>
          <w:lang w:val="en-US"/>
        </w:rPr>
      </w:pPr>
      <w:r>
        <w:rPr>
          <w:rFonts w:cs="Times New Roman"/>
          <w:highlight w:val="none"/>
        </w:rPr>
        <w:t>违约责任</w:t>
      </w:r>
    </w:p>
    <w:p>
      <w:pPr>
        <w:pStyle w:val="7"/>
        <w:spacing w:after="120" w:afterLines="50" w:line="360" w:lineRule="exact"/>
        <w:ind w:left="839" w:hanging="839"/>
        <w:rPr>
          <w:highlight w:val="none"/>
        </w:rPr>
      </w:pPr>
      <w:r>
        <w:rPr>
          <w:highlight w:val="none"/>
        </w:rPr>
        <w:t>一方不履行合同义务或者履行合同义务不符合约定的，应当承担继续履行、采取补救 措施或者赔偿损失等违约责任。一方因第三人的原因造成违约的，应当向对方承担违约责任。一方和第三人之间的纠纷，由其自行解决。</w:t>
      </w:r>
    </w:p>
    <w:p>
      <w:pPr>
        <w:pStyle w:val="7"/>
        <w:spacing w:after="120" w:afterLines="50" w:line="360" w:lineRule="exact"/>
        <w:ind w:left="839" w:hanging="839"/>
        <w:rPr>
          <w:highlight w:val="none"/>
        </w:rPr>
      </w:pPr>
      <w:r>
        <w:rPr>
          <w:highlight w:val="none"/>
        </w:rPr>
        <w:t>继续履行：甲方未按照合同约定支付价款的，乙方可以要求其支付价款。</w:t>
      </w:r>
    </w:p>
    <w:p>
      <w:pPr>
        <w:pStyle w:val="7"/>
        <w:spacing w:after="120" w:afterLines="50" w:line="360" w:lineRule="exact"/>
        <w:ind w:left="839" w:hanging="839"/>
        <w:rPr>
          <w:highlight w:val="none"/>
        </w:rPr>
      </w:pPr>
      <w:r>
        <w:rPr>
          <w:highlight w:val="none"/>
        </w:rPr>
        <w:t>补救措施：乙方应在接到甲方通知后七天内负责采用符合合同规定的规格、质量和性能要求的新零件、部件和设备来更换有缺陷的部分或修补缺陷部分，其费用由乙方负担。同时，乙方应在约定的质保期基础上相应延长修补和更换件的质保期。</w:t>
      </w:r>
    </w:p>
    <w:p>
      <w:pPr>
        <w:pStyle w:val="7"/>
        <w:widowControl w:val="0"/>
        <w:spacing w:before="120" w:beforeLines="50" w:after="120" w:afterLines="50" w:line="360" w:lineRule="exact"/>
        <w:ind w:left="1009" w:hanging="1009"/>
        <w:jc w:val="both"/>
        <w:rPr>
          <w:highlight w:val="none"/>
        </w:rPr>
      </w:pPr>
      <w:r>
        <w:rPr>
          <w:highlight w:val="none"/>
        </w:rPr>
        <w:t>损害赔偿</w:t>
      </w:r>
    </w:p>
    <w:p>
      <w:pPr>
        <w:pStyle w:val="8"/>
        <w:widowControl w:val="0"/>
        <w:spacing w:after="120" w:afterLines="50" w:line="360" w:lineRule="exact"/>
        <w:jc w:val="both"/>
        <w:rPr>
          <w:highlight w:val="none"/>
        </w:rPr>
      </w:pPr>
      <w:r>
        <w:rPr>
          <w:highlight w:val="none"/>
        </w:rPr>
        <w:t xml:space="preserve">一方不履行合同义务或者履行合同义务不符合约定的，在履行义务或者采取补救措施后，对方还有其他损失的，应当赔偿该损失。    </w:t>
      </w:r>
    </w:p>
    <w:p>
      <w:pPr>
        <w:pStyle w:val="8"/>
        <w:widowControl w:val="0"/>
        <w:spacing w:after="120" w:afterLines="50" w:line="360" w:lineRule="exact"/>
        <w:jc w:val="both"/>
        <w:rPr>
          <w:highlight w:val="none"/>
        </w:rPr>
      </w:pPr>
      <w:r>
        <w:rPr>
          <w:highlight w:val="none"/>
        </w:rPr>
        <w:t>甲方有权根据质量检测部门出具的检验证书向乙方提出索赔。若标的物为假冒伪劣产品，乙方应按照合同总金额的2倍向甲方支付惩罚性赔偿金，若该赔偿未达到给甲方造成损失的2倍，则乙方应当支付给甲方造成损失的2倍的惩罚性赔偿金，且并不当然免除其依法应受的其它处罚。</w:t>
      </w:r>
    </w:p>
    <w:p>
      <w:pPr>
        <w:pStyle w:val="8"/>
        <w:widowControl w:val="0"/>
        <w:spacing w:after="120" w:afterLines="50" w:line="360" w:lineRule="exact"/>
        <w:jc w:val="both"/>
        <w:rPr>
          <w:highlight w:val="none"/>
        </w:rPr>
      </w:pPr>
      <w:r>
        <w:rPr>
          <w:highlight w:val="none"/>
        </w:rPr>
        <w:t>在检验期和质保期内，如果乙方对缺陷产品负有责任且甲方提出索赔，乙方应按照甲方同意的下列一种或多种方式解决索赔事宜：乙方同意对标的物进行免费更换，由此发生的一切费用和损失由乙方承担；乙方同意退货并将货款退还给甲方，由此发生的一切费用和损失由乙方承担；根据标的物的质量状况以及甲方所遭受的损失，经过甲乙双方商定降低标的物的价格。</w:t>
      </w:r>
    </w:p>
    <w:p>
      <w:pPr>
        <w:pStyle w:val="8"/>
        <w:widowControl w:val="0"/>
        <w:spacing w:after="120" w:afterLines="50" w:line="360" w:lineRule="exact"/>
        <w:jc w:val="both"/>
        <w:rPr>
          <w:highlight w:val="none"/>
        </w:rPr>
      </w:pPr>
      <w:r>
        <w:rPr>
          <w:highlight w:val="none"/>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若有），如不足以弥补甲方损失的，甲方有权向乙方提出赔偿损失的要求。</w:t>
      </w:r>
    </w:p>
    <w:p>
      <w:pPr>
        <w:pStyle w:val="6"/>
        <w:widowControl w:val="0"/>
        <w:spacing w:after="120" w:afterLines="50" w:line="360" w:lineRule="exact"/>
        <w:ind w:left="862" w:hanging="862"/>
        <w:jc w:val="both"/>
        <w:rPr>
          <w:rFonts w:cs="Times New Roman"/>
          <w:highlight w:val="none"/>
        </w:rPr>
      </w:pPr>
      <w:r>
        <w:rPr>
          <w:rFonts w:cs="Times New Roman"/>
          <w:highlight w:val="none"/>
        </w:rPr>
        <w:t>延长交货时间或延期提供服务</w:t>
      </w:r>
    </w:p>
    <w:p>
      <w:pPr>
        <w:pStyle w:val="7"/>
        <w:spacing w:after="120" w:afterLines="50" w:line="360" w:lineRule="exact"/>
        <w:ind w:left="839" w:hanging="839"/>
        <w:rPr>
          <w:highlight w:val="none"/>
        </w:rPr>
      </w:pPr>
      <w:r>
        <w:rPr>
          <w:highlight w:val="none"/>
        </w:rPr>
        <w:t>除甲方同意外，如果乙方没有按照合同规定的时间交货和提供服务，甲方应从货款中扣除误期赔偿费，赔偿费按每天赔偿迟交标的物的交货价或延期服务的服务费用的千分之一（1‰）计收，直至交货或提供服务为止。但误期赔偿费的最高限额不超过合同价的百分之五（5%）。一旦达到误期赔偿的最高限额，甲方可考虑终止合同。</w:t>
      </w:r>
    </w:p>
    <w:p>
      <w:pPr>
        <w:pStyle w:val="7"/>
        <w:spacing w:after="120" w:afterLines="50" w:line="360" w:lineRule="exact"/>
        <w:ind w:left="839" w:hanging="839"/>
        <w:rPr>
          <w:highlight w:val="none"/>
        </w:rPr>
      </w:pPr>
      <w:r>
        <w:rPr>
          <w:highlight w:val="none"/>
        </w:rPr>
        <w:t>乙方应按照合同规定的时间、地点交货和提供服务，如果乙方可能遇到妨碍按时交货和提供服务的情况时，应于 5 个工作日内以书面形式将拖延的事实、可能拖延的期限和理由通知甲方。甲方在收到乙方通知后，应尽快对情况进行评价，并确定是否同意。</w:t>
      </w:r>
    </w:p>
    <w:p>
      <w:pPr>
        <w:pStyle w:val="6"/>
        <w:widowControl w:val="0"/>
        <w:spacing w:after="120" w:afterLines="50" w:line="360" w:lineRule="exact"/>
        <w:ind w:left="862" w:hanging="862"/>
        <w:jc w:val="both"/>
        <w:rPr>
          <w:rFonts w:cs="Times New Roman"/>
          <w:highlight w:val="none"/>
        </w:rPr>
      </w:pPr>
      <w:r>
        <w:rPr>
          <w:rFonts w:cs="Times New Roman"/>
          <w:highlight w:val="none"/>
        </w:rPr>
        <w:t>合同终止</w:t>
      </w:r>
    </w:p>
    <w:p>
      <w:pPr>
        <w:pStyle w:val="7"/>
        <w:widowControl w:val="0"/>
        <w:spacing w:before="120" w:beforeLines="50" w:after="120" w:afterLines="50" w:line="360" w:lineRule="exact"/>
        <w:ind w:left="1009" w:hanging="1009"/>
        <w:jc w:val="both"/>
        <w:rPr>
          <w:highlight w:val="none"/>
        </w:rPr>
      </w:pPr>
      <w:r>
        <w:rPr>
          <w:highlight w:val="none"/>
        </w:rPr>
        <w:t>违约终止合同</w:t>
      </w:r>
    </w:p>
    <w:p>
      <w:pPr>
        <w:pStyle w:val="8"/>
        <w:widowControl w:val="0"/>
        <w:spacing w:after="120" w:afterLines="50" w:line="360" w:lineRule="exact"/>
        <w:jc w:val="both"/>
        <w:rPr>
          <w:highlight w:val="none"/>
        </w:rPr>
      </w:pPr>
      <w:r>
        <w:rPr>
          <w:highlight w:val="none"/>
        </w:rPr>
        <w:t>在甲方对乙方违约而采取的任何补救措施不受影响的情况下，甲方可在下列情况下向乙方发出书面通知书，提出终止部分或全部合同。</w:t>
      </w:r>
    </w:p>
    <w:p>
      <w:pPr>
        <w:pStyle w:val="8"/>
        <w:widowControl w:val="0"/>
        <w:spacing w:after="120" w:afterLines="50" w:line="360" w:lineRule="exact"/>
        <w:jc w:val="both"/>
        <w:rPr>
          <w:highlight w:val="none"/>
        </w:rPr>
      </w:pPr>
      <w:r>
        <w:rPr>
          <w:highlight w:val="none"/>
        </w:rPr>
        <w:t>如果乙方未能在合同规定的期限或甲方同意延长的期限内提供部分或全部标的物。</w:t>
      </w:r>
    </w:p>
    <w:p>
      <w:pPr>
        <w:pStyle w:val="8"/>
        <w:widowControl w:val="0"/>
        <w:spacing w:after="120" w:afterLines="50" w:line="360" w:lineRule="exact"/>
        <w:jc w:val="both"/>
        <w:rPr>
          <w:highlight w:val="none"/>
        </w:rPr>
      </w:pPr>
      <w:r>
        <w:rPr>
          <w:highlight w:val="none"/>
        </w:rPr>
        <w:t>如果乙方未能履行合同规定的其它任何义务。</w:t>
      </w:r>
    </w:p>
    <w:p>
      <w:pPr>
        <w:pStyle w:val="8"/>
        <w:widowControl w:val="0"/>
        <w:spacing w:after="120" w:afterLines="50" w:line="360" w:lineRule="exact"/>
        <w:jc w:val="both"/>
        <w:rPr>
          <w:highlight w:val="none"/>
        </w:rPr>
      </w:pPr>
      <w:r>
        <w:rPr>
          <w:highlight w:val="none"/>
        </w:rPr>
        <w:t>如果甲方根据上述规定，终止了全部或部分合同，甲方可以依其认为适当的条件和方法购买与未交标的物类似的标的物，乙方应承担甲方购买类似标的物所超出的那部分费用且应继续执行合同中未终止的部分。</w:t>
      </w:r>
    </w:p>
    <w:p>
      <w:pPr>
        <w:pStyle w:val="8"/>
        <w:widowControl w:val="0"/>
        <w:spacing w:after="120" w:afterLines="50" w:line="360" w:lineRule="exact"/>
        <w:jc w:val="both"/>
        <w:rPr>
          <w:highlight w:val="none"/>
        </w:rPr>
      </w:pPr>
      <w:r>
        <w:rPr>
          <w:highlight w:val="none"/>
        </w:rPr>
        <w:t>如果乙方在履行合同过程中有不正当竞争行为，甲方有权解除合同，并按《中华人民共和国反不正当竞争法》之规定由有关部门追究其法律责任。</w:t>
      </w:r>
    </w:p>
    <w:p>
      <w:pPr>
        <w:pStyle w:val="7"/>
        <w:widowControl w:val="0"/>
        <w:spacing w:before="120" w:beforeLines="50" w:after="120" w:afterLines="50" w:line="360" w:lineRule="exact"/>
        <w:ind w:left="1009" w:hanging="1009"/>
        <w:jc w:val="both"/>
        <w:rPr>
          <w:highlight w:val="none"/>
        </w:rPr>
      </w:pPr>
      <w:r>
        <w:rPr>
          <w:highlight w:val="none"/>
        </w:rPr>
        <w:t>破产终止合同</w:t>
      </w:r>
    </w:p>
    <w:p>
      <w:pPr>
        <w:pStyle w:val="8"/>
        <w:widowControl w:val="0"/>
        <w:spacing w:after="120" w:afterLines="50" w:line="360" w:lineRule="exact"/>
        <w:jc w:val="both"/>
        <w:rPr>
          <w:highlight w:val="none"/>
        </w:rPr>
      </w:pPr>
      <w:r>
        <w:rPr>
          <w:highlight w:val="none"/>
        </w:rPr>
        <w:t>如果乙方破产或丧失清偿能力，甲方可在任何时候以书面形式通知乙方终止合同而不给乙方补偿。该终止合同将不损害或影响甲方已经采取或将要采取任何行动或补救措施的权利。</w:t>
      </w:r>
    </w:p>
    <w:p>
      <w:pPr>
        <w:pStyle w:val="6"/>
        <w:widowControl w:val="0"/>
        <w:spacing w:after="120" w:afterLines="50" w:line="360" w:lineRule="exact"/>
        <w:ind w:left="862" w:hanging="862"/>
        <w:jc w:val="both"/>
        <w:rPr>
          <w:rFonts w:cs="Times New Roman"/>
          <w:highlight w:val="none"/>
        </w:rPr>
      </w:pPr>
      <w:r>
        <w:rPr>
          <w:rFonts w:cs="Times New Roman"/>
          <w:highlight w:val="none"/>
        </w:rPr>
        <w:t>争议解决</w:t>
      </w:r>
    </w:p>
    <w:p>
      <w:pPr>
        <w:pStyle w:val="7"/>
        <w:spacing w:after="120" w:afterLines="50" w:line="360" w:lineRule="exact"/>
        <w:ind w:left="839" w:hanging="839"/>
        <w:rPr>
          <w:highlight w:val="none"/>
        </w:rPr>
      </w:pPr>
      <w:r>
        <w:rPr>
          <w:highlight w:val="none"/>
        </w:rPr>
        <w:t>合同各方应通过友好协商，解决在执行本合同过程中所发生的或与本合同有关的一切争端。如从协商开始十天内仍不能解决，可以向警采中心提请调解；调解不成则任何一方均可向甲方所在地人民法院提起诉讼。</w:t>
      </w:r>
    </w:p>
    <w:p>
      <w:pPr>
        <w:pStyle w:val="7"/>
        <w:spacing w:after="120" w:afterLines="50" w:line="360" w:lineRule="exact"/>
        <w:ind w:left="839" w:hanging="839"/>
        <w:rPr>
          <w:highlight w:val="none"/>
        </w:rPr>
      </w:pPr>
      <w:r>
        <w:rPr>
          <w:highlight w:val="none"/>
        </w:rPr>
        <w:t>在诉讼期间，除正在进行诉讼的部分外，本合同的其它部分应继续执行。</w:t>
      </w:r>
    </w:p>
    <w:p>
      <w:pPr>
        <w:pStyle w:val="5"/>
        <w:widowControl w:val="0"/>
        <w:spacing w:before="120" w:after="120" w:afterLines="50" w:line="360" w:lineRule="exact"/>
        <w:rPr>
          <w:color w:val="auto"/>
          <w:highlight w:val="none"/>
        </w:rPr>
      </w:pPr>
      <w:r>
        <w:rPr>
          <w:color w:val="auto"/>
          <w:highlight w:val="none"/>
        </w:rPr>
        <w:t>标的物</w:t>
      </w:r>
    </w:p>
    <w:p>
      <w:pPr>
        <w:pStyle w:val="6"/>
        <w:widowControl w:val="0"/>
        <w:spacing w:after="120" w:afterLines="50" w:line="360" w:lineRule="exact"/>
        <w:ind w:left="862" w:hanging="862"/>
        <w:jc w:val="both"/>
        <w:rPr>
          <w:rFonts w:cs="Times New Roman"/>
          <w:highlight w:val="none"/>
        </w:rPr>
      </w:pPr>
      <w:r>
        <w:rPr>
          <w:rFonts w:cs="Times New Roman"/>
          <w:highlight w:val="none"/>
        </w:rPr>
        <w:t>标的物清单</w:t>
      </w:r>
    </w:p>
    <w:tbl>
      <w:tblPr>
        <w:tblStyle w:val="41"/>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701"/>
        <w:gridCol w:w="1217"/>
        <w:gridCol w:w="1217"/>
        <w:gridCol w:w="827"/>
        <w:gridCol w:w="1218"/>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序号</w:t>
            </w:r>
          </w:p>
        </w:tc>
        <w:tc>
          <w:tcPr>
            <w:tcW w:w="1701"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警用装备名称</w:t>
            </w:r>
          </w:p>
        </w:tc>
        <w:tc>
          <w:tcPr>
            <w:tcW w:w="121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品牌型号</w:t>
            </w:r>
          </w:p>
        </w:tc>
        <w:tc>
          <w:tcPr>
            <w:tcW w:w="121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单价（元）</w:t>
            </w:r>
          </w:p>
        </w:tc>
        <w:tc>
          <w:tcPr>
            <w:tcW w:w="82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数量</w:t>
            </w:r>
          </w:p>
        </w:tc>
        <w:tc>
          <w:tcPr>
            <w:tcW w:w="1218"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合计（元）</w:t>
            </w: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1</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2</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5" w:type="dxa"/>
            <w:vAlign w:val="center"/>
          </w:tcPr>
          <w:p>
            <w:pPr>
              <w:keepNext/>
              <w:keepLines/>
              <w:widowControl w:val="0"/>
              <w:spacing w:after="120" w:afterLines="50" w:line="360" w:lineRule="exact"/>
              <w:jc w:val="both"/>
              <w:rPr>
                <w:kern w:val="0"/>
                <w:szCs w:val="21"/>
                <w:highlight w:val="none"/>
                <w:lang w:val="en-US"/>
              </w:rPr>
            </w:pPr>
            <w:r>
              <w:rPr>
                <w:kern w:val="0"/>
                <w:szCs w:val="21"/>
                <w:highlight w:val="none"/>
                <w:lang w:val="en-US"/>
              </w:rPr>
              <w:t>…</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0"/>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649" w:type="dxa"/>
            <w:gridSpan w:val="7"/>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总计：</w:t>
            </w:r>
            <w:r>
              <w:rPr>
                <w:kern w:val="0"/>
                <w:szCs w:val="21"/>
                <w:highlight w:val="none"/>
                <w:u w:val="single"/>
                <w:lang w:val="en-US"/>
              </w:rPr>
              <w:t xml:space="preserve">                 </w:t>
            </w:r>
            <w:r>
              <w:rPr>
                <w:kern w:val="0"/>
                <w:szCs w:val="21"/>
                <w:highlight w:val="none"/>
                <w:lang w:val="en-US"/>
              </w:rPr>
              <w:t>元  人民币（大写）：</w:t>
            </w:r>
            <w:r>
              <w:rPr>
                <w:kern w:val="0"/>
                <w:szCs w:val="21"/>
                <w:highlight w:val="none"/>
                <w:u w:val="single"/>
                <w:lang w:val="en-US"/>
              </w:rPr>
              <w:t xml:space="preserve">                </w:t>
            </w:r>
          </w:p>
        </w:tc>
      </w:tr>
    </w:tbl>
    <w:p>
      <w:pPr>
        <w:pStyle w:val="6"/>
        <w:widowControl w:val="0"/>
        <w:numPr>
          <w:ilvl w:val="0"/>
          <w:numId w:val="0"/>
        </w:numPr>
        <w:spacing w:after="120" w:afterLines="50" w:line="360" w:lineRule="exact"/>
        <w:jc w:val="both"/>
        <w:rPr>
          <w:rFonts w:cs="Times New Roman"/>
          <w:highlight w:val="none"/>
        </w:rPr>
      </w:pPr>
      <w:r>
        <w:rPr>
          <w:rFonts w:cs="Times New Roman"/>
          <w:highlight w:val="none"/>
        </w:rPr>
        <w:t>注：此价格为产品交付甲方时的最终价格（包括但不限于运输费、运输保险费、仓储保险费、仓储费等有关的费用），甲方除此之外不再支付任何其它费用。</w:t>
      </w:r>
    </w:p>
    <w:p>
      <w:pPr>
        <w:pStyle w:val="6"/>
        <w:widowControl w:val="0"/>
        <w:spacing w:after="120" w:afterLines="50" w:line="360" w:lineRule="exact"/>
        <w:ind w:left="862" w:hanging="862"/>
        <w:jc w:val="both"/>
        <w:rPr>
          <w:rFonts w:cs="Times New Roman"/>
          <w:highlight w:val="none"/>
        </w:rPr>
      </w:pPr>
      <w:r>
        <w:rPr>
          <w:rFonts w:cs="Times New Roman"/>
          <w:highlight w:val="none"/>
        </w:rPr>
        <w:t>标的物的所有权自标的物交付并验收合格之日时起自乙方转移至甲方。</w:t>
      </w:r>
    </w:p>
    <w:p>
      <w:pPr>
        <w:pStyle w:val="6"/>
        <w:spacing w:after="120" w:afterLines="50" w:line="360" w:lineRule="exact"/>
        <w:rPr>
          <w:highlight w:val="none"/>
        </w:rPr>
      </w:pPr>
      <w:r>
        <w:rPr>
          <w:highlight w:val="none"/>
        </w:rPr>
        <w:t>乙方保证所出售的全部标的物均应按标准保护措施进行包装，这类包装应适应于远距离运输、防潮、防震、防锈和防野蛮装卸等要求，确保标的物安全无损地运抵指定现场。每一个包装箱内应附一份详细装箱单。</w:t>
      </w:r>
    </w:p>
    <w:p>
      <w:pPr>
        <w:pStyle w:val="6"/>
        <w:spacing w:after="120" w:afterLines="50" w:line="360" w:lineRule="exact"/>
        <w:rPr>
          <w:highlight w:val="none"/>
        </w:rPr>
      </w:pPr>
      <w:r>
        <w:rPr>
          <w:highlight w:val="none"/>
        </w:rPr>
        <w:t>乙方多交标的物的，甲方可以接收或者拒绝接收多交的部分。甲方接收多交部分的，按照合同的价格支付价款；甲方拒绝接收多交部分的，应当及时通知乙方。</w:t>
      </w:r>
    </w:p>
    <w:p>
      <w:pPr>
        <w:pStyle w:val="6"/>
        <w:spacing w:after="120" w:afterLines="50" w:line="360" w:lineRule="exact"/>
        <w:rPr>
          <w:highlight w:val="none"/>
        </w:rPr>
      </w:pPr>
      <w:r>
        <w:rPr>
          <w:highlight w:val="none"/>
        </w:rPr>
        <w:t>标的物在交付之前产生的孳息，归乙方所有，交付之后产生的孳息，归甲方所有。</w:t>
      </w:r>
    </w:p>
    <w:p>
      <w:pPr>
        <w:pStyle w:val="6"/>
        <w:spacing w:after="120" w:afterLines="50" w:line="360" w:lineRule="exact"/>
        <w:rPr>
          <w:highlight w:val="none"/>
        </w:rPr>
      </w:pPr>
      <w:r>
        <w:rPr>
          <w:highlight w:val="none"/>
        </w:rPr>
        <w:t>质量、质保期、售后服务和包装要求</w:t>
      </w:r>
    </w:p>
    <w:p>
      <w:pPr>
        <w:pStyle w:val="7"/>
        <w:spacing w:after="120" w:afterLines="50" w:line="360" w:lineRule="exact"/>
        <w:ind w:left="839" w:hanging="839"/>
        <w:rPr>
          <w:highlight w:val="none"/>
        </w:rPr>
      </w:pPr>
      <w:r>
        <w:rPr>
          <w:highlight w:val="none"/>
        </w:rPr>
        <w:t>乙方应保证其标的物在正确安装、正常使用和保养条件下，在其使用寿命期内具有满意的性能。在标的物最终交付验收后不少于合同规定的质量保证期（以下简称“质保期”）内，乙方应对由于设计、工艺或材料的缺陷而产生的故障负责。</w:t>
      </w:r>
    </w:p>
    <w:p>
      <w:pPr>
        <w:pStyle w:val="7"/>
        <w:spacing w:after="120" w:afterLines="50" w:line="360" w:lineRule="exact"/>
        <w:ind w:left="839" w:hanging="839"/>
        <w:rPr>
          <w:highlight w:val="none"/>
        </w:rPr>
      </w:pPr>
      <w:r>
        <w:rPr>
          <w:highlight w:val="none"/>
        </w:rPr>
        <w:t>乙方应当按照</w:t>
      </w:r>
      <w:r>
        <w:rPr>
          <w:rFonts w:hint="eastAsia"/>
          <w:highlight w:val="none"/>
        </w:rPr>
        <w:t>征集文件</w:t>
      </w:r>
      <w:r>
        <w:rPr>
          <w:highlight w:val="none"/>
        </w:rPr>
        <w:t>或采购文件规定的质量标准、技术要求向甲方提供未经使用的全新正规合格产品。质量要求不明确的，按照国家标准、行业标准履行；没有国家标准、行业标准的，应以甲方所选择的质量标准为依据。</w:t>
      </w:r>
    </w:p>
    <w:p>
      <w:pPr>
        <w:pStyle w:val="7"/>
        <w:spacing w:after="120" w:afterLines="50" w:line="360" w:lineRule="exact"/>
        <w:ind w:left="839" w:hanging="839"/>
        <w:rPr>
          <w:highlight w:val="none"/>
        </w:rPr>
      </w:pPr>
      <w:r>
        <w:rPr>
          <w:highlight w:val="none"/>
        </w:rPr>
        <w:t>乙方标的物的质保期为      年，自标的物交付并验收合格之日起计算。乙方负责向甲方提供7×24小时售后服务保障，售后服务电话为：         。乙方标的物在质保期内出现质量问题的，乙方须在接到甲方通知后       日内派员到现场进行维修或更换。</w:t>
      </w:r>
    </w:p>
    <w:p>
      <w:pPr>
        <w:pStyle w:val="5"/>
        <w:widowControl w:val="0"/>
        <w:spacing w:before="120" w:after="120" w:afterLines="50" w:line="360" w:lineRule="exact"/>
        <w:rPr>
          <w:color w:val="auto"/>
          <w:highlight w:val="none"/>
        </w:rPr>
      </w:pPr>
      <w:r>
        <w:rPr>
          <w:color w:val="auto"/>
          <w:highlight w:val="none"/>
        </w:rPr>
        <w:t>履行</w:t>
      </w:r>
    </w:p>
    <w:p>
      <w:pPr>
        <w:pStyle w:val="6"/>
        <w:widowControl w:val="0"/>
        <w:spacing w:after="120" w:afterLines="50" w:line="360" w:lineRule="exact"/>
        <w:ind w:left="862" w:hanging="862"/>
        <w:jc w:val="both"/>
        <w:rPr>
          <w:rFonts w:cs="Times New Roman"/>
          <w:highlight w:val="none"/>
        </w:rPr>
      </w:pPr>
      <w:r>
        <w:rPr>
          <w:rFonts w:cs="Times New Roman"/>
          <w:highlight w:val="none"/>
        </w:rPr>
        <w:t>交付标的物</w:t>
      </w:r>
    </w:p>
    <w:p>
      <w:pPr>
        <w:pStyle w:val="7"/>
        <w:widowControl w:val="0"/>
        <w:spacing w:before="120" w:beforeLines="50" w:after="120" w:afterLines="50" w:line="360" w:lineRule="exact"/>
        <w:ind w:left="1009" w:hanging="1009"/>
        <w:jc w:val="both"/>
        <w:rPr>
          <w:highlight w:val="none"/>
        </w:rPr>
      </w:pPr>
      <w:r>
        <w:rPr>
          <w:highlight w:val="none"/>
        </w:rPr>
        <w:t xml:space="preserve">交付地点：                                       </w:t>
      </w:r>
    </w:p>
    <w:p>
      <w:pPr>
        <w:pStyle w:val="7"/>
        <w:widowControl w:val="0"/>
        <w:spacing w:before="120" w:beforeLines="50" w:after="120" w:afterLines="50" w:line="360" w:lineRule="exact"/>
        <w:ind w:left="1009" w:hanging="1009"/>
        <w:jc w:val="both"/>
        <w:rPr>
          <w:highlight w:val="none"/>
        </w:rPr>
      </w:pPr>
      <w:r>
        <w:rPr>
          <w:highlight w:val="none"/>
        </w:rPr>
        <w:t xml:space="preserve">甲方指定的签收人：          联系方式：           </w:t>
      </w:r>
    </w:p>
    <w:p>
      <w:pPr>
        <w:pStyle w:val="7"/>
        <w:widowControl w:val="0"/>
        <w:spacing w:before="120" w:beforeLines="50" w:after="120" w:afterLines="50" w:line="360" w:lineRule="exact"/>
        <w:ind w:left="1009" w:hanging="1009"/>
        <w:jc w:val="both"/>
        <w:rPr>
          <w:highlight w:val="none"/>
        </w:rPr>
      </w:pPr>
      <w:r>
        <w:rPr>
          <w:highlight w:val="none"/>
        </w:rPr>
        <w:t>交付计划：乙方应在发货前至少</w:t>
      </w:r>
      <w:r>
        <w:rPr>
          <w:highlight w:val="none"/>
          <w:u w:val="single"/>
        </w:rPr>
        <w:t xml:space="preserve">      </w:t>
      </w:r>
      <w:r>
        <w:rPr>
          <w:highlight w:val="none"/>
        </w:rPr>
        <w:t>个自然日以书面方式向甲方提供交货计划。</w:t>
      </w:r>
    </w:p>
    <w:p>
      <w:pPr>
        <w:pStyle w:val="7"/>
        <w:widowControl w:val="0"/>
        <w:spacing w:before="120" w:beforeLines="50" w:after="120" w:afterLines="50" w:line="360" w:lineRule="exact"/>
        <w:ind w:left="1009" w:hanging="1009"/>
        <w:jc w:val="both"/>
        <w:rPr>
          <w:highlight w:val="none"/>
        </w:rPr>
      </w:pPr>
      <w:r>
        <w:rPr>
          <w:highlight w:val="none"/>
        </w:rPr>
        <w:t>交货时间：合同签订之日起</w:t>
      </w:r>
      <w:r>
        <w:rPr>
          <w:highlight w:val="none"/>
          <w:u w:val="single"/>
        </w:rPr>
        <w:t xml:space="preserve">     </w:t>
      </w:r>
      <w:r>
        <w:rPr>
          <w:highlight w:val="none"/>
        </w:rPr>
        <w:t>个自然日内交付，并完成安装、调试和验收。</w:t>
      </w:r>
    </w:p>
    <w:p>
      <w:pPr>
        <w:pStyle w:val="6"/>
        <w:widowControl w:val="0"/>
        <w:spacing w:after="120" w:afterLines="50" w:line="360" w:lineRule="exact"/>
        <w:ind w:left="862" w:hanging="862"/>
        <w:jc w:val="both"/>
        <w:rPr>
          <w:rFonts w:cs="Times New Roman"/>
          <w:highlight w:val="none"/>
        </w:rPr>
      </w:pPr>
      <w:r>
        <w:rPr>
          <w:rFonts w:cs="Times New Roman"/>
          <w:highlight w:val="none"/>
        </w:rPr>
        <w:t>支付货款</w:t>
      </w:r>
    </w:p>
    <w:p>
      <w:pPr>
        <w:pStyle w:val="7"/>
        <w:spacing w:after="120" w:afterLines="50" w:line="360" w:lineRule="exact"/>
        <w:ind w:left="839" w:hanging="839"/>
        <w:rPr>
          <w:highlight w:val="none"/>
        </w:rPr>
      </w:pPr>
      <w:r>
        <w:rPr>
          <w:highlight w:val="none"/>
        </w:rPr>
        <w:t>甲方于合同签订后先行支付标的物总金额的</w:t>
      </w:r>
      <w:r>
        <w:rPr>
          <w:highlight w:val="none"/>
          <w:u w:val="single"/>
        </w:rPr>
        <w:t xml:space="preserve">     </w:t>
      </w:r>
      <w:r>
        <w:rPr>
          <w:highlight w:val="none"/>
        </w:rPr>
        <w:t>%给乙方，乙方收到后，备货发运至交付地点，经甲方验收合格后，甲方填写《验收单》支付剩余金额给乙方。</w:t>
      </w:r>
    </w:p>
    <w:p>
      <w:pPr>
        <w:pStyle w:val="7"/>
        <w:widowControl w:val="0"/>
        <w:spacing w:before="120" w:beforeLines="50" w:after="120" w:afterLines="50" w:line="360" w:lineRule="exact"/>
        <w:ind w:left="1009" w:hanging="1009"/>
        <w:jc w:val="both"/>
        <w:rPr>
          <w:highlight w:val="none"/>
        </w:rPr>
      </w:pPr>
      <w:r>
        <w:rPr>
          <w:highlight w:val="none"/>
        </w:rPr>
        <w:t>乙方账户</w:t>
      </w:r>
    </w:p>
    <w:p>
      <w:pPr>
        <w:keepNext/>
        <w:keepLines/>
        <w:widowControl w:val="0"/>
        <w:spacing w:after="120" w:afterLines="50" w:line="360" w:lineRule="exact"/>
        <w:ind w:left="1050" w:leftChars="500"/>
        <w:jc w:val="both"/>
        <w:rPr>
          <w:highlight w:val="none"/>
        </w:rPr>
      </w:pPr>
      <w:r>
        <w:rPr>
          <w:highlight w:val="none"/>
        </w:rPr>
        <w:t>乙方开户名称：</w:t>
      </w:r>
    </w:p>
    <w:p>
      <w:pPr>
        <w:keepNext/>
        <w:keepLines/>
        <w:widowControl w:val="0"/>
        <w:spacing w:after="120" w:afterLines="50" w:line="360" w:lineRule="exact"/>
        <w:ind w:left="1050" w:leftChars="500"/>
        <w:jc w:val="both"/>
        <w:rPr>
          <w:highlight w:val="none"/>
        </w:rPr>
      </w:pPr>
      <w:r>
        <w:rPr>
          <w:highlight w:val="none"/>
        </w:rPr>
        <w:t>账号：</w:t>
      </w:r>
    </w:p>
    <w:p>
      <w:pPr>
        <w:keepNext/>
        <w:keepLines/>
        <w:widowControl w:val="0"/>
        <w:spacing w:after="120" w:afterLines="50" w:line="360" w:lineRule="exact"/>
        <w:ind w:left="1050" w:leftChars="500"/>
        <w:jc w:val="both"/>
        <w:rPr>
          <w:highlight w:val="none"/>
        </w:rPr>
      </w:pPr>
      <w:r>
        <w:rPr>
          <w:highlight w:val="none"/>
        </w:rPr>
        <w:t>开户行：</w:t>
      </w:r>
    </w:p>
    <w:p>
      <w:pPr>
        <w:pStyle w:val="7"/>
        <w:widowControl w:val="0"/>
        <w:spacing w:before="120" w:beforeLines="50" w:after="120" w:afterLines="50" w:line="360" w:lineRule="exact"/>
        <w:ind w:left="1009" w:hanging="1009"/>
        <w:jc w:val="both"/>
        <w:rPr>
          <w:highlight w:val="none"/>
        </w:rPr>
      </w:pPr>
      <w:r>
        <w:rPr>
          <w:highlight w:val="none"/>
        </w:rPr>
        <w:t>乙方按照甲方提供的最终用户名称开具合法增值税发票。</w:t>
      </w:r>
    </w:p>
    <w:p>
      <w:pPr>
        <w:pStyle w:val="6"/>
        <w:widowControl w:val="0"/>
        <w:spacing w:after="120" w:afterLines="50" w:line="360" w:lineRule="exact"/>
        <w:ind w:left="862" w:hanging="862"/>
        <w:jc w:val="both"/>
        <w:rPr>
          <w:rFonts w:cs="Times New Roman"/>
          <w:highlight w:val="none"/>
        </w:rPr>
      </w:pPr>
      <w:r>
        <w:rPr>
          <w:rFonts w:cs="Times New Roman"/>
          <w:highlight w:val="none"/>
        </w:rPr>
        <w:t>验收</w:t>
      </w:r>
    </w:p>
    <w:p>
      <w:pPr>
        <w:pStyle w:val="7"/>
        <w:spacing w:after="120" w:afterLines="50" w:line="360" w:lineRule="exact"/>
        <w:ind w:left="839" w:hanging="839"/>
        <w:rPr>
          <w:highlight w:val="none"/>
        </w:rPr>
      </w:pPr>
      <w:r>
        <w:rPr>
          <w:highlight w:val="none"/>
        </w:rPr>
        <w:t>乙方应当出具标的物的合格证书、出厂检测报告等相关质量证明文件（加盖乙方公章），乙方未能提供上述资料的，甲方有权拒收。</w:t>
      </w:r>
    </w:p>
    <w:p>
      <w:pPr>
        <w:pStyle w:val="7"/>
        <w:spacing w:after="120" w:afterLines="50" w:line="360" w:lineRule="exact"/>
        <w:ind w:left="839" w:hanging="839"/>
        <w:rPr>
          <w:highlight w:val="none"/>
        </w:rPr>
      </w:pPr>
      <w:r>
        <w:rPr>
          <w:highlight w:val="none"/>
        </w:rPr>
        <w:t>甲方应在乙方交付时，对标的物进行检查验收，甲方对标的物存有异议的，有权当场拒收。如甲方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w:t>
      </w:r>
    </w:p>
    <w:p>
      <w:pPr>
        <w:pStyle w:val="7"/>
        <w:spacing w:after="120" w:afterLines="50" w:line="360" w:lineRule="exact"/>
        <w:ind w:left="839" w:hanging="839"/>
        <w:rPr>
          <w:highlight w:val="none"/>
        </w:rPr>
      </w:pPr>
      <w:r>
        <w:rPr>
          <w:highlight w:val="none"/>
        </w:rPr>
        <w:t>甲方可以在收到标的物后15日内向乙方提出书面异议，经双方核实确属乙方责任的，甲方有权退货。甲方在标的物送达后15日内未提出任何异议，则视为其已验收通过。</w:t>
      </w:r>
    </w:p>
    <w:p>
      <w:pPr>
        <w:pStyle w:val="7"/>
        <w:spacing w:after="120" w:afterLines="50" w:line="360" w:lineRule="exact"/>
        <w:ind w:left="839" w:hanging="839"/>
        <w:rPr>
          <w:highlight w:val="none"/>
        </w:rPr>
      </w:pPr>
      <w:r>
        <w:rPr>
          <w:highlight w:val="none"/>
        </w:rPr>
        <w:t>到货验收合格后，乙方应将标的物、产品合格证等质量证明文件、使用说明及保修文件、其他配套物品和资料等全部交付给甲方，由乙方送货人员与甲方收货负责人共同签字确认，双方签字确认之日即为该批标的物交付之日。验收不合格，甲方拒收或退货的，乙方负责退换货并承担增加的费用和给甲方造成的损失。</w:t>
      </w:r>
    </w:p>
    <w:p>
      <w:pPr>
        <w:pStyle w:val="7"/>
        <w:spacing w:after="120" w:afterLines="50" w:line="360" w:lineRule="exact"/>
        <w:ind w:left="839" w:hanging="839"/>
        <w:rPr>
          <w:highlight w:val="none"/>
        </w:rPr>
      </w:pPr>
      <w:r>
        <w:rPr>
          <w:highlight w:val="none"/>
        </w:rPr>
        <w:t>标的物如需安装，由乙方负责在标的物交付之日起      日内完成安装、调试工作，安装、调试完成后，乙方应申请甲方验收，验收合格的，由甲方收货负责人签字确认；验收不合格的，乙方负责在      日内进行修复并重新提交验收，如验收仍不合格的，甲方有权退货。标的物安装、调试过程中，因乙方原因造成的任何人员伤亡或财产损失，责任由乙方承担。</w:t>
      </w:r>
    </w:p>
    <w:p>
      <w:pPr>
        <w:pStyle w:val="7"/>
        <w:spacing w:after="120" w:afterLines="50" w:line="360" w:lineRule="exact"/>
        <w:ind w:left="839" w:hanging="839"/>
        <w:rPr>
          <w:highlight w:val="none"/>
        </w:rPr>
      </w:pPr>
      <w:r>
        <w:rPr>
          <w:highlight w:val="none"/>
        </w:rPr>
        <w:t>本合同下的标的物及追加、更换、补充的标的物（含零件、部件、配件）的风险自标的物交付甲方且由甲方确认验收合格时转移。乙方应承担标的物在交付甲方且由甲方确认验收合格前的一切风险，除非货损是由于甲方明显不当的行为直接引起的，但该行为不包括验收行为。</w:t>
      </w:r>
    </w:p>
    <w:p>
      <w:pPr>
        <w:pStyle w:val="7"/>
        <w:spacing w:after="120" w:afterLines="50" w:line="360" w:lineRule="exact"/>
        <w:ind w:left="839" w:hanging="839"/>
        <w:rPr>
          <w:highlight w:val="none"/>
          <w:lang w:val="en-US"/>
        </w:rPr>
      </w:pPr>
      <w:r>
        <w:rPr>
          <w:highlight w:val="none"/>
        </w:rPr>
        <w:t>标的物验收合格后，双方应填写《验收单》，并由甲乙双方盖章后生效。甲方有权从标的物中封存样品并对每批标的物进行质量复检。标的物质量不符合技术质量标准的，甲方有权退货。甲乙双方对产品质量发生争议，由相关部门的质量监督检验机构进行检验。产品检验合格的，检验费由甲方支付，检验不合格，检验费由乙方承担。</w:t>
      </w:r>
    </w:p>
    <w:p>
      <w:pPr>
        <w:pStyle w:val="5"/>
        <w:widowControl w:val="0"/>
        <w:spacing w:before="120" w:after="120" w:afterLines="50" w:line="360" w:lineRule="exact"/>
        <w:rPr>
          <w:color w:val="auto"/>
          <w:highlight w:val="none"/>
        </w:rPr>
      </w:pPr>
      <w:r>
        <w:rPr>
          <w:color w:val="auto"/>
          <w:highlight w:val="none"/>
        </w:rPr>
        <w:t>其他约定</w:t>
      </w:r>
    </w:p>
    <w:p>
      <w:pPr>
        <w:pStyle w:val="6"/>
        <w:spacing w:after="120" w:afterLines="50" w:line="360" w:lineRule="exact"/>
        <w:rPr>
          <w:highlight w:val="none"/>
        </w:rPr>
      </w:pPr>
      <w:r>
        <w:rPr>
          <w:highlight w:val="none"/>
        </w:rPr>
        <w:t>本合同在合同甲乙双方签字并盖章【并且在甲方收到乙方提供的履约保证金（若有）】后生效。合同未尽事宜，由双方签订书面补充合同。</w:t>
      </w:r>
    </w:p>
    <w:p>
      <w:pPr>
        <w:pStyle w:val="6"/>
        <w:spacing w:after="120" w:afterLines="50" w:line="360" w:lineRule="exact"/>
        <w:rPr>
          <w:highlight w:val="none"/>
        </w:rPr>
      </w:pPr>
      <w:r>
        <w:rPr>
          <w:highlight w:val="none"/>
        </w:rPr>
        <w:t>本合同附件作为合同有效组成部分，与本合同具有同等法律效力。</w:t>
      </w:r>
    </w:p>
    <w:p>
      <w:pPr>
        <w:pStyle w:val="6"/>
        <w:spacing w:after="120" w:afterLines="50" w:line="360" w:lineRule="exact"/>
        <w:rPr>
          <w:highlight w:val="none"/>
        </w:rPr>
      </w:pPr>
      <w:r>
        <w:rPr>
          <w:highlight w:val="none"/>
        </w:rPr>
        <w:t>本合同一式    份，甲方    份，乙方    份，警采中心一份。</w:t>
      </w:r>
    </w:p>
    <w:p>
      <w:pPr>
        <w:pStyle w:val="5"/>
        <w:widowControl w:val="0"/>
        <w:spacing w:before="120" w:after="120" w:afterLines="50" w:line="360" w:lineRule="exact"/>
        <w:rPr>
          <w:color w:val="auto"/>
          <w:highlight w:val="none"/>
        </w:rPr>
      </w:pPr>
      <w:r>
        <w:rPr>
          <w:color w:val="auto"/>
          <w:highlight w:val="none"/>
        </w:rPr>
        <w:t>盖章和签名</w:t>
      </w:r>
    </w:p>
    <w:p>
      <w:pPr>
        <w:keepNext/>
        <w:keepLines/>
        <w:widowControl w:val="0"/>
        <w:snapToGrid w:val="0"/>
        <w:spacing w:line="360" w:lineRule="exact"/>
        <w:jc w:val="both"/>
        <w:rPr>
          <w:kern w:val="2"/>
          <w:szCs w:val="21"/>
          <w:highlight w:val="none"/>
          <w:u w:val="single"/>
          <w:lang w:val="en-US"/>
        </w:rPr>
      </w:pPr>
      <w:r>
        <w:rPr>
          <w:kern w:val="2"/>
          <w:szCs w:val="21"/>
          <w:highlight w:val="none"/>
          <w:lang w:val="en-US"/>
        </w:rPr>
        <w:t>甲方：</w:t>
      </w:r>
      <w:r>
        <w:rPr>
          <w:kern w:val="2"/>
          <w:szCs w:val="21"/>
          <w:highlight w:val="none"/>
          <w:u w:val="single"/>
          <w:lang w:val="en-US"/>
        </w:rPr>
        <w:t xml:space="preserve">   （采购人名称）    </w:t>
      </w:r>
      <w:r>
        <w:rPr>
          <w:kern w:val="2"/>
          <w:szCs w:val="21"/>
          <w:highlight w:val="none"/>
          <w:lang w:val="en-US"/>
        </w:rPr>
        <w:t xml:space="preserve">                  乙方：</w:t>
      </w:r>
      <w:r>
        <w:rPr>
          <w:kern w:val="2"/>
          <w:szCs w:val="21"/>
          <w:highlight w:val="none"/>
          <w:u w:val="single"/>
          <w:lang w:val="en-US"/>
        </w:rPr>
        <w:t xml:space="preserve">   （供应商名称）    </w:t>
      </w:r>
    </w:p>
    <w:p>
      <w:pPr>
        <w:keepNext/>
        <w:keepLines/>
        <w:widowControl w:val="0"/>
        <w:spacing w:line="360" w:lineRule="exact"/>
        <w:ind w:firstLine="1260" w:firstLineChars="600"/>
        <w:jc w:val="both"/>
        <w:rPr>
          <w:kern w:val="2"/>
          <w:szCs w:val="21"/>
          <w:highlight w:val="none"/>
          <w:lang w:val="en-US"/>
        </w:rPr>
      </w:pPr>
      <w:r>
        <w:rPr>
          <w:kern w:val="2"/>
          <w:szCs w:val="21"/>
          <w:highlight w:val="none"/>
          <w:lang w:val="en-US"/>
        </w:rPr>
        <w:t>（公章）                                     （公章）</w:t>
      </w:r>
    </w:p>
    <w:p>
      <w:pPr>
        <w:keepNext/>
        <w:keepLines/>
        <w:widowControl w:val="0"/>
        <w:spacing w:before="120" w:beforeLines="50" w:after="120" w:afterLines="50" w:line="360" w:lineRule="exact"/>
        <w:jc w:val="both"/>
        <w:rPr>
          <w:kern w:val="2"/>
          <w:szCs w:val="21"/>
          <w:highlight w:val="none"/>
          <w:lang w:val="en-US"/>
        </w:rPr>
      </w:pPr>
      <w:r>
        <w:rPr>
          <w:kern w:val="2"/>
          <w:szCs w:val="21"/>
          <w:highlight w:val="none"/>
          <w:lang w:val="en-US"/>
        </w:rPr>
        <w:t>签名：                                       签名：</w:t>
      </w:r>
    </w:p>
    <w:p>
      <w:pPr>
        <w:keepNext/>
        <w:keepLines/>
        <w:widowControl w:val="0"/>
        <w:snapToGrid w:val="0"/>
        <w:spacing w:line="360" w:lineRule="exact"/>
        <w:jc w:val="both"/>
        <w:rPr>
          <w:kern w:val="2"/>
          <w:szCs w:val="21"/>
          <w:highlight w:val="none"/>
          <w:lang w:val="en-US"/>
        </w:rPr>
      </w:pPr>
    </w:p>
    <w:p>
      <w:pPr>
        <w:keepNext/>
        <w:keepLines/>
        <w:widowControl w:val="0"/>
        <w:snapToGrid w:val="0"/>
        <w:spacing w:line="360" w:lineRule="exact"/>
        <w:jc w:val="both"/>
        <w:rPr>
          <w:kern w:val="2"/>
          <w:szCs w:val="21"/>
          <w:highlight w:val="none"/>
          <w:lang w:val="en-US"/>
        </w:rPr>
      </w:pPr>
      <w:r>
        <w:rPr>
          <w:kern w:val="2"/>
          <w:szCs w:val="21"/>
          <w:highlight w:val="none"/>
          <w:lang w:val="en-US"/>
        </w:rPr>
        <w:t>日期：   年   月   日                        日期：   年   月   日</w:t>
      </w:r>
    </w:p>
    <w:p>
      <w:pPr>
        <w:keepNext/>
        <w:keepLines/>
        <w:widowControl w:val="0"/>
        <w:snapToGrid w:val="0"/>
        <w:spacing w:line="360" w:lineRule="exact"/>
        <w:jc w:val="both"/>
        <w:rPr>
          <w:kern w:val="2"/>
          <w:szCs w:val="21"/>
          <w:highlight w:val="none"/>
          <w:lang w:val="en-US"/>
        </w:rPr>
      </w:pPr>
    </w:p>
    <w:p>
      <w:pPr>
        <w:widowControl w:val="0"/>
        <w:snapToGrid w:val="0"/>
        <w:spacing w:line="360" w:lineRule="exact"/>
        <w:rPr>
          <w:rFonts w:eastAsia="黑体"/>
          <w:sz w:val="28"/>
          <w:szCs w:val="28"/>
          <w:highlight w:val="none"/>
          <w:lang w:val="en-US"/>
        </w:rPr>
      </w:pPr>
    </w:p>
    <w:p>
      <w:pPr>
        <w:widowControl w:val="0"/>
        <w:snapToGrid w:val="0"/>
        <w:spacing w:line="360" w:lineRule="exact"/>
        <w:rPr>
          <w:rFonts w:eastAsia="黑体"/>
          <w:sz w:val="28"/>
          <w:szCs w:val="28"/>
          <w:highlight w:val="none"/>
        </w:rPr>
      </w:pPr>
      <w:r>
        <w:rPr>
          <w:rFonts w:eastAsia="黑体"/>
          <w:sz w:val="28"/>
          <w:szCs w:val="28"/>
          <w:highlight w:val="none"/>
          <w:lang w:val="en-US"/>
        </w:rPr>
        <w:br w:type="page"/>
      </w:r>
      <w:r>
        <w:rPr>
          <w:rFonts w:eastAsia="黑体"/>
          <w:sz w:val="28"/>
          <w:szCs w:val="28"/>
          <w:highlight w:val="none"/>
        </w:rPr>
        <w:t>附件</w:t>
      </w:r>
    </w:p>
    <w:p>
      <w:pPr>
        <w:widowControl w:val="0"/>
        <w:spacing w:line="360" w:lineRule="exact"/>
        <w:rPr>
          <w:b/>
          <w:szCs w:val="21"/>
          <w:highlight w:val="none"/>
        </w:rPr>
      </w:pPr>
    </w:p>
    <w:p>
      <w:pPr>
        <w:widowControl w:val="0"/>
        <w:spacing w:before="100" w:beforeAutospacing="1" w:after="100" w:afterAutospacing="1"/>
        <w:contextualSpacing/>
        <w:jc w:val="center"/>
        <w:rPr>
          <w:rFonts w:eastAsia="方正小标宋简体"/>
          <w:bCs/>
          <w:kern w:val="0"/>
          <w:sz w:val="44"/>
          <w:szCs w:val="44"/>
          <w:highlight w:val="none"/>
        </w:rPr>
      </w:pPr>
      <w:r>
        <w:rPr>
          <w:rFonts w:eastAsia="方正小标宋简体"/>
          <w:bCs/>
          <w:kern w:val="0"/>
          <w:sz w:val="44"/>
          <w:szCs w:val="44"/>
          <w:highlight w:val="none"/>
        </w:rPr>
        <w:t>验收单</w:t>
      </w:r>
    </w:p>
    <w:p>
      <w:pPr>
        <w:widowControl w:val="0"/>
        <w:spacing w:before="100" w:beforeAutospacing="1" w:after="100" w:afterAutospacing="1" w:line="360" w:lineRule="exact"/>
        <w:contextualSpacing/>
        <w:rPr>
          <w:bCs/>
          <w:kern w:val="0"/>
          <w:sz w:val="32"/>
          <w:szCs w:val="44"/>
          <w:highlight w:val="none"/>
        </w:rPr>
      </w:pPr>
    </w:p>
    <w:p>
      <w:pPr>
        <w:widowControl w:val="0"/>
        <w:spacing w:line="360" w:lineRule="exact"/>
        <w:contextualSpacing/>
        <w:rPr>
          <w:szCs w:val="21"/>
          <w:highlight w:val="none"/>
        </w:rPr>
      </w:pPr>
      <w:r>
        <w:rPr>
          <w:szCs w:val="21"/>
          <w:highlight w:val="none"/>
        </w:rPr>
        <w:t>甲方：                                                 合同编号：</w:t>
      </w:r>
    </w:p>
    <w:p>
      <w:pPr>
        <w:widowControl w:val="0"/>
        <w:spacing w:line="360" w:lineRule="exact"/>
        <w:contextualSpacing/>
        <w:rPr>
          <w:szCs w:val="21"/>
          <w:highlight w:val="none"/>
        </w:rPr>
      </w:pPr>
      <w:r>
        <w:rPr>
          <w:szCs w:val="21"/>
          <w:highlight w:val="none"/>
        </w:rPr>
        <w:t>乙方：                                                 验收单号：</w:t>
      </w:r>
    </w:p>
    <w:p>
      <w:pPr>
        <w:widowControl w:val="0"/>
        <w:spacing w:line="360" w:lineRule="exact"/>
        <w:contextualSpacing/>
        <w:rPr>
          <w:szCs w:val="21"/>
          <w:highlight w:val="none"/>
        </w:rPr>
      </w:pPr>
      <w:r>
        <w:rPr>
          <w:szCs w:val="21"/>
          <w:highlight w:val="none"/>
        </w:rPr>
        <w:t>集采机构：公安部警用装备采购中心</w:t>
      </w:r>
    </w:p>
    <w:p>
      <w:pPr>
        <w:widowControl w:val="0"/>
        <w:spacing w:line="360" w:lineRule="exact"/>
        <w:contextualSpacing/>
        <w:rPr>
          <w:szCs w:val="21"/>
          <w:highlight w:val="none"/>
        </w:rPr>
      </w:pPr>
    </w:p>
    <w:p>
      <w:pPr>
        <w:widowControl w:val="0"/>
        <w:spacing w:line="360" w:lineRule="exact"/>
        <w:contextualSpacing/>
        <w:rPr>
          <w:szCs w:val="21"/>
          <w:highlight w:val="none"/>
        </w:rPr>
      </w:pPr>
      <w:r>
        <w:rPr>
          <w:szCs w:val="21"/>
          <w:highlight w:val="none"/>
        </w:rPr>
        <w:t>验收时间：   年   月   日</w:t>
      </w:r>
    </w:p>
    <w:tbl>
      <w:tblPr>
        <w:tblStyle w:val="41"/>
        <w:tblW w:w="8676" w:type="dxa"/>
        <w:jc w:val="center"/>
        <w:tblLayout w:type="fixed"/>
        <w:tblCellMar>
          <w:top w:w="0" w:type="dxa"/>
          <w:left w:w="108" w:type="dxa"/>
          <w:bottom w:w="0" w:type="dxa"/>
          <w:right w:w="108" w:type="dxa"/>
        </w:tblCellMar>
      </w:tblPr>
      <w:tblGrid>
        <w:gridCol w:w="1276"/>
        <w:gridCol w:w="1730"/>
        <w:gridCol w:w="1559"/>
        <w:gridCol w:w="1134"/>
        <w:gridCol w:w="1134"/>
        <w:gridCol w:w="1843"/>
      </w:tblGrid>
      <w:tr>
        <w:tblPrEx>
          <w:tblCellMar>
            <w:top w:w="0" w:type="dxa"/>
            <w:left w:w="108" w:type="dxa"/>
            <w:bottom w:w="0" w:type="dxa"/>
            <w:right w:w="108" w:type="dxa"/>
          </w:tblCellMar>
        </w:tblPrEx>
        <w:trPr>
          <w:trHeight w:val="427"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标的物名称</w:t>
            </w:r>
          </w:p>
        </w:tc>
        <w:tc>
          <w:tcPr>
            <w:tcW w:w="1730"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品牌型号</w:t>
            </w:r>
          </w:p>
        </w:tc>
        <w:tc>
          <w:tcPr>
            <w:tcW w:w="1559"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单价（元）</w:t>
            </w:r>
          </w:p>
        </w:tc>
        <w:tc>
          <w:tcPr>
            <w:tcW w:w="1134"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数量</w:t>
            </w:r>
          </w:p>
        </w:tc>
        <w:tc>
          <w:tcPr>
            <w:tcW w:w="1134"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单位</w:t>
            </w:r>
          </w:p>
        </w:tc>
        <w:tc>
          <w:tcPr>
            <w:tcW w:w="1843"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总价（元）</w:t>
            </w:r>
          </w:p>
        </w:tc>
      </w:tr>
      <w:tr>
        <w:tblPrEx>
          <w:tblCellMar>
            <w:top w:w="0" w:type="dxa"/>
            <w:left w:w="108" w:type="dxa"/>
            <w:bottom w:w="0" w:type="dxa"/>
            <w:right w:w="108" w:type="dxa"/>
          </w:tblCellMar>
        </w:tblPrEx>
        <w:trPr>
          <w:trHeight w:val="28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p>
        </w:tc>
        <w:tc>
          <w:tcPr>
            <w:tcW w:w="1730"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559"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8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p>
        </w:tc>
        <w:tc>
          <w:tcPr>
            <w:tcW w:w="1730"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559"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479"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合计金额</w:t>
            </w:r>
          </w:p>
        </w:tc>
        <w:tc>
          <w:tcPr>
            <w:tcW w:w="5557" w:type="dxa"/>
            <w:gridSpan w:val="4"/>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大写金额：</w:t>
            </w: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87"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技术规格</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53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验收情况</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 1、乙方提供标的物的规格、型号、数量等是否与甲方要求一致；</w:t>
            </w:r>
          </w:p>
          <w:p>
            <w:pPr>
              <w:widowControl w:val="0"/>
              <w:rPr>
                <w:color w:val="000000"/>
                <w:kern w:val="0"/>
                <w:szCs w:val="21"/>
                <w:highlight w:val="none"/>
              </w:rPr>
            </w:pPr>
            <w:r>
              <w:rPr>
                <w:color w:val="000000"/>
                <w:kern w:val="0"/>
                <w:szCs w:val="21"/>
                <w:highlight w:val="none"/>
              </w:rPr>
              <w:t>□ 2、乙方是否按照合同要求的时间、地点交货；</w:t>
            </w:r>
          </w:p>
          <w:p>
            <w:pPr>
              <w:widowControl w:val="0"/>
              <w:rPr>
                <w:color w:val="000000"/>
                <w:kern w:val="0"/>
                <w:szCs w:val="21"/>
                <w:highlight w:val="none"/>
              </w:rPr>
            </w:pPr>
            <w:r>
              <w:rPr>
                <w:color w:val="000000"/>
                <w:kern w:val="0"/>
                <w:szCs w:val="21"/>
                <w:highlight w:val="none"/>
              </w:rPr>
              <w:t>□ 3、乙方提供的标的物是否密封完好，并现场开箱拆封；</w:t>
            </w:r>
          </w:p>
          <w:p>
            <w:pPr>
              <w:widowControl w:val="0"/>
              <w:rPr>
                <w:color w:val="000000"/>
                <w:kern w:val="0"/>
                <w:szCs w:val="21"/>
                <w:highlight w:val="none"/>
              </w:rPr>
            </w:pPr>
            <w:r>
              <w:rPr>
                <w:color w:val="000000"/>
                <w:kern w:val="0"/>
                <w:szCs w:val="21"/>
                <w:highlight w:val="none"/>
              </w:rPr>
              <w:t>□ 4、乙方工作人员是否配合验收，并根据需要对装备进行调试；</w:t>
            </w:r>
          </w:p>
          <w:p>
            <w:pPr>
              <w:widowControl w:val="0"/>
              <w:rPr>
                <w:color w:val="000000"/>
                <w:kern w:val="0"/>
                <w:szCs w:val="21"/>
                <w:highlight w:val="none"/>
              </w:rPr>
            </w:pPr>
            <w:r>
              <w:rPr>
                <w:color w:val="000000"/>
                <w:kern w:val="0"/>
                <w:szCs w:val="21"/>
                <w:highlight w:val="none"/>
              </w:rPr>
              <w:t>□ 5、标的物是否外观完好且质量符合要求。</w:t>
            </w:r>
          </w:p>
          <w:p>
            <w:pPr>
              <w:widowControl w:val="0"/>
              <w:rPr>
                <w:color w:val="000000"/>
                <w:kern w:val="0"/>
                <w:szCs w:val="21"/>
                <w:highlight w:val="none"/>
              </w:rPr>
            </w:pPr>
            <w:r>
              <w:rPr>
                <w:color w:val="000000"/>
                <w:kern w:val="0"/>
                <w:szCs w:val="21"/>
                <w:highlight w:val="none"/>
              </w:rPr>
              <w:t>是请在□内打√，否请在□内打×。</w:t>
            </w:r>
          </w:p>
        </w:tc>
      </w:tr>
      <w:tr>
        <w:tblPrEx>
          <w:tblCellMar>
            <w:top w:w="0" w:type="dxa"/>
            <w:left w:w="108" w:type="dxa"/>
            <w:bottom w:w="0" w:type="dxa"/>
            <w:right w:w="108" w:type="dxa"/>
          </w:tblCellMar>
        </w:tblPrEx>
        <w:trPr>
          <w:trHeight w:val="264"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其它意见</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488"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验收结果</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是否验收合格通过：</w:t>
            </w:r>
            <w:r>
              <w:rPr>
                <w:color w:val="000000"/>
                <w:kern w:val="0"/>
                <w:szCs w:val="21"/>
                <w:highlight w:val="none"/>
                <w:u w:val="single"/>
              </w:rPr>
              <w:t xml:space="preserve">      </w:t>
            </w:r>
            <w:r>
              <w:rPr>
                <w:color w:val="000000"/>
                <w:kern w:val="0"/>
                <w:szCs w:val="21"/>
                <w:highlight w:val="none"/>
              </w:rPr>
              <w:t>；验收人：</w:t>
            </w:r>
            <w:r>
              <w:rPr>
                <w:color w:val="000000"/>
                <w:kern w:val="0"/>
                <w:szCs w:val="21"/>
                <w:highlight w:val="none"/>
                <w:u w:val="single"/>
              </w:rPr>
              <w:t xml:space="preserve">      </w:t>
            </w:r>
            <w:r>
              <w:rPr>
                <w:color w:val="000000"/>
                <w:kern w:val="0"/>
                <w:szCs w:val="21"/>
                <w:highlight w:val="none"/>
              </w:rPr>
              <w:t>（签名）</w:t>
            </w:r>
          </w:p>
        </w:tc>
      </w:tr>
      <w:tr>
        <w:tblPrEx>
          <w:tblCellMar>
            <w:top w:w="0" w:type="dxa"/>
            <w:left w:w="108" w:type="dxa"/>
            <w:bottom w:w="0" w:type="dxa"/>
            <w:right w:w="108" w:type="dxa"/>
          </w:tblCellMar>
        </w:tblPrEx>
        <w:trPr>
          <w:trHeight w:val="9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备注</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bl>
    <w:p>
      <w:pPr>
        <w:widowControl w:val="0"/>
        <w:spacing w:line="360" w:lineRule="exact"/>
        <w:contextualSpacing/>
        <w:rPr>
          <w:szCs w:val="21"/>
          <w:highlight w:val="none"/>
        </w:rPr>
      </w:pPr>
    </w:p>
    <w:p>
      <w:pPr>
        <w:widowControl w:val="0"/>
        <w:spacing w:line="360" w:lineRule="exact"/>
        <w:contextualSpacing/>
        <w:rPr>
          <w:szCs w:val="21"/>
          <w:highlight w:val="none"/>
        </w:rPr>
      </w:pPr>
    </w:p>
    <w:p>
      <w:pPr>
        <w:widowControl w:val="0"/>
        <w:spacing w:line="360" w:lineRule="exact"/>
        <w:contextualSpacing/>
        <w:rPr>
          <w:szCs w:val="21"/>
          <w:highlight w:val="none"/>
        </w:rPr>
      </w:pPr>
      <w:r>
        <w:rPr>
          <w:szCs w:val="21"/>
          <w:highlight w:val="none"/>
        </w:rPr>
        <w:t>甲方（盖章）：                               乙方（盖章）：</w:t>
      </w:r>
    </w:p>
    <w:p>
      <w:pPr>
        <w:widowControl w:val="0"/>
        <w:spacing w:line="360" w:lineRule="exact"/>
        <w:contextualSpacing/>
        <w:rPr>
          <w:szCs w:val="21"/>
          <w:highlight w:val="none"/>
        </w:rPr>
      </w:pPr>
      <w:r>
        <w:rPr>
          <w:szCs w:val="21"/>
          <w:highlight w:val="none"/>
        </w:rPr>
        <w:t>单位地址：                                  单位地址：</w:t>
      </w:r>
    </w:p>
    <w:p>
      <w:pPr>
        <w:widowControl w:val="0"/>
        <w:spacing w:line="360" w:lineRule="exact"/>
        <w:contextualSpacing/>
        <w:rPr>
          <w:szCs w:val="21"/>
          <w:highlight w:val="none"/>
        </w:rPr>
      </w:pPr>
      <w:r>
        <w:rPr>
          <w:szCs w:val="21"/>
          <w:highlight w:val="none"/>
        </w:rPr>
        <w:t>联系人：                                    联系人：</w:t>
      </w:r>
    </w:p>
    <w:p>
      <w:pPr>
        <w:widowControl w:val="0"/>
        <w:spacing w:line="360" w:lineRule="exact"/>
        <w:contextualSpacing/>
        <w:rPr>
          <w:szCs w:val="21"/>
          <w:highlight w:val="none"/>
        </w:rPr>
      </w:pPr>
      <w:r>
        <w:rPr>
          <w:szCs w:val="21"/>
          <w:highlight w:val="none"/>
        </w:rPr>
        <w:t>联系电话：                                  联系电话：</w:t>
      </w:r>
    </w:p>
    <w:p>
      <w:pPr>
        <w:widowControl w:val="0"/>
        <w:spacing w:line="360" w:lineRule="exact"/>
        <w:contextualSpacing/>
        <w:rPr>
          <w:szCs w:val="21"/>
          <w:highlight w:val="none"/>
        </w:rPr>
      </w:pPr>
      <w:r>
        <w:rPr>
          <w:szCs w:val="21"/>
          <w:highlight w:val="none"/>
        </w:rPr>
        <w:t xml:space="preserve">日期：                                      日期： </w:t>
      </w:r>
    </w:p>
    <w:p>
      <w:pPr>
        <w:widowControl w:val="0"/>
        <w:rPr>
          <w:szCs w:val="21"/>
          <w:highlight w:val="none"/>
        </w:rPr>
      </w:pPr>
      <w:r>
        <w:rPr>
          <w:szCs w:val="21"/>
          <w:highlight w:val="none"/>
        </w:rPr>
        <w:br w:type="page"/>
      </w:r>
    </w:p>
    <w:p>
      <w:pPr>
        <w:pStyle w:val="4"/>
        <w:suppressLineNumbers/>
        <w:suppressAutoHyphens/>
        <w:spacing w:before="120"/>
        <w:ind w:left="318" w:hanging="318"/>
        <w:jc w:val="both"/>
        <w:rPr>
          <w:highlight w:val="none"/>
        </w:rPr>
      </w:pPr>
      <w:bookmarkStart w:id="180" w:name="_Toc142051481"/>
      <w:r>
        <w:rPr>
          <w:highlight w:val="none"/>
        </w:rPr>
        <w:t>*</w:t>
      </w:r>
      <w:bookmarkStart w:id="181" w:name="_Toc69308062"/>
      <w:bookmarkStart w:id="182" w:name="_Toc27489997"/>
      <w:r>
        <w:rPr>
          <w:highlight w:val="none"/>
        </w:rPr>
        <w:t>承诺函</w:t>
      </w:r>
      <w:bookmarkEnd w:id="180"/>
      <w:bookmarkEnd w:id="181"/>
      <w:bookmarkEnd w:id="182"/>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承诺函</w:t>
      </w:r>
    </w:p>
    <w:p>
      <w:pPr>
        <w:keepNext/>
        <w:keepLines/>
        <w:widowControl w:val="0"/>
        <w:suppressLineNumbers/>
        <w:tabs>
          <w:tab w:val="left" w:pos="0"/>
        </w:tabs>
        <w:suppressAutoHyphens/>
        <w:spacing w:line="360" w:lineRule="auto"/>
        <w:jc w:val="both"/>
        <w:rPr>
          <w:szCs w:val="21"/>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我公司承诺在参加贵中心组织的</w:t>
      </w:r>
      <w:r>
        <w:rPr>
          <w:szCs w:val="21"/>
          <w:highlight w:val="none"/>
          <w:u w:val="single"/>
        </w:rPr>
        <w:t xml:space="preserve">      </w:t>
      </w:r>
      <w:r>
        <w:rPr>
          <w:szCs w:val="21"/>
          <w:highlight w:val="none"/>
        </w:rPr>
        <w:t>项目（项目编号：</w:t>
      </w:r>
      <w:r>
        <w:rPr>
          <w:szCs w:val="21"/>
          <w:highlight w:val="none"/>
          <w:u w:val="single"/>
        </w:rPr>
        <w:t xml:space="preserve">      </w:t>
      </w:r>
      <w:r>
        <w:rPr>
          <w:szCs w:val="21"/>
          <w:highlight w:val="none"/>
        </w:rPr>
        <w:t>）的</w:t>
      </w:r>
      <w:r>
        <w:rPr>
          <w:szCs w:val="21"/>
          <w:highlight w:val="none"/>
          <w:lang w:val="en-US"/>
        </w:rPr>
        <w:t>公开</w:t>
      </w:r>
      <w:r>
        <w:rPr>
          <w:rFonts w:hint="eastAsia"/>
          <w:szCs w:val="21"/>
          <w:highlight w:val="none"/>
          <w:lang w:val="en-US"/>
        </w:rPr>
        <w:t>征集</w:t>
      </w:r>
      <w:r>
        <w:rPr>
          <w:szCs w:val="21"/>
          <w:highlight w:val="none"/>
        </w:rPr>
        <w:t>中：</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szCs w:val="21"/>
          <w:highlight w:val="none"/>
        </w:rPr>
        <w:t>一、遵守且符合《中华人民共和国政府采购法》第二十二、七十七条和《中华人民共和国政府采购法实施条例》第十七条之规定。</w:t>
      </w:r>
    </w:p>
    <w:p>
      <w:pPr>
        <w:keepNext/>
        <w:keepLines/>
        <w:widowControl w:val="0"/>
        <w:suppressLineNumbers/>
        <w:suppressAutoHyphens/>
        <w:ind w:firstLine="420" w:firstLineChars="200"/>
        <w:jc w:val="both"/>
        <w:rPr>
          <w:szCs w:val="21"/>
          <w:highlight w:val="none"/>
          <w:lang w:val="en-US"/>
        </w:rPr>
      </w:pPr>
      <w:r>
        <w:rPr>
          <w:szCs w:val="21"/>
          <w:highlight w:val="none"/>
          <w:lang w:val="en-US"/>
        </w:rPr>
        <w:t>二、</w:t>
      </w:r>
      <w:r>
        <w:rPr>
          <w:rFonts w:hint="eastAsia"/>
          <w:szCs w:val="21"/>
          <w:highlight w:val="none"/>
          <w:lang w:val="en-US"/>
        </w:rPr>
        <w:t>响应产品符合国家法律法规和现行标准、规范、国家强制性规定及环保等要求，并且是市场上已有销售的规格型号，不是专供政府采购的产品。</w:t>
      </w:r>
      <w:r>
        <w:rPr>
          <w:rFonts w:hint="eastAsia"/>
          <w:highlight w:val="none"/>
        </w:rPr>
        <w:t>如国家或政府有关部门对本项目征集文件相关产品的生产销售资格提出许可规定或其他要求，无论在征集或执行期，均按相关规定要求执行。</w:t>
      </w:r>
    </w:p>
    <w:p>
      <w:pPr>
        <w:keepNext/>
        <w:keepLines/>
        <w:widowControl w:val="0"/>
        <w:suppressLineNumbers/>
        <w:suppressAutoHyphens/>
        <w:ind w:firstLine="420" w:firstLineChars="200"/>
        <w:jc w:val="both"/>
        <w:rPr>
          <w:highlight w:val="none"/>
          <w:lang w:val="en-US"/>
        </w:rPr>
      </w:pPr>
      <w:r>
        <w:rPr>
          <w:rFonts w:hint="eastAsia"/>
          <w:highlight w:val="none"/>
          <w:lang w:val="en-US"/>
        </w:rPr>
        <w:t>三</w:t>
      </w:r>
      <w:r>
        <w:rPr>
          <w:highlight w:val="none"/>
          <w:lang w:val="en-US"/>
        </w:rPr>
        <w:t>、接受本项目</w:t>
      </w:r>
      <w:r>
        <w:rPr>
          <w:rFonts w:hint="eastAsia"/>
          <w:highlight w:val="none"/>
          <w:lang w:val="en-US"/>
        </w:rPr>
        <w:t>征集文件</w:t>
      </w:r>
      <w:r>
        <w:rPr>
          <w:highlight w:val="none"/>
          <w:lang w:val="en-US"/>
        </w:rPr>
        <w:t>及《框架协议》的全部条款，并履行协议责任和义务。</w:t>
      </w:r>
    </w:p>
    <w:p>
      <w:pPr>
        <w:keepNext/>
        <w:keepLines/>
        <w:widowControl w:val="0"/>
        <w:suppressLineNumbers/>
        <w:tabs>
          <w:tab w:val="left" w:pos="0"/>
        </w:tabs>
        <w:suppressAutoHyphens/>
        <w:spacing w:line="320" w:lineRule="exact"/>
        <w:ind w:firstLine="420" w:firstLineChars="200"/>
        <w:jc w:val="both"/>
        <w:rPr>
          <w:szCs w:val="21"/>
          <w:highlight w:val="none"/>
        </w:rPr>
      </w:pPr>
      <w:r>
        <w:rPr>
          <w:rFonts w:hint="eastAsia"/>
          <w:szCs w:val="21"/>
          <w:highlight w:val="none"/>
          <w:lang w:val="en-US"/>
        </w:rPr>
        <w:t>四</w:t>
      </w:r>
      <w:r>
        <w:rPr>
          <w:szCs w:val="21"/>
          <w:highlight w:val="none"/>
          <w:lang w:val="en-US"/>
        </w:rPr>
        <w:t>、在入围后，如有以下真实有效的证明文件，将</w:t>
      </w:r>
      <w:r>
        <w:rPr>
          <w:szCs w:val="21"/>
          <w:highlight w:val="none"/>
        </w:rPr>
        <w:t>按公安部警用装备采购中心要求</w:t>
      </w:r>
      <w:r>
        <w:rPr>
          <w:szCs w:val="21"/>
          <w:highlight w:val="none"/>
          <w:lang w:val="en-US"/>
        </w:rPr>
        <w:t>提供：</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（1）由</w:t>
      </w:r>
      <w:r>
        <w:rPr>
          <w:szCs w:val="21"/>
          <w:highlight w:val="none"/>
        </w:rPr>
        <w:t>高新技术企业认定管理机构出具的</w:t>
      </w:r>
      <w:r>
        <w:rPr>
          <w:bCs/>
          <w:szCs w:val="21"/>
          <w:highlight w:val="none"/>
        </w:rPr>
        <w:t>高新技术企业证书；</w:t>
      </w:r>
    </w:p>
    <w:p>
      <w:pPr>
        <w:keepNext/>
        <w:keepLines/>
        <w:widowControl w:val="0"/>
        <w:suppressLineNumbers/>
        <w:tabs>
          <w:tab w:val="left" w:pos="0"/>
        </w:tabs>
        <w:suppressAutoHyphens/>
        <w:spacing w:line="320" w:lineRule="exact"/>
        <w:ind w:firstLine="420" w:firstLineChars="200"/>
        <w:jc w:val="both"/>
        <w:rPr>
          <w:bCs/>
          <w:szCs w:val="21"/>
          <w:highlight w:val="none"/>
          <w:lang w:val="en-US"/>
        </w:rPr>
      </w:pPr>
      <w:r>
        <w:rPr>
          <w:szCs w:val="21"/>
          <w:highlight w:val="none"/>
        </w:rPr>
        <w:t>（2）</w:t>
      </w:r>
      <w:r>
        <w:rPr>
          <w:szCs w:val="21"/>
          <w:highlight w:val="none"/>
          <w:lang w:val="en-US"/>
        </w:rPr>
        <w:t>已按照《信用评级业管理暂行办法》完成备案的信用评级机构出具的A级及以上信用评级报告（扫描件加盖供应商公章）；</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（3）由</w:t>
      </w:r>
      <w:r>
        <w:rPr>
          <w:highlight w:val="none"/>
        </w:rPr>
        <w:t>国家认证认可监督管理委员会资质审批的认证机构出具的</w:t>
      </w:r>
      <w:r>
        <w:rPr>
          <w:bCs/>
          <w:szCs w:val="21"/>
          <w:highlight w:val="none"/>
        </w:rPr>
        <w:t>《商品售后服务评价体系（GB/T27922-2011）》证明文件；</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（4）由</w:t>
      </w:r>
      <w:r>
        <w:rPr>
          <w:highlight w:val="none"/>
        </w:rPr>
        <w:t>国家认证认可监督管理委员会资质审批的认证机构出具的</w:t>
      </w:r>
      <w:r>
        <w:rPr>
          <w:bCs/>
          <w:szCs w:val="21"/>
          <w:highlight w:val="none"/>
        </w:rPr>
        <w:t>《环境管理体系（ISO14001或GB/T24001）》和《职业健康与安全管理体系（</w:t>
      </w:r>
      <w:r>
        <w:rPr>
          <w:rFonts w:hint="eastAsia"/>
          <w:bCs/>
          <w:szCs w:val="21"/>
          <w:highlight w:val="none"/>
        </w:rPr>
        <w:t>OHSAS18001或ISO45001</w:t>
      </w:r>
      <w:r>
        <w:rPr>
          <w:bCs/>
          <w:szCs w:val="21"/>
          <w:highlight w:val="none"/>
        </w:rPr>
        <w:t>或GB/T28001）》认证证书</w:t>
      </w:r>
      <w:r>
        <w:rPr>
          <w:bCs/>
          <w:szCs w:val="21"/>
          <w:highlight w:val="none"/>
          <w:lang w:val="en-US"/>
        </w:rPr>
        <w:t>；</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highlight w:val="none"/>
        </w:rPr>
        <w:t>（5）其他</w:t>
      </w:r>
      <w:r>
        <w:rPr>
          <w:szCs w:val="21"/>
          <w:highlight w:val="none"/>
        </w:rPr>
        <w:t>公安部警用装备采购中心要求</w:t>
      </w:r>
      <w:r>
        <w:rPr>
          <w:szCs w:val="21"/>
          <w:highlight w:val="none"/>
          <w:lang w:val="en-US"/>
        </w:rPr>
        <w:t>提供的证明文件。</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五</w:t>
      </w:r>
      <w:r>
        <w:rPr>
          <w:szCs w:val="21"/>
          <w:highlight w:val="none"/>
          <w:lang w:val="en-US"/>
        </w:rPr>
        <w:t>、入围后，协议</w:t>
      </w:r>
      <w:r>
        <w:rPr>
          <w:rFonts w:hint="eastAsia"/>
          <w:szCs w:val="21"/>
          <w:highlight w:val="none"/>
          <w:lang w:val="en-US"/>
        </w:rPr>
        <w:t>价格</w:t>
      </w:r>
      <w:r>
        <w:rPr>
          <w:szCs w:val="21"/>
          <w:highlight w:val="none"/>
          <w:lang w:val="en-US"/>
        </w:rPr>
        <w:t>在</w:t>
      </w:r>
      <w:r>
        <w:rPr>
          <w:rFonts w:hint="eastAsia"/>
          <w:szCs w:val="21"/>
          <w:highlight w:val="none"/>
          <w:lang w:val="en-US"/>
        </w:rPr>
        <w:t>框架协议有效期</w:t>
      </w:r>
      <w:r>
        <w:rPr>
          <w:szCs w:val="21"/>
          <w:highlight w:val="none"/>
          <w:lang w:val="en-US"/>
        </w:rPr>
        <w:t>内为销售最低价，保证不高于同期销售给任何第三方的价格。若供应商在</w:t>
      </w:r>
      <w:r>
        <w:rPr>
          <w:rFonts w:hint="eastAsia"/>
          <w:szCs w:val="21"/>
          <w:highlight w:val="none"/>
          <w:lang w:val="en-US"/>
        </w:rPr>
        <w:t>框架协议</w:t>
      </w:r>
      <w:r>
        <w:rPr>
          <w:szCs w:val="21"/>
          <w:highlight w:val="none"/>
          <w:lang w:val="en-US"/>
        </w:rPr>
        <w:t>外销售价格低于协议价格，则应在5个工作日内及时下调协议价格至该销售价格。最低价承诺是指供应商自愿作出的向警采中心提供最低价格的有效承诺。</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六</w:t>
      </w:r>
      <w:r>
        <w:rPr>
          <w:szCs w:val="21"/>
          <w:highlight w:val="none"/>
          <w:lang w:val="en-US"/>
        </w:rPr>
        <w:t>、</w:t>
      </w:r>
      <w:r>
        <w:rPr>
          <w:rFonts w:hint="eastAsia"/>
          <w:szCs w:val="21"/>
          <w:highlight w:val="none"/>
          <w:lang w:val="en-US"/>
        </w:rPr>
        <w:t>产品的响应报价</w:t>
      </w:r>
      <w:r>
        <w:rPr>
          <w:szCs w:val="21"/>
          <w:highlight w:val="none"/>
          <w:lang w:val="en-US"/>
        </w:rPr>
        <w:t>应真实有效，警采中心对其保留核查及审价的权利。入围后按照警采中心要求，提供真实完整的审价资料，积极协助配合警采中心完成审价工作。若产品审价结果低于</w:t>
      </w:r>
      <w:r>
        <w:rPr>
          <w:rFonts w:hint="eastAsia"/>
          <w:szCs w:val="21"/>
          <w:highlight w:val="none"/>
          <w:lang w:val="en-US"/>
        </w:rPr>
        <w:t>响应</w:t>
      </w:r>
      <w:r>
        <w:rPr>
          <w:szCs w:val="21"/>
          <w:highlight w:val="none"/>
          <w:lang w:val="en-US"/>
        </w:rPr>
        <w:t>报价，按照虚假</w:t>
      </w:r>
      <w:r>
        <w:rPr>
          <w:rFonts w:hint="eastAsia"/>
          <w:szCs w:val="21"/>
          <w:highlight w:val="none"/>
          <w:lang w:val="en-US"/>
        </w:rPr>
        <w:t>响应</w:t>
      </w:r>
      <w:r>
        <w:rPr>
          <w:szCs w:val="21"/>
          <w:highlight w:val="none"/>
          <w:lang w:val="en-US"/>
        </w:rPr>
        <w:t>处理。</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七</w:t>
      </w:r>
      <w:r>
        <w:rPr>
          <w:szCs w:val="21"/>
          <w:highlight w:val="none"/>
          <w:lang w:val="en-US"/>
        </w:rPr>
        <w:t>、</w:t>
      </w:r>
      <w:r>
        <w:rPr>
          <w:rFonts w:hint="eastAsia"/>
          <w:highlight w:val="none"/>
        </w:rPr>
        <w:t>本期框架协议执行期间，供应商应确保入围产品的价格低于该产品的市场平均价格，供应商应当随产品市场价格的下调随时下调入围产品价格（但不得调高产品价格）。</w:t>
      </w:r>
      <w:r>
        <w:rPr>
          <w:highlight w:val="none"/>
        </w:rPr>
        <w:t>供应商因市场原因所做的价格下调对未确认收货之前的产品订单依然有效。</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八</w:t>
      </w:r>
      <w:r>
        <w:rPr>
          <w:szCs w:val="21"/>
          <w:highlight w:val="none"/>
          <w:lang w:val="en-US"/>
        </w:rPr>
        <w:t>、若供应商给予第三方额外的优惠及补贴，如达标奖励、超额奖励、利息补贴、库存补贴等，警采中心应享受同等待遇。</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九</w:t>
      </w:r>
      <w:r>
        <w:rPr>
          <w:szCs w:val="21"/>
          <w:highlight w:val="none"/>
          <w:lang w:val="en-US"/>
        </w:rPr>
        <w:t>、入围后按照实际响应情况提供售后服务，服务标准不低于本项目</w:t>
      </w:r>
      <w:r>
        <w:rPr>
          <w:rFonts w:hint="eastAsia"/>
          <w:szCs w:val="21"/>
          <w:highlight w:val="none"/>
          <w:lang w:val="en-US"/>
        </w:rPr>
        <w:t>征集文件</w:t>
      </w:r>
      <w:r>
        <w:rPr>
          <w:szCs w:val="21"/>
          <w:highlight w:val="none"/>
          <w:lang w:val="en-US"/>
        </w:rPr>
        <w:t>要求。</w:t>
      </w:r>
    </w:p>
    <w:p>
      <w:pPr>
        <w:keepNext/>
        <w:keepLines/>
        <w:widowControl w:val="0"/>
        <w:suppressLineNumbers/>
        <w:suppressAutoHyphens/>
        <w:ind w:firstLine="420" w:firstLineChars="200"/>
        <w:rPr>
          <w:highlight w:val="none"/>
        </w:rPr>
      </w:pPr>
      <w:r>
        <w:rPr>
          <w:highlight w:val="none"/>
          <w:lang w:val="en-US"/>
        </w:rPr>
        <w:t>十、警采中心有权组织入场考核，</w:t>
      </w:r>
      <w:r>
        <w:rPr>
          <w:highlight w:val="none"/>
        </w:rPr>
        <w:t>如发现存在虚假等情况的，有权按有关规定处理</w:t>
      </w:r>
      <w:r>
        <w:rPr>
          <w:highlight w:val="none"/>
          <w:lang w:val="en-US"/>
        </w:rPr>
        <w:t>。</w:t>
      </w:r>
    </w:p>
    <w:p>
      <w:pPr>
        <w:pStyle w:val="224"/>
        <w:keepNext/>
        <w:keepLines/>
        <w:widowControl w:val="0"/>
        <w:suppressLineNumbers/>
        <w:suppressAutoHyphens/>
        <w:rPr>
          <w:rFonts w:ascii="Times New Roman" w:hAnsi="Times New Roman"/>
          <w:bCs/>
          <w:highlight w:val="none"/>
        </w:rPr>
      </w:pPr>
      <w:r>
        <w:rPr>
          <w:rFonts w:ascii="Times New Roman" w:hAnsi="Times New Roman"/>
          <w:highlight w:val="none"/>
          <w:lang w:val="en-US"/>
        </w:rPr>
        <w:t>十</w:t>
      </w:r>
      <w:r>
        <w:rPr>
          <w:rFonts w:hint="eastAsia" w:ascii="Times New Roman" w:hAnsi="Times New Roman"/>
          <w:highlight w:val="none"/>
          <w:lang w:val="en-US"/>
        </w:rPr>
        <w:t>一</w:t>
      </w:r>
      <w:r>
        <w:rPr>
          <w:rFonts w:ascii="Times New Roman" w:hAnsi="Times New Roman"/>
          <w:highlight w:val="none"/>
          <w:lang w:val="en-US"/>
        </w:rPr>
        <w:t>、警采中心有权根据下述情况对本公司进行处理：</w:t>
      </w:r>
      <w:r>
        <w:rPr>
          <w:rFonts w:ascii="Times New Roman" w:hAnsi="Times New Roman"/>
          <w:bCs/>
          <w:highlight w:val="none"/>
        </w:rPr>
        <w:t xml:space="preserve"> </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提供的产品存在严重质量问题，或未及时有效解决出现的质量问题的，警采中心有权</w:t>
      </w:r>
      <w:r>
        <w:rPr>
          <w:rFonts w:hint="eastAsia"/>
          <w:szCs w:val="21"/>
          <w:highlight w:val="none"/>
          <w:lang w:val="en-US"/>
        </w:rPr>
        <w:t>约谈整改、暂停框架协议入围资格。</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违反最低价承诺，在规定期限内拒不调整的，</w:t>
      </w:r>
      <w:r>
        <w:rPr>
          <w:rFonts w:hint="eastAsia"/>
          <w:szCs w:val="21"/>
          <w:highlight w:val="none"/>
          <w:lang w:val="en-US"/>
        </w:rPr>
        <w:t>警采中心有权解除本协议，并视情追究相应责任</w:t>
      </w:r>
      <w:r>
        <w:rPr>
          <w:szCs w:val="21"/>
          <w:highlight w:val="none"/>
          <w:lang w:val="en-US"/>
        </w:rPr>
        <w:t>。</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以暂时缺货为由（事前未向警采中心报备、未经警采中心同意的）拒不接受采购订单，</w:t>
      </w:r>
      <w:r>
        <w:rPr>
          <w:rFonts w:hint="eastAsia"/>
          <w:szCs w:val="21"/>
          <w:highlight w:val="none"/>
          <w:lang w:val="en-US"/>
        </w:rPr>
        <w:t>警采中心有权解除本协议，并视情追究相应责任</w:t>
      </w:r>
      <w:r>
        <w:rPr>
          <w:szCs w:val="21"/>
          <w:highlight w:val="none"/>
          <w:lang w:val="en-US"/>
        </w:rPr>
        <w:t>。</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rFonts w:hint="eastAsia"/>
          <w:szCs w:val="21"/>
          <w:highlight w:val="none"/>
          <w:lang w:val="en-US"/>
        </w:rPr>
        <w:t>无正当理由放弃入围资格或者退出框架协议的，依照政府采购法等有关法律、行政法规追究法律责任。</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违反保密约定，给对方造成损失的，由责任方承担违约责任。</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违反廉洁约定，按国家相关规定处理。若本公司存在不廉洁行为，警采中心有权</w:t>
      </w:r>
      <w:r>
        <w:rPr>
          <w:rFonts w:hint="eastAsia"/>
          <w:szCs w:val="21"/>
          <w:highlight w:val="none"/>
          <w:lang w:val="en-US"/>
        </w:rPr>
        <w:t>解除本协议，并视情追究相应责任。</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存在提供虚假无效的文件或信息谋取入围、虚报价格组成、恶意串通谋取入围或者成交合同等情形的，</w:t>
      </w:r>
      <w:r>
        <w:rPr>
          <w:rFonts w:hint="eastAsia"/>
          <w:szCs w:val="21"/>
          <w:highlight w:val="none"/>
          <w:lang w:val="en-US"/>
        </w:rPr>
        <w:t>警采中心有权解除本协议，将违规、违约行为报财政部政府采购监管部门处理。</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rFonts w:hint="eastAsia"/>
          <w:szCs w:val="21"/>
          <w:highlight w:val="none"/>
          <w:lang w:val="en-US"/>
        </w:rPr>
        <w:t>框架协议有效期</w:t>
      </w:r>
      <w:r>
        <w:rPr>
          <w:szCs w:val="21"/>
          <w:highlight w:val="none"/>
          <w:lang w:val="en-US"/>
        </w:rPr>
        <w:t>内出现重大违法记录，在产品质量价格、服务等方面受到采购人有效投诉的以及其他违规、违约行为，警采中心有权根据情节轻重暂停部分或全部协议执行。</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按照</w:t>
      </w:r>
      <w:r>
        <w:rPr>
          <w:rFonts w:hint="eastAsia"/>
          <w:szCs w:val="21"/>
          <w:highlight w:val="none"/>
          <w:lang w:val="en-US"/>
        </w:rPr>
        <w:t>框架协议</w:t>
      </w:r>
      <w:r>
        <w:rPr>
          <w:szCs w:val="21"/>
          <w:highlight w:val="none"/>
          <w:lang w:val="en-US"/>
        </w:rPr>
        <w:t>约定应当向警采中心支付违约金的，</w:t>
      </w:r>
      <w:r>
        <w:rPr>
          <w:rFonts w:hint="eastAsia"/>
          <w:szCs w:val="21"/>
          <w:highlight w:val="none"/>
          <w:lang w:val="en-US"/>
        </w:rPr>
        <w:t>应当在7个工作日内足额缴纳违约金，未按规定足额缴纳的，警采中心可限制乙方交易行为。</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szCs w:val="21"/>
          <w:highlight w:val="none"/>
          <w:lang w:val="en-US"/>
        </w:rPr>
        <w:t>我公司若有任何违反上述承诺的行为，自愿承担因此产生的相应责任。</w:t>
      </w:r>
    </w:p>
    <w:p>
      <w:pPr>
        <w:keepNext/>
        <w:keepLines/>
        <w:widowControl w:val="0"/>
        <w:suppressLineNumbers/>
        <w:tabs>
          <w:tab w:val="left" w:pos="0"/>
        </w:tabs>
        <w:suppressAutoHyphens/>
        <w:spacing w:line="360" w:lineRule="exact"/>
        <w:ind w:firstLine="420" w:firstLineChars="200"/>
        <w:jc w:val="both"/>
        <w:rPr>
          <w:szCs w:val="21"/>
          <w:highlight w:val="none"/>
          <w:lang w:val="en-US"/>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pStyle w:val="4"/>
        <w:suppressLineNumbers/>
        <w:suppressAutoHyphens/>
        <w:spacing w:before="120"/>
        <w:ind w:left="318" w:hanging="318"/>
        <w:jc w:val="both"/>
        <w:rPr>
          <w:highlight w:val="none"/>
        </w:rPr>
      </w:pPr>
      <w:bookmarkStart w:id="183" w:name="_Ref462505454"/>
      <w:bookmarkStart w:id="184" w:name="_Toc69308064"/>
      <w:bookmarkStart w:id="185" w:name="_Toc27489988"/>
      <w:bookmarkStart w:id="186" w:name="_Ref462740385"/>
      <w:bookmarkStart w:id="187" w:name="_Toc142051482"/>
      <w:bookmarkStart w:id="188" w:name="_Toc69308063"/>
      <w:bookmarkStart w:id="189" w:name="_Toc27489992"/>
      <w:r>
        <w:rPr>
          <w:highlight w:val="none"/>
        </w:rPr>
        <w:t>*法定代表人授权委托书</w:t>
      </w:r>
      <w:bookmarkEnd w:id="183"/>
      <w:bookmarkEnd w:id="184"/>
      <w:bookmarkEnd w:id="185"/>
      <w:bookmarkEnd w:id="186"/>
      <w:bookmarkEnd w:id="187"/>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法定代表人授权委托书</w:t>
      </w:r>
    </w:p>
    <w:p>
      <w:pPr>
        <w:keepNext/>
        <w:keepLines/>
        <w:widowControl w:val="0"/>
        <w:suppressLineNumbers/>
        <w:suppressAutoHyphens/>
        <w:jc w:val="both"/>
        <w:rPr>
          <w:highlight w:val="none"/>
          <w:lang w:val="en-US"/>
        </w:rPr>
      </w:pPr>
      <w:r>
        <w:rPr>
          <w:highlight w:val="none"/>
          <w:lang w:val="en-US"/>
        </w:rPr>
        <w:t>公安部警用装备采购中心：</w:t>
      </w:r>
    </w:p>
    <w:p>
      <w:pPr>
        <w:keepNext/>
        <w:keepLines/>
        <w:widowControl w:val="0"/>
        <w:suppressLineNumbers/>
        <w:suppressAutoHyphens/>
        <w:ind w:firstLine="420" w:firstLineChars="200"/>
        <w:jc w:val="both"/>
        <w:rPr>
          <w:highlight w:val="none"/>
          <w:lang w:val="en-US"/>
        </w:rPr>
      </w:pPr>
      <w:r>
        <w:rPr>
          <w:highlight w:val="none"/>
          <w:lang w:val="en-US"/>
        </w:rPr>
        <w:t>本授权书声明：我公司_________（法人代表姓名、职务）代表本公司授权______（被授权人的姓名、职务）为本公司的合法代理人，就贵中心组织的</w:t>
      </w:r>
      <w:r>
        <w:rPr>
          <w:highlight w:val="none"/>
          <w:u w:val="single"/>
          <w:lang w:val="en-US"/>
        </w:rPr>
        <w:t xml:space="preserve">       </w:t>
      </w:r>
      <w:r>
        <w:rPr>
          <w:highlight w:val="none"/>
          <w:lang w:val="en-US"/>
        </w:rPr>
        <w:t>项目（项目编号：</w:t>
      </w:r>
      <w:r>
        <w:rPr>
          <w:highlight w:val="none"/>
          <w:u w:val="single"/>
          <w:lang w:val="en-US"/>
        </w:rPr>
        <w:t xml:space="preserve">     </w:t>
      </w:r>
      <w:r>
        <w:rPr>
          <w:highlight w:val="none"/>
          <w:lang w:val="en-US"/>
        </w:rPr>
        <w:t>），以本公司名义处理一切与之有关的事务。</w:t>
      </w:r>
    </w:p>
    <w:p>
      <w:pPr>
        <w:keepNext/>
        <w:keepLines/>
        <w:widowControl w:val="0"/>
        <w:suppressLineNumbers/>
        <w:suppressAutoHyphens/>
        <w:ind w:firstLine="420" w:firstLineChars="200"/>
        <w:jc w:val="both"/>
        <w:rPr>
          <w:highlight w:val="none"/>
          <w:lang w:val="en-US"/>
        </w:rPr>
      </w:pPr>
      <w:r>
        <w:rPr>
          <w:highlight w:val="none"/>
          <w:lang w:val="en-US"/>
        </w:rPr>
        <w:t>本授权书于</w:t>
      </w:r>
      <w:r>
        <w:rPr>
          <w:highlight w:val="none"/>
          <w:u w:val="single"/>
          <w:lang w:val="en-US"/>
        </w:rPr>
        <w:t xml:space="preserve">     </w:t>
      </w:r>
      <w:r>
        <w:rPr>
          <w:highlight w:val="none"/>
          <w:lang w:val="en-US"/>
        </w:rPr>
        <w:t>年</w:t>
      </w:r>
      <w:r>
        <w:rPr>
          <w:highlight w:val="none"/>
          <w:u w:val="single"/>
          <w:lang w:val="en-US"/>
        </w:rPr>
        <w:t xml:space="preserve">     </w:t>
      </w:r>
      <w:r>
        <w:rPr>
          <w:highlight w:val="none"/>
          <w:lang w:val="en-US"/>
        </w:rPr>
        <w:t>月</w:t>
      </w:r>
      <w:r>
        <w:rPr>
          <w:highlight w:val="none"/>
          <w:u w:val="single"/>
          <w:lang w:val="en-US"/>
        </w:rPr>
        <w:t xml:space="preserve">     </w:t>
      </w:r>
      <w:r>
        <w:rPr>
          <w:highlight w:val="none"/>
          <w:lang w:val="en-US"/>
        </w:rPr>
        <w:t>日签字生效，特此声明。</w:t>
      </w:r>
    </w:p>
    <w:p>
      <w:pPr>
        <w:keepNext/>
        <w:keepLines/>
        <w:widowControl w:val="0"/>
        <w:suppressLineNumbers/>
        <w:suppressAutoHyphens/>
        <w:ind w:firstLine="420" w:firstLineChars="200"/>
        <w:jc w:val="both"/>
        <w:rPr>
          <w:highlight w:val="none"/>
          <w:lang w:val="en-US"/>
        </w:rPr>
      </w:pPr>
    </w:p>
    <w:p>
      <w:pPr>
        <w:keepNext/>
        <w:keepLines/>
        <w:widowControl w:val="0"/>
        <w:suppressLineNumbers/>
        <w:suppressAutoHyphens/>
        <w:ind w:firstLine="420" w:firstLineChars="200"/>
        <w:jc w:val="both"/>
        <w:rPr>
          <w:highlight w:val="none"/>
          <w:lang w:val="en-US"/>
        </w:rPr>
      </w:pPr>
      <w:r>
        <w:rPr>
          <w:highlight w:val="none"/>
          <w:lang w:val="en-US"/>
        </w:rPr>
        <w:t xml:space="preserve">法定代表人签字或盖章： </w:t>
      </w: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jc w:val="both"/>
        <w:rPr>
          <w:highlight w:val="none"/>
          <w:lang w:val="en-US"/>
        </w:rPr>
      </w:pPr>
      <w:r>
        <w:rPr>
          <w:highlight w:val="none"/>
          <w:lang w:val="en-US"/>
        </w:rPr>
        <w:t>日期：</w:t>
      </w:r>
    </w:p>
    <w:p>
      <w:pPr>
        <w:keepNext/>
        <w:keepLines/>
        <w:widowControl w:val="0"/>
        <w:suppressLineNumbers/>
        <w:suppressAutoHyphens/>
        <w:ind w:firstLine="420" w:firstLineChars="200"/>
        <w:jc w:val="both"/>
        <w:rPr>
          <w:highlight w:val="none"/>
          <w:lang w:val="en-US"/>
        </w:rPr>
      </w:pPr>
      <w:r>
        <w:rPr>
          <w:highlight w:val="none"/>
          <w:lang w:val="en-US"/>
        </w:rPr>
        <w:t>法定代表人（身份证</w:t>
      </w:r>
      <w:r>
        <w:rPr>
          <w:rFonts w:hint="eastAsia"/>
          <w:highlight w:val="none"/>
          <w:lang w:val="en-US"/>
        </w:rPr>
        <w:t>扫描件</w:t>
      </w:r>
      <w:r>
        <w:rPr>
          <w:highlight w:val="none"/>
          <w:lang w:val="en-US"/>
        </w:rPr>
        <w:t>）</w:t>
      </w:r>
    </w:p>
    <w:p>
      <w:pPr>
        <w:keepNext/>
        <w:keepLines/>
        <w:widowControl w:val="0"/>
        <w:suppressLineNumbers/>
        <w:suppressAutoHyphens/>
        <w:jc w:val="both"/>
        <w:rPr>
          <w:highlight w:val="none"/>
          <w:lang w:val="en-US"/>
        </w:rPr>
      </w:pPr>
    </w:p>
    <w:p>
      <w:pPr>
        <w:keepNext/>
        <w:keepLines/>
        <w:widowControl w:val="0"/>
        <w:suppressLineNumbers/>
        <w:suppressAutoHyphens/>
        <w:ind w:firstLine="420" w:firstLineChars="200"/>
        <w:jc w:val="both"/>
        <w:rPr>
          <w:rFonts w:eastAsia="黑体"/>
          <w:bCs/>
          <w:sz w:val="24"/>
          <w:szCs w:val="24"/>
          <w:highlight w:val="none"/>
          <w:lang w:val="en-US"/>
        </w:rPr>
      </w:pPr>
      <w:r>
        <w:rPr>
          <w:highlight w:val="none"/>
          <w:lang w:val="en-US"/>
        </w:rPr>
        <w:t>供应商代表（身份证</w:t>
      </w:r>
      <w:r>
        <w:rPr>
          <w:rFonts w:hint="eastAsia"/>
          <w:highlight w:val="none"/>
          <w:lang w:val="en-US"/>
        </w:rPr>
        <w:t>扫描件</w:t>
      </w:r>
      <w:r>
        <w:rPr>
          <w:highlight w:val="none"/>
          <w:lang w:val="en-US"/>
        </w:rPr>
        <w:t>）</w:t>
      </w:r>
    </w:p>
    <w:p>
      <w:pPr>
        <w:pStyle w:val="4"/>
        <w:suppressLineNumbers/>
        <w:suppressAutoHyphens/>
        <w:spacing w:before="120"/>
        <w:ind w:left="318" w:hanging="318"/>
        <w:jc w:val="both"/>
        <w:rPr>
          <w:highlight w:val="none"/>
        </w:rPr>
      </w:pPr>
      <w:bookmarkStart w:id="190" w:name="_Toc142051483"/>
      <w:r>
        <w:rPr>
          <w:highlight w:val="none"/>
        </w:rPr>
        <w:t>*</w:t>
      </w:r>
      <w:bookmarkStart w:id="191" w:name="_Toc81298543"/>
      <w:r>
        <w:rPr>
          <w:highlight w:val="none"/>
        </w:rPr>
        <w:t>生产制造企业承诺函</w:t>
      </w:r>
      <w:bookmarkEnd w:id="190"/>
      <w:bookmarkEnd w:id="191"/>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生产制造企业承诺函</w:t>
      </w:r>
    </w:p>
    <w:p>
      <w:pPr>
        <w:keepNext/>
        <w:keepLines/>
        <w:widowControl w:val="0"/>
        <w:suppressLineNumbers/>
        <w:suppressAutoHyphens/>
        <w:spacing w:line="560" w:lineRule="exact"/>
        <w:rPr>
          <w:rFonts w:eastAsia="仿宋"/>
          <w:color w:val="000000"/>
          <w:sz w:val="24"/>
          <w:szCs w:val="24"/>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w:t>
      </w:r>
      <w:r>
        <w:rPr>
          <w:szCs w:val="21"/>
          <w:highlight w:val="none"/>
          <w:u w:val="single"/>
        </w:rPr>
        <w:t xml:space="preserve"> XXX</w:t>
      </w:r>
      <w:r>
        <w:rPr>
          <w:szCs w:val="21"/>
          <w:highlight w:val="none"/>
        </w:rPr>
        <w:t>，在此郑重承诺：我单位是一家依照中华人民共和国法律进行</w:t>
      </w:r>
      <w:r>
        <w:rPr>
          <w:szCs w:val="21"/>
          <w:highlight w:val="none"/>
          <w:u w:val="single"/>
        </w:rPr>
        <w:t>XX</w:t>
      </w:r>
      <w:r>
        <w:rPr>
          <w:szCs w:val="21"/>
          <w:highlight w:val="none"/>
        </w:rPr>
        <w:t>产品（须为本次</w:t>
      </w:r>
      <w:r>
        <w:rPr>
          <w:rFonts w:hint="eastAsia"/>
          <w:szCs w:val="21"/>
          <w:highlight w:val="none"/>
        </w:rPr>
        <w:t>征集</w:t>
      </w:r>
      <w:r>
        <w:rPr>
          <w:szCs w:val="21"/>
          <w:highlight w:val="none"/>
        </w:rPr>
        <w:t>所</w:t>
      </w:r>
      <w:r>
        <w:rPr>
          <w:rFonts w:hint="eastAsia"/>
          <w:szCs w:val="21"/>
          <w:highlight w:val="none"/>
        </w:rPr>
        <w:t>响应</w:t>
      </w:r>
      <w:r>
        <w:rPr>
          <w:szCs w:val="21"/>
          <w:highlight w:val="none"/>
        </w:rPr>
        <w:t>产品）生产经营的制造企业，保证有</w:t>
      </w:r>
      <w:r>
        <w:rPr>
          <w:szCs w:val="21"/>
          <w:highlight w:val="none"/>
          <w:u w:val="single"/>
        </w:rPr>
        <w:t>X</w:t>
      </w:r>
      <w:r>
        <w:rPr>
          <w:szCs w:val="21"/>
          <w:highlight w:val="none"/>
        </w:rPr>
        <w:t>条生产线，</w:t>
      </w:r>
      <w:r>
        <w:rPr>
          <w:szCs w:val="21"/>
          <w:highlight w:val="none"/>
          <w:u w:val="single"/>
        </w:rPr>
        <w:t>X</w:t>
      </w:r>
      <w:r>
        <w:rPr>
          <w:szCs w:val="21"/>
          <w:highlight w:val="none"/>
        </w:rPr>
        <w:t>台关键生产设备，从未出现重大质量投诉、重大生产事故等相关事件。我单位保证采用先进的工艺进行产品的生产、质量控制及相应的售后服务工件，保证产品的质量、规格、性能和服务，满足用户的要求。</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我单位可完全满足贵方关于此项目的技术要求，如果我单位通过本次公开</w:t>
      </w:r>
      <w:r>
        <w:rPr>
          <w:rFonts w:hint="eastAsia"/>
          <w:szCs w:val="21"/>
          <w:highlight w:val="none"/>
        </w:rPr>
        <w:t>征集</w:t>
      </w:r>
      <w:r>
        <w:rPr>
          <w:szCs w:val="21"/>
          <w:highlight w:val="none"/>
        </w:rPr>
        <w:t>，保证按照用户要求的交货期将贵方所需产品及时交货，并提供相应的技术文件，运至交货地点交付贵方。</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我单位对上述声明的真实性负责。如有虚假，将依法承担相应法律责任。</w:t>
      </w:r>
    </w:p>
    <w:p>
      <w:pPr>
        <w:keepNext/>
        <w:keepLines/>
        <w:widowControl w:val="0"/>
        <w:suppressLineNumbers/>
        <w:suppressAutoHyphens/>
        <w:spacing w:line="560" w:lineRule="exact"/>
        <w:rPr>
          <w:rFonts w:eastAsia="仿宋"/>
          <w:color w:val="000000"/>
          <w:sz w:val="24"/>
          <w:szCs w:val="24"/>
          <w:highlight w:val="none"/>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pStyle w:val="4"/>
        <w:suppressLineNumbers/>
        <w:suppressAutoHyphens/>
        <w:spacing w:before="120"/>
        <w:ind w:left="318" w:hanging="318"/>
        <w:jc w:val="both"/>
        <w:rPr>
          <w:highlight w:val="none"/>
        </w:rPr>
      </w:pPr>
      <w:bookmarkStart w:id="192" w:name="_Toc142051484"/>
      <w:r>
        <w:rPr>
          <w:highlight w:val="none"/>
        </w:rPr>
        <w:t>*研发设计企业承诺函</w:t>
      </w:r>
      <w:bookmarkEnd w:id="192"/>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研发设计企业承诺函</w:t>
      </w:r>
    </w:p>
    <w:p>
      <w:pPr>
        <w:keepNext/>
        <w:keepLines/>
        <w:widowControl w:val="0"/>
        <w:suppressLineNumbers/>
        <w:suppressAutoHyphens/>
        <w:spacing w:line="560" w:lineRule="exact"/>
        <w:rPr>
          <w:rFonts w:eastAsia="仿宋"/>
          <w:color w:val="000000"/>
          <w:sz w:val="24"/>
          <w:szCs w:val="24"/>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w:t>
      </w:r>
      <w:r>
        <w:rPr>
          <w:szCs w:val="21"/>
          <w:highlight w:val="none"/>
          <w:u w:val="single"/>
        </w:rPr>
        <w:t xml:space="preserve"> XXX</w:t>
      </w:r>
      <w:r>
        <w:rPr>
          <w:szCs w:val="21"/>
          <w:highlight w:val="none"/>
        </w:rPr>
        <w:t>，在此郑重承诺：我单位是一家依照中华人民共和国法律进行</w:t>
      </w:r>
      <w:r>
        <w:rPr>
          <w:szCs w:val="21"/>
          <w:highlight w:val="none"/>
          <w:u w:val="single"/>
        </w:rPr>
        <w:t>XX</w:t>
      </w:r>
      <w:r>
        <w:rPr>
          <w:szCs w:val="21"/>
          <w:highlight w:val="none"/>
        </w:rPr>
        <w:t>产品（须为本次</w:t>
      </w:r>
      <w:r>
        <w:rPr>
          <w:rFonts w:hint="eastAsia"/>
          <w:szCs w:val="21"/>
          <w:highlight w:val="none"/>
        </w:rPr>
        <w:t>征集</w:t>
      </w:r>
      <w:r>
        <w:rPr>
          <w:szCs w:val="21"/>
          <w:highlight w:val="none"/>
        </w:rPr>
        <w:t>所</w:t>
      </w:r>
      <w:r>
        <w:rPr>
          <w:rFonts w:hint="eastAsia"/>
          <w:szCs w:val="21"/>
          <w:highlight w:val="none"/>
        </w:rPr>
        <w:t>响应</w:t>
      </w:r>
      <w:r>
        <w:rPr>
          <w:szCs w:val="21"/>
          <w:highlight w:val="none"/>
        </w:rPr>
        <w:t>产品）研发设计企业，保证有所</w:t>
      </w:r>
      <w:r>
        <w:rPr>
          <w:rFonts w:hint="eastAsia"/>
          <w:szCs w:val="21"/>
          <w:highlight w:val="none"/>
        </w:rPr>
        <w:t>响应</w:t>
      </w:r>
      <w:r>
        <w:rPr>
          <w:szCs w:val="21"/>
          <w:highlight w:val="none"/>
        </w:rPr>
        <w:t>产品的研发设计能力。</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我单位可完全满足贵方关于此项目的技术要求，如果我单位通过本次公开</w:t>
      </w:r>
      <w:r>
        <w:rPr>
          <w:rFonts w:hint="eastAsia"/>
          <w:szCs w:val="21"/>
          <w:highlight w:val="none"/>
        </w:rPr>
        <w:t>征集</w:t>
      </w:r>
      <w:r>
        <w:rPr>
          <w:szCs w:val="21"/>
          <w:highlight w:val="none"/>
        </w:rPr>
        <w:t>，保证按照用户要求的交货期将贵方所需产品及时交货，并提供相应的技术文件，运至交货地点交付贵方。</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我单位对上述声明的真实性负责。如有虚假，将依法承担相应法律责任。</w:t>
      </w:r>
    </w:p>
    <w:p>
      <w:pPr>
        <w:keepNext/>
        <w:keepLines/>
        <w:widowControl w:val="0"/>
        <w:suppressLineNumbers/>
        <w:suppressAutoHyphens/>
        <w:spacing w:line="560" w:lineRule="exact"/>
        <w:rPr>
          <w:rFonts w:eastAsia="仿宋"/>
          <w:color w:val="000000"/>
          <w:sz w:val="24"/>
          <w:szCs w:val="24"/>
          <w:highlight w:val="none"/>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keepNext/>
        <w:keepLines/>
        <w:widowControl w:val="0"/>
        <w:suppressLineNumbers/>
        <w:suppressAutoHyphens/>
        <w:jc w:val="both"/>
        <w:rPr>
          <w:rFonts w:eastAsia="黑体"/>
          <w:sz w:val="24"/>
          <w:szCs w:val="24"/>
          <w:highlight w:val="none"/>
        </w:rPr>
      </w:pPr>
    </w:p>
    <w:p>
      <w:pPr>
        <w:pStyle w:val="4"/>
        <w:suppressLineNumbers/>
        <w:suppressAutoHyphens/>
        <w:spacing w:before="120"/>
        <w:ind w:left="0" w:firstLine="0"/>
        <w:jc w:val="both"/>
        <w:rPr>
          <w:highlight w:val="none"/>
        </w:rPr>
      </w:pPr>
      <w:bookmarkStart w:id="193" w:name="_Toc142051485"/>
      <w:r>
        <w:rPr>
          <w:highlight w:val="none"/>
        </w:rPr>
        <w:t>*报价一览表</w:t>
      </w:r>
      <w:bookmarkEnd w:id="188"/>
      <w:bookmarkEnd w:id="189"/>
      <w:bookmarkEnd w:id="193"/>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报价一览表</w:t>
      </w:r>
    </w:p>
    <w:p>
      <w:pPr>
        <w:keepNext/>
        <w:keepLines/>
        <w:widowControl w:val="0"/>
        <w:suppressLineNumbers/>
        <w:suppressAutoHyphens/>
        <w:ind w:firstLine="420" w:firstLineChars="200"/>
        <w:jc w:val="both"/>
        <w:rPr>
          <w:highlight w:val="none"/>
          <w:lang w:val="en-US"/>
        </w:rPr>
      </w:pPr>
      <w:r>
        <w:rPr>
          <w:highlight w:val="none"/>
          <w:lang w:val="en-US"/>
        </w:rPr>
        <w:t>项目名称：</w:t>
      </w:r>
    </w:p>
    <w:p>
      <w:pPr>
        <w:keepNext/>
        <w:keepLines/>
        <w:widowControl w:val="0"/>
        <w:suppressLineNumbers/>
        <w:suppressAutoHyphens/>
        <w:ind w:firstLine="420" w:firstLineChars="200"/>
        <w:jc w:val="both"/>
        <w:rPr>
          <w:highlight w:val="none"/>
          <w:lang w:val="en-US"/>
        </w:rPr>
      </w:pPr>
      <w:r>
        <w:rPr>
          <w:highlight w:val="none"/>
          <w:lang w:val="en-US"/>
        </w:rPr>
        <w:t>项目编号：</w:t>
      </w:r>
    </w:p>
    <w:p>
      <w:pPr>
        <w:keepNext/>
        <w:keepLines/>
        <w:widowControl w:val="0"/>
        <w:suppressLineNumbers/>
        <w:suppressAutoHyphens/>
        <w:ind w:firstLine="420" w:firstLineChars="200"/>
        <w:jc w:val="both"/>
        <w:rPr>
          <w:highlight w:val="none"/>
          <w:lang w:val="en-US"/>
        </w:rPr>
      </w:pPr>
      <w:r>
        <w:rPr>
          <w:highlight w:val="none"/>
          <w:lang w:val="en-US"/>
        </w:rPr>
        <w:t>供应商名称：</w:t>
      </w:r>
    </w:p>
    <w:tbl>
      <w:tblPr>
        <w:tblStyle w:val="41"/>
        <w:tblW w:w="87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96"/>
        <w:gridCol w:w="1705"/>
        <w:gridCol w:w="957"/>
        <w:gridCol w:w="1309"/>
        <w:gridCol w:w="1701"/>
        <w:gridCol w:w="1531"/>
        <w:gridCol w:w="7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包号</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产品名称</w:t>
            </w: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品牌</w:t>
            </w: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规格型号</w:t>
            </w: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单价（元/件、套…）</w:t>
            </w: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供货周期（</w:t>
            </w:r>
            <w:r>
              <w:rPr>
                <w:rFonts w:hint="eastAsia" w:eastAsia="黑体"/>
                <w:szCs w:val="21"/>
                <w:highlight w:val="none"/>
                <w:lang w:val="en-US"/>
              </w:rPr>
              <w:t>日历日</w:t>
            </w:r>
            <w:r>
              <w:rPr>
                <w:rFonts w:eastAsia="黑体"/>
                <w:szCs w:val="21"/>
                <w:highlight w:val="none"/>
                <w:lang w:val="en-US"/>
              </w:rPr>
              <w:t>）</w:t>
            </w: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1</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2</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bl>
    <w:p>
      <w:pPr>
        <w:keepNext/>
        <w:keepLines/>
        <w:widowControl w:val="0"/>
        <w:suppressLineNumbers/>
        <w:suppressAutoHyphens/>
        <w:jc w:val="both"/>
        <w:rPr>
          <w:szCs w:val="21"/>
          <w:highlight w:val="none"/>
          <w:lang w:val="en-US"/>
        </w:rPr>
      </w:pPr>
      <w:r>
        <w:rPr>
          <w:szCs w:val="21"/>
          <w:highlight w:val="none"/>
          <w:lang w:val="en-US"/>
        </w:rPr>
        <w:t>说明：</w:t>
      </w:r>
      <w:r>
        <w:rPr>
          <w:rFonts w:hint="eastAsia"/>
          <w:highlight w:val="none"/>
        </w:rPr>
        <w:t>响应报价</w:t>
      </w:r>
      <w:r>
        <w:rPr>
          <w:highlight w:val="none"/>
        </w:rPr>
        <w:t>包含但不限于包装、运输、仓储、安装调试、检测检验、培训等费用，为交付采购人时的最终价格。</w:t>
      </w:r>
    </w:p>
    <w:p>
      <w:pPr>
        <w:keepNext/>
        <w:keepLines/>
        <w:widowControl w:val="0"/>
        <w:suppressLineNumbers/>
        <w:suppressAutoHyphens/>
        <w:ind w:firstLine="420" w:firstLineChars="200"/>
        <w:rPr>
          <w:bCs/>
          <w:highlight w:val="none"/>
        </w:rPr>
      </w:pP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jc w:val="both"/>
        <w:rPr>
          <w:highlight w:val="none"/>
          <w:lang w:val="en-US"/>
        </w:rPr>
      </w:pPr>
      <w:r>
        <w:rPr>
          <w:highlight w:val="none"/>
          <w:lang w:val="en-US"/>
        </w:rPr>
        <w:t>日期：</w:t>
      </w:r>
    </w:p>
    <w:p>
      <w:pPr>
        <w:pStyle w:val="4"/>
        <w:suppressLineNumbers/>
        <w:suppressAutoHyphens/>
        <w:spacing w:before="120" w:after="120"/>
        <w:ind w:left="0" w:firstLine="0"/>
        <w:rPr>
          <w:highlight w:val="none"/>
          <w:lang w:val="en-US"/>
        </w:rPr>
      </w:pPr>
      <w:bookmarkStart w:id="194" w:name="_Toc142051486"/>
      <w:r>
        <w:rPr>
          <w:rFonts w:hint="eastAsia"/>
          <w:highlight w:val="none"/>
        </w:rPr>
        <w:t>*产品技术规范偏离表</w:t>
      </w:r>
      <w:bookmarkEnd w:id="194"/>
    </w:p>
    <w:p>
      <w:pPr>
        <w:keepNext/>
        <w:keepLines/>
        <w:widowControl w:val="0"/>
        <w:suppressLineNumbers/>
        <w:tabs>
          <w:tab w:val="left" w:pos="0"/>
        </w:tabs>
        <w:suppressAutoHyphens/>
        <w:spacing w:line="360" w:lineRule="auto"/>
        <w:jc w:val="center"/>
        <w:rPr>
          <w:rFonts w:eastAsia="黑体"/>
          <w:sz w:val="24"/>
          <w:szCs w:val="24"/>
          <w:highlight w:val="none"/>
        </w:rPr>
      </w:pPr>
      <w:r>
        <w:rPr>
          <w:rFonts w:hint="eastAsia" w:eastAsia="黑体"/>
          <w:sz w:val="24"/>
          <w:szCs w:val="24"/>
          <w:highlight w:val="none"/>
        </w:rPr>
        <w:t>产品</w:t>
      </w:r>
      <w:r>
        <w:rPr>
          <w:rFonts w:eastAsia="黑体"/>
          <w:sz w:val="24"/>
          <w:szCs w:val="24"/>
          <w:highlight w:val="none"/>
        </w:rPr>
        <w:t>技术规范偏离表</w:t>
      </w:r>
    </w:p>
    <w:p>
      <w:pPr>
        <w:keepNext/>
        <w:keepLines/>
        <w:widowControl w:val="0"/>
        <w:suppressLineNumbers/>
        <w:suppressAutoHyphens/>
        <w:ind w:firstLine="420" w:firstLineChars="200"/>
        <w:jc w:val="both"/>
        <w:rPr>
          <w:highlight w:val="none"/>
          <w:lang w:val="en-US"/>
        </w:rPr>
      </w:pPr>
      <w:r>
        <w:rPr>
          <w:highlight w:val="none"/>
          <w:lang w:val="en-US"/>
        </w:rPr>
        <w:t>项目名称：</w:t>
      </w:r>
    </w:p>
    <w:p>
      <w:pPr>
        <w:keepNext/>
        <w:keepLines/>
        <w:widowControl w:val="0"/>
        <w:suppressLineNumbers/>
        <w:suppressAutoHyphens/>
        <w:ind w:firstLine="420" w:firstLineChars="200"/>
        <w:jc w:val="both"/>
        <w:rPr>
          <w:highlight w:val="none"/>
          <w:lang w:val="en-US"/>
        </w:rPr>
      </w:pPr>
      <w:r>
        <w:rPr>
          <w:highlight w:val="none"/>
          <w:lang w:val="en-US"/>
        </w:rPr>
        <w:t>项目编号：</w:t>
      </w:r>
    </w:p>
    <w:p>
      <w:pPr>
        <w:keepNext/>
        <w:keepLines/>
        <w:widowControl w:val="0"/>
        <w:suppressLineNumbers/>
        <w:suppressAutoHyphens/>
        <w:ind w:firstLine="420" w:firstLineChars="200"/>
        <w:jc w:val="both"/>
        <w:rPr>
          <w:highlight w:val="none"/>
          <w:lang w:val="en-US"/>
        </w:rPr>
      </w:pPr>
      <w:r>
        <w:rPr>
          <w:highlight w:val="none"/>
          <w:lang w:val="en-US"/>
        </w:rPr>
        <w:t>供应商名称</w:t>
      </w:r>
      <w:r>
        <w:rPr>
          <w:rFonts w:hint="eastAsia"/>
          <w:highlight w:val="none"/>
          <w:lang w:val="en-US"/>
        </w:rPr>
        <w:t>：</w:t>
      </w:r>
    </w:p>
    <w:tbl>
      <w:tblPr>
        <w:tblStyle w:val="41"/>
        <w:tblW w:w="8815" w:type="dxa"/>
        <w:tblInd w:w="-34" w:type="dxa"/>
        <w:tblLayout w:type="fixed"/>
        <w:tblCellMar>
          <w:top w:w="0" w:type="dxa"/>
          <w:left w:w="28" w:type="dxa"/>
          <w:bottom w:w="0" w:type="dxa"/>
          <w:right w:w="28" w:type="dxa"/>
        </w:tblCellMar>
      </w:tblPr>
      <w:tblGrid>
        <w:gridCol w:w="993"/>
        <w:gridCol w:w="1754"/>
        <w:gridCol w:w="1558"/>
        <w:gridCol w:w="1513"/>
        <w:gridCol w:w="1152"/>
        <w:gridCol w:w="1845"/>
      </w:tblGrid>
      <w:tr>
        <w:tblPrEx>
          <w:tblCellMar>
            <w:top w:w="0" w:type="dxa"/>
            <w:left w:w="28" w:type="dxa"/>
            <w:bottom w:w="0" w:type="dxa"/>
            <w:right w:w="28" w:type="dxa"/>
          </w:tblCellMar>
        </w:tblPrEx>
        <w:trPr>
          <w:trHeight w:val="567" w:hRule="atLeast"/>
        </w:trPr>
        <w:tc>
          <w:tcPr>
            <w:tcW w:w="993" w:type="dxa"/>
            <w:tcBorders>
              <w:top w:val="single" w:color="000000" w:sz="6" w:space="0"/>
              <w:left w:val="single" w:color="000000" w:sz="6" w:space="0"/>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包号</w:t>
            </w:r>
          </w:p>
        </w:tc>
        <w:tc>
          <w:tcPr>
            <w:tcW w:w="1754"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产品</w:t>
            </w:r>
            <w:r>
              <w:rPr>
                <w:rFonts w:eastAsia="黑体"/>
                <w:kern w:val="0"/>
                <w:szCs w:val="21"/>
                <w:highlight w:val="none"/>
                <w:lang w:val="en-US"/>
              </w:rPr>
              <w:t>名称</w:t>
            </w:r>
          </w:p>
        </w:tc>
        <w:tc>
          <w:tcPr>
            <w:tcW w:w="1558" w:type="dxa"/>
            <w:tcBorders>
              <w:top w:val="single" w:color="000000" w:sz="6" w:space="0"/>
              <w:left w:val="nil"/>
              <w:bottom w:val="single" w:color="000000" w:sz="6" w:space="0"/>
              <w:right w:val="single" w:color="auto" w:sz="4"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征集</w:t>
            </w:r>
            <w:r>
              <w:rPr>
                <w:rFonts w:eastAsia="黑体"/>
                <w:kern w:val="0"/>
                <w:szCs w:val="21"/>
                <w:highlight w:val="none"/>
                <w:lang w:val="en-US"/>
              </w:rPr>
              <w:t>文件技术要求</w:t>
            </w:r>
          </w:p>
        </w:tc>
        <w:tc>
          <w:tcPr>
            <w:tcW w:w="1513" w:type="dxa"/>
            <w:tcBorders>
              <w:top w:val="single" w:color="000000" w:sz="6" w:space="0"/>
              <w:left w:val="single" w:color="auto" w:sz="4" w:space="0"/>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响应</w:t>
            </w:r>
            <w:r>
              <w:rPr>
                <w:rFonts w:eastAsia="黑体"/>
                <w:kern w:val="0"/>
                <w:szCs w:val="21"/>
                <w:highlight w:val="none"/>
                <w:lang w:val="en-US"/>
              </w:rPr>
              <w:t>文件</w:t>
            </w:r>
          </w:p>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应答</w:t>
            </w:r>
          </w:p>
        </w:tc>
        <w:tc>
          <w:tcPr>
            <w:tcW w:w="1152"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偏离</w:t>
            </w:r>
          </w:p>
        </w:tc>
        <w:tc>
          <w:tcPr>
            <w:tcW w:w="1845"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备注</w:t>
            </w:r>
            <w:r>
              <w:rPr>
                <w:rFonts w:hint="eastAsia" w:eastAsia="黑体"/>
                <w:kern w:val="0"/>
                <w:szCs w:val="21"/>
                <w:highlight w:val="none"/>
                <w:lang w:val="en-US"/>
              </w:rPr>
              <w:t>（证明材料所在页）</w:t>
            </w:r>
          </w:p>
        </w:tc>
      </w:tr>
      <w:tr>
        <w:tblPrEx>
          <w:tblCellMar>
            <w:top w:w="0" w:type="dxa"/>
            <w:left w:w="28" w:type="dxa"/>
            <w:bottom w:w="0" w:type="dxa"/>
            <w:right w:w="28" w:type="dxa"/>
          </w:tblCellMar>
        </w:tblPrEx>
        <w:trPr>
          <w:trHeight w:val="90" w:hRule="atLeast"/>
        </w:trPr>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1</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r>
        <w:tblPrEx>
          <w:tblCellMar>
            <w:top w:w="0" w:type="dxa"/>
            <w:left w:w="28" w:type="dxa"/>
            <w:bottom w:w="0" w:type="dxa"/>
            <w:right w:w="28" w:type="dxa"/>
          </w:tblCellMar>
        </w:tblPrEx>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2</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r>
        <w:tblPrEx>
          <w:tblCellMar>
            <w:top w:w="0" w:type="dxa"/>
            <w:left w:w="28" w:type="dxa"/>
            <w:bottom w:w="0" w:type="dxa"/>
            <w:right w:w="28" w:type="dxa"/>
          </w:tblCellMar>
        </w:tblPrEx>
        <w:trPr>
          <w:trHeight w:val="65" w:hRule="atLeast"/>
        </w:trPr>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bl>
    <w:p>
      <w:pPr>
        <w:keepNext/>
        <w:keepLines/>
        <w:widowControl w:val="0"/>
        <w:suppressLineNumbers/>
        <w:suppressAutoHyphens/>
        <w:ind w:firstLine="420" w:firstLineChars="200"/>
        <w:rPr>
          <w:highlight w:val="none"/>
          <w:lang w:val="en-US"/>
        </w:rPr>
      </w:pPr>
      <w:r>
        <w:rPr>
          <w:rFonts w:hint="eastAsia"/>
          <w:highlight w:val="none"/>
          <w:lang w:val="en-US"/>
        </w:rPr>
        <w:t>说明</w:t>
      </w:r>
      <w:r>
        <w:rPr>
          <w:highlight w:val="none"/>
          <w:lang w:val="en-US"/>
        </w:rPr>
        <w:t>：</w:t>
      </w:r>
    </w:p>
    <w:p>
      <w:pPr>
        <w:keepNext/>
        <w:keepLines/>
        <w:widowControl w:val="0"/>
        <w:suppressLineNumbers/>
        <w:suppressAutoHyphens/>
        <w:ind w:firstLine="420" w:firstLineChars="200"/>
        <w:rPr>
          <w:highlight w:val="none"/>
          <w:lang w:val="en-US"/>
        </w:rPr>
      </w:pPr>
      <w:r>
        <w:rPr>
          <w:rFonts w:hint="eastAsia"/>
          <w:highlight w:val="none"/>
          <w:lang w:val="en-US"/>
        </w:rPr>
        <w:t>1.供应商</w:t>
      </w:r>
      <w:r>
        <w:rPr>
          <w:highlight w:val="none"/>
          <w:lang w:val="en-US"/>
        </w:rPr>
        <w:t>所提供的</w:t>
      </w:r>
      <w:r>
        <w:rPr>
          <w:rFonts w:hint="eastAsia"/>
          <w:highlight w:val="none"/>
          <w:lang w:val="en-US"/>
        </w:rPr>
        <w:t>产品</w:t>
      </w:r>
      <w:r>
        <w:rPr>
          <w:highlight w:val="none"/>
          <w:lang w:val="en-US"/>
        </w:rPr>
        <w:t>，应符合</w:t>
      </w:r>
      <w:r>
        <w:rPr>
          <w:rFonts w:hint="eastAsia"/>
          <w:highlight w:val="none"/>
          <w:lang w:val="en-US"/>
        </w:rPr>
        <w:t>征集</w:t>
      </w:r>
      <w:r>
        <w:rPr>
          <w:highlight w:val="none"/>
          <w:lang w:val="en-US"/>
        </w:rPr>
        <w:t>文件</w:t>
      </w:r>
      <w:r>
        <w:rPr>
          <w:rFonts w:hint="eastAsia"/>
          <w:highlight w:val="none"/>
          <w:lang w:val="en-US"/>
        </w:rPr>
        <w:t>的</w:t>
      </w:r>
      <w:r>
        <w:rPr>
          <w:highlight w:val="none"/>
          <w:lang w:val="en-US"/>
        </w:rPr>
        <w:t>技术要求。</w:t>
      </w:r>
    </w:p>
    <w:p>
      <w:pPr>
        <w:keepNext/>
        <w:keepLines/>
        <w:widowControl w:val="0"/>
        <w:suppressLineNumbers/>
        <w:suppressAutoHyphens/>
        <w:ind w:firstLine="420" w:firstLineChars="200"/>
        <w:rPr>
          <w:highlight w:val="none"/>
          <w:lang w:val="en-US"/>
        </w:rPr>
      </w:pPr>
      <w:r>
        <w:rPr>
          <w:highlight w:val="none"/>
          <w:lang w:val="en-US"/>
        </w:rPr>
        <w:t>2.</w:t>
      </w:r>
      <w:r>
        <w:rPr>
          <w:rFonts w:hint="eastAsia"/>
          <w:highlight w:val="none"/>
          <w:lang w:val="en-US"/>
        </w:rPr>
        <w:t>“响应</w:t>
      </w:r>
      <w:r>
        <w:rPr>
          <w:highlight w:val="none"/>
          <w:lang w:val="en-US"/>
        </w:rPr>
        <w:t>文件应答</w:t>
      </w:r>
      <w:r>
        <w:rPr>
          <w:rFonts w:hint="eastAsia"/>
          <w:highlight w:val="none"/>
          <w:lang w:val="en-US"/>
        </w:rPr>
        <w:t>”</w:t>
      </w:r>
      <w:r>
        <w:rPr>
          <w:highlight w:val="none"/>
          <w:lang w:val="en-US"/>
        </w:rPr>
        <w:t>栏应当填写</w:t>
      </w:r>
      <w:r>
        <w:rPr>
          <w:rFonts w:hint="eastAsia"/>
          <w:highlight w:val="none"/>
          <w:lang w:val="en-US"/>
        </w:rPr>
        <w:t>响应</w:t>
      </w:r>
      <w:r>
        <w:rPr>
          <w:highlight w:val="none"/>
          <w:lang w:val="en-US"/>
        </w:rPr>
        <w:t>具体参数；</w:t>
      </w:r>
    </w:p>
    <w:p>
      <w:pPr>
        <w:keepNext/>
        <w:keepLines/>
        <w:widowControl w:val="0"/>
        <w:suppressLineNumbers/>
        <w:suppressAutoHyphens/>
        <w:ind w:firstLine="420" w:firstLineChars="200"/>
        <w:rPr>
          <w:highlight w:val="none"/>
          <w:lang w:val="en-US"/>
        </w:rPr>
      </w:pPr>
      <w:r>
        <w:rPr>
          <w:rFonts w:hint="eastAsia"/>
          <w:highlight w:val="none"/>
          <w:lang w:val="en-US"/>
        </w:rPr>
        <w:t>3.“偏离”</w:t>
      </w:r>
      <w:r>
        <w:rPr>
          <w:highlight w:val="none"/>
          <w:lang w:val="en-US"/>
        </w:rPr>
        <w:t>栏填写</w:t>
      </w:r>
      <w:r>
        <w:rPr>
          <w:rFonts w:hint="eastAsia"/>
          <w:highlight w:val="none"/>
          <w:lang w:val="en-US"/>
        </w:rPr>
        <w:t>“</w:t>
      </w:r>
      <w:r>
        <w:rPr>
          <w:highlight w:val="none"/>
          <w:lang w:val="en-US"/>
        </w:rPr>
        <w:t>正</w:t>
      </w:r>
      <w:r>
        <w:rPr>
          <w:rFonts w:hint="eastAsia"/>
          <w:highlight w:val="none"/>
          <w:lang w:val="en-US"/>
        </w:rPr>
        <w:t>”</w:t>
      </w:r>
      <w:r>
        <w:rPr>
          <w:highlight w:val="none"/>
          <w:lang w:val="en-US"/>
        </w:rPr>
        <w:t>、</w:t>
      </w:r>
      <w:r>
        <w:rPr>
          <w:rFonts w:hint="eastAsia"/>
          <w:highlight w:val="none"/>
          <w:lang w:val="en-US"/>
        </w:rPr>
        <w:t>“</w:t>
      </w:r>
      <w:r>
        <w:rPr>
          <w:highlight w:val="none"/>
          <w:lang w:val="en-US"/>
        </w:rPr>
        <w:t>无</w:t>
      </w:r>
      <w:r>
        <w:rPr>
          <w:rFonts w:hint="eastAsia"/>
          <w:highlight w:val="none"/>
          <w:lang w:val="en-US"/>
        </w:rPr>
        <w:t>”</w:t>
      </w:r>
      <w:r>
        <w:rPr>
          <w:highlight w:val="none"/>
          <w:lang w:val="en-US"/>
        </w:rPr>
        <w:t>或</w:t>
      </w:r>
      <w:r>
        <w:rPr>
          <w:rFonts w:hint="eastAsia"/>
          <w:highlight w:val="none"/>
          <w:lang w:val="en-US"/>
        </w:rPr>
        <w:t>“</w:t>
      </w:r>
      <w:r>
        <w:rPr>
          <w:highlight w:val="none"/>
          <w:lang w:val="en-US"/>
        </w:rPr>
        <w:t>负</w:t>
      </w:r>
      <w:r>
        <w:rPr>
          <w:rFonts w:hint="eastAsia"/>
          <w:highlight w:val="none"/>
          <w:lang w:val="en-US"/>
        </w:rPr>
        <w:t>”，倘若</w:t>
      </w:r>
      <w:r>
        <w:rPr>
          <w:highlight w:val="none"/>
          <w:lang w:val="en-US"/>
        </w:rPr>
        <w:t>存在任意一项负偏离，</w:t>
      </w:r>
      <w:r>
        <w:rPr>
          <w:rFonts w:hint="eastAsia"/>
          <w:highlight w:val="none"/>
          <w:lang w:val="en-US"/>
        </w:rPr>
        <w:t>响应</w:t>
      </w:r>
      <w:r>
        <w:rPr>
          <w:highlight w:val="none"/>
          <w:lang w:val="en-US"/>
        </w:rPr>
        <w:t>将被拒绝。</w:t>
      </w:r>
    </w:p>
    <w:p>
      <w:pPr>
        <w:keepNext/>
        <w:keepLines/>
        <w:widowControl w:val="0"/>
        <w:suppressLineNumbers/>
        <w:suppressAutoHyphens/>
        <w:ind w:firstLine="420" w:firstLineChars="200"/>
        <w:rPr>
          <w:highlight w:val="none"/>
          <w:lang w:val="en-US"/>
        </w:rPr>
      </w:pPr>
      <w:r>
        <w:rPr>
          <w:rFonts w:hint="eastAsia"/>
          <w:highlight w:val="none"/>
          <w:lang w:val="en-US"/>
        </w:rPr>
        <w:t>4.征集</w:t>
      </w:r>
      <w:r>
        <w:rPr>
          <w:highlight w:val="none"/>
          <w:lang w:val="en-US"/>
        </w:rPr>
        <w:t>文件第</w:t>
      </w:r>
      <w:r>
        <w:rPr>
          <w:rFonts w:hint="eastAsia"/>
          <w:highlight w:val="none"/>
          <w:lang w:val="en-US"/>
        </w:rPr>
        <w:t>1</w:t>
      </w:r>
      <w:r>
        <w:rPr>
          <w:highlight w:val="none"/>
          <w:lang w:val="en-US"/>
        </w:rPr>
        <w:t>部分要求提供证明材料的，</w:t>
      </w:r>
      <w:r>
        <w:rPr>
          <w:rFonts w:hint="eastAsia"/>
          <w:highlight w:val="none"/>
          <w:lang w:val="en-US"/>
        </w:rPr>
        <w:t>必须</w:t>
      </w:r>
      <w:r>
        <w:rPr>
          <w:highlight w:val="none"/>
          <w:lang w:val="en-US"/>
        </w:rPr>
        <w:t>按照要求附上</w:t>
      </w:r>
      <w:r>
        <w:rPr>
          <w:rFonts w:hint="eastAsia"/>
          <w:highlight w:val="none"/>
          <w:lang w:val="en-US"/>
        </w:rPr>
        <w:t>相应</w:t>
      </w:r>
      <w:r>
        <w:rPr>
          <w:highlight w:val="none"/>
          <w:lang w:val="en-US"/>
        </w:rPr>
        <w:t>证明材料。对于</w:t>
      </w:r>
      <w:r>
        <w:rPr>
          <w:rFonts w:hint="eastAsia"/>
          <w:highlight w:val="none"/>
          <w:lang w:val="en-US"/>
        </w:rPr>
        <w:t>响应</w:t>
      </w:r>
      <w:r>
        <w:rPr>
          <w:highlight w:val="none"/>
          <w:lang w:val="en-US"/>
        </w:rPr>
        <w:t>文件要求提供相关材料的，只填写</w:t>
      </w:r>
      <w:r>
        <w:rPr>
          <w:rFonts w:hint="eastAsia"/>
          <w:highlight w:val="none"/>
          <w:lang w:val="en-US"/>
        </w:rPr>
        <w:t>“</w:t>
      </w:r>
      <w:r>
        <w:rPr>
          <w:highlight w:val="none"/>
          <w:lang w:val="en-US"/>
        </w:rPr>
        <w:t>满足</w:t>
      </w:r>
      <w:r>
        <w:rPr>
          <w:rFonts w:hint="eastAsia"/>
          <w:highlight w:val="none"/>
          <w:lang w:val="en-US"/>
        </w:rPr>
        <w:t>”</w:t>
      </w:r>
      <w:r>
        <w:rPr>
          <w:highlight w:val="none"/>
          <w:lang w:val="en-US"/>
        </w:rPr>
        <w:t>而不能提供相关证明材料的</w:t>
      </w:r>
      <w:r>
        <w:rPr>
          <w:rFonts w:hint="eastAsia"/>
          <w:highlight w:val="none"/>
          <w:lang w:val="en-US"/>
        </w:rPr>
        <w:t>或证明材料不符合要求的，视为</w:t>
      </w:r>
      <w:r>
        <w:rPr>
          <w:highlight w:val="none"/>
          <w:lang w:val="en-US"/>
        </w:rPr>
        <w:t>非实质性响应，该</w:t>
      </w:r>
      <w:r>
        <w:rPr>
          <w:rFonts w:hint="eastAsia"/>
          <w:highlight w:val="none"/>
          <w:lang w:val="en-US"/>
        </w:rPr>
        <w:t>响应将</w:t>
      </w:r>
      <w:r>
        <w:rPr>
          <w:highlight w:val="none"/>
          <w:lang w:val="en-US"/>
        </w:rPr>
        <w:t>被拒绝。</w:t>
      </w:r>
    </w:p>
    <w:p>
      <w:pPr>
        <w:keepNext/>
        <w:keepLines/>
        <w:widowControl w:val="0"/>
        <w:suppressLineNumbers/>
        <w:suppressAutoHyphens/>
        <w:ind w:firstLine="420" w:firstLineChars="200"/>
        <w:rPr>
          <w:highlight w:val="none"/>
          <w:lang w:val="en-US"/>
        </w:rPr>
      </w:pPr>
      <w:r>
        <w:rPr>
          <w:rFonts w:hint="eastAsia"/>
          <w:highlight w:val="none"/>
          <w:lang w:val="en-US"/>
        </w:rPr>
        <w:t>5.</w:t>
      </w:r>
      <w:r>
        <w:rPr>
          <w:highlight w:val="none"/>
          <w:lang w:val="en-US"/>
        </w:rPr>
        <w:t>除可填报项目外，任何实质性修改将被视为非实质性响应，从而导致该</w:t>
      </w:r>
      <w:r>
        <w:rPr>
          <w:rFonts w:hint="eastAsia"/>
          <w:highlight w:val="none"/>
          <w:lang w:val="en-US"/>
        </w:rPr>
        <w:t>响应</w:t>
      </w:r>
      <w:r>
        <w:rPr>
          <w:highlight w:val="none"/>
          <w:lang w:val="en-US"/>
        </w:rPr>
        <w:t>被拒绝。</w:t>
      </w:r>
    </w:p>
    <w:p>
      <w:pPr>
        <w:keepNext/>
        <w:keepLines/>
        <w:widowControl w:val="0"/>
        <w:suppressLineNumbers/>
        <w:suppressAutoHyphens/>
        <w:ind w:firstLine="420" w:firstLineChars="200"/>
        <w:jc w:val="both"/>
        <w:rPr>
          <w:highlight w:val="none"/>
          <w:lang w:val="en-US"/>
        </w:rPr>
      </w:pP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rPr>
          <w:highlight w:val="none"/>
          <w:lang w:val="en-US"/>
        </w:rPr>
      </w:pPr>
      <w:r>
        <w:rPr>
          <w:highlight w:val="none"/>
          <w:lang w:val="en-US"/>
        </w:rPr>
        <w:t>日期：</w:t>
      </w:r>
    </w:p>
    <w:p>
      <w:pPr>
        <w:pStyle w:val="4"/>
        <w:keepNext w:val="0"/>
        <w:keepLines w:val="0"/>
        <w:spacing w:before="120"/>
        <w:ind w:left="0" w:firstLine="0"/>
        <w:jc w:val="both"/>
        <w:rPr>
          <w:highlight w:val="none"/>
        </w:rPr>
      </w:pPr>
      <w:bookmarkStart w:id="195" w:name="_Toc142051487"/>
      <w:r>
        <w:rPr>
          <w:highlight w:val="none"/>
        </w:rPr>
        <w:t>*服务文件</w:t>
      </w:r>
      <w:bookmarkEnd w:id="195"/>
    </w:p>
    <w:p>
      <w:pPr>
        <w:pStyle w:val="5"/>
        <w:spacing w:before="120"/>
        <w:rPr>
          <w:highlight w:val="none"/>
        </w:rPr>
      </w:pPr>
      <w:r>
        <w:rPr>
          <w:highlight w:val="none"/>
        </w:rPr>
        <w:t>*服务团队</w:t>
      </w:r>
    </w:p>
    <w:p>
      <w:pPr>
        <w:tabs>
          <w:tab w:val="left" w:pos="0"/>
        </w:tabs>
        <w:spacing w:line="360" w:lineRule="auto"/>
        <w:jc w:val="center"/>
        <w:rPr>
          <w:rFonts w:eastAsia="黑体"/>
          <w:sz w:val="24"/>
          <w:szCs w:val="24"/>
          <w:highlight w:val="none"/>
        </w:rPr>
      </w:pPr>
      <w:r>
        <w:rPr>
          <w:rFonts w:eastAsia="黑体"/>
          <w:sz w:val="24"/>
          <w:szCs w:val="24"/>
          <w:highlight w:val="none"/>
        </w:rPr>
        <w:t>服务团队信息</w:t>
      </w:r>
    </w:p>
    <w:tbl>
      <w:tblPr>
        <w:tblStyle w:val="41"/>
        <w:tblW w:w="9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98"/>
        <w:gridCol w:w="844"/>
        <w:gridCol w:w="1134"/>
        <w:gridCol w:w="1134"/>
        <w:gridCol w:w="1983"/>
        <w:gridCol w:w="1701"/>
        <w:gridCol w:w="8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项目岗位</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姓名</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职务</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办公电话</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移动电话</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邮箱</w:t>
            </w: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项目负责人</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销售主管</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订单管理员</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r>
              <w:rPr>
                <w:highlight w:val="none"/>
              </w:rPr>
              <w:t>…（其他与本项目相关服务人员，如有则填写）</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bl>
    <w:p>
      <w:pPr>
        <w:pStyle w:val="224"/>
        <w:rPr>
          <w:rFonts w:ascii="Times New Roman" w:hAnsi="Times New Roman"/>
          <w:highlight w:val="none"/>
        </w:rPr>
      </w:pPr>
      <w:r>
        <w:rPr>
          <w:rFonts w:ascii="Times New Roman" w:hAnsi="Times New Roman"/>
          <w:highlight w:val="none"/>
        </w:rPr>
        <w:t>说明：</w:t>
      </w:r>
    </w:p>
    <w:p>
      <w:pPr>
        <w:pStyle w:val="224"/>
        <w:rPr>
          <w:rFonts w:ascii="Times New Roman" w:hAnsi="Times New Roman"/>
          <w:highlight w:val="none"/>
        </w:rPr>
      </w:pPr>
      <w:r>
        <w:rPr>
          <w:rFonts w:ascii="Times New Roman" w:hAnsi="Times New Roman"/>
          <w:highlight w:val="none"/>
        </w:rPr>
        <w:t>1.上述人员负责处理新产品动态发布、生产供应、价格变动、产品更新等情况；负责执行和检查产品订单、售后服务、投诉处理及情况反馈，按时汇报产品供货和交货周期等工作情况。</w:t>
      </w:r>
    </w:p>
    <w:p>
      <w:pPr>
        <w:pStyle w:val="224"/>
        <w:rPr>
          <w:rFonts w:ascii="Times New Roman" w:hAnsi="Times New Roman"/>
          <w:highlight w:val="none"/>
        </w:rPr>
      </w:pPr>
      <w:r>
        <w:rPr>
          <w:rFonts w:ascii="Times New Roman" w:hAnsi="Times New Roman"/>
          <w:highlight w:val="none"/>
        </w:rPr>
        <w:t>2.为提供更优质服务，警采中心有权要求供应商更新服务团队。</w:t>
      </w:r>
    </w:p>
    <w:p>
      <w:pPr>
        <w:pStyle w:val="224"/>
        <w:rPr>
          <w:rFonts w:ascii="Times New Roman" w:hAnsi="Times New Roman"/>
          <w:highlight w:val="none"/>
        </w:rPr>
      </w:pPr>
      <w:r>
        <w:rPr>
          <w:rFonts w:ascii="Times New Roman" w:hAnsi="Times New Roman"/>
          <w:highlight w:val="none"/>
        </w:rPr>
        <w:t>3.入围后，在</w:t>
      </w:r>
      <w:r>
        <w:rPr>
          <w:rFonts w:hint="eastAsia" w:ascii="Times New Roman" w:hAnsi="Times New Roman"/>
          <w:highlight w:val="none"/>
        </w:rPr>
        <w:t>框架协议</w:t>
      </w:r>
      <w:r>
        <w:rPr>
          <w:rFonts w:ascii="Times New Roman" w:hAnsi="Times New Roman"/>
          <w:highlight w:val="none"/>
        </w:rPr>
        <w:t>有效期内，服务团队人员如发生工作调动，入围供应商应在5个工作日内函告警采中心。</w:t>
      </w:r>
    </w:p>
    <w:p>
      <w:pPr>
        <w:pStyle w:val="224"/>
        <w:rPr>
          <w:rFonts w:ascii="Times New Roman" w:hAnsi="Times New Roman"/>
          <w:highlight w:val="none"/>
        </w:rPr>
      </w:pPr>
    </w:p>
    <w:p>
      <w:pPr>
        <w:ind w:firstLine="420" w:firstLineChars="200"/>
        <w:jc w:val="both"/>
        <w:rPr>
          <w:highlight w:val="none"/>
          <w:lang w:val="en-US"/>
        </w:rPr>
      </w:pPr>
      <w:r>
        <w:rPr>
          <w:highlight w:val="none"/>
          <w:lang w:val="en-US"/>
        </w:rPr>
        <w:t xml:space="preserve">供应商代表签字或盖章： </w:t>
      </w:r>
    </w:p>
    <w:p>
      <w:pPr>
        <w:ind w:firstLine="420" w:firstLineChars="200"/>
        <w:jc w:val="both"/>
        <w:rPr>
          <w:highlight w:val="none"/>
          <w:lang w:val="en-US"/>
        </w:rPr>
      </w:pPr>
      <w:r>
        <w:rPr>
          <w:highlight w:val="none"/>
          <w:lang w:val="en-US"/>
        </w:rPr>
        <w:t>供应商公章：</w:t>
      </w:r>
    </w:p>
    <w:p>
      <w:pPr>
        <w:pStyle w:val="224"/>
        <w:rPr>
          <w:rFonts w:ascii="Times New Roman" w:hAnsi="Times New Roman" w:eastAsia="黑体"/>
          <w:sz w:val="24"/>
          <w:szCs w:val="24"/>
          <w:highlight w:val="none"/>
        </w:rPr>
      </w:pPr>
      <w:r>
        <w:rPr>
          <w:rFonts w:ascii="Times New Roman" w:hAnsi="Times New Roman"/>
          <w:highlight w:val="none"/>
          <w:lang w:val="en-US"/>
        </w:rPr>
        <w:t>日期：</w:t>
      </w:r>
      <w:r>
        <w:rPr>
          <w:rFonts w:ascii="Times New Roman" w:hAnsi="Times New Roman" w:eastAsia="黑体"/>
          <w:sz w:val="24"/>
          <w:szCs w:val="24"/>
          <w:highlight w:val="none"/>
        </w:rPr>
        <w:t xml:space="preserve"> </w:t>
      </w:r>
    </w:p>
    <w:p>
      <w:pPr>
        <w:pStyle w:val="5"/>
        <w:spacing w:before="120"/>
        <w:rPr>
          <w:highlight w:val="none"/>
        </w:rPr>
      </w:pPr>
      <w:r>
        <w:rPr>
          <w:highlight w:val="none"/>
        </w:rPr>
        <w:t>*服务内容</w:t>
      </w:r>
    </w:p>
    <w:p>
      <w:pPr>
        <w:tabs>
          <w:tab w:val="left" w:pos="0"/>
        </w:tabs>
        <w:spacing w:line="360" w:lineRule="auto"/>
        <w:jc w:val="center"/>
        <w:rPr>
          <w:rFonts w:eastAsia="黑体"/>
          <w:sz w:val="24"/>
          <w:szCs w:val="24"/>
          <w:highlight w:val="none"/>
        </w:rPr>
      </w:pPr>
      <w:r>
        <w:rPr>
          <w:rFonts w:eastAsia="黑体"/>
          <w:sz w:val="24"/>
          <w:szCs w:val="24"/>
          <w:highlight w:val="none"/>
        </w:rPr>
        <w:t>服务内容响应表</w:t>
      </w:r>
    </w:p>
    <w:tbl>
      <w:tblPr>
        <w:tblStyle w:val="42"/>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0"/>
        <w:gridCol w:w="1500"/>
        <w:gridCol w:w="2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39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本文件服务内容要求</w:t>
            </w:r>
          </w:p>
        </w:tc>
        <w:tc>
          <w:tcPr>
            <w:tcW w:w="150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是否响应</w:t>
            </w:r>
          </w:p>
        </w:tc>
        <w:tc>
          <w:tcPr>
            <w:tcW w:w="2945" w:type="dxa"/>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供应商说明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0" w:type="dxa"/>
          </w:tcPr>
          <w:p>
            <w:pPr>
              <w:pStyle w:val="224"/>
              <w:widowControl w:val="0"/>
              <w:rPr>
                <w:rFonts w:ascii="Times New Roman" w:hAnsi="Times New Roman"/>
                <w:highlight w:val="none"/>
              </w:rPr>
            </w:pPr>
            <w:r>
              <w:rPr>
                <w:rFonts w:ascii="Times New Roman" w:hAnsi="Times New Roman"/>
                <w:highlight w:val="none"/>
              </w:rPr>
              <w:t>供应商入围后针对入围产品向采购人提供服务保障，应当符合供应商在响应文件中的服务承诺。包括但不限于以下：</w:t>
            </w:r>
          </w:p>
          <w:p>
            <w:pPr>
              <w:pStyle w:val="224"/>
              <w:widowControl w:val="0"/>
              <w:rPr>
                <w:rFonts w:ascii="Times New Roman" w:hAnsi="Times New Roman"/>
                <w:highlight w:val="none"/>
              </w:rPr>
            </w:pPr>
            <w:r>
              <w:rPr>
                <w:rFonts w:ascii="Times New Roman" w:hAnsi="Times New Roman"/>
                <w:highlight w:val="none"/>
              </w:rPr>
              <w:t>（1）质保期内：实</w:t>
            </w:r>
            <w:r>
              <w:rPr>
                <w:rFonts w:hint="eastAsia" w:cs="宋体"/>
                <w:highlight w:val="none"/>
              </w:rPr>
              <w:t>行“三包”</w:t>
            </w:r>
            <w:r>
              <w:rPr>
                <w:rFonts w:ascii="Times New Roman" w:hAnsi="Times New Roman"/>
                <w:highlight w:val="none"/>
              </w:rPr>
              <w:t>服务，如货物出现质量问题，供应商根据实际情况进行修理、更换或退货处理，并承担由此发生的一切费用；</w:t>
            </w:r>
          </w:p>
          <w:p>
            <w:pPr>
              <w:pStyle w:val="224"/>
              <w:widowControl w:val="0"/>
              <w:rPr>
                <w:rFonts w:ascii="Times New Roman" w:hAnsi="Times New Roman"/>
                <w:highlight w:val="none"/>
              </w:rPr>
            </w:pPr>
            <w:r>
              <w:rPr>
                <w:rFonts w:ascii="Times New Roman" w:hAnsi="Times New Roman"/>
                <w:highlight w:val="none"/>
              </w:rPr>
              <w:t>（2）服务响应时间：供应商应提供7×24小时技术响应，在质保期内货物出现故障时，应在接到采购人通知后2小时内作出实质性反应，并在24小时内赶赴现场处理故障。</w:t>
            </w:r>
          </w:p>
        </w:tc>
        <w:tc>
          <w:tcPr>
            <w:tcW w:w="1500" w:type="dxa"/>
          </w:tcPr>
          <w:p>
            <w:pPr>
              <w:tabs>
                <w:tab w:val="left" w:pos="0"/>
              </w:tabs>
              <w:spacing w:line="360" w:lineRule="auto"/>
              <w:jc w:val="center"/>
              <w:rPr>
                <w:rFonts w:eastAsia="黑体"/>
                <w:sz w:val="24"/>
                <w:szCs w:val="24"/>
                <w:highlight w:val="none"/>
              </w:rPr>
            </w:pPr>
          </w:p>
        </w:tc>
        <w:tc>
          <w:tcPr>
            <w:tcW w:w="2945" w:type="dxa"/>
          </w:tcPr>
          <w:p>
            <w:pPr>
              <w:tabs>
                <w:tab w:val="left" w:pos="0"/>
              </w:tabs>
              <w:spacing w:line="360" w:lineRule="auto"/>
              <w:jc w:val="center"/>
              <w:rPr>
                <w:rFonts w:eastAsia="黑体"/>
                <w:sz w:val="24"/>
                <w:szCs w:val="24"/>
                <w:highlight w:val="none"/>
              </w:rPr>
            </w:pPr>
          </w:p>
        </w:tc>
      </w:tr>
    </w:tbl>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说明：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1</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是否响应</w:t>
      </w:r>
      <w:r>
        <w:rPr>
          <w:rFonts w:hint="eastAsia" w:cs="宋体"/>
          <w:highlight w:val="none"/>
          <w:lang w:val="en-US"/>
        </w:rPr>
        <w:t>”一列中必须明确响应“</w:t>
      </w:r>
      <w:r>
        <w:rPr>
          <w:rFonts w:hint="eastAsia" w:cs="宋体"/>
          <w:b/>
          <w:highlight w:val="none"/>
          <w:lang w:val="en-US"/>
        </w:rPr>
        <w:t>是</w:t>
      </w:r>
      <w:r>
        <w:rPr>
          <w:rFonts w:hint="eastAsia" w:cs="宋体"/>
          <w:highlight w:val="none"/>
          <w:lang w:val="en-US"/>
        </w:rPr>
        <w:t>”或“</w:t>
      </w:r>
      <w:r>
        <w:rPr>
          <w:rFonts w:hint="eastAsia" w:cs="宋体"/>
          <w:b/>
          <w:highlight w:val="none"/>
          <w:lang w:val="en-US"/>
        </w:rPr>
        <w:t>否</w:t>
      </w:r>
      <w:r>
        <w:rPr>
          <w:rFonts w:hint="eastAsia" w:cs="宋体"/>
          <w:highlight w:val="none"/>
          <w:lang w:val="en-US"/>
        </w:rPr>
        <w:t>”。</w:t>
      </w:r>
    </w:p>
    <w:p>
      <w:pPr>
        <w:pStyle w:val="224"/>
        <w:widowControl w:val="0"/>
        <w:ind w:firstLine="0" w:firstLineChars="0"/>
        <w:rPr>
          <w:rFonts w:ascii="Times New Roman" w:hAnsi="Times New Roman"/>
          <w:highlight w:val="none"/>
        </w:rPr>
      </w:pPr>
      <w:r>
        <w:rPr>
          <w:rFonts w:ascii="Times New Roman" w:hAnsi="Times New Roman"/>
          <w:highlight w:val="none"/>
          <w:lang w:val="en-US"/>
        </w:rPr>
        <w:t>2</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供应商说明</w:t>
      </w:r>
      <w:r>
        <w:rPr>
          <w:rFonts w:hint="eastAsia" w:cs="宋体"/>
          <w:highlight w:val="none"/>
          <w:lang w:val="en-US"/>
        </w:rPr>
        <w:t>”一列中内容过多，可以另附表进行说明补充</w:t>
      </w:r>
      <w:r>
        <w:rPr>
          <w:rFonts w:ascii="Times New Roman" w:hAnsi="Times New Roman"/>
          <w:highlight w:val="none"/>
          <w:lang w:val="en-US"/>
        </w:rPr>
        <w:t>。</w:t>
      </w:r>
    </w:p>
    <w:p>
      <w:pPr>
        <w:pStyle w:val="224"/>
        <w:widowControl w:val="0"/>
        <w:ind w:firstLine="0" w:firstLineChars="0"/>
        <w:rPr>
          <w:rFonts w:ascii="Times New Roman" w:hAnsi="Times New Roman"/>
          <w:highlight w:val="none"/>
          <w:lang w:val="en-US"/>
        </w:rPr>
      </w:pPr>
    </w:p>
    <w:p>
      <w:pPr>
        <w:widowControl w:val="0"/>
        <w:ind w:firstLine="420" w:firstLineChars="200"/>
        <w:jc w:val="both"/>
        <w:rPr>
          <w:highlight w:val="none"/>
          <w:lang w:val="en-US"/>
        </w:rPr>
      </w:pPr>
      <w:r>
        <w:rPr>
          <w:highlight w:val="none"/>
          <w:lang w:val="en-US"/>
        </w:rPr>
        <w:t>供应商代表签字或盖章：</w:t>
      </w:r>
    </w:p>
    <w:p>
      <w:pPr>
        <w:widowControl w:val="0"/>
        <w:ind w:firstLine="420" w:firstLineChars="200"/>
        <w:jc w:val="both"/>
        <w:rPr>
          <w:highlight w:val="none"/>
          <w:lang w:val="en-US"/>
        </w:rPr>
      </w:pPr>
      <w:r>
        <w:rPr>
          <w:highlight w:val="none"/>
          <w:lang w:val="en-US"/>
        </w:rPr>
        <w:t>供应商公章：</w:t>
      </w:r>
    </w:p>
    <w:p>
      <w:pPr>
        <w:widowControl w:val="0"/>
        <w:tabs>
          <w:tab w:val="left" w:pos="0"/>
        </w:tabs>
        <w:spacing w:line="360" w:lineRule="auto"/>
        <w:ind w:firstLine="420" w:firstLineChars="200"/>
        <w:rPr>
          <w:rFonts w:eastAsia="黑体"/>
          <w:sz w:val="24"/>
          <w:szCs w:val="24"/>
          <w:highlight w:val="none"/>
        </w:rPr>
      </w:pPr>
      <w:r>
        <w:rPr>
          <w:highlight w:val="none"/>
          <w:lang w:val="en-US"/>
        </w:rPr>
        <w:t>日期：</w:t>
      </w:r>
    </w:p>
    <w:p>
      <w:pPr>
        <w:pStyle w:val="5"/>
        <w:spacing w:before="120"/>
        <w:rPr>
          <w:highlight w:val="none"/>
        </w:rPr>
      </w:pPr>
      <w:r>
        <w:rPr>
          <w:highlight w:val="none"/>
        </w:rPr>
        <w:t>*服务网络</w:t>
      </w:r>
    </w:p>
    <w:p>
      <w:pPr>
        <w:pStyle w:val="224"/>
        <w:rPr>
          <w:rFonts w:ascii="Times New Roman" w:hAnsi="Times New Roman"/>
          <w:highlight w:val="none"/>
          <w:lang w:val="en-US"/>
        </w:rPr>
      </w:pPr>
      <w:r>
        <w:rPr>
          <w:rFonts w:ascii="Times New Roman" w:hAnsi="Times New Roman"/>
          <w:highlight w:val="none"/>
        </w:rPr>
        <w:t>供应商提供在全国销售服务网点清单，清单包括但不限于联系人、联系电话、地址等内容，</w:t>
      </w:r>
      <w:r>
        <w:rPr>
          <w:rFonts w:ascii="Times New Roman" w:hAnsi="Times New Roman"/>
          <w:highlight w:val="none"/>
          <w:lang w:val="en-US"/>
        </w:rPr>
        <w:t>格式要求如下表：</w:t>
      </w:r>
    </w:p>
    <w:p>
      <w:pPr>
        <w:tabs>
          <w:tab w:val="left" w:pos="0"/>
        </w:tabs>
        <w:spacing w:line="360" w:lineRule="auto"/>
        <w:jc w:val="center"/>
        <w:rPr>
          <w:rFonts w:eastAsia="黑体"/>
          <w:sz w:val="24"/>
          <w:szCs w:val="24"/>
          <w:highlight w:val="none"/>
        </w:rPr>
      </w:pPr>
      <w:r>
        <w:rPr>
          <w:rFonts w:eastAsia="黑体"/>
          <w:sz w:val="24"/>
          <w:szCs w:val="24"/>
          <w:highlight w:val="none"/>
        </w:rPr>
        <w:t>全国销售服务网点清单</w:t>
      </w:r>
    </w:p>
    <w:tbl>
      <w:tblPr>
        <w:tblStyle w:val="41"/>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970"/>
        <w:gridCol w:w="833"/>
        <w:gridCol w:w="1514"/>
        <w:gridCol w:w="1539"/>
        <w:gridCol w:w="1105"/>
        <w:gridCol w:w="1105"/>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序号</w:t>
            </w:r>
          </w:p>
        </w:tc>
        <w:tc>
          <w:tcPr>
            <w:tcW w:w="970"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省区</w:t>
            </w:r>
          </w:p>
        </w:tc>
        <w:tc>
          <w:tcPr>
            <w:tcW w:w="833"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城市</w:t>
            </w:r>
          </w:p>
        </w:tc>
        <w:tc>
          <w:tcPr>
            <w:tcW w:w="1514"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销售网点名称</w:t>
            </w:r>
          </w:p>
        </w:tc>
        <w:tc>
          <w:tcPr>
            <w:tcW w:w="1539"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销售网点地址</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联系人</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联系方式</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1</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2</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3</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bl>
    <w:p>
      <w:pPr>
        <w:pStyle w:val="224"/>
        <w:ind w:firstLine="0" w:firstLineChars="0"/>
        <w:rPr>
          <w:rFonts w:ascii="Times New Roman" w:hAnsi="Times New Roman"/>
          <w:highlight w:val="none"/>
        </w:rPr>
      </w:pPr>
      <w:r>
        <w:rPr>
          <w:rFonts w:ascii="Times New Roman" w:hAnsi="Times New Roman"/>
          <w:highlight w:val="none"/>
          <w:lang w:val="en-US"/>
        </w:rPr>
        <w:t>说明：</w:t>
      </w:r>
      <w:r>
        <w:rPr>
          <w:rFonts w:ascii="Times New Roman" w:hAnsi="Times New Roman"/>
          <w:bCs/>
          <w:color w:val="000000"/>
          <w:highlight w:val="none"/>
        </w:rPr>
        <w:t>如全国销售服务网点过多，可只列出各省区主要城市的主要网点信息</w:t>
      </w:r>
      <w:r>
        <w:rPr>
          <w:rFonts w:ascii="Times New Roman" w:hAnsi="Times New Roman"/>
          <w:highlight w:val="none"/>
        </w:rPr>
        <w:t>。提供工商注册证明或营业执照或长期售后服务协议等能体现与供应商关联的证明文件，加盖供应商公章</w:t>
      </w:r>
      <w:r>
        <w:rPr>
          <w:rFonts w:ascii="Times New Roman" w:hAnsi="Times New Roman"/>
          <w:highlight w:val="none"/>
          <w:lang w:val="en-US"/>
        </w:rPr>
        <w:t>。</w:t>
      </w:r>
    </w:p>
    <w:p>
      <w:pPr>
        <w:pStyle w:val="224"/>
        <w:ind w:firstLine="0" w:firstLineChars="0"/>
        <w:rPr>
          <w:rFonts w:ascii="Times New Roman" w:hAnsi="Times New Roman"/>
          <w:highlight w:val="none"/>
          <w:lang w:val="en-US"/>
        </w:rPr>
      </w:pPr>
    </w:p>
    <w:p>
      <w:pPr>
        <w:ind w:firstLine="420" w:firstLineChars="200"/>
        <w:jc w:val="both"/>
        <w:rPr>
          <w:highlight w:val="none"/>
          <w:lang w:val="en-US"/>
        </w:rPr>
      </w:pPr>
      <w:r>
        <w:rPr>
          <w:highlight w:val="none"/>
          <w:lang w:val="en-US"/>
        </w:rPr>
        <w:t>供应商代表签字或盖章：</w:t>
      </w:r>
    </w:p>
    <w:p>
      <w:pPr>
        <w:ind w:firstLine="420" w:firstLineChars="200"/>
        <w:jc w:val="both"/>
        <w:rPr>
          <w:highlight w:val="none"/>
          <w:lang w:val="en-US"/>
        </w:rPr>
      </w:pPr>
      <w:r>
        <w:rPr>
          <w:highlight w:val="none"/>
          <w:lang w:val="en-US"/>
        </w:rPr>
        <w:t>供应商公章：</w:t>
      </w:r>
    </w:p>
    <w:p>
      <w:pPr>
        <w:ind w:firstLine="420" w:firstLineChars="200"/>
        <w:jc w:val="both"/>
        <w:rPr>
          <w:highlight w:val="none"/>
          <w:lang w:val="en-US"/>
        </w:rPr>
      </w:pPr>
      <w:r>
        <w:rPr>
          <w:highlight w:val="none"/>
          <w:lang w:val="en-US"/>
        </w:rPr>
        <w:t>日期：</w:t>
      </w:r>
    </w:p>
    <w:p>
      <w:pPr>
        <w:pStyle w:val="5"/>
        <w:spacing w:before="120"/>
        <w:rPr>
          <w:highlight w:val="none"/>
        </w:rPr>
      </w:pPr>
      <w:r>
        <w:rPr>
          <w:highlight w:val="none"/>
        </w:rPr>
        <w:t>*交货要求</w:t>
      </w:r>
    </w:p>
    <w:p>
      <w:pPr>
        <w:tabs>
          <w:tab w:val="left" w:pos="0"/>
        </w:tabs>
        <w:spacing w:line="360" w:lineRule="auto"/>
        <w:jc w:val="center"/>
        <w:rPr>
          <w:rFonts w:eastAsia="黑体"/>
          <w:sz w:val="24"/>
          <w:szCs w:val="24"/>
          <w:highlight w:val="none"/>
        </w:rPr>
      </w:pPr>
      <w:r>
        <w:rPr>
          <w:rFonts w:eastAsia="黑体"/>
          <w:sz w:val="24"/>
          <w:szCs w:val="24"/>
          <w:highlight w:val="none"/>
        </w:rPr>
        <w:t>供货周期表</w:t>
      </w:r>
    </w:p>
    <w:tbl>
      <w:tblPr>
        <w:tblStyle w:val="41"/>
        <w:tblW w:w="86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99"/>
        <w:gridCol w:w="1575"/>
        <w:gridCol w:w="903"/>
        <w:gridCol w:w="2100"/>
        <w:gridCol w:w="1559"/>
        <w:gridCol w:w="16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包号</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产品名称</w:t>
            </w: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品牌</w:t>
            </w: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规格型号</w:t>
            </w: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rPr>
            </w:pPr>
            <w:r>
              <w:rPr>
                <w:rFonts w:eastAsia="黑体"/>
                <w:szCs w:val="21"/>
                <w:highlight w:val="none"/>
              </w:rPr>
              <w:t>供货周期（日历日）</w:t>
            </w: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1</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2</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bl>
    <w:p>
      <w:pPr>
        <w:pStyle w:val="224"/>
        <w:rPr>
          <w:rFonts w:ascii="Times New Roman" w:hAnsi="Times New Roman"/>
          <w:highlight w:val="none"/>
        </w:rPr>
      </w:pPr>
      <w:r>
        <w:rPr>
          <w:rFonts w:ascii="Times New Roman" w:hAnsi="Times New Roman"/>
          <w:highlight w:val="none"/>
        </w:rPr>
        <w:t>说明：产品供货时间最长不得超过</w:t>
      </w:r>
      <w:r>
        <w:rPr>
          <w:rFonts w:ascii="Times New Roman" w:hAnsi="Times New Roman"/>
          <w:highlight w:val="none"/>
          <w:lang w:val="en-US"/>
        </w:rPr>
        <w:t>30</w:t>
      </w:r>
      <w:r>
        <w:rPr>
          <w:rFonts w:ascii="Times New Roman" w:hAnsi="Times New Roman"/>
          <w:highlight w:val="none"/>
        </w:rPr>
        <w:t>个日历日，并按采购人指定地点优先供货；供应商可根据不同产品和采购人地点提交具体供货时间。</w:t>
      </w:r>
    </w:p>
    <w:p>
      <w:pPr>
        <w:pStyle w:val="224"/>
        <w:rPr>
          <w:rFonts w:ascii="Times New Roman" w:hAnsi="Times New Roman"/>
          <w:highlight w:val="none"/>
        </w:rPr>
      </w:pPr>
    </w:p>
    <w:p>
      <w:pPr>
        <w:ind w:firstLine="420" w:firstLineChars="200"/>
        <w:jc w:val="both"/>
        <w:rPr>
          <w:highlight w:val="none"/>
          <w:lang w:val="en-US"/>
        </w:rPr>
      </w:pPr>
      <w:r>
        <w:rPr>
          <w:highlight w:val="none"/>
          <w:lang w:val="en-US"/>
        </w:rPr>
        <w:t>供应商代表签字或盖章：</w:t>
      </w:r>
    </w:p>
    <w:p>
      <w:pPr>
        <w:ind w:firstLine="420" w:firstLineChars="200"/>
        <w:jc w:val="both"/>
        <w:rPr>
          <w:highlight w:val="none"/>
          <w:lang w:val="en-US"/>
        </w:rPr>
      </w:pPr>
      <w:r>
        <w:rPr>
          <w:highlight w:val="none"/>
          <w:lang w:val="en-US"/>
        </w:rPr>
        <w:t>供应商公章：</w:t>
      </w:r>
    </w:p>
    <w:p>
      <w:pPr>
        <w:pStyle w:val="224"/>
        <w:rPr>
          <w:rFonts w:ascii="Times New Roman" w:hAnsi="Times New Roman"/>
          <w:highlight w:val="none"/>
        </w:rPr>
      </w:pPr>
      <w:r>
        <w:rPr>
          <w:rFonts w:ascii="Times New Roman" w:hAnsi="Times New Roman"/>
          <w:highlight w:val="none"/>
          <w:lang w:val="en-US"/>
        </w:rPr>
        <w:t>日期：</w:t>
      </w:r>
    </w:p>
    <w:p>
      <w:pPr>
        <w:tabs>
          <w:tab w:val="left" w:pos="0"/>
        </w:tabs>
        <w:spacing w:line="360" w:lineRule="auto"/>
        <w:jc w:val="center"/>
        <w:rPr>
          <w:rFonts w:eastAsia="黑体"/>
          <w:sz w:val="24"/>
          <w:szCs w:val="24"/>
          <w:highlight w:val="none"/>
        </w:rPr>
      </w:pPr>
      <w:r>
        <w:rPr>
          <w:rFonts w:eastAsia="黑体"/>
          <w:sz w:val="24"/>
          <w:szCs w:val="24"/>
          <w:highlight w:val="none"/>
        </w:rPr>
        <w:t>验收服务表</w:t>
      </w:r>
    </w:p>
    <w:tbl>
      <w:tblPr>
        <w:tblStyle w:val="42"/>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0"/>
        <w:gridCol w:w="1500"/>
        <w:gridCol w:w="2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39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本文件服务内容要求</w:t>
            </w:r>
          </w:p>
        </w:tc>
        <w:tc>
          <w:tcPr>
            <w:tcW w:w="150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是否响应</w:t>
            </w:r>
          </w:p>
        </w:tc>
        <w:tc>
          <w:tcPr>
            <w:tcW w:w="2752" w:type="dxa"/>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供应商说明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tcPr>
          <w:p>
            <w:pPr>
              <w:pStyle w:val="224"/>
              <w:widowControl w:val="0"/>
              <w:rPr>
                <w:rFonts w:ascii="Times New Roman" w:hAnsi="Times New Roman"/>
                <w:highlight w:val="none"/>
              </w:rPr>
            </w:pPr>
            <w:r>
              <w:rPr>
                <w:rFonts w:ascii="Times New Roman" w:hAnsi="Times New Roman"/>
                <w:highlight w:val="none"/>
              </w:rPr>
              <w:t>供应商须提供验收服务标准，采购人按照验收服务标准进行验收。</w:t>
            </w:r>
          </w:p>
          <w:p>
            <w:pPr>
              <w:pStyle w:val="224"/>
              <w:widowControl w:val="0"/>
              <w:rPr>
                <w:rFonts w:ascii="Times New Roman" w:hAnsi="Times New Roman"/>
                <w:highlight w:val="none"/>
              </w:rPr>
            </w:pPr>
            <w:r>
              <w:rPr>
                <w:rFonts w:hint="eastAsia" w:ascii="Times New Roman" w:hAnsi="Times New Roman"/>
                <w:highlight w:val="none"/>
              </w:rPr>
              <w:t>产品包装除符合对应技术标准中包装要求外，同时需执行《关于印发&lt;商品包装政府采购需求标准（试行）&gt;、&lt;快递包装政府采购需求标准（试行）&gt;的通知》（财办库〔2020〕123 号）规定。</w:t>
            </w:r>
          </w:p>
          <w:p>
            <w:pPr>
              <w:pStyle w:val="224"/>
              <w:widowControl w:val="0"/>
              <w:rPr>
                <w:rFonts w:ascii="Times New Roman" w:hAnsi="Times New Roman"/>
                <w:highlight w:val="none"/>
              </w:rPr>
            </w:pPr>
            <w:r>
              <w:rPr>
                <w:rFonts w:ascii="Times New Roman" w:hAnsi="Times New Roman"/>
                <w:highlight w:val="none"/>
              </w:rPr>
              <w:t>验收时发现产品发生损毁，或产品规格与订单约定不符，则采购人有权拒收产品，供应商应当及时按照</w:t>
            </w:r>
            <w:r>
              <w:rPr>
                <w:rFonts w:hint="eastAsia" w:ascii="Times New Roman" w:hAnsi="Times New Roman"/>
                <w:highlight w:val="none"/>
              </w:rPr>
              <w:t>征集文件</w:t>
            </w:r>
            <w:r>
              <w:rPr>
                <w:rFonts w:ascii="Times New Roman" w:hAnsi="Times New Roman"/>
                <w:highlight w:val="none"/>
              </w:rPr>
              <w:t>、框架协议等文件中相关约定进行更换或维修，与采购人协商解决直至验收合格。</w:t>
            </w:r>
          </w:p>
        </w:tc>
        <w:tc>
          <w:tcPr>
            <w:tcW w:w="1500" w:type="dxa"/>
          </w:tcPr>
          <w:p>
            <w:pPr>
              <w:tabs>
                <w:tab w:val="left" w:pos="0"/>
              </w:tabs>
              <w:spacing w:line="360" w:lineRule="auto"/>
              <w:jc w:val="center"/>
              <w:rPr>
                <w:rFonts w:eastAsia="黑体"/>
                <w:sz w:val="24"/>
                <w:szCs w:val="24"/>
                <w:highlight w:val="none"/>
              </w:rPr>
            </w:pPr>
          </w:p>
        </w:tc>
        <w:tc>
          <w:tcPr>
            <w:tcW w:w="2752" w:type="dxa"/>
          </w:tcPr>
          <w:p>
            <w:pPr>
              <w:tabs>
                <w:tab w:val="left" w:pos="0"/>
              </w:tabs>
              <w:spacing w:line="360" w:lineRule="auto"/>
              <w:jc w:val="center"/>
              <w:rPr>
                <w:rFonts w:eastAsia="黑体"/>
                <w:sz w:val="24"/>
                <w:szCs w:val="24"/>
                <w:highlight w:val="none"/>
              </w:rPr>
            </w:pPr>
          </w:p>
        </w:tc>
      </w:tr>
    </w:tbl>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说明：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1</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是否响应</w:t>
      </w:r>
      <w:r>
        <w:rPr>
          <w:rFonts w:hint="eastAsia" w:cs="宋体"/>
          <w:highlight w:val="none"/>
          <w:lang w:val="en-US"/>
        </w:rPr>
        <w:t>”一列中必须明确响应“</w:t>
      </w:r>
      <w:r>
        <w:rPr>
          <w:rFonts w:hint="eastAsia" w:cs="宋体"/>
          <w:b/>
          <w:highlight w:val="none"/>
          <w:lang w:val="en-US"/>
        </w:rPr>
        <w:t>是</w:t>
      </w:r>
      <w:r>
        <w:rPr>
          <w:rFonts w:hint="eastAsia" w:cs="宋体"/>
          <w:highlight w:val="none"/>
          <w:lang w:val="en-US"/>
        </w:rPr>
        <w:t>”或“</w:t>
      </w:r>
      <w:r>
        <w:rPr>
          <w:rFonts w:hint="eastAsia" w:cs="宋体"/>
          <w:b/>
          <w:highlight w:val="none"/>
          <w:lang w:val="en-US"/>
        </w:rPr>
        <w:t>否</w:t>
      </w:r>
      <w:r>
        <w:rPr>
          <w:rFonts w:hint="eastAsia" w:cs="宋体"/>
          <w:highlight w:val="none"/>
          <w:lang w:val="en-US"/>
        </w:rPr>
        <w:t>”</w:t>
      </w:r>
      <w:r>
        <w:rPr>
          <w:rFonts w:ascii="Times New Roman" w:hAnsi="Times New Roman"/>
          <w:highlight w:val="none"/>
          <w:lang w:val="en-US"/>
        </w:rPr>
        <w:t>。</w:t>
      </w:r>
    </w:p>
    <w:p>
      <w:pPr>
        <w:pStyle w:val="224"/>
        <w:widowControl w:val="0"/>
        <w:ind w:firstLine="0" w:firstLineChars="0"/>
        <w:rPr>
          <w:rFonts w:ascii="Times New Roman" w:hAnsi="Times New Roman"/>
          <w:highlight w:val="none"/>
        </w:rPr>
      </w:pPr>
      <w:r>
        <w:rPr>
          <w:rFonts w:ascii="Times New Roman" w:hAnsi="Times New Roman"/>
          <w:highlight w:val="none"/>
          <w:lang w:val="en-US"/>
        </w:rPr>
        <w:t>2</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供应商说明</w:t>
      </w:r>
      <w:r>
        <w:rPr>
          <w:rFonts w:hint="eastAsia" w:cs="宋体"/>
          <w:highlight w:val="none"/>
          <w:lang w:val="en-US"/>
        </w:rPr>
        <w:t>”一列中内容过多，可以另附表进行说明补充</w:t>
      </w:r>
      <w:r>
        <w:rPr>
          <w:rFonts w:ascii="Times New Roman" w:hAnsi="Times New Roman"/>
          <w:highlight w:val="none"/>
          <w:lang w:val="en-US"/>
        </w:rPr>
        <w:t>。</w:t>
      </w:r>
    </w:p>
    <w:p>
      <w:pPr>
        <w:pStyle w:val="224"/>
        <w:widowControl w:val="0"/>
        <w:ind w:firstLine="0" w:firstLineChars="0"/>
        <w:rPr>
          <w:rFonts w:ascii="Times New Roman" w:hAnsi="Times New Roman"/>
          <w:highlight w:val="none"/>
          <w:lang w:val="en-US"/>
        </w:rPr>
      </w:pPr>
    </w:p>
    <w:p>
      <w:pPr>
        <w:widowControl w:val="0"/>
        <w:ind w:firstLine="420" w:firstLineChars="200"/>
        <w:jc w:val="both"/>
        <w:rPr>
          <w:highlight w:val="none"/>
          <w:lang w:val="en-US"/>
        </w:rPr>
      </w:pPr>
      <w:r>
        <w:rPr>
          <w:highlight w:val="none"/>
          <w:lang w:val="en-US"/>
        </w:rPr>
        <w:t>供应商代表签字或盖章：</w:t>
      </w:r>
    </w:p>
    <w:p>
      <w:pPr>
        <w:widowControl w:val="0"/>
        <w:ind w:firstLine="420" w:firstLineChars="200"/>
        <w:jc w:val="both"/>
        <w:rPr>
          <w:highlight w:val="none"/>
          <w:lang w:val="en-US"/>
        </w:rPr>
      </w:pPr>
      <w:r>
        <w:rPr>
          <w:highlight w:val="none"/>
          <w:lang w:val="en-US"/>
        </w:rPr>
        <w:t>供应商公章：</w:t>
      </w:r>
    </w:p>
    <w:p>
      <w:pPr>
        <w:widowControl w:val="0"/>
        <w:tabs>
          <w:tab w:val="left" w:pos="0"/>
        </w:tabs>
        <w:spacing w:line="360" w:lineRule="auto"/>
        <w:ind w:firstLine="420" w:firstLineChars="200"/>
        <w:rPr>
          <w:rFonts w:eastAsia="黑体"/>
          <w:sz w:val="24"/>
          <w:szCs w:val="24"/>
          <w:highlight w:val="none"/>
        </w:rPr>
      </w:pPr>
      <w:r>
        <w:rPr>
          <w:highlight w:val="none"/>
          <w:lang w:val="en-US"/>
        </w:rPr>
        <w:t>日期：</w:t>
      </w:r>
    </w:p>
    <w:bookmarkEnd w:id="170"/>
    <w:bookmarkEnd w:id="171"/>
    <w:bookmarkEnd w:id="172"/>
    <w:bookmarkEnd w:id="174"/>
    <w:bookmarkEnd w:id="175"/>
    <w:bookmarkEnd w:id="176"/>
    <w:bookmarkEnd w:id="177"/>
    <w:bookmarkEnd w:id="178"/>
    <w:p>
      <w:pPr>
        <w:pStyle w:val="4"/>
        <w:keepNext w:val="0"/>
        <w:keepLines w:val="0"/>
        <w:spacing w:before="120"/>
        <w:ind w:left="0" w:firstLine="0"/>
        <w:jc w:val="both"/>
        <w:rPr>
          <w:highlight w:val="none"/>
        </w:rPr>
      </w:pPr>
      <w:bookmarkStart w:id="196" w:name="_Toc56157939"/>
      <w:bookmarkEnd w:id="196"/>
      <w:bookmarkStart w:id="197" w:name="_Toc73108192"/>
      <w:bookmarkStart w:id="198" w:name="_Toc142051488"/>
      <w:r>
        <w:rPr>
          <w:highlight w:val="none"/>
        </w:rPr>
        <w:t>中小企业声明函</w:t>
      </w:r>
      <w:bookmarkEnd w:id="197"/>
      <w:bookmarkEnd w:id="198"/>
    </w:p>
    <w:p>
      <w:pPr>
        <w:widowControl w:val="0"/>
        <w:jc w:val="center"/>
        <w:rPr>
          <w:b/>
          <w:bCs/>
          <w:highlight w:val="none"/>
        </w:rPr>
      </w:pPr>
      <w:r>
        <w:rPr>
          <w:b/>
          <w:bCs/>
          <w:highlight w:val="none"/>
        </w:rPr>
        <w:t>中小企业声明函</w:t>
      </w:r>
    </w:p>
    <w:p>
      <w:pPr>
        <w:widowControl w:val="0"/>
        <w:ind w:firstLine="422" w:firstLineChars="200"/>
        <w:jc w:val="center"/>
        <w:rPr>
          <w:b/>
          <w:bCs/>
          <w:highlight w:val="none"/>
        </w:rPr>
      </w:pPr>
    </w:p>
    <w:p>
      <w:pPr>
        <w:widowControl w:val="0"/>
        <w:ind w:firstLine="420" w:firstLineChars="200"/>
        <w:rPr>
          <w:highlight w:val="none"/>
          <w:lang w:val="en-US"/>
        </w:rPr>
      </w:pPr>
      <w:r>
        <w:rPr>
          <w:highlight w:val="none"/>
          <w:lang w:val="en-US"/>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pPr>
        <w:widowControl w:val="0"/>
        <w:ind w:firstLine="420" w:firstLineChars="200"/>
        <w:rPr>
          <w:highlight w:val="none"/>
          <w:lang w:val="en-US"/>
        </w:rPr>
      </w:pPr>
      <w:r>
        <w:rPr>
          <w:highlight w:val="none"/>
          <w:lang w:val="en-US"/>
        </w:rPr>
        <w:t>1.</w:t>
      </w:r>
      <w:r>
        <w:rPr>
          <w:highlight w:val="none"/>
          <w:u w:val="single"/>
          <w:lang w:val="en-US"/>
        </w:rPr>
        <w:t xml:space="preserve">  </w:t>
      </w:r>
      <w:r>
        <w:rPr>
          <w:rFonts w:hint="eastAsia"/>
          <w:highlight w:val="none"/>
          <w:u w:val="single"/>
          <w:lang w:val="en-US"/>
        </w:rPr>
        <w:t xml:space="preserve"> </w:t>
      </w:r>
      <w:r>
        <w:rPr>
          <w:highlight w:val="none"/>
          <w:u w:val="single"/>
          <w:lang w:val="en-US"/>
        </w:rPr>
        <w:t xml:space="preserve"> （标的名称）</w:t>
      </w:r>
      <w:r>
        <w:rPr>
          <w:highlight w:val="none"/>
          <w:lang w:val="en-US"/>
        </w:rPr>
        <w:t>，属于</w:t>
      </w:r>
      <w:r>
        <w:rPr>
          <w:rFonts w:hint="eastAsia"/>
          <w:highlight w:val="none"/>
          <w:u w:val="single"/>
          <w:lang w:val="en-US"/>
        </w:rPr>
        <w:t xml:space="preserve"> </w:t>
      </w:r>
      <w:r>
        <w:rPr>
          <w:highlight w:val="none"/>
          <w:u w:val="single"/>
          <w:lang w:val="en-US"/>
        </w:rPr>
        <w:t xml:space="preserve">     （采购文件中明确的所属行业）</w:t>
      </w:r>
      <w:r>
        <w:rPr>
          <w:highlight w:val="none"/>
          <w:lang w:val="en-US"/>
        </w:rPr>
        <w:t>行业；制造商为</w:t>
      </w:r>
      <w:r>
        <w:rPr>
          <w:rFonts w:hint="eastAsia"/>
          <w:highlight w:val="none"/>
          <w:u w:val="single"/>
          <w:lang w:val="en-US"/>
        </w:rPr>
        <w:t xml:space="preserve"> </w:t>
      </w:r>
      <w:r>
        <w:rPr>
          <w:highlight w:val="none"/>
          <w:u w:val="single"/>
          <w:lang w:val="en-US"/>
        </w:rPr>
        <w:t xml:space="preserve">       </w:t>
      </w:r>
      <w:r>
        <w:rPr>
          <w:rFonts w:hint="eastAsia"/>
          <w:highlight w:val="none"/>
          <w:u w:val="single"/>
          <w:lang w:val="en-US"/>
        </w:rPr>
        <w:t>（</w:t>
      </w:r>
      <w:r>
        <w:rPr>
          <w:highlight w:val="none"/>
          <w:u w:val="single"/>
          <w:lang w:val="en-US"/>
        </w:rPr>
        <w:t>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万元，资产总额为</w:t>
      </w:r>
      <w:r>
        <w:rPr>
          <w:highlight w:val="none"/>
          <w:u w:val="single"/>
          <w:lang w:val="en-US"/>
        </w:rPr>
        <w:tab/>
      </w:r>
      <w:r>
        <w:rPr>
          <w:highlight w:val="none"/>
          <w:lang w:val="en-US"/>
        </w:rPr>
        <w:t>万元，属于</w:t>
      </w:r>
      <w:r>
        <w:rPr>
          <w:rFonts w:hint="eastAsia"/>
          <w:highlight w:val="none"/>
          <w:u w:val="single"/>
          <w:lang w:val="en-US"/>
        </w:rPr>
        <w:t xml:space="preserve"> </w:t>
      </w:r>
      <w:r>
        <w:rPr>
          <w:highlight w:val="none"/>
          <w:u w:val="single"/>
          <w:lang w:val="en-US"/>
        </w:rPr>
        <w:t xml:space="preserve">    （中型企业、小型企业、微型企业）</w:t>
      </w:r>
      <w:r>
        <w:rPr>
          <w:highlight w:val="none"/>
          <w:lang w:val="en-US"/>
        </w:rPr>
        <w:t>；</w:t>
      </w:r>
    </w:p>
    <w:p>
      <w:pPr>
        <w:widowControl w:val="0"/>
        <w:ind w:firstLine="420" w:firstLineChars="200"/>
        <w:rPr>
          <w:highlight w:val="none"/>
          <w:lang w:val="en-US"/>
        </w:rPr>
      </w:pPr>
      <w:r>
        <w:rPr>
          <w:highlight w:val="none"/>
          <w:lang w:val="en-US"/>
        </w:rPr>
        <w:t>2.</w:t>
      </w:r>
      <w:r>
        <w:rPr>
          <w:highlight w:val="none"/>
          <w:u w:val="single"/>
          <w:lang w:val="en-US"/>
        </w:rPr>
        <w:t xml:space="preserve"> </w:t>
      </w:r>
      <w:r>
        <w:rPr>
          <w:rFonts w:hint="eastAsia"/>
          <w:highlight w:val="none"/>
          <w:u w:val="single"/>
          <w:lang w:val="en-US"/>
        </w:rPr>
        <w:t xml:space="preserve"> </w:t>
      </w:r>
      <w:r>
        <w:rPr>
          <w:highlight w:val="none"/>
          <w:u w:val="single"/>
          <w:lang w:val="en-US"/>
        </w:rPr>
        <w:t xml:space="preserve">  （标的名称）</w:t>
      </w:r>
      <w:r>
        <w:rPr>
          <w:highlight w:val="none"/>
          <w:lang w:val="en-US"/>
        </w:rPr>
        <w:t>，属于</w:t>
      </w:r>
      <w:r>
        <w:rPr>
          <w:rFonts w:hint="eastAsia"/>
          <w:highlight w:val="none"/>
          <w:u w:val="single"/>
          <w:lang w:val="en-US"/>
        </w:rPr>
        <w:t xml:space="preserve"> </w:t>
      </w:r>
      <w:r>
        <w:rPr>
          <w:highlight w:val="none"/>
          <w:u w:val="single"/>
          <w:lang w:val="en-US"/>
        </w:rPr>
        <w:t xml:space="preserve">     （采购文件中明确的所属行业）</w:t>
      </w:r>
      <w:r>
        <w:rPr>
          <w:highlight w:val="none"/>
          <w:lang w:val="en-US"/>
        </w:rPr>
        <w:t>行业；制造商为</w:t>
      </w:r>
      <w:r>
        <w:rPr>
          <w:rFonts w:hint="eastAsia"/>
          <w:highlight w:val="none"/>
          <w:u w:val="single"/>
          <w:lang w:val="en-US"/>
        </w:rPr>
        <w:t xml:space="preserve"> </w:t>
      </w:r>
      <w:r>
        <w:rPr>
          <w:highlight w:val="none"/>
          <w:u w:val="single"/>
          <w:lang w:val="en-US"/>
        </w:rPr>
        <w:t xml:space="preserve">      （企业名称）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w:t>
      </w:r>
      <w:r>
        <w:rPr>
          <w:rFonts w:hint="eastAsia"/>
          <w:highlight w:val="none"/>
          <w:lang w:val="en-US"/>
        </w:rPr>
        <w:t xml:space="preserve"> </w:t>
      </w:r>
      <w:r>
        <w:rPr>
          <w:highlight w:val="none"/>
          <w:lang w:val="en-US"/>
        </w:rPr>
        <w:t>，资产总额为</w:t>
      </w:r>
      <w:r>
        <w:rPr>
          <w:highlight w:val="none"/>
          <w:u w:val="single"/>
          <w:lang w:val="en-US"/>
        </w:rPr>
        <w:tab/>
      </w:r>
      <w:r>
        <w:rPr>
          <w:highlight w:val="none"/>
          <w:lang w:val="en-US"/>
        </w:rPr>
        <w:t>万元，属于</w:t>
      </w:r>
      <w:r>
        <w:rPr>
          <w:rFonts w:hint="eastAsia"/>
          <w:highlight w:val="none"/>
          <w:u w:val="single"/>
          <w:lang w:val="en-US"/>
        </w:rPr>
        <w:t xml:space="preserve"> </w:t>
      </w:r>
      <w:r>
        <w:rPr>
          <w:highlight w:val="none"/>
          <w:u w:val="single"/>
          <w:lang w:val="en-US"/>
        </w:rPr>
        <w:t xml:space="preserve">   （中型企业、小型企业、微型企业）</w:t>
      </w:r>
      <w:r>
        <w:rPr>
          <w:highlight w:val="none"/>
          <w:lang w:val="en-US"/>
        </w:rPr>
        <w:t>；</w:t>
      </w:r>
    </w:p>
    <w:p>
      <w:pPr>
        <w:widowControl w:val="0"/>
        <w:ind w:firstLine="420" w:firstLineChars="200"/>
        <w:rPr>
          <w:highlight w:val="none"/>
          <w:lang w:val="en-US"/>
        </w:rPr>
      </w:pPr>
      <w:r>
        <w:rPr>
          <w:highlight w:val="none"/>
          <w:lang w:val="en-US"/>
        </w:rPr>
        <w:t>……</w:t>
      </w:r>
    </w:p>
    <w:p>
      <w:pPr>
        <w:widowControl w:val="0"/>
        <w:ind w:firstLine="420" w:firstLineChars="200"/>
        <w:rPr>
          <w:highlight w:val="none"/>
          <w:lang w:val="en-US"/>
        </w:rPr>
      </w:pPr>
      <w:r>
        <w:rPr>
          <w:highlight w:val="none"/>
          <w:lang w:val="en-US"/>
        </w:rPr>
        <w:t>以上企业，不属于大企业的分支机构，不存在控股股东为大企业的情形，也不存在与大企业的负责人为同一人的情形。</w:t>
      </w:r>
    </w:p>
    <w:p>
      <w:pPr>
        <w:widowControl w:val="0"/>
        <w:ind w:firstLine="420" w:firstLineChars="200"/>
        <w:rPr>
          <w:highlight w:val="none"/>
          <w:lang w:val="en-US"/>
        </w:rPr>
      </w:pPr>
      <w:r>
        <w:rPr>
          <w:highlight w:val="none"/>
          <w:lang w:val="en-US"/>
        </w:rPr>
        <w:t>本企业对上述声明内容的真实性负责。如有虚假，将依法承担相应责任。</w:t>
      </w:r>
    </w:p>
    <w:p>
      <w:pPr>
        <w:widowControl w:val="0"/>
        <w:ind w:right="840" w:rightChars="400" w:firstLine="420" w:firstLineChars="200"/>
        <w:rPr>
          <w:highlight w:val="none"/>
          <w:lang w:val="en-US"/>
        </w:rPr>
      </w:pPr>
    </w:p>
    <w:p>
      <w:pPr>
        <w:widowControl w:val="0"/>
        <w:ind w:right="840" w:rightChars="400" w:firstLine="420" w:firstLineChars="200"/>
        <w:jc w:val="right"/>
        <w:rPr>
          <w:highlight w:val="none"/>
          <w:lang w:val="en-US"/>
        </w:rPr>
      </w:pPr>
      <w:r>
        <w:rPr>
          <w:rFonts w:hint="eastAsia"/>
          <w:highlight w:val="none"/>
        </w:rPr>
        <w:t>企业名称</w:t>
      </w:r>
      <w:r>
        <w:rPr>
          <w:highlight w:val="none"/>
          <w:lang w:val="en-US"/>
        </w:rPr>
        <w:t>（盖章）：</w:t>
      </w:r>
    </w:p>
    <w:p>
      <w:pPr>
        <w:widowControl w:val="0"/>
        <w:ind w:right="840" w:rightChars="400" w:firstLine="420" w:firstLineChars="200"/>
        <w:jc w:val="right"/>
        <w:rPr>
          <w:highlight w:val="none"/>
          <w:lang w:val="en-US"/>
        </w:rPr>
      </w:pPr>
      <w:r>
        <w:rPr>
          <w:highlight w:val="none"/>
          <w:lang w:val="en-US"/>
        </w:rPr>
        <w:t>日期：</w:t>
      </w:r>
    </w:p>
    <w:p>
      <w:pPr>
        <w:ind w:firstLine="420" w:firstLineChars="200"/>
        <w:rPr>
          <w:highlight w:val="none"/>
          <w:lang w:val="en-US"/>
        </w:rPr>
      </w:pPr>
      <w:r>
        <w:rPr>
          <w:highlight w:val="none"/>
        </w:rPr>
        <w:t>（注：</w:t>
      </w:r>
      <w:r>
        <w:rPr>
          <w:rFonts w:hint="eastAsia"/>
          <w:highlight w:val="none"/>
          <w:lang w:val="en-US"/>
        </w:rPr>
        <w:t>响应人</w:t>
      </w:r>
      <w:r>
        <w:rPr>
          <w:highlight w:val="none"/>
          <w:lang w:val="en-US"/>
        </w:rPr>
        <w:t>提供由省级以上监狱管理局、戒毒管理局（含新疆生产建设兵团）出具的属于监狱企业证明文件的，视同为小型和微型企业</w:t>
      </w:r>
      <w:r>
        <w:rPr>
          <w:rFonts w:hint="eastAsia"/>
          <w:highlight w:val="none"/>
          <w:lang w:val="en-US"/>
        </w:rPr>
        <w:t>。</w:t>
      </w:r>
      <w:r>
        <w:rPr>
          <w:highlight w:val="none"/>
          <w:lang w:val="en-US"/>
        </w:rPr>
        <w:t>从业人员、营业收入、资产总额填报上一年度数据，无上一年度数据的新成立企业可不填报。</w:t>
      </w:r>
      <w:r>
        <w:rPr>
          <w:highlight w:val="none"/>
        </w:rPr>
        <w:t>）</w:t>
      </w:r>
    </w:p>
    <w:p>
      <w:pPr>
        <w:pStyle w:val="4"/>
        <w:keepNext w:val="0"/>
        <w:keepLines w:val="0"/>
        <w:spacing w:before="120"/>
        <w:ind w:left="0" w:firstLine="0"/>
        <w:jc w:val="both"/>
        <w:rPr>
          <w:highlight w:val="none"/>
        </w:rPr>
      </w:pPr>
      <w:bookmarkStart w:id="199" w:name="_Toc142051489"/>
      <w:bookmarkStart w:id="200" w:name="_Toc73108193"/>
      <w:r>
        <w:rPr>
          <w:highlight w:val="none"/>
        </w:rPr>
        <w:t>残疾人福利性单位声明函</w:t>
      </w:r>
      <w:bookmarkEnd w:id="199"/>
      <w:bookmarkEnd w:id="200"/>
    </w:p>
    <w:p>
      <w:pPr>
        <w:widowControl w:val="0"/>
        <w:jc w:val="center"/>
        <w:rPr>
          <w:b/>
          <w:bCs/>
          <w:highlight w:val="none"/>
        </w:rPr>
      </w:pPr>
      <w:r>
        <w:rPr>
          <w:b/>
          <w:bCs/>
          <w:highlight w:val="none"/>
        </w:rPr>
        <w:t>残疾人福利性单位声明函</w:t>
      </w:r>
    </w:p>
    <w:p>
      <w:pPr>
        <w:widowControl w:val="0"/>
        <w:ind w:firstLine="422" w:firstLineChars="200"/>
        <w:jc w:val="center"/>
        <w:rPr>
          <w:b/>
          <w:bCs/>
          <w:highlight w:val="none"/>
        </w:rPr>
      </w:pPr>
    </w:p>
    <w:p>
      <w:pPr>
        <w:widowControl w:val="0"/>
        <w:ind w:firstLine="420" w:firstLineChars="200"/>
        <w:jc w:val="both"/>
        <w:rPr>
          <w:highlight w:val="none"/>
        </w:rPr>
      </w:pPr>
      <w:r>
        <w:rPr>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val="0"/>
        <w:ind w:firstLine="420" w:firstLineChars="200"/>
        <w:jc w:val="both"/>
        <w:rPr>
          <w:highlight w:val="none"/>
        </w:rPr>
      </w:pPr>
      <w:r>
        <w:rPr>
          <w:highlight w:val="none"/>
        </w:rPr>
        <w:t>本单位对上述声明的真实性负责。如有虚假，将依法承担相应责任。</w:t>
      </w:r>
    </w:p>
    <w:p>
      <w:pPr>
        <w:widowControl w:val="0"/>
        <w:ind w:firstLine="420" w:firstLineChars="200"/>
        <w:jc w:val="both"/>
        <w:rPr>
          <w:highlight w:val="none"/>
        </w:rPr>
      </w:pPr>
    </w:p>
    <w:p>
      <w:pPr>
        <w:widowControl w:val="0"/>
        <w:ind w:right="840" w:rightChars="400" w:firstLine="420" w:firstLineChars="200"/>
        <w:jc w:val="right"/>
        <w:rPr>
          <w:highlight w:val="none"/>
        </w:rPr>
      </w:pPr>
      <w:r>
        <w:rPr>
          <w:highlight w:val="none"/>
        </w:rPr>
        <w:t>供应商名称（盖章）：</w:t>
      </w:r>
    </w:p>
    <w:p>
      <w:pPr>
        <w:widowControl w:val="0"/>
        <w:ind w:right="840" w:rightChars="400" w:firstLine="420" w:firstLineChars="200"/>
        <w:jc w:val="right"/>
        <w:rPr>
          <w:highlight w:val="none"/>
        </w:rPr>
      </w:pPr>
      <w:r>
        <w:rPr>
          <w:highlight w:val="none"/>
        </w:rPr>
        <w:t>日期：</w:t>
      </w:r>
    </w:p>
    <w:p>
      <w:pPr>
        <w:widowControl w:val="0"/>
        <w:ind w:firstLine="420" w:firstLineChars="200"/>
        <w:jc w:val="both"/>
        <w:rPr>
          <w:szCs w:val="22"/>
          <w:highlight w:val="none"/>
        </w:rPr>
      </w:pPr>
    </w:p>
    <w:p>
      <w:pPr>
        <w:widowControl w:val="0"/>
        <w:ind w:firstLine="420" w:firstLineChars="200"/>
        <w:jc w:val="both"/>
        <w:rPr>
          <w:szCs w:val="22"/>
          <w:highlight w:val="none"/>
        </w:rPr>
      </w:pPr>
      <w:r>
        <w:rPr>
          <w:szCs w:val="22"/>
          <w:highlight w:val="none"/>
        </w:rPr>
        <w:t>（注：符合享受政府采购支持政策的残疾人福利性单位条件且提供《残疾人福利性单位声明函》的，视同为小型和微型企业。）</w:t>
      </w:r>
    </w:p>
    <w:p>
      <w:pPr>
        <w:pStyle w:val="2"/>
        <w:rPr>
          <w:highlight w:val="none"/>
        </w:rPr>
      </w:pPr>
    </w:p>
    <w:p>
      <w:pPr>
        <w:rPr>
          <w:highlight w:val="none"/>
        </w:rPr>
      </w:pPr>
    </w:p>
    <w:p>
      <w:pPr>
        <w:pStyle w:val="4"/>
        <w:keepNext w:val="0"/>
        <w:keepLines w:val="0"/>
        <w:spacing w:before="120"/>
        <w:ind w:left="0" w:firstLine="0"/>
        <w:jc w:val="both"/>
        <w:rPr>
          <w:highlight w:val="none"/>
        </w:rPr>
      </w:pPr>
      <w:bookmarkStart w:id="201" w:name="_Toc142051490"/>
      <w:r>
        <w:rPr>
          <w:rFonts w:hint="eastAsia"/>
          <w:highlight w:val="none"/>
        </w:rPr>
        <w:t>报名函</w:t>
      </w:r>
      <w:bookmarkEnd w:id="201"/>
    </w:p>
    <w:p>
      <w:pPr>
        <w:tabs>
          <w:tab w:val="left" w:pos="0"/>
        </w:tabs>
        <w:spacing w:line="600" w:lineRule="exact"/>
        <w:jc w:val="center"/>
        <w:rPr>
          <w:rFonts w:eastAsia="方正小标宋简体"/>
          <w:sz w:val="28"/>
          <w:szCs w:val="28"/>
          <w:highlight w:val="none"/>
        </w:rPr>
      </w:pPr>
      <w:r>
        <w:rPr>
          <w:rFonts w:hint="eastAsia" w:eastAsia="方正小标宋简体"/>
          <w:sz w:val="28"/>
          <w:szCs w:val="28"/>
          <w:highlight w:val="none"/>
        </w:rPr>
        <w:t>报名函</w:t>
      </w:r>
    </w:p>
    <w:p>
      <w:pPr>
        <w:tabs>
          <w:tab w:val="left" w:pos="0"/>
        </w:tabs>
        <w:spacing w:line="360" w:lineRule="exact"/>
        <w:rPr>
          <w:kern w:val="0"/>
          <w:szCs w:val="21"/>
          <w:highlight w:val="none"/>
        </w:rPr>
      </w:pPr>
      <w:r>
        <w:rPr>
          <w:kern w:val="0"/>
          <w:szCs w:val="21"/>
          <w:highlight w:val="none"/>
        </w:rPr>
        <w:t>公安部警用装备采购中心：</w:t>
      </w:r>
    </w:p>
    <w:p>
      <w:pPr>
        <w:tabs>
          <w:tab w:val="left" w:pos="0"/>
        </w:tabs>
        <w:spacing w:line="360" w:lineRule="exact"/>
        <w:ind w:firstLine="420" w:firstLineChars="200"/>
        <w:rPr>
          <w:kern w:val="0"/>
          <w:szCs w:val="21"/>
          <w:highlight w:val="none"/>
        </w:rPr>
      </w:pPr>
      <w:r>
        <w:rPr>
          <w:kern w:val="0"/>
          <w:szCs w:val="21"/>
          <w:highlight w:val="none"/>
        </w:rPr>
        <w:t>我公司，确认于</w:t>
      </w:r>
      <w:r>
        <w:rPr>
          <w:kern w:val="0"/>
          <w:szCs w:val="21"/>
          <w:highlight w:val="none"/>
          <w:u w:val="single"/>
          <w:lang w:val="en-US"/>
        </w:rPr>
        <w:t>xx</w:t>
      </w:r>
      <w:r>
        <w:rPr>
          <w:kern w:val="0"/>
          <w:szCs w:val="21"/>
          <w:highlight w:val="none"/>
        </w:rPr>
        <w:t>年</w:t>
      </w:r>
      <w:r>
        <w:rPr>
          <w:kern w:val="0"/>
          <w:szCs w:val="21"/>
          <w:highlight w:val="none"/>
          <w:u w:val="single"/>
          <w:lang w:val="en-US"/>
        </w:rPr>
        <w:t>xx</w:t>
      </w:r>
      <w:r>
        <w:rPr>
          <w:kern w:val="0"/>
          <w:szCs w:val="21"/>
          <w:highlight w:val="none"/>
        </w:rPr>
        <w:t>月</w:t>
      </w:r>
      <w:r>
        <w:rPr>
          <w:kern w:val="0"/>
          <w:szCs w:val="21"/>
          <w:highlight w:val="none"/>
          <w:u w:val="single"/>
          <w:lang w:val="en-US"/>
        </w:rPr>
        <w:t>xx日</w:t>
      </w:r>
      <w:r>
        <w:rPr>
          <w:kern w:val="0"/>
          <w:szCs w:val="21"/>
          <w:highlight w:val="none"/>
        </w:rPr>
        <w:t>参加贵中心组织的</w:t>
      </w:r>
      <w:r>
        <w:rPr>
          <w:kern w:val="0"/>
          <w:szCs w:val="21"/>
          <w:highlight w:val="none"/>
          <w:lang w:val="en-US"/>
        </w:rPr>
        <w:t>_______</w:t>
      </w:r>
      <w:r>
        <w:rPr>
          <w:kern w:val="0"/>
          <w:szCs w:val="21"/>
          <w:highlight w:val="none"/>
        </w:rPr>
        <w:t>采购项目（项目编号：）的第</w:t>
      </w:r>
      <w:r>
        <w:rPr>
          <w:kern w:val="0"/>
          <w:szCs w:val="21"/>
          <w:highlight w:val="none"/>
          <w:u w:val="single"/>
          <w:lang w:val="en-US"/>
        </w:rPr>
        <w:t xml:space="preserve">   </w:t>
      </w:r>
      <w:r>
        <w:rPr>
          <w:kern w:val="0"/>
          <w:szCs w:val="21"/>
          <w:highlight w:val="none"/>
        </w:rPr>
        <w:t>包，并承诺严格遵守采购文件的有关要求。如有变动，我公司将去函告知。联系人：</w:t>
      </w:r>
      <w:r>
        <w:rPr>
          <w:kern w:val="0"/>
          <w:szCs w:val="21"/>
          <w:highlight w:val="none"/>
          <w:lang w:val="en-US"/>
        </w:rPr>
        <w:t>_______</w:t>
      </w:r>
      <w:r>
        <w:rPr>
          <w:kern w:val="0"/>
          <w:szCs w:val="21"/>
          <w:highlight w:val="none"/>
        </w:rPr>
        <w:t>，联系电话：</w:t>
      </w:r>
      <w:r>
        <w:rPr>
          <w:kern w:val="0"/>
          <w:szCs w:val="21"/>
          <w:highlight w:val="none"/>
          <w:lang w:val="en-US"/>
        </w:rPr>
        <w:t>_______</w:t>
      </w:r>
      <w:r>
        <w:rPr>
          <w:kern w:val="0"/>
          <w:szCs w:val="21"/>
          <w:highlight w:val="none"/>
        </w:rPr>
        <w:t>。</w:t>
      </w:r>
    </w:p>
    <w:p>
      <w:pPr>
        <w:pStyle w:val="2"/>
        <w:rPr>
          <w:highlight w:val="none"/>
        </w:rPr>
      </w:pPr>
    </w:p>
    <w:p>
      <w:pPr>
        <w:rPr>
          <w:highlight w:val="none"/>
        </w:rPr>
      </w:pPr>
    </w:p>
    <w:p>
      <w:pPr>
        <w:pStyle w:val="2"/>
        <w:rPr>
          <w:highlight w:val="none"/>
        </w:rPr>
      </w:pPr>
    </w:p>
    <w:p>
      <w:pPr>
        <w:rPr>
          <w:highlight w:val="none"/>
          <w:lang w:val="en-US"/>
        </w:rPr>
      </w:pPr>
      <w:r>
        <w:rPr>
          <w:highlight w:val="none"/>
          <w:lang w:val="en-US"/>
        </w:rPr>
        <w:t>与本</w:t>
      </w:r>
      <w:r>
        <w:rPr>
          <w:rFonts w:hint="eastAsia"/>
          <w:highlight w:val="none"/>
          <w:lang w:val="en-US"/>
        </w:rPr>
        <w:t>项目</w:t>
      </w:r>
      <w:r>
        <w:rPr>
          <w:highlight w:val="none"/>
          <w:lang w:val="en-US"/>
        </w:rPr>
        <w:t>有关的一切往来通讯请寄：</w:t>
      </w:r>
    </w:p>
    <w:p>
      <w:pPr>
        <w:rPr>
          <w:highlight w:val="none"/>
          <w:lang w:val="en-US"/>
        </w:rPr>
      </w:pPr>
      <w:r>
        <w:rPr>
          <w:highlight w:val="none"/>
          <w:lang w:val="en-US"/>
        </w:rPr>
        <w:tab/>
      </w:r>
      <w:r>
        <w:rPr>
          <w:highlight w:val="none"/>
          <w:lang w:val="en-US"/>
        </w:rPr>
        <w:t>地址：____________</w:t>
      </w:r>
    </w:p>
    <w:p>
      <w:pPr>
        <w:rPr>
          <w:highlight w:val="none"/>
          <w:lang w:val="en-US"/>
        </w:rPr>
      </w:pPr>
      <w:r>
        <w:rPr>
          <w:highlight w:val="none"/>
          <w:lang w:val="en-US"/>
        </w:rPr>
        <w:tab/>
      </w:r>
      <w:r>
        <w:rPr>
          <w:highlight w:val="none"/>
          <w:lang w:val="en-US"/>
        </w:rPr>
        <w:t>邮编：____________　</w:t>
      </w:r>
    </w:p>
    <w:p>
      <w:pPr>
        <w:rPr>
          <w:highlight w:val="none"/>
          <w:u w:val="single"/>
          <w:lang w:val="en-US"/>
        </w:rPr>
      </w:pPr>
      <w:r>
        <w:rPr>
          <w:rFonts w:hint="eastAsia"/>
          <w:highlight w:val="none"/>
          <w:lang w:val="en-US"/>
        </w:rPr>
        <w:t>邮箱</w:t>
      </w:r>
      <w:r>
        <w:rPr>
          <w:highlight w:val="none"/>
          <w:lang w:val="en-US"/>
        </w:rPr>
        <w:t>：</w:t>
      </w:r>
      <w:r>
        <w:rPr>
          <w:rFonts w:hint="eastAsia"/>
          <w:highlight w:val="none"/>
          <w:u w:val="single"/>
          <w:lang w:val="en-US"/>
        </w:rPr>
        <w:t xml:space="preserve">            </w:t>
      </w:r>
    </w:p>
    <w:p>
      <w:pPr>
        <w:rPr>
          <w:highlight w:val="none"/>
          <w:lang w:val="en-US"/>
        </w:rPr>
      </w:pPr>
      <w:r>
        <w:rPr>
          <w:highlight w:val="none"/>
          <w:lang w:val="en-US"/>
        </w:rPr>
        <w:tab/>
      </w:r>
      <w:r>
        <w:rPr>
          <w:highlight w:val="none"/>
          <w:lang w:val="en-US"/>
        </w:rPr>
        <w:t>电话：____________　</w:t>
      </w:r>
    </w:p>
    <w:p>
      <w:pPr>
        <w:rPr>
          <w:highlight w:val="none"/>
          <w:lang w:val="en-US"/>
        </w:rPr>
      </w:pPr>
      <w:r>
        <w:rPr>
          <w:highlight w:val="none"/>
          <w:lang w:val="en-US"/>
        </w:rPr>
        <w:tab/>
      </w:r>
      <w:r>
        <w:rPr>
          <w:highlight w:val="none"/>
          <w:lang w:val="en-US"/>
        </w:rPr>
        <w:t>传真：____________</w:t>
      </w:r>
    </w:p>
    <w:p>
      <w:pPr>
        <w:tabs>
          <w:tab w:val="left" w:pos="0"/>
        </w:tabs>
        <w:spacing w:line="360" w:lineRule="exact"/>
        <w:ind w:firstLine="420" w:firstLineChars="200"/>
        <w:rPr>
          <w:szCs w:val="21"/>
          <w:highlight w:val="none"/>
        </w:rPr>
      </w:pPr>
      <w:r>
        <w:rPr>
          <w:szCs w:val="21"/>
          <w:highlight w:val="none"/>
        </w:rPr>
        <w:t xml:space="preserve">                          </w:t>
      </w:r>
    </w:p>
    <w:p>
      <w:pPr>
        <w:tabs>
          <w:tab w:val="left" w:pos="0"/>
        </w:tabs>
        <w:spacing w:line="360" w:lineRule="exact"/>
        <w:rPr>
          <w:szCs w:val="21"/>
          <w:highlight w:val="none"/>
        </w:rPr>
      </w:pPr>
    </w:p>
    <w:p>
      <w:pPr>
        <w:tabs>
          <w:tab w:val="left" w:pos="0"/>
        </w:tabs>
        <w:spacing w:line="360" w:lineRule="exact"/>
        <w:rPr>
          <w:szCs w:val="21"/>
          <w:highlight w:val="none"/>
        </w:rPr>
      </w:pPr>
      <w:r>
        <w:rPr>
          <w:rFonts w:hint="eastAsia"/>
          <w:szCs w:val="21"/>
          <w:highlight w:val="none"/>
        </w:rPr>
        <w:t>响应人</w:t>
      </w:r>
      <w:r>
        <w:rPr>
          <w:szCs w:val="21"/>
          <w:highlight w:val="none"/>
        </w:rPr>
        <w:t xml:space="preserve">名称（全称并加盖公章）：___                  </w:t>
      </w:r>
    </w:p>
    <w:p>
      <w:pPr>
        <w:tabs>
          <w:tab w:val="left" w:pos="0"/>
        </w:tabs>
        <w:spacing w:line="360" w:lineRule="exact"/>
        <w:rPr>
          <w:szCs w:val="21"/>
          <w:highlight w:val="none"/>
        </w:rPr>
      </w:pPr>
      <w:bookmarkStart w:id="202" w:name="_Toc10969_WPSOffice_Level2"/>
      <w:r>
        <w:rPr>
          <w:rFonts w:hint="eastAsia"/>
          <w:szCs w:val="21"/>
          <w:highlight w:val="none"/>
        </w:rPr>
        <w:t>响应人</w:t>
      </w:r>
      <w:r>
        <w:rPr>
          <w:szCs w:val="21"/>
          <w:highlight w:val="none"/>
        </w:rPr>
        <w:t>代表签名：_________________</w:t>
      </w:r>
      <w:bookmarkEnd w:id="202"/>
      <w:r>
        <w:rPr>
          <w:szCs w:val="21"/>
          <w:highlight w:val="none"/>
        </w:rPr>
        <w:t xml:space="preserve">     </w:t>
      </w:r>
    </w:p>
    <w:p>
      <w:pPr>
        <w:tabs>
          <w:tab w:val="left" w:pos="0"/>
        </w:tabs>
        <w:spacing w:line="360" w:lineRule="exact"/>
        <w:rPr>
          <w:szCs w:val="21"/>
          <w:highlight w:val="none"/>
        </w:rPr>
      </w:pPr>
      <w:bookmarkStart w:id="203" w:name="_Toc5750_WPSOffice_Level2"/>
      <w:r>
        <w:rPr>
          <w:rFonts w:hint="eastAsia"/>
          <w:szCs w:val="21"/>
          <w:highlight w:val="none"/>
        </w:rPr>
        <w:t>响应人</w:t>
      </w:r>
      <w:r>
        <w:rPr>
          <w:szCs w:val="21"/>
          <w:highlight w:val="none"/>
        </w:rPr>
        <w:t>联系方式：_________________</w:t>
      </w:r>
      <w:bookmarkEnd w:id="203"/>
      <w:r>
        <w:rPr>
          <w:szCs w:val="21"/>
          <w:highlight w:val="none"/>
        </w:rPr>
        <w:t xml:space="preserve"> </w:t>
      </w:r>
    </w:p>
    <w:p>
      <w:pPr>
        <w:tabs>
          <w:tab w:val="left" w:pos="0"/>
        </w:tabs>
        <w:spacing w:line="360" w:lineRule="exact"/>
        <w:jc w:val="both"/>
        <w:rPr>
          <w:szCs w:val="21"/>
          <w:highlight w:val="none"/>
          <w:u w:val="single"/>
        </w:rPr>
      </w:pPr>
      <w:bookmarkStart w:id="204" w:name="_Toc31591_WPSOffice_Level2"/>
      <w:r>
        <w:rPr>
          <w:szCs w:val="21"/>
          <w:highlight w:val="none"/>
        </w:rPr>
        <w:t>日          期：</w:t>
      </w:r>
      <w:r>
        <w:rPr>
          <w:szCs w:val="21"/>
          <w:highlight w:val="none"/>
          <w:u w:val="single"/>
          <w:lang w:val="en-US"/>
        </w:rPr>
        <w:t xml:space="preserve">    </w:t>
      </w:r>
      <w:r>
        <w:rPr>
          <w:szCs w:val="21"/>
          <w:highlight w:val="none"/>
          <w:u w:val="single"/>
        </w:rPr>
        <w:t>年</w:t>
      </w:r>
      <w:r>
        <w:rPr>
          <w:szCs w:val="21"/>
          <w:highlight w:val="none"/>
          <w:u w:val="single"/>
          <w:lang w:val="en-US"/>
        </w:rPr>
        <w:t xml:space="preserve">    </w:t>
      </w:r>
      <w:r>
        <w:rPr>
          <w:szCs w:val="21"/>
          <w:highlight w:val="none"/>
          <w:u w:val="single"/>
        </w:rPr>
        <w:t>月</w:t>
      </w:r>
      <w:r>
        <w:rPr>
          <w:szCs w:val="21"/>
          <w:highlight w:val="none"/>
          <w:u w:val="single"/>
          <w:lang w:val="en-US"/>
        </w:rPr>
        <w:t xml:space="preserve">    </w:t>
      </w:r>
      <w:r>
        <w:rPr>
          <w:szCs w:val="21"/>
          <w:highlight w:val="none"/>
          <w:u w:val="single"/>
        </w:rPr>
        <w:t>日</w:t>
      </w:r>
      <w:bookmarkEnd w:id="204"/>
    </w:p>
    <w:p>
      <w:pPr>
        <w:tabs>
          <w:tab w:val="left" w:pos="0"/>
        </w:tabs>
        <w:spacing w:line="360" w:lineRule="exact"/>
        <w:jc w:val="both"/>
        <w:rPr>
          <w:szCs w:val="21"/>
          <w:highlight w:val="none"/>
          <w:u w:val="single"/>
        </w:rPr>
      </w:pPr>
    </w:p>
    <w:p>
      <w:pPr>
        <w:tabs>
          <w:tab w:val="left" w:pos="0"/>
        </w:tabs>
        <w:spacing w:line="360" w:lineRule="exact"/>
        <w:jc w:val="both"/>
        <w:rPr>
          <w:szCs w:val="21"/>
          <w:highlight w:val="none"/>
          <w:u w:val="single"/>
        </w:rPr>
      </w:pPr>
    </w:p>
    <w:p>
      <w:pPr>
        <w:pStyle w:val="2"/>
        <w:rPr>
          <w:highlight w:val="none"/>
        </w:rPr>
        <w:sectPr>
          <w:headerReference r:id="rId15" w:type="default"/>
          <w:pgSz w:w="11907" w:h="16839"/>
          <w:pgMar w:top="1928" w:right="1531" w:bottom="1871" w:left="1531" w:header="1145" w:footer="709" w:gutter="0"/>
          <w:cols w:space="720" w:num="1"/>
          <w:docGrid w:linePitch="360" w:charSpace="0"/>
        </w:sectPr>
      </w:pPr>
    </w:p>
    <w:p>
      <w:pPr>
        <w:pStyle w:val="3"/>
        <w:pageBreakBefore w:val="0"/>
        <w:widowControl w:val="0"/>
        <w:rPr>
          <w:highlight w:val="none"/>
        </w:rPr>
      </w:pPr>
      <w:bookmarkStart w:id="205" w:name="_Toc142051491"/>
      <w:bookmarkStart w:id="206" w:name="_Toc139266284"/>
      <w:r>
        <w:rPr>
          <w:rFonts w:hint="eastAsia"/>
          <w:highlight w:val="none"/>
        </w:rPr>
        <w:t>政府采购一体化平台操作手册</w:t>
      </w:r>
      <w:bookmarkEnd w:id="205"/>
      <w:bookmarkEnd w:id="206"/>
    </w:p>
    <w:p>
      <w:pPr>
        <w:pStyle w:val="4"/>
        <w:keepNext w:val="0"/>
        <w:keepLines w:val="0"/>
        <w:spacing w:before="120"/>
        <w:ind w:left="318" w:hanging="318"/>
        <w:jc w:val="both"/>
        <w:rPr>
          <w:highlight w:val="none"/>
          <w:lang w:val="en-US"/>
        </w:rPr>
      </w:pPr>
      <w:bookmarkStart w:id="207" w:name="_Toc142051492"/>
      <w:bookmarkStart w:id="208" w:name="_Toc139266285"/>
      <w:r>
        <w:rPr>
          <w:rFonts w:hint="eastAsia"/>
          <w:highlight w:val="none"/>
          <w:lang w:val="en-US"/>
        </w:rPr>
        <w:t>供应商注册入驻操作指南</w:t>
      </w:r>
      <w:bookmarkEnd w:id="207"/>
      <w:bookmarkEnd w:id="208"/>
    </w:p>
    <w:p>
      <w:pPr>
        <w:spacing w:line="360" w:lineRule="auto"/>
        <w:rPr>
          <w:rFonts w:ascii="宋体" w:hAnsi="宋体"/>
          <w:sz w:val="22"/>
          <w:szCs w:val="22"/>
          <w:highlight w:val="none"/>
          <w:lang w:val="en-US"/>
        </w:rPr>
      </w:pPr>
      <w:r>
        <w:rPr>
          <w:rFonts w:hint="eastAsia" w:ascii="宋体" w:hAnsi="宋体"/>
          <w:sz w:val="22"/>
          <w:szCs w:val="22"/>
          <w:highlight w:val="none"/>
        </w:rPr>
        <w:t>登录网址</w:t>
      </w:r>
      <w:r>
        <w:rPr>
          <w:rFonts w:hint="eastAsia" w:ascii="宋体" w:hAnsi="宋体"/>
          <w:sz w:val="22"/>
          <w:szCs w:val="22"/>
          <w:highlight w:val="none"/>
          <w:lang w:val="en-US"/>
        </w:rPr>
        <w:t>：</w:t>
      </w:r>
      <w:r>
        <w:rPr>
          <w:highlight w:val="none"/>
        </w:rPr>
        <w:fldChar w:fldCharType="begin"/>
      </w:r>
      <w:r>
        <w:rPr>
          <w:highlight w:val="none"/>
        </w:rPr>
        <w:instrText xml:space="preserve"> HYPERLINK "http://front-register.pcpe.cn/csgp/registerSupply/register" </w:instrText>
      </w:r>
      <w:r>
        <w:rPr>
          <w:highlight w:val="none"/>
        </w:rPr>
        <w:fldChar w:fldCharType="separate"/>
      </w:r>
      <w:r>
        <w:rPr>
          <w:rStyle w:val="465"/>
          <w:rFonts w:hint="eastAsia" w:ascii="宋体" w:hAnsi="宋体"/>
          <w:sz w:val="22"/>
          <w:szCs w:val="22"/>
          <w:highlight w:val="none"/>
          <w:lang w:val="en-US"/>
        </w:rPr>
        <w:t>http://front-register.pcpe.cn/csgp/registerSupply/register</w:t>
      </w:r>
      <w:r>
        <w:rPr>
          <w:rStyle w:val="465"/>
          <w:rFonts w:hint="eastAsia" w:ascii="宋体" w:hAnsi="宋体"/>
          <w:sz w:val="22"/>
          <w:szCs w:val="22"/>
          <w:highlight w:val="none"/>
          <w:lang w:val="en-US"/>
        </w:rPr>
        <w:fldChar w:fldCharType="end"/>
      </w:r>
    </w:p>
    <w:p>
      <w:pPr>
        <w:pStyle w:val="436"/>
        <w:numPr>
          <w:ilvl w:val="0"/>
          <w:numId w:val="17"/>
        </w:numPr>
        <w:spacing w:line="360" w:lineRule="auto"/>
        <w:ind w:firstLineChars="0"/>
        <w:rPr>
          <w:rFonts w:ascii="宋体" w:hAnsi="宋体"/>
          <w:sz w:val="22"/>
          <w:szCs w:val="22"/>
          <w:highlight w:val="none"/>
        </w:rPr>
      </w:pPr>
      <w:r>
        <w:rPr>
          <w:rFonts w:ascii="宋体" w:hAnsi="宋体"/>
          <w:highlight w:val="none"/>
        </w:rPr>
        <w:t>点击</w:t>
      </w:r>
      <w:r>
        <w:rPr>
          <w:highlight w:val="none"/>
        </w:rPr>
        <w:t>“</w:t>
      </w:r>
      <w:r>
        <w:rPr>
          <w:rFonts w:ascii="宋体" w:hAnsi="宋体"/>
          <w:highlight w:val="none"/>
        </w:rPr>
        <w:t>下一步</w:t>
      </w:r>
      <w:r>
        <w:rPr>
          <w:highlight w:val="none"/>
        </w:rPr>
        <w:t>”</w:t>
      </w:r>
      <w:r>
        <w:rPr>
          <w:rFonts w:ascii="宋体" w:hAnsi="宋体"/>
          <w:highlight w:val="none"/>
        </w:rPr>
        <w:t>，进入</w:t>
      </w:r>
      <w:r>
        <w:rPr>
          <w:highlight w:val="none"/>
        </w:rPr>
        <w:t>“</w:t>
      </w:r>
      <w:r>
        <w:rPr>
          <w:rFonts w:ascii="宋体" w:hAnsi="宋体"/>
          <w:highlight w:val="none"/>
        </w:rPr>
        <w:t>供应商资格声明</w:t>
      </w:r>
      <w:r>
        <w:rPr>
          <w:highlight w:val="none"/>
        </w:rPr>
        <w:t>”</w:t>
      </w:r>
      <w:r>
        <w:rPr>
          <w:rFonts w:ascii="宋体" w:hAnsi="宋体"/>
          <w:highlight w:val="none"/>
        </w:rPr>
        <w:t>页面；</w:t>
      </w:r>
      <w:r>
        <w:rPr>
          <w:highlight w:val="none"/>
          <w:lang w:val="en-US"/>
        </w:rPr>
        <w:drawing>
          <wp:inline distT="0" distB="0" distL="0" distR="0">
            <wp:extent cx="5280660" cy="2514600"/>
            <wp:effectExtent l="0" t="0" r="0" b="0"/>
            <wp:docPr id="8" name="图片 8" descr="C:\Users\luo\AppData\Local\Temp\ksohtml725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uo\AppData\Local\Temp\ksohtml7252\wps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80660" cy="251460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17"/>
        </w:numPr>
        <w:spacing w:line="360" w:lineRule="auto"/>
        <w:ind w:firstLineChars="0"/>
        <w:rPr>
          <w:szCs w:val="21"/>
          <w:highlight w:val="none"/>
        </w:rPr>
      </w:pPr>
      <w:r>
        <w:rPr>
          <w:rFonts w:hint="eastAsia" w:ascii="宋体" w:hAnsi="宋体"/>
          <w:highlight w:val="none"/>
        </w:rPr>
        <w:t>选择“已阅读并同意”按钮，点击“同意登记”，进入到供应商基本信息填写页面；</w:t>
      </w:r>
    </w:p>
    <w:p>
      <w:pPr>
        <w:spacing w:line="360" w:lineRule="auto"/>
        <w:rPr>
          <w:rFonts w:ascii="宋体" w:hAnsi="宋体"/>
          <w:sz w:val="22"/>
          <w:szCs w:val="22"/>
          <w:highlight w:val="none"/>
        </w:rPr>
      </w:pPr>
      <w:r>
        <w:rPr>
          <w:highlight w:val="none"/>
          <w:lang w:val="en-US"/>
        </w:rPr>
        <w:drawing>
          <wp:inline distT="0" distB="0" distL="0" distR="0">
            <wp:extent cx="5280660" cy="2849880"/>
            <wp:effectExtent l="0" t="0" r="0" b="7620"/>
            <wp:docPr id="7" name="图片 7" descr="C:\Users\luo\AppData\Local\Temp\ksohtml725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luo\AppData\Local\Temp\ksohtml7252\wps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280660" cy="284988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pStyle w:val="436"/>
        <w:numPr>
          <w:ilvl w:val="0"/>
          <w:numId w:val="17"/>
        </w:numPr>
        <w:spacing w:line="360" w:lineRule="auto"/>
        <w:ind w:firstLineChars="0"/>
        <w:rPr>
          <w:rFonts w:ascii="宋体" w:hAnsi="宋体"/>
          <w:highlight w:val="none"/>
        </w:rPr>
      </w:pPr>
      <w:r>
        <w:rPr>
          <w:rFonts w:hint="eastAsia" w:ascii="宋体" w:hAnsi="宋体"/>
          <w:highlight w:val="none"/>
        </w:rPr>
        <w:t>依次填写公司“基本信息”、“银行开户信息”等；</w:t>
      </w:r>
    </w:p>
    <w:p>
      <w:pPr>
        <w:spacing w:line="360" w:lineRule="auto"/>
        <w:rPr>
          <w:rFonts w:ascii="宋体" w:hAnsi="宋体"/>
          <w:sz w:val="22"/>
          <w:szCs w:val="22"/>
          <w:highlight w:val="none"/>
        </w:rPr>
      </w:pPr>
      <w:r>
        <w:rPr>
          <w:highlight w:val="none"/>
          <w:lang w:val="en-US"/>
        </w:rPr>
        <w:drawing>
          <wp:inline distT="0" distB="0" distL="0" distR="0">
            <wp:extent cx="5280660" cy="2232660"/>
            <wp:effectExtent l="0" t="0" r="0" b="0"/>
            <wp:docPr id="6" name="图片 6" descr="C:\Users\luo\AppData\Local\Temp\ksohtml725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uo\AppData\Local\Temp\ksohtml7252\wps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80660" cy="223266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r>
        <w:rPr>
          <w:highlight w:val="none"/>
          <w:lang w:val="en-US"/>
        </w:rPr>
        <w:drawing>
          <wp:inline distT="0" distB="0" distL="0" distR="0">
            <wp:extent cx="5280660" cy="1554480"/>
            <wp:effectExtent l="0" t="0" r="0" b="7620"/>
            <wp:docPr id="3" name="图片 3" descr="C:\Users\luo\AppData\Local\Temp\ksohtml7252\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uo\AppData\Local\Temp\ksohtml7252\wps9.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80660" cy="155448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17"/>
        </w:numPr>
        <w:spacing w:line="360" w:lineRule="auto"/>
        <w:ind w:firstLineChars="0"/>
        <w:rPr>
          <w:rFonts w:ascii="宋体" w:hAnsi="宋体"/>
          <w:highlight w:val="none"/>
        </w:rPr>
      </w:pPr>
      <w:r>
        <w:rPr>
          <w:rFonts w:hint="eastAsia" w:ascii="宋体" w:hAnsi="宋体"/>
          <w:highlight w:val="none"/>
        </w:rPr>
        <w:t>上传证照信息，完成登记。</w:t>
      </w:r>
    </w:p>
    <w:p>
      <w:pPr>
        <w:spacing w:line="360" w:lineRule="auto"/>
        <w:rPr>
          <w:rFonts w:ascii="宋体" w:hAnsi="宋体"/>
          <w:sz w:val="22"/>
          <w:szCs w:val="22"/>
          <w:highlight w:val="none"/>
        </w:rPr>
      </w:pPr>
      <w:r>
        <w:rPr>
          <w:highlight w:val="none"/>
          <w:lang w:val="en-US"/>
        </w:rPr>
        <w:drawing>
          <wp:inline distT="0" distB="0" distL="0" distR="0">
            <wp:extent cx="5280660" cy="1577340"/>
            <wp:effectExtent l="0" t="0" r="0" b="3810"/>
            <wp:docPr id="2" name="图片 2" descr="C:\Users\luo\AppData\Local\Temp\ksohtml7252\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uo\AppData\Local\Temp\ksohtml7252\wps1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280660" cy="157734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17"/>
        </w:numPr>
        <w:spacing w:line="360" w:lineRule="auto"/>
        <w:ind w:firstLineChars="0"/>
        <w:rPr>
          <w:rFonts w:ascii="宋体" w:hAnsi="宋体"/>
          <w:color w:val="FF0000"/>
          <w:sz w:val="22"/>
          <w:highlight w:val="none"/>
        </w:rPr>
      </w:pPr>
      <w:r>
        <w:rPr>
          <w:rFonts w:hint="eastAsia" w:ascii="宋体" w:hAnsi="宋体"/>
          <w:color w:val="FF0000"/>
          <w:highlight w:val="none"/>
        </w:rPr>
        <w:t>完成上述</w:t>
      </w:r>
      <w:r>
        <w:rPr>
          <w:rFonts w:ascii="宋体" w:hAnsi="宋体"/>
          <w:color w:val="FF0000"/>
          <w:highlight w:val="none"/>
        </w:rPr>
        <w:t>操作，即注册成功</w:t>
      </w:r>
      <w:r>
        <w:rPr>
          <w:rFonts w:hint="eastAsia" w:ascii="宋体" w:hAnsi="宋体"/>
          <w:color w:val="FF0000"/>
          <w:highlight w:val="none"/>
        </w:rPr>
        <w:t>。账号</w:t>
      </w:r>
      <w:r>
        <w:rPr>
          <w:rFonts w:ascii="宋体" w:hAnsi="宋体"/>
          <w:color w:val="FF0000"/>
          <w:highlight w:val="none"/>
        </w:rPr>
        <w:t>为</w:t>
      </w:r>
      <w:r>
        <w:rPr>
          <w:rFonts w:hint="eastAsia" w:ascii="宋体" w:hAnsi="宋体"/>
          <w:color w:val="FF0000"/>
          <w:highlight w:val="none"/>
        </w:rPr>
        <w:t>统一</w:t>
      </w:r>
      <w:r>
        <w:rPr>
          <w:rFonts w:ascii="宋体" w:hAnsi="宋体"/>
          <w:color w:val="FF0000"/>
          <w:highlight w:val="none"/>
        </w:rPr>
        <w:t>社会信用代码，密码为注册时所填写密码。</w:t>
      </w: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highlight w:val="none"/>
          <w:lang w:val="en-US"/>
        </w:rPr>
      </w:pPr>
      <w:r>
        <w:rPr>
          <w:rFonts w:hint="eastAsia"/>
          <w:highlight w:val="none"/>
          <w:lang w:val="en-US"/>
        </w:rPr>
        <w:br w:type="page"/>
      </w:r>
    </w:p>
    <w:p>
      <w:pPr>
        <w:pStyle w:val="4"/>
        <w:keepNext w:val="0"/>
        <w:spacing w:before="120"/>
        <w:ind w:left="318" w:hanging="318"/>
        <w:jc w:val="both"/>
        <w:rPr>
          <w:sz w:val="40"/>
          <w:highlight w:val="none"/>
        </w:rPr>
      </w:pPr>
      <w:bookmarkStart w:id="209" w:name="_Toc142051493"/>
      <w:bookmarkStart w:id="210" w:name="_Toc139266286"/>
      <w:bookmarkStart w:id="211" w:name="_Toc60066267"/>
      <w:r>
        <w:rPr>
          <w:rFonts w:hint="eastAsia"/>
          <w:highlight w:val="none"/>
          <w:lang w:val="en-US"/>
        </w:rPr>
        <w:t>供应商系统登录及电子签章使用操作指南</w:t>
      </w:r>
      <w:bookmarkEnd w:id="209"/>
      <w:bookmarkEnd w:id="210"/>
    </w:p>
    <w:p>
      <w:pPr>
        <w:pStyle w:val="5"/>
        <w:widowControl w:val="0"/>
        <w:spacing w:before="120" w:after="120" w:afterLines="50" w:line="360" w:lineRule="exact"/>
        <w:rPr>
          <w:color w:val="auto"/>
          <w:highlight w:val="none"/>
        </w:rPr>
      </w:pPr>
      <w:r>
        <w:rPr>
          <w:rFonts w:hint="eastAsia"/>
          <w:color w:val="auto"/>
          <w:highlight w:val="none"/>
        </w:rPr>
        <w:t>系统登录登出</w:t>
      </w:r>
      <w:bookmarkEnd w:id="211"/>
    </w:p>
    <w:p>
      <w:pPr>
        <w:pStyle w:val="6"/>
        <w:keepNext w:val="0"/>
        <w:keepLines w:val="0"/>
        <w:widowControl w:val="0"/>
        <w:spacing w:after="120" w:afterLines="50" w:line="360" w:lineRule="exact"/>
        <w:rPr>
          <w:rFonts w:cs="Times New Roman"/>
          <w:highlight w:val="none"/>
        </w:rPr>
      </w:pPr>
      <w:bookmarkStart w:id="212" w:name="_Toc60066268"/>
      <w:r>
        <w:rPr>
          <w:rFonts w:hint="eastAsia" w:cs="Times New Roman"/>
          <w:highlight w:val="none"/>
        </w:rPr>
        <w:t>登录</w:t>
      </w:r>
      <w:bookmarkEnd w:id="212"/>
    </w:p>
    <w:p>
      <w:pPr>
        <w:pStyle w:val="436"/>
        <w:rPr>
          <w:color w:val="FF0000"/>
          <w:highlight w:val="none"/>
        </w:rPr>
      </w:pPr>
      <w:r>
        <w:rPr>
          <w:highlight w:val="none"/>
        </w:rPr>
        <w:t>输入网址</w:t>
      </w:r>
      <w:r>
        <w:rPr>
          <w:highlight w:val="none"/>
        </w:rPr>
        <w:fldChar w:fldCharType="begin"/>
      </w:r>
      <w:r>
        <w:rPr>
          <w:highlight w:val="none"/>
        </w:rPr>
        <w:instrText xml:space="preserve"> HYPERLINK "https://gpmps.pcpe.cn/" </w:instrText>
      </w:r>
      <w:r>
        <w:rPr>
          <w:highlight w:val="none"/>
        </w:rPr>
        <w:fldChar w:fldCharType="separate"/>
      </w:r>
      <w:r>
        <w:rPr>
          <w:rStyle w:val="48"/>
          <w:highlight w:val="none"/>
        </w:rPr>
        <w:t>https://gpmps.pcpe.cn/</w:t>
      </w:r>
      <w:r>
        <w:rPr>
          <w:rStyle w:val="48"/>
          <w:highlight w:val="none"/>
        </w:rPr>
        <w:fldChar w:fldCharType="end"/>
      </w:r>
      <w:r>
        <w:rPr>
          <w:highlight w:val="none"/>
        </w:rPr>
        <w:t>进入政府采购一体化云平台。</w:t>
      </w:r>
      <w:r>
        <w:rPr>
          <w:color w:val="FF0000"/>
          <w:highlight w:val="none"/>
        </w:rPr>
        <w:t>系统支持两种登录方式：账号及密码登录</w:t>
      </w:r>
      <w:r>
        <w:rPr>
          <w:rFonts w:hint="eastAsia"/>
          <w:color w:val="FF0000"/>
          <w:highlight w:val="none"/>
        </w:rPr>
        <w:t>和</w:t>
      </w:r>
      <w:r>
        <w:rPr>
          <w:color w:val="FF0000"/>
          <w:highlight w:val="none"/>
        </w:rPr>
        <w:t>使用CA key登录。</w:t>
      </w:r>
    </w:p>
    <w:p>
      <w:pPr>
        <w:rPr>
          <w:b/>
          <w:bCs/>
          <w:highlight w:val="none"/>
        </w:rPr>
      </w:pPr>
      <w:r>
        <w:rPr>
          <w:b/>
          <w:bCs/>
          <w:highlight w:val="none"/>
        </w:rPr>
        <w:t>账号及密码登录</w:t>
      </w:r>
    </w:p>
    <w:p>
      <w:pPr>
        <w:pStyle w:val="436"/>
        <w:rPr>
          <w:highlight w:val="none"/>
        </w:rPr>
      </w:pPr>
      <w:r>
        <w:rPr>
          <w:highlight w:val="none"/>
        </w:rPr>
        <w:t>在登录页面，输入账号及密码，点击【立即登录】按钮，即可进入工作台页面。</w:t>
      </w:r>
    </w:p>
    <w:p>
      <w:pPr>
        <w:rPr>
          <w:highlight w:val="none"/>
        </w:rPr>
      </w:pPr>
      <w:r>
        <w:rPr>
          <w:highlight w:val="none"/>
          <w:lang w:val="en-US"/>
        </w:rPr>
        <w:drawing>
          <wp:inline distT="0" distB="0" distL="0" distR="0">
            <wp:extent cx="5251450" cy="2579370"/>
            <wp:effectExtent l="0" t="0" r="6350" b="1143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4"/>
                    <a:stretch>
                      <a:fillRect/>
                    </a:stretch>
                  </pic:blipFill>
                  <pic:spPr>
                    <a:xfrm>
                      <a:off x="0" y="0"/>
                      <a:ext cx="5303486" cy="2604833"/>
                    </a:xfrm>
                    <a:prstGeom prst="rect">
                      <a:avLst/>
                    </a:prstGeom>
                  </pic:spPr>
                </pic:pic>
              </a:graphicData>
            </a:graphic>
          </wp:inline>
        </w:drawing>
      </w:r>
    </w:p>
    <w:p>
      <w:pPr>
        <w:rPr>
          <w:b/>
          <w:bCs/>
          <w:highlight w:val="none"/>
        </w:rPr>
      </w:pPr>
      <w:r>
        <w:rPr>
          <w:rFonts w:hint="eastAsia"/>
          <w:b/>
          <w:bCs/>
          <w:highlight w:val="none"/>
        </w:rPr>
        <w:t>使用CA key登录</w:t>
      </w:r>
    </w:p>
    <w:p>
      <w:pPr>
        <w:pStyle w:val="436"/>
        <w:rPr>
          <w:highlight w:val="none"/>
        </w:rPr>
      </w:pPr>
      <w:r>
        <w:rPr>
          <w:rFonts w:hint="eastAsia"/>
          <w:highlight w:val="none"/>
        </w:rPr>
        <w:t xml:space="preserve"> 插入CA</w:t>
      </w:r>
      <w:r>
        <w:rPr>
          <w:highlight w:val="none"/>
        </w:rPr>
        <w:t xml:space="preserve"> </w:t>
      </w:r>
      <w:r>
        <w:rPr>
          <w:rFonts w:hint="eastAsia"/>
          <w:highlight w:val="none"/>
        </w:rPr>
        <w:t>key，可以通过CA的“协卡助手”查看CA</w:t>
      </w:r>
      <w:r>
        <w:rPr>
          <w:highlight w:val="none"/>
        </w:rPr>
        <w:t xml:space="preserve"> </w:t>
      </w:r>
      <w:r>
        <w:rPr>
          <w:rFonts w:hint="eastAsia"/>
          <w:highlight w:val="none"/>
        </w:rPr>
        <w:t>key的信息（电子签章客户端</w:t>
      </w:r>
      <w:r>
        <w:rPr>
          <w:highlight w:val="none"/>
        </w:rPr>
        <w:t>工具下载地址</w:t>
      </w:r>
      <w:r>
        <w:rPr>
          <w:highlight w:val="none"/>
        </w:rPr>
        <w:fldChar w:fldCharType="begin"/>
      </w:r>
      <w:r>
        <w:rPr>
          <w:highlight w:val="none"/>
        </w:rPr>
        <w:instrText xml:space="preserve"> HYPERLINK "https://edims.pcpe.cn/" </w:instrText>
      </w:r>
      <w:r>
        <w:rPr>
          <w:highlight w:val="none"/>
        </w:rPr>
        <w:fldChar w:fldCharType="separate"/>
      </w:r>
      <w:r>
        <w:rPr>
          <w:rStyle w:val="48"/>
          <w:highlight w:val="none"/>
        </w:rPr>
        <w:t>https://edims.pcpe.cn/</w:t>
      </w:r>
      <w:r>
        <w:rPr>
          <w:rStyle w:val="48"/>
          <w:highlight w:val="none"/>
        </w:rPr>
        <w:fldChar w:fldCharType="end"/>
      </w:r>
      <w:r>
        <w:rPr>
          <w:rFonts w:hint="eastAsia"/>
          <w:highlight w:val="none"/>
        </w:rPr>
        <w:t>）。</w:t>
      </w:r>
    </w:p>
    <w:p>
      <w:pPr>
        <w:pStyle w:val="436"/>
        <w:rPr>
          <w:highlight w:val="none"/>
        </w:rPr>
      </w:pPr>
    </w:p>
    <w:p>
      <w:pPr>
        <w:pStyle w:val="436"/>
        <w:ind w:firstLine="0" w:firstLineChars="0"/>
        <w:rPr>
          <w:highlight w:val="none"/>
        </w:rPr>
      </w:pPr>
      <w:r>
        <w:rPr>
          <w:highlight w:val="none"/>
          <w:lang w:val="en-US"/>
        </w:rPr>
        <w:drawing>
          <wp:inline distT="0" distB="0" distL="0" distR="0">
            <wp:extent cx="5208905" cy="2641600"/>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5"/>
                    <a:stretch>
                      <a:fillRect/>
                    </a:stretch>
                  </pic:blipFill>
                  <pic:spPr>
                    <a:xfrm>
                      <a:off x="0" y="0"/>
                      <a:ext cx="5210670" cy="2642568"/>
                    </a:xfrm>
                    <a:prstGeom prst="rect">
                      <a:avLst/>
                    </a:prstGeom>
                    <a:noFill/>
                    <a:ln>
                      <a:noFill/>
                    </a:ln>
                  </pic:spPr>
                </pic:pic>
              </a:graphicData>
            </a:graphic>
          </wp:inline>
        </w:drawing>
      </w:r>
    </w:p>
    <w:p>
      <w:pPr>
        <w:rPr>
          <w:highlight w:val="none"/>
        </w:rPr>
      </w:pPr>
      <w:r>
        <w:rPr>
          <w:highlight w:val="none"/>
          <w:lang w:val="en-US"/>
        </w:rPr>
        <w:drawing>
          <wp:inline distT="0" distB="0" distL="0" distR="0">
            <wp:extent cx="5242560" cy="2409190"/>
            <wp:effectExtent l="0" t="0" r="0"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6"/>
                    <a:stretch>
                      <a:fillRect/>
                    </a:stretch>
                  </pic:blipFill>
                  <pic:spPr>
                    <a:xfrm>
                      <a:off x="0" y="0"/>
                      <a:ext cx="5244340" cy="2410531"/>
                    </a:xfrm>
                    <a:prstGeom prst="rect">
                      <a:avLst/>
                    </a:prstGeom>
                    <a:noFill/>
                    <a:ln>
                      <a:noFill/>
                    </a:ln>
                  </pic:spPr>
                </pic:pic>
              </a:graphicData>
            </a:graphic>
          </wp:inline>
        </w:drawing>
      </w:r>
    </w:p>
    <w:p>
      <w:pPr>
        <w:pStyle w:val="436"/>
        <w:rPr>
          <w:highlight w:val="none"/>
        </w:rPr>
      </w:pPr>
      <w:r>
        <w:rPr>
          <w:rFonts w:hint="eastAsia"/>
          <w:highlight w:val="none"/>
        </w:rPr>
        <w:t>访问网址：</w:t>
      </w:r>
      <w:r>
        <w:rPr>
          <w:highlight w:val="none"/>
        </w:rPr>
        <w:fldChar w:fldCharType="begin"/>
      </w:r>
      <w:r>
        <w:rPr>
          <w:highlight w:val="none"/>
        </w:rPr>
        <w:instrText xml:space="preserve"> HYPERLINK "https://gpmps.pcpe.cn/" </w:instrText>
      </w:r>
      <w:r>
        <w:rPr>
          <w:highlight w:val="none"/>
        </w:rPr>
        <w:fldChar w:fldCharType="separate"/>
      </w:r>
      <w:r>
        <w:rPr>
          <w:rFonts w:hint="eastAsia"/>
          <w:highlight w:val="none"/>
        </w:rPr>
        <w:t>https://gpmps.pcpe.cn/</w:t>
      </w:r>
      <w:r>
        <w:rPr>
          <w:rFonts w:hint="eastAsia"/>
          <w:highlight w:val="none"/>
        </w:rPr>
        <w:fldChar w:fldCharType="end"/>
      </w:r>
      <w:r>
        <w:rPr>
          <w:rFonts w:hint="eastAsia"/>
          <w:highlight w:val="none"/>
        </w:rPr>
        <w:t>，选择“CA登录”</w:t>
      </w:r>
    </w:p>
    <w:p>
      <w:pPr>
        <w:rPr>
          <w:rFonts w:ascii="微软雅黑" w:hAnsi="微软雅黑" w:eastAsia="微软雅黑"/>
          <w:highlight w:val="none"/>
        </w:rPr>
      </w:pPr>
      <w:r>
        <w:rPr>
          <w:highlight w:val="none"/>
          <w:lang w:val="en-US"/>
        </w:rPr>
        <w:drawing>
          <wp:inline distT="0" distB="0" distL="0" distR="0">
            <wp:extent cx="5251450" cy="2215515"/>
            <wp:effectExtent l="0" t="0" r="6350" b="9525"/>
            <wp:docPr id="22" name="图片 22" descr="C:\Users\admin\AppData\Local\Temp\16098370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AppData\Local\Temp\1609837086(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75779" cy="2226120"/>
                    </a:xfrm>
                    <a:prstGeom prst="rect">
                      <a:avLst/>
                    </a:prstGeom>
                    <a:noFill/>
                    <a:ln>
                      <a:noFill/>
                    </a:ln>
                  </pic:spPr>
                </pic:pic>
              </a:graphicData>
            </a:graphic>
          </wp:inline>
        </w:drawing>
      </w:r>
    </w:p>
    <w:p>
      <w:pPr>
        <w:pStyle w:val="436"/>
        <w:rPr>
          <w:highlight w:val="none"/>
        </w:rPr>
      </w:pPr>
      <w:r>
        <w:rPr>
          <w:rFonts w:hint="eastAsia"/>
          <w:highlight w:val="none"/>
        </w:rPr>
        <w:t>进入使用key登录的页面，输入key的密码，然后点击“立即登录”，key密码验证通过后，登入政府采购一体化云平台。</w:t>
      </w:r>
    </w:p>
    <w:p>
      <w:pPr>
        <w:pStyle w:val="436"/>
        <w:rPr>
          <w:color w:val="FF0000"/>
          <w:highlight w:val="none"/>
        </w:rPr>
      </w:pPr>
      <w:r>
        <w:rPr>
          <w:rFonts w:hint="eastAsia"/>
          <w:color w:val="FF0000"/>
          <w:highlight w:val="none"/>
        </w:rPr>
        <w:t>CA登录</w:t>
      </w:r>
      <w:r>
        <w:rPr>
          <w:color w:val="FF0000"/>
          <w:highlight w:val="none"/>
        </w:rPr>
        <w:t>与账号登录平台均可进行项目</w:t>
      </w:r>
      <w:r>
        <w:rPr>
          <w:rFonts w:hint="eastAsia"/>
          <w:color w:val="FF0000"/>
          <w:highlight w:val="none"/>
        </w:rPr>
        <w:t>报名、</w:t>
      </w:r>
      <w:r>
        <w:rPr>
          <w:color w:val="FF0000"/>
          <w:highlight w:val="none"/>
        </w:rPr>
        <w:t>投标等操作。</w:t>
      </w:r>
    </w:p>
    <w:p>
      <w:pPr>
        <w:rPr>
          <w:highlight w:val="none"/>
        </w:rPr>
      </w:pPr>
    </w:p>
    <w:p>
      <w:pPr>
        <w:pStyle w:val="6"/>
        <w:keepNext w:val="0"/>
        <w:keepLines w:val="0"/>
        <w:widowControl w:val="0"/>
        <w:spacing w:after="120" w:afterLines="50" w:line="360" w:lineRule="exact"/>
        <w:rPr>
          <w:rFonts w:cs="Times New Roman"/>
          <w:highlight w:val="none"/>
        </w:rPr>
      </w:pPr>
      <w:bookmarkStart w:id="213" w:name="_Toc60066269"/>
      <w:r>
        <w:rPr>
          <w:rFonts w:hint="eastAsia" w:cs="Times New Roman"/>
          <w:highlight w:val="none"/>
        </w:rPr>
        <w:t>登出</w:t>
      </w:r>
      <w:bookmarkEnd w:id="213"/>
    </w:p>
    <w:p>
      <w:pPr>
        <w:pStyle w:val="436"/>
        <w:rPr>
          <w:highlight w:val="none"/>
        </w:rPr>
      </w:pPr>
      <w:r>
        <w:rPr>
          <w:rFonts w:hint="eastAsia"/>
          <w:highlight w:val="none"/>
        </w:rPr>
        <w:t>点击【退出】按钮，退出政府采购一体化云平台。</w:t>
      </w:r>
    </w:p>
    <w:p>
      <w:pPr>
        <w:pStyle w:val="436"/>
        <w:ind w:firstLine="0" w:firstLineChars="0"/>
        <w:jc w:val="center"/>
        <w:rPr>
          <w:rFonts w:ascii="微软雅黑" w:hAnsi="微软雅黑" w:eastAsia="微软雅黑"/>
          <w:highlight w:val="none"/>
        </w:rPr>
      </w:pPr>
      <w:r>
        <w:rPr>
          <w:highlight w:val="none"/>
          <w:lang w:val="en-US"/>
        </w:rPr>
        <w:drawing>
          <wp:inline distT="0" distB="0" distL="0" distR="0">
            <wp:extent cx="5073650" cy="2027555"/>
            <wp:effectExtent l="0" t="0" r="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75584" cy="2028589"/>
                    </a:xfrm>
                    <a:prstGeom prst="rect">
                      <a:avLst/>
                    </a:prstGeom>
                    <a:noFill/>
                    <a:ln>
                      <a:noFill/>
                    </a:ln>
                  </pic:spPr>
                </pic:pic>
              </a:graphicData>
            </a:graphic>
          </wp:inline>
        </w:drawing>
      </w:r>
      <w:r>
        <w:rPr>
          <w:rFonts w:ascii="微软雅黑" w:hAnsi="微软雅黑" w:eastAsia="微软雅黑"/>
          <w:highlight w:val="none"/>
        </w:rPr>
        <w:br w:type="page"/>
      </w:r>
    </w:p>
    <w:p>
      <w:pPr>
        <w:pStyle w:val="5"/>
        <w:widowControl w:val="0"/>
        <w:spacing w:before="120" w:after="120" w:afterLines="50" w:line="360" w:lineRule="exact"/>
        <w:rPr>
          <w:color w:val="auto"/>
          <w:highlight w:val="none"/>
          <w:lang w:val="en-US"/>
        </w:rPr>
      </w:pPr>
      <w:bookmarkStart w:id="214" w:name="_Toc60066275"/>
      <w:r>
        <w:rPr>
          <w:rFonts w:hint="eastAsia"/>
          <w:color w:val="auto"/>
          <w:highlight w:val="none"/>
          <w:lang w:val="en-US"/>
        </w:rPr>
        <w:t>电子签章及文件加解密</w:t>
      </w:r>
      <w:bookmarkEnd w:id="214"/>
    </w:p>
    <w:p>
      <w:pPr>
        <w:pStyle w:val="6"/>
        <w:keepNext w:val="0"/>
        <w:keepLines w:val="0"/>
        <w:widowControl w:val="0"/>
        <w:spacing w:after="120" w:afterLines="50" w:line="360" w:lineRule="exact"/>
        <w:rPr>
          <w:rFonts w:cs="Times New Roman"/>
          <w:highlight w:val="none"/>
        </w:rPr>
      </w:pPr>
      <w:bookmarkStart w:id="215" w:name="_Toc60066276"/>
      <w:r>
        <w:rPr>
          <w:rFonts w:hint="eastAsia" w:cs="Times New Roman"/>
          <w:highlight w:val="none"/>
        </w:rPr>
        <w:t>电子签署</w:t>
      </w:r>
      <w:bookmarkEnd w:id="215"/>
    </w:p>
    <w:p>
      <w:pPr>
        <w:pStyle w:val="436"/>
        <w:rPr>
          <w:highlight w:val="none"/>
        </w:rPr>
      </w:pPr>
      <w:r>
        <w:rPr>
          <w:rFonts w:hint="eastAsia"/>
          <w:highlight w:val="none"/>
        </w:rPr>
        <w:t>1、点击电子签署</w:t>
      </w:r>
    </w:p>
    <w:p>
      <w:pPr>
        <w:pStyle w:val="436"/>
        <w:rPr>
          <w:highlight w:val="none"/>
        </w:rPr>
      </w:pPr>
      <w:r>
        <w:rPr>
          <w:rFonts w:hint="eastAsia"/>
          <w:highlight w:val="none"/>
        </w:rPr>
        <w:t>2、通过点击或者拖拽选择用于电子签署的PDF文档</w:t>
      </w:r>
    </w:p>
    <w:p>
      <w:pPr>
        <w:pStyle w:val="464"/>
        <w:spacing w:before="72"/>
        <w:ind w:firstLine="420"/>
        <w:rPr>
          <w:highlight w:val="none"/>
        </w:rPr>
      </w:pPr>
      <w:r>
        <w:rPr>
          <w:highlight w:val="none"/>
        </w:rPr>
        <w:fldChar w:fldCharType="begin"/>
      </w:r>
      <w:r>
        <w:rPr>
          <w:highlight w:val="none"/>
        </w:rPr>
        <w:instrText xml:space="preserve"> INCLUDEPICTURE "https://cdn.nlark.com/yuque/0/2020/png/1179083/1609124824805-7cd4f4ce-de95-4482-9d29-2b49cf807fd0.png?x-oss-process=image%2Fresize%2Cw_1500" \* MERGEFORMATINET </w:instrText>
      </w:r>
      <w:r>
        <w:rPr>
          <w:highlight w:val="none"/>
        </w:rPr>
        <w:fldChar w:fldCharType="separate"/>
      </w:r>
      <w:r>
        <w:rPr>
          <w:highlight w:val="none"/>
          <w:lang w:val="en-US"/>
        </w:rPr>
        <w:drawing>
          <wp:inline distT="0" distB="0" distL="0" distR="0">
            <wp:extent cx="4800600" cy="300164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4810426" cy="3007965"/>
                    </a:xfrm>
                    <a:prstGeom prst="rect">
                      <a:avLst/>
                    </a:prstGeom>
                    <a:noFill/>
                    <a:ln>
                      <a:noFill/>
                    </a:ln>
                  </pic:spPr>
                </pic:pic>
              </a:graphicData>
            </a:graphic>
          </wp:inline>
        </w:drawing>
      </w:r>
      <w:r>
        <w:rPr>
          <w:highlight w:val="none"/>
        </w:rPr>
        <w:fldChar w:fldCharType="end"/>
      </w:r>
    </w:p>
    <w:p>
      <w:pPr>
        <w:pStyle w:val="436"/>
        <w:rPr>
          <w:highlight w:val="none"/>
        </w:rPr>
      </w:pPr>
      <w:r>
        <w:rPr>
          <w:rFonts w:hint="eastAsia"/>
          <w:highlight w:val="none"/>
        </w:rPr>
        <w:t>3、PDF加载完成，进入签署页面</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"https://cdn.nlark.com/yuque/0/2020/png/1179083/1609124856220-b3b0aed8-6615-4d54-85ac-5632fa6c868c.png?x-oss-process=image%2Fresize%2Cw_1500"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052695" cy="2947670"/>
            <wp:effectExtent l="0" t="0" r="6985"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055495" cy="2949242"/>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4、将用于签署的印章拖拽到需要进行签署的区域（如印章获取失败或在页面加载完成后插入新的ukey，可通过点击刷新印章按钮获取新的印章列表）</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"https://cdn.nlark.com/yuque/0/2020/png/1179083/1609124875797-1316580b-402b-4e54-b319-bcc219e77125.png?x-oss-process=image%2Fresize%2Cw_1500"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5、若需要进行印章大小的调整，点击尺寸进行印章大小的调整</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"https://cdn.nlark.com/yuque/0/2020/png/1179083/1609124908667-76f252fd-9a78-46d8-9451-0c57f3dd7e90.png?x-oss-process=image%2Fresize%2Cw_1500"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36"/>
        <w:rPr>
          <w:highlight w:val="none"/>
        </w:rPr>
      </w:pPr>
      <w:r>
        <w:rPr>
          <w:rFonts w:hint="eastAsia"/>
          <w:highlight w:val="none"/>
        </w:rPr>
        <w:t>6、如果需要对PDF进行多页签署，点击多页签署开关，勾选需要进行签署的页</w:t>
      </w:r>
    </w:p>
    <w:p>
      <w:pPr>
        <w:pStyle w:val="464"/>
        <w:spacing w:before="72"/>
        <w:ind w:firstLine="420"/>
        <w:rPr>
          <w:highlight w:val="none"/>
        </w:rPr>
      </w:pPr>
      <w:r>
        <w:rPr>
          <w:highlight w:val="none"/>
        </w:rPr>
        <w:fldChar w:fldCharType="begin"/>
      </w:r>
      <w:r>
        <w:rPr>
          <w:highlight w:val="none"/>
        </w:rPr>
        <w:instrText xml:space="preserve"> INCLUDEPICTURE "https://cdn.nlark.com/yuque/0/2020/png/1179083/1609124950851-631b49a3-0728-4411-b24c-12f30035ea66.png?x-oss-process=image%2Fresize%2Cw_1500" \* MERGEFORMATINET </w:instrText>
      </w:r>
      <w:r>
        <w:rPr>
          <w:highlight w:val="none"/>
        </w:rPr>
        <w:fldChar w:fldCharType="separate"/>
      </w:r>
      <w:r>
        <w:rPr>
          <w:highlight w:val="none"/>
          <w:lang w:val="en-US"/>
        </w:rPr>
        <w:drawing>
          <wp:inline distT="0" distB="0" distL="0" distR="0">
            <wp:extent cx="4933950" cy="2877820"/>
            <wp:effectExtent l="0" t="0" r="381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4939152" cy="2881371"/>
                    </a:xfrm>
                    <a:prstGeom prst="rect">
                      <a:avLst/>
                    </a:prstGeom>
                    <a:noFill/>
                    <a:ln>
                      <a:noFill/>
                    </a:ln>
                  </pic:spPr>
                </pic:pic>
              </a:graphicData>
            </a:graphic>
          </wp:inline>
        </w:drawing>
      </w:r>
      <w:r>
        <w:rPr>
          <w:highlight w:val="none"/>
        </w:rPr>
        <w:fldChar w:fldCharType="end"/>
      </w:r>
    </w:p>
    <w:p>
      <w:pPr>
        <w:pStyle w:val="436"/>
        <w:rPr>
          <w:highlight w:val="none"/>
        </w:rPr>
      </w:pPr>
      <w:r>
        <w:rPr>
          <w:rFonts w:hint="eastAsia"/>
          <w:highlight w:val="none"/>
        </w:rPr>
        <w:t>7、点击签章或确认签署按钮，进入输入pin码页面（默认</w:t>
      </w:r>
      <w:r>
        <w:rPr>
          <w:highlight w:val="none"/>
        </w:rPr>
        <w:t>pin</w:t>
      </w:r>
      <w:r>
        <w:rPr>
          <w:rFonts w:hint="eastAsia"/>
          <w:highlight w:val="none"/>
        </w:rPr>
        <w:t>码为</w:t>
      </w:r>
      <w:r>
        <w:rPr>
          <w:highlight w:val="none"/>
        </w:rPr>
        <w:t>12345678</w:t>
      </w:r>
      <w:r>
        <w:rPr>
          <w:rFonts w:hint="eastAsia"/>
          <w:highlight w:val="none"/>
        </w:rPr>
        <w:t>）。填写相关信息（添加时间戳需联网），点击确认签署。如需更改签署信息，点击页面放弃按钮。</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"https://cdn.nlark.com/yuque/0/2020/png/1179083/1609124995942-16a1fc04-3253-4096-bcf6-8c57f10acd56.png?x-oss-process=image%2Fresize%2Cw_1500"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8、签署成功。点击打开文件夹，即可选中已经签署成功的文件。点击继续签署，即可打开已经签署成功的PDF文件，并进行再次签署。</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"https://cdn.nlark.com/yuque/0/2020/png/1179083/1609125366063-4d54d971-ab4d-442f-99c4-0bafd7488c80.png?x-oss-process=image%2Fresize%2Cw_1500"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6"/>
        <w:keepNext w:val="0"/>
        <w:keepLines w:val="0"/>
        <w:widowControl w:val="0"/>
        <w:spacing w:after="120" w:afterLines="50" w:line="360" w:lineRule="exact"/>
        <w:rPr>
          <w:rFonts w:cs="Times New Roman"/>
          <w:highlight w:val="none"/>
        </w:rPr>
      </w:pPr>
      <w:bookmarkStart w:id="216" w:name="_Toc60066277"/>
      <w:r>
        <w:rPr>
          <w:rFonts w:hint="eastAsia" w:cs="Times New Roman"/>
          <w:highlight w:val="none"/>
        </w:rPr>
        <w:t>电子加密</w:t>
      </w:r>
      <w:bookmarkEnd w:id="216"/>
    </w:p>
    <w:p>
      <w:pPr>
        <w:pStyle w:val="436"/>
        <w:rPr>
          <w:highlight w:val="none"/>
        </w:rPr>
      </w:pPr>
      <w:r>
        <w:rPr>
          <w:rFonts w:hint="eastAsia"/>
          <w:highlight w:val="none"/>
        </w:rPr>
        <w:t>1、点击电子加密（请确定加密时有且仅有一个ukey插入）</w:t>
      </w:r>
    </w:p>
    <w:p>
      <w:pPr>
        <w:pStyle w:val="436"/>
        <w:rPr>
          <w:highlight w:val="none"/>
        </w:rPr>
      </w:pPr>
      <w:r>
        <w:rPr>
          <w:rFonts w:hint="eastAsia"/>
          <w:highlight w:val="none"/>
        </w:rPr>
        <w:t>2、通过点击或者拖拽选择用于电子加密的文件</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"https://cdn.nlark.com/yuque/0/2020/png/1179083/1609124620149-fa819a8f-1425-40d3-936b-7ba598fd880e.png?x-oss-process=image%2Fresize%2Cw_1500"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295650"/>
            <wp:effectExtent l="0" t="0" r="2540" b="1143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5270500" cy="329565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3、文件载入成功</w:t>
      </w:r>
    </w:p>
    <w:p>
      <w:pPr>
        <w:pStyle w:val="436"/>
        <w:rPr>
          <w:highlight w:val="none"/>
        </w:rPr>
      </w:pPr>
      <w:r>
        <w:rPr>
          <w:rFonts w:hint="eastAsia"/>
          <w:highlight w:val="none"/>
        </w:rPr>
        <w:t>4、确定用户正确，输入正确的pin码，点击确认进行文件加密</w:t>
      </w:r>
    </w:p>
    <w:p>
      <w:pPr>
        <w:pStyle w:val="464"/>
        <w:spacing w:before="72"/>
        <w:ind w:firstLine="0" w:firstLineChars="0"/>
        <w:rPr>
          <w:highlight w:val="none"/>
        </w:rPr>
      </w:pPr>
      <w:r>
        <w:rPr>
          <w:highlight w:val="none"/>
        </w:rPr>
        <w:fldChar w:fldCharType="begin"/>
      </w:r>
      <w:r>
        <w:rPr>
          <w:highlight w:val="none"/>
        </w:rPr>
        <w:instrText xml:space="preserve"> INCLUDEPICTURE "https://cdn.nlark.com/yuque/0/2020/png/1179083/1609124653817-81e5250d-d244-4995-8d0d-914d4dd0d670.png?x-oss-process=image%2Fresize%2Cw_1500" \* MERGEFORMATINET </w:instrText>
      </w:r>
      <w:r>
        <w:rPr>
          <w:highlight w:val="none"/>
        </w:rPr>
        <w:fldChar w:fldCharType="separate"/>
      </w:r>
      <w:r>
        <w:rPr>
          <w:highlight w:val="none"/>
          <w:lang w:val="en-US"/>
        </w:rPr>
        <w:drawing>
          <wp:inline distT="0" distB="0" distL="0" distR="0">
            <wp:extent cx="5022850" cy="3140710"/>
            <wp:effectExtent l="0" t="0" r="6350" b="139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5029618" cy="3145026"/>
                    </a:xfrm>
                    <a:prstGeom prst="rect">
                      <a:avLst/>
                    </a:prstGeom>
                    <a:noFill/>
                    <a:ln>
                      <a:noFill/>
                    </a:ln>
                  </pic:spPr>
                </pic:pic>
              </a:graphicData>
            </a:graphic>
          </wp:inline>
        </w:drawing>
      </w:r>
      <w:r>
        <w:rPr>
          <w:highlight w:val="none"/>
        </w:rPr>
        <w:fldChar w:fldCharType="end"/>
      </w:r>
    </w:p>
    <w:p>
      <w:pPr>
        <w:pStyle w:val="464"/>
        <w:keepNext/>
        <w:widowControl w:val="0"/>
        <w:spacing w:before="72"/>
        <w:ind w:firstLine="420"/>
        <w:rPr>
          <w:highlight w:val="none"/>
        </w:rPr>
      </w:pPr>
      <w:r>
        <w:rPr>
          <w:highlight w:val="none"/>
        </w:rPr>
        <w:t>5、文件加密成功，点击打开文件夹，即可选中加密文件所在文件夹</w:t>
      </w:r>
    </w:p>
    <w:p>
      <w:pPr>
        <w:keepNext/>
        <w:widowControl w:val="0"/>
        <w:rPr>
          <w:highlight w:val="none"/>
        </w:rPr>
      </w:pPr>
      <w:r>
        <w:rPr>
          <w:highlight w:val="none"/>
        </w:rPr>
        <w:fldChar w:fldCharType="begin"/>
      </w:r>
      <w:r>
        <w:rPr>
          <w:highlight w:val="none"/>
        </w:rPr>
        <w:instrText xml:space="preserve"> INCLUDEPICTURE "https://cdn.nlark.com/yuque/0/2020/png/1179083/1609124689307-d1b86a11-c6c5-4d80-8b7d-58205280cd16.png?x-oss-process=image%2Fresize%2Cw_1500" \* MERGEFORMATINET </w:instrText>
      </w:r>
      <w:r>
        <w:rPr>
          <w:highlight w:val="none"/>
        </w:rPr>
        <w:fldChar w:fldCharType="separate"/>
      </w:r>
      <w:r>
        <w:rPr>
          <w:highlight w:val="none"/>
          <w:lang w:val="en-US"/>
        </w:rPr>
        <w:drawing>
          <wp:inline distT="0" distB="0" distL="0" distR="0">
            <wp:extent cx="5159375" cy="3226435"/>
            <wp:effectExtent l="0" t="0" r="6985"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159375" cy="3226435"/>
                    </a:xfrm>
                    <a:prstGeom prst="rect">
                      <a:avLst/>
                    </a:prstGeom>
                    <a:noFill/>
                    <a:ln>
                      <a:noFill/>
                    </a:ln>
                  </pic:spPr>
                </pic:pic>
              </a:graphicData>
            </a:graphic>
          </wp:inline>
        </w:drawing>
      </w:r>
      <w:r>
        <w:rPr>
          <w:highlight w:val="none"/>
        </w:rPr>
        <w:fldChar w:fldCharType="end"/>
      </w:r>
      <w:r>
        <w:rPr>
          <w:highlight w:val="none"/>
        </w:rPr>
        <w:fldChar w:fldCharType="begin"/>
      </w:r>
      <w:r>
        <w:rPr>
          <w:highlight w:val="none"/>
        </w:rPr>
        <w:instrText xml:space="preserve"> INCLUDEPICTURE "https://cdn.nlark.com/yuque/0/2020/png/1179083/1609124745442-fe6e0af0-e79a-4ed2-bdd4-ed90215bc217.png" \* MERGEFORMATINET </w:instrText>
      </w:r>
      <w:r>
        <w:rPr>
          <w:highlight w:val="none"/>
        </w:rPr>
        <w:fldChar w:fldCharType="separate"/>
      </w:r>
      <w:r>
        <w:rPr>
          <w:highlight w:val="none"/>
          <w:lang w:val="en-US"/>
        </w:rPr>
        <w:drawing>
          <wp:inline distT="0" distB="0" distL="0" distR="0">
            <wp:extent cx="5270500" cy="3715385"/>
            <wp:effectExtent l="0" t="0" r="254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0500" cy="3715385"/>
                    </a:xfrm>
                    <a:prstGeom prst="rect">
                      <a:avLst/>
                    </a:prstGeom>
                    <a:noFill/>
                    <a:ln>
                      <a:noFill/>
                    </a:ln>
                  </pic:spPr>
                </pic:pic>
              </a:graphicData>
            </a:graphic>
          </wp:inline>
        </w:drawing>
      </w:r>
      <w:r>
        <w:rPr>
          <w:highlight w:val="none"/>
        </w:rPr>
        <w:fldChar w:fldCharType="end"/>
      </w:r>
    </w:p>
    <w:p>
      <w:pPr>
        <w:rPr>
          <w:highlight w:val="none"/>
          <w:lang w:val="en-US"/>
        </w:rPr>
      </w:pPr>
      <w:r>
        <w:rPr>
          <w:rFonts w:hint="eastAsia"/>
          <w:highlight w:val="none"/>
          <w:lang w:val="en-US"/>
        </w:rPr>
        <w:br w:type="page"/>
      </w:r>
    </w:p>
    <w:p>
      <w:pPr>
        <w:pStyle w:val="4"/>
        <w:keepNext w:val="0"/>
        <w:spacing w:before="120"/>
        <w:ind w:left="318" w:hanging="318"/>
        <w:jc w:val="both"/>
        <w:rPr>
          <w:highlight w:val="none"/>
          <w:lang w:val="en-US"/>
        </w:rPr>
      </w:pPr>
      <w:bookmarkStart w:id="217" w:name="_Toc142051494"/>
      <w:bookmarkStart w:id="218" w:name="_Toc139266287"/>
      <w:r>
        <w:rPr>
          <w:rFonts w:hint="eastAsia"/>
          <w:highlight w:val="none"/>
          <w:lang w:val="en-US"/>
        </w:rPr>
        <w:t>供应商系统投报操作指南</w:t>
      </w:r>
      <w:bookmarkEnd w:id="217"/>
      <w:bookmarkEnd w:id="218"/>
    </w:p>
    <w:p>
      <w:pPr>
        <w:pStyle w:val="5"/>
        <w:widowControl w:val="0"/>
        <w:spacing w:before="120" w:after="120" w:afterLines="50" w:line="360" w:lineRule="exact"/>
        <w:rPr>
          <w:color w:val="auto"/>
          <w:highlight w:val="none"/>
        </w:rPr>
      </w:pPr>
      <w:r>
        <w:rPr>
          <w:rFonts w:hint="eastAsia"/>
          <w:color w:val="auto"/>
          <w:highlight w:val="none"/>
        </w:rPr>
        <w:t>系统登录</w:t>
      </w:r>
    </w:p>
    <w:p>
      <w:pPr>
        <w:pStyle w:val="436"/>
        <w:rPr>
          <w:highlight w:val="none"/>
        </w:rPr>
      </w:pPr>
      <w:r>
        <w:rPr>
          <w:rFonts w:hint="eastAsia"/>
          <w:highlight w:val="none"/>
        </w:rPr>
        <w:t>输入网址</w:t>
      </w:r>
      <w:r>
        <w:rPr>
          <w:highlight w:val="none"/>
        </w:rPr>
        <w:fldChar w:fldCharType="begin"/>
      </w:r>
      <w:r>
        <w:rPr>
          <w:highlight w:val="none"/>
        </w:rPr>
        <w:instrText xml:space="preserve"> HYPERLINK "https://gpmps.pcpe.cn/" </w:instrText>
      </w:r>
      <w:r>
        <w:rPr>
          <w:highlight w:val="none"/>
        </w:rPr>
        <w:fldChar w:fldCharType="separate"/>
      </w:r>
      <w:r>
        <w:rPr>
          <w:rStyle w:val="48"/>
          <w:highlight w:val="none"/>
        </w:rPr>
        <w:t>https://gpmps.pcpe.cn/</w:t>
      </w:r>
      <w:r>
        <w:rPr>
          <w:rStyle w:val="48"/>
          <w:highlight w:val="none"/>
        </w:rPr>
        <w:fldChar w:fldCharType="end"/>
      </w:r>
      <w:r>
        <w:rPr>
          <w:rFonts w:hint="eastAsia"/>
          <w:highlight w:val="none"/>
        </w:rPr>
        <w:t>进入政府采购一体化云平台。</w:t>
      </w:r>
    </w:p>
    <w:p>
      <w:pPr>
        <w:pStyle w:val="436"/>
        <w:rPr>
          <w:highlight w:val="none"/>
        </w:rPr>
      </w:pPr>
      <w:r>
        <w:rPr>
          <w:rFonts w:hint="eastAsia"/>
          <w:highlight w:val="none"/>
        </w:rPr>
        <w:t>注：账号为统一信用社会代码；密码即为注册时填写的密码</w:t>
      </w:r>
    </w:p>
    <w:p>
      <w:pPr>
        <w:pStyle w:val="436"/>
        <w:rPr>
          <w:highlight w:val="none"/>
        </w:rPr>
      </w:pPr>
      <w:r>
        <w:rPr>
          <w:rFonts w:hint="eastAsia"/>
          <w:highlight w:val="none"/>
        </w:rPr>
        <w:t>在登录页面，输入账号及密码，点击【立即登录】按钮，即可进入工作台页面。</w:t>
      </w:r>
    </w:p>
    <w:p>
      <w:pPr>
        <w:spacing w:line="360" w:lineRule="auto"/>
        <w:rPr>
          <w:rFonts w:ascii="宋体" w:hAnsi="宋体"/>
          <w:sz w:val="22"/>
          <w:highlight w:val="none"/>
        </w:rPr>
      </w:pPr>
      <w:r>
        <w:rPr>
          <w:highlight w:val="none"/>
          <w:lang w:val="en-US"/>
        </w:rPr>
        <w:drawing>
          <wp:inline distT="0" distB="0" distL="0" distR="0">
            <wp:extent cx="5274310" cy="2590165"/>
            <wp:effectExtent l="0" t="0" r="13970" b="63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24"/>
                    <a:stretch>
                      <a:fillRect/>
                    </a:stretch>
                  </pic:blipFill>
                  <pic:spPr>
                    <a:xfrm>
                      <a:off x="0" y="0"/>
                      <a:ext cx="5274310" cy="2590331"/>
                    </a:xfrm>
                    <a:prstGeom prst="rect">
                      <a:avLst/>
                    </a:prstGeom>
                  </pic:spPr>
                </pic:pic>
              </a:graphicData>
            </a:graphic>
          </wp:inline>
        </w:drawing>
      </w:r>
    </w:p>
    <w:p>
      <w:pPr>
        <w:spacing w:line="360" w:lineRule="auto"/>
        <w:rPr>
          <w:rFonts w:ascii="宋体" w:hAnsi="宋体"/>
          <w:sz w:val="22"/>
          <w:highlight w:val="none"/>
        </w:rPr>
      </w:pPr>
      <w:r>
        <w:rPr>
          <w:highlight w:val="none"/>
          <w:lang w:val="en-US"/>
        </w:rPr>
        <w:drawing>
          <wp:inline distT="0" distB="0" distL="0" distR="0">
            <wp:extent cx="5274310" cy="2139315"/>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40"/>
                    <a:stretch>
                      <a:fillRect/>
                    </a:stretch>
                  </pic:blipFill>
                  <pic:spPr>
                    <a:xfrm>
                      <a:off x="0" y="0"/>
                      <a:ext cx="5274310" cy="2139315"/>
                    </a:xfrm>
                    <a:prstGeom prst="rect">
                      <a:avLst/>
                    </a:prstGeom>
                  </pic:spPr>
                </pic:pic>
              </a:graphicData>
            </a:graphic>
          </wp:inline>
        </w:drawing>
      </w:r>
    </w:p>
    <w:p>
      <w:pPr>
        <w:pStyle w:val="5"/>
        <w:widowControl w:val="0"/>
        <w:spacing w:before="120" w:after="120" w:afterLines="50" w:line="360" w:lineRule="exact"/>
        <w:rPr>
          <w:color w:val="auto"/>
          <w:highlight w:val="none"/>
        </w:rPr>
      </w:pPr>
      <w:r>
        <w:rPr>
          <w:rFonts w:hint="eastAsia"/>
          <w:color w:val="auto"/>
          <w:highlight w:val="none"/>
        </w:rPr>
        <w:t>供应商报名</w:t>
      </w:r>
    </w:p>
    <w:p>
      <w:pPr>
        <w:pStyle w:val="436"/>
        <w:rPr>
          <w:highlight w:val="none"/>
        </w:rPr>
      </w:pPr>
      <w:r>
        <w:rPr>
          <w:rFonts w:hint="eastAsia"/>
          <w:highlight w:val="none"/>
        </w:rPr>
        <w:t>1.在项目管理页面点击【我要报名】菜单，进入我要报名列表页面</w:t>
      </w:r>
    </w:p>
    <w:p>
      <w:pPr>
        <w:spacing w:line="360" w:lineRule="auto"/>
        <w:rPr>
          <w:rFonts w:ascii="宋体" w:hAnsi="宋体"/>
          <w:sz w:val="22"/>
          <w:highlight w:val="none"/>
        </w:rPr>
      </w:pPr>
      <w:r>
        <w:rPr>
          <w:highlight w:val="none"/>
          <w:lang w:val="en-US"/>
        </w:rPr>
        <w:drawing>
          <wp:inline distT="0" distB="0" distL="0" distR="0">
            <wp:extent cx="5055870" cy="1359535"/>
            <wp:effectExtent l="0" t="0" r="0" b="0"/>
            <wp:docPr id="7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pic:cNvPicPr>
                      <a:picLocks noChangeAspect="1"/>
                    </pic:cNvPicPr>
                  </pic:nvPicPr>
                  <pic:blipFill>
                    <a:blip r:embed="rId41"/>
                    <a:stretch>
                      <a:fillRect/>
                    </a:stretch>
                  </pic:blipFill>
                  <pic:spPr>
                    <a:xfrm>
                      <a:off x="0" y="0"/>
                      <a:ext cx="5055870" cy="1359535"/>
                    </a:xfrm>
                    <a:prstGeom prst="rect">
                      <a:avLst/>
                    </a:prstGeom>
                    <a:noFill/>
                    <a:ln>
                      <a:noFill/>
                    </a:ln>
                  </pic:spPr>
                </pic:pic>
              </a:graphicData>
            </a:graphic>
          </wp:inline>
        </w:drawing>
      </w:r>
    </w:p>
    <w:p>
      <w:pPr>
        <w:pStyle w:val="436"/>
        <w:rPr>
          <w:highlight w:val="none"/>
        </w:rPr>
      </w:pPr>
      <w:r>
        <w:rPr>
          <w:rFonts w:hint="eastAsia"/>
          <w:highlight w:val="none"/>
        </w:rPr>
        <w:t>2.在相应项目点击【我要报名】按钮，进入“供应商报名”页面，完善供应商基本信息后，在需报名的包组右侧，点击【登记】按钮</w:t>
      </w:r>
    </w:p>
    <w:p>
      <w:pPr>
        <w:pStyle w:val="436"/>
        <w:rPr>
          <w:highlight w:val="none"/>
        </w:rPr>
      </w:pPr>
    </w:p>
    <w:p>
      <w:pPr>
        <w:spacing w:line="360" w:lineRule="auto"/>
        <w:rPr>
          <w:rFonts w:ascii="宋体" w:hAnsi="宋体"/>
          <w:sz w:val="22"/>
          <w:highlight w:val="none"/>
        </w:rPr>
      </w:pPr>
      <w:r>
        <w:rPr>
          <w:highlight w:val="none"/>
          <w:lang w:val="en-US"/>
        </w:rPr>
        <w:drawing>
          <wp:inline distT="0" distB="0" distL="0" distR="0">
            <wp:extent cx="4993640" cy="2280285"/>
            <wp:effectExtent l="0" t="0" r="0" b="571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42"/>
                    <a:stretch>
                      <a:fillRect/>
                    </a:stretch>
                  </pic:blipFill>
                  <pic:spPr>
                    <a:xfrm>
                      <a:off x="0" y="0"/>
                      <a:ext cx="4993640" cy="2280285"/>
                    </a:xfrm>
                    <a:prstGeom prst="rect">
                      <a:avLst/>
                    </a:prstGeom>
                    <a:noFill/>
                    <a:ln>
                      <a:noFill/>
                    </a:ln>
                  </pic:spPr>
                </pic:pic>
              </a:graphicData>
            </a:graphic>
          </wp:inline>
        </w:drawing>
      </w:r>
    </w:p>
    <w:p>
      <w:pPr>
        <w:pStyle w:val="436"/>
        <w:rPr>
          <w:highlight w:val="none"/>
        </w:rPr>
      </w:pPr>
      <w:r>
        <w:rPr>
          <w:highlight w:val="none"/>
        </w:rPr>
        <w:t>3.若</w:t>
      </w:r>
      <w:r>
        <w:rPr>
          <w:rFonts w:hint="eastAsia"/>
          <w:highlight w:val="none"/>
        </w:rPr>
        <w:t>需要取消报名，点击【取消登记】按钮</w:t>
      </w:r>
    </w:p>
    <w:p>
      <w:pPr>
        <w:pStyle w:val="467"/>
        <w:ind w:firstLine="0" w:firstLineChars="0"/>
        <w:rPr>
          <w:highlight w:val="none"/>
        </w:rPr>
      </w:pPr>
      <w:r>
        <w:rPr>
          <w:highlight w:val="none"/>
        </w:rPr>
        <w:drawing>
          <wp:inline distT="0" distB="0" distL="0" distR="0">
            <wp:extent cx="4975225" cy="2301875"/>
            <wp:effectExtent l="0" t="0" r="0" b="3175"/>
            <wp:docPr id="40" name="图片 40" descr="C:\Users\luo\AppData\Local\Temp\ksohtml907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luo\AppData\Local\Temp\ksohtml9076\wps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4975225" cy="2301875"/>
                    </a:xfrm>
                    <a:prstGeom prst="rect">
                      <a:avLst/>
                    </a:prstGeom>
                    <a:noFill/>
                    <a:ln>
                      <a:noFill/>
                    </a:ln>
                  </pic:spPr>
                </pic:pic>
              </a:graphicData>
            </a:graphic>
          </wp:inline>
        </w:drawing>
      </w:r>
      <w:r>
        <w:rPr>
          <w:highlight w:val="none"/>
        </w:rPr>
        <w:t xml:space="preserve"> </w:t>
      </w:r>
    </w:p>
    <w:p>
      <w:pPr>
        <w:pStyle w:val="467"/>
        <w:rPr>
          <w:highlight w:val="none"/>
        </w:rPr>
      </w:pPr>
      <w:r>
        <w:rPr>
          <w:rFonts w:hint="eastAsia"/>
          <w:highlight w:val="none"/>
        </w:rPr>
        <w:t xml:space="preserve"> </w:t>
      </w:r>
    </w:p>
    <w:p>
      <w:pPr>
        <w:pStyle w:val="436"/>
        <w:rPr>
          <w:highlight w:val="none"/>
        </w:rPr>
      </w:pPr>
      <w:r>
        <w:rPr>
          <w:highlight w:val="none"/>
        </w:rPr>
        <w:t>4.</w:t>
      </w:r>
      <w:r>
        <w:rPr>
          <w:rFonts w:hint="eastAsia"/>
          <w:highlight w:val="none"/>
        </w:rPr>
        <w:t>上传报名材料，点击【提交】按钮，完成供应商报名操作。若报名多个包组，所有包组均需上传报名材料。</w:t>
      </w:r>
    </w:p>
    <w:p>
      <w:pPr>
        <w:spacing w:line="360" w:lineRule="auto"/>
        <w:rPr>
          <w:rFonts w:ascii="宋体" w:hAnsi="宋体"/>
          <w:sz w:val="22"/>
          <w:szCs w:val="22"/>
          <w:highlight w:val="none"/>
        </w:rPr>
      </w:pPr>
      <w:r>
        <w:rPr>
          <w:highlight w:val="none"/>
          <w:lang w:val="en-US"/>
        </w:rPr>
        <w:drawing>
          <wp:inline distT="0" distB="0" distL="0" distR="0">
            <wp:extent cx="4916170" cy="2221230"/>
            <wp:effectExtent l="0" t="0" r="0" b="7620"/>
            <wp:docPr id="19" name="图片 19" descr="C:\Users\luo\AppData\Local\Temp\ksohtml9076\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luo\AppData\Local\Temp\ksohtml9076\wps2.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4916170" cy="222123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上传投标文件</w:t>
      </w:r>
    </w:p>
    <w:p>
      <w:pPr>
        <w:pStyle w:val="467"/>
        <w:rPr>
          <w:highlight w:val="none"/>
        </w:rPr>
      </w:pPr>
      <w:r>
        <w:rPr>
          <w:rFonts w:hint="eastAsia"/>
          <w:highlight w:val="none"/>
        </w:rPr>
        <w:t>1.</w:t>
      </w:r>
      <w:r>
        <w:rPr>
          <w:rFonts w:hint="eastAsia" w:ascii="宋体" w:hAnsi="宋体"/>
          <w:highlight w:val="none"/>
        </w:rPr>
        <w:t>供应商在项目管理页面点击【我参与的】菜单，进入我参与的列表页面。点击【前往电子评审系统】按钮进入在线开标页面。</w:t>
      </w:r>
    </w:p>
    <w:p>
      <w:pPr>
        <w:spacing w:line="360" w:lineRule="auto"/>
        <w:rPr>
          <w:rFonts w:ascii="宋体" w:hAnsi="宋体"/>
          <w:sz w:val="22"/>
          <w:szCs w:val="22"/>
          <w:highlight w:val="none"/>
        </w:rPr>
      </w:pPr>
      <w:r>
        <w:rPr>
          <w:highlight w:val="none"/>
          <w:lang w:val="en-US"/>
        </w:rPr>
        <w:drawing>
          <wp:inline distT="0" distB="0" distL="0" distR="0">
            <wp:extent cx="5276850" cy="1183640"/>
            <wp:effectExtent l="0" t="0" r="0" b="0"/>
            <wp:docPr id="51" name="图片 51" descr="C:\Users\luo\AppData\Local\Temp\ksohtml9076\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luo\AppData\Local\Temp\ksohtml9076\wps3.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276850" cy="118364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2.</w:t>
      </w:r>
      <w:r>
        <w:rPr>
          <w:rFonts w:hint="eastAsia" w:ascii="宋体" w:hAnsi="宋体"/>
          <w:highlight w:val="none"/>
        </w:rPr>
        <w:t>供应商在待开标项目列表选择该项目点击【编制投标、资格类文件】按钮，进入编制投标、资格类文件页面。</w:t>
      </w:r>
    </w:p>
    <w:p>
      <w:pPr>
        <w:spacing w:line="360" w:lineRule="auto"/>
        <w:rPr>
          <w:rFonts w:ascii="宋体" w:hAnsi="宋体"/>
          <w:sz w:val="22"/>
          <w:szCs w:val="22"/>
          <w:highlight w:val="none"/>
        </w:rPr>
      </w:pPr>
      <w:r>
        <w:rPr>
          <w:highlight w:val="none"/>
          <w:lang w:val="en-US"/>
        </w:rPr>
        <w:drawing>
          <wp:inline distT="0" distB="0" distL="0" distR="0">
            <wp:extent cx="5276850" cy="962660"/>
            <wp:effectExtent l="0" t="0" r="0" b="8890"/>
            <wp:docPr id="50" name="图片 50" descr="C:\Users\luo\AppData\Local\Temp\ksohtml9076\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luo\AppData\Local\Temp\ksohtml9076\wps4.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5276850" cy="96266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3.</w:t>
      </w:r>
      <w:r>
        <w:rPr>
          <w:rFonts w:hint="eastAsia" w:ascii="宋体" w:hAnsi="宋体"/>
          <w:highlight w:val="none"/>
        </w:rPr>
        <w:t>编制投标、资格类文件页面需上传加密后投标文件及资格审查文件，录入报价及响应点后，点击【提交】按钮，完成编制投标、资格类文件操作。</w:t>
      </w:r>
    </w:p>
    <w:p>
      <w:pPr>
        <w:spacing w:line="360" w:lineRule="auto"/>
        <w:rPr>
          <w:rFonts w:ascii="宋体" w:hAnsi="宋体"/>
          <w:sz w:val="22"/>
          <w:szCs w:val="22"/>
          <w:highlight w:val="none"/>
        </w:rPr>
      </w:pPr>
      <w:r>
        <w:rPr>
          <w:highlight w:val="none"/>
          <w:lang w:val="en-US"/>
        </w:rPr>
        <w:drawing>
          <wp:inline distT="0" distB="0" distL="0" distR="0">
            <wp:extent cx="4496435" cy="2076450"/>
            <wp:effectExtent l="0" t="0" r="0" b="0"/>
            <wp:docPr id="49" name="图片 49" descr="C:\Users\luo\AppData\Local\Temp\ksohtml9076\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Users\luo\AppData\Local\Temp\ksohtml9076\wps5.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4496435" cy="207645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4.</w:t>
      </w:r>
      <w:r>
        <w:rPr>
          <w:rFonts w:hint="eastAsia" w:ascii="宋体" w:hAnsi="宋体"/>
          <w:highlight w:val="none"/>
        </w:rPr>
        <w:t>选择”响应文件“后，点击【选择文件】按钮，选择加密后的投标文件并上传。</w:t>
      </w:r>
    </w:p>
    <w:p>
      <w:pPr>
        <w:rPr>
          <w:rFonts w:ascii="宋体" w:hAnsi="宋体"/>
          <w:sz w:val="22"/>
          <w:szCs w:val="22"/>
          <w:highlight w:val="none"/>
        </w:rPr>
      </w:pPr>
      <w:r>
        <w:rPr>
          <w:highlight w:val="none"/>
          <w:lang w:val="en-US"/>
        </w:rPr>
        <w:drawing>
          <wp:inline distT="0" distB="0" distL="0" distR="0">
            <wp:extent cx="5276215" cy="2038350"/>
            <wp:effectExtent l="0" t="0" r="635" b="0"/>
            <wp:docPr id="48" name="图片 48" descr="C:\Users\luo\AppData\Local\Temp\ksohtml9076\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luo\AppData\Local\Temp\ksohtml9076\wps6.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5283118" cy="2041241"/>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5.</w:t>
      </w:r>
      <w:r>
        <w:rPr>
          <w:rFonts w:hint="eastAsia" w:ascii="宋体" w:hAnsi="宋体"/>
          <w:highlight w:val="none"/>
        </w:rPr>
        <w:t>点击【录入报价】按钮，在“修改报价”对话框录入报价信息后，点击【保存】按钮生成开标一览表。上传加密后</w:t>
      </w:r>
      <w:r>
        <w:rPr>
          <w:rFonts w:ascii="宋体" w:hAnsi="宋体"/>
          <w:highlight w:val="none"/>
        </w:rPr>
        <w:t>的</w:t>
      </w:r>
      <w:r>
        <w:rPr>
          <w:rFonts w:hint="eastAsia" w:ascii="宋体" w:hAnsi="宋体"/>
          <w:highlight w:val="none"/>
        </w:rPr>
        <w:t>征集文件“附件报价一览表”的签字盖章件，点击【确定】按钮完成报价。</w:t>
      </w:r>
    </w:p>
    <w:p>
      <w:pPr>
        <w:rPr>
          <w:rFonts w:ascii="宋体" w:hAnsi="宋体"/>
          <w:sz w:val="22"/>
          <w:szCs w:val="22"/>
          <w:highlight w:val="none"/>
        </w:rPr>
      </w:pPr>
      <w:r>
        <w:rPr>
          <w:highlight w:val="none"/>
          <w:lang w:val="en-US"/>
        </w:rPr>
        <w:drawing>
          <wp:inline distT="0" distB="0" distL="0" distR="0">
            <wp:extent cx="4841240" cy="4620260"/>
            <wp:effectExtent l="0" t="0" r="0" b="8890"/>
            <wp:docPr id="47" name="图片 47" descr="C:\Users\luo\AppData\Local\Temp\ksohtml9076\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Users\luo\AppData\Local\Temp\ksohtml9076\wps7.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4841240" cy="462026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p>
    <w:p>
      <w:pPr>
        <w:pStyle w:val="467"/>
        <w:rPr>
          <w:highlight w:val="none"/>
        </w:rPr>
      </w:pPr>
      <w:r>
        <w:rPr>
          <w:highlight w:val="none"/>
        </w:rPr>
        <w:t>6</w:t>
      </w:r>
      <w:r>
        <w:rPr>
          <w:rFonts w:hint="eastAsia"/>
          <w:highlight w:val="none"/>
        </w:rPr>
        <w:t>.</w:t>
      </w:r>
      <w:r>
        <w:rPr>
          <w:rFonts w:hint="eastAsia" w:ascii="宋体" w:hAnsi="宋体"/>
          <w:highlight w:val="none"/>
        </w:rPr>
        <w:t>打开本地响应文件，根据响应文件内容，选择末级评审项，点击【设置响应点】按钮，在“设置评标参数对应的起始位置”对话框设置页码区间，点击【确认】按钮完成响应点设置。</w:t>
      </w:r>
    </w:p>
    <w:p>
      <w:pPr>
        <w:spacing w:line="360" w:lineRule="auto"/>
        <w:rPr>
          <w:rFonts w:ascii="宋体" w:hAnsi="宋体"/>
          <w:sz w:val="22"/>
          <w:szCs w:val="22"/>
          <w:highlight w:val="none"/>
        </w:rPr>
      </w:pPr>
      <w:r>
        <w:rPr>
          <w:highlight w:val="none"/>
          <w:lang w:val="en-US"/>
        </w:rPr>
        <w:drawing>
          <wp:inline distT="0" distB="0" distL="0" distR="0">
            <wp:extent cx="5276850" cy="1506220"/>
            <wp:effectExtent l="0" t="0" r="0" b="0"/>
            <wp:docPr id="45" name="图片 45" descr="C:\Users\luo\AppData\Local\Temp\ksohtml9076\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luo\AppData\Local\Temp\ksohtml9076\wps9.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5276850" cy="150622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highlight w:val="none"/>
        </w:rPr>
        <w:t>7</w:t>
      </w:r>
      <w:r>
        <w:rPr>
          <w:rFonts w:hint="eastAsia"/>
          <w:highlight w:val="none"/>
        </w:rPr>
        <w:t>.</w:t>
      </w:r>
      <w:r>
        <w:rPr>
          <w:rFonts w:hint="eastAsia" w:ascii="宋体" w:hAnsi="宋体"/>
          <w:highlight w:val="none"/>
        </w:rPr>
        <w:t>选择”资格审查文件“后，点击【选择文件】按钮，选择</w:t>
      </w:r>
      <w:r>
        <w:rPr>
          <w:rFonts w:hint="eastAsia"/>
          <w:highlight w:val="none"/>
        </w:rPr>
        <w:t>pdf</w:t>
      </w:r>
      <w:r>
        <w:rPr>
          <w:rFonts w:hint="eastAsia" w:ascii="宋体" w:hAnsi="宋体"/>
          <w:highlight w:val="none"/>
        </w:rPr>
        <w:t>文件并上传后，下端窗口正常显示投标文件。</w:t>
      </w:r>
    </w:p>
    <w:p>
      <w:pPr>
        <w:spacing w:line="360" w:lineRule="auto"/>
        <w:rPr>
          <w:rFonts w:ascii="宋体" w:hAnsi="宋体"/>
          <w:sz w:val="22"/>
          <w:szCs w:val="22"/>
          <w:highlight w:val="none"/>
        </w:rPr>
      </w:pPr>
      <w:r>
        <w:rPr>
          <w:highlight w:val="none"/>
          <w:lang w:val="en-US"/>
        </w:rPr>
        <w:drawing>
          <wp:inline distT="0" distB="0" distL="0" distR="0">
            <wp:extent cx="5276850" cy="1979295"/>
            <wp:effectExtent l="0" t="0" r="0" b="1905"/>
            <wp:docPr id="42" name="图片 42" descr="C:\Users\luo\AppData\Local\Temp\ksohtml9076\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Users\luo\AppData\Local\Temp\ksohtml9076\wps10.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5276850" cy="1979295"/>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highlight w:val="none"/>
        </w:rPr>
        <w:t>8</w:t>
      </w:r>
      <w:r>
        <w:rPr>
          <w:rFonts w:hint="eastAsia"/>
          <w:highlight w:val="none"/>
        </w:rPr>
        <w:t>.</w:t>
      </w:r>
      <w:r>
        <w:rPr>
          <w:rFonts w:hint="eastAsia" w:ascii="宋体" w:hAnsi="宋体"/>
          <w:highlight w:val="none"/>
        </w:rPr>
        <w:t>完成上传投标文件、响应点设置及报价操作后，点击【提交】按钮完成编制投标文件环节。录入报价及设置响应点没有先后顺序。</w:t>
      </w:r>
    </w:p>
    <w:p>
      <w:pPr>
        <w:rPr>
          <w:rFonts w:ascii="微软雅黑" w:hAnsi="微软雅黑" w:eastAsia="微软雅黑"/>
          <w:highlight w:val="none"/>
        </w:rPr>
      </w:pPr>
      <w:r>
        <w:rPr>
          <w:highlight w:val="none"/>
          <w:lang w:val="en-US"/>
        </w:rPr>
        <w:drawing>
          <wp:inline distT="0" distB="0" distL="0" distR="0">
            <wp:extent cx="5276850" cy="1742440"/>
            <wp:effectExtent l="0" t="0" r="0" b="0"/>
            <wp:docPr id="41" name="图片 41" descr="C:\Users\luo\AppData\Local\Temp\ksohtml9076\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Users\luo\AppData\Local\Temp\ksohtml9076\wps1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5276850" cy="1742440"/>
                    </a:xfrm>
                    <a:prstGeom prst="rect">
                      <a:avLst/>
                    </a:prstGeom>
                    <a:noFill/>
                    <a:ln>
                      <a:noFill/>
                    </a:ln>
                  </pic:spPr>
                </pic:pic>
              </a:graphicData>
            </a:graphic>
          </wp:inline>
        </w:drawing>
      </w:r>
      <w:r>
        <w:rPr>
          <w:rFonts w:hint="eastAsia" w:ascii="微软雅黑" w:hAnsi="微软雅黑" w:eastAsia="微软雅黑"/>
          <w:highlight w:val="none"/>
        </w:rPr>
        <w:t xml:space="preserve"> </w:t>
      </w: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4"/>
        <w:keepNext w:val="0"/>
        <w:spacing w:before="120"/>
        <w:ind w:left="318" w:hanging="318"/>
        <w:jc w:val="both"/>
        <w:rPr>
          <w:highlight w:val="none"/>
          <w:lang w:val="en-US"/>
        </w:rPr>
      </w:pPr>
      <w:bookmarkStart w:id="219" w:name="_Toc139266288"/>
      <w:bookmarkStart w:id="220" w:name="_Toc142051495"/>
      <w:r>
        <w:rPr>
          <w:rFonts w:hint="eastAsia"/>
          <w:highlight w:val="none"/>
          <w:lang w:val="en-US"/>
        </w:rPr>
        <w:t>供应商系统签到、解密及唱标操作指南</w:t>
      </w:r>
      <w:bookmarkEnd w:id="219"/>
      <w:bookmarkEnd w:id="220"/>
    </w:p>
    <w:p>
      <w:pPr>
        <w:pStyle w:val="5"/>
        <w:widowControl w:val="0"/>
        <w:spacing w:before="120" w:after="120" w:afterLines="50" w:line="360" w:lineRule="exact"/>
        <w:rPr>
          <w:color w:val="auto"/>
          <w:highlight w:val="none"/>
        </w:rPr>
      </w:pPr>
      <w:r>
        <w:rPr>
          <w:rFonts w:hint="eastAsia"/>
          <w:color w:val="auto"/>
          <w:highlight w:val="none"/>
        </w:rPr>
        <w:t>供应商签到</w:t>
      </w:r>
    </w:p>
    <w:p>
      <w:pPr>
        <w:pStyle w:val="467"/>
        <w:ind w:firstLine="0" w:firstLineChars="0"/>
        <w:rPr>
          <w:highlight w:val="none"/>
        </w:rPr>
      </w:pPr>
      <w:r>
        <w:rPr>
          <w:rFonts w:hint="eastAsia"/>
          <w:bCs/>
          <w:iCs/>
          <w:szCs w:val="20"/>
          <w:highlight w:val="none"/>
          <w:lang w:val="zh-CN"/>
        </w:rPr>
        <w:t>1.供应商在项目管理页面点击【我参与的】菜单，进入我参与的列表页面。点击【前往电子评审</w:t>
      </w:r>
      <w:r>
        <w:rPr>
          <w:rFonts w:hint="eastAsia" w:ascii="宋体" w:hAnsi="宋体"/>
          <w:highlight w:val="none"/>
        </w:rPr>
        <w:t>系统】按钮进入在线开标页面。</w:t>
      </w:r>
    </w:p>
    <w:p>
      <w:pPr>
        <w:rPr>
          <w:highlight w:val="none"/>
        </w:rPr>
      </w:pPr>
      <w:r>
        <w:rPr>
          <w:highlight w:val="none"/>
          <w:lang w:val="en-US"/>
        </w:rPr>
        <w:drawing>
          <wp:inline distT="0" distB="0" distL="0" distR="0">
            <wp:extent cx="5055870" cy="1134745"/>
            <wp:effectExtent l="0" t="0" r="0" b="8255"/>
            <wp:docPr id="69" name="图片 69" descr="C:\Users\luo\AppData\Local\Temp\ksohtml9076\wp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luo\AppData\Local\Temp\ksohtml9076\wps12.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Pr>
          <w:highlight w:val="none"/>
        </w:rPr>
        <w:t xml:space="preserve"> </w:t>
      </w:r>
    </w:p>
    <w:p>
      <w:pPr>
        <w:pStyle w:val="2"/>
        <w:tabs>
          <w:tab w:val="left" w:pos="312"/>
        </w:tabs>
        <w:spacing w:before="100" w:beforeAutospacing="1"/>
        <w:rPr>
          <w:highlight w:val="none"/>
        </w:rPr>
      </w:pPr>
      <w:r>
        <w:rPr>
          <w:highlight w:val="none"/>
        </w:rPr>
        <w:t>2.</w:t>
      </w:r>
      <w:r>
        <w:rPr>
          <w:rFonts w:hint="eastAsia" w:ascii="宋体" w:hAnsi="宋体"/>
          <w:highlight w:val="none"/>
        </w:rPr>
        <w:t>供应商在待开标项目列表中找到对应项目，依次点击【办理】、【签到】</w:t>
      </w:r>
    </w:p>
    <w:p>
      <w:pPr>
        <w:rPr>
          <w:highlight w:val="none"/>
        </w:rPr>
      </w:pPr>
      <w:r>
        <w:rPr>
          <w:highlight w:val="none"/>
          <w:lang w:val="en-US"/>
        </w:rPr>
        <w:drawing>
          <wp:inline distT="0" distB="0" distL="0" distR="0">
            <wp:extent cx="5163820" cy="1275080"/>
            <wp:effectExtent l="0" t="0" r="0" b="1270"/>
            <wp:docPr id="68" name="图片 68" descr="C:\Users\luo\AppData\Local\Temp\ksohtml9076\wp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C:\Users\luo\AppData\Local\Temp\ksohtml9076\wps1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Pr>
          <w:highlight w:val="none"/>
        </w:rPr>
        <w:t xml:space="preserve"> </w:t>
      </w:r>
    </w:p>
    <w:p>
      <w:pPr>
        <w:pStyle w:val="2"/>
        <w:rPr>
          <w:highlight w:val="none"/>
        </w:rPr>
      </w:pPr>
      <w:r>
        <w:rPr>
          <w:highlight w:val="none"/>
          <w:lang w:val="en-US"/>
        </w:rPr>
        <w:drawing>
          <wp:inline distT="0" distB="0" distL="0" distR="0">
            <wp:extent cx="5201285" cy="1215390"/>
            <wp:effectExtent l="0" t="0" r="0" b="3810"/>
            <wp:docPr id="65" name="图片 65" descr="C:\Users\luo\AppData\Local\Temp\ksohtml9076\wp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C:\Users\luo\AppData\Local\Temp\ksohtml9076\wps14.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201285" cy="1215390"/>
                    </a:xfrm>
                    <a:prstGeom prst="rect">
                      <a:avLst/>
                    </a:prstGeom>
                    <a:noFill/>
                    <a:ln>
                      <a:noFill/>
                    </a:ln>
                  </pic:spPr>
                </pic:pic>
              </a:graphicData>
            </a:graphic>
          </wp:inline>
        </w:drawing>
      </w:r>
      <w:r>
        <w:rPr>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供应商解密</w:t>
      </w:r>
    </w:p>
    <w:p>
      <w:pPr>
        <w:pStyle w:val="467"/>
        <w:ind w:firstLine="0" w:firstLineChars="0"/>
        <w:rPr>
          <w:highlight w:val="none"/>
        </w:rPr>
      </w:pPr>
      <w:r>
        <w:rPr>
          <w:rFonts w:hint="eastAsia"/>
          <w:highlight w:val="none"/>
        </w:rPr>
        <w:t>1.</w:t>
      </w:r>
      <w:r>
        <w:rPr>
          <w:rFonts w:hint="eastAsia" w:ascii="宋体" w:hAnsi="宋体"/>
          <w:highlight w:val="none"/>
        </w:rPr>
        <w:t>供应商在项目管理页面点击【我参与的】菜单，进入我参与的列表页面。点击【前往电子评审系统】按钮进入在线开标页面。</w:t>
      </w:r>
    </w:p>
    <w:p>
      <w:pPr>
        <w:rPr>
          <w:highlight w:val="none"/>
        </w:rPr>
      </w:pPr>
      <w:r>
        <w:rPr>
          <w:highlight w:val="none"/>
          <w:lang w:val="en-US"/>
        </w:rPr>
        <w:drawing>
          <wp:inline distT="0" distB="0" distL="0" distR="0">
            <wp:extent cx="5055870" cy="1134745"/>
            <wp:effectExtent l="0" t="0" r="0" b="8255"/>
            <wp:docPr id="63" name="图片 63" descr="C:\Users\luo\AppData\Local\Temp\ksohtml9076\wp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Users\luo\AppData\Local\Temp\ksohtml9076\wps15.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Pr>
          <w:highlight w:val="none"/>
        </w:rPr>
        <w:t xml:space="preserve"> </w:t>
      </w:r>
    </w:p>
    <w:p>
      <w:pPr>
        <w:pStyle w:val="2"/>
        <w:rPr>
          <w:color w:val="auto"/>
          <w:highlight w:val="none"/>
        </w:rPr>
      </w:pPr>
      <w:r>
        <w:rPr>
          <w:rFonts w:hint="eastAsia"/>
          <w:color w:val="auto"/>
          <w:highlight w:val="none"/>
        </w:rPr>
        <w:t>2.</w:t>
      </w:r>
      <w:r>
        <w:rPr>
          <w:rFonts w:hint="eastAsia" w:ascii="宋体" w:hAnsi="宋体"/>
          <w:color w:val="auto"/>
          <w:highlight w:val="none"/>
        </w:rPr>
        <w:t>供应商在待开标项目列表中找到对应项目，点击【办理】、【解密】，输入</w:t>
      </w:r>
      <w:r>
        <w:rPr>
          <w:rFonts w:hint="eastAsia"/>
          <w:color w:val="auto"/>
          <w:highlight w:val="none"/>
        </w:rPr>
        <w:t>key</w:t>
      </w:r>
      <w:r>
        <w:rPr>
          <w:rFonts w:hint="eastAsia" w:ascii="宋体" w:hAnsi="宋体"/>
          <w:color w:val="auto"/>
          <w:highlight w:val="none"/>
        </w:rPr>
        <w:t>的密码后对投标文件进行解密。</w:t>
      </w:r>
      <w:r>
        <w:rPr>
          <w:rFonts w:ascii="宋体" w:hAnsi="宋体"/>
          <w:color w:val="FF0000"/>
          <w:highlight w:val="none"/>
        </w:rPr>
        <w:t>解密</w:t>
      </w:r>
      <w:r>
        <w:rPr>
          <w:rFonts w:hint="eastAsia" w:ascii="宋体" w:hAnsi="宋体"/>
          <w:color w:val="FF0000"/>
          <w:highlight w:val="none"/>
        </w:rPr>
        <w:t>时</w:t>
      </w:r>
      <w:r>
        <w:rPr>
          <w:rFonts w:ascii="宋体" w:hAnsi="宋体"/>
          <w:color w:val="FF0000"/>
          <w:highlight w:val="none"/>
        </w:rPr>
        <w:t>请</w:t>
      </w:r>
      <w:r>
        <w:rPr>
          <w:rFonts w:hint="eastAsia" w:ascii="宋体" w:hAnsi="宋体"/>
          <w:color w:val="FF0000"/>
          <w:highlight w:val="none"/>
        </w:rPr>
        <w:t>启动</w:t>
      </w:r>
      <w:r>
        <w:rPr>
          <w:rFonts w:ascii="宋体" w:hAnsi="宋体"/>
          <w:color w:val="FF0000"/>
          <w:highlight w:val="none"/>
        </w:rPr>
        <w:t>公安部警用装备采购中心客户端并插入</w:t>
      </w:r>
      <w:r>
        <w:rPr>
          <w:rFonts w:hint="eastAsia"/>
          <w:color w:val="FF0000"/>
          <w:highlight w:val="none"/>
        </w:rPr>
        <w:t>key。</w:t>
      </w:r>
    </w:p>
    <w:p>
      <w:pPr>
        <w:rPr>
          <w:highlight w:val="none"/>
        </w:rPr>
      </w:pPr>
      <w:r>
        <w:rPr>
          <w:highlight w:val="none"/>
          <w:lang w:val="en-US"/>
        </w:rPr>
        <w:drawing>
          <wp:inline distT="0" distB="0" distL="0" distR="0">
            <wp:extent cx="5163820" cy="1275080"/>
            <wp:effectExtent l="0" t="0" r="0" b="1270"/>
            <wp:docPr id="62" name="图片 62" descr="C:\Users\luo\AppData\Local\Temp\ksohtml9076\w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Users\luo\AppData\Local\Temp\ksohtml9076\wps16.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Pr>
          <w:highlight w:val="none"/>
          <w:lang w:val="en-US"/>
        </w:rPr>
        <w:drawing>
          <wp:inline distT="0" distB="0" distL="0" distR="0">
            <wp:extent cx="5088255" cy="1460500"/>
            <wp:effectExtent l="0" t="0" r="0" b="6350"/>
            <wp:docPr id="60" name="图片 60" descr="C:\Users\luo\AppData\Local\Temp\ksohtml9076\wp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Users\luo\AppData\Local\Temp\ksohtml9076\wps17.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5095265" cy="1462765"/>
                    </a:xfrm>
                    <a:prstGeom prst="rect">
                      <a:avLst/>
                    </a:prstGeom>
                    <a:noFill/>
                    <a:ln>
                      <a:noFill/>
                    </a:ln>
                  </pic:spPr>
                </pic:pic>
              </a:graphicData>
            </a:graphic>
          </wp:inline>
        </w:drawing>
      </w:r>
      <w:r>
        <w:rPr>
          <w:rFonts w:hint="eastAsia"/>
          <w:highlight w:val="none"/>
        </w:rPr>
        <w:t xml:space="preserve"> </w:t>
      </w:r>
    </w:p>
    <w:p>
      <w:pPr>
        <w:pStyle w:val="2"/>
        <w:rPr>
          <w:highlight w:val="none"/>
        </w:rPr>
      </w:pPr>
      <w:r>
        <w:rPr>
          <w:highlight w:val="none"/>
          <w:lang w:val="en-US"/>
        </w:rPr>
        <w:drawing>
          <wp:inline distT="0" distB="0" distL="0" distR="0">
            <wp:extent cx="5029200" cy="1934210"/>
            <wp:effectExtent l="0" t="0" r="0" b="8890"/>
            <wp:docPr id="57" name="图片 57" descr="C:\Users\luo\AppData\Local\Temp\ksohtml9076\wp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Users\luo\AppData\Local\Temp\ksohtml9076\wps18.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5035934" cy="1937176"/>
                    </a:xfrm>
                    <a:prstGeom prst="rect">
                      <a:avLst/>
                    </a:prstGeom>
                    <a:noFill/>
                    <a:ln>
                      <a:noFill/>
                    </a:ln>
                  </pic:spPr>
                </pic:pic>
              </a:graphicData>
            </a:graphic>
          </wp:inline>
        </w:drawing>
      </w:r>
      <w:r>
        <w:rPr>
          <w:rFonts w:hint="eastAsia"/>
          <w:highlight w:val="none"/>
        </w:rPr>
        <w:t xml:space="preserve"> </w:t>
      </w:r>
    </w:p>
    <w:p>
      <w:pPr>
        <w:rPr>
          <w:highlight w:val="none"/>
        </w:rPr>
      </w:pPr>
      <w:r>
        <w:rPr>
          <w:rFonts w:hint="eastAsia"/>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供应商唱标</w:t>
      </w:r>
    </w:p>
    <w:p>
      <w:pPr>
        <w:rPr>
          <w:rFonts w:ascii="宋体" w:hAnsi="宋体"/>
          <w:highlight w:val="none"/>
        </w:rPr>
      </w:pPr>
      <w:r>
        <w:rPr>
          <w:rFonts w:hint="eastAsia" w:ascii="宋体" w:hAnsi="宋体"/>
          <w:highlight w:val="none"/>
        </w:rPr>
        <w:t>待投标供应商全部完成投标文件解密后，可在页面看到所有投标供应商的投标报价详情，供应商投标流程到此结束</w:t>
      </w:r>
      <w:r>
        <w:rPr>
          <w:highlight w:val="none"/>
          <w:lang w:val="en-US"/>
        </w:rPr>
        <w:drawing>
          <wp:inline distT="0" distB="0" distL="0" distR="0">
            <wp:extent cx="4991735" cy="1484630"/>
            <wp:effectExtent l="0" t="0" r="0" b="1270"/>
            <wp:docPr id="55" name="图片 55" descr="C:\Users\luo\AppData\Local\Temp\ksohtml9076\wp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Users\luo\AppData\Local\Temp\ksohtml9076\wps19.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4991735" cy="1484630"/>
                    </a:xfrm>
                    <a:prstGeom prst="rect">
                      <a:avLst/>
                    </a:prstGeom>
                    <a:noFill/>
                    <a:ln>
                      <a:noFill/>
                    </a:ln>
                  </pic:spPr>
                </pic:pic>
              </a:graphicData>
            </a:graphic>
          </wp:inline>
        </w:drawing>
      </w:r>
    </w:p>
    <w:p>
      <w:pPr>
        <w:pStyle w:val="2"/>
        <w:rPr>
          <w:highlight w:val="none"/>
        </w:rPr>
      </w:pPr>
    </w:p>
    <w:p>
      <w:pPr>
        <w:rPr>
          <w:highlight w:val="none"/>
        </w:rPr>
      </w:pPr>
    </w:p>
    <w:bookmarkEnd w:id="221"/>
    <w:sectPr>
      <w:headerReference r:id="rId16" w:type="default"/>
      <w:pgSz w:w="11907" w:h="16839"/>
      <w:pgMar w:top="1928" w:right="1531" w:bottom="1871" w:left="1531" w:header="1145"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onsolas">
    <w:panose1 w:val="020B0609020204030204"/>
    <w:charset w:val="00"/>
    <w:family w:val="modern"/>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serif">
    <w:altName w:val="Times New Roman"/>
    <w:panose1 w:val="00000000000000000000"/>
    <w:charset w:val="00"/>
    <w:family w:val="auto"/>
    <w:pitch w:val="default"/>
    <w:sig w:usb0="00000000" w:usb1="00000000" w:usb2="00000000" w:usb3="00000000" w:csb0="00040001" w:csb1="00000000"/>
  </w:font>
  <w:font w:name="Helv">
    <w:altName w:val="Segoe Print"/>
    <w:panose1 w:val="020B0604020202030204"/>
    <w:charset w:val="00"/>
    <w:family w:val="swiss"/>
    <w:pitch w:val="default"/>
    <w:sig w:usb0="00000000"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BatangChe">
    <w:panose1 w:val="02030609000101010101"/>
    <w:charset w:val="81"/>
    <w:family w:val="modern"/>
    <w:pitch w:val="default"/>
    <w:sig w:usb0="B00002AF" w:usb1="69D77CFB" w:usb2="00000030" w:usb3="00000000" w:csb0="4008009F" w:csb1="DFD70000"/>
  </w:font>
  <w:font w:name="方正小标宋简体">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new">
    <w:altName w:val="Times New Roman"/>
    <w:panose1 w:val="00000000000000000000"/>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left" w:pos="3492"/>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right" w:pos="8967"/>
      </w:tabs>
      <w:jc w:val="right"/>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29"/>
                            <w:tabs>
                              <w:tab w:val="right" w:pos="8967"/>
                            </w:tabs>
                            <w:jc w:val="right"/>
                          </w:pPr>
                          <w:r>
                            <w:fldChar w:fldCharType="begin"/>
                          </w:r>
                          <w:r>
                            <w:instrText xml:space="preserve">page</w:instrText>
                          </w:r>
                          <w:r>
                            <w:fldChar w:fldCharType="separate"/>
                          </w:r>
                          <w:r>
                            <w:t>13</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ql5uc8AAAAFAQAADwAAAAAAAAABACAAAAAiAAAAZHJzL2Rvd25yZXYu&#10;eG1sUEsBAhQAFAAAAAgAh07iQBsgFW8EAgAABgQAAA4AAAAAAAAAAQAgAAAAHgEAAGRycy9lMm9E&#10;b2MueG1sUEsFBgAAAAAGAAYAWQEAAJQFAAAAAA==&#10;">
              <v:fill on="f" focussize="0,0"/>
              <v:stroke on="f"/>
              <v:imagedata o:title=""/>
              <o:lock v:ext="edit" aspectratio="f"/>
              <v:textbox inset="0mm,0mm,0mm,0mm" style="mso-fit-shape-to-text:t;">
                <w:txbxContent>
                  <w:p>
                    <w:pPr>
                      <w:pStyle w:val="29"/>
                      <w:tabs>
                        <w:tab w:val="right" w:pos="8967"/>
                      </w:tabs>
                      <w:jc w:val="right"/>
                    </w:pPr>
                    <w:r>
                      <w:fldChar w:fldCharType="begin"/>
                    </w:r>
                    <w:r>
                      <w:instrText xml:space="preserve">page</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235585"/>
              <wp:effectExtent l="0" t="0" r="0" b="0"/>
              <wp:wrapNone/>
              <wp:docPr id="9" name="文本框 9"/>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pPr>
                            <w:pStyle w:val="29"/>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55pt;width:5.3pt;mso-position-horizontal:center;mso-position-horizontal-relative:margin;mso-wrap-style:none;z-index:251660288;mso-width-relative:page;mso-height-relative:page;" filled="f" stroked="f" coordsize="21600,21600" o:gfxdata="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NlRnXQAAAAAwEAAA8AAAAAAAAAAQAgAAAAIgAAAGRycy9k&#10;b3ducmV2LnhtbFBLAQIUABQAAAAIAIdO4kD2fS8YCgIAAAEEAAAOAAAAAAAAAAEAIAAAAB8BAABk&#10;cnMvZTJvRG9jLnhtbFBLBQYAAAAABgAGAFkBAACbBQAAAAA=&#10;">
              <v:fill on="f" focussize="0,0"/>
              <v:stroke on="f"/>
              <v:imagedata o:title=""/>
              <o:lock v:ext="edit" aspectratio="f"/>
              <v:textbox inset="0mm,0mm,0mm,0mm" style="mso-fit-shape-to-text:t;">
                <w:txbxContent>
                  <w:p>
                    <w:pPr>
                      <w:pStyle w:val="29"/>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right" w:pos="8967"/>
      </w:tabs>
      <w:jc w:val="right"/>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310" cy="235585"/>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pPr>
                            <w:pStyle w:val="29"/>
                            <w:tabs>
                              <w:tab w:val="right" w:pos="8967"/>
                            </w:tabs>
                            <w:jc w:val="right"/>
                          </w:pPr>
                          <w:r>
                            <w:fldChar w:fldCharType="begin"/>
                          </w:r>
                          <w:r>
                            <w:instrText xml:space="preserve">page</w:instrText>
                          </w:r>
                          <w:r>
                            <w:fldChar w:fldCharType="separate"/>
                          </w:r>
                          <w:r>
                            <w:t>I</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55pt;width:5.3pt;mso-position-horizontal:center;mso-position-horizontal-relative:margin;mso-wrap-style:none;z-index:251661312;mso-width-relative:page;mso-height-relative:page;" filled="f" stroked="f" coordsize="21600,21600" o:gfxdata="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zZUZ10AAAAAMBAAAPAAAAAAAAAAEAIAAAACIAAABkcnMvZG93&#10;bnJldi54bWxQSwECFAAUAAAACACHTuJA+9D3cQgCAAADBAAADgAAAAAAAAABACAAAAAfAQAAZHJz&#10;L2Uyb0RvYy54bWxQSwUGAAAAAAYABgBZAQAAmQUAAAAA&#10;">
              <v:fill on="f" focussize="0,0"/>
              <v:stroke on="f"/>
              <v:imagedata o:title=""/>
              <o:lock v:ext="edit" aspectratio="f"/>
              <v:textbox inset="0mm,0mm,0mm,0mm" style="mso-fit-shape-to-text:t;">
                <w:txbxContent>
                  <w:p>
                    <w:pPr>
                      <w:pStyle w:val="29"/>
                      <w:tabs>
                        <w:tab w:val="right" w:pos="8967"/>
                      </w:tabs>
                      <w:jc w:val="right"/>
                    </w:pPr>
                    <w:r>
                      <w:fldChar w:fldCharType="begin"/>
                    </w:r>
                    <w:r>
                      <w:instrText xml:space="preserve">page</w:instrText>
                    </w:r>
                    <w:r>
                      <w:fldChar w:fldCharType="separate"/>
                    </w:r>
                    <w:r>
                      <w:t>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rPr>
        <w:rFonts w:ascii="微软雅黑" w:hAnsi="微软雅黑"/>
        <w:szCs w:val="21"/>
      </w:rPr>
    </w:pPr>
    <w:r>
      <w:rPr>
        <w:rFonts w:hint="eastAsia" w:ascii="微软雅黑" w:hAnsi="微软雅黑"/>
        <w:szCs w:val="21"/>
      </w:rPr>
      <w:t>公安部警用装备采购中心公开征集文件                                             目录</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rPr>
        <w:rFonts w:hint="eastAsia"/>
        <w:lang w:val="en-US"/>
      </w:rPr>
      <w:t>目录</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rPr>
        <w:lang w:val="en-US"/>
      </w:rPr>
    </w:pPr>
    <w:r>
      <w:rPr>
        <w:lang w:val="en-US"/>
      </w:rPr>
      <w:drawing>
        <wp:inline distT="0" distB="0" distL="0" distR="0">
          <wp:extent cx="214630" cy="21463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t xml:space="preserve">      </w:t>
    </w:r>
    <w:r>
      <w:rPr>
        <w:rFonts w:hint="eastAsia"/>
      </w:rPr>
      <w:t>项目要求</w:t>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ascii="微软雅黑" w:hAnsi="微软雅黑"/>
        <w:szCs w:val="21"/>
      </w:rPr>
    </w:pPr>
    <w:r>
      <w:rPr>
        <w:lang w:val="en-US"/>
      </w:rPr>
      <w:drawing>
        <wp:inline distT="0" distB="0" distL="0" distR="0">
          <wp:extent cx="214630" cy="21463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ascii="微软雅黑" w:hAnsi="微软雅黑"/>
        <w:szCs w:val="21"/>
      </w:rPr>
      <w:t xml:space="preserve">                             </w:t>
    </w:r>
    <w:r>
      <w:rPr>
        <w:rFonts w:ascii="微软雅黑" w:hAnsi="微软雅黑"/>
        <w:szCs w:val="21"/>
      </w:rPr>
      <w:t xml:space="preserve"> </w:t>
    </w:r>
    <w:r>
      <w:rPr>
        <w:rFonts w:hint="eastAsia" w:ascii="微软雅黑" w:hAnsi="微软雅黑"/>
        <w:szCs w:val="21"/>
      </w:rPr>
      <w:t xml:space="preserve">    </w:t>
    </w:r>
    <w:r>
      <w:rPr>
        <w:rFonts w:ascii="微软雅黑" w:hAnsi="微软雅黑"/>
        <w:szCs w:val="21"/>
      </w:rPr>
      <w:t xml:space="preserve">     </w:t>
    </w:r>
    <w:r>
      <w:rPr>
        <w:rFonts w:hint="eastAsia" w:ascii="微软雅黑" w:hAnsi="微软雅黑"/>
        <w:szCs w:val="21"/>
      </w:rPr>
      <w:t>供应商</w:t>
    </w:r>
    <w:r>
      <w:rPr>
        <w:rFonts w:ascii="微软雅黑" w:hAnsi="微软雅黑"/>
        <w:szCs w:val="21"/>
      </w:rPr>
      <w:t>须知</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响应文件编制的说明与要求</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13970" b="1397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rPr>
        <w:rFonts w:hint="eastAsia"/>
        <w:lang w:val="en-US"/>
      </w:rPr>
      <w:t>评审与入围</w:t>
    </w:r>
  </w:p>
  <w:p>
    <w:pPr>
      <w:pStyle w:val="30"/>
      <w:rPr>
        <w:rFonts w:ascii="微软雅黑" w:hAnsi="微软雅黑"/>
        <w:szCs w:val="21"/>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13970" b="13970"/>
          <wp:docPr id="3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附件</w:t>
    </w:r>
  </w:p>
  <w:p>
    <w:pPr>
      <w:pStyle w:val="30"/>
      <w:rPr>
        <w:rFonts w:ascii="微软雅黑" w:hAnsi="微软雅黑"/>
        <w:szCs w:val="21"/>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tabs>
        <w:tab w:val="center" w:pos="4153"/>
        <w:tab w:val="right" w:pos="8306"/>
        <w:tab w:val="clear" w:pos="4680"/>
        <w:tab w:val="clear" w:pos="9360"/>
      </w:tabs>
      <w:jc w:val="both"/>
    </w:pPr>
    <w:r>
      <w:rPr>
        <w:lang w:val="en-US"/>
      </w:rPr>
      <w:drawing>
        <wp:inline distT="0" distB="0" distL="0" distR="0">
          <wp:extent cx="214630" cy="214630"/>
          <wp:effectExtent l="0" t="0" r="0" b="0"/>
          <wp:docPr id="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附件</w:t>
    </w:r>
  </w:p>
  <w:p>
    <w:pPr>
      <w:pStyle w:val="30"/>
      <w:rPr>
        <w:rFonts w:ascii="微软雅黑" w:hAnsi="微软雅黑"/>
        <w:szCs w:val="21"/>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tabs>
        <w:tab w:val="center" w:pos="4153"/>
        <w:tab w:val="right" w:pos="8306"/>
        <w:tab w:val="clear" w:pos="4680"/>
        <w:tab w:val="clear" w:pos="9360"/>
      </w:tabs>
      <w:jc w:val="both"/>
    </w:pPr>
    <w:r>
      <w:rPr>
        <w:lang w:val="en-US"/>
      </w:rPr>
      <w:drawing>
        <wp:inline distT="0" distB="0" distL="0" distR="0">
          <wp:extent cx="214630" cy="214630"/>
          <wp:effectExtent l="0" t="0" r="13970" b="1397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操作</w:t>
    </w:r>
    <w:r>
      <w:t xml:space="preserve">手册   </w:t>
    </w:r>
  </w:p>
  <w:p>
    <w:pPr>
      <w:pStyle w:val="30"/>
      <w:rPr>
        <w:rFonts w:ascii="微软雅黑" w:hAnsi="微软雅黑"/>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DABD7"/>
    <w:multiLevelType w:val="multilevel"/>
    <w:tmpl w:val="99FDABD7"/>
    <w:lvl w:ilvl="0" w:tentative="0">
      <w:start w:val="1"/>
      <w:numFmt w:val="decimal"/>
      <w:pStyle w:val="3"/>
      <w:suff w:val="space"/>
      <w:lvlText w:val="%1"/>
      <w:lvlJc w:val="left"/>
      <w:pPr>
        <w:ind w:left="432" w:hanging="432"/>
      </w:pPr>
      <w:rPr>
        <w:rFonts w:hint="eastAsia"/>
      </w:rPr>
    </w:lvl>
    <w:lvl w:ilvl="1" w:tentative="0">
      <w:start w:val="1"/>
      <w:numFmt w:val="decimal"/>
      <w:pStyle w:val="4"/>
      <w:suff w:val="space"/>
      <w:lvlText w:val="%1.%2"/>
      <w:lvlJc w:val="left"/>
      <w:pPr>
        <w:ind w:left="882" w:hanging="576"/>
      </w:pPr>
      <w:rPr>
        <w:rFonts w:hint="default" w:ascii="Times New Roman" w:hAnsi="Times New Roman" w:cs="Times New Roman"/>
      </w:rPr>
    </w:lvl>
    <w:lvl w:ilvl="2" w:tentative="0">
      <w:start w:val="1"/>
      <w:numFmt w:val="decimal"/>
      <w:pStyle w:val="5"/>
      <w:suff w:val="space"/>
      <w:lvlText w:val="%1.%2.%3"/>
      <w:lvlJc w:val="left"/>
      <w:pPr>
        <w:ind w:left="720" w:hanging="720"/>
      </w:pPr>
      <w:rPr>
        <w:rFonts w:hint="eastAsia"/>
      </w:rPr>
    </w:lvl>
    <w:lvl w:ilvl="3" w:tentative="0">
      <w:start w:val="1"/>
      <w:numFmt w:val="decimal"/>
      <w:pStyle w:val="6"/>
      <w:suff w:val="space"/>
      <w:lvlText w:val="%1.%2.%3.%4"/>
      <w:lvlJc w:val="left"/>
      <w:pPr>
        <w:ind w:left="680" w:hanging="680"/>
      </w:pPr>
      <w:rPr>
        <w:rFonts w:hint="eastAsia"/>
      </w:rPr>
    </w:lvl>
    <w:lvl w:ilvl="4" w:tentative="0">
      <w:start w:val="1"/>
      <w:numFmt w:val="decimal"/>
      <w:pStyle w:val="7"/>
      <w:suff w:val="space"/>
      <w:lvlText w:val="%1.%2.%3.%4.%5"/>
      <w:lvlJc w:val="left"/>
      <w:pPr>
        <w:ind w:left="841" w:hanging="841"/>
      </w:pPr>
      <w:rPr>
        <w:rFonts w:hint="eastAsia"/>
      </w:rPr>
    </w:lvl>
    <w:lvl w:ilvl="5" w:tentative="0">
      <w:start w:val="1"/>
      <w:numFmt w:val="decimal"/>
      <w:pStyle w:val="8"/>
      <w:suff w:val="space"/>
      <w:lvlText w:val="%1.%2.%3.%4.%5.%6"/>
      <w:lvlJc w:val="left"/>
      <w:pPr>
        <w:ind w:left="992" w:hanging="992"/>
      </w:pPr>
      <w:rPr>
        <w:rFonts w:hint="eastAsia"/>
      </w:rPr>
    </w:lvl>
    <w:lvl w:ilvl="6" w:tentative="0">
      <w:start w:val="1"/>
      <w:numFmt w:val="decimal"/>
      <w:pStyle w:val="9"/>
      <w:lvlText w:val="%1.%2.%3.%4.%5.%6.%7"/>
      <w:lvlJc w:val="left"/>
      <w:pPr>
        <w:ind w:left="1296" w:hanging="1296"/>
      </w:pPr>
      <w:rPr>
        <w:rFonts w:hint="eastAsia"/>
      </w:rPr>
    </w:lvl>
    <w:lvl w:ilvl="7" w:tentative="0">
      <w:start w:val="1"/>
      <w:numFmt w:val="decimal"/>
      <w:pStyle w:val="10"/>
      <w:lvlText w:val="%1.%2.%3.%4.%5.%6.%7.%8"/>
      <w:lvlJc w:val="left"/>
      <w:pPr>
        <w:ind w:left="1440" w:hanging="1440"/>
      </w:pPr>
      <w:rPr>
        <w:rFonts w:hint="eastAsia"/>
      </w:rPr>
    </w:lvl>
    <w:lvl w:ilvl="8" w:tentative="0">
      <w:start w:val="1"/>
      <w:numFmt w:val="decimal"/>
      <w:pStyle w:val="11"/>
      <w:lvlText w:val="%1.%2.%3.%4.%5.%6.%7.%8.%9"/>
      <w:lvlJc w:val="left"/>
      <w:pPr>
        <w:ind w:left="1584" w:hanging="1584"/>
      </w:pPr>
      <w:rPr>
        <w:rFonts w:hint="eastAsia"/>
      </w:rPr>
    </w:lvl>
  </w:abstractNum>
  <w:abstractNum w:abstractNumId="1">
    <w:nsid w:val="0000000B"/>
    <w:multiLevelType w:val="singleLevel"/>
    <w:tmpl w:val="0000000B"/>
    <w:lvl w:ilvl="0" w:tentative="0">
      <w:start w:val="1"/>
      <w:numFmt w:val="bullet"/>
      <w:pStyle w:val="21"/>
      <w:lvlText w:val=""/>
      <w:lvlJc w:val="left"/>
      <w:pPr>
        <w:tabs>
          <w:tab w:val="left" w:pos="720"/>
        </w:tabs>
        <w:ind w:left="720" w:hanging="360"/>
      </w:pPr>
      <w:rPr>
        <w:rFonts w:hint="default" w:ascii="Symbol" w:hAnsi="Symbol" w:eastAsia="Times New Roman"/>
      </w:rPr>
    </w:lvl>
  </w:abstractNum>
  <w:abstractNum w:abstractNumId="2">
    <w:nsid w:val="00000010"/>
    <w:multiLevelType w:val="multilevel"/>
    <w:tmpl w:val="00000010"/>
    <w:lvl w:ilvl="0" w:tentative="0">
      <w:start w:val="1"/>
      <w:numFmt w:val="japaneseCounting"/>
      <w:pStyle w:val="226"/>
      <w:lvlText w:val="%1、"/>
      <w:lvlJc w:val="left"/>
      <w:pPr>
        <w:tabs>
          <w:tab w:val="left" w:pos="855"/>
        </w:tabs>
        <w:ind w:left="855" w:hanging="420"/>
      </w:pPr>
      <w:rPr>
        <w:rFonts w:hint="default"/>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3">
    <w:nsid w:val="00000011"/>
    <w:multiLevelType w:val="singleLevel"/>
    <w:tmpl w:val="00000011"/>
    <w:lvl w:ilvl="0" w:tentative="0">
      <w:start w:val="1"/>
      <w:numFmt w:val="bullet"/>
      <w:pStyle w:val="25"/>
      <w:lvlText w:val=""/>
      <w:lvlJc w:val="left"/>
      <w:pPr>
        <w:tabs>
          <w:tab w:val="left" w:pos="1800"/>
        </w:tabs>
        <w:ind w:left="1800" w:hanging="360"/>
      </w:pPr>
      <w:rPr>
        <w:rFonts w:hint="default" w:ascii="Symbol" w:hAnsi="Symbol" w:eastAsia="Times New Roman"/>
      </w:rPr>
    </w:lvl>
  </w:abstractNum>
  <w:abstractNum w:abstractNumId="4">
    <w:nsid w:val="00000012"/>
    <w:multiLevelType w:val="multilevel"/>
    <w:tmpl w:val="00000012"/>
    <w:lvl w:ilvl="0" w:tentative="0">
      <w:start w:val="1"/>
      <w:numFmt w:val="decimal"/>
      <w:lvlText w:val="%1."/>
      <w:lvlJc w:val="left"/>
      <w:pPr>
        <w:ind w:left="360" w:hanging="360"/>
      </w:pPr>
      <w:rPr>
        <w:rFonts w:hint="default" w:cs="Times New Roman"/>
      </w:rPr>
    </w:lvl>
    <w:lvl w:ilvl="1" w:tentative="0">
      <w:start w:val="1"/>
      <w:numFmt w:val="decimal"/>
      <w:pStyle w:val="286"/>
      <w:lvlText w:val="%1.%2"/>
      <w:lvlJc w:val="left"/>
      <w:pPr>
        <w:tabs>
          <w:tab w:val="left" w:pos="432"/>
        </w:tabs>
        <w:ind w:left="432" w:hanging="432"/>
      </w:pPr>
      <w:rPr>
        <w:rFonts w:hint="default" w:cs="Times New Roman"/>
      </w:rPr>
    </w:lvl>
    <w:lvl w:ilvl="2" w:tentative="0">
      <w:start w:val="1"/>
      <w:numFmt w:val="lowerLetter"/>
      <w:pStyle w:val="14"/>
      <w:lvlText w:val="%3."/>
      <w:lvlJc w:val="left"/>
      <w:pPr>
        <w:ind w:left="792" w:hanging="360"/>
      </w:pPr>
      <w:rPr>
        <w:rFonts w:hint="default" w:cs="Times New Roman"/>
      </w:rPr>
    </w:lvl>
    <w:lvl w:ilvl="3" w:tentative="0">
      <w:start w:val="1"/>
      <w:numFmt w:val="lowerRoman"/>
      <w:pStyle w:val="215"/>
      <w:lvlText w:val="%4."/>
      <w:lvlJc w:val="left"/>
      <w:pPr>
        <w:ind w:left="1152" w:hanging="360"/>
      </w:pPr>
      <w:rPr>
        <w:rFonts w:hint="default" w:cs="Times New Roman"/>
      </w:rPr>
    </w:lvl>
    <w:lvl w:ilvl="4" w:tentative="0">
      <w:start w:val="1"/>
      <w:numFmt w:val="lowerLetter"/>
      <w:pStyle w:val="251"/>
      <w:lvlText w:val="(%5)"/>
      <w:lvlJc w:val="left"/>
      <w:pPr>
        <w:ind w:left="1512" w:hanging="360"/>
      </w:pPr>
      <w:rPr>
        <w:rFonts w:hint="default" w:cs="Times New Roman"/>
      </w:rPr>
    </w:lvl>
    <w:lvl w:ilvl="5" w:tentative="0">
      <w:start w:val="1"/>
      <w:numFmt w:val="lowerRoman"/>
      <w:lvlText w:val="(%6)"/>
      <w:lvlJc w:val="left"/>
      <w:pPr>
        <w:ind w:left="1872" w:hanging="360"/>
      </w:pPr>
      <w:rPr>
        <w:rFonts w:hint="default" w:cs="Times New Roman"/>
      </w:rPr>
    </w:lvl>
    <w:lvl w:ilvl="6" w:tentative="0">
      <w:start w:val="1"/>
      <w:numFmt w:val="decimal"/>
      <w:lvlText w:val="%7."/>
      <w:lvlJc w:val="left"/>
      <w:pPr>
        <w:ind w:left="2232" w:hanging="360"/>
      </w:pPr>
      <w:rPr>
        <w:rFonts w:hint="default" w:cs="Times New Roman"/>
      </w:rPr>
    </w:lvl>
    <w:lvl w:ilvl="7" w:tentative="0">
      <w:start w:val="1"/>
      <w:numFmt w:val="lowerLetter"/>
      <w:lvlText w:val="%8."/>
      <w:lvlJc w:val="left"/>
      <w:pPr>
        <w:ind w:left="2592" w:hanging="360"/>
      </w:pPr>
      <w:rPr>
        <w:rFonts w:hint="default" w:cs="Times New Roman"/>
      </w:rPr>
    </w:lvl>
    <w:lvl w:ilvl="8" w:tentative="0">
      <w:start w:val="1"/>
      <w:numFmt w:val="lowerRoman"/>
      <w:lvlText w:val="%9."/>
      <w:lvlJc w:val="left"/>
      <w:pPr>
        <w:ind w:left="2952" w:hanging="360"/>
      </w:pPr>
      <w:rPr>
        <w:rFonts w:hint="default" w:cs="Times New Roman"/>
      </w:rPr>
    </w:lvl>
  </w:abstractNum>
  <w:abstractNum w:abstractNumId="5">
    <w:nsid w:val="00000013"/>
    <w:multiLevelType w:val="singleLevel"/>
    <w:tmpl w:val="00000013"/>
    <w:lvl w:ilvl="0" w:tentative="0">
      <w:start w:val="1"/>
      <w:numFmt w:val="bullet"/>
      <w:pStyle w:val="13"/>
      <w:lvlText w:val=""/>
      <w:lvlJc w:val="left"/>
      <w:pPr>
        <w:tabs>
          <w:tab w:val="left" w:pos="1440"/>
        </w:tabs>
        <w:ind w:left="1440" w:hanging="360"/>
      </w:pPr>
      <w:rPr>
        <w:rFonts w:hint="default" w:ascii="Symbol" w:hAnsi="Symbol" w:eastAsia="Times New Roman"/>
      </w:rPr>
    </w:lvl>
  </w:abstractNum>
  <w:abstractNum w:abstractNumId="6">
    <w:nsid w:val="00000014"/>
    <w:multiLevelType w:val="multilevel"/>
    <w:tmpl w:val="00000014"/>
    <w:lvl w:ilvl="0" w:tentative="0">
      <w:start w:val="1"/>
      <w:numFmt w:val="japaneseCounting"/>
      <w:lvlText w:val="%1、"/>
      <w:lvlJc w:val="left"/>
      <w:pPr>
        <w:ind w:left="1140" w:hanging="720"/>
      </w:pPr>
      <w:rPr>
        <w:rFonts w:hint="default"/>
      </w:rPr>
    </w:lvl>
    <w:lvl w:ilvl="1" w:tentative="0">
      <w:start w:val="1"/>
      <w:numFmt w:val="lowerLetter"/>
      <w:pStyle w:val="261"/>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00000015"/>
    <w:multiLevelType w:val="singleLevel"/>
    <w:tmpl w:val="00000015"/>
    <w:lvl w:ilvl="0" w:tentative="0">
      <w:start w:val="1"/>
      <w:numFmt w:val="bullet"/>
      <w:pStyle w:val="19"/>
      <w:lvlText w:val=""/>
      <w:lvlJc w:val="left"/>
      <w:pPr>
        <w:tabs>
          <w:tab w:val="left" w:pos="1080"/>
        </w:tabs>
        <w:ind w:left="1080" w:hanging="360"/>
      </w:pPr>
      <w:rPr>
        <w:rFonts w:hint="default" w:ascii="Symbol" w:hAnsi="Symbol" w:eastAsia="Times New Roman"/>
      </w:rPr>
    </w:lvl>
  </w:abstractNum>
  <w:abstractNum w:abstractNumId="8">
    <w:nsid w:val="00000016"/>
    <w:multiLevelType w:val="multilevel"/>
    <w:tmpl w:val="00000016"/>
    <w:lvl w:ilvl="0" w:tentative="0">
      <w:start w:val="1"/>
      <w:numFmt w:val="decimal"/>
      <w:pStyle w:val="25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17"/>
    <w:multiLevelType w:val="singleLevel"/>
    <w:tmpl w:val="00000017"/>
    <w:lvl w:ilvl="0" w:tentative="0">
      <w:start w:val="1"/>
      <w:numFmt w:val="bullet"/>
      <w:pStyle w:val="17"/>
      <w:lvlText w:val="•"/>
      <w:lvlJc w:val="left"/>
      <w:pPr>
        <w:ind w:left="360" w:hanging="360"/>
      </w:pPr>
      <w:rPr>
        <w:rFonts w:hint="default" w:ascii="Cambria" w:hAnsi="Cambria" w:eastAsia="Times New Roman"/>
        <w:color w:val="7E97AD"/>
      </w:rPr>
    </w:lvl>
  </w:abstractNum>
  <w:abstractNum w:abstractNumId="10">
    <w:nsid w:val="00000018"/>
    <w:multiLevelType w:val="multilevel"/>
    <w:tmpl w:val="00000018"/>
    <w:lvl w:ilvl="0" w:tentative="0">
      <w:start w:val="1"/>
      <w:numFmt w:val="decimal"/>
      <w:pStyle w:val="188"/>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11">
    <w:nsid w:val="1DB310BD"/>
    <w:multiLevelType w:val="multilevel"/>
    <w:tmpl w:val="1DB310BD"/>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2AF66921"/>
    <w:multiLevelType w:val="multilevel"/>
    <w:tmpl w:val="2AF66921"/>
    <w:lvl w:ilvl="0" w:tentative="0">
      <w:start w:val="1"/>
      <w:numFmt w:val="decimal"/>
      <w:suff w:val="nothing"/>
      <w:lvlText w:val="%1"/>
      <w:lvlJc w:val="center"/>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C1D04E0"/>
    <w:multiLevelType w:val="multilevel"/>
    <w:tmpl w:val="2C1D04E0"/>
    <w:lvl w:ilvl="0" w:tentative="0">
      <w:start w:val="1"/>
      <w:numFmt w:val="decimal"/>
      <w:lvlText w:val="6.1.%1"/>
      <w:lvlJc w:val="left"/>
      <w:pPr>
        <w:ind w:left="420" w:hanging="420"/>
      </w:pPr>
      <w:rPr>
        <w:rFonts w:hint="eastAsia" w:ascii="new" w:hAnsi="new" w:eastAsia="等线 Ligh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DC41652"/>
    <w:multiLevelType w:val="multilevel"/>
    <w:tmpl w:val="4DC41652"/>
    <w:lvl w:ilvl="0" w:tentative="0">
      <w:start w:val="1"/>
      <w:numFmt w:val="decimal"/>
      <w:lvlText w:val="%1"/>
      <w:lvlJc w:val="left"/>
      <w:pPr>
        <w:ind w:left="987"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49711C8"/>
    <w:multiLevelType w:val="multilevel"/>
    <w:tmpl w:val="749711C8"/>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B275427"/>
    <w:multiLevelType w:val="multilevel"/>
    <w:tmpl w:val="7B275427"/>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5"/>
  </w:num>
  <w:num w:numId="3">
    <w:abstractNumId w:val="4"/>
  </w:num>
  <w:num w:numId="4">
    <w:abstractNumId w:val="9"/>
  </w:num>
  <w:num w:numId="5">
    <w:abstractNumId w:val="7"/>
  </w:num>
  <w:num w:numId="6">
    <w:abstractNumId w:val="1"/>
  </w:num>
  <w:num w:numId="7">
    <w:abstractNumId w:val="3"/>
  </w:num>
  <w:num w:numId="8">
    <w:abstractNumId w:val="10"/>
  </w:num>
  <w:num w:numId="9">
    <w:abstractNumId w:val="2"/>
  </w:num>
  <w:num w:numId="10">
    <w:abstractNumId w:val="8"/>
  </w:num>
  <w:num w:numId="11">
    <w:abstractNumId w:val="6"/>
  </w:num>
  <w:num w:numId="12">
    <w:abstractNumId w:val="12"/>
  </w:num>
  <w:num w:numId="13">
    <w:abstractNumId w:val="14"/>
  </w:num>
  <w:num w:numId="14">
    <w:abstractNumId w:val="16"/>
  </w:num>
  <w:num w:numId="15">
    <w:abstractNumId w:val="15"/>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4ZDMyZDdiODJjMzU1ZDY0M2NjZTYzMzA0NWRhYWUifQ=="/>
  </w:docVars>
  <w:rsids>
    <w:rsidRoot w:val="00172A27"/>
    <w:rsid w:val="00000504"/>
    <w:rsid w:val="00002301"/>
    <w:rsid w:val="0000470A"/>
    <w:rsid w:val="00004951"/>
    <w:rsid w:val="00005418"/>
    <w:rsid w:val="000057FB"/>
    <w:rsid w:val="000060A9"/>
    <w:rsid w:val="00006920"/>
    <w:rsid w:val="00006997"/>
    <w:rsid w:val="00007F3D"/>
    <w:rsid w:val="0001021A"/>
    <w:rsid w:val="00011DD6"/>
    <w:rsid w:val="00012E8B"/>
    <w:rsid w:val="0001363B"/>
    <w:rsid w:val="0001382C"/>
    <w:rsid w:val="00013847"/>
    <w:rsid w:val="000142FD"/>
    <w:rsid w:val="00014397"/>
    <w:rsid w:val="00014CEB"/>
    <w:rsid w:val="00014F43"/>
    <w:rsid w:val="00015A07"/>
    <w:rsid w:val="00015C1C"/>
    <w:rsid w:val="00016E70"/>
    <w:rsid w:val="00016F6F"/>
    <w:rsid w:val="00021395"/>
    <w:rsid w:val="00021594"/>
    <w:rsid w:val="0002230E"/>
    <w:rsid w:val="00022467"/>
    <w:rsid w:val="00022FA7"/>
    <w:rsid w:val="00023F7A"/>
    <w:rsid w:val="0002454A"/>
    <w:rsid w:val="0002489E"/>
    <w:rsid w:val="00024EDE"/>
    <w:rsid w:val="00025C6B"/>
    <w:rsid w:val="000263E7"/>
    <w:rsid w:val="00026A0B"/>
    <w:rsid w:val="00026CDC"/>
    <w:rsid w:val="000275C3"/>
    <w:rsid w:val="000278D8"/>
    <w:rsid w:val="00027A87"/>
    <w:rsid w:val="00027B3F"/>
    <w:rsid w:val="00027D41"/>
    <w:rsid w:val="00030E20"/>
    <w:rsid w:val="00031536"/>
    <w:rsid w:val="00031FA6"/>
    <w:rsid w:val="00032017"/>
    <w:rsid w:val="00032DF2"/>
    <w:rsid w:val="00033872"/>
    <w:rsid w:val="00033D7E"/>
    <w:rsid w:val="00033F31"/>
    <w:rsid w:val="000344DC"/>
    <w:rsid w:val="00034544"/>
    <w:rsid w:val="00034773"/>
    <w:rsid w:val="00034DE8"/>
    <w:rsid w:val="000358A3"/>
    <w:rsid w:val="00037DBC"/>
    <w:rsid w:val="00040918"/>
    <w:rsid w:val="00040D26"/>
    <w:rsid w:val="000421C1"/>
    <w:rsid w:val="0004365B"/>
    <w:rsid w:val="00043A3E"/>
    <w:rsid w:val="00043BB3"/>
    <w:rsid w:val="00045586"/>
    <w:rsid w:val="00045D63"/>
    <w:rsid w:val="00045F3E"/>
    <w:rsid w:val="00047905"/>
    <w:rsid w:val="00047C81"/>
    <w:rsid w:val="00052AD1"/>
    <w:rsid w:val="00052EEF"/>
    <w:rsid w:val="00053A70"/>
    <w:rsid w:val="00054466"/>
    <w:rsid w:val="0005480E"/>
    <w:rsid w:val="000558BD"/>
    <w:rsid w:val="00056A60"/>
    <w:rsid w:val="00057C21"/>
    <w:rsid w:val="000604B4"/>
    <w:rsid w:val="00060820"/>
    <w:rsid w:val="000617D0"/>
    <w:rsid w:val="00061864"/>
    <w:rsid w:val="00061D30"/>
    <w:rsid w:val="00062124"/>
    <w:rsid w:val="00062E07"/>
    <w:rsid w:val="0006312A"/>
    <w:rsid w:val="00063B61"/>
    <w:rsid w:val="00063F6F"/>
    <w:rsid w:val="000645F9"/>
    <w:rsid w:val="00064AAA"/>
    <w:rsid w:val="00065125"/>
    <w:rsid w:val="00065CFE"/>
    <w:rsid w:val="00067D59"/>
    <w:rsid w:val="00071EE1"/>
    <w:rsid w:val="0007208E"/>
    <w:rsid w:val="00072EC5"/>
    <w:rsid w:val="0007414A"/>
    <w:rsid w:val="000747A2"/>
    <w:rsid w:val="00074854"/>
    <w:rsid w:val="00074AC2"/>
    <w:rsid w:val="000750FE"/>
    <w:rsid w:val="00075221"/>
    <w:rsid w:val="00076B5A"/>
    <w:rsid w:val="00076C4A"/>
    <w:rsid w:val="00076F4E"/>
    <w:rsid w:val="00077535"/>
    <w:rsid w:val="00077F9A"/>
    <w:rsid w:val="000801D0"/>
    <w:rsid w:val="000808D3"/>
    <w:rsid w:val="000825BD"/>
    <w:rsid w:val="00082CB7"/>
    <w:rsid w:val="000835DB"/>
    <w:rsid w:val="0008414C"/>
    <w:rsid w:val="00084A45"/>
    <w:rsid w:val="00085308"/>
    <w:rsid w:val="0008572E"/>
    <w:rsid w:val="00085B5E"/>
    <w:rsid w:val="00085BA6"/>
    <w:rsid w:val="00085E9A"/>
    <w:rsid w:val="00085F8D"/>
    <w:rsid w:val="0008616D"/>
    <w:rsid w:val="00087300"/>
    <w:rsid w:val="00090AD9"/>
    <w:rsid w:val="00093313"/>
    <w:rsid w:val="00093D81"/>
    <w:rsid w:val="00094F59"/>
    <w:rsid w:val="0009536A"/>
    <w:rsid w:val="00096040"/>
    <w:rsid w:val="00096E5E"/>
    <w:rsid w:val="00097B5F"/>
    <w:rsid w:val="00097DF5"/>
    <w:rsid w:val="000A1F01"/>
    <w:rsid w:val="000A4249"/>
    <w:rsid w:val="000A4637"/>
    <w:rsid w:val="000A4E51"/>
    <w:rsid w:val="000A4EA6"/>
    <w:rsid w:val="000A61A0"/>
    <w:rsid w:val="000A746E"/>
    <w:rsid w:val="000A75E0"/>
    <w:rsid w:val="000B04F0"/>
    <w:rsid w:val="000B0D59"/>
    <w:rsid w:val="000B1322"/>
    <w:rsid w:val="000B13D3"/>
    <w:rsid w:val="000B155A"/>
    <w:rsid w:val="000B1CEF"/>
    <w:rsid w:val="000B2844"/>
    <w:rsid w:val="000B384A"/>
    <w:rsid w:val="000B3983"/>
    <w:rsid w:val="000B4856"/>
    <w:rsid w:val="000B4A37"/>
    <w:rsid w:val="000B4FA9"/>
    <w:rsid w:val="000B5BE5"/>
    <w:rsid w:val="000B6DDE"/>
    <w:rsid w:val="000B6E06"/>
    <w:rsid w:val="000C026D"/>
    <w:rsid w:val="000C0D5F"/>
    <w:rsid w:val="000C17BA"/>
    <w:rsid w:val="000C17D5"/>
    <w:rsid w:val="000C1AC7"/>
    <w:rsid w:val="000C258A"/>
    <w:rsid w:val="000C29F7"/>
    <w:rsid w:val="000C40DB"/>
    <w:rsid w:val="000C513C"/>
    <w:rsid w:val="000C52ED"/>
    <w:rsid w:val="000C66E3"/>
    <w:rsid w:val="000C673E"/>
    <w:rsid w:val="000C7231"/>
    <w:rsid w:val="000C7B09"/>
    <w:rsid w:val="000C7E8B"/>
    <w:rsid w:val="000D0012"/>
    <w:rsid w:val="000D011E"/>
    <w:rsid w:val="000D1444"/>
    <w:rsid w:val="000D20E4"/>
    <w:rsid w:val="000D216C"/>
    <w:rsid w:val="000D252B"/>
    <w:rsid w:val="000D3B5D"/>
    <w:rsid w:val="000D3C5D"/>
    <w:rsid w:val="000D4121"/>
    <w:rsid w:val="000D465A"/>
    <w:rsid w:val="000D4A41"/>
    <w:rsid w:val="000D514E"/>
    <w:rsid w:val="000D59CF"/>
    <w:rsid w:val="000D5B02"/>
    <w:rsid w:val="000D5B59"/>
    <w:rsid w:val="000D5F32"/>
    <w:rsid w:val="000D64DA"/>
    <w:rsid w:val="000D7502"/>
    <w:rsid w:val="000D77C4"/>
    <w:rsid w:val="000D77DD"/>
    <w:rsid w:val="000D7855"/>
    <w:rsid w:val="000D799B"/>
    <w:rsid w:val="000E04BE"/>
    <w:rsid w:val="000E3551"/>
    <w:rsid w:val="000E49A6"/>
    <w:rsid w:val="000E5C34"/>
    <w:rsid w:val="000E62B0"/>
    <w:rsid w:val="000E685D"/>
    <w:rsid w:val="000E6F63"/>
    <w:rsid w:val="000E7F6B"/>
    <w:rsid w:val="000F1610"/>
    <w:rsid w:val="000F16DF"/>
    <w:rsid w:val="000F2E28"/>
    <w:rsid w:val="000F32D7"/>
    <w:rsid w:val="000F4798"/>
    <w:rsid w:val="000F4C94"/>
    <w:rsid w:val="000F535B"/>
    <w:rsid w:val="000F59F0"/>
    <w:rsid w:val="000F63A8"/>
    <w:rsid w:val="000F6459"/>
    <w:rsid w:val="000F695D"/>
    <w:rsid w:val="000F7010"/>
    <w:rsid w:val="000F7672"/>
    <w:rsid w:val="000F78DA"/>
    <w:rsid w:val="00100938"/>
    <w:rsid w:val="00100A30"/>
    <w:rsid w:val="0010218E"/>
    <w:rsid w:val="00102ED9"/>
    <w:rsid w:val="00103110"/>
    <w:rsid w:val="001046B4"/>
    <w:rsid w:val="00104A79"/>
    <w:rsid w:val="00105066"/>
    <w:rsid w:val="001050D2"/>
    <w:rsid w:val="001053FA"/>
    <w:rsid w:val="0010695B"/>
    <w:rsid w:val="00106C14"/>
    <w:rsid w:val="00106C7A"/>
    <w:rsid w:val="00107102"/>
    <w:rsid w:val="001101EF"/>
    <w:rsid w:val="001114E6"/>
    <w:rsid w:val="001120B3"/>
    <w:rsid w:val="001123B9"/>
    <w:rsid w:val="00112832"/>
    <w:rsid w:val="00112954"/>
    <w:rsid w:val="00113237"/>
    <w:rsid w:val="00113494"/>
    <w:rsid w:val="001136DE"/>
    <w:rsid w:val="001157A1"/>
    <w:rsid w:val="00116FD6"/>
    <w:rsid w:val="00116FE4"/>
    <w:rsid w:val="0011757C"/>
    <w:rsid w:val="0011775F"/>
    <w:rsid w:val="00117AB2"/>
    <w:rsid w:val="00117AED"/>
    <w:rsid w:val="00117D84"/>
    <w:rsid w:val="00117FB3"/>
    <w:rsid w:val="001200F6"/>
    <w:rsid w:val="001207CC"/>
    <w:rsid w:val="00120AB5"/>
    <w:rsid w:val="00120B3E"/>
    <w:rsid w:val="0012152B"/>
    <w:rsid w:val="00121A04"/>
    <w:rsid w:val="00121B56"/>
    <w:rsid w:val="00121F9C"/>
    <w:rsid w:val="001238D4"/>
    <w:rsid w:val="00123AF5"/>
    <w:rsid w:val="001242D3"/>
    <w:rsid w:val="00124487"/>
    <w:rsid w:val="00124861"/>
    <w:rsid w:val="00124C5E"/>
    <w:rsid w:val="0012678A"/>
    <w:rsid w:val="001273AD"/>
    <w:rsid w:val="001279B9"/>
    <w:rsid w:val="00127AE4"/>
    <w:rsid w:val="00127C69"/>
    <w:rsid w:val="00127DD0"/>
    <w:rsid w:val="001304AE"/>
    <w:rsid w:val="00131113"/>
    <w:rsid w:val="00131D14"/>
    <w:rsid w:val="0013213E"/>
    <w:rsid w:val="00132194"/>
    <w:rsid w:val="00132BB4"/>
    <w:rsid w:val="00132BD9"/>
    <w:rsid w:val="0013317C"/>
    <w:rsid w:val="00133521"/>
    <w:rsid w:val="0013413D"/>
    <w:rsid w:val="0013513C"/>
    <w:rsid w:val="0013580C"/>
    <w:rsid w:val="001366AF"/>
    <w:rsid w:val="001366BC"/>
    <w:rsid w:val="00136B86"/>
    <w:rsid w:val="00136E9A"/>
    <w:rsid w:val="00137985"/>
    <w:rsid w:val="00140186"/>
    <w:rsid w:val="00140E58"/>
    <w:rsid w:val="00143DCF"/>
    <w:rsid w:val="00144885"/>
    <w:rsid w:val="00144CC6"/>
    <w:rsid w:val="00144FBE"/>
    <w:rsid w:val="001455C5"/>
    <w:rsid w:val="00145FCD"/>
    <w:rsid w:val="00146E1F"/>
    <w:rsid w:val="00147E74"/>
    <w:rsid w:val="0015066F"/>
    <w:rsid w:val="0015082A"/>
    <w:rsid w:val="0015119D"/>
    <w:rsid w:val="0015177C"/>
    <w:rsid w:val="00151BF3"/>
    <w:rsid w:val="00152968"/>
    <w:rsid w:val="001538C4"/>
    <w:rsid w:val="001549AD"/>
    <w:rsid w:val="00154C28"/>
    <w:rsid w:val="00154C67"/>
    <w:rsid w:val="00154C92"/>
    <w:rsid w:val="00154CA6"/>
    <w:rsid w:val="00155254"/>
    <w:rsid w:val="00155418"/>
    <w:rsid w:val="0015595F"/>
    <w:rsid w:val="001603DD"/>
    <w:rsid w:val="00160F28"/>
    <w:rsid w:val="0016154D"/>
    <w:rsid w:val="001619C1"/>
    <w:rsid w:val="00161F6A"/>
    <w:rsid w:val="0016299E"/>
    <w:rsid w:val="00162BCA"/>
    <w:rsid w:val="001633BB"/>
    <w:rsid w:val="001635E1"/>
    <w:rsid w:val="00163821"/>
    <w:rsid w:val="001645AD"/>
    <w:rsid w:val="001647B4"/>
    <w:rsid w:val="001651AC"/>
    <w:rsid w:val="001653FD"/>
    <w:rsid w:val="0016540B"/>
    <w:rsid w:val="00165F62"/>
    <w:rsid w:val="001668F5"/>
    <w:rsid w:val="00167EFE"/>
    <w:rsid w:val="001709D4"/>
    <w:rsid w:val="00170AA6"/>
    <w:rsid w:val="00171162"/>
    <w:rsid w:val="0017165F"/>
    <w:rsid w:val="00171EB5"/>
    <w:rsid w:val="00172163"/>
    <w:rsid w:val="00172A27"/>
    <w:rsid w:val="00172D75"/>
    <w:rsid w:val="00172E99"/>
    <w:rsid w:val="00173316"/>
    <w:rsid w:val="00173350"/>
    <w:rsid w:val="0017348A"/>
    <w:rsid w:val="00174717"/>
    <w:rsid w:val="00174944"/>
    <w:rsid w:val="001759C3"/>
    <w:rsid w:val="00175E2A"/>
    <w:rsid w:val="00176607"/>
    <w:rsid w:val="00176DCB"/>
    <w:rsid w:val="001778FC"/>
    <w:rsid w:val="00177D20"/>
    <w:rsid w:val="00180C56"/>
    <w:rsid w:val="00181518"/>
    <w:rsid w:val="00181C1B"/>
    <w:rsid w:val="00181DE2"/>
    <w:rsid w:val="00182A59"/>
    <w:rsid w:val="00182B19"/>
    <w:rsid w:val="00182F78"/>
    <w:rsid w:val="001830E0"/>
    <w:rsid w:val="00183240"/>
    <w:rsid w:val="00183B38"/>
    <w:rsid w:val="0018418E"/>
    <w:rsid w:val="001841D9"/>
    <w:rsid w:val="001844E2"/>
    <w:rsid w:val="00184982"/>
    <w:rsid w:val="00184FB7"/>
    <w:rsid w:val="00185B28"/>
    <w:rsid w:val="001864AF"/>
    <w:rsid w:val="00186772"/>
    <w:rsid w:val="00186DCE"/>
    <w:rsid w:val="00186EAE"/>
    <w:rsid w:val="001871BB"/>
    <w:rsid w:val="00187C14"/>
    <w:rsid w:val="001901BE"/>
    <w:rsid w:val="001904F5"/>
    <w:rsid w:val="0019110C"/>
    <w:rsid w:val="00191166"/>
    <w:rsid w:val="001911D1"/>
    <w:rsid w:val="00191B4E"/>
    <w:rsid w:val="001922BB"/>
    <w:rsid w:val="00192AB7"/>
    <w:rsid w:val="00194CA2"/>
    <w:rsid w:val="00194FDF"/>
    <w:rsid w:val="00195975"/>
    <w:rsid w:val="00195A7A"/>
    <w:rsid w:val="00195BC3"/>
    <w:rsid w:val="00195F2A"/>
    <w:rsid w:val="001967F6"/>
    <w:rsid w:val="00196C67"/>
    <w:rsid w:val="001A009D"/>
    <w:rsid w:val="001A05EC"/>
    <w:rsid w:val="001A09D2"/>
    <w:rsid w:val="001A19CE"/>
    <w:rsid w:val="001A2592"/>
    <w:rsid w:val="001A280F"/>
    <w:rsid w:val="001A2998"/>
    <w:rsid w:val="001A2BB6"/>
    <w:rsid w:val="001A2EAF"/>
    <w:rsid w:val="001A3587"/>
    <w:rsid w:val="001A5EB5"/>
    <w:rsid w:val="001A71A3"/>
    <w:rsid w:val="001A7268"/>
    <w:rsid w:val="001A7677"/>
    <w:rsid w:val="001A7799"/>
    <w:rsid w:val="001A78ED"/>
    <w:rsid w:val="001A7B5F"/>
    <w:rsid w:val="001A7D27"/>
    <w:rsid w:val="001A7E3A"/>
    <w:rsid w:val="001B109F"/>
    <w:rsid w:val="001B32C0"/>
    <w:rsid w:val="001B3380"/>
    <w:rsid w:val="001B38BD"/>
    <w:rsid w:val="001B3CED"/>
    <w:rsid w:val="001B5229"/>
    <w:rsid w:val="001B5ADF"/>
    <w:rsid w:val="001B61A6"/>
    <w:rsid w:val="001B6B48"/>
    <w:rsid w:val="001B6F86"/>
    <w:rsid w:val="001B7255"/>
    <w:rsid w:val="001C0C27"/>
    <w:rsid w:val="001C0D58"/>
    <w:rsid w:val="001C22A2"/>
    <w:rsid w:val="001C3357"/>
    <w:rsid w:val="001C3430"/>
    <w:rsid w:val="001C4EA4"/>
    <w:rsid w:val="001C508D"/>
    <w:rsid w:val="001C5205"/>
    <w:rsid w:val="001C5E4D"/>
    <w:rsid w:val="001C6CBA"/>
    <w:rsid w:val="001C6CF7"/>
    <w:rsid w:val="001C7D55"/>
    <w:rsid w:val="001C7D86"/>
    <w:rsid w:val="001D3AAF"/>
    <w:rsid w:val="001D3DB8"/>
    <w:rsid w:val="001D436E"/>
    <w:rsid w:val="001D495C"/>
    <w:rsid w:val="001D4AD4"/>
    <w:rsid w:val="001D5979"/>
    <w:rsid w:val="001D68CF"/>
    <w:rsid w:val="001D6AF8"/>
    <w:rsid w:val="001D6E9F"/>
    <w:rsid w:val="001D78B5"/>
    <w:rsid w:val="001E0127"/>
    <w:rsid w:val="001E06F8"/>
    <w:rsid w:val="001E096A"/>
    <w:rsid w:val="001E1E83"/>
    <w:rsid w:val="001E20A3"/>
    <w:rsid w:val="001E275A"/>
    <w:rsid w:val="001E33B1"/>
    <w:rsid w:val="001E34EC"/>
    <w:rsid w:val="001E4283"/>
    <w:rsid w:val="001E4874"/>
    <w:rsid w:val="001E4BC6"/>
    <w:rsid w:val="001E4F28"/>
    <w:rsid w:val="001E588A"/>
    <w:rsid w:val="001F0506"/>
    <w:rsid w:val="001F1163"/>
    <w:rsid w:val="001F15AC"/>
    <w:rsid w:val="001F1D42"/>
    <w:rsid w:val="001F2097"/>
    <w:rsid w:val="001F30CA"/>
    <w:rsid w:val="001F3776"/>
    <w:rsid w:val="001F3A02"/>
    <w:rsid w:val="001F3B6A"/>
    <w:rsid w:val="001F4829"/>
    <w:rsid w:val="001F4AB4"/>
    <w:rsid w:val="001F5485"/>
    <w:rsid w:val="001F5CB5"/>
    <w:rsid w:val="001F6984"/>
    <w:rsid w:val="001F773A"/>
    <w:rsid w:val="002009E6"/>
    <w:rsid w:val="00201459"/>
    <w:rsid w:val="00201CEB"/>
    <w:rsid w:val="00201D57"/>
    <w:rsid w:val="002029F1"/>
    <w:rsid w:val="00203874"/>
    <w:rsid w:val="00203ADA"/>
    <w:rsid w:val="00204B70"/>
    <w:rsid w:val="002054AB"/>
    <w:rsid w:val="00205EF5"/>
    <w:rsid w:val="002064FF"/>
    <w:rsid w:val="002066D0"/>
    <w:rsid w:val="00206FBE"/>
    <w:rsid w:val="00207152"/>
    <w:rsid w:val="00210898"/>
    <w:rsid w:val="002109B9"/>
    <w:rsid w:val="00211553"/>
    <w:rsid w:val="00211606"/>
    <w:rsid w:val="00211ABD"/>
    <w:rsid w:val="00211AD9"/>
    <w:rsid w:val="00213529"/>
    <w:rsid w:val="00213B0B"/>
    <w:rsid w:val="00213D67"/>
    <w:rsid w:val="002140DB"/>
    <w:rsid w:val="0021410C"/>
    <w:rsid w:val="002148B1"/>
    <w:rsid w:val="00214F5D"/>
    <w:rsid w:val="00215990"/>
    <w:rsid w:val="00215DF2"/>
    <w:rsid w:val="0021632C"/>
    <w:rsid w:val="00216AEC"/>
    <w:rsid w:val="00216B99"/>
    <w:rsid w:val="00217532"/>
    <w:rsid w:val="00217B4F"/>
    <w:rsid w:val="002202C4"/>
    <w:rsid w:val="0022098F"/>
    <w:rsid w:val="00220D0C"/>
    <w:rsid w:val="00221896"/>
    <w:rsid w:val="00221E98"/>
    <w:rsid w:val="002220A4"/>
    <w:rsid w:val="002222A4"/>
    <w:rsid w:val="00222BC9"/>
    <w:rsid w:val="00223247"/>
    <w:rsid w:val="00223980"/>
    <w:rsid w:val="00224EDB"/>
    <w:rsid w:val="002251C4"/>
    <w:rsid w:val="0022598C"/>
    <w:rsid w:val="00225BB6"/>
    <w:rsid w:val="00226273"/>
    <w:rsid w:val="00226AD6"/>
    <w:rsid w:val="0022789E"/>
    <w:rsid w:val="00227BB0"/>
    <w:rsid w:val="0023058B"/>
    <w:rsid w:val="00230ADB"/>
    <w:rsid w:val="0023107E"/>
    <w:rsid w:val="00231143"/>
    <w:rsid w:val="00231AC2"/>
    <w:rsid w:val="002330B5"/>
    <w:rsid w:val="00233519"/>
    <w:rsid w:val="00233651"/>
    <w:rsid w:val="00233E0A"/>
    <w:rsid w:val="0023469A"/>
    <w:rsid w:val="002347E8"/>
    <w:rsid w:val="00234FF0"/>
    <w:rsid w:val="00235746"/>
    <w:rsid w:val="002365CE"/>
    <w:rsid w:val="0023676C"/>
    <w:rsid w:val="002368D9"/>
    <w:rsid w:val="0023694D"/>
    <w:rsid w:val="00240292"/>
    <w:rsid w:val="00240589"/>
    <w:rsid w:val="00240DC9"/>
    <w:rsid w:val="00241474"/>
    <w:rsid w:val="0024216F"/>
    <w:rsid w:val="002434F6"/>
    <w:rsid w:val="00243902"/>
    <w:rsid w:val="0024399C"/>
    <w:rsid w:val="00243EDF"/>
    <w:rsid w:val="00244C53"/>
    <w:rsid w:val="00244C61"/>
    <w:rsid w:val="002451E2"/>
    <w:rsid w:val="00245570"/>
    <w:rsid w:val="0024570A"/>
    <w:rsid w:val="002457C7"/>
    <w:rsid w:val="00245B78"/>
    <w:rsid w:val="00245F1A"/>
    <w:rsid w:val="00245F1F"/>
    <w:rsid w:val="002460EF"/>
    <w:rsid w:val="00246381"/>
    <w:rsid w:val="00246A95"/>
    <w:rsid w:val="002471E4"/>
    <w:rsid w:val="0024729F"/>
    <w:rsid w:val="00247A96"/>
    <w:rsid w:val="00247B45"/>
    <w:rsid w:val="00247D9E"/>
    <w:rsid w:val="002501EF"/>
    <w:rsid w:val="00251AE7"/>
    <w:rsid w:val="00252704"/>
    <w:rsid w:val="00252DE7"/>
    <w:rsid w:val="00253486"/>
    <w:rsid w:val="00254769"/>
    <w:rsid w:val="00254FCF"/>
    <w:rsid w:val="0025575A"/>
    <w:rsid w:val="002558AE"/>
    <w:rsid w:val="00255EE3"/>
    <w:rsid w:val="00257804"/>
    <w:rsid w:val="00260BA9"/>
    <w:rsid w:val="00261A2F"/>
    <w:rsid w:val="0026221A"/>
    <w:rsid w:val="002630F4"/>
    <w:rsid w:val="00263AEA"/>
    <w:rsid w:val="00263B1E"/>
    <w:rsid w:val="002641A7"/>
    <w:rsid w:val="0026437A"/>
    <w:rsid w:val="0026508F"/>
    <w:rsid w:val="002655D1"/>
    <w:rsid w:val="00265A8B"/>
    <w:rsid w:val="00265C7E"/>
    <w:rsid w:val="00266B63"/>
    <w:rsid w:val="00266F7E"/>
    <w:rsid w:val="002670BF"/>
    <w:rsid w:val="00267504"/>
    <w:rsid w:val="002679C9"/>
    <w:rsid w:val="0027077E"/>
    <w:rsid w:val="00270999"/>
    <w:rsid w:val="00271123"/>
    <w:rsid w:val="00271212"/>
    <w:rsid w:val="00271227"/>
    <w:rsid w:val="00271B2B"/>
    <w:rsid w:val="00271DA6"/>
    <w:rsid w:val="00272409"/>
    <w:rsid w:val="00272A76"/>
    <w:rsid w:val="00273402"/>
    <w:rsid w:val="0027341A"/>
    <w:rsid w:val="00273806"/>
    <w:rsid w:val="00273DB9"/>
    <w:rsid w:val="002746D8"/>
    <w:rsid w:val="00274D7D"/>
    <w:rsid w:val="00275360"/>
    <w:rsid w:val="00275405"/>
    <w:rsid w:val="0027664F"/>
    <w:rsid w:val="0027708A"/>
    <w:rsid w:val="0027789F"/>
    <w:rsid w:val="0028008B"/>
    <w:rsid w:val="00280870"/>
    <w:rsid w:val="002812AF"/>
    <w:rsid w:val="0028194D"/>
    <w:rsid w:val="00281C26"/>
    <w:rsid w:val="002857DE"/>
    <w:rsid w:val="00285B48"/>
    <w:rsid w:val="00286650"/>
    <w:rsid w:val="00290850"/>
    <w:rsid w:val="00290DDF"/>
    <w:rsid w:val="00290F14"/>
    <w:rsid w:val="00291ABC"/>
    <w:rsid w:val="00292D73"/>
    <w:rsid w:val="0029360A"/>
    <w:rsid w:val="0029426E"/>
    <w:rsid w:val="00294675"/>
    <w:rsid w:val="00294743"/>
    <w:rsid w:val="002967B3"/>
    <w:rsid w:val="00297830"/>
    <w:rsid w:val="002A0128"/>
    <w:rsid w:val="002A0CF6"/>
    <w:rsid w:val="002A1809"/>
    <w:rsid w:val="002A211C"/>
    <w:rsid w:val="002A2E66"/>
    <w:rsid w:val="002A3240"/>
    <w:rsid w:val="002A36BA"/>
    <w:rsid w:val="002A3D85"/>
    <w:rsid w:val="002A4301"/>
    <w:rsid w:val="002A461F"/>
    <w:rsid w:val="002A54DF"/>
    <w:rsid w:val="002A6FEC"/>
    <w:rsid w:val="002A70EA"/>
    <w:rsid w:val="002A7231"/>
    <w:rsid w:val="002A73A0"/>
    <w:rsid w:val="002A753B"/>
    <w:rsid w:val="002B00B8"/>
    <w:rsid w:val="002B0281"/>
    <w:rsid w:val="002B2682"/>
    <w:rsid w:val="002B37D4"/>
    <w:rsid w:val="002B37DD"/>
    <w:rsid w:val="002B41C8"/>
    <w:rsid w:val="002B444E"/>
    <w:rsid w:val="002B4AF9"/>
    <w:rsid w:val="002B5E05"/>
    <w:rsid w:val="002B61F6"/>
    <w:rsid w:val="002B68CB"/>
    <w:rsid w:val="002B756E"/>
    <w:rsid w:val="002C022D"/>
    <w:rsid w:val="002C030D"/>
    <w:rsid w:val="002C0B90"/>
    <w:rsid w:val="002C0E99"/>
    <w:rsid w:val="002C1A2C"/>
    <w:rsid w:val="002C2B6C"/>
    <w:rsid w:val="002C2B81"/>
    <w:rsid w:val="002C3796"/>
    <w:rsid w:val="002C40AD"/>
    <w:rsid w:val="002C4CB0"/>
    <w:rsid w:val="002C5A4F"/>
    <w:rsid w:val="002C622C"/>
    <w:rsid w:val="002C64C0"/>
    <w:rsid w:val="002C6AC2"/>
    <w:rsid w:val="002C7A14"/>
    <w:rsid w:val="002C7FD4"/>
    <w:rsid w:val="002D02D7"/>
    <w:rsid w:val="002D0A67"/>
    <w:rsid w:val="002D0B74"/>
    <w:rsid w:val="002D1E5E"/>
    <w:rsid w:val="002D2719"/>
    <w:rsid w:val="002D3970"/>
    <w:rsid w:val="002D4452"/>
    <w:rsid w:val="002D65FF"/>
    <w:rsid w:val="002D6B27"/>
    <w:rsid w:val="002D7D02"/>
    <w:rsid w:val="002E07F1"/>
    <w:rsid w:val="002E336A"/>
    <w:rsid w:val="002E46D3"/>
    <w:rsid w:val="002E4850"/>
    <w:rsid w:val="002E4AEB"/>
    <w:rsid w:val="002E4B43"/>
    <w:rsid w:val="002E609A"/>
    <w:rsid w:val="002E66C7"/>
    <w:rsid w:val="002E7AEB"/>
    <w:rsid w:val="002F05BF"/>
    <w:rsid w:val="002F135F"/>
    <w:rsid w:val="002F2706"/>
    <w:rsid w:val="002F2875"/>
    <w:rsid w:val="002F2ED7"/>
    <w:rsid w:val="002F40CE"/>
    <w:rsid w:val="002F4381"/>
    <w:rsid w:val="002F5551"/>
    <w:rsid w:val="002F59E3"/>
    <w:rsid w:val="002F6C30"/>
    <w:rsid w:val="002F735B"/>
    <w:rsid w:val="002F7CD0"/>
    <w:rsid w:val="003004C0"/>
    <w:rsid w:val="0030141D"/>
    <w:rsid w:val="003028BC"/>
    <w:rsid w:val="00302C02"/>
    <w:rsid w:val="00302EA6"/>
    <w:rsid w:val="0030368F"/>
    <w:rsid w:val="00303B4E"/>
    <w:rsid w:val="00304878"/>
    <w:rsid w:val="0030509D"/>
    <w:rsid w:val="003057C5"/>
    <w:rsid w:val="0030663C"/>
    <w:rsid w:val="00307CBE"/>
    <w:rsid w:val="0031029A"/>
    <w:rsid w:val="00310314"/>
    <w:rsid w:val="00310602"/>
    <w:rsid w:val="0031073D"/>
    <w:rsid w:val="00310C53"/>
    <w:rsid w:val="00310EBA"/>
    <w:rsid w:val="00311CC6"/>
    <w:rsid w:val="003125D9"/>
    <w:rsid w:val="00312DDF"/>
    <w:rsid w:val="00312F92"/>
    <w:rsid w:val="0031417D"/>
    <w:rsid w:val="00314F1A"/>
    <w:rsid w:val="0031575B"/>
    <w:rsid w:val="0031692C"/>
    <w:rsid w:val="00316ED8"/>
    <w:rsid w:val="003170DF"/>
    <w:rsid w:val="003172B1"/>
    <w:rsid w:val="00320E97"/>
    <w:rsid w:val="00321C2C"/>
    <w:rsid w:val="003227B4"/>
    <w:rsid w:val="00323762"/>
    <w:rsid w:val="003238F9"/>
    <w:rsid w:val="00323C0D"/>
    <w:rsid w:val="00323D6B"/>
    <w:rsid w:val="00323FEA"/>
    <w:rsid w:val="0032493A"/>
    <w:rsid w:val="00325305"/>
    <w:rsid w:val="003256A4"/>
    <w:rsid w:val="00325779"/>
    <w:rsid w:val="00326442"/>
    <w:rsid w:val="00326E0B"/>
    <w:rsid w:val="003275D8"/>
    <w:rsid w:val="00327670"/>
    <w:rsid w:val="003305BC"/>
    <w:rsid w:val="00331393"/>
    <w:rsid w:val="00331D14"/>
    <w:rsid w:val="00332C68"/>
    <w:rsid w:val="00333840"/>
    <w:rsid w:val="00333D9A"/>
    <w:rsid w:val="003345ED"/>
    <w:rsid w:val="00334610"/>
    <w:rsid w:val="00334D2E"/>
    <w:rsid w:val="003359CC"/>
    <w:rsid w:val="00337B0C"/>
    <w:rsid w:val="00340093"/>
    <w:rsid w:val="00341FBE"/>
    <w:rsid w:val="00342BEC"/>
    <w:rsid w:val="003453E1"/>
    <w:rsid w:val="00345728"/>
    <w:rsid w:val="00345C65"/>
    <w:rsid w:val="00345EF1"/>
    <w:rsid w:val="00346934"/>
    <w:rsid w:val="003474AB"/>
    <w:rsid w:val="00350180"/>
    <w:rsid w:val="0035019A"/>
    <w:rsid w:val="003525AE"/>
    <w:rsid w:val="00352F48"/>
    <w:rsid w:val="003541FC"/>
    <w:rsid w:val="00354EAF"/>
    <w:rsid w:val="003560EA"/>
    <w:rsid w:val="0035740C"/>
    <w:rsid w:val="003575BB"/>
    <w:rsid w:val="0035778F"/>
    <w:rsid w:val="0035786B"/>
    <w:rsid w:val="003611D1"/>
    <w:rsid w:val="00361AC2"/>
    <w:rsid w:val="0036219E"/>
    <w:rsid w:val="00362A94"/>
    <w:rsid w:val="00362E5E"/>
    <w:rsid w:val="00363D9B"/>
    <w:rsid w:val="00363DCA"/>
    <w:rsid w:val="00364B12"/>
    <w:rsid w:val="003650FF"/>
    <w:rsid w:val="00365829"/>
    <w:rsid w:val="00366D5F"/>
    <w:rsid w:val="00367204"/>
    <w:rsid w:val="0037013B"/>
    <w:rsid w:val="00371C6A"/>
    <w:rsid w:val="00371DA6"/>
    <w:rsid w:val="00372FEF"/>
    <w:rsid w:val="00373145"/>
    <w:rsid w:val="0037321F"/>
    <w:rsid w:val="0037346E"/>
    <w:rsid w:val="0037379B"/>
    <w:rsid w:val="00373E8C"/>
    <w:rsid w:val="00374AB5"/>
    <w:rsid w:val="00375428"/>
    <w:rsid w:val="003754BF"/>
    <w:rsid w:val="00376A42"/>
    <w:rsid w:val="00380673"/>
    <w:rsid w:val="0038108A"/>
    <w:rsid w:val="00381685"/>
    <w:rsid w:val="00381AB6"/>
    <w:rsid w:val="00382244"/>
    <w:rsid w:val="003831A8"/>
    <w:rsid w:val="00384F72"/>
    <w:rsid w:val="00384FAE"/>
    <w:rsid w:val="00385311"/>
    <w:rsid w:val="00385383"/>
    <w:rsid w:val="00385F39"/>
    <w:rsid w:val="003877D8"/>
    <w:rsid w:val="00387D75"/>
    <w:rsid w:val="003900A7"/>
    <w:rsid w:val="0039070E"/>
    <w:rsid w:val="00391191"/>
    <w:rsid w:val="00391772"/>
    <w:rsid w:val="003918D1"/>
    <w:rsid w:val="00391AC5"/>
    <w:rsid w:val="00393844"/>
    <w:rsid w:val="00393F04"/>
    <w:rsid w:val="0039444E"/>
    <w:rsid w:val="00394EDF"/>
    <w:rsid w:val="003951C7"/>
    <w:rsid w:val="00395808"/>
    <w:rsid w:val="00396E9F"/>
    <w:rsid w:val="00397BFA"/>
    <w:rsid w:val="003A008B"/>
    <w:rsid w:val="003A0A37"/>
    <w:rsid w:val="003A14AE"/>
    <w:rsid w:val="003A165E"/>
    <w:rsid w:val="003A1E08"/>
    <w:rsid w:val="003A2110"/>
    <w:rsid w:val="003A2222"/>
    <w:rsid w:val="003A2A1E"/>
    <w:rsid w:val="003A2A59"/>
    <w:rsid w:val="003A41D2"/>
    <w:rsid w:val="003A51DA"/>
    <w:rsid w:val="003A5D4E"/>
    <w:rsid w:val="003A6526"/>
    <w:rsid w:val="003A6554"/>
    <w:rsid w:val="003A6632"/>
    <w:rsid w:val="003A7765"/>
    <w:rsid w:val="003B033C"/>
    <w:rsid w:val="003B0898"/>
    <w:rsid w:val="003B0BD8"/>
    <w:rsid w:val="003B2348"/>
    <w:rsid w:val="003B322E"/>
    <w:rsid w:val="003B424D"/>
    <w:rsid w:val="003B43B8"/>
    <w:rsid w:val="003B4BFA"/>
    <w:rsid w:val="003B5325"/>
    <w:rsid w:val="003B5C3B"/>
    <w:rsid w:val="003B69FB"/>
    <w:rsid w:val="003B6DED"/>
    <w:rsid w:val="003B6F49"/>
    <w:rsid w:val="003B7888"/>
    <w:rsid w:val="003B7E78"/>
    <w:rsid w:val="003C05C5"/>
    <w:rsid w:val="003C16DD"/>
    <w:rsid w:val="003C20F3"/>
    <w:rsid w:val="003C2357"/>
    <w:rsid w:val="003C297D"/>
    <w:rsid w:val="003C2CFC"/>
    <w:rsid w:val="003C378E"/>
    <w:rsid w:val="003C3E2E"/>
    <w:rsid w:val="003C4077"/>
    <w:rsid w:val="003C45A1"/>
    <w:rsid w:val="003C6349"/>
    <w:rsid w:val="003C6E71"/>
    <w:rsid w:val="003C7060"/>
    <w:rsid w:val="003D0C9F"/>
    <w:rsid w:val="003D0D28"/>
    <w:rsid w:val="003D20A0"/>
    <w:rsid w:val="003D23F5"/>
    <w:rsid w:val="003D3BA1"/>
    <w:rsid w:val="003D4DCF"/>
    <w:rsid w:val="003D502B"/>
    <w:rsid w:val="003D5D0C"/>
    <w:rsid w:val="003D5E36"/>
    <w:rsid w:val="003D688E"/>
    <w:rsid w:val="003D6CC0"/>
    <w:rsid w:val="003E0E30"/>
    <w:rsid w:val="003E175A"/>
    <w:rsid w:val="003E185F"/>
    <w:rsid w:val="003E192C"/>
    <w:rsid w:val="003E2282"/>
    <w:rsid w:val="003E22A5"/>
    <w:rsid w:val="003E2BBB"/>
    <w:rsid w:val="003E336C"/>
    <w:rsid w:val="003E4D0A"/>
    <w:rsid w:val="003E5496"/>
    <w:rsid w:val="003E5582"/>
    <w:rsid w:val="003E5CC3"/>
    <w:rsid w:val="003E5DDA"/>
    <w:rsid w:val="003E6D25"/>
    <w:rsid w:val="003E7418"/>
    <w:rsid w:val="003E7592"/>
    <w:rsid w:val="003F0235"/>
    <w:rsid w:val="003F26D7"/>
    <w:rsid w:val="003F2907"/>
    <w:rsid w:val="003F2918"/>
    <w:rsid w:val="003F2C93"/>
    <w:rsid w:val="003F2CC4"/>
    <w:rsid w:val="003F37FA"/>
    <w:rsid w:val="003F3ADA"/>
    <w:rsid w:val="003F3C4C"/>
    <w:rsid w:val="003F46D5"/>
    <w:rsid w:val="003F4819"/>
    <w:rsid w:val="003F564C"/>
    <w:rsid w:val="003F6792"/>
    <w:rsid w:val="003F6DFF"/>
    <w:rsid w:val="003F6E08"/>
    <w:rsid w:val="00401C25"/>
    <w:rsid w:val="00401CE4"/>
    <w:rsid w:val="00402ECA"/>
    <w:rsid w:val="00402F6A"/>
    <w:rsid w:val="00403113"/>
    <w:rsid w:val="0040417E"/>
    <w:rsid w:val="0040613F"/>
    <w:rsid w:val="00406625"/>
    <w:rsid w:val="00406881"/>
    <w:rsid w:val="00406964"/>
    <w:rsid w:val="00410E20"/>
    <w:rsid w:val="004111AA"/>
    <w:rsid w:val="0041127F"/>
    <w:rsid w:val="00411676"/>
    <w:rsid w:val="00411F69"/>
    <w:rsid w:val="00413154"/>
    <w:rsid w:val="00413EB4"/>
    <w:rsid w:val="00414011"/>
    <w:rsid w:val="00414739"/>
    <w:rsid w:val="00415380"/>
    <w:rsid w:val="00415513"/>
    <w:rsid w:val="004157F9"/>
    <w:rsid w:val="00415862"/>
    <w:rsid w:val="00415C6E"/>
    <w:rsid w:val="00415FB3"/>
    <w:rsid w:val="00416213"/>
    <w:rsid w:val="00416416"/>
    <w:rsid w:val="00416F5E"/>
    <w:rsid w:val="00417213"/>
    <w:rsid w:val="00417A53"/>
    <w:rsid w:val="004210C2"/>
    <w:rsid w:val="00421196"/>
    <w:rsid w:val="00421269"/>
    <w:rsid w:val="00421326"/>
    <w:rsid w:val="00424BBE"/>
    <w:rsid w:val="00424BBF"/>
    <w:rsid w:val="00424DF9"/>
    <w:rsid w:val="004250D2"/>
    <w:rsid w:val="004252B3"/>
    <w:rsid w:val="0042581D"/>
    <w:rsid w:val="004259A3"/>
    <w:rsid w:val="004259BD"/>
    <w:rsid w:val="00426357"/>
    <w:rsid w:val="0042664F"/>
    <w:rsid w:val="00426FB2"/>
    <w:rsid w:val="00427610"/>
    <w:rsid w:val="004276E0"/>
    <w:rsid w:val="00427837"/>
    <w:rsid w:val="0043064D"/>
    <w:rsid w:val="0043155B"/>
    <w:rsid w:val="004316DA"/>
    <w:rsid w:val="00432617"/>
    <w:rsid w:val="004334A3"/>
    <w:rsid w:val="00433C93"/>
    <w:rsid w:val="004345BE"/>
    <w:rsid w:val="004349AC"/>
    <w:rsid w:val="00434B4A"/>
    <w:rsid w:val="004351A0"/>
    <w:rsid w:val="004356AF"/>
    <w:rsid w:val="00435B95"/>
    <w:rsid w:val="00435EBA"/>
    <w:rsid w:val="00435F4E"/>
    <w:rsid w:val="0043649E"/>
    <w:rsid w:val="004365EA"/>
    <w:rsid w:val="00437C8C"/>
    <w:rsid w:val="00440040"/>
    <w:rsid w:val="0044026F"/>
    <w:rsid w:val="00440DB7"/>
    <w:rsid w:val="00441020"/>
    <w:rsid w:val="00441955"/>
    <w:rsid w:val="00441AA4"/>
    <w:rsid w:val="00441CB3"/>
    <w:rsid w:val="004423A2"/>
    <w:rsid w:val="0044270D"/>
    <w:rsid w:val="0044326F"/>
    <w:rsid w:val="004434C6"/>
    <w:rsid w:val="00444D5A"/>
    <w:rsid w:val="0044505E"/>
    <w:rsid w:val="004454C8"/>
    <w:rsid w:val="00446B94"/>
    <w:rsid w:val="00447791"/>
    <w:rsid w:val="0045003D"/>
    <w:rsid w:val="00451254"/>
    <w:rsid w:val="00452D45"/>
    <w:rsid w:val="004540D2"/>
    <w:rsid w:val="00455825"/>
    <w:rsid w:val="00455B8A"/>
    <w:rsid w:val="0045677B"/>
    <w:rsid w:val="004573E0"/>
    <w:rsid w:val="00457979"/>
    <w:rsid w:val="00457A26"/>
    <w:rsid w:val="004602F3"/>
    <w:rsid w:val="00462046"/>
    <w:rsid w:val="004636BD"/>
    <w:rsid w:val="004636E5"/>
    <w:rsid w:val="00463BEA"/>
    <w:rsid w:val="004640BF"/>
    <w:rsid w:val="004650D8"/>
    <w:rsid w:val="00465332"/>
    <w:rsid w:val="00467166"/>
    <w:rsid w:val="00467581"/>
    <w:rsid w:val="00470EB1"/>
    <w:rsid w:val="00470F0C"/>
    <w:rsid w:val="00471303"/>
    <w:rsid w:val="00471ABE"/>
    <w:rsid w:val="0047236E"/>
    <w:rsid w:val="004727CA"/>
    <w:rsid w:val="00472F36"/>
    <w:rsid w:val="004733A3"/>
    <w:rsid w:val="00473CC5"/>
    <w:rsid w:val="00473F0F"/>
    <w:rsid w:val="00474341"/>
    <w:rsid w:val="00474579"/>
    <w:rsid w:val="00474D7D"/>
    <w:rsid w:val="00476A18"/>
    <w:rsid w:val="00476EB3"/>
    <w:rsid w:val="0048057F"/>
    <w:rsid w:val="00481477"/>
    <w:rsid w:val="004817C5"/>
    <w:rsid w:val="004817DA"/>
    <w:rsid w:val="00482292"/>
    <w:rsid w:val="004824A2"/>
    <w:rsid w:val="00482F61"/>
    <w:rsid w:val="00482FC8"/>
    <w:rsid w:val="004838CE"/>
    <w:rsid w:val="00483B48"/>
    <w:rsid w:val="00483E6C"/>
    <w:rsid w:val="00484AC1"/>
    <w:rsid w:val="00484DFC"/>
    <w:rsid w:val="00484E79"/>
    <w:rsid w:val="004860A8"/>
    <w:rsid w:val="00486551"/>
    <w:rsid w:val="00486C19"/>
    <w:rsid w:val="00487AB6"/>
    <w:rsid w:val="0049057A"/>
    <w:rsid w:val="004911A2"/>
    <w:rsid w:val="0049402D"/>
    <w:rsid w:val="004946B0"/>
    <w:rsid w:val="00494815"/>
    <w:rsid w:val="004954F6"/>
    <w:rsid w:val="00495645"/>
    <w:rsid w:val="00495CE9"/>
    <w:rsid w:val="0049692B"/>
    <w:rsid w:val="00497659"/>
    <w:rsid w:val="00497D4A"/>
    <w:rsid w:val="00497E10"/>
    <w:rsid w:val="004A0A12"/>
    <w:rsid w:val="004A18F7"/>
    <w:rsid w:val="004A226C"/>
    <w:rsid w:val="004A24B4"/>
    <w:rsid w:val="004A2A54"/>
    <w:rsid w:val="004A2A5F"/>
    <w:rsid w:val="004A3162"/>
    <w:rsid w:val="004A31FA"/>
    <w:rsid w:val="004A3A4C"/>
    <w:rsid w:val="004A48D0"/>
    <w:rsid w:val="004A50B5"/>
    <w:rsid w:val="004A510B"/>
    <w:rsid w:val="004A7B80"/>
    <w:rsid w:val="004B13B6"/>
    <w:rsid w:val="004B13CF"/>
    <w:rsid w:val="004B2021"/>
    <w:rsid w:val="004B2372"/>
    <w:rsid w:val="004B266D"/>
    <w:rsid w:val="004B3AB8"/>
    <w:rsid w:val="004B3AF7"/>
    <w:rsid w:val="004B3BAA"/>
    <w:rsid w:val="004B3C26"/>
    <w:rsid w:val="004B521D"/>
    <w:rsid w:val="004B6351"/>
    <w:rsid w:val="004B6980"/>
    <w:rsid w:val="004B6F0F"/>
    <w:rsid w:val="004C163F"/>
    <w:rsid w:val="004C1B02"/>
    <w:rsid w:val="004C1DB1"/>
    <w:rsid w:val="004C238A"/>
    <w:rsid w:val="004C271D"/>
    <w:rsid w:val="004C3DBA"/>
    <w:rsid w:val="004C3ED4"/>
    <w:rsid w:val="004C57A2"/>
    <w:rsid w:val="004C5BAB"/>
    <w:rsid w:val="004C5E87"/>
    <w:rsid w:val="004C6A15"/>
    <w:rsid w:val="004C7092"/>
    <w:rsid w:val="004C7112"/>
    <w:rsid w:val="004C77DA"/>
    <w:rsid w:val="004D03D7"/>
    <w:rsid w:val="004D058F"/>
    <w:rsid w:val="004D0E01"/>
    <w:rsid w:val="004D0FD2"/>
    <w:rsid w:val="004D1D2E"/>
    <w:rsid w:val="004D204B"/>
    <w:rsid w:val="004D24D5"/>
    <w:rsid w:val="004D27E4"/>
    <w:rsid w:val="004D2897"/>
    <w:rsid w:val="004D4367"/>
    <w:rsid w:val="004D4F70"/>
    <w:rsid w:val="004D67DB"/>
    <w:rsid w:val="004D69F3"/>
    <w:rsid w:val="004D7009"/>
    <w:rsid w:val="004D78BC"/>
    <w:rsid w:val="004D7977"/>
    <w:rsid w:val="004E11BA"/>
    <w:rsid w:val="004E18F5"/>
    <w:rsid w:val="004E1BD7"/>
    <w:rsid w:val="004E1C39"/>
    <w:rsid w:val="004E283E"/>
    <w:rsid w:val="004E2FA2"/>
    <w:rsid w:val="004E44FC"/>
    <w:rsid w:val="004E49C5"/>
    <w:rsid w:val="004E4C43"/>
    <w:rsid w:val="004E5364"/>
    <w:rsid w:val="004E5529"/>
    <w:rsid w:val="004E5743"/>
    <w:rsid w:val="004E70B7"/>
    <w:rsid w:val="004E725E"/>
    <w:rsid w:val="004E76F4"/>
    <w:rsid w:val="004E7B10"/>
    <w:rsid w:val="004E7C84"/>
    <w:rsid w:val="004F0323"/>
    <w:rsid w:val="004F03E4"/>
    <w:rsid w:val="004F0C49"/>
    <w:rsid w:val="004F1C33"/>
    <w:rsid w:val="004F3BCC"/>
    <w:rsid w:val="004F50D1"/>
    <w:rsid w:val="004F5133"/>
    <w:rsid w:val="004F517D"/>
    <w:rsid w:val="004F5640"/>
    <w:rsid w:val="004F64A9"/>
    <w:rsid w:val="004F73CC"/>
    <w:rsid w:val="005008A4"/>
    <w:rsid w:val="00500BC2"/>
    <w:rsid w:val="00500CD7"/>
    <w:rsid w:val="00501576"/>
    <w:rsid w:val="00501752"/>
    <w:rsid w:val="00502280"/>
    <w:rsid w:val="00502287"/>
    <w:rsid w:val="0050240E"/>
    <w:rsid w:val="00502989"/>
    <w:rsid w:val="00503262"/>
    <w:rsid w:val="005037A6"/>
    <w:rsid w:val="005037C3"/>
    <w:rsid w:val="00504471"/>
    <w:rsid w:val="005052D0"/>
    <w:rsid w:val="005055AC"/>
    <w:rsid w:val="00505E78"/>
    <w:rsid w:val="00506FD0"/>
    <w:rsid w:val="00512904"/>
    <w:rsid w:val="00512E80"/>
    <w:rsid w:val="00513E9D"/>
    <w:rsid w:val="00513F54"/>
    <w:rsid w:val="00514421"/>
    <w:rsid w:val="00514B37"/>
    <w:rsid w:val="00515E93"/>
    <w:rsid w:val="00515F1C"/>
    <w:rsid w:val="00516252"/>
    <w:rsid w:val="0051683D"/>
    <w:rsid w:val="00516EB8"/>
    <w:rsid w:val="00516F2C"/>
    <w:rsid w:val="00517723"/>
    <w:rsid w:val="005209B6"/>
    <w:rsid w:val="00520A90"/>
    <w:rsid w:val="00522648"/>
    <w:rsid w:val="00522F02"/>
    <w:rsid w:val="00522F58"/>
    <w:rsid w:val="00523527"/>
    <w:rsid w:val="00523894"/>
    <w:rsid w:val="00524003"/>
    <w:rsid w:val="00524137"/>
    <w:rsid w:val="0052432B"/>
    <w:rsid w:val="005244A3"/>
    <w:rsid w:val="005244A8"/>
    <w:rsid w:val="00526150"/>
    <w:rsid w:val="005271D1"/>
    <w:rsid w:val="005273DB"/>
    <w:rsid w:val="00527AAC"/>
    <w:rsid w:val="00530133"/>
    <w:rsid w:val="00530A66"/>
    <w:rsid w:val="00530E38"/>
    <w:rsid w:val="00531758"/>
    <w:rsid w:val="00531A09"/>
    <w:rsid w:val="00531EF5"/>
    <w:rsid w:val="0053233C"/>
    <w:rsid w:val="005327A3"/>
    <w:rsid w:val="0053388A"/>
    <w:rsid w:val="00533D5F"/>
    <w:rsid w:val="005357D6"/>
    <w:rsid w:val="005358D2"/>
    <w:rsid w:val="005360D1"/>
    <w:rsid w:val="00536142"/>
    <w:rsid w:val="00537174"/>
    <w:rsid w:val="0053755E"/>
    <w:rsid w:val="00537717"/>
    <w:rsid w:val="005409AF"/>
    <w:rsid w:val="00540AB4"/>
    <w:rsid w:val="005410FA"/>
    <w:rsid w:val="0054185F"/>
    <w:rsid w:val="00542DB4"/>
    <w:rsid w:val="00542DD9"/>
    <w:rsid w:val="00544286"/>
    <w:rsid w:val="00544366"/>
    <w:rsid w:val="00544EFF"/>
    <w:rsid w:val="0054559C"/>
    <w:rsid w:val="0054617B"/>
    <w:rsid w:val="0054702B"/>
    <w:rsid w:val="00547EE8"/>
    <w:rsid w:val="0055211B"/>
    <w:rsid w:val="005529A7"/>
    <w:rsid w:val="0055324F"/>
    <w:rsid w:val="0055369F"/>
    <w:rsid w:val="005536B0"/>
    <w:rsid w:val="00553CAA"/>
    <w:rsid w:val="00554E54"/>
    <w:rsid w:val="0055532A"/>
    <w:rsid w:val="0055571B"/>
    <w:rsid w:val="005559A0"/>
    <w:rsid w:val="00555BC9"/>
    <w:rsid w:val="00556780"/>
    <w:rsid w:val="00557A80"/>
    <w:rsid w:val="00560437"/>
    <w:rsid w:val="005609E5"/>
    <w:rsid w:val="00561375"/>
    <w:rsid w:val="00561CE6"/>
    <w:rsid w:val="00562059"/>
    <w:rsid w:val="00562E1A"/>
    <w:rsid w:val="00563586"/>
    <w:rsid w:val="00563885"/>
    <w:rsid w:val="00563B9E"/>
    <w:rsid w:val="00564037"/>
    <w:rsid w:val="0056531F"/>
    <w:rsid w:val="00565A1E"/>
    <w:rsid w:val="00565A5A"/>
    <w:rsid w:val="00566687"/>
    <w:rsid w:val="005667C7"/>
    <w:rsid w:val="00566FC3"/>
    <w:rsid w:val="00567BA8"/>
    <w:rsid w:val="00567C2E"/>
    <w:rsid w:val="00570E7E"/>
    <w:rsid w:val="00570E7F"/>
    <w:rsid w:val="005725D7"/>
    <w:rsid w:val="00572749"/>
    <w:rsid w:val="00573C7F"/>
    <w:rsid w:val="00574882"/>
    <w:rsid w:val="00574FF8"/>
    <w:rsid w:val="0057686A"/>
    <w:rsid w:val="0057697C"/>
    <w:rsid w:val="00581137"/>
    <w:rsid w:val="00581DA2"/>
    <w:rsid w:val="005823AE"/>
    <w:rsid w:val="00582C87"/>
    <w:rsid w:val="00583327"/>
    <w:rsid w:val="005834F7"/>
    <w:rsid w:val="00584EEB"/>
    <w:rsid w:val="00585ABC"/>
    <w:rsid w:val="00585DE2"/>
    <w:rsid w:val="00586147"/>
    <w:rsid w:val="00586347"/>
    <w:rsid w:val="00586B72"/>
    <w:rsid w:val="00586F27"/>
    <w:rsid w:val="00587289"/>
    <w:rsid w:val="005873E3"/>
    <w:rsid w:val="00587B9E"/>
    <w:rsid w:val="00590876"/>
    <w:rsid w:val="005916BE"/>
    <w:rsid w:val="005919F7"/>
    <w:rsid w:val="00591F33"/>
    <w:rsid w:val="005925D1"/>
    <w:rsid w:val="00592F2F"/>
    <w:rsid w:val="00594260"/>
    <w:rsid w:val="00594A73"/>
    <w:rsid w:val="00594DAD"/>
    <w:rsid w:val="00595DF3"/>
    <w:rsid w:val="00595F5B"/>
    <w:rsid w:val="00596103"/>
    <w:rsid w:val="00596161"/>
    <w:rsid w:val="00596B02"/>
    <w:rsid w:val="00596CE3"/>
    <w:rsid w:val="00596E9C"/>
    <w:rsid w:val="0059711C"/>
    <w:rsid w:val="0059749A"/>
    <w:rsid w:val="005977D4"/>
    <w:rsid w:val="005A0014"/>
    <w:rsid w:val="005A1106"/>
    <w:rsid w:val="005A1E38"/>
    <w:rsid w:val="005A3749"/>
    <w:rsid w:val="005A4A42"/>
    <w:rsid w:val="005A4D50"/>
    <w:rsid w:val="005A4D7C"/>
    <w:rsid w:val="005A5CC1"/>
    <w:rsid w:val="005A5F06"/>
    <w:rsid w:val="005A64CF"/>
    <w:rsid w:val="005A6843"/>
    <w:rsid w:val="005A6952"/>
    <w:rsid w:val="005A7BB6"/>
    <w:rsid w:val="005B0631"/>
    <w:rsid w:val="005B1490"/>
    <w:rsid w:val="005B16CC"/>
    <w:rsid w:val="005B1ABF"/>
    <w:rsid w:val="005B1C6F"/>
    <w:rsid w:val="005B3284"/>
    <w:rsid w:val="005B40F1"/>
    <w:rsid w:val="005B4EF3"/>
    <w:rsid w:val="005B52B5"/>
    <w:rsid w:val="005B55DE"/>
    <w:rsid w:val="005B5F89"/>
    <w:rsid w:val="005B6698"/>
    <w:rsid w:val="005B6AE0"/>
    <w:rsid w:val="005B71E3"/>
    <w:rsid w:val="005B7DE5"/>
    <w:rsid w:val="005C0803"/>
    <w:rsid w:val="005C0A26"/>
    <w:rsid w:val="005C1305"/>
    <w:rsid w:val="005C19DA"/>
    <w:rsid w:val="005C1CB7"/>
    <w:rsid w:val="005C2008"/>
    <w:rsid w:val="005C212E"/>
    <w:rsid w:val="005C27BD"/>
    <w:rsid w:val="005C2A0E"/>
    <w:rsid w:val="005C3197"/>
    <w:rsid w:val="005C3B3A"/>
    <w:rsid w:val="005C3C22"/>
    <w:rsid w:val="005C5A79"/>
    <w:rsid w:val="005C6625"/>
    <w:rsid w:val="005C6977"/>
    <w:rsid w:val="005C6A4D"/>
    <w:rsid w:val="005C6C9B"/>
    <w:rsid w:val="005C71E1"/>
    <w:rsid w:val="005C7FD2"/>
    <w:rsid w:val="005D0064"/>
    <w:rsid w:val="005D045F"/>
    <w:rsid w:val="005D1C9D"/>
    <w:rsid w:val="005D2ADD"/>
    <w:rsid w:val="005D35F0"/>
    <w:rsid w:val="005D3B92"/>
    <w:rsid w:val="005D3FF3"/>
    <w:rsid w:val="005D419A"/>
    <w:rsid w:val="005D44A4"/>
    <w:rsid w:val="005D5E34"/>
    <w:rsid w:val="005D6028"/>
    <w:rsid w:val="005D66FD"/>
    <w:rsid w:val="005D7DE5"/>
    <w:rsid w:val="005E0173"/>
    <w:rsid w:val="005E0940"/>
    <w:rsid w:val="005E120E"/>
    <w:rsid w:val="005E16DA"/>
    <w:rsid w:val="005E1C00"/>
    <w:rsid w:val="005E29A2"/>
    <w:rsid w:val="005E2D79"/>
    <w:rsid w:val="005E370E"/>
    <w:rsid w:val="005E4A23"/>
    <w:rsid w:val="005E4EF1"/>
    <w:rsid w:val="005E59CA"/>
    <w:rsid w:val="005E61ED"/>
    <w:rsid w:val="005E63D3"/>
    <w:rsid w:val="005E6CB3"/>
    <w:rsid w:val="005E72E4"/>
    <w:rsid w:val="005E732D"/>
    <w:rsid w:val="005F00BD"/>
    <w:rsid w:val="005F08F5"/>
    <w:rsid w:val="005F095A"/>
    <w:rsid w:val="005F0E22"/>
    <w:rsid w:val="005F51C9"/>
    <w:rsid w:val="005F5E13"/>
    <w:rsid w:val="005F5F9A"/>
    <w:rsid w:val="005F5FB1"/>
    <w:rsid w:val="005F674E"/>
    <w:rsid w:val="005F7628"/>
    <w:rsid w:val="005F772F"/>
    <w:rsid w:val="00600470"/>
    <w:rsid w:val="00601392"/>
    <w:rsid w:val="00602601"/>
    <w:rsid w:val="00602C11"/>
    <w:rsid w:val="006032A8"/>
    <w:rsid w:val="0060401F"/>
    <w:rsid w:val="00604027"/>
    <w:rsid w:val="006058F6"/>
    <w:rsid w:val="00605AF4"/>
    <w:rsid w:val="00605B21"/>
    <w:rsid w:val="00606142"/>
    <w:rsid w:val="00606BD1"/>
    <w:rsid w:val="00607152"/>
    <w:rsid w:val="00607C68"/>
    <w:rsid w:val="00610186"/>
    <w:rsid w:val="00610314"/>
    <w:rsid w:val="00610922"/>
    <w:rsid w:val="00610CA6"/>
    <w:rsid w:val="00610D29"/>
    <w:rsid w:val="00612DBD"/>
    <w:rsid w:val="006134AB"/>
    <w:rsid w:val="00613728"/>
    <w:rsid w:val="006141B9"/>
    <w:rsid w:val="0061494A"/>
    <w:rsid w:val="0061521F"/>
    <w:rsid w:val="00615331"/>
    <w:rsid w:val="00615A64"/>
    <w:rsid w:val="00615C50"/>
    <w:rsid w:val="0061654C"/>
    <w:rsid w:val="00616E8A"/>
    <w:rsid w:val="00620FD6"/>
    <w:rsid w:val="00620FF7"/>
    <w:rsid w:val="00621348"/>
    <w:rsid w:val="00621B89"/>
    <w:rsid w:val="00621DB2"/>
    <w:rsid w:val="00621E28"/>
    <w:rsid w:val="00622B8A"/>
    <w:rsid w:val="006232D3"/>
    <w:rsid w:val="00623446"/>
    <w:rsid w:val="00623468"/>
    <w:rsid w:val="006239A8"/>
    <w:rsid w:val="00623E72"/>
    <w:rsid w:val="0062420A"/>
    <w:rsid w:val="00624A70"/>
    <w:rsid w:val="006251EF"/>
    <w:rsid w:val="00626301"/>
    <w:rsid w:val="00626A23"/>
    <w:rsid w:val="00626BDF"/>
    <w:rsid w:val="006277C1"/>
    <w:rsid w:val="00627EDD"/>
    <w:rsid w:val="00630212"/>
    <w:rsid w:val="00630725"/>
    <w:rsid w:val="00630CA9"/>
    <w:rsid w:val="00631152"/>
    <w:rsid w:val="006312CE"/>
    <w:rsid w:val="0063174C"/>
    <w:rsid w:val="0063259F"/>
    <w:rsid w:val="00633557"/>
    <w:rsid w:val="00633CD7"/>
    <w:rsid w:val="00633E9A"/>
    <w:rsid w:val="0063413F"/>
    <w:rsid w:val="006347BB"/>
    <w:rsid w:val="006353CC"/>
    <w:rsid w:val="0063584D"/>
    <w:rsid w:val="006365BE"/>
    <w:rsid w:val="00637783"/>
    <w:rsid w:val="0063798F"/>
    <w:rsid w:val="0064094C"/>
    <w:rsid w:val="006409FD"/>
    <w:rsid w:val="006419F2"/>
    <w:rsid w:val="00643CAE"/>
    <w:rsid w:val="006441CE"/>
    <w:rsid w:val="00645275"/>
    <w:rsid w:val="0064686D"/>
    <w:rsid w:val="0064701C"/>
    <w:rsid w:val="00647156"/>
    <w:rsid w:val="00647A2E"/>
    <w:rsid w:val="006500A9"/>
    <w:rsid w:val="00650603"/>
    <w:rsid w:val="00651192"/>
    <w:rsid w:val="00651E33"/>
    <w:rsid w:val="0065317F"/>
    <w:rsid w:val="00653800"/>
    <w:rsid w:val="00653AC4"/>
    <w:rsid w:val="00654217"/>
    <w:rsid w:val="006547B9"/>
    <w:rsid w:val="00655697"/>
    <w:rsid w:val="00655AEE"/>
    <w:rsid w:val="00656322"/>
    <w:rsid w:val="0065746E"/>
    <w:rsid w:val="00657592"/>
    <w:rsid w:val="0065760B"/>
    <w:rsid w:val="00657D80"/>
    <w:rsid w:val="00661444"/>
    <w:rsid w:val="006617F2"/>
    <w:rsid w:val="00661ACB"/>
    <w:rsid w:val="00661AD3"/>
    <w:rsid w:val="00662394"/>
    <w:rsid w:val="006623D1"/>
    <w:rsid w:val="00662AF5"/>
    <w:rsid w:val="00662F7E"/>
    <w:rsid w:val="00663207"/>
    <w:rsid w:val="006633AC"/>
    <w:rsid w:val="00663766"/>
    <w:rsid w:val="006639B7"/>
    <w:rsid w:val="00663BFF"/>
    <w:rsid w:val="0066404A"/>
    <w:rsid w:val="0066430C"/>
    <w:rsid w:val="00664724"/>
    <w:rsid w:val="00665372"/>
    <w:rsid w:val="006654FA"/>
    <w:rsid w:val="00665B7C"/>
    <w:rsid w:val="0066624B"/>
    <w:rsid w:val="00666373"/>
    <w:rsid w:val="00666914"/>
    <w:rsid w:val="00666BB9"/>
    <w:rsid w:val="00666F95"/>
    <w:rsid w:val="0066729A"/>
    <w:rsid w:val="0066793C"/>
    <w:rsid w:val="00670455"/>
    <w:rsid w:val="00670FC7"/>
    <w:rsid w:val="0067130E"/>
    <w:rsid w:val="00671698"/>
    <w:rsid w:val="00672054"/>
    <w:rsid w:val="0067252A"/>
    <w:rsid w:val="00673018"/>
    <w:rsid w:val="0067324A"/>
    <w:rsid w:val="00673300"/>
    <w:rsid w:val="00673A00"/>
    <w:rsid w:val="00673AE7"/>
    <w:rsid w:val="006741BD"/>
    <w:rsid w:val="0067468C"/>
    <w:rsid w:val="006752C9"/>
    <w:rsid w:val="00675F8C"/>
    <w:rsid w:val="0067615D"/>
    <w:rsid w:val="00676272"/>
    <w:rsid w:val="00676674"/>
    <w:rsid w:val="00677BAC"/>
    <w:rsid w:val="006801E9"/>
    <w:rsid w:val="0068024C"/>
    <w:rsid w:val="006814E9"/>
    <w:rsid w:val="006822F9"/>
    <w:rsid w:val="00683DF3"/>
    <w:rsid w:val="006842AC"/>
    <w:rsid w:val="00684908"/>
    <w:rsid w:val="0068506B"/>
    <w:rsid w:val="0068582A"/>
    <w:rsid w:val="006873A5"/>
    <w:rsid w:val="00687BF8"/>
    <w:rsid w:val="006901CA"/>
    <w:rsid w:val="00690E17"/>
    <w:rsid w:val="00690EA6"/>
    <w:rsid w:val="00691969"/>
    <w:rsid w:val="00691E4D"/>
    <w:rsid w:val="0069282F"/>
    <w:rsid w:val="006938E5"/>
    <w:rsid w:val="00693928"/>
    <w:rsid w:val="00694A87"/>
    <w:rsid w:val="00694AEA"/>
    <w:rsid w:val="00695E35"/>
    <w:rsid w:val="00696DDC"/>
    <w:rsid w:val="00697191"/>
    <w:rsid w:val="00697851"/>
    <w:rsid w:val="00697F6B"/>
    <w:rsid w:val="00697FBA"/>
    <w:rsid w:val="006A0431"/>
    <w:rsid w:val="006A083C"/>
    <w:rsid w:val="006A1CC0"/>
    <w:rsid w:val="006A1D1F"/>
    <w:rsid w:val="006A22DA"/>
    <w:rsid w:val="006A2601"/>
    <w:rsid w:val="006A2933"/>
    <w:rsid w:val="006A441B"/>
    <w:rsid w:val="006A51F8"/>
    <w:rsid w:val="006A5319"/>
    <w:rsid w:val="006A663D"/>
    <w:rsid w:val="006A6858"/>
    <w:rsid w:val="006A69C4"/>
    <w:rsid w:val="006A742D"/>
    <w:rsid w:val="006A7C07"/>
    <w:rsid w:val="006A7DEC"/>
    <w:rsid w:val="006B00C4"/>
    <w:rsid w:val="006B10E4"/>
    <w:rsid w:val="006B274B"/>
    <w:rsid w:val="006B39C4"/>
    <w:rsid w:val="006B3A25"/>
    <w:rsid w:val="006B3A78"/>
    <w:rsid w:val="006B3D87"/>
    <w:rsid w:val="006B3EC5"/>
    <w:rsid w:val="006B4215"/>
    <w:rsid w:val="006B47E4"/>
    <w:rsid w:val="006B63FC"/>
    <w:rsid w:val="006B6F7A"/>
    <w:rsid w:val="006B7140"/>
    <w:rsid w:val="006B72FC"/>
    <w:rsid w:val="006B7407"/>
    <w:rsid w:val="006C049F"/>
    <w:rsid w:val="006C0FBB"/>
    <w:rsid w:val="006C11B6"/>
    <w:rsid w:val="006C1667"/>
    <w:rsid w:val="006C21D5"/>
    <w:rsid w:val="006C2F76"/>
    <w:rsid w:val="006C3672"/>
    <w:rsid w:val="006C3788"/>
    <w:rsid w:val="006C3B3E"/>
    <w:rsid w:val="006C3DF1"/>
    <w:rsid w:val="006C4090"/>
    <w:rsid w:val="006C472D"/>
    <w:rsid w:val="006C4C97"/>
    <w:rsid w:val="006C6B79"/>
    <w:rsid w:val="006C6BF1"/>
    <w:rsid w:val="006C78D6"/>
    <w:rsid w:val="006C7CB1"/>
    <w:rsid w:val="006D0BCA"/>
    <w:rsid w:val="006D23C4"/>
    <w:rsid w:val="006D24D6"/>
    <w:rsid w:val="006D2983"/>
    <w:rsid w:val="006D3688"/>
    <w:rsid w:val="006D3734"/>
    <w:rsid w:val="006D4303"/>
    <w:rsid w:val="006D4A9C"/>
    <w:rsid w:val="006D5259"/>
    <w:rsid w:val="006D5290"/>
    <w:rsid w:val="006D5478"/>
    <w:rsid w:val="006D54BC"/>
    <w:rsid w:val="006D5A32"/>
    <w:rsid w:val="006D5EDD"/>
    <w:rsid w:val="006D707A"/>
    <w:rsid w:val="006D76FB"/>
    <w:rsid w:val="006D7DB5"/>
    <w:rsid w:val="006E03DF"/>
    <w:rsid w:val="006E0651"/>
    <w:rsid w:val="006E0688"/>
    <w:rsid w:val="006E0A7F"/>
    <w:rsid w:val="006E0C86"/>
    <w:rsid w:val="006E1595"/>
    <w:rsid w:val="006E19E3"/>
    <w:rsid w:val="006E21CB"/>
    <w:rsid w:val="006E2E74"/>
    <w:rsid w:val="006E3127"/>
    <w:rsid w:val="006E3214"/>
    <w:rsid w:val="006E349A"/>
    <w:rsid w:val="006E38A9"/>
    <w:rsid w:val="006E3E0D"/>
    <w:rsid w:val="006E40CA"/>
    <w:rsid w:val="006E4125"/>
    <w:rsid w:val="006E4696"/>
    <w:rsid w:val="006E4D61"/>
    <w:rsid w:val="006E51AC"/>
    <w:rsid w:val="006E58F3"/>
    <w:rsid w:val="006E5B19"/>
    <w:rsid w:val="006E5F9F"/>
    <w:rsid w:val="006E668C"/>
    <w:rsid w:val="006E6D7C"/>
    <w:rsid w:val="006E7C91"/>
    <w:rsid w:val="006F00BE"/>
    <w:rsid w:val="006F0736"/>
    <w:rsid w:val="006F0CBF"/>
    <w:rsid w:val="006F1CBD"/>
    <w:rsid w:val="006F264F"/>
    <w:rsid w:val="006F2D2A"/>
    <w:rsid w:val="006F324D"/>
    <w:rsid w:val="006F4071"/>
    <w:rsid w:val="006F42A8"/>
    <w:rsid w:val="006F4538"/>
    <w:rsid w:val="006F53C0"/>
    <w:rsid w:val="006F6B86"/>
    <w:rsid w:val="006F75A8"/>
    <w:rsid w:val="006F79B5"/>
    <w:rsid w:val="00700B81"/>
    <w:rsid w:val="00700E30"/>
    <w:rsid w:val="00701418"/>
    <w:rsid w:val="00702427"/>
    <w:rsid w:val="007026F8"/>
    <w:rsid w:val="00703557"/>
    <w:rsid w:val="007048B5"/>
    <w:rsid w:val="00704F72"/>
    <w:rsid w:val="00705340"/>
    <w:rsid w:val="00706920"/>
    <w:rsid w:val="00706E2B"/>
    <w:rsid w:val="007071F1"/>
    <w:rsid w:val="00707F7A"/>
    <w:rsid w:val="007106E0"/>
    <w:rsid w:val="00711317"/>
    <w:rsid w:val="0071191B"/>
    <w:rsid w:val="00711A94"/>
    <w:rsid w:val="00711B43"/>
    <w:rsid w:val="007129BC"/>
    <w:rsid w:val="0071314F"/>
    <w:rsid w:val="007146FA"/>
    <w:rsid w:val="00715224"/>
    <w:rsid w:val="00715CA8"/>
    <w:rsid w:val="007166F9"/>
    <w:rsid w:val="007167FD"/>
    <w:rsid w:val="00716BA8"/>
    <w:rsid w:val="0071771D"/>
    <w:rsid w:val="00720CEF"/>
    <w:rsid w:val="00720DC4"/>
    <w:rsid w:val="00721371"/>
    <w:rsid w:val="007225D2"/>
    <w:rsid w:val="00723DCA"/>
    <w:rsid w:val="00723E61"/>
    <w:rsid w:val="007244C1"/>
    <w:rsid w:val="0072580E"/>
    <w:rsid w:val="00726EBE"/>
    <w:rsid w:val="00727177"/>
    <w:rsid w:val="00731398"/>
    <w:rsid w:val="00731D5A"/>
    <w:rsid w:val="00731F32"/>
    <w:rsid w:val="007329B3"/>
    <w:rsid w:val="00732A7B"/>
    <w:rsid w:val="00732F1A"/>
    <w:rsid w:val="0073348D"/>
    <w:rsid w:val="00733598"/>
    <w:rsid w:val="00733734"/>
    <w:rsid w:val="00733F62"/>
    <w:rsid w:val="00734242"/>
    <w:rsid w:val="007342D5"/>
    <w:rsid w:val="00734EFE"/>
    <w:rsid w:val="007354C0"/>
    <w:rsid w:val="00735A21"/>
    <w:rsid w:val="00735AA5"/>
    <w:rsid w:val="00736058"/>
    <w:rsid w:val="00736672"/>
    <w:rsid w:val="007371A9"/>
    <w:rsid w:val="00737295"/>
    <w:rsid w:val="007376BF"/>
    <w:rsid w:val="007376FB"/>
    <w:rsid w:val="00737B39"/>
    <w:rsid w:val="00737CCC"/>
    <w:rsid w:val="00737F32"/>
    <w:rsid w:val="0074059B"/>
    <w:rsid w:val="00740F2F"/>
    <w:rsid w:val="0074353A"/>
    <w:rsid w:val="00744190"/>
    <w:rsid w:val="007441A7"/>
    <w:rsid w:val="007443D0"/>
    <w:rsid w:val="00746724"/>
    <w:rsid w:val="00746838"/>
    <w:rsid w:val="007469E7"/>
    <w:rsid w:val="00747439"/>
    <w:rsid w:val="0075001D"/>
    <w:rsid w:val="00751880"/>
    <w:rsid w:val="00751A3D"/>
    <w:rsid w:val="00751F07"/>
    <w:rsid w:val="00752B1C"/>
    <w:rsid w:val="00752ECF"/>
    <w:rsid w:val="00753080"/>
    <w:rsid w:val="00753492"/>
    <w:rsid w:val="00753B55"/>
    <w:rsid w:val="00753DFE"/>
    <w:rsid w:val="007547A5"/>
    <w:rsid w:val="00754D29"/>
    <w:rsid w:val="00755198"/>
    <w:rsid w:val="00755AC5"/>
    <w:rsid w:val="00756A91"/>
    <w:rsid w:val="00756D50"/>
    <w:rsid w:val="0075784B"/>
    <w:rsid w:val="00757F7B"/>
    <w:rsid w:val="0076165A"/>
    <w:rsid w:val="007616B5"/>
    <w:rsid w:val="00761B7D"/>
    <w:rsid w:val="00763678"/>
    <w:rsid w:val="00763F46"/>
    <w:rsid w:val="00764186"/>
    <w:rsid w:val="0076448D"/>
    <w:rsid w:val="007646C9"/>
    <w:rsid w:val="0076482C"/>
    <w:rsid w:val="00764DC1"/>
    <w:rsid w:val="007650A3"/>
    <w:rsid w:val="0076532E"/>
    <w:rsid w:val="007663B9"/>
    <w:rsid w:val="00767631"/>
    <w:rsid w:val="00767901"/>
    <w:rsid w:val="00771CA0"/>
    <w:rsid w:val="00772FD1"/>
    <w:rsid w:val="00773437"/>
    <w:rsid w:val="00773F5D"/>
    <w:rsid w:val="0077449A"/>
    <w:rsid w:val="007753FF"/>
    <w:rsid w:val="00775975"/>
    <w:rsid w:val="00775F74"/>
    <w:rsid w:val="00775FC2"/>
    <w:rsid w:val="00776A53"/>
    <w:rsid w:val="00777138"/>
    <w:rsid w:val="0077735A"/>
    <w:rsid w:val="007777A8"/>
    <w:rsid w:val="007777C8"/>
    <w:rsid w:val="00781CB4"/>
    <w:rsid w:val="00783433"/>
    <w:rsid w:val="007856E9"/>
    <w:rsid w:val="00785946"/>
    <w:rsid w:val="00785A30"/>
    <w:rsid w:val="007871D4"/>
    <w:rsid w:val="00787CB2"/>
    <w:rsid w:val="00787F46"/>
    <w:rsid w:val="0079012E"/>
    <w:rsid w:val="0079170B"/>
    <w:rsid w:val="007921FF"/>
    <w:rsid w:val="007927DA"/>
    <w:rsid w:val="00792B2E"/>
    <w:rsid w:val="00793F3E"/>
    <w:rsid w:val="007947A8"/>
    <w:rsid w:val="00795816"/>
    <w:rsid w:val="007958CE"/>
    <w:rsid w:val="007962A9"/>
    <w:rsid w:val="007967C5"/>
    <w:rsid w:val="0079728E"/>
    <w:rsid w:val="00797D28"/>
    <w:rsid w:val="007A0F78"/>
    <w:rsid w:val="007A1F81"/>
    <w:rsid w:val="007A2D63"/>
    <w:rsid w:val="007A3DBB"/>
    <w:rsid w:val="007A4BB0"/>
    <w:rsid w:val="007A6D2F"/>
    <w:rsid w:val="007A75EF"/>
    <w:rsid w:val="007A7967"/>
    <w:rsid w:val="007B0091"/>
    <w:rsid w:val="007B035F"/>
    <w:rsid w:val="007B0B28"/>
    <w:rsid w:val="007B15CC"/>
    <w:rsid w:val="007B303A"/>
    <w:rsid w:val="007B3582"/>
    <w:rsid w:val="007B3C77"/>
    <w:rsid w:val="007B3D78"/>
    <w:rsid w:val="007B4634"/>
    <w:rsid w:val="007B4798"/>
    <w:rsid w:val="007B53FF"/>
    <w:rsid w:val="007B5C6A"/>
    <w:rsid w:val="007B5D3A"/>
    <w:rsid w:val="007B68A5"/>
    <w:rsid w:val="007B7855"/>
    <w:rsid w:val="007C1183"/>
    <w:rsid w:val="007C136A"/>
    <w:rsid w:val="007C2577"/>
    <w:rsid w:val="007C5616"/>
    <w:rsid w:val="007C5655"/>
    <w:rsid w:val="007C6302"/>
    <w:rsid w:val="007C63AC"/>
    <w:rsid w:val="007C6579"/>
    <w:rsid w:val="007C69AB"/>
    <w:rsid w:val="007C6B16"/>
    <w:rsid w:val="007C73D3"/>
    <w:rsid w:val="007C7841"/>
    <w:rsid w:val="007C7CDB"/>
    <w:rsid w:val="007D18F3"/>
    <w:rsid w:val="007D2942"/>
    <w:rsid w:val="007D3368"/>
    <w:rsid w:val="007D34E3"/>
    <w:rsid w:val="007D36E1"/>
    <w:rsid w:val="007D3894"/>
    <w:rsid w:val="007D4356"/>
    <w:rsid w:val="007D44EF"/>
    <w:rsid w:val="007D482D"/>
    <w:rsid w:val="007D4F28"/>
    <w:rsid w:val="007D5170"/>
    <w:rsid w:val="007D60A7"/>
    <w:rsid w:val="007D687D"/>
    <w:rsid w:val="007D761F"/>
    <w:rsid w:val="007E0660"/>
    <w:rsid w:val="007E0CF8"/>
    <w:rsid w:val="007E0E22"/>
    <w:rsid w:val="007E19BF"/>
    <w:rsid w:val="007E1F48"/>
    <w:rsid w:val="007E2784"/>
    <w:rsid w:val="007E296F"/>
    <w:rsid w:val="007E2D91"/>
    <w:rsid w:val="007E3449"/>
    <w:rsid w:val="007E3C69"/>
    <w:rsid w:val="007E3EA2"/>
    <w:rsid w:val="007E472B"/>
    <w:rsid w:val="007E48DC"/>
    <w:rsid w:val="007E4C1E"/>
    <w:rsid w:val="007E4ED0"/>
    <w:rsid w:val="007E5470"/>
    <w:rsid w:val="007E54D7"/>
    <w:rsid w:val="007E58B8"/>
    <w:rsid w:val="007E5C10"/>
    <w:rsid w:val="007E5D09"/>
    <w:rsid w:val="007E616B"/>
    <w:rsid w:val="007E755B"/>
    <w:rsid w:val="007E791A"/>
    <w:rsid w:val="007E7A39"/>
    <w:rsid w:val="007F0840"/>
    <w:rsid w:val="007F0FC4"/>
    <w:rsid w:val="007F11A4"/>
    <w:rsid w:val="007F1884"/>
    <w:rsid w:val="007F1BF3"/>
    <w:rsid w:val="007F20B0"/>
    <w:rsid w:val="007F3ACF"/>
    <w:rsid w:val="007F4643"/>
    <w:rsid w:val="007F5333"/>
    <w:rsid w:val="007F6879"/>
    <w:rsid w:val="007F6F5F"/>
    <w:rsid w:val="007F7032"/>
    <w:rsid w:val="007F79A3"/>
    <w:rsid w:val="00800124"/>
    <w:rsid w:val="00800B81"/>
    <w:rsid w:val="0080127C"/>
    <w:rsid w:val="00801493"/>
    <w:rsid w:val="00801EA5"/>
    <w:rsid w:val="00802F29"/>
    <w:rsid w:val="00803572"/>
    <w:rsid w:val="008036C9"/>
    <w:rsid w:val="008037CD"/>
    <w:rsid w:val="00803B8A"/>
    <w:rsid w:val="00803FC9"/>
    <w:rsid w:val="00804725"/>
    <w:rsid w:val="00804745"/>
    <w:rsid w:val="0080547E"/>
    <w:rsid w:val="00805BAF"/>
    <w:rsid w:val="00806236"/>
    <w:rsid w:val="0080664E"/>
    <w:rsid w:val="0081081E"/>
    <w:rsid w:val="00810A33"/>
    <w:rsid w:val="00810C1B"/>
    <w:rsid w:val="00810CE1"/>
    <w:rsid w:val="0081120A"/>
    <w:rsid w:val="00811D7A"/>
    <w:rsid w:val="00812B00"/>
    <w:rsid w:val="00812C51"/>
    <w:rsid w:val="008130C8"/>
    <w:rsid w:val="00813442"/>
    <w:rsid w:val="00814DC9"/>
    <w:rsid w:val="00815966"/>
    <w:rsid w:val="00815BCB"/>
    <w:rsid w:val="008167E7"/>
    <w:rsid w:val="008176AB"/>
    <w:rsid w:val="00817AB9"/>
    <w:rsid w:val="00820082"/>
    <w:rsid w:val="008216C0"/>
    <w:rsid w:val="00821C2B"/>
    <w:rsid w:val="00822116"/>
    <w:rsid w:val="0082254C"/>
    <w:rsid w:val="00823083"/>
    <w:rsid w:val="0082342B"/>
    <w:rsid w:val="00825D9E"/>
    <w:rsid w:val="00827DE0"/>
    <w:rsid w:val="0083024A"/>
    <w:rsid w:val="00830E19"/>
    <w:rsid w:val="00830E2D"/>
    <w:rsid w:val="00830F2A"/>
    <w:rsid w:val="008318CC"/>
    <w:rsid w:val="00831E84"/>
    <w:rsid w:val="00832023"/>
    <w:rsid w:val="0083220D"/>
    <w:rsid w:val="0083249D"/>
    <w:rsid w:val="0083283B"/>
    <w:rsid w:val="0083415A"/>
    <w:rsid w:val="00834F63"/>
    <w:rsid w:val="0083538C"/>
    <w:rsid w:val="00835C77"/>
    <w:rsid w:val="00836129"/>
    <w:rsid w:val="00836DF4"/>
    <w:rsid w:val="00837652"/>
    <w:rsid w:val="00837A69"/>
    <w:rsid w:val="008405C7"/>
    <w:rsid w:val="00840A8A"/>
    <w:rsid w:val="00841D55"/>
    <w:rsid w:val="008443DE"/>
    <w:rsid w:val="0084440E"/>
    <w:rsid w:val="008447C6"/>
    <w:rsid w:val="00844F99"/>
    <w:rsid w:val="00845534"/>
    <w:rsid w:val="00845EBE"/>
    <w:rsid w:val="00846714"/>
    <w:rsid w:val="008468E1"/>
    <w:rsid w:val="0084726F"/>
    <w:rsid w:val="008475F1"/>
    <w:rsid w:val="00847AB2"/>
    <w:rsid w:val="008500B5"/>
    <w:rsid w:val="008500B9"/>
    <w:rsid w:val="00850A11"/>
    <w:rsid w:val="00851C64"/>
    <w:rsid w:val="00852D57"/>
    <w:rsid w:val="00852E0E"/>
    <w:rsid w:val="0085313D"/>
    <w:rsid w:val="008534B9"/>
    <w:rsid w:val="00853B22"/>
    <w:rsid w:val="008541EF"/>
    <w:rsid w:val="00854951"/>
    <w:rsid w:val="008551FA"/>
    <w:rsid w:val="00855781"/>
    <w:rsid w:val="00855B0E"/>
    <w:rsid w:val="008560F7"/>
    <w:rsid w:val="00857B25"/>
    <w:rsid w:val="008600FA"/>
    <w:rsid w:val="0086066C"/>
    <w:rsid w:val="00861724"/>
    <w:rsid w:val="0086242A"/>
    <w:rsid w:val="00862DAB"/>
    <w:rsid w:val="00862E69"/>
    <w:rsid w:val="008641E6"/>
    <w:rsid w:val="008647A2"/>
    <w:rsid w:val="00864E88"/>
    <w:rsid w:val="0086613E"/>
    <w:rsid w:val="0086629E"/>
    <w:rsid w:val="008667B1"/>
    <w:rsid w:val="00866BFA"/>
    <w:rsid w:val="00867CBA"/>
    <w:rsid w:val="008711A8"/>
    <w:rsid w:val="00871FA6"/>
    <w:rsid w:val="008728EF"/>
    <w:rsid w:val="00873FEA"/>
    <w:rsid w:val="0087492A"/>
    <w:rsid w:val="00875348"/>
    <w:rsid w:val="00876106"/>
    <w:rsid w:val="00876326"/>
    <w:rsid w:val="008763B3"/>
    <w:rsid w:val="008769DD"/>
    <w:rsid w:val="008770B6"/>
    <w:rsid w:val="00877509"/>
    <w:rsid w:val="0087794D"/>
    <w:rsid w:val="00877EAF"/>
    <w:rsid w:val="008800AC"/>
    <w:rsid w:val="008829F2"/>
    <w:rsid w:val="00883928"/>
    <w:rsid w:val="00884B92"/>
    <w:rsid w:val="00884BFA"/>
    <w:rsid w:val="008852E0"/>
    <w:rsid w:val="00885EB0"/>
    <w:rsid w:val="00886CE5"/>
    <w:rsid w:val="00886F8C"/>
    <w:rsid w:val="00887779"/>
    <w:rsid w:val="00890C23"/>
    <w:rsid w:val="00890D51"/>
    <w:rsid w:val="00891AE6"/>
    <w:rsid w:val="0089250F"/>
    <w:rsid w:val="00892C83"/>
    <w:rsid w:val="008934FB"/>
    <w:rsid w:val="008937AC"/>
    <w:rsid w:val="008939FC"/>
    <w:rsid w:val="00894496"/>
    <w:rsid w:val="00894930"/>
    <w:rsid w:val="008949F9"/>
    <w:rsid w:val="00894C73"/>
    <w:rsid w:val="00896FBF"/>
    <w:rsid w:val="00897A20"/>
    <w:rsid w:val="008A0C11"/>
    <w:rsid w:val="008A17E2"/>
    <w:rsid w:val="008A1F3F"/>
    <w:rsid w:val="008A1FB2"/>
    <w:rsid w:val="008A3339"/>
    <w:rsid w:val="008A33FD"/>
    <w:rsid w:val="008A3550"/>
    <w:rsid w:val="008A4386"/>
    <w:rsid w:val="008A43B7"/>
    <w:rsid w:val="008A45AE"/>
    <w:rsid w:val="008A5C7C"/>
    <w:rsid w:val="008A5CBF"/>
    <w:rsid w:val="008A6764"/>
    <w:rsid w:val="008A6CB3"/>
    <w:rsid w:val="008A6FF8"/>
    <w:rsid w:val="008A7B37"/>
    <w:rsid w:val="008B17E7"/>
    <w:rsid w:val="008B1D21"/>
    <w:rsid w:val="008B2A62"/>
    <w:rsid w:val="008B2AD9"/>
    <w:rsid w:val="008B3AFB"/>
    <w:rsid w:val="008B3D5C"/>
    <w:rsid w:val="008B4E7A"/>
    <w:rsid w:val="008B4FBA"/>
    <w:rsid w:val="008B507E"/>
    <w:rsid w:val="008B51BE"/>
    <w:rsid w:val="008B52F8"/>
    <w:rsid w:val="008B58E1"/>
    <w:rsid w:val="008B5974"/>
    <w:rsid w:val="008B5B1D"/>
    <w:rsid w:val="008B5FDF"/>
    <w:rsid w:val="008C15F6"/>
    <w:rsid w:val="008C1CCC"/>
    <w:rsid w:val="008C2153"/>
    <w:rsid w:val="008C49B0"/>
    <w:rsid w:val="008C4A39"/>
    <w:rsid w:val="008C4CC6"/>
    <w:rsid w:val="008C511A"/>
    <w:rsid w:val="008C57F4"/>
    <w:rsid w:val="008C5DE0"/>
    <w:rsid w:val="008C66A6"/>
    <w:rsid w:val="008C7B82"/>
    <w:rsid w:val="008D002B"/>
    <w:rsid w:val="008D0D5E"/>
    <w:rsid w:val="008D175B"/>
    <w:rsid w:val="008D1846"/>
    <w:rsid w:val="008D18B1"/>
    <w:rsid w:val="008D2A7C"/>
    <w:rsid w:val="008D2E65"/>
    <w:rsid w:val="008D3254"/>
    <w:rsid w:val="008D350B"/>
    <w:rsid w:val="008D3552"/>
    <w:rsid w:val="008D3C07"/>
    <w:rsid w:val="008D47BF"/>
    <w:rsid w:val="008D4A25"/>
    <w:rsid w:val="008D5395"/>
    <w:rsid w:val="008D5437"/>
    <w:rsid w:val="008D650A"/>
    <w:rsid w:val="008D708E"/>
    <w:rsid w:val="008D7B30"/>
    <w:rsid w:val="008E0C39"/>
    <w:rsid w:val="008E1121"/>
    <w:rsid w:val="008E1F80"/>
    <w:rsid w:val="008E22EC"/>
    <w:rsid w:val="008E2E73"/>
    <w:rsid w:val="008E2EE6"/>
    <w:rsid w:val="008E38AE"/>
    <w:rsid w:val="008E49C2"/>
    <w:rsid w:val="008E575B"/>
    <w:rsid w:val="008E5F3C"/>
    <w:rsid w:val="008E6560"/>
    <w:rsid w:val="008E71D1"/>
    <w:rsid w:val="008E7388"/>
    <w:rsid w:val="008E77F8"/>
    <w:rsid w:val="008E7B3F"/>
    <w:rsid w:val="008F204C"/>
    <w:rsid w:val="008F2144"/>
    <w:rsid w:val="008F296C"/>
    <w:rsid w:val="008F298C"/>
    <w:rsid w:val="008F2BC1"/>
    <w:rsid w:val="008F2C88"/>
    <w:rsid w:val="008F3A68"/>
    <w:rsid w:val="008F3DC0"/>
    <w:rsid w:val="008F61C3"/>
    <w:rsid w:val="008F6C75"/>
    <w:rsid w:val="008F6FD0"/>
    <w:rsid w:val="008F7FCD"/>
    <w:rsid w:val="009009A1"/>
    <w:rsid w:val="00902307"/>
    <w:rsid w:val="00902C17"/>
    <w:rsid w:val="00903516"/>
    <w:rsid w:val="00903836"/>
    <w:rsid w:val="00903E7C"/>
    <w:rsid w:val="009048CA"/>
    <w:rsid w:val="00905831"/>
    <w:rsid w:val="00905D20"/>
    <w:rsid w:val="0090640C"/>
    <w:rsid w:val="00906461"/>
    <w:rsid w:val="00906948"/>
    <w:rsid w:val="00906EEF"/>
    <w:rsid w:val="00907D7C"/>
    <w:rsid w:val="00907F45"/>
    <w:rsid w:val="00910BE0"/>
    <w:rsid w:val="0091103A"/>
    <w:rsid w:val="009111B1"/>
    <w:rsid w:val="00912257"/>
    <w:rsid w:val="00912434"/>
    <w:rsid w:val="00913C03"/>
    <w:rsid w:val="009148AC"/>
    <w:rsid w:val="00915488"/>
    <w:rsid w:val="00916852"/>
    <w:rsid w:val="00916899"/>
    <w:rsid w:val="0092023B"/>
    <w:rsid w:val="009204D9"/>
    <w:rsid w:val="0092078B"/>
    <w:rsid w:val="00920F5A"/>
    <w:rsid w:val="00921992"/>
    <w:rsid w:val="00921C8F"/>
    <w:rsid w:val="0092495B"/>
    <w:rsid w:val="0092507C"/>
    <w:rsid w:val="009260FA"/>
    <w:rsid w:val="0092655C"/>
    <w:rsid w:val="009269BE"/>
    <w:rsid w:val="00927935"/>
    <w:rsid w:val="0093082C"/>
    <w:rsid w:val="0093138B"/>
    <w:rsid w:val="009328FB"/>
    <w:rsid w:val="0093356A"/>
    <w:rsid w:val="00933E8B"/>
    <w:rsid w:val="00934501"/>
    <w:rsid w:val="0093523A"/>
    <w:rsid w:val="00935E28"/>
    <w:rsid w:val="0093602D"/>
    <w:rsid w:val="00936465"/>
    <w:rsid w:val="009369D6"/>
    <w:rsid w:val="009369F9"/>
    <w:rsid w:val="00936AAF"/>
    <w:rsid w:val="00936ECA"/>
    <w:rsid w:val="00936F4B"/>
    <w:rsid w:val="00937EA6"/>
    <w:rsid w:val="00941258"/>
    <w:rsid w:val="00941A69"/>
    <w:rsid w:val="00941C13"/>
    <w:rsid w:val="009420AD"/>
    <w:rsid w:val="009422CC"/>
    <w:rsid w:val="00943851"/>
    <w:rsid w:val="00944136"/>
    <w:rsid w:val="00944157"/>
    <w:rsid w:val="00944C19"/>
    <w:rsid w:val="00945013"/>
    <w:rsid w:val="0094519E"/>
    <w:rsid w:val="00945E59"/>
    <w:rsid w:val="00945F09"/>
    <w:rsid w:val="00946F9B"/>
    <w:rsid w:val="009470DD"/>
    <w:rsid w:val="00947182"/>
    <w:rsid w:val="00950459"/>
    <w:rsid w:val="00950CCF"/>
    <w:rsid w:val="00951700"/>
    <w:rsid w:val="00951B8E"/>
    <w:rsid w:val="00951DAA"/>
    <w:rsid w:val="00951EB6"/>
    <w:rsid w:val="00953832"/>
    <w:rsid w:val="00953B4B"/>
    <w:rsid w:val="00954323"/>
    <w:rsid w:val="009554B2"/>
    <w:rsid w:val="0095779A"/>
    <w:rsid w:val="00960761"/>
    <w:rsid w:val="00960D1D"/>
    <w:rsid w:val="009622A0"/>
    <w:rsid w:val="0096390A"/>
    <w:rsid w:val="00963F62"/>
    <w:rsid w:val="0096609F"/>
    <w:rsid w:val="0096628E"/>
    <w:rsid w:val="00966D86"/>
    <w:rsid w:val="009701B2"/>
    <w:rsid w:val="00970853"/>
    <w:rsid w:val="009708FB"/>
    <w:rsid w:val="009716A0"/>
    <w:rsid w:val="00971B9F"/>
    <w:rsid w:val="00971F26"/>
    <w:rsid w:val="0097282E"/>
    <w:rsid w:val="00972A2A"/>
    <w:rsid w:val="0097325D"/>
    <w:rsid w:val="00973260"/>
    <w:rsid w:val="00973738"/>
    <w:rsid w:val="00974241"/>
    <w:rsid w:val="00974BDE"/>
    <w:rsid w:val="00975080"/>
    <w:rsid w:val="00975170"/>
    <w:rsid w:val="0097626F"/>
    <w:rsid w:val="00976DCF"/>
    <w:rsid w:val="00976E5C"/>
    <w:rsid w:val="00976EB7"/>
    <w:rsid w:val="00980AE4"/>
    <w:rsid w:val="009818D9"/>
    <w:rsid w:val="00983A23"/>
    <w:rsid w:val="00983D08"/>
    <w:rsid w:val="00984FD0"/>
    <w:rsid w:val="00985356"/>
    <w:rsid w:val="00985BF3"/>
    <w:rsid w:val="0098649F"/>
    <w:rsid w:val="00986653"/>
    <w:rsid w:val="00990AFA"/>
    <w:rsid w:val="00991107"/>
    <w:rsid w:val="0099159B"/>
    <w:rsid w:val="0099287D"/>
    <w:rsid w:val="00992907"/>
    <w:rsid w:val="009933CC"/>
    <w:rsid w:val="0099399F"/>
    <w:rsid w:val="00993AFD"/>
    <w:rsid w:val="00993CB2"/>
    <w:rsid w:val="00993F31"/>
    <w:rsid w:val="00995DCF"/>
    <w:rsid w:val="00996381"/>
    <w:rsid w:val="0099676A"/>
    <w:rsid w:val="009973CD"/>
    <w:rsid w:val="009A03AC"/>
    <w:rsid w:val="009A0C66"/>
    <w:rsid w:val="009A11B6"/>
    <w:rsid w:val="009A12B9"/>
    <w:rsid w:val="009A1523"/>
    <w:rsid w:val="009A1A8F"/>
    <w:rsid w:val="009A2091"/>
    <w:rsid w:val="009A220C"/>
    <w:rsid w:val="009A270A"/>
    <w:rsid w:val="009A30AB"/>
    <w:rsid w:val="009A32C9"/>
    <w:rsid w:val="009A32D8"/>
    <w:rsid w:val="009A3E9D"/>
    <w:rsid w:val="009A3F53"/>
    <w:rsid w:val="009A4D78"/>
    <w:rsid w:val="009A6446"/>
    <w:rsid w:val="009A6731"/>
    <w:rsid w:val="009A787F"/>
    <w:rsid w:val="009B00F8"/>
    <w:rsid w:val="009B0429"/>
    <w:rsid w:val="009B095D"/>
    <w:rsid w:val="009B0A9D"/>
    <w:rsid w:val="009B10BE"/>
    <w:rsid w:val="009B11E2"/>
    <w:rsid w:val="009B1AD8"/>
    <w:rsid w:val="009B29E9"/>
    <w:rsid w:val="009B307F"/>
    <w:rsid w:val="009B3B4F"/>
    <w:rsid w:val="009B47E2"/>
    <w:rsid w:val="009B49B1"/>
    <w:rsid w:val="009B5C20"/>
    <w:rsid w:val="009B6123"/>
    <w:rsid w:val="009B70B3"/>
    <w:rsid w:val="009B7532"/>
    <w:rsid w:val="009B77E2"/>
    <w:rsid w:val="009B7E27"/>
    <w:rsid w:val="009C02A7"/>
    <w:rsid w:val="009C0A23"/>
    <w:rsid w:val="009C0ECE"/>
    <w:rsid w:val="009C119D"/>
    <w:rsid w:val="009C11A0"/>
    <w:rsid w:val="009C1F57"/>
    <w:rsid w:val="009C2120"/>
    <w:rsid w:val="009C35FC"/>
    <w:rsid w:val="009C3AD7"/>
    <w:rsid w:val="009C3AEB"/>
    <w:rsid w:val="009C4226"/>
    <w:rsid w:val="009C494B"/>
    <w:rsid w:val="009C5AAA"/>
    <w:rsid w:val="009C5C5A"/>
    <w:rsid w:val="009C72ED"/>
    <w:rsid w:val="009C77FF"/>
    <w:rsid w:val="009C7AFF"/>
    <w:rsid w:val="009D0615"/>
    <w:rsid w:val="009D08FA"/>
    <w:rsid w:val="009D0CD1"/>
    <w:rsid w:val="009D172C"/>
    <w:rsid w:val="009D1AD6"/>
    <w:rsid w:val="009D1E22"/>
    <w:rsid w:val="009D278A"/>
    <w:rsid w:val="009D2A45"/>
    <w:rsid w:val="009D33D5"/>
    <w:rsid w:val="009D42B9"/>
    <w:rsid w:val="009D51C4"/>
    <w:rsid w:val="009D5845"/>
    <w:rsid w:val="009D5DD8"/>
    <w:rsid w:val="009D62B2"/>
    <w:rsid w:val="009D6551"/>
    <w:rsid w:val="009D6B98"/>
    <w:rsid w:val="009D7CD2"/>
    <w:rsid w:val="009E0188"/>
    <w:rsid w:val="009E02C2"/>
    <w:rsid w:val="009E2478"/>
    <w:rsid w:val="009E3A38"/>
    <w:rsid w:val="009E3F5E"/>
    <w:rsid w:val="009E499D"/>
    <w:rsid w:val="009E4A00"/>
    <w:rsid w:val="009E4C4E"/>
    <w:rsid w:val="009E4CC9"/>
    <w:rsid w:val="009E4D23"/>
    <w:rsid w:val="009E521A"/>
    <w:rsid w:val="009E550A"/>
    <w:rsid w:val="009E5CE9"/>
    <w:rsid w:val="009E5D4E"/>
    <w:rsid w:val="009E6371"/>
    <w:rsid w:val="009E6D0A"/>
    <w:rsid w:val="009E705A"/>
    <w:rsid w:val="009E7C93"/>
    <w:rsid w:val="009F0E80"/>
    <w:rsid w:val="009F0FFA"/>
    <w:rsid w:val="009F163A"/>
    <w:rsid w:val="009F26CA"/>
    <w:rsid w:val="009F26E9"/>
    <w:rsid w:val="009F2E6E"/>
    <w:rsid w:val="009F355B"/>
    <w:rsid w:val="009F47DB"/>
    <w:rsid w:val="009F5BD6"/>
    <w:rsid w:val="009F6ED1"/>
    <w:rsid w:val="00A009B6"/>
    <w:rsid w:val="00A0121A"/>
    <w:rsid w:val="00A01822"/>
    <w:rsid w:val="00A01BD8"/>
    <w:rsid w:val="00A0217D"/>
    <w:rsid w:val="00A02E84"/>
    <w:rsid w:val="00A03BEE"/>
    <w:rsid w:val="00A045F7"/>
    <w:rsid w:val="00A04B46"/>
    <w:rsid w:val="00A04BF0"/>
    <w:rsid w:val="00A04E43"/>
    <w:rsid w:val="00A04E51"/>
    <w:rsid w:val="00A04E72"/>
    <w:rsid w:val="00A0680D"/>
    <w:rsid w:val="00A06DAE"/>
    <w:rsid w:val="00A06EBA"/>
    <w:rsid w:val="00A07964"/>
    <w:rsid w:val="00A07A7E"/>
    <w:rsid w:val="00A07D11"/>
    <w:rsid w:val="00A1022A"/>
    <w:rsid w:val="00A11348"/>
    <w:rsid w:val="00A11FF6"/>
    <w:rsid w:val="00A12136"/>
    <w:rsid w:val="00A13E46"/>
    <w:rsid w:val="00A149A0"/>
    <w:rsid w:val="00A14B33"/>
    <w:rsid w:val="00A15145"/>
    <w:rsid w:val="00A15E46"/>
    <w:rsid w:val="00A161D6"/>
    <w:rsid w:val="00A162D5"/>
    <w:rsid w:val="00A17EE7"/>
    <w:rsid w:val="00A17F76"/>
    <w:rsid w:val="00A2001B"/>
    <w:rsid w:val="00A21855"/>
    <w:rsid w:val="00A22922"/>
    <w:rsid w:val="00A229AB"/>
    <w:rsid w:val="00A22D0A"/>
    <w:rsid w:val="00A232F2"/>
    <w:rsid w:val="00A23378"/>
    <w:rsid w:val="00A237E6"/>
    <w:rsid w:val="00A23C8D"/>
    <w:rsid w:val="00A24443"/>
    <w:rsid w:val="00A24D77"/>
    <w:rsid w:val="00A25585"/>
    <w:rsid w:val="00A25666"/>
    <w:rsid w:val="00A2661C"/>
    <w:rsid w:val="00A267AE"/>
    <w:rsid w:val="00A30715"/>
    <w:rsid w:val="00A30A96"/>
    <w:rsid w:val="00A30D85"/>
    <w:rsid w:val="00A30E97"/>
    <w:rsid w:val="00A30FFA"/>
    <w:rsid w:val="00A31340"/>
    <w:rsid w:val="00A318B1"/>
    <w:rsid w:val="00A31D70"/>
    <w:rsid w:val="00A32810"/>
    <w:rsid w:val="00A33CB3"/>
    <w:rsid w:val="00A3431F"/>
    <w:rsid w:val="00A34A29"/>
    <w:rsid w:val="00A34FB5"/>
    <w:rsid w:val="00A35836"/>
    <w:rsid w:val="00A35AC9"/>
    <w:rsid w:val="00A4057D"/>
    <w:rsid w:val="00A409D4"/>
    <w:rsid w:val="00A40B31"/>
    <w:rsid w:val="00A41199"/>
    <w:rsid w:val="00A41442"/>
    <w:rsid w:val="00A41940"/>
    <w:rsid w:val="00A428DA"/>
    <w:rsid w:val="00A42E41"/>
    <w:rsid w:val="00A439C5"/>
    <w:rsid w:val="00A43C3C"/>
    <w:rsid w:val="00A448E5"/>
    <w:rsid w:val="00A448FD"/>
    <w:rsid w:val="00A44F4A"/>
    <w:rsid w:val="00A45A9F"/>
    <w:rsid w:val="00A45D01"/>
    <w:rsid w:val="00A466C3"/>
    <w:rsid w:val="00A46A5A"/>
    <w:rsid w:val="00A46AEC"/>
    <w:rsid w:val="00A47394"/>
    <w:rsid w:val="00A47B74"/>
    <w:rsid w:val="00A50148"/>
    <w:rsid w:val="00A50526"/>
    <w:rsid w:val="00A507BC"/>
    <w:rsid w:val="00A50B01"/>
    <w:rsid w:val="00A50B03"/>
    <w:rsid w:val="00A50C97"/>
    <w:rsid w:val="00A518BA"/>
    <w:rsid w:val="00A51B14"/>
    <w:rsid w:val="00A52983"/>
    <w:rsid w:val="00A531A5"/>
    <w:rsid w:val="00A53320"/>
    <w:rsid w:val="00A53375"/>
    <w:rsid w:val="00A539A1"/>
    <w:rsid w:val="00A53F0E"/>
    <w:rsid w:val="00A545BC"/>
    <w:rsid w:val="00A54673"/>
    <w:rsid w:val="00A54F1A"/>
    <w:rsid w:val="00A55BF1"/>
    <w:rsid w:val="00A5640F"/>
    <w:rsid w:val="00A57BF5"/>
    <w:rsid w:val="00A57CE3"/>
    <w:rsid w:val="00A60BFF"/>
    <w:rsid w:val="00A60DE1"/>
    <w:rsid w:val="00A61526"/>
    <w:rsid w:val="00A61D38"/>
    <w:rsid w:val="00A62039"/>
    <w:rsid w:val="00A62161"/>
    <w:rsid w:val="00A63AD4"/>
    <w:rsid w:val="00A63C58"/>
    <w:rsid w:val="00A6472B"/>
    <w:rsid w:val="00A65234"/>
    <w:rsid w:val="00A65967"/>
    <w:rsid w:val="00A65D5F"/>
    <w:rsid w:val="00A65D79"/>
    <w:rsid w:val="00A65DBB"/>
    <w:rsid w:val="00A66A91"/>
    <w:rsid w:val="00A6718B"/>
    <w:rsid w:val="00A67376"/>
    <w:rsid w:val="00A674EA"/>
    <w:rsid w:val="00A70BB0"/>
    <w:rsid w:val="00A70DD0"/>
    <w:rsid w:val="00A720BF"/>
    <w:rsid w:val="00A72560"/>
    <w:rsid w:val="00A73353"/>
    <w:rsid w:val="00A74AA2"/>
    <w:rsid w:val="00A75036"/>
    <w:rsid w:val="00A7558F"/>
    <w:rsid w:val="00A76065"/>
    <w:rsid w:val="00A7656E"/>
    <w:rsid w:val="00A774E0"/>
    <w:rsid w:val="00A81058"/>
    <w:rsid w:val="00A82AD1"/>
    <w:rsid w:val="00A834BF"/>
    <w:rsid w:val="00A8353B"/>
    <w:rsid w:val="00A83C7D"/>
    <w:rsid w:val="00A83FC8"/>
    <w:rsid w:val="00A841F1"/>
    <w:rsid w:val="00A8473A"/>
    <w:rsid w:val="00A84A90"/>
    <w:rsid w:val="00A850EF"/>
    <w:rsid w:val="00A8556A"/>
    <w:rsid w:val="00A86183"/>
    <w:rsid w:val="00A866DE"/>
    <w:rsid w:val="00A86E8B"/>
    <w:rsid w:val="00A8734B"/>
    <w:rsid w:val="00A90F8F"/>
    <w:rsid w:val="00A919A7"/>
    <w:rsid w:val="00A92DE8"/>
    <w:rsid w:val="00A92EDC"/>
    <w:rsid w:val="00A9307E"/>
    <w:rsid w:val="00A93E50"/>
    <w:rsid w:val="00A93FFA"/>
    <w:rsid w:val="00A948EC"/>
    <w:rsid w:val="00A955D6"/>
    <w:rsid w:val="00A95C62"/>
    <w:rsid w:val="00A95DF5"/>
    <w:rsid w:val="00A964BB"/>
    <w:rsid w:val="00AA01CA"/>
    <w:rsid w:val="00AA0EF8"/>
    <w:rsid w:val="00AA2957"/>
    <w:rsid w:val="00AA2AE3"/>
    <w:rsid w:val="00AA3329"/>
    <w:rsid w:val="00AA3518"/>
    <w:rsid w:val="00AA3A9E"/>
    <w:rsid w:val="00AA565F"/>
    <w:rsid w:val="00AA6007"/>
    <w:rsid w:val="00AB055E"/>
    <w:rsid w:val="00AB2370"/>
    <w:rsid w:val="00AB3F95"/>
    <w:rsid w:val="00AB4792"/>
    <w:rsid w:val="00AB47EA"/>
    <w:rsid w:val="00AB561B"/>
    <w:rsid w:val="00AB5865"/>
    <w:rsid w:val="00AB7441"/>
    <w:rsid w:val="00AB7E6E"/>
    <w:rsid w:val="00AC08A7"/>
    <w:rsid w:val="00AC0B0B"/>
    <w:rsid w:val="00AC0E5C"/>
    <w:rsid w:val="00AC1F7F"/>
    <w:rsid w:val="00AC241C"/>
    <w:rsid w:val="00AC2C44"/>
    <w:rsid w:val="00AC2E00"/>
    <w:rsid w:val="00AC2E50"/>
    <w:rsid w:val="00AC38AF"/>
    <w:rsid w:val="00AC3DF0"/>
    <w:rsid w:val="00AC45B0"/>
    <w:rsid w:val="00AC4666"/>
    <w:rsid w:val="00AC4EB1"/>
    <w:rsid w:val="00AC52A3"/>
    <w:rsid w:val="00AC5701"/>
    <w:rsid w:val="00AC59BD"/>
    <w:rsid w:val="00AC5BE4"/>
    <w:rsid w:val="00AC6141"/>
    <w:rsid w:val="00AC61F1"/>
    <w:rsid w:val="00AC6BD6"/>
    <w:rsid w:val="00AC6BF7"/>
    <w:rsid w:val="00AC72D0"/>
    <w:rsid w:val="00AC7C53"/>
    <w:rsid w:val="00AC7CAD"/>
    <w:rsid w:val="00AD0D6D"/>
    <w:rsid w:val="00AD21E1"/>
    <w:rsid w:val="00AD21E7"/>
    <w:rsid w:val="00AD3C9E"/>
    <w:rsid w:val="00AD406B"/>
    <w:rsid w:val="00AD4B7D"/>
    <w:rsid w:val="00AD5071"/>
    <w:rsid w:val="00AD5786"/>
    <w:rsid w:val="00AD5ED4"/>
    <w:rsid w:val="00AD66F7"/>
    <w:rsid w:val="00AD691E"/>
    <w:rsid w:val="00AD745C"/>
    <w:rsid w:val="00AD747C"/>
    <w:rsid w:val="00AD755C"/>
    <w:rsid w:val="00AD765C"/>
    <w:rsid w:val="00AD7EE3"/>
    <w:rsid w:val="00AE062B"/>
    <w:rsid w:val="00AE08BC"/>
    <w:rsid w:val="00AE0A97"/>
    <w:rsid w:val="00AE0E32"/>
    <w:rsid w:val="00AE18EF"/>
    <w:rsid w:val="00AE2E2C"/>
    <w:rsid w:val="00AE3174"/>
    <w:rsid w:val="00AE3661"/>
    <w:rsid w:val="00AE3975"/>
    <w:rsid w:val="00AE3A14"/>
    <w:rsid w:val="00AE3B9B"/>
    <w:rsid w:val="00AE3D77"/>
    <w:rsid w:val="00AE41A1"/>
    <w:rsid w:val="00AE73A6"/>
    <w:rsid w:val="00AE7842"/>
    <w:rsid w:val="00AE7E19"/>
    <w:rsid w:val="00AF068F"/>
    <w:rsid w:val="00AF0855"/>
    <w:rsid w:val="00AF0A32"/>
    <w:rsid w:val="00AF0CFF"/>
    <w:rsid w:val="00AF1498"/>
    <w:rsid w:val="00AF2212"/>
    <w:rsid w:val="00AF37E4"/>
    <w:rsid w:val="00AF5297"/>
    <w:rsid w:val="00AF5A57"/>
    <w:rsid w:val="00AF5AE2"/>
    <w:rsid w:val="00AF74F8"/>
    <w:rsid w:val="00AF76D6"/>
    <w:rsid w:val="00AF7843"/>
    <w:rsid w:val="00B00252"/>
    <w:rsid w:val="00B00257"/>
    <w:rsid w:val="00B00CFE"/>
    <w:rsid w:val="00B00DEA"/>
    <w:rsid w:val="00B01F72"/>
    <w:rsid w:val="00B02252"/>
    <w:rsid w:val="00B04C44"/>
    <w:rsid w:val="00B05483"/>
    <w:rsid w:val="00B05603"/>
    <w:rsid w:val="00B05800"/>
    <w:rsid w:val="00B05E43"/>
    <w:rsid w:val="00B06125"/>
    <w:rsid w:val="00B0658C"/>
    <w:rsid w:val="00B06A13"/>
    <w:rsid w:val="00B06BF7"/>
    <w:rsid w:val="00B06E5C"/>
    <w:rsid w:val="00B07632"/>
    <w:rsid w:val="00B07A31"/>
    <w:rsid w:val="00B07C53"/>
    <w:rsid w:val="00B10AB2"/>
    <w:rsid w:val="00B10BD5"/>
    <w:rsid w:val="00B119AB"/>
    <w:rsid w:val="00B11BCA"/>
    <w:rsid w:val="00B12C36"/>
    <w:rsid w:val="00B132F8"/>
    <w:rsid w:val="00B132FA"/>
    <w:rsid w:val="00B143C2"/>
    <w:rsid w:val="00B145A3"/>
    <w:rsid w:val="00B149F1"/>
    <w:rsid w:val="00B160A0"/>
    <w:rsid w:val="00B16CE5"/>
    <w:rsid w:val="00B201CD"/>
    <w:rsid w:val="00B20571"/>
    <w:rsid w:val="00B20838"/>
    <w:rsid w:val="00B208D2"/>
    <w:rsid w:val="00B208F5"/>
    <w:rsid w:val="00B212CA"/>
    <w:rsid w:val="00B21921"/>
    <w:rsid w:val="00B21DDD"/>
    <w:rsid w:val="00B2268F"/>
    <w:rsid w:val="00B234B3"/>
    <w:rsid w:val="00B23DD0"/>
    <w:rsid w:val="00B26562"/>
    <w:rsid w:val="00B26890"/>
    <w:rsid w:val="00B317BE"/>
    <w:rsid w:val="00B31BFB"/>
    <w:rsid w:val="00B3230C"/>
    <w:rsid w:val="00B32818"/>
    <w:rsid w:val="00B32D00"/>
    <w:rsid w:val="00B33C47"/>
    <w:rsid w:val="00B34270"/>
    <w:rsid w:val="00B35632"/>
    <w:rsid w:val="00B36432"/>
    <w:rsid w:val="00B36F44"/>
    <w:rsid w:val="00B37807"/>
    <w:rsid w:val="00B4004A"/>
    <w:rsid w:val="00B405BB"/>
    <w:rsid w:val="00B4101B"/>
    <w:rsid w:val="00B4105E"/>
    <w:rsid w:val="00B41A39"/>
    <w:rsid w:val="00B41EA1"/>
    <w:rsid w:val="00B42184"/>
    <w:rsid w:val="00B42538"/>
    <w:rsid w:val="00B42AC5"/>
    <w:rsid w:val="00B42E79"/>
    <w:rsid w:val="00B4353D"/>
    <w:rsid w:val="00B436F1"/>
    <w:rsid w:val="00B44615"/>
    <w:rsid w:val="00B45093"/>
    <w:rsid w:val="00B45CC7"/>
    <w:rsid w:val="00B46071"/>
    <w:rsid w:val="00B46C79"/>
    <w:rsid w:val="00B47C9A"/>
    <w:rsid w:val="00B50FD3"/>
    <w:rsid w:val="00B5141E"/>
    <w:rsid w:val="00B51EF0"/>
    <w:rsid w:val="00B522CF"/>
    <w:rsid w:val="00B52DC7"/>
    <w:rsid w:val="00B5331C"/>
    <w:rsid w:val="00B55DCD"/>
    <w:rsid w:val="00B570DC"/>
    <w:rsid w:val="00B5771F"/>
    <w:rsid w:val="00B57912"/>
    <w:rsid w:val="00B604A4"/>
    <w:rsid w:val="00B6061B"/>
    <w:rsid w:val="00B60673"/>
    <w:rsid w:val="00B61741"/>
    <w:rsid w:val="00B62048"/>
    <w:rsid w:val="00B63F0E"/>
    <w:rsid w:val="00B641ED"/>
    <w:rsid w:val="00B642AD"/>
    <w:rsid w:val="00B644B8"/>
    <w:rsid w:val="00B648A4"/>
    <w:rsid w:val="00B65EF7"/>
    <w:rsid w:val="00B67069"/>
    <w:rsid w:val="00B70B5F"/>
    <w:rsid w:val="00B70D86"/>
    <w:rsid w:val="00B71877"/>
    <w:rsid w:val="00B730F5"/>
    <w:rsid w:val="00B731B3"/>
    <w:rsid w:val="00B73424"/>
    <w:rsid w:val="00B743FD"/>
    <w:rsid w:val="00B75260"/>
    <w:rsid w:val="00B752CD"/>
    <w:rsid w:val="00B76B4F"/>
    <w:rsid w:val="00B77D98"/>
    <w:rsid w:val="00B803AB"/>
    <w:rsid w:val="00B80B2B"/>
    <w:rsid w:val="00B814F7"/>
    <w:rsid w:val="00B81916"/>
    <w:rsid w:val="00B82FAE"/>
    <w:rsid w:val="00B83504"/>
    <w:rsid w:val="00B8367C"/>
    <w:rsid w:val="00B84646"/>
    <w:rsid w:val="00B862C6"/>
    <w:rsid w:val="00B8662D"/>
    <w:rsid w:val="00B86A33"/>
    <w:rsid w:val="00B87F8D"/>
    <w:rsid w:val="00B90A73"/>
    <w:rsid w:val="00B916E9"/>
    <w:rsid w:val="00B91D26"/>
    <w:rsid w:val="00B91F6B"/>
    <w:rsid w:val="00B9219C"/>
    <w:rsid w:val="00B93BDB"/>
    <w:rsid w:val="00B95223"/>
    <w:rsid w:val="00B958BC"/>
    <w:rsid w:val="00B9667C"/>
    <w:rsid w:val="00B96D1E"/>
    <w:rsid w:val="00B96D50"/>
    <w:rsid w:val="00B978FC"/>
    <w:rsid w:val="00B97E16"/>
    <w:rsid w:val="00B97F7C"/>
    <w:rsid w:val="00BA015E"/>
    <w:rsid w:val="00BA0259"/>
    <w:rsid w:val="00BA05BE"/>
    <w:rsid w:val="00BA0AB2"/>
    <w:rsid w:val="00BA0ACD"/>
    <w:rsid w:val="00BA0F59"/>
    <w:rsid w:val="00BA121B"/>
    <w:rsid w:val="00BA1440"/>
    <w:rsid w:val="00BA1BDB"/>
    <w:rsid w:val="00BA1ED4"/>
    <w:rsid w:val="00BA21D8"/>
    <w:rsid w:val="00BA2424"/>
    <w:rsid w:val="00BA2A85"/>
    <w:rsid w:val="00BA51C7"/>
    <w:rsid w:val="00BA672A"/>
    <w:rsid w:val="00BA6856"/>
    <w:rsid w:val="00BA6BA8"/>
    <w:rsid w:val="00BA787B"/>
    <w:rsid w:val="00BA7C0B"/>
    <w:rsid w:val="00BB0D8A"/>
    <w:rsid w:val="00BB0E24"/>
    <w:rsid w:val="00BB112B"/>
    <w:rsid w:val="00BB13B7"/>
    <w:rsid w:val="00BB2315"/>
    <w:rsid w:val="00BB23C9"/>
    <w:rsid w:val="00BB2522"/>
    <w:rsid w:val="00BB2E8F"/>
    <w:rsid w:val="00BB3861"/>
    <w:rsid w:val="00BB3927"/>
    <w:rsid w:val="00BB41C1"/>
    <w:rsid w:val="00BB4274"/>
    <w:rsid w:val="00BB5467"/>
    <w:rsid w:val="00BB5FAF"/>
    <w:rsid w:val="00BB6110"/>
    <w:rsid w:val="00BB6419"/>
    <w:rsid w:val="00BB66CC"/>
    <w:rsid w:val="00BB6E00"/>
    <w:rsid w:val="00BB79B7"/>
    <w:rsid w:val="00BB7EA8"/>
    <w:rsid w:val="00BC03AD"/>
    <w:rsid w:val="00BC0A86"/>
    <w:rsid w:val="00BC1713"/>
    <w:rsid w:val="00BC4F4A"/>
    <w:rsid w:val="00BC4FCD"/>
    <w:rsid w:val="00BC574E"/>
    <w:rsid w:val="00BC57F2"/>
    <w:rsid w:val="00BC6403"/>
    <w:rsid w:val="00BC64A9"/>
    <w:rsid w:val="00BC69C6"/>
    <w:rsid w:val="00BC69E0"/>
    <w:rsid w:val="00BC6EEE"/>
    <w:rsid w:val="00BC7891"/>
    <w:rsid w:val="00BC78AA"/>
    <w:rsid w:val="00BC7D90"/>
    <w:rsid w:val="00BD02EE"/>
    <w:rsid w:val="00BD1778"/>
    <w:rsid w:val="00BD2A58"/>
    <w:rsid w:val="00BD2B8A"/>
    <w:rsid w:val="00BD2F25"/>
    <w:rsid w:val="00BD3BEF"/>
    <w:rsid w:val="00BD5E7F"/>
    <w:rsid w:val="00BD6478"/>
    <w:rsid w:val="00BD6E63"/>
    <w:rsid w:val="00BD72FC"/>
    <w:rsid w:val="00BE03BC"/>
    <w:rsid w:val="00BE0A95"/>
    <w:rsid w:val="00BE0AE8"/>
    <w:rsid w:val="00BE0CF0"/>
    <w:rsid w:val="00BE1873"/>
    <w:rsid w:val="00BE1C1A"/>
    <w:rsid w:val="00BE1C91"/>
    <w:rsid w:val="00BE1FFB"/>
    <w:rsid w:val="00BE324F"/>
    <w:rsid w:val="00BE3BFF"/>
    <w:rsid w:val="00BE4961"/>
    <w:rsid w:val="00BE4B0B"/>
    <w:rsid w:val="00BE5643"/>
    <w:rsid w:val="00BE5BD6"/>
    <w:rsid w:val="00BE662F"/>
    <w:rsid w:val="00BE6C32"/>
    <w:rsid w:val="00BE7213"/>
    <w:rsid w:val="00BF2126"/>
    <w:rsid w:val="00BF274F"/>
    <w:rsid w:val="00BF2C1C"/>
    <w:rsid w:val="00BF3EAB"/>
    <w:rsid w:val="00BF3F8C"/>
    <w:rsid w:val="00BF44C6"/>
    <w:rsid w:val="00BF452F"/>
    <w:rsid w:val="00BF5F3A"/>
    <w:rsid w:val="00BF5F94"/>
    <w:rsid w:val="00BF64C9"/>
    <w:rsid w:val="00BF6849"/>
    <w:rsid w:val="00BF6A1F"/>
    <w:rsid w:val="00BF7503"/>
    <w:rsid w:val="00BF7A6C"/>
    <w:rsid w:val="00C0063E"/>
    <w:rsid w:val="00C009A5"/>
    <w:rsid w:val="00C0140C"/>
    <w:rsid w:val="00C0178A"/>
    <w:rsid w:val="00C01B58"/>
    <w:rsid w:val="00C024C9"/>
    <w:rsid w:val="00C02E36"/>
    <w:rsid w:val="00C02E77"/>
    <w:rsid w:val="00C03359"/>
    <w:rsid w:val="00C0360D"/>
    <w:rsid w:val="00C03C88"/>
    <w:rsid w:val="00C0549E"/>
    <w:rsid w:val="00C05A34"/>
    <w:rsid w:val="00C05CB5"/>
    <w:rsid w:val="00C05FC5"/>
    <w:rsid w:val="00C061CE"/>
    <w:rsid w:val="00C070F7"/>
    <w:rsid w:val="00C07768"/>
    <w:rsid w:val="00C101B6"/>
    <w:rsid w:val="00C101C1"/>
    <w:rsid w:val="00C11552"/>
    <w:rsid w:val="00C118D4"/>
    <w:rsid w:val="00C128D4"/>
    <w:rsid w:val="00C13E8A"/>
    <w:rsid w:val="00C13FEE"/>
    <w:rsid w:val="00C14087"/>
    <w:rsid w:val="00C141A3"/>
    <w:rsid w:val="00C143B3"/>
    <w:rsid w:val="00C17C17"/>
    <w:rsid w:val="00C202FC"/>
    <w:rsid w:val="00C203F3"/>
    <w:rsid w:val="00C20480"/>
    <w:rsid w:val="00C21EC1"/>
    <w:rsid w:val="00C22047"/>
    <w:rsid w:val="00C22B56"/>
    <w:rsid w:val="00C2356E"/>
    <w:rsid w:val="00C23A36"/>
    <w:rsid w:val="00C23C84"/>
    <w:rsid w:val="00C2400A"/>
    <w:rsid w:val="00C24257"/>
    <w:rsid w:val="00C24337"/>
    <w:rsid w:val="00C257FF"/>
    <w:rsid w:val="00C270C3"/>
    <w:rsid w:val="00C27B3B"/>
    <w:rsid w:val="00C303E4"/>
    <w:rsid w:val="00C304B1"/>
    <w:rsid w:val="00C30AC5"/>
    <w:rsid w:val="00C31C92"/>
    <w:rsid w:val="00C33135"/>
    <w:rsid w:val="00C33F6D"/>
    <w:rsid w:val="00C33FB4"/>
    <w:rsid w:val="00C346AD"/>
    <w:rsid w:val="00C36A34"/>
    <w:rsid w:val="00C36A4E"/>
    <w:rsid w:val="00C36B04"/>
    <w:rsid w:val="00C3719D"/>
    <w:rsid w:val="00C37D77"/>
    <w:rsid w:val="00C41315"/>
    <w:rsid w:val="00C41591"/>
    <w:rsid w:val="00C416F8"/>
    <w:rsid w:val="00C43438"/>
    <w:rsid w:val="00C44BE5"/>
    <w:rsid w:val="00C46C50"/>
    <w:rsid w:val="00C47A52"/>
    <w:rsid w:val="00C47B7C"/>
    <w:rsid w:val="00C5016A"/>
    <w:rsid w:val="00C50193"/>
    <w:rsid w:val="00C50599"/>
    <w:rsid w:val="00C50DFC"/>
    <w:rsid w:val="00C518ED"/>
    <w:rsid w:val="00C522D9"/>
    <w:rsid w:val="00C5592D"/>
    <w:rsid w:val="00C57003"/>
    <w:rsid w:val="00C5743E"/>
    <w:rsid w:val="00C57798"/>
    <w:rsid w:val="00C57D66"/>
    <w:rsid w:val="00C57E91"/>
    <w:rsid w:val="00C60B50"/>
    <w:rsid w:val="00C6111C"/>
    <w:rsid w:val="00C626D1"/>
    <w:rsid w:val="00C62700"/>
    <w:rsid w:val="00C62793"/>
    <w:rsid w:val="00C62868"/>
    <w:rsid w:val="00C62FE0"/>
    <w:rsid w:val="00C63497"/>
    <w:rsid w:val="00C639F6"/>
    <w:rsid w:val="00C64005"/>
    <w:rsid w:val="00C6461E"/>
    <w:rsid w:val="00C65022"/>
    <w:rsid w:val="00C652BA"/>
    <w:rsid w:val="00C6689D"/>
    <w:rsid w:val="00C670D2"/>
    <w:rsid w:val="00C67CBD"/>
    <w:rsid w:val="00C706A2"/>
    <w:rsid w:val="00C709ED"/>
    <w:rsid w:val="00C7104A"/>
    <w:rsid w:val="00C7195E"/>
    <w:rsid w:val="00C72AED"/>
    <w:rsid w:val="00C7447E"/>
    <w:rsid w:val="00C747EA"/>
    <w:rsid w:val="00C74A19"/>
    <w:rsid w:val="00C75093"/>
    <w:rsid w:val="00C751CC"/>
    <w:rsid w:val="00C76607"/>
    <w:rsid w:val="00C76B44"/>
    <w:rsid w:val="00C7750E"/>
    <w:rsid w:val="00C806A1"/>
    <w:rsid w:val="00C81B27"/>
    <w:rsid w:val="00C82666"/>
    <w:rsid w:val="00C82863"/>
    <w:rsid w:val="00C82D5A"/>
    <w:rsid w:val="00C82ED7"/>
    <w:rsid w:val="00C84052"/>
    <w:rsid w:val="00C84129"/>
    <w:rsid w:val="00C8448E"/>
    <w:rsid w:val="00C844AD"/>
    <w:rsid w:val="00C846C1"/>
    <w:rsid w:val="00C85446"/>
    <w:rsid w:val="00C85FC5"/>
    <w:rsid w:val="00C86366"/>
    <w:rsid w:val="00C87E9B"/>
    <w:rsid w:val="00C903C4"/>
    <w:rsid w:val="00C931BB"/>
    <w:rsid w:val="00C948DE"/>
    <w:rsid w:val="00C95DDC"/>
    <w:rsid w:val="00C9624D"/>
    <w:rsid w:val="00C966E4"/>
    <w:rsid w:val="00C9748F"/>
    <w:rsid w:val="00C978D0"/>
    <w:rsid w:val="00C97F90"/>
    <w:rsid w:val="00CA0772"/>
    <w:rsid w:val="00CA0B2D"/>
    <w:rsid w:val="00CA1CDF"/>
    <w:rsid w:val="00CA3E6A"/>
    <w:rsid w:val="00CA4741"/>
    <w:rsid w:val="00CA4C92"/>
    <w:rsid w:val="00CA4ECD"/>
    <w:rsid w:val="00CA5D07"/>
    <w:rsid w:val="00CA5FFE"/>
    <w:rsid w:val="00CA7081"/>
    <w:rsid w:val="00CA7F8C"/>
    <w:rsid w:val="00CB0A0C"/>
    <w:rsid w:val="00CB0A30"/>
    <w:rsid w:val="00CB2389"/>
    <w:rsid w:val="00CB2473"/>
    <w:rsid w:val="00CB2D55"/>
    <w:rsid w:val="00CB3826"/>
    <w:rsid w:val="00CB5E10"/>
    <w:rsid w:val="00CB6147"/>
    <w:rsid w:val="00CB71B4"/>
    <w:rsid w:val="00CB751B"/>
    <w:rsid w:val="00CB7823"/>
    <w:rsid w:val="00CB7EB9"/>
    <w:rsid w:val="00CC006E"/>
    <w:rsid w:val="00CC0B1A"/>
    <w:rsid w:val="00CC0C01"/>
    <w:rsid w:val="00CC13CC"/>
    <w:rsid w:val="00CC1A80"/>
    <w:rsid w:val="00CC1D44"/>
    <w:rsid w:val="00CC1FDE"/>
    <w:rsid w:val="00CC2186"/>
    <w:rsid w:val="00CC3052"/>
    <w:rsid w:val="00CC31FE"/>
    <w:rsid w:val="00CC3FE2"/>
    <w:rsid w:val="00CC449B"/>
    <w:rsid w:val="00CC528D"/>
    <w:rsid w:val="00CC567F"/>
    <w:rsid w:val="00CC5F2E"/>
    <w:rsid w:val="00CC7B4B"/>
    <w:rsid w:val="00CC7BD2"/>
    <w:rsid w:val="00CD1A88"/>
    <w:rsid w:val="00CD1D3D"/>
    <w:rsid w:val="00CD247D"/>
    <w:rsid w:val="00CD2645"/>
    <w:rsid w:val="00CD3492"/>
    <w:rsid w:val="00CD4F66"/>
    <w:rsid w:val="00CD5290"/>
    <w:rsid w:val="00CD578A"/>
    <w:rsid w:val="00CD5A12"/>
    <w:rsid w:val="00CD5E04"/>
    <w:rsid w:val="00CD6AFD"/>
    <w:rsid w:val="00CD79B1"/>
    <w:rsid w:val="00CD7FEB"/>
    <w:rsid w:val="00CE088E"/>
    <w:rsid w:val="00CE0B5B"/>
    <w:rsid w:val="00CE0BB5"/>
    <w:rsid w:val="00CE0F49"/>
    <w:rsid w:val="00CE2146"/>
    <w:rsid w:val="00CE23EB"/>
    <w:rsid w:val="00CE29FC"/>
    <w:rsid w:val="00CE37E9"/>
    <w:rsid w:val="00CE3C86"/>
    <w:rsid w:val="00CE4FD1"/>
    <w:rsid w:val="00CE5CE2"/>
    <w:rsid w:val="00CE5F9F"/>
    <w:rsid w:val="00CE6F35"/>
    <w:rsid w:val="00CF0077"/>
    <w:rsid w:val="00CF02B3"/>
    <w:rsid w:val="00CF0ACD"/>
    <w:rsid w:val="00CF0F37"/>
    <w:rsid w:val="00CF1ADA"/>
    <w:rsid w:val="00CF322C"/>
    <w:rsid w:val="00CF430F"/>
    <w:rsid w:val="00CF4A59"/>
    <w:rsid w:val="00CF5578"/>
    <w:rsid w:val="00CF5AE2"/>
    <w:rsid w:val="00CF6465"/>
    <w:rsid w:val="00CF6620"/>
    <w:rsid w:val="00CF679C"/>
    <w:rsid w:val="00CF6B5C"/>
    <w:rsid w:val="00CF6D03"/>
    <w:rsid w:val="00CF7568"/>
    <w:rsid w:val="00CF7D9F"/>
    <w:rsid w:val="00CF7F27"/>
    <w:rsid w:val="00D01C15"/>
    <w:rsid w:val="00D01C6F"/>
    <w:rsid w:val="00D02D00"/>
    <w:rsid w:val="00D037AB"/>
    <w:rsid w:val="00D0391D"/>
    <w:rsid w:val="00D03AD4"/>
    <w:rsid w:val="00D03B5F"/>
    <w:rsid w:val="00D0405F"/>
    <w:rsid w:val="00D04B16"/>
    <w:rsid w:val="00D04D01"/>
    <w:rsid w:val="00D05B80"/>
    <w:rsid w:val="00D0657E"/>
    <w:rsid w:val="00D06FD1"/>
    <w:rsid w:val="00D077AA"/>
    <w:rsid w:val="00D07818"/>
    <w:rsid w:val="00D07C88"/>
    <w:rsid w:val="00D07EF9"/>
    <w:rsid w:val="00D11274"/>
    <w:rsid w:val="00D11B11"/>
    <w:rsid w:val="00D11D56"/>
    <w:rsid w:val="00D120F5"/>
    <w:rsid w:val="00D12641"/>
    <w:rsid w:val="00D133EA"/>
    <w:rsid w:val="00D13B76"/>
    <w:rsid w:val="00D14584"/>
    <w:rsid w:val="00D165B2"/>
    <w:rsid w:val="00D16DB7"/>
    <w:rsid w:val="00D16DE3"/>
    <w:rsid w:val="00D175A5"/>
    <w:rsid w:val="00D209D4"/>
    <w:rsid w:val="00D20C99"/>
    <w:rsid w:val="00D211DE"/>
    <w:rsid w:val="00D2226B"/>
    <w:rsid w:val="00D2270B"/>
    <w:rsid w:val="00D22A31"/>
    <w:rsid w:val="00D22AE9"/>
    <w:rsid w:val="00D235D8"/>
    <w:rsid w:val="00D23E26"/>
    <w:rsid w:val="00D241B1"/>
    <w:rsid w:val="00D24ACD"/>
    <w:rsid w:val="00D26366"/>
    <w:rsid w:val="00D275E7"/>
    <w:rsid w:val="00D309C9"/>
    <w:rsid w:val="00D30BCC"/>
    <w:rsid w:val="00D31278"/>
    <w:rsid w:val="00D31E9B"/>
    <w:rsid w:val="00D324A2"/>
    <w:rsid w:val="00D344FC"/>
    <w:rsid w:val="00D3450D"/>
    <w:rsid w:val="00D34621"/>
    <w:rsid w:val="00D34901"/>
    <w:rsid w:val="00D34F65"/>
    <w:rsid w:val="00D35EEF"/>
    <w:rsid w:val="00D36014"/>
    <w:rsid w:val="00D36087"/>
    <w:rsid w:val="00D368C1"/>
    <w:rsid w:val="00D36DAA"/>
    <w:rsid w:val="00D36E95"/>
    <w:rsid w:val="00D371D5"/>
    <w:rsid w:val="00D376EE"/>
    <w:rsid w:val="00D3782E"/>
    <w:rsid w:val="00D37DFC"/>
    <w:rsid w:val="00D37FA5"/>
    <w:rsid w:val="00D40ABE"/>
    <w:rsid w:val="00D40C9B"/>
    <w:rsid w:val="00D41781"/>
    <w:rsid w:val="00D4371F"/>
    <w:rsid w:val="00D43827"/>
    <w:rsid w:val="00D43E97"/>
    <w:rsid w:val="00D43F79"/>
    <w:rsid w:val="00D43F83"/>
    <w:rsid w:val="00D44077"/>
    <w:rsid w:val="00D44974"/>
    <w:rsid w:val="00D44AE1"/>
    <w:rsid w:val="00D44BCA"/>
    <w:rsid w:val="00D45901"/>
    <w:rsid w:val="00D46768"/>
    <w:rsid w:val="00D46A2E"/>
    <w:rsid w:val="00D46AA9"/>
    <w:rsid w:val="00D4764D"/>
    <w:rsid w:val="00D47936"/>
    <w:rsid w:val="00D50397"/>
    <w:rsid w:val="00D50F7C"/>
    <w:rsid w:val="00D51D68"/>
    <w:rsid w:val="00D520F7"/>
    <w:rsid w:val="00D5211F"/>
    <w:rsid w:val="00D52AA6"/>
    <w:rsid w:val="00D5319C"/>
    <w:rsid w:val="00D5375E"/>
    <w:rsid w:val="00D53A1B"/>
    <w:rsid w:val="00D53B64"/>
    <w:rsid w:val="00D54746"/>
    <w:rsid w:val="00D54FF7"/>
    <w:rsid w:val="00D5538B"/>
    <w:rsid w:val="00D555EF"/>
    <w:rsid w:val="00D562C9"/>
    <w:rsid w:val="00D572CB"/>
    <w:rsid w:val="00D57EB7"/>
    <w:rsid w:val="00D610AC"/>
    <w:rsid w:val="00D6209A"/>
    <w:rsid w:val="00D620E5"/>
    <w:rsid w:val="00D62CAC"/>
    <w:rsid w:val="00D63519"/>
    <w:rsid w:val="00D6371C"/>
    <w:rsid w:val="00D63AE7"/>
    <w:rsid w:val="00D63F98"/>
    <w:rsid w:val="00D64035"/>
    <w:rsid w:val="00D6514B"/>
    <w:rsid w:val="00D65240"/>
    <w:rsid w:val="00D65AB5"/>
    <w:rsid w:val="00D66499"/>
    <w:rsid w:val="00D70124"/>
    <w:rsid w:val="00D702F9"/>
    <w:rsid w:val="00D70CA9"/>
    <w:rsid w:val="00D7107E"/>
    <w:rsid w:val="00D7159E"/>
    <w:rsid w:val="00D723A3"/>
    <w:rsid w:val="00D72561"/>
    <w:rsid w:val="00D72B3C"/>
    <w:rsid w:val="00D72BF4"/>
    <w:rsid w:val="00D72D3B"/>
    <w:rsid w:val="00D732AB"/>
    <w:rsid w:val="00D73939"/>
    <w:rsid w:val="00D73A2F"/>
    <w:rsid w:val="00D73D02"/>
    <w:rsid w:val="00D74708"/>
    <w:rsid w:val="00D74C9A"/>
    <w:rsid w:val="00D7741B"/>
    <w:rsid w:val="00D77B97"/>
    <w:rsid w:val="00D802F4"/>
    <w:rsid w:val="00D808E1"/>
    <w:rsid w:val="00D82245"/>
    <w:rsid w:val="00D833BF"/>
    <w:rsid w:val="00D833C6"/>
    <w:rsid w:val="00D833F4"/>
    <w:rsid w:val="00D834FE"/>
    <w:rsid w:val="00D83BDA"/>
    <w:rsid w:val="00D842A7"/>
    <w:rsid w:val="00D84FCB"/>
    <w:rsid w:val="00D855C2"/>
    <w:rsid w:val="00D863DC"/>
    <w:rsid w:val="00D8728F"/>
    <w:rsid w:val="00D8749C"/>
    <w:rsid w:val="00D90129"/>
    <w:rsid w:val="00D91491"/>
    <w:rsid w:val="00D9288D"/>
    <w:rsid w:val="00D939AD"/>
    <w:rsid w:val="00D93B74"/>
    <w:rsid w:val="00D93D58"/>
    <w:rsid w:val="00D9476F"/>
    <w:rsid w:val="00D96E49"/>
    <w:rsid w:val="00D971D8"/>
    <w:rsid w:val="00D97908"/>
    <w:rsid w:val="00DA101E"/>
    <w:rsid w:val="00DA158F"/>
    <w:rsid w:val="00DA1701"/>
    <w:rsid w:val="00DA17C2"/>
    <w:rsid w:val="00DA1C90"/>
    <w:rsid w:val="00DA1D6A"/>
    <w:rsid w:val="00DA1E6A"/>
    <w:rsid w:val="00DA33E3"/>
    <w:rsid w:val="00DA34D4"/>
    <w:rsid w:val="00DA3C95"/>
    <w:rsid w:val="00DA3F87"/>
    <w:rsid w:val="00DA477C"/>
    <w:rsid w:val="00DA49A1"/>
    <w:rsid w:val="00DA518A"/>
    <w:rsid w:val="00DA5337"/>
    <w:rsid w:val="00DA56F1"/>
    <w:rsid w:val="00DA5A71"/>
    <w:rsid w:val="00DA6686"/>
    <w:rsid w:val="00DA6D3B"/>
    <w:rsid w:val="00DA7898"/>
    <w:rsid w:val="00DB079A"/>
    <w:rsid w:val="00DB113E"/>
    <w:rsid w:val="00DB1F46"/>
    <w:rsid w:val="00DB24CB"/>
    <w:rsid w:val="00DB2E27"/>
    <w:rsid w:val="00DB315D"/>
    <w:rsid w:val="00DB3BD9"/>
    <w:rsid w:val="00DB50F1"/>
    <w:rsid w:val="00DB592B"/>
    <w:rsid w:val="00DB6F28"/>
    <w:rsid w:val="00DB7320"/>
    <w:rsid w:val="00DC14FC"/>
    <w:rsid w:val="00DC2224"/>
    <w:rsid w:val="00DC24C7"/>
    <w:rsid w:val="00DC28F3"/>
    <w:rsid w:val="00DC3383"/>
    <w:rsid w:val="00DC3789"/>
    <w:rsid w:val="00DC423D"/>
    <w:rsid w:val="00DC4557"/>
    <w:rsid w:val="00DC4A29"/>
    <w:rsid w:val="00DC59CF"/>
    <w:rsid w:val="00DC62E0"/>
    <w:rsid w:val="00DC6BBE"/>
    <w:rsid w:val="00DC74CC"/>
    <w:rsid w:val="00DC7889"/>
    <w:rsid w:val="00DD03D0"/>
    <w:rsid w:val="00DD086C"/>
    <w:rsid w:val="00DD26D1"/>
    <w:rsid w:val="00DD367B"/>
    <w:rsid w:val="00DD4BEC"/>
    <w:rsid w:val="00DD7912"/>
    <w:rsid w:val="00DE0874"/>
    <w:rsid w:val="00DE1555"/>
    <w:rsid w:val="00DE1C43"/>
    <w:rsid w:val="00DE2319"/>
    <w:rsid w:val="00DE2D1C"/>
    <w:rsid w:val="00DE36FD"/>
    <w:rsid w:val="00DE38A1"/>
    <w:rsid w:val="00DE3C95"/>
    <w:rsid w:val="00DE4095"/>
    <w:rsid w:val="00DE4320"/>
    <w:rsid w:val="00DE59B5"/>
    <w:rsid w:val="00DE6BCC"/>
    <w:rsid w:val="00DE71FC"/>
    <w:rsid w:val="00DE7742"/>
    <w:rsid w:val="00DF063F"/>
    <w:rsid w:val="00DF0AC7"/>
    <w:rsid w:val="00DF1F2D"/>
    <w:rsid w:val="00DF3A3E"/>
    <w:rsid w:val="00DF417C"/>
    <w:rsid w:val="00DF467C"/>
    <w:rsid w:val="00DF52B5"/>
    <w:rsid w:val="00DF5771"/>
    <w:rsid w:val="00DF61F6"/>
    <w:rsid w:val="00DF696C"/>
    <w:rsid w:val="00DF709A"/>
    <w:rsid w:val="00E01C13"/>
    <w:rsid w:val="00E01E27"/>
    <w:rsid w:val="00E032DA"/>
    <w:rsid w:val="00E03941"/>
    <w:rsid w:val="00E03B68"/>
    <w:rsid w:val="00E05FB9"/>
    <w:rsid w:val="00E06133"/>
    <w:rsid w:val="00E06B62"/>
    <w:rsid w:val="00E06BB2"/>
    <w:rsid w:val="00E06D4F"/>
    <w:rsid w:val="00E070B4"/>
    <w:rsid w:val="00E07734"/>
    <w:rsid w:val="00E10B6C"/>
    <w:rsid w:val="00E11458"/>
    <w:rsid w:val="00E131C8"/>
    <w:rsid w:val="00E13A7E"/>
    <w:rsid w:val="00E14D09"/>
    <w:rsid w:val="00E15EB4"/>
    <w:rsid w:val="00E164F6"/>
    <w:rsid w:val="00E168BD"/>
    <w:rsid w:val="00E16B30"/>
    <w:rsid w:val="00E174A5"/>
    <w:rsid w:val="00E17EE5"/>
    <w:rsid w:val="00E2028A"/>
    <w:rsid w:val="00E20526"/>
    <w:rsid w:val="00E20AFB"/>
    <w:rsid w:val="00E21ACE"/>
    <w:rsid w:val="00E23A26"/>
    <w:rsid w:val="00E243FC"/>
    <w:rsid w:val="00E24A00"/>
    <w:rsid w:val="00E24BF0"/>
    <w:rsid w:val="00E25433"/>
    <w:rsid w:val="00E27037"/>
    <w:rsid w:val="00E27233"/>
    <w:rsid w:val="00E275F1"/>
    <w:rsid w:val="00E31058"/>
    <w:rsid w:val="00E31DCD"/>
    <w:rsid w:val="00E31F2C"/>
    <w:rsid w:val="00E320A9"/>
    <w:rsid w:val="00E3263C"/>
    <w:rsid w:val="00E3340E"/>
    <w:rsid w:val="00E33649"/>
    <w:rsid w:val="00E33D61"/>
    <w:rsid w:val="00E33D69"/>
    <w:rsid w:val="00E33E32"/>
    <w:rsid w:val="00E3414A"/>
    <w:rsid w:val="00E3414B"/>
    <w:rsid w:val="00E353DF"/>
    <w:rsid w:val="00E354EC"/>
    <w:rsid w:val="00E36118"/>
    <w:rsid w:val="00E36E5B"/>
    <w:rsid w:val="00E37837"/>
    <w:rsid w:val="00E403CE"/>
    <w:rsid w:val="00E40C6F"/>
    <w:rsid w:val="00E40FD7"/>
    <w:rsid w:val="00E41622"/>
    <w:rsid w:val="00E423C4"/>
    <w:rsid w:val="00E4287F"/>
    <w:rsid w:val="00E42D2D"/>
    <w:rsid w:val="00E42F1C"/>
    <w:rsid w:val="00E4463D"/>
    <w:rsid w:val="00E4564E"/>
    <w:rsid w:val="00E45ABD"/>
    <w:rsid w:val="00E45D85"/>
    <w:rsid w:val="00E46365"/>
    <w:rsid w:val="00E466B3"/>
    <w:rsid w:val="00E472A1"/>
    <w:rsid w:val="00E47320"/>
    <w:rsid w:val="00E507A6"/>
    <w:rsid w:val="00E50CE9"/>
    <w:rsid w:val="00E50DA8"/>
    <w:rsid w:val="00E52F66"/>
    <w:rsid w:val="00E5314A"/>
    <w:rsid w:val="00E5385F"/>
    <w:rsid w:val="00E538C4"/>
    <w:rsid w:val="00E544A5"/>
    <w:rsid w:val="00E546B9"/>
    <w:rsid w:val="00E548EA"/>
    <w:rsid w:val="00E54B5A"/>
    <w:rsid w:val="00E55019"/>
    <w:rsid w:val="00E5545A"/>
    <w:rsid w:val="00E557B7"/>
    <w:rsid w:val="00E55A8A"/>
    <w:rsid w:val="00E55F52"/>
    <w:rsid w:val="00E56D64"/>
    <w:rsid w:val="00E56EED"/>
    <w:rsid w:val="00E57142"/>
    <w:rsid w:val="00E5737A"/>
    <w:rsid w:val="00E57A4F"/>
    <w:rsid w:val="00E57CC3"/>
    <w:rsid w:val="00E57E39"/>
    <w:rsid w:val="00E61340"/>
    <w:rsid w:val="00E6180A"/>
    <w:rsid w:val="00E61B3C"/>
    <w:rsid w:val="00E63426"/>
    <w:rsid w:val="00E6393D"/>
    <w:rsid w:val="00E65184"/>
    <w:rsid w:val="00E653EF"/>
    <w:rsid w:val="00E65FBD"/>
    <w:rsid w:val="00E66EB2"/>
    <w:rsid w:val="00E66FD6"/>
    <w:rsid w:val="00E67C92"/>
    <w:rsid w:val="00E67DF2"/>
    <w:rsid w:val="00E706CF"/>
    <w:rsid w:val="00E70CD3"/>
    <w:rsid w:val="00E70E3B"/>
    <w:rsid w:val="00E70FE3"/>
    <w:rsid w:val="00E711CC"/>
    <w:rsid w:val="00E732A5"/>
    <w:rsid w:val="00E73F10"/>
    <w:rsid w:val="00E745BF"/>
    <w:rsid w:val="00E748A7"/>
    <w:rsid w:val="00E748DB"/>
    <w:rsid w:val="00E75202"/>
    <w:rsid w:val="00E75F0D"/>
    <w:rsid w:val="00E779A0"/>
    <w:rsid w:val="00E77F88"/>
    <w:rsid w:val="00E80756"/>
    <w:rsid w:val="00E80AFD"/>
    <w:rsid w:val="00E81043"/>
    <w:rsid w:val="00E81059"/>
    <w:rsid w:val="00E812B4"/>
    <w:rsid w:val="00E812B8"/>
    <w:rsid w:val="00E81388"/>
    <w:rsid w:val="00E81D17"/>
    <w:rsid w:val="00E82913"/>
    <w:rsid w:val="00E82A1F"/>
    <w:rsid w:val="00E83470"/>
    <w:rsid w:val="00E8418C"/>
    <w:rsid w:val="00E8469A"/>
    <w:rsid w:val="00E84713"/>
    <w:rsid w:val="00E85FD5"/>
    <w:rsid w:val="00E86805"/>
    <w:rsid w:val="00E87551"/>
    <w:rsid w:val="00E87EB1"/>
    <w:rsid w:val="00E87EE8"/>
    <w:rsid w:val="00E91AFF"/>
    <w:rsid w:val="00E91B48"/>
    <w:rsid w:val="00E91DF6"/>
    <w:rsid w:val="00E921C3"/>
    <w:rsid w:val="00E9264C"/>
    <w:rsid w:val="00E92907"/>
    <w:rsid w:val="00E92A2F"/>
    <w:rsid w:val="00E92F96"/>
    <w:rsid w:val="00E9310D"/>
    <w:rsid w:val="00E94199"/>
    <w:rsid w:val="00E94E64"/>
    <w:rsid w:val="00E967CA"/>
    <w:rsid w:val="00E96FA5"/>
    <w:rsid w:val="00E97541"/>
    <w:rsid w:val="00E9785C"/>
    <w:rsid w:val="00EA0162"/>
    <w:rsid w:val="00EA03FB"/>
    <w:rsid w:val="00EA104B"/>
    <w:rsid w:val="00EA241F"/>
    <w:rsid w:val="00EA3D46"/>
    <w:rsid w:val="00EA5280"/>
    <w:rsid w:val="00EA5835"/>
    <w:rsid w:val="00EA616D"/>
    <w:rsid w:val="00EA6B19"/>
    <w:rsid w:val="00EA75BE"/>
    <w:rsid w:val="00EA7BF1"/>
    <w:rsid w:val="00EA7DC3"/>
    <w:rsid w:val="00EB079D"/>
    <w:rsid w:val="00EB0964"/>
    <w:rsid w:val="00EB0DF7"/>
    <w:rsid w:val="00EB1155"/>
    <w:rsid w:val="00EB133A"/>
    <w:rsid w:val="00EB1870"/>
    <w:rsid w:val="00EB1A96"/>
    <w:rsid w:val="00EB1C63"/>
    <w:rsid w:val="00EB1F53"/>
    <w:rsid w:val="00EB2CAC"/>
    <w:rsid w:val="00EB3C75"/>
    <w:rsid w:val="00EB3CCF"/>
    <w:rsid w:val="00EB3D4E"/>
    <w:rsid w:val="00EB46C7"/>
    <w:rsid w:val="00EB53A2"/>
    <w:rsid w:val="00EB5433"/>
    <w:rsid w:val="00EB57A4"/>
    <w:rsid w:val="00EB5A1D"/>
    <w:rsid w:val="00EB67C7"/>
    <w:rsid w:val="00EB6824"/>
    <w:rsid w:val="00EB6CF9"/>
    <w:rsid w:val="00EB718E"/>
    <w:rsid w:val="00EC01AA"/>
    <w:rsid w:val="00EC0BF6"/>
    <w:rsid w:val="00EC143A"/>
    <w:rsid w:val="00EC159F"/>
    <w:rsid w:val="00EC173A"/>
    <w:rsid w:val="00EC193F"/>
    <w:rsid w:val="00EC22D4"/>
    <w:rsid w:val="00EC23B8"/>
    <w:rsid w:val="00EC2546"/>
    <w:rsid w:val="00EC3F2F"/>
    <w:rsid w:val="00EC4EFB"/>
    <w:rsid w:val="00EC57F5"/>
    <w:rsid w:val="00EC6FF1"/>
    <w:rsid w:val="00EC7AB4"/>
    <w:rsid w:val="00ED0260"/>
    <w:rsid w:val="00ED08ED"/>
    <w:rsid w:val="00ED25B0"/>
    <w:rsid w:val="00ED2CC6"/>
    <w:rsid w:val="00ED3180"/>
    <w:rsid w:val="00ED31C2"/>
    <w:rsid w:val="00ED3ACC"/>
    <w:rsid w:val="00ED3C3C"/>
    <w:rsid w:val="00ED41B0"/>
    <w:rsid w:val="00ED45D1"/>
    <w:rsid w:val="00ED5DDE"/>
    <w:rsid w:val="00ED5F39"/>
    <w:rsid w:val="00ED5FF0"/>
    <w:rsid w:val="00ED630C"/>
    <w:rsid w:val="00ED64CA"/>
    <w:rsid w:val="00ED7AFF"/>
    <w:rsid w:val="00ED7BF6"/>
    <w:rsid w:val="00EE2071"/>
    <w:rsid w:val="00EE2D67"/>
    <w:rsid w:val="00EE2E1F"/>
    <w:rsid w:val="00EE3ADF"/>
    <w:rsid w:val="00EE4DC7"/>
    <w:rsid w:val="00EE5152"/>
    <w:rsid w:val="00EE5731"/>
    <w:rsid w:val="00EE59E6"/>
    <w:rsid w:val="00EE728A"/>
    <w:rsid w:val="00EE7D8B"/>
    <w:rsid w:val="00EF0A82"/>
    <w:rsid w:val="00EF0C4F"/>
    <w:rsid w:val="00EF0E75"/>
    <w:rsid w:val="00EF30FA"/>
    <w:rsid w:val="00EF3877"/>
    <w:rsid w:val="00EF393E"/>
    <w:rsid w:val="00EF44B1"/>
    <w:rsid w:val="00EF45B5"/>
    <w:rsid w:val="00EF4956"/>
    <w:rsid w:val="00EF4AAB"/>
    <w:rsid w:val="00EF55C6"/>
    <w:rsid w:val="00EF5790"/>
    <w:rsid w:val="00EF5825"/>
    <w:rsid w:val="00EF612A"/>
    <w:rsid w:val="00EF6667"/>
    <w:rsid w:val="00EF6928"/>
    <w:rsid w:val="00F0010B"/>
    <w:rsid w:val="00F00A40"/>
    <w:rsid w:val="00F00F28"/>
    <w:rsid w:val="00F0189A"/>
    <w:rsid w:val="00F01F96"/>
    <w:rsid w:val="00F0284B"/>
    <w:rsid w:val="00F032C9"/>
    <w:rsid w:val="00F036E0"/>
    <w:rsid w:val="00F04872"/>
    <w:rsid w:val="00F04A4B"/>
    <w:rsid w:val="00F04C7E"/>
    <w:rsid w:val="00F05557"/>
    <w:rsid w:val="00F05759"/>
    <w:rsid w:val="00F06FA3"/>
    <w:rsid w:val="00F10647"/>
    <w:rsid w:val="00F10ED3"/>
    <w:rsid w:val="00F111FB"/>
    <w:rsid w:val="00F129CD"/>
    <w:rsid w:val="00F12ACF"/>
    <w:rsid w:val="00F13E77"/>
    <w:rsid w:val="00F13FBE"/>
    <w:rsid w:val="00F143C0"/>
    <w:rsid w:val="00F14B7E"/>
    <w:rsid w:val="00F14EFD"/>
    <w:rsid w:val="00F15308"/>
    <w:rsid w:val="00F15E4E"/>
    <w:rsid w:val="00F16125"/>
    <w:rsid w:val="00F161D0"/>
    <w:rsid w:val="00F16D18"/>
    <w:rsid w:val="00F1729D"/>
    <w:rsid w:val="00F177D6"/>
    <w:rsid w:val="00F17936"/>
    <w:rsid w:val="00F17FA0"/>
    <w:rsid w:val="00F2048F"/>
    <w:rsid w:val="00F208B8"/>
    <w:rsid w:val="00F20DE6"/>
    <w:rsid w:val="00F21677"/>
    <w:rsid w:val="00F2182D"/>
    <w:rsid w:val="00F21924"/>
    <w:rsid w:val="00F21A2A"/>
    <w:rsid w:val="00F220E2"/>
    <w:rsid w:val="00F22141"/>
    <w:rsid w:val="00F22812"/>
    <w:rsid w:val="00F22F21"/>
    <w:rsid w:val="00F23453"/>
    <w:rsid w:val="00F247EE"/>
    <w:rsid w:val="00F24855"/>
    <w:rsid w:val="00F24DA3"/>
    <w:rsid w:val="00F24F1C"/>
    <w:rsid w:val="00F257B7"/>
    <w:rsid w:val="00F260CB"/>
    <w:rsid w:val="00F264F4"/>
    <w:rsid w:val="00F2685D"/>
    <w:rsid w:val="00F26DEF"/>
    <w:rsid w:val="00F26F67"/>
    <w:rsid w:val="00F27640"/>
    <w:rsid w:val="00F27AC4"/>
    <w:rsid w:val="00F27CAB"/>
    <w:rsid w:val="00F3157B"/>
    <w:rsid w:val="00F31B67"/>
    <w:rsid w:val="00F31F57"/>
    <w:rsid w:val="00F324CA"/>
    <w:rsid w:val="00F32916"/>
    <w:rsid w:val="00F32CF1"/>
    <w:rsid w:val="00F32D59"/>
    <w:rsid w:val="00F330C7"/>
    <w:rsid w:val="00F33A65"/>
    <w:rsid w:val="00F33E7A"/>
    <w:rsid w:val="00F348EC"/>
    <w:rsid w:val="00F34A6F"/>
    <w:rsid w:val="00F34F51"/>
    <w:rsid w:val="00F352C7"/>
    <w:rsid w:val="00F352C9"/>
    <w:rsid w:val="00F355BF"/>
    <w:rsid w:val="00F359D5"/>
    <w:rsid w:val="00F378DC"/>
    <w:rsid w:val="00F401F3"/>
    <w:rsid w:val="00F40A20"/>
    <w:rsid w:val="00F42075"/>
    <w:rsid w:val="00F4218B"/>
    <w:rsid w:val="00F42B1F"/>
    <w:rsid w:val="00F431EC"/>
    <w:rsid w:val="00F43486"/>
    <w:rsid w:val="00F445B1"/>
    <w:rsid w:val="00F447F7"/>
    <w:rsid w:val="00F44852"/>
    <w:rsid w:val="00F44B2D"/>
    <w:rsid w:val="00F4605A"/>
    <w:rsid w:val="00F46888"/>
    <w:rsid w:val="00F4742A"/>
    <w:rsid w:val="00F47F9D"/>
    <w:rsid w:val="00F50065"/>
    <w:rsid w:val="00F517C7"/>
    <w:rsid w:val="00F51939"/>
    <w:rsid w:val="00F51C0D"/>
    <w:rsid w:val="00F52FF5"/>
    <w:rsid w:val="00F53073"/>
    <w:rsid w:val="00F54045"/>
    <w:rsid w:val="00F542BF"/>
    <w:rsid w:val="00F54430"/>
    <w:rsid w:val="00F54AE6"/>
    <w:rsid w:val="00F5501D"/>
    <w:rsid w:val="00F5728B"/>
    <w:rsid w:val="00F5767B"/>
    <w:rsid w:val="00F57A1C"/>
    <w:rsid w:val="00F57BBD"/>
    <w:rsid w:val="00F601F0"/>
    <w:rsid w:val="00F603E5"/>
    <w:rsid w:val="00F604BC"/>
    <w:rsid w:val="00F606FF"/>
    <w:rsid w:val="00F61FDB"/>
    <w:rsid w:val="00F63AE9"/>
    <w:rsid w:val="00F63CE7"/>
    <w:rsid w:val="00F640B4"/>
    <w:rsid w:val="00F6466E"/>
    <w:rsid w:val="00F65226"/>
    <w:rsid w:val="00F65B9A"/>
    <w:rsid w:val="00F65EFE"/>
    <w:rsid w:val="00F661B2"/>
    <w:rsid w:val="00F66B74"/>
    <w:rsid w:val="00F707D8"/>
    <w:rsid w:val="00F70A4F"/>
    <w:rsid w:val="00F7224F"/>
    <w:rsid w:val="00F726E1"/>
    <w:rsid w:val="00F72ACE"/>
    <w:rsid w:val="00F72BD7"/>
    <w:rsid w:val="00F72C5A"/>
    <w:rsid w:val="00F74212"/>
    <w:rsid w:val="00F752BB"/>
    <w:rsid w:val="00F756AB"/>
    <w:rsid w:val="00F7571C"/>
    <w:rsid w:val="00F75887"/>
    <w:rsid w:val="00F75988"/>
    <w:rsid w:val="00F75A70"/>
    <w:rsid w:val="00F77B20"/>
    <w:rsid w:val="00F77C23"/>
    <w:rsid w:val="00F77E3E"/>
    <w:rsid w:val="00F8024C"/>
    <w:rsid w:val="00F80548"/>
    <w:rsid w:val="00F80E59"/>
    <w:rsid w:val="00F811CB"/>
    <w:rsid w:val="00F814D0"/>
    <w:rsid w:val="00F81D5F"/>
    <w:rsid w:val="00F82B9C"/>
    <w:rsid w:val="00F82F9A"/>
    <w:rsid w:val="00F83CA0"/>
    <w:rsid w:val="00F842B3"/>
    <w:rsid w:val="00F842B4"/>
    <w:rsid w:val="00F8478F"/>
    <w:rsid w:val="00F85686"/>
    <w:rsid w:val="00F86023"/>
    <w:rsid w:val="00F86446"/>
    <w:rsid w:val="00F86F36"/>
    <w:rsid w:val="00F915FD"/>
    <w:rsid w:val="00F91BEC"/>
    <w:rsid w:val="00F9251A"/>
    <w:rsid w:val="00F93DB8"/>
    <w:rsid w:val="00F94645"/>
    <w:rsid w:val="00F95F4F"/>
    <w:rsid w:val="00F96315"/>
    <w:rsid w:val="00F9768F"/>
    <w:rsid w:val="00F9769A"/>
    <w:rsid w:val="00FA02E8"/>
    <w:rsid w:val="00FA0FA9"/>
    <w:rsid w:val="00FA1689"/>
    <w:rsid w:val="00FA1EBE"/>
    <w:rsid w:val="00FA253F"/>
    <w:rsid w:val="00FA25F9"/>
    <w:rsid w:val="00FA3BAA"/>
    <w:rsid w:val="00FA4929"/>
    <w:rsid w:val="00FA4944"/>
    <w:rsid w:val="00FA4D05"/>
    <w:rsid w:val="00FA503A"/>
    <w:rsid w:val="00FA512D"/>
    <w:rsid w:val="00FA522E"/>
    <w:rsid w:val="00FA5D72"/>
    <w:rsid w:val="00FA6354"/>
    <w:rsid w:val="00FA68F6"/>
    <w:rsid w:val="00FA69B2"/>
    <w:rsid w:val="00FA6A1E"/>
    <w:rsid w:val="00FA6B66"/>
    <w:rsid w:val="00FA6E00"/>
    <w:rsid w:val="00FA706D"/>
    <w:rsid w:val="00FB04CD"/>
    <w:rsid w:val="00FB0E82"/>
    <w:rsid w:val="00FB2575"/>
    <w:rsid w:val="00FB2673"/>
    <w:rsid w:val="00FB370F"/>
    <w:rsid w:val="00FB4AE0"/>
    <w:rsid w:val="00FB5140"/>
    <w:rsid w:val="00FB673A"/>
    <w:rsid w:val="00FB70F8"/>
    <w:rsid w:val="00FB73B4"/>
    <w:rsid w:val="00FB7875"/>
    <w:rsid w:val="00FC09DE"/>
    <w:rsid w:val="00FC11B8"/>
    <w:rsid w:val="00FC1B36"/>
    <w:rsid w:val="00FC2A43"/>
    <w:rsid w:val="00FC3115"/>
    <w:rsid w:val="00FC32AA"/>
    <w:rsid w:val="00FC34CC"/>
    <w:rsid w:val="00FC389B"/>
    <w:rsid w:val="00FC4423"/>
    <w:rsid w:val="00FC48A5"/>
    <w:rsid w:val="00FC58FA"/>
    <w:rsid w:val="00FD02FB"/>
    <w:rsid w:val="00FD06E1"/>
    <w:rsid w:val="00FD18E6"/>
    <w:rsid w:val="00FD24F4"/>
    <w:rsid w:val="00FD30B9"/>
    <w:rsid w:val="00FD35F8"/>
    <w:rsid w:val="00FD382A"/>
    <w:rsid w:val="00FD3836"/>
    <w:rsid w:val="00FD4021"/>
    <w:rsid w:val="00FD5950"/>
    <w:rsid w:val="00FD6316"/>
    <w:rsid w:val="00FD6898"/>
    <w:rsid w:val="00FD6DD4"/>
    <w:rsid w:val="00FD6E04"/>
    <w:rsid w:val="00FD76B5"/>
    <w:rsid w:val="00FE1985"/>
    <w:rsid w:val="00FE232D"/>
    <w:rsid w:val="00FE2448"/>
    <w:rsid w:val="00FE262D"/>
    <w:rsid w:val="00FE3524"/>
    <w:rsid w:val="00FE3807"/>
    <w:rsid w:val="00FE3B7A"/>
    <w:rsid w:val="00FE40C6"/>
    <w:rsid w:val="00FE4A56"/>
    <w:rsid w:val="00FE69F4"/>
    <w:rsid w:val="00FE7252"/>
    <w:rsid w:val="00FE75CB"/>
    <w:rsid w:val="00FF057A"/>
    <w:rsid w:val="00FF1412"/>
    <w:rsid w:val="00FF150B"/>
    <w:rsid w:val="00FF1962"/>
    <w:rsid w:val="00FF1CFD"/>
    <w:rsid w:val="00FF29D4"/>
    <w:rsid w:val="00FF369D"/>
    <w:rsid w:val="00FF3961"/>
    <w:rsid w:val="00FF56B8"/>
    <w:rsid w:val="00FF5965"/>
    <w:rsid w:val="00FF5C14"/>
    <w:rsid w:val="00FF5EA8"/>
    <w:rsid w:val="00FF6B54"/>
    <w:rsid w:val="00FF6F41"/>
    <w:rsid w:val="00FF772E"/>
    <w:rsid w:val="00FF7A36"/>
    <w:rsid w:val="00FF7CBB"/>
    <w:rsid w:val="00FF7ED4"/>
    <w:rsid w:val="01372215"/>
    <w:rsid w:val="015772A4"/>
    <w:rsid w:val="01783167"/>
    <w:rsid w:val="02F01EF2"/>
    <w:rsid w:val="042A04E9"/>
    <w:rsid w:val="04A66578"/>
    <w:rsid w:val="04E349A4"/>
    <w:rsid w:val="04E62DDC"/>
    <w:rsid w:val="05014074"/>
    <w:rsid w:val="05094191"/>
    <w:rsid w:val="05A91B29"/>
    <w:rsid w:val="05EF5B11"/>
    <w:rsid w:val="06113C04"/>
    <w:rsid w:val="07AB54C1"/>
    <w:rsid w:val="080F08D8"/>
    <w:rsid w:val="0825634E"/>
    <w:rsid w:val="08487BA6"/>
    <w:rsid w:val="08760957"/>
    <w:rsid w:val="0882554E"/>
    <w:rsid w:val="08AD6041"/>
    <w:rsid w:val="09346EBA"/>
    <w:rsid w:val="096D0D44"/>
    <w:rsid w:val="0A013630"/>
    <w:rsid w:val="0A2F0D93"/>
    <w:rsid w:val="0A632019"/>
    <w:rsid w:val="0A6448BB"/>
    <w:rsid w:val="0A720890"/>
    <w:rsid w:val="0B0E20E8"/>
    <w:rsid w:val="0B111CD6"/>
    <w:rsid w:val="0B2226D0"/>
    <w:rsid w:val="0B626ACC"/>
    <w:rsid w:val="0B9D10C2"/>
    <w:rsid w:val="0C496C30"/>
    <w:rsid w:val="0CC21526"/>
    <w:rsid w:val="0CFC6585"/>
    <w:rsid w:val="0DD001DA"/>
    <w:rsid w:val="0DE842FD"/>
    <w:rsid w:val="0DF97B10"/>
    <w:rsid w:val="0E270D77"/>
    <w:rsid w:val="0E3E02F8"/>
    <w:rsid w:val="0E3F0DDD"/>
    <w:rsid w:val="0E720F2C"/>
    <w:rsid w:val="0E971912"/>
    <w:rsid w:val="0EA27370"/>
    <w:rsid w:val="0EE66C01"/>
    <w:rsid w:val="0EF43235"/>
    <w:rsid w:val="0F166D2F"/>
    <w:rsid w:val="10317975"/>
    <w:rsid w:val="10563548"/>
    <w:rsid w:val="10622769"/>
    <w:rsid w:val="10664F2C"/>
    <w:rsid w:val="10B60D4A"/>
    <w:rsid w:val="10DF3212"/>
    <w:rsid w:val="115F3E66"/>
    <w:rsid w:val="1305279E"/>
    <w:rsid w:val="1307685B"/>
    <w:rsid w:val="138D2581"/>
    <w:rsid w:val="13E44797"/>
    <w:rsid w:val="13EC183D"/>
    <w:rsid w:val="143C56D0"/>
    <w:rsid w:val="15471F0C"/>
    <w:rsid w:val="15952400"/>
    <w:rsid w:val="15B142EC"/>
    <w:rsid w:val="15C66F1B"/>
    <w:rsid w:val="16165671"/>
    <w:rsid w:val="174D4F79"/>
    <w:rsid w:val="179F5A5A"/>
    <w:rsid w:val="17AF62C3"/>
    <w:rsid w:val="17E256C1"/>
    <w:rsid w:val="18950A85"/>
    <w:rsid w:val="18A63B14"/>
    <w:rsid w:val="18C43019"/>
    <w:rsid w:val="193E0A24"/>
    <w:rsid w:val="19870ADC"/>
    <w:rsid w:val="19A04D0D"/>
    <w:rsid w:val="19DD3CB7"/>
    <w:rsid w:val="1A640958"/>
    <w:rsid w:val="1AED2B7E"/>
    <w:rsid w:val="1B0131B8"/>
    <w:rsid w:val="1B097C5F"/>
    <w:rsid w:val="1B4139A9"/>
    <w:rsid w:val="1C623275"/>
    <w:rsid w:val="1C66139A"/>
    <w:rsid w:val="1CD443E4"/>
    <w:rsid w:val="1DEF6D8A"/>
    <w:rsid w:val="1ECC2C27"/>
    <w:rsid w:val="1EEE4E9F"/>
    <w:rsid w:val="1F244811"/>
    <w:rsid w:val="1F415AF5"/>
    <w:rsid w:val="1F5B7636"/>
    <w:rsid w:val="1F66248D"/>
    <w:rsid w:val="1FEA1D56"/>
    <w:rsid w:val="1FF80278"/>
    <w:rsid w:val="20086CC5"/>
    <w:rsid w:val="200D34F7"/>
    <w:rsid w:val="20131FD6"/>
    <w:rsid w:val="201E5E9B"/>
    <w:rsid w:val="20755F95"/>
    <w:rsid w:val="210944F0"/>
    <w:rsid w:val="21246D4B"/>
    <w:rsid w:val="21A8172A"/>
    <w:rsid w:val="21BD34CE"/>
    <w:rsid w:val="21C70A3B"/>
    <w:rsid w:val="2288544B"/>
    <w:rsid w:val="22FA3FFA"/>
    <w:rsid w:val="23DA4B7E"/>
    <w:rsid w:val="24935B7E"/>
    <w:rsid w:val="250C6C2C"/>
    <w:rsid w:val="253912B6"/>
    <w:rsid w:val="25501C64"/>
    <w:rsid w:val="25E036DD"/>
    <w:rsid w:val="262670C1"/>
    <w:rsid w:val="268629D8"/>
    <w:rsid w:val="26BF044F"/>
    <w:rsid w:val="27491812"/>
    <w:rsid w:val="27B43BB6"/>
    <w:rsid w:val="27FE5BF3"/>
    <w:rsid w:val="28C24757"/>
    <w:rsid w:val="292D2EFA"/>
    <w:rsid w:val="2972021C"/>
    <w:rsid w:val="29AA0009"/>
    <w:rsid w:val="29AF73CD"/>
    <w:rsid w:val="2A6B6BA2"/>
    <w:rsid w:val="2A994849"/>
    <w:rsid w:val="2B543549"/>
    <w:rsid w:val="2B5E5A4F"/>
    <w:rsid w:val="2B7A5FE6"/>
    <w:rsid w:val="2B857DCC"/>
    <w:rsid w:val="2B965856"/>
    <w:rsid w:val="2BED116C"/>
    <w:rsid w:val="2C3F00A2"/>
    <w:rsid w:val="2C8323DE"/>
    <w:rsid w:val="2CDD1A6F"/>
    <w:rsid w:val="2D225DDD"/>
    <w:rsid w:val="2DCB064D"/>
    <w:rsid w:val="2DF02CA4"/>
    <w:rsid w:val="2E3B54B4"/>
    <w:rsid w:val="2EB46A87"/>
    <w:rsid w:val="2F076D6D"/>
    <w:rsid w:val="2F47624F"/>
    <w:rsid w:val="2F6D7A9C"/>
    <w:rsid w:val="2FFC5BCE"/>
    <w:rsid w:val="302F14C5"/>
    <w:rsid w:val="30CE282F"/>
    <w:rsid w:val="30E67F73"/>
    <w:rsid w:val="3101120A"/>
    <w:rsid w:val="31307046"/>
    <w:rsid w:val="318D4498"/>
    <w:rsid w:val="319E65FF"/>
    <w:rsid w:val="31A712B0"/>
    <w:rsid w:val="31A95994"/>
    <w:rsid w:val="31ED117F"/>
    <w:rsid w:val="321150C9"/>
    <w:rsid w:val="3231295E"/>
    <w:rsid w:val="328D2734"/>
    <w:rsid w:val="332D5F33"/>
    <w:rsid w:val="335B10C0"/>
    <w:rsid w:val="34336E0E"/>
    <w:rsid w:val="344F012B"/>
    <w:rsid w:val="34AF4409"/>
    <w:rsid w:val="353F509E"/>
    <w:rsid w:val="358D6E2F"/>
    <w:rsid w:val="35A6695C"/>
    <w:rsid w:val="35C66542"/>
    <w:rsid w:val="36854416"/>
    <w:rsid w:val="3689717C"/>
    <w:rsid w:val="3715412E"/>
    <w:rsid w:val="376E2CDC"/>
    <w:rsid w:val="37A641F3"/>
    <w:rsid w:val="37EC6568"/>
    <w:rsid w:val="38245961"/>
    <w:rsid w:val="39462EC2"/>
    <w:rsid w:val="394F2035"/>
    <w:rsid w:val="39AB1F7E"/>
    <w:rsid w:val="3A233C7E"/>
    <w:rsid w:val="3A37038B"/>
    <w:rsid w:val="3A804B9A"/>
    <w:rsid w:val="3AF47E43"/>
    <w:rsid w:val="3B2F50B0"/>
    <w:rsid w:val="3B5C668C"/>
    <w:rsid w:val="3BAE110E"/>
    <w:rsid w:val="3C4C41C6"/>
    <w:rsid w:val="3C897884"/>
    <w:rsid w:val="3CD243F0"/>
    <w:rsid w:val="3CEE0BAF"/>
    <w:rsid w:val="3CF06090"/>
    <w:rsid w:val="3D7B5BF4"/>
    <w:rsid w:val="3DB655D9"/>
    <w:rsid w:val="3DD74B6D"/>
    <w:rsid w:val="3E5C5D8A"/>
    <w:rsid w:val="3EAA48DB"/>
    <w:rsid w:val="3F732F1F"/>
    <w:rsid w:val="3FD83EB6"/>
    <w:rsid w:val="3FDC113A"/>
    <w:rsid w:val="3FF71729"/>
    <w:rsid w:val="40251F0E"/>
    <w:rsid w:val="408D64EC"/>
    <w:rsid w:val="409F1707"/>
    <w:rsid w:val="4101455B"/>
    <w:rsid w:val="41445CFB"/>
    <w:rsid w:val="41920B1D"/>
    <w:rsid w:val="41BC0943"/>
    <w:rsid w:val="4200558F"/>
    <w:rsid w:val="421502BE"/>
    <w:rsid w:val="422959BE"/>
    <w:rsid w:val="42762246"/>
    <w:rsid w:val="42D379F2"/>
    <w:rsid w:val="43367785"/>
    <w:rsid w:val="434D6868"/>
    <w:rsid w:val="43585481"/>
    <w:rsid w:val="436F22A4"/>
    <w:rsid w:val="43EC0FD4"/>
    <w:rsid w:val="441822E7"/>
    <w:rsid w:val="44196F24"/>
    <w:rsid w:val="44254A55"/>
    <w:rsid w:val="458B26F0"/>
    <w:rsid w:val="45CB01E1"/>
    <w:rsid w:val="45EA1DAB"/>
    <w:rsid w:val="462D03B0"/>
    <w:rsid w:val="46C978C9"/>
    <w:rsid w:val="46FC7C9E"/>
    <w:rsid w:val="47C05D07"/>
    <w:rsid w:val="47C068AE"/>
    <w:rsid w:val="48435459"/>
    <w:rsid w:val="486272C2"/>
    <w:rsid w:val="48904B42"/>
    <w:rsid w:val="489E1AB9"/>
    <w:rsid w:val="48B12D0A"/>
    <w:rsid w:val="48C742DC"/>
    <w:rsid w:val="494D658F"/>
    <w:rsid w:val="4970461A"/>
    <w:rsid w:val="49B40EE0"/>
    <w:rsid w:val="4AF26878"/>
    <w:rsid w:val="4B58121B"/>
    <w:rsid w:val="4C6768DF"/>
    <w:rsid w:val="4C6B6253"/>
    <w:rsid w:val="4C841BE8"/>
    <w:rsid w:val="4DB431EA"/>
    <w:rsid w:val="4DCA32CE"/>
    <w:rsid w:val="4E594530"/>
    <w:rsid w:val="4ED31D42"/>
    <w:rsid w:val="4F047CF0"/>
    <w:rsid w:val="4F8B7E11"/>
    <w:rsid w:val="4FE319FB"/>
    <w:rsid w:val="50396621"/>
    <w:rsid w:val="50597F0F"/>
    <w:rsid w:val="50B74C36"/>
    <w:rsid w:val="50BC284D"/>
    <w:rsid w:val="511F674C"/>
    <w:rsid w:val="513D5370"/>
    <w:rsid w:val="51821F13"/>
    <w:rsid w:val="52816A7D"/>
    <w:rsid w:val="52A40059"/>
    <w:rsid w:val="53196A38"/>
    <w:rsid w:val="534F73A8"/>
    <w:rsid w:val="5442626B"/>
    <w:rsid w:val="544A1D26"/>
    <w:rsid w:val="545A6004"/>
    <w:rsid w:val="545F32AB"/>
    <w:rsid w:val="570B054F"/>
    <w:rsid w:val="574638C1"/>
    <w:rsid w:val="577E5F45"/>
    <w:rsid w:val="579743EE"/>
    <w:rsid w:val="57AD0C67"/>
    <w:rsid w:val="580E04B8"/>
    <w:rsid w:val="584E7A4D"/>
    <w:rsid w:val="58DF0804"/>
    <w:rsid w:val="592822CE"/>
    <w:rsid w:val="59593DC0"/>
    <w:rsid w:val="59C43223"/>
    <w:rsid w:val="5A2669C9"/>
    <w:rsid w:val="5A4A2677"/>
    <w:rsid w:val="5A7329EC"/>
    <w:rsid w:val="5AB9043E"/>
    <w:rsid w:val="5ABE1D52"/>
    <w:rsid w:val="5AF54C39"/>
    <w:rsid w:val="5B2F579D"/>
    <w:rsid w:val="5B66541B"/>
    <w:rsid w:val="5BAC3F32"/>
    <w:rsid w:val="5C761E49"/>
    <w:rsid w:val="5CDF1A00"/>
    <w:rsid w:val="5D1519BD"/>
    <w:rsid w:val="5D4703D6"/>
    <w:rsid w:val="5D6B3030"/>
    <w:rsid w:val="5DE54B90"/>
    <w:rsid w:val="5E4E103C"/>
    <w:rsid w:val="5F1E13AA"/>
    <w:rsid w:val="5F2D61C4"/>
    <w:rsid w:val="5F381638"/>
    <w:rsid w:val="6080260F"/>
    <w:rsid w:val="60B11CD6"/>
    <w:rsid w:val="60B53B49"/>
    <w:rsid w:val="60FC4644"/>
    <w:rsid w:val="621D16C0"/>
    <w:rsid w:val="62336126"/>
    <w:rsid w:val="629628FD"/>
    <w:rsid w:val="62AA63A9"/>
    <w:rsid w:val="62CF4045"/>
    <w:rsid w:val="62DD206F"/>
    <w:rsid w:val="63442E09"/>
    <w:rsid w:val="64116879"/>
    <w:rsid w:val="658E36DC"/>
    <w:rsid w:val="65E0566C"/>
    <w:rsid w:val="661C50DB"/>
    <w:rsid w:val="666557B4"/>
    <w:rsid w:val="66A84598"/>
    <w:rsid w:val="675C13BF"/>
    <w:rsid w:val="679909C4"/>
    <w:rsid w:val="68210662"/>
    <w:rsid w:val="69735AB1"/>
    <w:rsid w:val="69B74A5F"/>
    <w:rsid w:val="69D132DB"/>
    <w:rsid w:val="6A3749C6"/>
    <w:rsid w:val="6A3A350C"/>
    <w:rsid w:val="6A8166F7"/>
    <w:rsid w:val="6AAC7C42"/>
    <w:rsid w:val="6B8D1BAD"/>
    <w:rsid w:val="6BCC55E2"/>
    <w:rsid w:val="6CE2128A"/>
    <w:rsid w:val="6D042E3B"/>
    <w:rsid w:val="6D307123"/>
    <w:rsid w:val="6E7E3639"/>
    <w:rsid w:val="6EB833B6"/>
    <w:rsid w:val="6F213E96"/>
    <w:rsid w:val="6F320FF8"/>
    <w:rsid w:val="6F6D4539"/>
    <w:rsid w:val="6F95171F"/>
    <w:rsid w:val="6FE63210"/>
    <w:rsid w:val="70030C55"/>
    <w:rsid w:val="700F114A"/>
    <w:rsid w:val="70284465"/>
    <w:rsid w:val="704E3C1B"/>
    <w:rsid w:val="72105B58"/>
    <w:rsid w:val="72236DE9"/>
    <w:rsid w:val="72C54B39"/>
    <w:rsid w:val="73081ADA"/>
    <w:rsid w:val="73942E89"/>
    <w:rsid w:val="744877CF"/>
    <w:rsid w:val="744E128A"/>
    <w:rsid w:val="74BE4C22"/>
    <w:rsid w:val="75061B64"/>
    <w:rsid w:val="75120509"/>
    <w:rsid w:val="758F1B5A"/>
    <w:rsid w:val="75B44BDD"/>
    <w:rsid w:val="75CF63FA"/>
    <w:rsid w:val="760E2D67"/>
    <w:rsid w:val="765B2AC9"/>
    <w:rsid w:val="77053D98"/>
    <w:rsid w:val="771411CF"/>
    <w:rsid w:val="772C4C27"/>
    <w:rsid w:val="773B20CF"/>
    <w:rsid w:val="77FD6C45"/>
    <w:rsid w:val="780305DD"/>
    <w:rsid w:val="78B14583"/>
    <w:rsid w:val="78C6701E"/>
    <w:rsid w:val="79273DE3"/>
    <w:rsid w:val="7A04295E"/>
    <w:rsid w:val="7AA75E28"/>
    <w:rsid w:val="7B3D50A0"/>
    <w:rsid w:val="7B8672DC"/>
    <w:rsid w:val="7BB0415D"/>
    <w:rsid w:val="7BC9378C"/>
    <w:rsid w:val="7C1115B3"/>
    <w:rsid w:val="7C591FBC"/>
    <w:rsid w:val="7DEA1C00"/>
    <w:rsid w:val="7E022062"/>
    <w:rsid w:val="7E461430"/>
    <w:rsid w:val="7E676B77"/>
    <w:rsid w:val="7E7F6A33"/>
    <w:rsid w:val="7EA31E07"/>
    <w:rsid w:val="7F231591"/>
    <w:rsid w:val="7F9E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iPriority="20" w:semiHidden="0" w:name="Signature"/>
    <w:lsdException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20"/>
      <w:sz w:val="21"/>
      <w:lang w:val="zh-CN" w:eastAsia="zh-CN" w:bidi="ar-SA"/>
    </w:rPr>
  </w:style>
  <w:style w:type="paragraph" w:styleId="3">
    <w:name w:val="heading 1"/>
    <w:basedOn w:val="1"/>
    <w:next w:val="1"/>
    <w:link w:val="52"/>
    <w:qFormat/>
    <w:uiPriority w:val="9"/>
    <w:pPr>
      <w:pageBreakBefore/>
      <w:numPr>
        <w:ilvl w:val="0"/>
        <w:numId w:val="1"/>
      </w:numPr>
      <w:tabs>
        <w:tab w:val="left" w:pos="0"/>
      </w:tabs>
      <w:spacing w:line="560" w:lineRule="exact"/>
      <w:jc w:val="center"/>
      <w:outlineLvl w:val="0"/>
    </w:pPr>
    <w:rPr>
      <w:rFonts w:eastAsia="黑体"/>
      <w:color w:val="000000"/>
      <w:sz w:val="44"/>
      <w:szCs w:val="22"/>
    </w:rPr>
  </w:style>
  <w:style w:type="paragraph" w:styleId="4">
    <w:name w:val="heading 2"/>
    <w:basedOn w:val="1"/>
    <w:next w:val="1"/>
    <w:link w:val="51"/>
    <w:qFormat/>
    <w:uiPriority w:val="9"/>
    <w:pPr>
      <w:keepNext/>
      <w:keepLines/>
      <w:widowControl w:val="0"/>
      <w:numPr>
        <w:ilvl w:val="1"/>
        <w:numId w:val="1"/>
      </w:numPr>
      <w:tabs>
        <w:tab w:val="left" w:pos="0"/>
      </w:tabs>
      <w:snapToGrid w:val="0"/>
      <w:spacing w:before="50" w:beforeLines="50" w:after="50" w:line="360" w:lineRule="auto"/>
      <w:outlineLvl w:val="1"/>
    </w:pPr>
    <w:rPr>
      <w:rFonts w:eastAsia="黑体"/>
      <w:sz w:val="32"/>
      <w:szCs w:val="21"/>
    </w:rPr>
  </w:style>
  <w:style w:type="paragraph" w:styleId="5">
    <w:name w:val="heading 3"/>
    <w:basedOn w:val="1"/>
    <w:next w:val="1"/>
    <w:link w:val="53"/>
    <w:qFormat/>
    <w:uiPriority w:val="0"/>
    <w:pPr>
      <w:keepNext/>
      <w:keepLines/>
      <w:numPr>
        <w:ilvl w:val="2"/>
        <w:numId w:val="1"/>
      </w:numPr>
      <w:tabs>
        <w:tab w:val="left" w:pos="0"/>
      </w:tabs>
      <w:spacing w:before="156" w:beforeLines="50" w:line="360" w:lineRule="auto"/>
      <w:jc w:val="both"/>
      <w:outlineLvl w:val="2"/>
    </w:pPr>
    <w:rPr>
      <w:rFonts w:eastAsia="黑体"/>
      <w:bCs/>
      <w:color w:val="000000"/>
      <w:sz w:val="24"/>
      <w:szCs w:val="24"/>
    </w:rPr>
  </w:style>
  <w:style w:type="paragraph" w:styleId="6">
    <w:name w:val="heading 4"/>
    <w:basedOn w:val="1"/>
    <w:next w:val="1"/>
    <w:link w:val="54"/>
    <w:qFormat/>
    <w:uiPriority w:val="0"/>
    <w:pPr>
      <w:keepNext/>
      <w:keepLines/>
      <w:numPr>
        <w:ilvl w:val="3"/>
        <w:numId w:val="1"/>
      </w:numPr>
      <w:tabs>
        <w:tab w:val="left" w:pos="0"/>
      </w:tabs>
      <w:outlineLvl w:val="3"/>
    </w:pPr>
    <w:rPr>
      <w:rFonts w:cs="Arial"/>
      <w:bCs/>
      <w:iCs/>
    </w:rPr>
  </w:style>
  <w:style w:type="paragraph" w:styleId="7">
    <w:name w:val="heading 5"/>
    <w:basedOn w:val="1"/>
    <w:next w:val="1"/>
    <w:link w:val="55"/>
    <w:qFormat/>
    <w:uiPriority w:val="0"/>
    <w:pPr>
      <w:keepNext/>
      <w:keepLines/>
      <w:numPr>
        <w:ilvl w:val="4"/>
        <w:numId w:val="1"/>
      </w:numPr>
      <w:outlineLvl w:val="4"/>
    </w:pPr>
    <w:rPr>
      <w:bCs/>
      <w:szCs w:val="28"/>
    </w:rPr>
  </w:style>
  <w:style w:type="paragraph" w:styleId="8">
    <w:name w:val="heading 6"/>
    <w:basedOn w:val="1"/>
    <w:next w:val="1"/>
    <w:link w:val="56"/>
    <w:qFormat/>
    <w:uiPriority w:val="0"/>
    <w:pPr>
      <w:keepNext/>
      <w:keepLines/>
      <w:numPr>
        <w:ilvl w:val="5"/>
        <w:numId w:val="1"/>
      </w:numPr>
      <w:outlineLvl w:val="5"/>
    </w:pPr>
    <w:rPr>
      <w:bCs/>
      <w:szCs w:val="24"/>
    </w:rPr>
  </w:style>
  <w:style w:type="paragraph" w:styleId="9">
    <w:name w:val="heading 7"/>
    <w:basedOn w:val="1"/>
    <w:next w:val="1"/>
    <w:link w:val="57"/>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58"/>
    <w:qFormat/>
    <w:uiPriority w:val="0"/>
    <w:pPr>
      <w:keepNext/>
      <w:keepLines/>
      <w:numPr>
        <w:ilvl w:val="7"/>
        <w:numId w:val="1"/>
      </w:numPr>
      <w:spacing w:before="240" w:after="64" w:line="320" w:lineRule="auto"/>
      <w:outlineLvl w:val="7"/>
    </w:pPr>
    <w:rPr>
      <w:rFonts w:ascii="Calibri Light" w:hAnsi="Calibri Light"/>
      <w:sz w:val="24"/>
      <w:szCs w:val="24"/>
    </w:rPr>
  </w:style>
  <w:style w:type="paragraph" w:styleId="11">
    <w:name w:val="heading 9"/>
    <w:basedOn w:val="1"/>
    <w:next w:val="1"/>
    <w:link w:val="59"/>
    <w:qFormat/>
    <w:uiPriority w:val="0"/>
    <w:pPr>
      <w:keepNext/>
      <w:keepLines/>
      <w:numPr>
        <w:ilvl w:val="8"/>
        <w:numId w:val="1"/>
      </w:numPr>
      <w:spacing w:before="240" w:after="64" w:line="320" w:lineRule="auto"/>
      <w:outlineLvl w:val="8"/>
    </w:pPr>
    <w:rPr>
      <w:rFonts w:ascii="Calibri Light" w:hAnsi="Calibri Light"/>
      <w:szCs w:val="21"/>
    </w:rPr>
  </w:style>
  <w:style w:type="character" w:default="1" w:styleId="43">
    <w:name w:val="Default Paragraph Font"/>
    <w:semiHidden/>
    <w:unhideWhenUsed/>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1"/>
    <w:qFormat/>
    <w:uiPriority w:val="99"/>
    <w:pPr>
      <w:spacing w:after="120"/>
    </w:pPr>
    <w:rPr>
      <w:color w:val="595959"/>
    </w:rPr>
  </w:style>
  <w:style w:type="paragraph" w:styleId="12">
    <w:name w:val="toc 7"/>
    <w:basedOn w:val="1"/>
    <w:next w:val="1"/>
    <w:qFormat/>
    <w:uiPriority w:val="39"/>
    <w:pPr>
      <w:widowControl w:val="0"/>
      <w:ind w:left="2520" w:leftChars="1200"/>
      <w:jc w:val="both"/>
    </w:pPr>
    <w:rPr>
      <w:rFonts w:ascii="Calibri" w:hAnsi="Calibri"/>
      <w:kern w:val="2"/>
      <w:szCs w:val="22"/>
      <w:lang w:val="en-US"/>
    </w:rPr>
  </w:style>
  <w:style w:type="paragraph" w:styleId="13">
    <w:name w:val="List Bullet 4"/>
    <w:basedOn w:val="1"/>
    <w:qFormat/>
    <w:uiPriority w:val="0"/>
    <w:pPr>
      <w:numPr>
        <w:ilvl w:val="0"/>
        <w:numId w:val="2"/>
      </w:numPr>
      <w:contextualSpacing/>
    </w:pPr>
    <w:rPr>
      <w:color w:val="595959"/>
    </w:rPr>
  </w:style>
  <w:style w:type="paragraph" w:styleId="14">
    <w:name w:val="List Number"/>
    <w:basedOn w:val="1"/>
    <w:qFormat/>
    <w:uiPriority w:val="0"/>
    <w:pPr>
      <w:numPr>
        <w:ilvl w:val="2"/>
        <w:numId w:val="3"/>
      </w:numPr>
      <w:ind w:left="357" w:hanging="357"/>
      <w:contextualSpacing/>
    </w:pPr>
    <w:rPr>
      <w:color w:val="595959"/>
    </w:rPr>
  </w:style>
  <w:style w:type="paragraph" w:styleId="15">
    <w:name w:val="Normal Indent"/>
    <w:basedOn w:val="1"/>
    <w:qFormat/>
    <w:uiPriority w:val="0"/>
    <w:pPr>
      <w:widowControl w:val="0"/>
      <w:autoSpaceDE w:val="0"/>
      <w:autoSpaceDN w:val="0"/>
      <w:adjustRightInd w:val="0"/>
      <w:ind w:firstLine="420"/>
    </w:pPr>
    <w:rPr>
      <w:rFonts w:ascii="宋体"/>
      <w:kern w:val="0"/>
      <w:sz w:val="24"/>
      <w:lang w:val="en-US"/>
    </w:rPr>
  </w:style>
  <w:style w:type="paragraph" w:styleId="16">
    <w:name w:val="caption"/>
    <w:basedOn w:val="1"/>
    <w:next w:val="1"/>
    <w:qFormat/>
    <w:uiPriority w:val="0"/>
    <w:rPr>
      <w:rFonts w:ascii="Arial" w:hAnsi="Arial" w:eastAsia="黑体"/>
      <w:kern w:val="0"/>
      <w:sz w:val="20"/>
    </w:rPr>
  </w:style>
  <w:style w:type="paragraph" w:styleId="17">
    <w:name w:val="List Bullet"/>
    <w:basedOn w:val="1"/>
    <w:qFormat/>
    <w:uiPriority w:val="0"/>
    <w:pPr>
      <w:numPr>
        <w:ilvl w:val="0"/>
        <w:numId w:val="4"/>
      </w:numPr>
      <w:spacing w:after="40"/>
    </w:pPr>
    <w:rPr>
      <w:color w:val="595959"/>
    </w:rPr>
  </w:style>
  <w:style w:type="paragraph" w:styleId="18">
    <w:name w:val="annotation text"/>
    <w:basedOn w:val="1"/>
    <w:link w:val="60"/>
    <w:qFormat/>
    <w:uiPriority w:val="99"/>
  </w:style>
  <w:style w:type="paragraph" w:styleId="19">
    <w:name w:val="List Bullet 3"/>
    <w:basedOn w:val="1"/>
    <w:qFormat/>
    <w:uiPriority w:val="0"/>
    <w:pPr>
      <w:numPr>
        <w:ilvl w:val="0"/>
        <w:numId w:val="5"/>
      </w:numPr>
      <w:contextualSpacing/>
    </w:pPr>
    <w:rPr>
      <w:color w:val="595959"/>
    </w:rPr>
  </w:style>
  <w:style w:type="paragraph" w:styleId="20">
    <w:name w:val="Body Text Indent"/>
    <w:basedOn w:val="1"/>
    <w:link w:val="62"/>
    <w:unhideWhenUsed/>
    <w:qFormat/>
    <w:uiPriority w:val="0"/>
    <w:pPr>
      <w:keepNext/>
      <w:keepLines/>
      <w:widowControl w:val="0"/>
      <w:spacing w:after="120"/>
      <w:ind w:left="360"/>
    </w:pPr>
    <w:rPr>
      <w:color w:val="000000"/>
      <w:sz w:val="20"/>
    </w:rPr>
  </w:style>
  <w:style w:type="paragraph" w:styleId="21">
    <w:name w:val="List Bullet 2"/>
    <w:basedOn w:val="1"/>
    <w:qFormat/>
    <w:uiPriority w:val="0"/>
    <w:pPr>
      <w:numPr>
        <w:ilvl w:val="0"/>
        <w:numId w:val="6"/>
      </w:numPr>
      <w:contextualSpacing/>
    </w:pPr>
    <w:rPr>
      <w:color w:val="595959"/>
    </w:rPr>
  </w:style>
  <w:style w:type="paragraph" w:styleId="22">
    <w:name w:val="toc 5"/>
    <w:basedOn w:val="1"/>
    <w:next w:val="1"/>
    <w:qFormat/>
    <w:uiPriority w:val="39"/>
    <w:pPr>
      <w:widowControl w:val="0"/>
      <w:ind w:left="1680" w:leftChars="800"/>
      <w:jc w:val="both"/>
    </w:pPr>
    <w:rPr>
      <w:rFonts w:ascii="Calibri" w:hAnsi="Calibri"/>
      <w:kern w:val="2"/>
      <w:szCs w:val="22"/>
      <w:lang w:val="en-US"/>
    </w:rPr>
  </w:style>
  <w:style w:type="paragraph" w:styleId="23">
    <w:name w:val="toc 3"/>
    <w:basedOn w:val="1"/>
    <w:next w:val="1"/>
    <w:qFormat/>
    <w:uiPriority w:val="39"/>
    <w:pPr>
      <w:tabs>
        <w:tab w:val="left" w:pos="840"/>
        <w:tab w:val="left" w:pos="1470"/>
        <w:tab w:val="right" w:leader="dot" w:pos="8835"/>
      </w:tabs>
      <w:ind w:left="300" w:leftChars="300"/>
    </w:pPr>
  </w:style>
  <w:style w:type="paragraph" w:styleId="24">
    <w:name w:val="Plain Text"/>
    <w:basedOn w:val="1"/>
    <w:link w:val="63"/>
    <w:qFormat/>
    <w:uiPriority w:val="0"/>
    <w:rPr>
      <w:rFonts w:ascii="宋体" w:hAnsi="Courier New"/>
    </w:rPr>
  </w:style>
  <w:style w:type="paragraph" w:styleId="25">
    <w:name w:val="List Bullet 5"/>
    <w:basedOn w:val="1"/>
    <w:qFormat/>
    <w:uiPriority w:val="0"/>
    <w:pPr>
      <w:numPr>
        <w:ilvl w:val="0"/>
        <w:numId w:val="7"/>
      </w:numPr>
      <w:contextualSpacing/>
    </w:pPr>
    <w:rPr>
      <w:color w:val="595959"/>
    </w:rPr>
  </w:style>
  <w:style w:type="paragraph" w:styleId="26">
    <w:name w:val="toc 8"/>
    <w:basedOn w:val="1"/>
    <w:next w:val="1"/>
    <w:qFormat/>
    <w:uiPriority w:val="39"/>
    <w:pPr>
      <w:widowControl w:val="0"/>
      <w:ind w:left="2940" w:leftChars="1400"/>
      <w:jc w:val="both"/>
    </w:pPr>
    <w:rPr>
      <w:rFonts w:ascii="Calibri" w:hAnsi="Calibri"/>
      <w:kern w:val="2"/>
      <w:szCs w:val="22"/>
      <w:lang w:val="en-US"/>
    </w:rPr>
  </w:style>
  <w:style w:type="paragraph" w:styleId="27">
    <w:name w:val="endnote text"/>
    <w:basedOn w:val="1"/>
    <w:link w:val="64"/>
    <w:qFormat/>
    <w:uiPriority w:val="99"/>
    <w:rPr>
      <w:color w:val="595959"/>
    </w:rPr>
  </w:style>
  <w:style w:type="paragraph" w:styleId="28">
    <w:name w:val="Balloon Text"/>
    <w:basedOn w:val="1"/>
    <w:link w:val="65"/>
    <w:qFormat/>
    <w:uiPriority w:val="99"/>
    <w:rPr>
      <w:sz w:val="18"/>
      <w:szCs w:val="18"/>
    </w:rPr>
  </w:style>
  <w:style w:type="paragraph" w:styleId="29">
    <w:name w:val="footer"/>
    <w:basedOn w:val="1"/>
    <w:link w:val="66"/>
    <w:qFormat/>
    <w:uiPriority w:val="99"/>
    <w:pPr>
      <w:pBdr>
        <w:top w:val="none" w:color="B1C0CD" w:sz="0" w:space="6"/>
        <w:left w:val="none" w:color="FFFFFF" w:sz="0" w:space="20"/>
        <w:bottom w:val="none" w:color="auto" w:sz="0" w:space="1"/>
        <w:right w:val="none" w:color="FFFFFF" w:sz="0" w:space="20"/>
      </w:pBdr>
    </w:pPr>
    <w:rPr>
      <w:color w:val="595959"/>
    </w:rPr>
  </w:style>
  <w:style w:type="paragraph" w:styleId="30">
    <w:name w:val="header"/>
    <w:basedOn w:val="1"/>
    <w:link w:val="67"/>
    <w:qFormat/>
    <w:uiPriority w:val="99"/>
    <w:pPr>
      <w:tabs>
        <w:tab w:val="center" w:pos="4680"/>
        <w:tab w:val="right" w:pos="9360"/>
      </w:tabs>
    </w:pPr>
    <w:rPr>
      <w:color w:val="595959"/>
    </w:rPr>
  </w:style>
  <w:style w:type="paragraph" w:styleId="31">
    <w:name w:val="Signature"/>
    <w:basedOn w:val="1"/>
    <w:unhideWhenUsed/>
    <w:qFormat/>
    <w:uiPriority w:val="20"/>
    <w:pPr>
      <w:keepNext/>
      <w:keepLines/>
      <w:widowControl w:val="0"/>
      <w:spacing w:before="720" w:line="312" w:lineRule="auto"/>
      <w:contextualSpacing/>
    </w:pPr>
    <w:rPr>
      <w:rFonts w:ascii="Cambria" w:hAnsi="Cambria" w:eastAsia="微软雅黑"/>
      <w:color w:val="595959"/>
      <w:sz w:val="20"/>
    </w:rPr>
  </w:style>
  <w:style w:type="paragraph" w:styleId="32">
    <w:name w:val="toc 1"/>
    <w:basedOn w:val="1"/>
    <w:next w:val="1"/>
    <w:qFormat/>
    <w:uiPriority w:val="39"/>
    <w:pPr>
      <w:tabs>
        <w:tab w:val="left" w:pos="420"/>
        <w:tab w:val="right" w:leader="dot" w:pos="8835"/>
      </w:tabs>
    </w:pPr>
  </w:style>
  <w:style w:type="paragraph" w:styleId="33">
    <w:name w:val="toc 4"/>
    <w:basedOn w:val="1"/>
    <w:next w:val="1"/>
    <w:qFormat/>
    <w:uiPriority w:val="39"/>
    <w:pPr>
      <w:widowControl w:val="0"/>
      <w:ind w:left="1260" w:leftChars="600"/>
      <w:jc w:val="both"/>
    </w:pPr>
    <w:rPr>
      <w:rFonts w:ascii="Calibri" w:hAnsi="Calibri"/>
      <w:kern w:val="2"/>
      <w:szCs w:val="22"/>
      <w:lang w:val="en-US"/>
    </w:rPr>
  </w:style>
  <w:style w:type="paragraph" w:styleId="34">
    <w:name w:val="Subtitle"/>
    <w:basedOn w:val="1"/>
    <w:next w:val="1"/>
    <w:link w:val="68"/>
    <w:qFormat/>
    <w:uiPriority w:val="0"/>
    <w:pPr>
      <w:ind w:left="432" w:right="1080"/>
    </w:pPr>
    <w:rPr>
      <w:rFonts w:ascii="Calibri" w:hAnsi="Calibri"/>
      <w:caps/>
      <w:color w:val="7E97AD"/>
      <w:sz w:val="56"/>
    </w:rPr>
  </w:style>
  <w:style w:type="paragraph" w:styleId="35">
    <w:name w:val="toc 6"/>
    <w:basedOn w:val="1"/>
    <w:next w:val="1"/>
    <w:qFormat/>
    <w:uiPriority w:val="39"/>
    <w:pPr>
      <w:widowControl w:val="0"/>
      <w:ind w:left="2100" w:leftChars="1000"/>
      <w:jc w:val="both"/>
    </w:pPr>
    <w:rPr>
      <w:rFonts w:ascii="Calibri" w:hAnsi="Calibri"/>
      <w:kern w:val="2"/>
      <w:szCs w:val="22"/>
      <w:lang w:val="en-US"/>
    </w:rPr>
  </w:style>
  <w:style w:type="paragraph" w:styleId="36">
    <w:name w:val="toc 2"/>
    <w:basedOn w:val="1"/>
    <w:next w:val="1"/>
    <w:qFormat/>
    <w:uiPriority w:val="39"/>
    <w:pPr>
      <w:tabs>
        <w:tab w:val="left" w:pos="840"/>
        <w:tab w:val="right" w:leader="dot" w:pos="8835"/>
      </w:tabs>
      <w:ind w:left="200" w:leftChars="200"/>
    </w:pPr>
  </w:style>
  <w:style w:type="paragraph" w:styleId="37">
    <w:name w:val="toc 9"/>
    <w:basedOn w:val="1"/>
    <w:next w:val="1"/>
    <w:qFormat/>
    <w:uiPriority w:val="39"/>
    <w:pPr>
      <w:widowControl w:val="0"/>
      <w:ind w:left="3360" w:leftChars="1600"/>
      <w:jc w:val="both"/>
    </w:pPr>
    <w:rPr>
      <w:rFonts w:ascii="Calibri" w:hAnsi="Calibri"/>
      <w:kern w:val="2"/>
      <w:szCs w:val="22"/>
      <w:lang w:val="en-US"/>
    </w:rPr>
  </w:style>
  <w:style w:type="paragraph" w:styleId="38">
    <w:name w:val="Title"/>
    <w:basedOn w:val="1"/>
    <w:next w:val="1"/>
    <w:link w:val="69"/>
    <w:qFormat/>
    <w:uiPriority w:val="0"/>
    <w:pPr>
      <w:pBdr>
        <w:top w:val="single" w:color="7E97AD" w:sz="4" w:space="16"/>
        <w:left w:val="single" w:color="7E97AD" w:sz="4" w:space="20"/>
        <w:bottom w:val="single" w:color="7E97AD" w:sz="4" w:space="16"/>
        <w:right w:val="single" w:color="7E97AD" w:sz="4" w:space="20"/>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39">
    <w:name w:val="annotation subject"/>
    <w:basedOn w:val="18"/>
    <w:next w:val="18"/>
    <w:link w:val="70"/>
    <w:unhideWhenUsed/>
    <w:qFormat/>
    <w:uiPriority w:val="99"/>
    <w:rPr>
      <w:b/>
      <w:bCs/>
    </w:rPr>
  </w:style>
  <w:style w:type="paragraph" w:styleId="40">
    <w:name w:val="Body Text First Indent 2"/>
    <w:basedOn w:val="20"/>
    <w:next w:val="1"/>
    <w:link w:val="71"/>
    <w:qFormat/>
    <w:uiPriority w:val="0"/>
    <w:pPr>
      <w:tabs>
        <w:tab w:val="left" w:pos="480"/>
      </w:tabs>
      <w:ind w:firstLine="420" w:firstLineChars="200"/>
    </w:pPr>
    <w:rPr>
      <w:rFonts w:ascii="Calibri" w:hAnsi="Calibri"/>
      <w:kern w:val="0"/>
      <w:szCs w:val="22"/>
    </w:rPr>
  </w:style>
  <w:style w:type="table" w:styleId="42">
    <w:name w:val="Table Grid"/>
    <w:basedOn w:val="4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page number"/>
    <w:qFormat/>
    <w:uiPriority w:val="0"/>
  </w:style>
  <w:style w:type="character" w:styleId="46">
    <w:name w:val="FollowedHyperlink"/>
    <w:basedOn w:val="43"/>
    <w:semiHidden/>
    <w:unhideWhenUsed/>
    <w:qFormat/>
    <w:uiPriority w:val="99"/>
    <w:rPr>
      <w:color w:val="954F72" w:themeColor="followedHyperlink"/>
      <w:u w:val="single"/>
      <w14:textFill>
        <w14:solidFill>
          <w14:schemeClr w14:val="folHlink"/>
        </w14:solidFill>
      </w14:textFill>
    </w:rPr>
  </w:style>
  <w:style w:type="character" w:styleId="47">
    <w:name w:val="Emphasis"/>
    <w:qFormat/>
    <w:uiPriority w:val="20"/>
  </w:style>
  <w:style w:type="character" w:styleId="48">
    <w:name w:val="Hyperlink"/>
    <w:basedOn w:val="43"/>
    <w:qFormat/>
    <w:uiPriority w:val="99"/>
    <w:rPr>
      <w:color w:val="0563C1"/>
      <w:u w:val="single"/>
    </w:rPr>
  </w:style>
  <w:style w:type="character" w:styleId="49">
    <w:name w:val="annotation reference"/>
    <w:unhideWhenUsed/>
    <w:qFormat/>
    <w:uiPriority w:val="99"/>
    <w:rPr>
      <w:sz w:val="21"/>
      <w:szCs w:val="21"/>
    </w:rPr>
  </w:style>
  <w:style w:type="character" w:customStyle="1" w:styleId="50">
    <w:name w:val="标题 2 字符"/>
    <w:qFormat/>
    <w:uiPriority w:val="9"/>
    <w:rPr>
      <w:rFonts w:ascii="微软雅黑" w:hAnsi="微软雅黑" w:eastAsia="微软雅黑"/>
      <w:b/>
      <w:kern w:val="20"/>
      <w:sz w:val="21"/>
      <w:lang w:val="zh-CN"/>
    </w:rPr>
  </w:style>
  <w:style w:type="character" w:customStyle="1" w:styleId="51">
    <w:name w:val="标题 2 字符1"/>
    <w:link w:val="4"/>
    <w:qFormat/>
    <w:uiPriority w:val="1"/>
    <w:rPr>
      <w:rFonts w:eastAsia="黑体"/>
      <w:kern w:val="20"/>
      <w:sz w:val="32"/>
      <w:szCs w:val="21"/>
      <w:lang w:val="zh-CN"/>
    </w:rPr>
  </w:style>
  <w:style w:type="character" w:customStyle="1" w:styleId="52">
    <w:name w:val="标题 1 字符"/>
    <w:link w:val="3"/>
    <w:qFormat/>
    <w:uiPriority w:val="9"/>
    <w:rPr>
      <w:rFonts w:eastAsia="黑体"/>
      <w:color w:val="000000"/>
      <w:kern w:val="20"/>
      <w:sz w:val="44"/>
      <w:szCs w:val="22"/>
      <w:lang w:val="zh-CN"/>
    </w:rPr>
  </w:style>
  <w:style w:type="character" w:customStyle="1" w:styleId="53">
    <w:name w:val="标题 3 字符1"/>
    <w:link w:val="5"/>
    <w:qFormat/>
    <w:uiPriority w:val="0"/>
    <w:rPr>
      <w:rFonts w:eastAsia="黑体"/>
      <w:bCs/>
      <w:color w:val="000000"/>
      <w:kern w:val="20"/>
      <w:sz w:val="24"/>
      <w:szCs w:val="24"/>
      <w:lang w:val="zh-CN"/>
    </w:rPr>
  </w:style>
  <w:style w:type="character" w:customStyle="1" w:styleId="54">
    <w:name w:val="标题 4 字符"/>
    <w:link w:val="6"/>
    <w:qFormat/>
    <w:uiPriority w:val="0"/>
    <w:rPr>
      <w:rFonts w:cs="Arial"/>
      <w:bCs/>
      <w:iCs/>
      <w:kern w:val="20"/>
      <w:sz w:val="21"/>
      <w:lang w:val="zh-CN"/>
    </w:rPr>
  </w:style>
  <w:style w:type="character" w:customStyle="1" w:styleId="55">
    <w:name w:val="标题 5 字符1"/>
    <w:link w:val="7"/>
    <w:qFormat/>
    <w:uiPriority w:val="0"/>
    <w:rPr>
      <w:bCs/>
      <w:kern w:val="20"/>
      <w:sz w:val="21"/>
      <w:szCs w:val="28"/>
      <w:lang w:val="zh-CN"/>
    </w:rPr>
  </w:style>
  <w:style w:type="character" w:customStyle="1" w:styleId="56">
    <w:name w:val="标题 6 字符1"/>
    <w:link w:val="8"/>
    <w:qFormat/>
    <w:uiPriority w:val="0"/>
    <w:rPr>
      <w:bCs/>
      <w:kern w:val="20"/>
      <w:sz w:val="21"/>
      <w:szCs w:val="24"/>
      <w:lang w:val="zh-CN"/>
    </w:rPr>
  </w:style>
  <w:style w:type="character" w:customStyle="1" w:styleId="57">
    <w:name w:val="标题 7 字符1"/>
    <w:link w:val="9"/>
    <w:qFormat/>
    <w:uiPriority w:val="0"/>
    <w:rPr>
      <w:b/>
      <w:bCs/>
      <w:kern w:val="20"/>
      <w:sz w:val="24"/>
      <w:szCs w:val="24"/>
      <w:lang w:val="zh-CN"/>
    </w:rPr>
  </w:style>
  <w:style w:type="character" w:customStyle="1" w:styleId="58">
    <w:name w:val="标题 8 字符1"/>
    <w:link w:val="10"/>
    <w:qFormat/>
    <w:uiPriority w:val="0"/>
    <w:rPr>
      <w:rFonts w:ascii="Calibri Light" w:hAnsi="Calibri Light"/>
      <w:kern w:val="20"/>
      <w:sz w:val="24"/>
      <w:szCs w:val="24"/>
      <w:lang w:val="zh-CN"/>
    </w:rPr>
  </w:style>
  <w:style w:type="character" w:customStyle="1" w:styleId="59">
    <w:name w:val="标题 9 字符1"/>
    <w:link w:val="11"/>
    <w:qFormat/>
    <w:uiPriority w:val="0"/>
    <w:rPr>
      <w:rFonts w:ascii="Calibri Light" w:hAnsi="Calibri Light"/>
      <w:kern w:val="20"/>
      <w:sz w:val="21"/>
      <w:szCs w:val="21"/>
      <w:lang w:val="zh-CN"/>
    </w:rPr>
  </w:style>
  <w:style w:type="character" w:customStyle="1" w:styleId="60">
    <w:name w:val="批注文字 字符"/>
    <w:link w:val="18"/>
    <w:qFormat/>
    <w:uiPriority w:val="99"/>
    <w:rPr>
      <w:rFonts w:ascii="Cambria" w:hAnsi="Cambria" w:eastAsia="微软雅黑"/>
      <w:kern w:val="20"/>
      <w:sz w:val="21"/>
      <w:lang w:val="zh-CN"/>
    </w:rPr>
  </w:style>
  <w:style w:type="character" w:customStyle="1" w:styleId="61">
    <w:name w:val="正文文本 字符"/>
    <w:link w:val="2"/>
    <w:qFormat/>
    <w:uiPriority w:val="99"/>
    <w:rPr>
      <w:rFonts w:ascii="Cambria" w:hAnsi="Cambria" w:eastAsia="微软雅黑"/>
      <w:color w:val="595959"/>
      <w:kern w:val="20"/>
      <w:lang w:val="zh-CN"/>
    </w:rPr>
  </w:style>
  <w:style w:type="character" w:customStyle="1" w:styleId="62">
    <w:name w:val="正文文本缩进 字符"/>
    <w:link w:val="20"/>
    <w:qFormat/>
    <w:uiPriority w:val="0"/>
    <w:rPr>
      <w:color w:val="000000"/>
      <w:kern w:val="20"/>
      <w:lang w:val="zh-CN"/>
    </w:rPr>
  </w:style>
  <w:style w:type="character" w:customStyle="1" w:styleId="63">
    <w:name w:val="纯文本 字符1"/>
    <w:link w:val="24"/>
    <w:qFormat/>
    <w:uiPriority w:val="0"/>
    <w:rPr>
      <w:rFonts w:ascii="宋体" w:hAnsi="Courier New"/>
      <w:kern w:val="20"/>
      <w:sz w:val="21"/>
      <w:lang w:val="zh-CN"/>
    </w:rPr>
  </w:style>
  <w:style w:type="character" w:customStyle="1" w:styleId="64">
    <w:name w:val="尾注文本 字符"/>
    <w:link w:val="27"/>
    <w:qFormat/>
    <w:uiPriority w:val="99"/>
    <w:rPr>
      <w:rFonts w:ascii="Cambria" w:hAnsi="Cambria" w:eastAsia="微软雅黑"/>
      <w:color w:val="595959"/>
      <w:kern w:val="20"/>
      <w:lang w:val="zh-CN"/>
    </w:rPr>
  </w:style>
  <w:style w:type="character" w:customStyle="1" w:styleId="65">
    <w:name w:val="批注框文本 字符1"/>
    <w:link w:val="28"/>
    <w:qFormat/>
    <w:uiPriority w:val="0"/>
    <w:rPr>
      <w:rFonts w:ascii="Cambria" w:hAnsi="Cambria" w:eastAsia="微软雅黑"/>
      <w:kern w:val="20"/>
      <w:sz w:val="18"/>
      <w:szCs w:val="18"/>
      <w:lang w:val="zh-CN"/>
    </w:rPr>
  </w:style>
  <w:style w:type="character" w:customStyle="1" w:styleId="66">
    <w:name w:val="页脚 字符1"/>
    <w:link w:val="29"/>
    <w:qFormat/>
    <w:uiPriority w:val="0"/>
    <w:rPr>
      <w:rFonts w:ascii="Cambria" w:hAnsi="Cambria" w:eastAsia="宋体"/>
      <w:color w:val="595959"/>
      <w:kern w:val="20"/>
      <w:sz w:val="21"/>
      <w:lang w:val="zh-CN"/>
    </w:rPr>
  </w:style>
  <w:style w:type="character" w:customStyle="1" w:styleId="67">
    <w:name w:val="页眉 字符1"/>
    <w:link w:val="30"/>
    <w:qFormat/>
    <w:uiPriority w:val="99"/>
    <w:rPr>
      <w:rFonts w:ascii="Cambria" w:hAnsi="Cambria" w:eastAsia="微软雅黑"/>
      <w:color w:val="595959"/>
      <w:kern w:val="20"/>
      <w:sz w:val="21"/>
      <w:lang w:val="zh-CN"/>
    </w:rPr>
  </w:style>
  <w:style w:type="character" w:customStyle="1" w:styleId="68">
    <w:name w:val="副标题 字符"/>
    <w:link w:val="34"/>
    <w:qFormat/>
    <w:uiPriority w:val="0"/>
    <w:rPr>
      <w:rFonts w:ascii="Calibri" w:hAnsi="Calibri"/>
      <w:caps/>
      <w:color w:val="7E97AD"/>
      <w:kern w:val="20"/>
      <w:sz w:val="56"/>
      <w:lang w:val="zh-CN"/>
    </w:rPr>
  </w:style>
  <w:style w:type="character" w:customStyle="1" w:styleId="69">
    <w:name w:val="标题 字符"/>
    <w:link w:val="38"/>
    <w:qFormat/>
    <w:uiPriority w:val="0"/>
    <w:rPr>
      <w:rFonts w:ascii="Calibri" w:hAnsi="Calibri"/>
      <w:caps/>
      <w:color w:val="FFFFFF"/>
      <w:kern w:val="28"/>
      <w:sz w:val="72"/>
      <w:shd w:val="clear" w:color="auto" w:fill="7E97AD"/>
      <w:lang w:val="zh-CN"/>
    </w:rPr>
  </w:style>
  <w:style w:type="character" w:customStyle="1" w:styleId="70">
    <w:name w:val="批注主题 字符1"/>
    <w:link w:val="39"/>
    <w:semiHidden/>
    <w:qFormat/>
    <w:uiPriority w:val="99"/>
    <w:rPr>
      <w:rFonts w:ascii="Cambria" w:hAnsi="Cambria" w:eastAsia="微软雅黑"/>
      <w:b/>
      <w:bCs/>
      <w:kern w:val="20"/>
      <w:sz w:val="21"/>
      <w:lang w:val="zh-CN"/>
    </w:rPr>
  </w:style>
  <w:style w:type="character" w:customStyle="1" w:styleId="71">
    <w:name w:val="正文首行缩进 2 字符"/>
    <w:basedOn w:val="72"/>
    <w:link w:val="40"/>
    <w:qFormat/>
    <w:uiPriority w:val="0"/>
    <w:rPr>
      <w:rFonts w:ascii="Calibri" w:hAnsi="Calibri" w:eastAsia="微软雅黑"/>
      <w:color w:val="595959"/>
      <w:kern w:val="20"/>
      <w:sz w:val="21"/>
      <w:szCs w:val="22"/>
      <w:lang w:val="zh-CN"/>
    </w:rPr>
  </w:style>
  <w:style w:type="character" w:customStyle="1" w:styleId="72">
    <w:name w:val="正文文本缩进 字符2"/>
    <w:basedOn w:val="43"/>
    <w:semiHidden/>
    <w:qFormat/>
    <w:uiPriority w:val="99"/>
    <w:rPr>
      <w:kern w:val="20"/>
      <w:sz w:val="21"/>
      <w:lang w:val="zh-CN"/>
    </w:rPr>
  </w:style>
  <w:style w:type="character" w:customStyle="1" w:styleId="73">
    <w:name w:val="HTML 键盘1"/>
    <w:qFormat/>
    <w:uiPriority w:val="0"/>
    <w:rPr>
      <w:rFonts w:ascii="Consolas" w:hAnsi="Consolas" w:eastAsia="Times New Roman"/>
      <w:sz w:val="20"/>
    </w:rPr>
  </w:style>
  <w:style w:type="character" w:customStyle="1" w:styleId="74">
    <w:name w:val="占位符文本1"/>
    <w:qFormat/>
    <w:uiPriority w:val="0"/>
    <w:rPr>
      <w:color w:val="808080"/>
    </w:rPr>
  </w:style>
  <w:style w:type="character" w:customStyle="1" w:styleId="75">
    <w:name w:val="正文文本缩进 2 字符"/>
    <w:link w:val="76"/>
    <w:qFormat/>
    <w:uiPriority w:val="0"/>
    <w:rPr>
      <w:rFonts w:ascii="Cambria" w:hAnsi="Cambria" w:eastAsia="微软雅黑"/>
      <w:color w:val="595959"/>
      <w:kern w:val="20"/>
      <w:lang w:val="zh-CN"/>
    </w:rPr>
  </w:style>
  <w:style w:type="paragraph" w:customStyle="1" w:styleId="76">
    <w:name w:val="正文文本缩进 21"/>
    <w:basedOn w:val="1"/>
    <w:link w:val="75"/>
    <w:qFormat/>
    <w:uiPriority w:val="0"/>
    <w:pPr>
      <w:spacing w:after="120" w:line="480" w:lineRule="auto"/>
      <w:ind w:left="360"/>
    </w:pPr>
    <w:rPr>
      <w:color w:val="595959"/>
    </w:rPr>
  </w:style>
  <w:style w:type="character" w:customStyle="1" w:styleId="77">
    <w:name w:val="称呼 字符"/>
    <w:link w:val="78"/>
    <w:qFormat/>
    <w:uiPriority w:val="0"/>
    <w:rPr>
      <w:rFonts w:ascii="Cambria" w:hAnsi="Cambria" w:eastAsia="微软雅黑"/>
      <w:color w:val="595959"/>
      <w:kern w:val="20"/>
      <w:lang w:val="zh-CN"/>
    </w:rPr>
  </w:style>
  <w:style w:type="paragraph" w:customStyle="1" w:styleId="78">
    <w:name w:val="称呼1"/>
    <w:basedOn w:val="1"/>
    <w:next w:val="1"/>
    <w:link w:val="77"/>
    <w:qFormat/>
    <w:uiPriority w:val="0"/>
    <w:rPr>
      <w:color w:val="595959"/>
    </w:rPr>
  </w:style>
  <w:style w:type="character" w:customStyle="1" w:styleId="79">
    <w:name w:val="无间距字符"/>
    <w:link w:val="80"/>
    <w:qFormat/>
    <w:uiPriority w:val="0"/>
    <w:rPr>
      <w:rFonts w:ascii="Cambria" w:hAnsi="Cambria" w:eastAsia="黑体"/>
      <w:color w:val="595959"/>
      <w:lang w:val="zh-CN"/>
    </w:rPr>
  </w:style>
  <w:style w:type="paragraph" w:customStyle="1" w:styleId="80">
    <w:name w:val="无间距"/>
    <w:link w:val="79"/>
    <w:qFormat/>
    <w:uiPriority w:val="0"/>
    <w:pPr>
      <w:spacing w:before="40"/>
    </w:pPr>
    <w:rPr>
      <w:rFonts w:ascii="Cambria" w:hAnsi="Cambria" w:eastAsia="黑体" w:cs="Times New Roman"/>
      <w:color w:val="595959"/>
      <w:lang w:val="zh-CN" w:eastAsia="zh-CN" w:bidi="ar-SA"/>
    </w:rPr>
  </w:style>
  <w:style w:type="character" w:customStyle="1" w:styleId="81">
    <w:name w:val="消息头字符"/>
    <w:link w:val="82"/>
    <w:qFormat/>
    <w:uiPriority w:val="0"/>
    <w:rPr>
      <w:rFonts w:ascii="Calibri" w:hAnsi="Calibri"/>
      <w:color w:val="595959"/>
      <w:kern w:val="20"/>
      <w:sz w:val="24"/>
      <w:shd w:val="pct20" w:color="auto" w:fill="auto"/>
      <w:lang w:val="zh-CN"/>
    </w:rPr>
  </w:style>
  <w:style w:type="paragraph" w:customStyle="1" w:styleId="82">
    <w:name w:val="消息头"/>
    <w:basedOn w:val="1"/>
    <w:link w:val="8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libri" w:hAnsi="Calibri"/>
      <w:color w:val="595959"/>
      <w:sz w:val="24"/>
      <w:shd w:val="pct20" w:color="auto" w:fill="auto"/>
    </w:rPr>
  </w:style>
  <w:style w:type="character" w:customStyle="1" w:styleId="83">
    <w:name w:val="正文文本缩进 3 字符"/>
    <w:link w:val="84"/>
    <w:qFormat/>
    <w:uiPriority w:val="0"/>
    <w:rPr>
      <w:rFonts w:ascii="Cambria" w:hAnsi="Cambria" w:eastAsia="微软雅黑"/>
      <w:color w:val="595959"/>
      <w:kern w:val="20"/>
      <w:sz w:val="16"/>
      <w:lang w:val="zh-CN"/>
    </w:rPr>
  </w:style>
  <w:style w:type="paragraph" w:customStyle="1" w:styleId="84">
    <w:name w:val="正文文本缩进 31"/>
    <w:basedOn w:val="1"/>
    <w:link w:val="83"/>
    <w:qFormat/>
    <w:uiPriority w:val="0"/>
    <w:pPr>
      <w:spacing w:after="120"/>
      <w:ind w:left="360"/>
    </w:pPr>
    <w:rPr>
      <w:color w:val="595959"/>
      <w:sz w:val="16"/>
    </w:rPr>
  </w:style>
  <w:style w:type="character" w:customStyle="1" w:styleId="85">
    <w:name w:val="页脚文本字符"/>
    <w:link w:val="86"/>
    <w:qFormat/>
    <w:uiPriority w:val="0"/>
    <w:rPr>
      <w:color w:val="595959"/>
      <w:kern w:val="20"/>
      <w:sz w:val="21"/>
      <w:lang w:val="zh-CN"/>
    </w:rPr>
  </w:style>
  <w:style w:type="paragraph" w:customStyle="1" w:styleId="86">
    <w:name w:val="页脚文本"/>
    <w:basedOn w:val="1"/>
    <w:link w:val="85"/>
    <w:qFormat/>
    <w:uiPriority w:val="0"/>
    <w:rPr>
      <w:color w:val="595959"/>
    </w:rPr>
  </w:style>
  <w:style w:type="character" w:customStyle="1" w:styleId="87">
    <w:name w:val="fontborder"/>
    <w:qFormat/>
    <w:uiPriority w:val="0"/>
    <w:rPr>
      <w:color w:val="333333"/>
      <w:sz w:val="16"/>
      <w:szCs w:val="16"/>
      <w:u w:val="single"/>
      <w:bdr w:val="single" w:color="000000" w:sz="4" w:space="0"/>
    </w:rPr>
  </w:style>
  <w:style w:type="character" w:customStyle="1" w:styleId="88">
    <w:name w:val="HTML 定义1"/>
    <w:qFormat/>
    <w:uiPriority w:val="0"/>
  </w:style>
  <w:style w:type="character" w:customStyle="1" w:styleId="89">
    <w:name w:val="标题 9 字符"/>
    <w:qFormat/>
    <w:uiPriority w:val="0"/>
    <w:rPr>
      <w:rFonts w:ascii="Calibri" w:hAnsi="Calibri" w:eastAsia="宋体" w:cs="Arial"/>
      <w:i/>
      <w:iCs/>
      <w:color w:val="404040"/>
      <w:kern w:val="20"/>
      <w:szCs w:val="20"/>
      <w:lang w:val="zh-CN"/>
    </w:rPr>
  </w:style>
  <w:style w:type="character" w:customStyle="1" w:styleId="90">
    <w:name w:val="active"/>
    <w:qFormat/>
    <w:uiPriority w:val="0"/>
    <w:rPr>
      <w:shd w:val="clear" w:color="auto" w:fill="FFFFFF"/>
    </w:rPr>
  </w:style>
  <w:style w:type="character" w:customStyle="1" w:styleId="91">
    <w:name w:val="重要引言字符"/>
    <w:link w:val="92"/>
    <w:qFormat/>
    <w:uiPriority w:val="0"/>
    <w:rPr>
      <w:rFonts w:ascii="Cambria" w:hAnsi="Cambria" w:eastAsia="微软雅黑"/>
      <w:b/>
      <w:bCs/>
      <w:i/>
      <w:iCs/>
      <w:color w:val="7E97AD"/>
      <w:kern w:val="20"/>
      <w:lang w:val="zh-CN"/>
    </w:rPr>
  </w:style>
  <w:style w:type="paragraph" w:customStyle="1" w:styleId="92">
    <w:name w:val="重要引言"/>
    <w:basedOn w:val="1"/>
    <w:next w:val="1"/>
    <w:link w:val="91"/>
    <w:qFormat/>
    <w:uiPriority w:val="0"/>
    <w:pPr>
      <w:pBdr>
        <w:bottom w:val="single" w:color="7E97AD" w:sz="4" w:space="4"/>
      </w:pBdr>
      <w:spacing w:before="200" w:after="280"/>
      <w:ind w:left="936" w:right="936"/>
    </w:pPr>
    <w:rPr>
      <w:b/>
      <w:bCs/>
      <w:i/>
      <w:iCs/>
      <w:color w:val="7E97AD"/>
    </w:rPr>
  </w:style>
  <w:style w:type="character" w:customStyle="1" w:styleId="93">
    <w:name w:val="text"/>
    <w:qFormat/>
    <w:uiPriority w:val="0"/>
  </w:style>
  <w:style w:type="character" w:customStyle="1" w:styleId="94">
    <w:name w:val="注释引用"/>
    <w:qFormat/>
    <w:uiPriority w:val="0"/>
    <w:rPr>
      <w:sz w:val="16"/>
    </w:rPr>
  </w:style>
  <w:style w:type="character" w:customStyle="1" w:styleId="95">
    <w:name w:val="正文文本第一缩进 2 字符"/>
    <w:link w:val="96"/>
    <w:qFormat/>
    <w:uiPriority w:val="0"/>
    <w:rPr>
      <w:rFonts w:ascii="Cambria" w:hAnsi="Cambria" w:eastAsia="微软雅黑"/>
      <w:color w:val="595959"/>
      <w:kern w:val="20"/>
      <w:lang w:val="zh-CN"/>
    </w:rPr>
  </w:style>
  <w:style w:type="paragraph" w:customStyle="1" w:styleId="96">
    <w:name w:val="正文文本第一缩进 2"/>
    <w:basedOn w:val="97"/>
    <w:link w:val="95"/>
    <w:qFormat/>
    <w:uiPriority w:val="0"/>
    <w:pPr>
      <w:spacing w:after="200"/>
      <w:ind w:firstLine="360"/>
    </w:pPr>
  </w:style>
  <w:style w:type="paragraph" w:customStyle="1" w:styleId="97">
    <w:name w:val="正文文本缩进1"/>
    <w:basedOn w:val="1"/>
    <w:next w:val="1"/>
    <w:link w:val="98"/>
    <w:qFormat/>
    <w:uiPriority w:val="0"/>
    <w:pPr>
      <w:spacing w:after="120"/>
      <w:ind w:left="360"/>
    </w:pPr>
    <w:rPr>
      <w:color w:val="595959"/>
    </w:rPr>
  </w:style>
  <w:style w:type="character" w:customStyle="1" w:styleId="98">
    <w:name w:val="正文文本缩进 字符1"/>
    <w:link w:val="97"/>
    <w:qFormat/>
    <w:uiPriority w:val="0"/>
    <w:rPr>
      <w:rFonts w:ascii="Cambria" w:hAnsi="Cambria" w:eastAsia="微软雅黑"/>
      <w:color w:val="595959"/>
      <w:kern w:val="20"/>
      <w:sz w:val="21"/>
      <w:lang w:val="zh-CN"/>
    </w:rPr>
  </w:style>
  <w:style w:type="character" w:customStyle="1" w:styleId="99">
    <w:name w:val="HTML 地址 字符"/>
    <w:link w:val="100"/>
    <w:qFormat/>
    <w:uiPriority w:val="0"/>
    <w:rPr>
      <w:rFonts w:ascii="Cambria" w:hAnsi="Cambria" w:eastAsia="微软雅黑"/>
      <w:i/>
      <w:iCs/>
      <w:color w:val="595959"/>
      <w:kern w:val="20"/>
      <w:lang w:val="zh-CN"/>
    </w:rPr>
  </w:style>
  <w:style w:type="paragraph" w:customStyle="1" w:styleId="100">
    <w:name w:val="HTML 地址1"/>
    <w:basedOn w:val="1"/>
    <w:link w:val="99"/>
    <w:qFormat/>
    <w:uiPriority w:val="0"/>
    <w:rPr>
      <w:i/>
      <w:iCs/>
      <w:color w:val="595959"/>
    </w:rPr>
  </w:style>
  <w:style w:type="character" w:customStyle="1" w:styleId="101">
    <w:name w:val="备注主题字符"/>
    <w:link w:val="102"/>
    <w:qFormat/>
    <w:uiPriority w:val="0"/>
    <w:rPr>
      <w:rFonts w:ascii="Cambria" w:hAnsi="Cambria" w:eastAsia="微软雅黑"/>
      <w:b/>
      <w:bCs/>
      <w:color w:val="595959"/>
      <w:kern w:val="20"/>
      <w:lang w:val="zh-CN"/>
    </w:rPr>
  </w:style>
  <w:style w:type="paragraph" w:customStyle="1" w:styleId="102">
    <w:name w:val="注释主题"/>
    <w:basedOn w:val="103"/>
    <w:next w:val="103"/>
    <w:link w:val="101"/>
    <w:qFormat/>
    <w:uiPriority w:val="0"/>
    <w:rPr>
      <w:b/>
      <w:bCs/>
    </w:rPr>
  </w:style>
  <w:style w:type="paragraph" w:customStyle="1" w:styleId="103">
    <w:name w:val="注释文本"/>
    <w:basedOn w:val="1"/>
    <w:link w:val="104"/>
    <w:qFormat/>
    <w:uiPriority w:val="0"/>
    <w:rPr>
      <w:color w:val="595959"/>
    </w:rPr>
  </w:style>
  <w:style w:type="character" w:customStyle="1" w:styleId="104">
    <w:name w:val="备注文本字符"/>
    <w:link w:val="103"/>
    <w:qFormat/>
    <w:uiPriority w:val="0"/>
    <w:rPr>
      <w:rFonts w:ascii="Cambria" w:hAnsi="Cambria" w:eastAsia="微软雅黑"/>
      <w:color w:val="595959"/>
      <w:kern w:val="20"/>
      <w:lang w:val="zh-CN"/>
    </w:rPr>
  </w:style>
  <w:style w:type="character" w:customStyle="1" w:styleId="105">
    <w:name w:val="文档结构图 字符"/>
    <w:link w:val="106"/>
    <w:qFormat/>
    <w:uiPriority w:val="0"/>
    <w:rPr>
      <w:rFonts w:ascii="Tahoma" w:hAnsi="Tahoma" w:eastAsia="Times New Roman"/>
      <w:color w:val="595959"/>
      <w:kern w:val="20"/>
      <w:sz w:val="16"/>
      <w:lang w:val="zh-CN"/>
    </w:rPr>
  </w:style>
  <w:style w:type="paragraph" w:customStyle="1" w:styleId="106">
    <w:name w:val="文档结构图1"/>
    <w:basedOn w:val="1"/>
    <w:link w:val="105"/>
    <w:qFormat/>
    <w:uiPriority w:val="0"/>
    <w:rPr>
      <w:rFonts w:ascii="Tahoma" w:hAnsi="Tahoma" w:eastAsia="Times New Roman"/>
      <w:color w:val="595959"/>
      <w:sz w:val="16"/>
    </w:rPr>
  </w:style>
  <w:style w:type="character" w:customStyle="1" w:styleId="107">
    <w:name w:val="HTML 变量1"/>
    <w:qFormat/>
    <w:uiPriority w:val="0"/>
  </w:style>
  <w:style w:type="character" w:customStyle="1" w:styleId="108">
    <w:name w:val="批注主题 字符"/>
    <w:link w:val="109"/>
    <w:qFormat/>
    <w:uiPriority w:val="99"/>
    <w:rPr>
      <w:rFonts w:ascii="Cambria" w:hAnsi="Cambria" w:eastAsia="微软雅黑"/>
      <w:b/>
      <w:bCs/>
      <w:color w:val="000000"/>
      <w:kern w:val="20"/>
      <w:sz w:val="21"/>
      <w:lang w:val="zh-CN"/>
    </w:rPr>
  </w:style>
  <w:style w:type="paragraph" w:customStyle="1" w:styleId="109">
    <w:name w:val="批注主题1"/>
    <w:basedOn w:val="18"/>
    <w:next w:val="18"/>
    <w:link w:val="108"/>
    <w:qFormat/>
    <w:uiPriority w:val="0"/>
    <w:rPr>
      <w:b/>
      <w:bCs/>
      <w:color w:val="000000"/>
    </w:rPr>
  </w:style>
  <w:style w:type="character" w:customStyle="1" w:styleId="110">
    <w:name w:val="批注文字 字符1"/>
    <w:qFormat/>
    <w:uiPriority w:val="0"/>
    <w:rPr>
      <w:rFonts w:eastAsia="微软雅黑"/>
      <w:color w:val="595959"/>
      <w:kern w:val="20"/>
      <w:sz w:val="21"/>
      <w:lang w:val="zh-CN"/>
    </w:rPr>
  </w:style>
  <w:style w:type="character" w:customStyle="1" w:styleId="111">
    <w:name w:val="正文文本 2 字符"/>
    <w:link w:val="112"/>
    <w:qFormat/>
    <w:uiPriority w:val="0"/>
    <w:rPr>
      <w:rFonts w:ascii="Cambria" w:hAnsi="Cambria" w:eastAsia="微软雅黑"/>
      <w:color w:val="595959"/>
      <w:kern w:val="20"/>
      <w:lang w:val="zh-CN"/>
    </w:rPr>
  </w:style>
  <w:style w:type="paragraph" w:customStyle="1" w:styleId="112">
    <w:name w:val="正文文本 21"/>
    <w:basedOn w:val="1"/>
    <w:link w:val="111"/>
    <w:qFormat/>
    <w:uiPriority w:val="0"/>
    <w:pPr>
      <w:spacing w:after="120" w:line="480" w:lineRule="auto"/>
    </w:pPr>
    <w:rPr>
      <w:color w:val="595959"/>
    </w:rPr>
  </w:style>
  <w:style w:type="character" w:customStyle="1" w:styleId="113">
    <w:name w:val="标题 5 字符"/>
    <w:qFormat/>
    <w:uiPriority w:val="0"/>
    <w:rPr>
      <w:rFonts w:ascii="Calibri" w:hAnsi="Calibri" w:eastAsia="宋体" w:cs="Arial"/>
      <w:color w:val="7E97AD"/>
      <w:kern w:val="20"/>
      <w:szCs w:val="20"/>
      <w:lang w:val="zh-CN"/>
    </w:rPr>
  </w:style>
  <w:style w:type="character" w:customStyle="1" w:styleId="114">
    <w:name w:val="lemmawgt-lemmatitle-title1"/>
    <w:qFormat/>
    <w:uiPriority w:val="0"/>
  </w:style>
  <w:style w:type="character" w:customStyle="1" w:styleId="115">
    <w:name w:val="宏文本字符"/>
    <w:link w:val="116"/>
    <w:qFormat/>
    <w:uiPriority w:val="0"/>
    <w:rPr>
      <w:rFonts w:ascii="Consolas" w:hAnsi="Consolas" w:eastAsia="Times New Roman" w:cs="Consolas"/>
      <w:color w:val="595959"/>
      <w:lang w:val="zh-CN"/>
    </w:rPr>
  </w:style>
  <w:style w:type="paragraph" w:customStyle="1" w:styleId="116">
    <w:name w:val="宏"/>
    <w:link w:val="115"/>
    <w:qFormat/>
    <w:uiPriority w:val="0"/>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eastAsia="Times New Roman" w:cs="Consolas"/>
      <w:color w:val="595959"/>
      <w:lang w:val="zh-CN" w:eastAsia="zh-CN" w:bidi="ar-SA"/>
    </w:rPr>
  </w:style>
  <w:style w:type="character" w:customStyle="1" w:styleId="117">
    <w:name w:val="fontstrikethrough"/>
    <w:qFormat/>
    <w:uiPriority w:val="0"/>
    <w:rPr>
      <w:strike/>
    </w:rPr>
  </w:style>
  <w:style w:type="character" w:customStyle="1" w:styleId="118">
    <w:name w:val="已访问的超链接1"/>
    <w:qFormat/>
    <w:uiPriority w:val="0"/>
    <w:rPr>
      <w:color w:val="969696"/>
      <w:u w:val="single"/>
    </w:rPr>
  </w:style>
  <w:style w:type="character" w:customStyle="1" w:styleId="119">
    <w:name w:val="尾注参考线"/>
    <w:qFormat/>
    <w:uiPriority w:val="0"/>
    <w:rPr>
      <w:vertAlign w:val="superscript"/>
    </w:rPr>
  </w:style>
  <w:style w:type="character" w:customStyle="1" w:styleId="120">
    <w:name w:val="font01"/>
    <w:qFormat/>
    <w:uiPriority w:val="0"/>
    <w:rPr>
      <w:rFonts w:hint="eastAsia" w:ascii="宋体" w:hAnsi="宋体" w:eastAsia="宋体" w:cs="宋体"/>
      <w:color w:val="000000"/>
      <w:sz w:val="20"/>
      <w:szCs w:val="20"/>
      <w:u w:val="none"/>
    </w:rPr>
  </w:style>
  <w:style w:type="character" w:customStyle="1" w:styleId="121">
    <w:name w:val="HTML 代码1"/>
    <w:qFormat/>
    <w:uiPriority w:val="0"/>
    <w:rPr>
      <w:rFonts w:ascii="Consolas" w:hAnsi="Consolas" w:eastAsia="Times New Roman"/>
      <w:sz w:val="20"/>
    </w:rPr>
  </w:style>
  <w:style w:type="character" w:customStyle="1" w:styleId="122">
    <w:name w:val="批注框文本 字符"/>
    <w:qFormat/>
    <w:uiPriority w:val="99"/>
    <w:rPr>
      <w:rFonts w:ascii="Tahoma" w:hAnsi="Tahoma" w:eastAsia="Times New Roman" w:cs="Tahoma"/>
      <w:color w:val="595959"/>
      <w:kern w:val="20"/>
      <w:sz w:val="16"/>
      <w:szCs w:val="20"/>
      <w:lang w:val="zh-CN"/>
    </w:rPr>
  </w:style>
  <w:style w:type="character" w:customStyle="1" w:styleId="123">
    <w:name w:val="注释标题 字符"/>
    <w:link w:val="124"/>
    <w:qFormat/>
    <w:uiPriority w:val="0"/>
    <w:rPr>
      <w:rFonts w:ascii="Cambria" w:hAnsi="Cambria" w:eastAsia="微软雅黑"/>
      <w:color w:val="595959"/>
      <w:kern w:val="20"/>
      <w:lang w:val="zh-CN"/>
    </w:rPr>
  </w:style>
  <w:style w:type="paragraph" w:customStyle="1" w:styleId="124">
    <w:name w:val="注释标题1"/>
    <w:basedOn w:val="1"/>
    <w:next w:val="1"/>
    <w:link w:val="123"/>
    <w:qFormat/>
    <w:uiPriority w:val="0"/>
    <w:rPr>
      <w:color w:val="595959"/>
    </w:rPr>
  </w:style>
  <w:style w:type="character" w:customStyle="1" w:styleId="125">
    <w:name w:val="HTML 预设格式 字符"/>
    <w:link w:val="126"/>
    <w:qFormat/>
    <w:uiPriority w:val="0"/>
    <w:rPr>
      <w:rFonts w:ascii="Consolas" w:hAnsi="Consolas" w:eastAsia="Times New Roman"/>
      <w:color w:val="595959"/>
      <w:kern w:val="20"/>
      <w:lang w:val="zh-CN"/>
    </w:rPr>
  </w:style>
  <w:style w:type="paragraph" w:customStyle="1" w:styleId="126">
    <w:name w:val="HTML 预设格式1"/>
    <w:basedOn w:val="1"/>
    <w:link w:val="125"/>
    <w:qFormat/>
    <w:uiPriority w:val="0"/>
    <w:rPr>
      <w:rFonts w:ascii="Consolas" w:hAnsi="Consolas" w:eastAsia="Times New Roman"/>
      <w:color w:val="595959"/>
    </w:rPr>
  </w:style>
  <w:style w:type="character" w:customStyle="1" w:styleId="127">
    <w:name w:val="日期 字符"/>
    <w:link w:val="128"/>
    <w:qFormat/>
    <w:uiPriority w:val="0"/>
    <w:rPr>
      <w:rFonts w:ascii="Cambria" w:hAnsi="Cambria" w:eastAsia="微软雅黑"/>
      <w:color w:val="595959"/>
      <w:kern w:val="20"/>
      <w:lang w:val="zh-CN"/>
    </w:rPr>
  </w:style>
  <w:style w:type="paragraph" w:customStyle="1" w:styleId="128">
    <w:name w:val="日期1"/>
    <w:basedOn w:val="1"/>
    <w:next w:val="1"/>
    <w:link w:val="127"/>
    <w:qFormat/>
    <w:uiPriority w:val="0"/>
    <w:rPr>
      <w:color w:val="595959"/>
    </w:rPr>
  </w:style>
  <w:style w:type="character" w:customStyle="1" w:styleId="129">
    <w:name w:val="列出段落 字符1"/>
    <w:link w:val="130"/>
    <w:qFormat/>
    <w:uiPriority w:val="99"/>
    <w:rPr>
      <w:rFonts w:ascii="Cambria" w:hAnsi="Cambria" w:eastAsia="微软雅黑"/>
      <w:color w:val="595959"/>
      <w:kern w:val="20"/>
      <w:sz w:val="21"/>
      <w:lang w:val="zh-CN"/>
    </w:rPr>
  </w:style>
  <w:style w:type="paragraph" w:customStyle="1" w:styleId="130">
    <w:name w:val="列出段落1"/>
    <w:basedOn w:val="1"/>
    <w:link w:val="129"/>
    <w:qFormat/>
    <w:uiPriority w:val="0"/>
    <w:pPr>
      <w:ind w:left="720"/>
      <w:contextualSpacing/>
    </w:pPr>
    <w:rPr>
      <w:color w:val="595959"/>
    </w:rPr>
  </w:style>
  <w:style w:type="character" w:customStyle="1" w:styleId="131">
    <w:name w:val="访问过的超链接1"/>
    <w:qFormat/>
    <w:uiPriority w:val="0"/>
    <w:rPr>
      <w:rFonts w:cs="Times New Roman"/>
      <w:color w:val="800080"/>
      <w:u w:val="single"/>
    </w:rPr>
  </w:style>
  <w:style w:type="character" w:customStyle="1" w:styleId="132">
    <w:name w:val="font11"/>
    <w:qFormat/>
    <w:uiPriority w:val="0"/>
    <w:rPr>
      <w:rFonts w:hint="eastAsia" w:ascii="楷体_GB2312" w:eastAsia="楷体_GB2312" w:cs="楷体_GB2312"/>
      <w:color w:val="000000"/>
      <w:sz w:val="20"/>
      <w:szCs w:val="20"/>
      <w:u w:val="none"/>
    </w:rPr>
  </w:style>
  <w:style w:type="character" w:customStyle="1" w:styleId="133">
    <w:name w:val="页码1"/>
    <w:qFormat/>
    <w:uiPriority w:val="0"/>
    <w:rPr>
      <w:rFonts w:cs="Times New Roman"/>
    </w:rPr>
  </w:style>
  <w:style w:type="character" w:customStyle="1" w:styleId="134">
    <w:name w:val="批注引用1"/>
    <w:qFormat/>
    <w:uiPriority w:val="0"/>
    <w:rPr>
      <w:sz w:val="21"/>
    </w:rPr>
  </w:style>
  <w:style w:type="character" w:customStyle="1" w:styleId="135">
    <w:name w:val="电子邮件签名 字符"/>
    <w:link w:val="136"/>
    <w:qFormat/>
    <w:uiPriority w:val="0"/>
    <w:rPr>
      <w:rFonts w:ascii="Cambria" w:hAnsi="Cambria" w:eastAsia="微软雅黑"/>
      <w:color w:val="595959"/>
      <w:kern w:val="20"/>
      <w:lang w:val="zh-CN"/>
    </w:rPr>
  </w:style>
  <w:style w:type="paragraph" w:customStyle="1" w:styleId="136">
    <w:name w:val="电子邮件签名1"/>
    <w:basedOn w:val="1"/>
    <w:link w:val="135"/>
    <w:qFormat/>
    <w:uiPriority w:val="0"/>
    <w:rPr>
      <w:color w:val="595959"/>
    </w:rPr>
  </w:style>
  <w:style w:type="character" w:customStyle="1" w:styleId="137">
    <w:name w:val="重要参考资料"/>
    <w:qFormat/>
    <w:uiPriority w:val="0"/>
    <w:rPr>
      <w:b/>
      <w:smallCaps/>
      <w:color w:val="CC8E60"/>
      <w:spacing w:val="5"/>
      <w:u w:val="single"/>
    </w:rPr>
  </w:style>
  <w:style w:type="character" w:customStyle="1" w:styleId="138">
    <w:name w:val="未处理的提及1"/>
    <w:qFormat/>
    <w:uiPriority w:val="0"/>
    <w:rPr>
      <w:color w:val="605E5C"/>
      <w:shd w:val="clear" w:color="auto" w:fill="E1DFDD"/>
    </w:rPr>
  </w:style>
  <w:style w:type="character" w:customStyle="1" w:styleId="139">
    <w:name w:val="页脚参考线"/>
    <w:qFormat/>
    <w:uiPriority w:val="0"/>
    <w:rPr>
      <w:vertAlign w:val="superscript"/>
    </w:rPr>
  </w:style>
  <w:style w:type="character" w:customStyle="1" w:styleId="140">
    <w:name w:val="HTML 缩写词"/>
    <w:qFormat/>
    <w:uiPriority w:val="0"/>
    <w:rPr>
      <w:rFonts w:cs="Times New Roman"/>
    </w:rPr>
  </w:style>
  <w:style w:type="character" w:customStyle="1" w:styleId="141">
    <w:name w:val="增强"/>
    <w:qFormat/>
    <w:uiPriority w:val="0"/>
    <w:rPr>
      <w:b/>
    </w:rPr>
  </w:style>
  <w:style w:type="character" w:customStyle="1" w:styleId="142">
    <w:name w:val="签名 字符"/>
    <w:link w:val="143"/>
    <w:qFormat/>
    <w:uiPriority w:val="20"/>
    <w:rPr>
      <w:rFonts w:ascii="Cambria" w:hAnsi="Cambria" w:eastAsia="微软雅黑"/>
      <w:color w:val="595959"/>
      <w:kern w:val="20"/>
      <w:lang w:val="zh-CN"/>
    </w:rPr>
  </w:style>
  <w:style w:type="paragraph" w:customStyle="1" w:styleId="143">
    <w:name w:val="签名1"/>
    <w:basedOn w:val="1"/>
    <w:link w:val="142"/>
    <w:qFormat/>
    <w:uiPriority w:val="0"/>
    <w:pPr>
      <w:spacing w:before="720" w:line="312" w:lineRule="auto"/>
      <w:contextualSpacing/>
    </w:pPr>
    <w:rPr>
      <w:color w:val="595959"/>
    </w:rPr>
  </w:style>
  <w:style w:type="character" w:customStyle="1" w:styleId="144">
    <w:name w:val="页眉 字符"/>
    <w:qFormat/>
    <w:uiPriority w:val="99"/>
    <w:rPr>
      <w:rFonts w:ascii="Cambria" w:hAnsi="Cambria" w:eastAsia="微软雅黑" w:cs="Times New Roman"/>
      <w:color w:val="595959"/>
      <w:kern w:val="20"/>
      <w:szCs w:val="20"/>
      <w:lang w:val="zh-CN"/>
    </w:rPr>
  </w:style>
  <w:style w:type="character" w:customStyle="1" w:styleId="145">
    <w:name w:val="行号1"/>
    <w:qFormat/>
    <w:uiPriority w:val="0"/>
    <w:rPr>
      <w:rFonts w:cs="Times New Roman"/>
    </w:rPr>
  </w:style>
  <w:style w:type="character" w:customStyle="1" w:styleId="146">
    <w:name w:val="HTML 样本1"/>
    <w:qFormat/>
    <w:uiPriority w:val="0"/>
    <w:rPr>
      <w:rFonts w:hint="default" w:ascii="serif" w:hAnsi="serif" w:eastAsia="serif" w:cs="serif"/>
      <w:sz w:val="21"/>
      <w:szCs w:val="21"/>
    </w:rPr>
  </w:style>
  <w:style w:type="character" w:customStyle="1" w:styleId="147">
    <w:name w:val="正文文本第一缩进字符"/>
    <w:link w:val="148"/>
    <w:qFormat/>
    <w:uiPriority w:val="0"/>
    <w:rPr>
      <w:rFonts w:ascii="Cambria" w:hAnsi="Cambria" w:eastAsia="微软雅黑"/>
      <w:color w:val="595959"/>
      <w:kern w:val="20"/>
      <w:lang w:val="zh-CN"/>
    </w:rPr>
  </w:style>
  <w:style w:type="paragraph" w:customStyle="1" w:styleId="148">
    <w:name w:val="正文文本第一缩进"/>
    <w:basedOn w:val="2"/>
    <w:link w:val="147"/>
    <w:qFormat/>
    <w:uiPriority w:val="0"/>
    <w:pPr>
      <w:spacing w:after="200"/>
      <w:ind w:firstLine="360"/>
    </w:pPr>
  </w:style>
  <w:style w:type="character" w:customStyle="1" w:styleId="149">
    <w:name w:val="HTML 示例"/>
    <w:qFormat/>
    <w:uiPriority w:val="0"/>
    <w:rPr>
      <w:rFonts w:ascii="Consolas" w:hAnsi="Consolas" w:eastAsia="Times New Roman"/>
      <w:sz w:val="24"/>
    </w:rPr>
  </w:style>
  <w:style w:type="character" w:customStyle="1" w:styleId="150">
    <w:name w:val="引言字符"/>
    <w:link w:val="151"/>
    <w:qFormat/>
    <w:uiPriority w:val="0"/>
    <w:rPr>
      <w:rFonts w:ascii="Cambria" w:hAnsi="Cambria" w:eastAsia="微软雅黑"/>
      <w:i/>
      <w:iCs/>
      <w:color w:val="7E97AD"/>
      <w:kern w:val="20"/>
      <w:sz w:val="28"/>
      <w:lang w:val="zh-CN"/>
    </w:rPr>
  </w:style>
  <w:style w:type="paragraph" w:customStyle="1" w:styleId="151">
    <w:name w:val="引言"/>
    <w:basedOn w:val="1"/>
    <w:next w:val="1"/>
    <w:link w:val="150"/>
    <w:qFormat/>
    <w:uiPriority w:val="0"/>
    <w:pPr>
      <w:spacing w:before="240" w:after="240"/>
      <w:ind w:left="720" w:right="720"/>
    </w:pPr>
    <w:rPr>
      <w:i/>
      <w:iCs/>
      <w:color w:val="7E97AD"/>
      <w:sz w:val="28"/>
    </w:rPr>
  </w:style>
  <w:style w:type="character" w:customStyle="1" w:styleId="152">
    <w:name w:val="active1"/>
    <w:qFormat/>
    <w:uiPriority w:val="0"/>
    <w:rPr>
      <w:shd w:val="clear" w:color="auto" w:fill="FFFFFF"/>
    </w:rPr>
  </w:style>
  <w:style w:type="character" w:customStyle="1" w:styleId="153">
    <w:name w:val="标题 3 字符"/>
    <w:qFormat/>
    <w:uiPriority w:val="0"/>
    <w:rPr>
      <w:rFonts w:ascii="宋体" w:hAnsi="宋体"/>
      <w:b/>
      <w:bCs/>
      <w:color w:val="000000"/>
      <w:kern w:val="20"/>
      <w:sz w:val="24"/>
      <w:szCs w:val="28"/>
      <w:lang w:val="zh-CN"/>
    </w:rPr>
  </w:style>
  <w:style w:type="character" w:customStyle="1" w:styleId="154">
    <w:name w:val="标题 6 字符"/>
    <w:qFormat/>
    <w:uiPriority w:val="0"/>
    <w:rPr>
      <w:rFonts w:ascii="Calibri" w:hAnsi="Calibri" w:eastAsia="宋体" w:cs="Arial"/>
      <w:i/>
      <w:iCs/>
      <w:color w:val="7E97AD"/>
      <w:kern w:val="20"/>
      <w:szCs w:val="20"/>
      <w:lang w:val="zh-CN"/>
    </w:rPr>
  </w:style>
  <w:style w:type="character" w:customStyle="1" w:styleId="155">
    <w:name w:val="次要参考资料"/>
    <w:qFormat/>
    <w:uiPriority w:val="0"/>
    <w:rPr>
      <w:smallCaps/>
      <w:color w:val="CC8E60"/>
      <w:u w:val="single"/>
    </w:rPr>
  </w:style>
  <w:style w:type="character" w:customStyle="1" w:styleId="156">
    <w:name w:val="HTML 打字机1"/>
    <w:qFormat/>
    <w:uiPriority w:val="0"/>
    <w:rPr>
      <w:rFonts w:ascii="Consolas" w:hAnsi="Consolas" w:eastAsia="Times New Roman"/>
      <w:sz w:val="20"/>
    </w:rPr>
  </w:style>
  <w:style w:type="character" w:customStyle="1" w:styleId="157">
    <w:name w:val="px_10"/>
    <w:qFormat/>
    <w:uiPriority w:val="0"/>
    <w:rPr>
      <w:rFonts w:hint="default"/>
    </w:rPr>
  </w:style>
  <w:style w:type="character" w:customStyle="1" w:styleId="158">
    <w:name w:val="次要强调"/>
    <w:qFormat/>
    <w:uiPriority w:val="0"/>
    <w:rPr>
      <w:i/>
      <w:color w:val="7F7F7F"/>
    </w:rPr>
  </w:style>
  <w:style w:type="character" w:customStyle="1" w:styleId="159">
    <w:name w:val="标题 8 字符"/>
    <w:qFormat/>
    <w:uiPriority w:val="0"/>
    <w:rPr>
      <w:rFonts w:ascii="Calibri" w:hAnsi="Calibri" w:eastAsia="宋体" w:cs="Arial"/>
      <w:color w:val="404040"/>
      <w:kern w:val="20"/>
      <w:szCs w:val="20"/>
      <w:lang w:val="zh-CN"/>
    </w:rPr>
  </w:style>
  <w:style w:type="character" w:customStyle="1" w:styleId="160">
    <w:name w:val="hover15"/>
    <w:qFormat/>
    <w:uiPriority w:val="0"/>
    <w:rPr>
      <w:bdr w:val="single" w:color="999999" w:sz="6" w:space="0"/>
    </w:rPr>
  </w:style>
  <w:style w:type="character" w:customStyle="1" w:styleId="161">
    <w:name w:val="结束语 字符"/>
    <w:link w:val="162"/>
    <w:qFormat/>
    <w:uiPriority w:val="0"/>
    <w:rPr>
      <w:rFonts w:ascii="Cambria" w:hAnsi="Cambria" w:eastAsia="微软雅黑"/>
      <w:color w:val="595959"/>
      <w:kern w:val="20"/>
      <w:lang w:val="zh-CN"/>
    </w:rPr>
  </w:style>
  <w:style w:type="paragraph" w:customStyle="1" w:styleId="162">
    <w:name w:val="结束语1"/>
    <w:basedOn w:val="1"/>
    <w:link w:val="161"/>
    <w:qFormat/>
    <w:uiPriority w:val="0"/>
    <w:pPr>
      <w:ind w:left="4320"/>
    </w:pPr>
    <w:rPr>
      <w:color w:val="595959"/>
    </w:rPr>
  </w:style>
  <w:style w:type="character" w:customStyle="1" w:styleId="163">
    <w:name w:val="列出段落 字符"/>
    <w:qFormat/>
    <w:uiPriority w:val="0"/>
    <w:rPr>
      <w:rFonts w:ascii="Cambria" w:hAnsi="Cambria" w:eastAsia="微软雅黑"/>
      <w:kern w:val="20"/>
      <w:sz w:val="21"/>
      <w:lang w:val="zh-CN"/>
    </w:rPr>
  </w:style>
  <w:style w:type="character" w:customStyle="1" w:styleId="164">
    <w:name w:val="标题 7 字符"/>
    <w:qFormat/>
    <w:uiPriority w:val="0"/>
    <w:rPr>
      <w:rFonts w:ascii="Calibri" w:hAnsi="Calibri" w:eastAsia="宋体" w:cs="Arial"/>
      <w:i/>
      <w:iCs/>
      <w:color w:val="404040"/>
      <w:kern w:val="20"/>
      <w:szCs w:val="20"/>
      <w:lang w:val="zh-CN"/>
    </w:rPr>
  </w:style>
  <w:style w:type="character" w:customStyle="1" w:styleId="165">
    <w:name w:val="重要强调"/>
    <w:qFormat/>
    <w:uiPriority w:val="0"/>
    <w:rPr>
      <w:b/>
      <w:i/>
      <w:color w:val="7E97AD"/>
    </w:rPr>
  </w:style>
  <w:style w:type="character" w:customStyle="1" w:styleId="166">
    <w:name w:val="datacell"/>
    <w:qFormat/>
    <w:uiPriority w:val="0"/>
  </w:style>
  <w:style w:type="character" w:customStyle="1" w:styleId="167">
    <w:name w:val="HTML 引文1"/>
    <w:qFormat/>
    <w:uiPriority w:val="0"/>
  </w:style>
  <w:style w:type="character" w:customStyle="1" w:styleId="168">
    <w:name w:val="icon"/>
    <w:qFormat/>
    <w:uiPriority w:val="0"/>
  </w:style>
  <w:style w:type="character" w:customStyle="1" w:styleId="169">
    <w:name w:val="正文文本 3 字符"/>
    <w:link w:val="170"/>
    <w:qFormat/>
    <w:uiPriority w:val="0"/>
    <w:rPr>
      <w:rFonts w:ascii="Cambria" w:hAnsi="Cambria" w:eastAsia="微软雅黑"/>
      <w:color w:val="595959"/>
      <w:kern w:val="20"/>
      <w:sz w:val="16"/>
      <w:lang w:val="zh-CN"/>
    </w:rPr>
  </w:style>
  <w:style w:type="paragraph" w:customStyle="1" w:styleId="170">
    <w:name w:val="正文文本 31"/>
    <w:basedOn w:val="1"/>
    <w:link w:val="169"/>
    <w:qFormat/>
    <w:uiPriority w:val="0"/>
    <w:pPr>
      <w:spacing w:after="120"/>
    </w:pPr>
    <w:rPr>
      <w:color w:val="595959"/>
      <w:sz w:val="16"/>
    </w:rPr>
  </w:style>
  <w:style w:type="character" w:customStyle="1" w:styleId="171">
    <w:name w:val="页脚 字符"/>
    <w:qFormat/>
    <w:uiPriority w:val="99"/>
    <w:rPr>
      <w:rFonts w:ascii="Cambria" w:hAnsi="Cambria" w:eastAsia="微软雅黑" w:cs="Times New Roman"/>
      <w:color w:val="595959"/>
      <w:kern w:val="20"/>
      <w:szCs w:val="20"/>
      <w:lang w:val="zh-CN"/>
    </w:rPr>
  </w:style>
  <w:style w:type="character" w:customStyle="1" w:styleId="172">
    <w:name w:val="纯文本 字符"/>
    <w:link w:val="173"/>
    <w:qFormat/>
    <w:uiPriority w:val="0"/>
    <w:rPr>
      <w:rFonts w:ascii="Consolas" w:hAnsi="Consolas" w:eastAsia="Times New Roman"/>
      <w:color w:val="595959"/>
      <w:kern w:val="20"/>
      <w:lang w:val="zh-CN"/>
    </w:rPr>
  </w:style>
  <w:style w:type="paragraph" w:customStyle="1" w:styleId="173">
    <w:name w:val="纯文本1"/>
    <w:basedOn w:val="1"/>
    <w:link w:val="172"/>
    <w:qFormat/>
    <w:uiPriority w:val="0"/>
    <w:rPr>
      <w:rFonts w:ascii="Consolas" w:hAnsi="Consolas" w:eastAsia="Times New Roman"/>
      <w:color w:val="595959"/>
    </w:rPr>
  </w:style>
  <w:style w:type="character" w:customStyle="1" w:styleId="174">
    <w:name w:val="书名"/>
    <w:qFormat/>
    <w:uiPriority w:val="0"/>
    <w:rPr>
      <w:b/>
      <w:smallCaps/>
      <w:spacing w:val="5"/>
    </w:rPr>
  </w:style>
  <w:style w:type="paragraph" w:customStyle="1" w:styleId="175">
    <w:name w:val="索引 51"/>
    <w:basedOn w:val="1"/>
    <w:next w:val="1"/>
    <w:qFormat/>
    <w:uiPriority w:val="0"/>
    <w:pPr>
      <w:ind w:left="1100" w:hanging="220"/>
    </w:pPr>
    <w:rPr>
      <w:color w:val="595959"/>
    </w:rPr>
  </w:style>
  <w:style w:type="paragraph" w:customStyle="1" w:styleId="176">
    <w:name w:val="列表 21"/>
    <w:basedOn w:val="1"/>
    <w:qFormat/>
    <w:uiPriority w:val="0"/>
    <w:pPr>
      <w:ind w:left="720" w:hanging="360"/>
      <w:contextualSpacing/>
    </w:pPr>
    <w:rPr>
      <w:color w:val="595959"/>
    </w:rPr>
  </w:style>
  <w:style w:type="paragraph" w:customStyle="1" w:styleId="177">
    <w:name w:val="列表接续 51"/>
    <w:basedOn w:val="1"/>
    <w:qFormat/>
    <w:uiPriority w:val="0"/>
    <w:pPr>
      <w:spacing w:after="120"/>
      <w:ind w:left="1800"/>
      <w:contextualSpacing/>
    </w:pPr>
    <w:rPr>
      <w:color w:val="595959"/>
    </w:rPr>
  </w:style>
  <w:style w:type="paragraph" w:customStyle="1" w:styleId="178">
    <w:name w:val="索引标题1"/>
    <w:basedOn w:val="1"/>
    <w:next w:val="179"/>
    <w:qFormat/>
    <w:uiPriority w:val="0"/>
    <w:rPr>
      <w:rFonts w:ascii="Calibri" w:hAnsi="Calibri" w:cs="Arial"/>
      <w:b/>
      <w:bCs/>
      <w:color w:val="595959"/>
    </w:rPr>
  </w:style>
  <w:style w:type="paragraph" w:customStyle="1" w:styleId="179">
    <w:name w:val="索引 11"/>
    <w:basedOn w:val="1"/>
    <w:next w:val="1"/>
    <w:qFormat/>
    <w:uiPriority w:val="0"/>
  </w:style>
  <w:style w:type="paragraph" w:customStyle="1" w:styleId="180">
    <w:name w:val="列表 51"/>
    <w:basedOn w:val="1"/>
    <w:qFormat/>
    <w:uiPriority w:val="0"/>
    <w:pPr>
      <w:ind w:left="1800" w:hanging="360"/>
      <w:contextualSpacing/>
    </w:pPr>
    <w:rPr>
      <w:color w:val="595959"/>
    </w:rPr>
  </w:style>
  <w:style w:type="paragraph" w:customStyle="1" w:styleId="181">
    <w:name w:val="图表目录1"/>
    <w:basedOn w:val="1"/>
    <w:next w:val="1"/>
    <w:qFormat/>
    <w:uiPriority w:val="0"/>
    <w:rPr>
      <w:color w:val="595959"/>
    </w:rPr>
  </w:style>
  <w:style w:type="paragraph" w:customStyle="1" w:styleId="182">
    <w:name w:val="纯文本4"/>
    <w:basedOn w:val="1"/>
    <w:qFormat/>
    <w:uiPriority w:val="0"/>
    <w:pPr>
      <w:widowControl w:val="0"/>
      <w:adjustRightInd w:val="0"/>
      <w:spacing w:line="360" w:lineRule="atLeast"/>
    </w:pPr>
    <w:rPr>
      <w:rFonts w:ascii="宋体" w:hAnsi="Courier New"/>
      <w:kern w:val="0"/>
      <w:szCs w:val="21"/>
      <w:lang w:val="en-US"/>
    </w:rPr>
  </w:style>
  <w:style w:type="paragraph" w:customStyle="1" w:styleId="183">
    <w:name w:val="纯文本3"/>
    <w:basedOn w:val="1"/>
    <w:qFormat/>
    <w:uiPriority w:val="0"/>
    <w:rPr>
      <w:rFonts w:ascii="宋体" w:hAnsi="Courier New" w:cs="Helv"/>
      <w:szCs w:val="21"/>
    </w:rPr>
  </w:style>
  <w:style w:type="paragraph" w:customStyle="1" w:styleId="184">
    <w:name w:val="表格标题"/>
    <w:basedOn w:val="1"/>
    <w:qFormat/>
    <w:uiPriority w:val="0"/>
    <w:pPr>
      <w:keepNext/>
      <w:pBdr>
        <w:top w:val="single" w:color="7E97AD" w:sz="4" w:space="1"/>
        <w:left w:val="single" w:color="7E97AD" w:sz="4" w:space="6"/>
        <w:bottom w:val="single" w:color="7E97AD" w:sz="4" w:space="2"/>
        <w:right w:val="single" w:color="7E97AD" w:sz="4" w:space="6"/>
      </w:pBdr>
      <w:shd w:val="clear" w:color="auto" w:fill="7E97AD"/>
      <w:spacing w:before="160"/>
      <w:ind w:left="144" w:right="144"/>
    </w:pPr>
    <w:rPr>
      <w:rFonts w:ascii="Calibri" w:hAnsi="Calibri" w:cs="Arial"/>
      <w:caps/>
      <w:color w:val="FFFFFF"/>
      <w:sz w:val="24"/>
    </w:rPr>
  </w:style>
  <w:style w:type="paragraph" w:customStyle="1" w:styleId="185">
    <w:name w:val="列出段落3"/>
    <w:basedOn w:val="1"/>
    <w:qFormat/>
    <w:uiPriority w:val="0"/>
    <w:pPr>
      <w:ind w:firstLine="420" w:firstLineChars="200"/>
    </w:pPr>
  </w:style>
  <w:style w:type="paragraph" w:customStyle="1" w:styleId="186">
    <w:name w:val="TOC 标题1"/>
    <w:basedOn w:val="3"/>
    <w:next w:val="1"/>
    <w:qFormat/>
    <w:uiPriority w:val="39"/>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187">
    <w:name w:val="lemmawgt-lemmatitle-title"/>
    <w:basedOn w:val="1"/>
    <w:qFormat/>
    <w:uiPriority w:val="0"/>
    <w:pPr>
      <w:spacing w:after="60"/>
    </w:pPr>
    <w:rPr>
      <w:kern w:val="0"/>
      <w:lang w:val="en-US"/>
    </w:rPr>
  </w:style>
  <w:style w:type="paragraph" w:customStyle="1" w:styleId="188">
    <w:name w:val="样式1"/>
    <w:basedOn w:val="1"/>
    <w:qFormat/>
    <w:uiPriority w:val="0"/>
    <w:pPr>
      <w:widowControl w:val="0"/>
      <w:numPr>
        <w:ilvl w:val="0"/>
        <w:numId w:val="8"/>
      </w:numPr>
      <w:jc w:val="both"/>
    </w:pPr>
    <w:rPr>
      <w:rFonts w:ascii="宋体" w:hAnsi="宋体"/>
      <w:kern w:val="2"/>
      <w:szCs w:val="21"/>
      <w:lang w:val="en-US"/>
    </w:rPr>
  </w:style>
  <w:style w:type="paragraph" w:customStyle="1" w:styleId="189">
    <w:name w:val="列出段落6"/>
    <w:basedOn w:val="1"/>
    <w:qFormat/>
    <w:uiPriority w:val="0"/>
    <w:pPr>
      <w:ind w:firstLine="420" w:firstLineChars="200"/>
    </w:pPr>
  </w:style>
  <w:style w:type="paragraph" w:customStyle="1" w:styleId="190">
    <w:name w:val="信封地址"/>
    <w:basedOn w:val="1"/>
    <w:qFormat/>
    <w:uiPriority w:val="0"/>
    <w:pPr>
      <w:ind w:left="2880"/>
    </w:pPr>
    <w:rPr>
      <w:rFonts w:ascii="Calibri" w:hAnsi="Calibri" w:cs="Arial"/>
      <w:color w:val="595959"/>
      <w:sz w:val="24"/>
    </w:rPr>
  </w:style>
  <w:style w:type="paragraph" w:customStyle="1" w:styleId="191">
    <w:name w:val="描述"/>
    <w:basedOn w:val="1"/>
    <w:next w:val="1"/>
    <w:qFormat/>
    <w:uiPriority w:val="0"/>
    <w:rPr>
      <w:b/>
      <w:bCs/>
      <w:color w:val="7E97AD"/>
      <w:sz w:val="18"/>
    </w:rPr>
  </w:style>
  <w:style w:type="paragraph" w:customStyle="1" w:styleId="192">
    <w:name w:val="正常缩进"/>
    <w:basedOn w:val="1"/>
    <w:qFormat/>
    <w:uiPriority w:val="0"/>
    <w:pPr>
      <w:ind w:left="720"/>
    </w:pPr>
    <w:rPr>
      <w:color w:val="595959"/>
    </w:rPr>
  </w:style>
  <w:style w:type="paragraph" w:customStyle="1" w:styleId="193">
    <w:name w:val="默认段落字体 Para Char"/>
    <w:basedOn w:val="1"/>
    <w:qFormat/>
    <w:uiPriority w:val="0"/>
    <w:pPr>
      <w:widowControl w:val="0"/>
      <w:adjustRightInd w:val="0"/>
      <w:spacing w:line="360" w:lineRule="auto"/>
      <w:jc w:val="both"/>
    </w:pPr>
    <w:rPr>
      <w:kern w:val="0"/>
      <w:sz w:val="24"/>
      <w:lang w:val="en-US"/>
    </w:rPr>
  </w:style>
  <w:style w:type="paragraph" w:customStyle="1" w:styleId="194">
    <w:name w:val="xl30"/>
    <w:basedOn w:val="1"/>
    <w:qFormat/>
    <w:uiPriority w:val="0"/>
    <w:pPr>
      <w:spacing w:before="100" w:beforeAutospacing="1" w:after="100" w:afterAutospacing="1"/>
      <w:jc w:val="center"/>
      <w:textAlignment w:val="center"/>
    </w:pPr>
    <w:rPr>
      <w:rFonts w:eastAsia="Arial Unicode MS"/>
      <w:kern w:val="0"/>
      <w:sz w:val="24"/>
      <w:szCs w:val="24"/>
      <w:lang w:val="en-US"/>
    </w:rPr>
  </w:style>
  <w:style w:type="paragraph" w:customStyle="1" w:styleId="195">
    <w:name w:val="xl68"/>
    <w:basedOn w:val="1"/>
    <w:qFormat/>
    <w:uiPriority w:val="0"/>
    <w:pPr>
      <w:spacing w:before="100" w:beforeAutospacing="1" w:after="100" w:afterAutospacing="1"/>
      <w:jc w:val="center"/>
    </w:pPr>
    <w:rPr>
      <w:rFonts w:ascii="宋体" w:hAnsi="宋体" w:cs="宋体"/>
      <w:b/>
      <w:bCs/>
      <w:kern w:val="0"/>
      <w:sz w:val="24"/>
      <w:szCs w:val="24"/>
      <w:lang w:val="en-US"/>
    </w:rPr>
  </w:style>
  <w:style w:type="paragraph" w:customStyle="1" w:styleId="196">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197">
    <w:name w:val="xl76"/>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198">
    <w:name w:val="font7"/>
    <w:basedOn w:val="1"/>
    <w:qFormat/>
    <w:uiPriority w:val="0"/>
    <w:pPr>
      <w:spacing w:before="100" w:beforeAutospacing="1" w:after="100" w:afterAutospacing="1"/>
    </w:pPr>
    <w:rPr>
      <w:rFonts w:ascii="Calibri" w:hAnsi="Calibri" w:cs="Calibri"/>
      <w:color w:val="000000"/>
      <w:kern w:val="0"/>
      <w:sz w:val="22"/>
      <w:szCs w:val="22"/>
      <w:lang w:val="en-US"/>
    </w:rPr>
  </w:style>
  <w:style w:type="paragraph" w:customStyle="1" w:styleId="199">
    <w:name w:val="font12"/>
    <w:basedOn w:val="1"/>
    <w:qFormat/>
    <w:uiPriority w:val="0"/>
    <w:pPr>
      <w:spacing w:before="100" w:beforeAutospacing="1" w:after="100" w:afterAutospacing="1"/>
    </w:pPr>
    <w:rPr>
      <w:color w:val="000000"/>
      <w:kern w:val="0"/>
      <w:szCs w:val="21"/>
      <w:lang w:val="en-US"/>
    </w:rPr>
  </w:style>
  <w:style w:type="paragraph" w:customStyle="1" w:styleId="200">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1">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2">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3">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4">
    <w:name w:val="xl1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5">
    <w:name w:val="xl1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6">
    <w:name w:val="xl1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7">
    <w:name w:val="xl183"/>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8">
    <w:name w:val="xl186"/>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9">
    <w:name w:val="xl202"/>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0">
    <w:name w:val="xl2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1">
    <w:name w:val="xl2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2">
    <w:name w:val="列表 31"/>
    <w:basedOn w:val="1"/>
    <w:qFormat/>
    <w:uiPriority w:val="0"/>
    <w:pPr>
      <w:ind w:left="1080" w:hanging="360"/>
      <w:contextualSpacing/>
    </w:pPr>
    <w:rPr>
      <w:color w:val="595959"/>
    </w:rPr>
  </w:style>
  <w:style w:type="paragraph" w:customStyle="1" w:styleId="213">
    <w:name w:val="索引 81"/>
    <w:basedOn w:val="1"/>
    <w:next w:val="1"/>
    <w:qFormat/>
    <w:uiPriority w:val="0"/>
    <w:pPr>
      <w:ind w:left="1760" w:hanging="220"/>
    </w:pPr>
    <w:rPr>
      <w:color w:val="595959"/>
    </w:rPr>
  </w:style>
  <w:style w:type="paragraph" w:customStyle="1" w:styleId="214">
    <w:name w:val="列表接续1"/>
    <w:basedOn w:val="1"/>
    <w:qFormat/>
    <w:uiPriority w:val="0"/>
    <w:pPr>
      <w:spacing w:after="120"/>
      <w:ind w:left="360"/>
      <w:contextualSpacing/>
    </w:pPr>
    <w:rPr>
      <w:color w:val="595959"/>
    </w:rPr>
  </w:style>
  <w:style w:type="paragraph" w:customStyle="1" w:styleId="215">
    <w:name w:val="列表编号 41"/>
    <w:basedOn w:val="1"/>
    <w:qFormat/>
    <w:uiPriority w:val="0"/>
    <w:pPr>
      <w:numPr>
        <w:ilvl w:val="3"/>
        <w:numId w:val="3"/>
      </w:numPr>
      <w:contextualSpacing/>
    </w:pPr>
    <w:rPr>
      <w:color w:val="595959"/>
    </w:rPr>
  </w:style>
  <w:style w:type="paragraph" w:customStyle="1" w:styleId="216">
    <w:name w:val="列表接续 31"/>
    <w:basedOn w:val="1"/>
    <w:qFormat/>
    <w:uiPriority w:val="0"/>
    <w:pPr>
      <w:spacing w:after="120"/>
      <w:ind w:left="1080"/>
      <w:contextualSpacing/>
    </w:pPr>
    <w:rPr>
      <w:color w:val="595959"/>
    </w:rPr>
  </w:style>
  <w:style w:type="paragraph" w:customStyle="1" w:styleId="217">
    <w:name w:val="表内文字"/>
    <w:basedOn w:val="1"/>
    <w:qFormat/>
    <w:uiPriority w:val="0"/>
    <w:pPr>
      <w:widowControl w:val="0"/>
      <w:snapToGrid w:val="0"/>
      <w:spacing w:before="50" w:after="50"/>
      <w:jc w:val="center"/>
    </w:pPr>
    <w:rPr>
      <w:rFonts w:ascii="仿宋_GB2312" w:hAnsi="宋体"/>
      <w:b/>
      <w:color w:val="000000"/>
      <w:kern w:val="2"/>
      <w:szCs w:val="32"/>
      <w:lang w:val="en-US"/>
    </w:rPr>
  </w:style>
  <w:style w:type="paragraph" w:customStyle="1" w:styleId="218">
    <w:name w:val="样式 标题 2 + 宋体 五号 非加粗 黑色"/>
    <w:basedOn w:val="4"/>
    <w:qFormat/>
    <w:uiPriority w:val="0"/>
    <w:pPr>
      <w:numPr>
        <w:ilvl w:val="0"/>
        <w:numId w:val="0"/>
      </w:numPr>
      <w:tabs>
        <w:tab w:val="clear" w:pos="0"/>
      </w:tabs>
      <w:snapToGrid/>
      <w:spacing w:before="260" w:beforeLines="0" w:after="260" w:line="416" w:lineRule="atLeast"/>
      <w:ind w:left="240"/>
    </w:pPr>
    <w:rPr>
      <w:rFonts w:ascii="宋体" w:hAnsi="宋体" w:eastAsia="宋体"/>
      <w:b/>
      <w:caps/>
      <w:kern w:val="2"/>
      <w:sz w:val="21"/>
      <w:szCs w:val="32"/>
      <w:lang w:val="en-US"/>
    </w:rPr>
  </w:style>
  <w:style w:type="paragraph" w:customStyle="1" w:styleId="219">
    <w:name w:val="纯文本12"/>
    <w:basedOn w:val="1"/>
    <w:qFormat/>
    <w:uiPriority w:val="0"/>
    <w:pPr>
      <w:jc w:val="both"/>
    </w:pPr>
    <w:rPr>
      <w:rFonts w:ascii="宋体" w:hAnsi="Courier New"/>
      <w:kern w:val="2"/>
      <w:szCs w:val="21"/>
    </w:rPr>
  </w:style>
  <w:style w:type="paragraph" w:customStyle="1" w:styleId="220">
    <w:name w:val="p17"/>
    <w:basedOn w:val="1"/>
    <w:qFormat/>
    <w:uiPriority w:val="0"/>
    <w:pPr>
      <w:jc w:val="both"/>
    </w:pPr>
    <w:rPr>
      <w:rFonts w:ascii="宋体" w:hAnsi="宋体" w:cs="宋体"/>
      <w:kern w:val="0"/>
      <w:szCs w:val="21"/>
      <w:lang w:val="en-US"/>
    </w:rPr>
  </w:style>
  <w:style w:type="paragraph" w:customStyle="1" w:styleId="221">
    <w:name w:val="书目1"/>
    <w:basedOn w:val="1"/>
    <w:next w:val="1"/>
    <w:qFormat/>
    <w:uiPriority w:val="0"/>
    <w:rPr>
      <w:color w:val="595959"/>
    </w:rPr>
  </w:style>
  <w:style w:type="paragraph" w:customStyle="1" w:styleId="222">
    <w:name w:val="列出段落2"/>
    <w:basedOn w:val="1"/>
    <w:qFormat/>
    <w:uiPriority w:val="99"/>
    <w:pPr>
      <w:ind w:firstLine="420" w:firstLineChars="200"/>
    </w:pPr>
    <w:rPr>
      <w:color w:val="595959"/>
    </w:rPr>
  </w:style>
  <w:style w:type="paragraph" w:customStyle="1" w:styleId="223">
    <w:name w:val="TOC Heading1"/>
    <w:basedOn w:val="3"/>
    <w:next w:val="1"/>
    <w:qFormat/>
    <w:uiPriority w:val="0"/>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224">
    <w:name w:val="样式6"/>
    <w:basedOn w:val="1"/>
    <w:qFormat/>
    <w:uiPriority w:val="0"/>
    <w:pPr>
      <w:tabs>
        <w:tab w:val="left" w:pos="0"/>
      </w:tabs>
      <w:ind w:firstLine="420" w:firstLineChars="200"/>
      <w:jc w:val="both"/>
    </w:pPr>
    <w:rPr>
      <w:rFonts w:ascii="宋体" w:hAnsi="宋体"/>
      <w:szCs w:val="21"/>
    </w:rPr>
  </w:style>
  <w:style w:type="paragraph" w:customStyle="1" w:styleId="225">
    <w:name w:val="reader-word-layer"/>
    <w:basedOn w:val="1"/>
    <w:qFormat/>
    <w:uiPriority w:val="0"/>
    <w:pPr>
      <w:spacing w:before="100" w:beforeAutospacing="1" w:after="100" w:afterAutospacing="1"/>
    </w:pPr>
    <w:rPr>
      <w:rFonts w:ascii="宋体" w:hAnsi="宋体" w:cs="宋体"/>
      <w:kern w:val="0"/>
      <w:sz w:val="24"/>
      <w:szCs w:val="24"/>
      <w:lang w:val="en-US"/>
    </w:rPr>
  </w:style>
  <w:style w:type="paragraph" w:customStyle="1" w:styleId="226">
    <w:name w:val="样式 标题 2 + 宋体 五号 行距: 单倍行距"/>
    <w:basedOn w:val="4"/>
    <w:qFormat/>
    <w:uiPriority w:val="0"/>
    <w:pPr>
      <w:numPr>
        <w:ilvl w:val="0"/>
        <w:numId w:val="9"/>
      </w:numPr>
      <w:tabs>
        <w:tab w:val="left" w:pos="840"/>
        <w:tab w:val="clear" w:pos="855"/>
      </w:tabs>
      <w:adjustRightInd w:val="0"/>
      <w:snapToGrid/>
      <w:spacing w:before="260" w:beforeLines="0" w:after="260" w:line="240" w:lineRule="auto"/>
      <w:textAlignment w:val="baseline"/>
    </w:pPr>
    <w:rPr>
      <w:rFonts w:ascii="宋体" w:hAnsi="宋体" w:eastAsia="宋体"/>
      <w:b/>
      <w:bCs/>
      <w:kern w:val="0"/>
      <w:sz w:val="21"/>
      <w:szCs w:val="20"/>
      <w:lang w:val="en-US"/>
    </w:rPr>
  </w:style>
  <w:style w:type="paragraph" w:customStyle="1" w:styleId="227">
    <w:name w:val="样式 标题 1 + 四号 居中 段前: 12 磅 段后: 12 磅 行距: 单倍行距"/>
    <w:basedOn w:val="3"/>
    <w:qFormat/>
    <w:uiPriority w:val="0"/>
    <w:pPr>
      <w:keepNext/>
      <w:keepLines/>
      <w:pageBreakBefore w:val="0"/>
      <w:widowControl w:val="0"/>
      <w:tabs>
        <w:tab w:val="left" w:pos="1290"/>
        <w:tab w:val="clear" w:pos="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228">
    <w:name w:val="msonormal"/>
    <w:basedOn w:val="1"/>
    <w:qFormat/>
    <w:uiPriority w:val="0"/>
    <w:pPr>
      <w:spacing w:before="100" w:beforeAutospacing="1" w:after="100" w:afterAutospacing="1"/>
    </w:pPr>
    <w:rPr>
      <w:rFonts w:ascii="宋体" w:hAnsi="宋体" w:cs="宋体"/>
      <w:kern w:val="0"/>
      <w:sz w:val="24"/>
      <w:szCs w:val="24"/>
      <w:lang w:val="en-US"/>
    </w:rPr>
  </w:style>
  <w:style w:type="paragraph" w:customStyle="1" w:styleId="229">
    <w:name w:val="xl70"/>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230">
    <w:name w:val="xl74"/>
    <w:basedOn w:val="1"/>
    <w:qFormat/>
    <w:uiPriority w:val="0"/>
    <w:pPr>
      <w:spacing w:before="100" w:beforeAutospacing="1" w:after="100" w:afterAutospacing="1"/>
      <w:jc w:val="center"/>
    </w:pPr>
    <w:rPr>
      <w:rFonts w:ascii="宋体" w:hAnsi="宋体" w:cs="宋体"/>
      <w:kern w:val="0"/>
      <w:sz w:val="24"/>
      <w:szCs w:val="24"/>
      <w:lang w:val="en-US"/>
    </w:rPr>
  </w:style>
  <w:style w:type="paragraph" w:customStyle="1" w:styleId="231">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232">
    <w:name w:val="font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33">
    <w:name w:val="font13"/>
    <w:basedOn w:val="1"/>
    <w:qFormat/>
    <w:uiPriority w:val="0"/>
    <w:pPr>
      <w:spacing w:before="100" w:beforeAutospacing="1" w:after="100" w:afterAutospacing="1"/>
    </w:pPr>
    <w:rPr>
      <w:rFonts w:ascii="宋体" w:hAnsi="宋体" w:cs="宋体"/>
      <w:color w:val="000000"/>
      <w:kern w:val="0"/>
      <w:szCs w:val="21"/>
      <w:lang w:val="en-US"/>
    </w:rPr>
  </w:style>
  <w:style w:type="paragraph" w:customStyle="1" w:styleId="234">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5">
    <w:name w:val="xl10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6">
    <w:name w:val="xl120"/>
    <w:basedOn w:val="1"/>
    <w:qFormat/>
    <w:uiPriority w:val="0"/>
    <w:pPr>
      <w:pBdr>
        <w:bottom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7">
    <w:name w:val="xl124"/>
    <w:basedOn w:val="1"/>
    <w:qFormat/>
    <w:uiPriority w:val="0"/>
    <w:pPr>
      <w:spacing w:before="100" w:beforeAutospacing="1" w:after="100" w:afterAutospacing="1"/>
      <w:jc w:val="center"/>
    </w:pPr>
    <w:rPr>
      <w:rFonts w:ascii="仿宋" w:hAnsi="仿宋" w:eastAsia="仿宋" w:cs="宋体"/>
      <w:kern w:val="0"/>
      <w:sz w:val="22"/>
      <w:szCs w:val="22"/>
      <w:lang w:val="en-US"/>
    </w:rPr>
  </w:style>
  <w:style w:type="paragraph" w:customStyle="1" w:styleId="238">
    <w:name w:val="xl14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39">
    <w:name w:val="xl15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0">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41">
    <w:name w:val="xl17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2">
    <w:name w:val="xl187"/>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3">
    <w:name w:val="xl20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4">
    <w:name w:val="xl21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5">
    <w:name w:val="xl2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46">
    <w:name w:val="xl2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7">
    <w:name w:val="font16"/>
    <w:basedOn w:val="1"/>
    <w:qFormat/>
    <w:uiPriority w:val="0"/>
    <w:pPr>
      <w:spacing w:before="100" w:beforeAutospacing="1" w:after="100" w:afterAutospacing="1"/>
    </w:pPr>
    <w:rPr>
      <w:rFonts w:ascii="仿宋" w:hAnsi="仿宋" w:eastAsia="仿宋" w:cs="宋体"/>
      <w:color w:val="000000"/>
      <w:kern w:val="0"/>
      <w:sz w:val="22"/>
      <w:szCs w:val="22"/>
      <w:lang w:val="en-US"/>
    </w:rPr>
  </w:style>
  <w:style w:type="paragraph" w:customStyle="1" w:styleId="248">
    <w:name w:val="引文目录1"/>
    <w:basedOn w:val="1"/>
    <w:next w:val="1"/>
    <w:qFormat/>
    <w:uiPriority w:val="0"/>
    <w:pPr>
      <w:ind w:left="220" w:hanging="220"/>
    </w:pPr>
    <w:rPr>
      <w:color w:val="595959"/>
    </w:rPr>
  </w:style>
  <w:style w:type="paragraph" w:customStyle="1" w:styleId="249">
    <w:name w:val="引文目录标题1"/>
    <w:basedOn w:val="1"/>
    <w:next w:val="1"/>
    <w:qFormat/>
    <w:uiPriority w:val="0"/>
    <w:pPr>
      <w:spacing w:before="120"/>
    </w:pPr>
    <w:rPr>
      <w:rFonts w:ascii="Calibri" w:hAnsi="Calibri" w:cs="Arial"/>
      <w:b/>
      <w:bCs/>
      <w:color w:val="595959"/>
      <w:sz w:val="24"/>
    </w:rPr>
  </w:style>
  <w:style w:type="paragraph" w:customStyle="1" w:styleId="250">
    <w:name w:val="索引 31"/>
    <w:basedOn w:val="1"/>
    <w:next w:val="1"/>
    <w:qFormat/>
    <w:uiPriority w:val="0"/>
    <w:pPr>
      <w:ind w:left="660" w:hanging="220"/>
    </w:pPr>
    <w:rPr>
      <w:color w:val="595959"/>
    </w:rPr>
  </w:style>
  <w:style w:type="paragraph" w:customStyle="1" w:styleId="251">
    <w:name w:val="列表编号 51"/>
    <w:basedOn w:val="1"/>
    <w:qFormat/>
    <w:uiPriority w:val="0"/>
    <w:pPr>
      <w:numPr>
        <w:ilvl w:val="4"/>
        <w:numId w:val="3"/>
      </w:numPr>
      <w:contextualSpacing/>
    </w:pPr>
    <w:rPr>
      <w:color w:val="595959"/>
    </w:rPr>
  </w:style>
  <w:style w:type="paragraph" w:customStyle="1" w:styleId="252">
    <w:name w:val="索引 71"/>
    <w:basedOn w:val="1"/>
    <w:next w:val="1"/>
    <w:qFormat/>
    <w:uiPriority w:val="0"/>
    <w:pPr>
      <w:ind w:left="1540" w:hanging="220"/>
    </w:pPr>
    <w:rPr>
      <w:color w:val="595959"/>
    </w:rPr>
  </w:style>
  <w:style w:type="paragraph" w:customStyle="1" w:styleId="253">
    <w:name w:val="列表 41"/>
    <w:basedOn w:val="1"/>
    <w:qFormat/>
    <w:uiPriority w:val="0"/>
    <w:pPr>
      <w:ind w:left="1440" w:hanging="360"/>
      <w:contextualSpacing/>
    </w:pPr>
    <w:rPr>
      <w:color w:val="595959"/>
    </w:rPr>
  </w:style>
  <w:style w:type="paragraph" w:customStyle="1" w:styleId="254">
    <w:name w:val="标题5"/>
    <w:basedOn w:val="1"/>
    <w:qFormat/>
    <w:uiPriority w:val="0"/>
    <w:pPr>
      <w:widowControl w:val="0"/>
      <w:numPr>
        <w:ilvl w:val="0"/>
        <w:numId w:val="10"/>
      </w:numPr>
      <w:spacing w:before="100" w:beforeAutospacing="1" w:after="100" w:afterAutospacing="1"/>
      <w:jc w:val="both"/>
      <w:outlineLvl w:val="4"/>
    </w:pPr>
    <w:rPr>
      <w:kern w:val="2"/>
      <w:szCs w:val="24"/>
      <w:lang w:val="en-US"/>
    </w:rPr>
  </w:style>
  <w:style w:type="paragraph" w:customStyle="1" w:styleId="255">
    <w:name w:val="正常 (Web)"/>
    <w:basedOn w:val="1"/>
    <w:qFormat/>
    <w:uiPriority w:val="0"/>
    <w:rPr>
      <w:rFonts w:eastAsia="黑体"/>
      <w:color w:val="595959"/>
      <w:sz w:val="24"/>
    </w:rPr>
  </w:style>
  <w:style w:type="paragraph" w:customStyle="1" w:styleId="256">
    <w:name w:val="列出段落11"/>
    <w:basedOn w:val="1"/>
    <w:qFormat/>
    <w:uiPriority w:val="99"/>
    <w:pPr>
      <w:keepNext/>
      <w:keepLines/>
      <w:tabs>
        <w:tab w:val="left" w:pos="0"/>
      </w:tabs>
      <w:spacing w:after="156" w:afterLines="50"/>
      <w:ind w:left="709"/>
      <w:jc w:val="both"/>
    </w:pPr>
    <w:rPr>
      <w:color w:val="000000"/>
    </w:rPr>
  </w:style>
  <w:style w:type="paragraph" w:customStyle="1" w:styleId="257">
    <w:name w:val="p0"/>
    <w:basedOn w:val="1"/>
    <w:qFormat/>
    <w:uiPriority w:val="0"/>
    <w:pPr>
      <w:jc w:val="both"/>
    </w:pPr>
    <w:rPr>
      <w:kern w:val="0"/>
      <w:szCs w:val="21"/>
      <w:lang w:val="en-US"/>
    </w:rPr>
  </w:style>
  <w:style w:type="paragraph" w:customStyle="1" w:styleId="258">
    <w:name w:val="Table Paragraph"/>
    <w:basedOn w:val="1"/>
    <w:qFormat/>
    <w:uiPriority w:val="1"/>
    <w:pPr>
      <w:widowControl w:val="0"/>
      <w:autoSpaceDE w:val="0"/>
      <w:autoSpaceDN w:val="0"/>
    </w:pPr>
    <w:rPr>
      <w:rFonts w:ascii="宋体" w:hAnsi="宋体" w:cs="宋体"/>
      <w:kern w:val="0"/>
      <w:sz w:val="22"/>
      <w:szCs w:val="22"/>
    </w:rPr>
  </w:style>
  <w:style w:type="paragraph" w:customStyle="1" w:styleId="259">
    <w:name w:val="表格反转标题"/>
    <w:basedOn w:val="1"/>
    <w:qFormat/>
    <w:uiPriority w:val="0"/>
    <w:pPr>
      <w:spacing w:after="40"/>
      <w:ind w:left="144" w:right="144"/>
    </w:pPr>
    <w:rPr>
      <w:rFonts w:ascii="Calibri" w:hAnsi="Calibri" w:cs="Arial"/>
      <w:caps/>
      <w:color w:val="FFFFFF"/>
      <w:sz w:val="24"/>
    </w:rPr>
  </w:style>
  <w:style w:type="paragraph" w:customStyle="1" w:styleId="260">
    <w:name w:val="Table Text"/>
    <w:qFormat/>
    <w:uiPriority w:val="0"/>
    <w:pPr>
      <w:tabs>
        <w:tab w:val="decimal" w:pos="0"/>
      </w:tabs>
    </w:pPr>
    <w:rPr>
      <w:rFonts w:ascii="Arial" w:hAnsi="Arial" w:eastAsia="等线" w:cs="Times New Roman"/>
      <w:sz w:val="21"/>
      <w:szCs w:val="21"/>
      <w:lang w:val="en-US" w:eastAsia="zh-CN" w:bidi="ar-SA"/>
    </w:rPr>
  </w:style>
  <w:style w:type="paragraph" w:customStyle="1" w:styleId="261">
    <w:name w:val="样式2"/>
    <w:basedOn w:val="1"/>
    <w:qFormat/>
    <w:uiPriority w:val="0"/>
    <w:pPr>
      <w:widowControl w:val="0"/>
      <w:numPr>
        <w:ilvl w:val="1"/>
        <w:numId w:val="11"/>
      </w:numPr>
      <w:tabs>
        <w:tab w:val="left" w:pos="567"/>
      </w:tabs>
      <w:adjustRightInd w:val="0"/>
      <w:jc w:val="both"/>
      <w:textAlignment w:val="baseline"/>
    </w:pPr>
    <w:rPr>
      <w:rFonts w:ascii="宋体" w:hAnsi="宋体"/>
      <w:kern w:val="0"/>
      <w:szCs w:val="21"/>
      <w:lang w:val="en-US"/>
    </w:rPr>
  </w:style>
  <w:style w:type="paragraph" w:customStyle="1" w:styleId="262">
    <w:name w:val="font5"/>
    <w:basedOn w:val="1"/>
    <w:qFormat/>
    <w:uiPriority w:val="0"/>
    <w:pPr>
      <w:spacing w:before="100" w:beforeAutospacing="1" w:after="100" w:afterAutospacing="1"/>
    </w:pPr>
    <w:rPr>
      <w:rFonts w:ascii="宋体" w:hAnsi="宋体" w:cs="宋体"/>
      <w:kern w:val="0"/>
      <w:sz w:val="18"/>
      <w:szCs w:val="18"/>
      <w:lang w:val="en-US"/>
    </w:rPr>
  </w:style>
  <w:style w:type="paragraph" w:customStyle="1" w:styleId="263">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264">
    <w:name w:val="font9"/>
    <w:basedOn w:val="1"/>
    <w:qFormat/>
    <w:uiPriority w:val="0"/>
    <w:pPr>
      <w:spacing w:before="100" w:beforeAutospacing="1" w:after="100" w:afterAutospacing="1"/>
    </w:pPr>
    <w:rPr>
      <w:rFonts w:ascii="BatangChe" w:hAnsi="BatangChe" w:eastAsia="BatangChe" w:cs="宋体"/>
      <w:kern w:val="0"/>
      <w:sz w:val="22"/>
      <w:szCs w:val="22"/>
      <w:lang w:val="en-US"/>
    </w:rPr>
  </w:style>
  <w:style w:type="paragraph" w:customStyle="1" w:styleId="265">
    <w:name w:val="font14"/>
    <w:basedOn w:val="1"/>
    <w:qFormat/>
    <w:uiPriority w:val="0"/>
    <w:pPr>
      <w:spacing w:before="100" w:beforeAutospacing="1" w:after="100" w:afterAutospacing="1"/>
    </w:pPr>
    <w:rPr>
      <w:rFonts w:ascii="微软雅黑" w:hAnsi="微软雅黑" w:cs="宋体"/>
      <w:color w:val="000000"/>
      <w:kern w:val="0"/>
      <w:szCs w:val="21"/>
      <w:lang w:val="en-US"/>
    </w:rPr>
  </w:style>
  <w:style w:type="paragraph" w:customStyle="1" w:styleId="266">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7">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8">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9">
    <w:name w:val="xl123"/>
    <w:basedOn w:val="1"/>
    <w:qFormat/>
    <w:uiPriority w:val="0"/>
    <w:pPr>
      <w:spacing w:before="100" w:beforeAutospacing="1" w:after="100" w:afterAutospacing="1"/>
    </w:pPr>
    <w:rPr>
      <w:rFonts w:ascii="仿宋" w:hAnsi="仿宋" w:eastAsia="仿宋" w:cs="宋体"/>
      <w:b/>
      <w:bCs/>
      <w:kern w:val="0"/>
      <w:sz w:val="22"/>
      <w:szCs w:val="22"/>
      <w:lang w:val="en-US"/>
    </w:rPr>
  </w:style>
  <w:style w:type="paragraph" w:customStyle="1" w:styleId="270">
    <w:name w:val="xl125"/>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71">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2">
    <w:name w:val="xl1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b/>
      <w:bCs/>
      <w:kern w:val="0"/>
      <w:sz w:val="22"/>
      <w:szCs w:val="22"/>
      <w:lang w:val="en-US"/>
    </w:rPr>
  </w:style>
  <w:style w:type="paragraph" w:customStyle="1" w:styleId="273">
    <w:name w:val="xl1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4">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5">
    <w:name w:val="xl15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6">
    <w:name w:val="xl175"/>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7">
    <w:name w:val="xl176"/>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8">
    <w:name w:val="xl180"/>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9">
    <w:name w:val="xl184"/>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0">
    <w:name w:val="xl188"/>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1">
    <w:name w:val="xl204"/>
    <w:basedOn w:val="1"/>
    <w:qFormat/>
    <w:uiPriority w:val="0"/>
    <w:pPr>
      <w:spacing w:before="100" w:beforeAutospacing="1" w:after="100" w:afterAutospacing="1"/>
      <w:textAlignment w:val="top"/>
    </w:pPr>
    <w:rPr>
      <w:rFonts w:ascii="等线" w:hAnsi="等线" w:eastAsia="等线" w:cs="宋体"/>
      <w:kern w:val="0"/>
      <w:sz w:val="20"/>
      <w:lang w:val="en-US"/>
    </w:rPr>
  </w:style>
  <w:style w:type="paragraph" w:customStyle="1" w:styleId="282">
    <w:name w:val="xl2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3">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4">
    <w:name w:val="xl2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5">
    <w:name w:val="修订2"/>
    <w:qFormat/>
    <w:uiPriority w:val="0"/>
    <w:rPr>
      <w:rFonts w:ascii="Cambria" w:hAnsi="Cambria" w:eastAsia="微软雅黑" w:cs="Times New Roman"/>
      <w:kern w:val="20"/>
      <w:sz w:val="21"/>
      <w:lang w:val="zh-CN" w:eastAsia="zh-CN" w:bidi="ar-SA"/>
    </w:rPr>
  </w:style>
  <w:style w:type="paragraph" w:customStyle="1" w:styleId="286">
    <w:name w:val="列表编号 21"/>
    <w:basedOn w:val="1"/>
    <w:qFormat/>
    <w:uiPriority w:val="0"/>
    <w:pPr>
      <w:numPr>
        <w:ilvl w:val="1"/>
        <w:numId w:val="3"/>
      </w:numPr>
      <w:ind w:left="431" w:hanging="431"/>
      <w:contextualSpacing/>
    </w:pPr>
    <w:rPr>
      <w:color w:val="595959"/>
    </w:rPr>
  </w:style>
  <w:style w:type="paragraph" w:customStyle="1" w:styleId="287">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88">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89">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90">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291">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92">
    <w:name w:val="xl1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3">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94">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295">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6">
    <w:name w:val="xl13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97">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8">
    <w:name w:val="xl1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9">
    <w:name w:val="xl145"/>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0">
    <w:name w:val="xl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1">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2">
    <w:name w:val="xl161"/>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3">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04">
    <w:name w:val="xl168"/>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5">
    <w:name w:val="xl17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6">
    <w:name w:val="xl19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7">
    <w:name w:val="xl196"/>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8">
    <w:name w:val="xl20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9">
    <w:name w:val="xl2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10">
    <w:name w:val="xl2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11">
    <w:name w:val="xl2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2">
    <w:name w:val="xl2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13">
    <w:name w:val="正文缩进1"/>
    <w:basedOn w:val="1"/>
    <w:qFormat/>
    <w:uiPriority w:val="0"/>
    <w:pPr>
      <w:widowControl w:val="0"/>
      <w:adjustRightInd w:val="0"/>
      <w:spacing w:line="360" w:lineRule="atLeast"/>
      <w:ind w:firstLine="420" w:firstLineChars="200"/>
      <w:textAlignment w:val="baseline"/>
    </w:pPr>
    <w:rPr>
      <w:kern w:val="0"/>
      <w:sz w:val="24"/>
      <w:lang w:val="en-US"/>
    </w:rPr>
  </w:style>
  <w:style w:type="paragraph" w:customStyle="1" w:styleId="314">
    <w:name w:val="索引 61"/>
    <w:basedOn w:val="1"/>
    <w:next w:val="1"/>
    <w:qFormat/>
    <w:uiPriority w:val="0"/>
    <w:pPr>
      <w:ind w:left="1320" w:hanging="220"/>
    </w:pPr>
    <w:rPr>
      <w:color w:val="595959"/>
    </w:rPr>
  </w:style>
  <w:style w:type="paragraph" w:customStyle="1" w:styleId="315">
    <w:name w:val="列表编号 31"/>
    <w:basedOn w:val="1"/>
    <w:qFormat/>
    <w:uiPriority w:val="0"/>
    <w:pPr>
      <w:ind w:left="792" w:hanging="360"/>
      <w:contextualSpacing/>
    </w:pPr>
    <w:rPr>
      <w:color w:val="595959"/>
    </w:rPr>
  </w:style>
  <w:style w:type="paragraph" w:customStyle="1" w:styleId="316">
    <w:name w:val="索引 41"/>
    <w:basedOn w:val="1"/>
    <w:next w:val="1"/>
    <w:qFormat/>
    <w:uiPriority w:val="0"/>
    <w:pPr>
      <w:ind w:left="880" w:hanging="220"/>
    </w:pPr>
    <w:rPr>
      <w:color w:val="595959"/>
    </w:rPr>
  </w:style>
  <w:style w:type="paragraph" w:customStyle="1" w:styleId="317">
    <w:name w:val="列表接续 41"/>
    <w:basedOn w:val="1"/>
    <w:qFormat/>
    <w:uiPriority w:val="0"/>
    <w:pPr>
      <w:spacing w:after="120"/>
      <w:ind w:left="1440"/>
      <w:contextualSpacing/>
    </w:pPr>
    <w:rPr>
      <w:color w:val="595959"/>
    </w:rPr>
  </w:style>
  <w:style w:type="paragraph" w:customStyle="1" w:styleId="318">
    <w:name w:val="列表1"/>
    <w:basedOn w:val="1"/>
    <w:qFormat/>
    <w:uiPriority w:val="0"/>
    <w:pPr>
      <w:ind w:left="360" w:hanging="360"/>
      <w:contextualSpacing/>
    </w:pPr>
    <w:rPr>
      <w:color w:val="595959"/>
    </w:rPr>
  </w:style>
  <w:style w:type="paragraph" w:customStyle="1" w:styleId="319">
    <w:name w:val="索引 91"/>
    <w:basedOn w:val="1"/>
    <w:next w:val="1"/>
    <w:qFormat/>
    <w:uiPriority w:val="0"/>
    <w:pPr>
      <w:ind w:left="1980" w:hanging="220"/>
    </w:pPr>
    <w:rPr>
      <w:color w:val="595959"/>
    </w:rPr>
  </w:style>
  <w:style w:type="paragraph" w:customStyle="1" w:styleId="320">
    <w:name w:val="列表接续 21"/>
    <w:basedOn w:val="1"/>
    <w:qFormat/>
    <w:uiPriority w:val="0"/>
    <w:pPr>
      <w:spacing w:after="120"/>
      <w:ind w:left="720"/>
      <w:contextualSpacing/>
    </w:pPr>
    <w:rPr>
      <w:color w:val="595959"/>
    </w:rPr>
  </w:style>
  <w:style w:type="paragraph" w:customStyle="1" w:styleId="321">
    <w:name w:val="索引 21"/>
    <w:basedOn w:val="1"/>
    <w:next w:val="1"/>
    <w:qFormat/>
    <w:uiPriority w:val="0"/>
    <w:pPr>
      <w:ind w:left="440" w:hanging="220"/>
    </w:pPr>
    <w:rPr>
      <w:color w:val="595959"/>
    </w:rPr>
  </w:style>
  <w:style w:type="paragraph" w:customStyle="1" w:styleId="322">
    <w:name w:val="目录标题"/>
    <w:basedOn w:val="3"/>
    <w:next w:val="1"/>
    <w:qFormat/>
    <w:uiPriority w:val="0"/>
    <w:pPr>
      <w:numPr>
        <w:numId w:val="0"/>
      </w:numPr>
      <w:tabs>
        <w:tab w:val="clear" w:pos="0"/>
      </w:tabs>
      <w:spacing w:before="3120" w:beforeLines="1000" w:after="360" w:line="240" w:lineRule="auto"/>
      <w:jc w:val="left"/>
      <w:outlineLvl w:val="9"/>
    </w:pPr>
    <w:rPr>
      <w:rFonts w:ascii="Cambria" w:hAnsi="Cambria" w:eastAsia="微软雅黑"/>
      <w:color w:val="595959"/>
      <w:sz w:val="36"/>
      <w:szCs w:val="20"/>
    </w:rPr>
  </w:style>
  <w:style w:type="paragraph" w:customStyle="1" w:styleId="323">
    <w:name w:val="摘要"/>
    <w:basedOn w:val="1"/>
    <w:qFormat/>
    <w:uiPriority w:val="0"/>
    <w:pPr>
      <w:spacing w:before="360"/>
      <w:ind w:left="432" w:right="1080"/>
    </w:pPr>
    <w:rPr>
      <w:i/>
      <w:iCs/>
      <w:color w:val="7F7F7F"/>
      <w:sz w:val="28"/>
    </w:rPr>
  </w:style>
  <w:style w:type="paragraph" w:customStyle="1" w:styleId="324">
    <w:name w:val="列出段落5"/>
    <w:basedOn w:val="1"/>
    <w:qFormat/>
    <w:uiPriority w:val="0"/>
    <w:pPr>
      <w:ind w:firstLine="420" w:firstLineChars="200"/>
    </w:pPr>
  </w:style>
  <w:style w:type="paragraph" w:customStyle="1" w:styleId="325">
    <w:name w:val="信封寄信人地址"/>
    <w:basedOn w:val="1"/>
    <w:qFormat/>
    <w:uiPriority w:val="0"/>
    <w:rPr>
      <w:rFonts w:ascii="Calibri" w:hAnsi="Calibri" w:cs="Arial"/>
      <w:color w:val="595959"/>
    </w:rPr>
  </w:style>
  <w:style w:type="paragraph" w:customStyle="1" w:styleId="326">
    <w:name w:val="修订1"/>
    <w:qFormat/>
    <w:uiPriority w:val="0"/>
    <w:rPr>
      <w:rFonts w:ascii="Cambria" w:hAnsi="Cambria" w:eastAsia="微软雅黑" w:cs="Times New Roman"/>
      <w:color w:val="000000"/>
      <w:kern w:val="20"/>
      <w:sz w:val="21"/>
      <w:lang w:val="zh-CN" w:eastAsia="zh-CN" w:bidi="ar-SA"/>
    </w:rPr>
  </w:style>
  <w:style w:type="paragraph" w:customStyle="1" w:styleId="327">
    <w:name w:val="列出段落4"/>
    <w:basedOn w:val="1"/>
    <w:qFormat/>
    <w:uiPriority w:val="0"/>
    <w:pPr>
      <w:ind w:firstLine="420" w:firstLineChars="200"/>
    </w:pPr>
  </w:style>
  <w:style w:type="paragraph" w:customStyle="1" w:styleId="328">
    <w:name w:val="列表段落1"/>
    <w:basedOn w:val="1"/>
    <w:qFormat/>
    <w:uiPriority w:val="34"/>
    <w:pPr>
      <w:ind w:left="720"/>
      <w:contextualSpacing/>
    </w:pPr>
    <w:rPr>
      <w:color w:val="595959"/>
    </w:rPr>
  </w:style>
  <w:style w:type="paragraph" w:customStyle="1" w:styleId="329">
    <w:name w:val="表格文字"/>
    <w:basedOn w:val="1"/>
    <w:qFormat/>
    <w:uiPriority w:val="0"/>
    <w:pPr>
      <w:spacing w:before="60" w:after="60"/>
      <w:ind w:left="144" w:right="144"/>
    </w:pPr>
    <w:rPr>
      <w:color w:val="595959"/>
    </w:rPr>
  </w:style>
  <w:style w:type="paragraph" w:customStyle="1" w:styleId="330">
    <w:name w:val="公司信息"/>
    <w:basedOn w:val="1"/>
    <w:qFormat/>
    <w:uiPriority w:val="0"/>
    <w:pPr>
      <w:spacing w:after="40"/>
    </w:pPr>
    <w:rPr>
      <w:color w:val="595959"/>
    </w:rPr>
  </w:style>
  <w:style w:type="paragraph" w:customStyle="1" w:styleId="331">
    <w:name w:val="Default"/>
    <w:qFormat/>
    <w:uiPriority w:val="0"/>
    <w:pPr>
      <w:widowControl w:val="0"/>
      <w:autoSpaceDE w:val="0"/>
      <w:autoSpaceDN w:val="0"/>
      <w:adjustRightInd w:val="0"/>
    </w:pPr>
    <w:rPr>
      <w:rFonts w:ascii="微软雅黑" w:hAnsi="微软雅黑" w:eastAsia="等线" w:cs="微软雅黑"/>
      <w:color w:val="000000"/>
      <w:sz w:val="24"/>
      <w:szCs w:val="24"/>
      <w:lang w:val="en-US" w:eastAsia="zh-CN" w:bidi="ar-SA"/>
    </w:rPr>
  </w:style>
  <w:style w:type="paragraph" w:customStyle="1" w:styleId="332">
    <w:name w:val="xl23"/>
    <w:basedOn w:val="1"/>
    <w:qFormat/>
    <w:uiPriority w:val="0"/>
    <w:pPr>
      <w:spacing w:before="100" w:beforeAutospacing="1" w:after="100" w:afterAutospacing="1"/>
      <w:jc w:val="center"/>
    </w:pPr>
    <w:rPr>
      <w:rFonts w:ascii="宋体" w:hAnsi="宋体"/>
      <w:kern w:val="0"/>
      <w:sz w:val="20"/>
      <w:lang w:val="en-US"/>
    </w:rPr>
  </w:style>
  <w:style w:type="paragraph" w:customStyle="1" w:styleId="333">
    <w:name w:val="样式 样式 样式 样式 标题 2 + 宋体 五号 非加粗 黑色 + 段前: 6 磅 段后: 0 磅 行距: 单倍行距 + 段前:..."/>
    <w:basedOn w:val="1"/>
    <w:qFormat/>
    <w:uiPriority w:val="0"/>
    <w:pPr>
      <w:keepNext/>
      <w:keepLines/>
      <w:widowControl w:val="0"/>
      <w:tabs>
        <w:tab w:val="left" w:pos="840"/>
        <w:tab w:val="left" w:pos="1275"/>
      </w:tabs>
      <w:adjustRightInd w:val="0"/>
      <w:spacing w:before="240"/>
      <w:ind w:left="1275" w:hanging="420"/>
      <w:textAlignment w:val="baseline"/>
      <w:outlineLvl w:val="1"/>
    </w:pPr>
    <w:rPr>
      <w:rFonts w:ascii="宋体" w:hAnsi="宋体"/>
      <w:b/>
      <w:bCs/>
      <w:color w:val="000000"/>
      <w:kern w:val="0"/>
      <w:lang w:val="en-US"/>
    </w:rPr>
  </w:style>
  <w:style w:type="paragraph" w:customStyle="1" w:styleId="334">
    <w:name w:val="xl25"/>
    <w:basedOn w:val="1"/>
    <w:qFormat/>
    <w:uiPriority w:val="0"/>
    <w:pPr>
      <w:spacing w:before="100" w:beforeAutospacing="1" w:after="100" w:afterAutospacing="1"/>
      <w:jc w:val="center"/>
      <w:textAlignment w:val="center"/>
    </w:pPr>
    <w:rPr>
      <w:rFonts w:hint="eastAsia" w:ascii="楷体_GB2312" w:hAnsi="宋体" w:eastAsia="楷体_GB2312"/>
      <w:kern w:val="0"/>
      <w:sz w:val="24"/>
      <w:szCs w:val="24"/>
      <w:lang w:val="en-US"/>
    </w:rPr>
  </w:style>
  <w:style w:type="paragraph" w:customStyle="1" w:styleId="335">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36">
    <w:name w:val="xl71"/>
    <w:basedOn w:val="1"/>
    <w:qFormat/>
    <w:uiPriority w:val="0"/>
    <w:pPr>
      <w:pBdr>
        <w:top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337">
    <w:name w:val="xl75"/>
    <w:basedOn w:val="1"/>
    <w:qFormat/>
    <w:uiPriority w:val="0"/>
    <w:pPr>
      <w:spacing w:before="100" w:beforeAutospacing="1" w:after="100" w:afterAutospacing="1"/>
    </w:pPr>
    <w:rPr>
      <w:rFonts w:ascii="宋体" w:hAnsi="宋体" w:cs="宋体"/>
      <w:b/>
      <w:bCs/>
      <w:kern w:val="0"/>
      <w:sz w:val="24"/>
      <w:szCs w:val="24"/>
      <w:lang w:val="en-US"/>
    </w:rPr>
  </w:style>
  <w:style w:type="paragraph" w:customStyle="1" w:styleId="338">
    <w:name w:val="font6"/>
    <w:basedOn w:val="1"/>
    <w:qFormat/>
    <w:uiPriority w:val="0"/>
    <w:pPr>
      <w:spacing w:before="100" w:beforeAutospacing="1" w:after="100" w:afterAutospacing="1"/>
    </w:pPr>
    <w:rPr>
      <w:rFonts w:ascii="宋体" w:hAnsi="宋体" w:cs="宋体"/>
      <w:color w:val="000000"/>
      <w:kern w:val="0"/>
      <w:sz w:val="22"/>
      <w:szCs w:val="22"/>
      <w:lang w:val="en-US"/>
    </w:rPr>
  </w:style>
  <w:style w:type="paragraph" w:customStyle="1" w:styleId="339">
    <w:name w:val="font10"/>
    <w:basedOn w:val="1"/>
    <w:qFormat/>
    <w:uiPriority w:val="0"/>
    <w:pPr>
      <w:spacing w:before="100" w:beforeAutospacing="1" w:after="100" w:afterAutospacing="1"/>
    </w:pPr>
    <w:rPr>
      <w:rFonts w:ascii="仿宋" w:hAnsi="仿宋" w:eastAsia="仿宋" w:cs="宋体"/>
      <w:color w:val="FF0000"/>
      <w:kern w:val="0"/>
      <w:sz w:val="22"/>
      <w:szCs w:val="22"/>
      <w:lang w:val="en-US"/>
    </w:rPr>
  </w:style>
  <w:style w:type="paragraph" w:customStyle="1" w:styleId="340">
    <w:name w:val="font15"/>
    <w:basedOn w:val="1"/>
    <w:qFormat/>
    <w:uiPriority w:val="0"/>
    <w:pPr>
      <w:spacing w:before="100" w:beforeAutospacing="1" w:after="100" w:afterAutospacing="1"/>
    </w:pPr>
    <w:rPr>
      <w:rFonts w:ascii="Arial" w:hAnsi="Arial" w:cs="Arial"/>
      <w:color w:val="000000"/>
      <w:kern w:val="0"/>
      <w:szCs w:val="21"/>
      <w:lang w:val="en-US"/>
    </w:rPr>
  </w:style>
  <w:style w:type="paragraph" w:customStyle="1" w:styleId="341">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2">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3">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4">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5">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6">
    <w:name w:val="xl17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7">
    <w:name w:val="xl18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8">
    <w:name w:val="xl185"/>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9">
    <w:name w:val="xl201"/>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0">
    <w:name w:val="xl207"/>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1">
    <w:name w:val="xl21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2">
    <w:name w:val="xl221"/>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3">
    <w:name w:val="中等深浅网格 1 - 强调文字颜色 21"/>
    <w:basedOn w:val="1"/>
    <w:qFormat/>
    <w:uiPriority w:val="0"/>
    <w:pPr>
      <w:spacing w:line="360" w:lineRule="auto"/>
      <w:ind w:firstLine="420" w:firstLineChars="200"/>
    </w:pPr>
    <w:rPr>
      <w:rFonts w:ascii="Calibri" w:hAnsi="Calibri"/>
      <w:szCs w:val="22"/>
    </w:rPr>
  </w:style>
  <w:style w:type="paragraph" w:customStyle="1" w:styleId="354">
    <w:name w:val="其余内容"/>
    <w:basedOn w:val="1"/>
    <w:qFormat/>
    <w:uiPriority w:val="0"/>
    <w:pPr>
      <w:spacing w:before="156" w:after="156" w:line="360" w:lineRule="auto"/>
      <w:ind w:firstLine="372" w:firstLineChars="177"/>
    </w:pPr>
    <w:rPr>
      <w:rFonts w:ascii="宋体" w:hAnsi="宋体"/>
      <w:kern w:val="0"/>
      <w:sz w:val="20"/>
      <w:szCs w:val="21"/>
    </w:rPr>
  </w:style>
  <w:style w:type="paragraph" w:customStyle="1" w:styleId="355">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356">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357">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58">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仿宋" w:hAnsi="仿宋" w:eastAsia="仿宋" w:cs="宋体"/>
      <w:kern w:val="0"/>
      <w:sz w:val="22"/>
      <w:szCs w:val="22"/>
      <w:lang w:val="en-US"/>
    </w:rPr>
  </w:style>
  <w:style w:type="paragraph" w:customStyle="1" w:styleId="359">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60">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1">
    <w:name w:val="xl111"/>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2">
    <w:name w:val="xl115"/>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3">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4">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5">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6">
    <w:name w:val="xl1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7">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8">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9">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70">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1">
    <w:name w:val="xl17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2">
    <w:name w:val="xl17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3">
    <w:name w:val="xl1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74">
    <w:name w:val="xl19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5">
    <w:name w:val="xl19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6">
    <w:name w:val="xl198"/>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7">
    <w:name w:val="xl2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8">
    <w:name w:val="xl2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9">
    <w:name w:val="xl2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80">
    <w:name w:val="普通(网站)1"/>
    <w:basedOn w:val="1"/>
    <w:qFormat/>
    <w:uiPriority w:val="0"/>
    <w:pPr>
      <w:widowControl w:val="0"/>
    </w:pPr>
    <w:rPr>
      <w:rFonts w:ascii="Calibri" w:hAnsi="Calibri"/>
      <w:kern w:val="0"/>
      <w:sz w:val="24"/>
      <w:szCs w:val="24"/>
      <w:lang w:val="en-US"/>
    </w:rPr>
  </w:style>
  <w:style w:type="paragraph" w:customStyle="1" w:styleId="381">
    <w:name w:val="p18"/>
    <w:basedOn w:val="1"/>
    <w:qFormat/>
    <w:uiPriority w:val="0"/>
    <w:pPr>
      <w:ind w:left="709" w:hanging="709"/>
      <w:jc w:val="both"/>
    </w:pPr>
    <w:rPr>
      <w:rFonts w:ascii="宋体" w:hAnsi="宋体" w:cs="宋体"/>
      <w:kern w:val="0"/>
      <w:szCs w:val="21"/>
      <w:lang w:val="en-US"/>
    </w:rPr>
  </w:style>
  <w:style w:type="paragraph" w:customStyle="1" w:styleId="382">
    <w:name w:val="页眉阴影"/>
    <w:basedOn w:val="1"/>
    <w:qFormat/>
    <w:uiPriority w:val="0"/>
    <w:pPr>
      <w:pBdr>
        <w:top w:val="single" w:color="7E97AD" w:sz="2" w:space="6"/>
        <w:left w:val="single" w:color="7E97AD" w:sz="2" w:space="20"/>
        <w:bottom w:val="single" w:color="7E97AD" w:sz="2" w:space="6"/>
        <w:right w:val="single" w:color="7E97AD" w:sz="2" w:space="20"/>
      </w:pBdr>
      <w:shd w:val="clear" w:color="auto" w:fill="7E97AD"/>
    </w:pPr>
    <w:rPr>
      <w:rFonts w:ascii="Calibri" w:hAnsi="Calibri" w:cs="Arial"/>
      <w:caps/>
      <w:color w:val="FFFFFF"/>
      <w:sz w:val="40"/>
    </w:rPr>
  </w:style>
  <w:style w:type="paragraph" w:customStyle="1" w:styleId="383">
    <w:name w:val="块文本"/>
    <w:basedOn w:val="1"/>
    <w:qFormat/>
    <w:uiPriority w:val="0"/>
    <w:pPr>
      <w:pBdr>
        <w:top w:val="single" w:color="7E97AD" w:sz="2" w:space="10"/>
        <w:left w:val="single" w:color="7E97AD" w:sz="2" w:space="10"/>
        <w:bottom w:val="single" w:color="7E97AD" w:sz="2" w:space="10"/>
        <w:right w:val="single" w:color="7E97AD" w:sz="2" w:space="10"/>
      </w:pBdr>
      <w:ind w:left="1152" w:right="1152"/>
    </w:pPr>
    <w:rPr>
      <w:i/>
      <w:iCs/>
      <w:color w:val="7E97AD"/>
    </w:rPr>
  </w:style>
  <w:style w:type="paragraph" w:customStyle="1" w:styleId="384">
    <w:name w:val="标准正文 Char Char Char Char"/>
    <w:basedOn w:val="97"/>
    <w:qFormat/>
    <w:uiPriority w:val="0"/>
    <w:pPr>
      <w:spacing w:after="60" w:line="360" w:lineRule="auto"/>
      <w:ind w:left="0" w:firstLine="482"/>
    </w:pPr>
    <w:rPr>
      <w:rFonts w:ascii="宋体" w:hAnsi="宋体"/>
      <w:color w:val="000000"/>
      <w:sz w:val="24"/>
      <w:szCs w:val="28"/>
    </w:rPr>
  </w:style>
  <w:style w:type="paragraph" w:customStyle="1" w:styleId="385">
    <w:name w:val="Char Char Char"/>
    <w:basedOn w:val="1"/>
    <w:qFormat/>
    <w:uiPriority w:val="0"/>
    <w:pPr>
      <w:widowControl w:val="0"/>
      <w:jc w:val="both"/>
    </w:pPr>
    <w:rPr>
      <w:kern w:val="2"/>
      <w:szCs w:val="24"/>
      <w:lang w:val="en-US"/>
    </w:rPr>
  </w:style>
  <w:style w:type="paragraph" w:customStyle="1" w:styleId="386">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387">
    <w:name w:val="xl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388">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lang w:val="en-US"/>
    </w:rPr>
  </w:style>
  <w:style w:type="paragraph" w:customStyle="1" w:styleId="389">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90">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391">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392">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3">
    <w:name w:val="xl104"/>
    <w:basedOn w:val="1"/>
    <w:qFormat/>
    <w:uiPriority w:val="0"/>
    <w:pPr>
      <w:pBdr>
        <w:top w:val="single" w:color="auto" w:sz="4" w:space="0"/>
        <w:left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4">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5">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6">
    <w:name w:val="xl1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7">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8">
    <w:name w:val="xl16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399">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0">
    <w:name w:val="xl17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1">
    <w:name w:val="xl19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2">
    <w:name w:val="xl195"/>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3">
    <w:name w:val="xl199"/>
    <w:basedOn w:val="1"/>
    <w:qFormat/>
    <w:uiPriority w:val="0"/>
    <w:pPr>
      <w:pBdr>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4">
    <w:name w:val="xl2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5">
    <w:name w:val="xl2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6">
    <w:name w:val="xl2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7">
    <w:name w:val="Char"/>
    <w:basedOn w:val="1"/>
    <w:qFormat/>
    <w:uiPriority w:val="0"/>
    <w:pPr>
      <w:widowControl w:val="0"/>
      <w:jc w:val="both"/>
    </w:pPr>
    <w:rPr>
      <w:kern w:val="2"/>
      <w:szCs w:val="24"/>
      <w:lang w:val="en-US"/>
    </w:rPr>
  </w:style>
  <w:style w:type="paragraph" w:customStyle="1" w:styleId="408">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409">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410">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2"/>
      <w:szCs w:val="22"/>
      <w:lang w:val="en-US"/>
    </w:rPr>
  </w:style>
  <w:style w:type="paragraph" w:customStyle="1" w:styleId="411">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2">
    <w:name w:val="xl98"/>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3">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仿宋" w:hAnsi="仿宋" w:eastAsia="仿宋" w:cs="宋体"/>
      <w:color w:val="000000"/>
      <w:kern w:val="0"/>
      <w:sz w:val="22"/>
      <w:szCs w:val="22"/>
      <w:lang w:val="en-US"/>
    </w:rPr>
  </w:style>
  <w:style w:type="paragraph" w:customStyle="1" w:styleId="414">
    <w:name w:val="xl106"/>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5">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6">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7">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8">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9">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0">
    <w:name w:val="xl150"/>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1">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2">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3">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24">
    <w:name w:val="xl1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5">
    <w:name w:val="xl1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6">
    <w:name w:val="xl17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7">
    <w:name w:val="xl18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8">
    <w:name w:val="xl19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9">
    <w:name w:val="xl197"/>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0">
    <w:name w:val="xl2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1">
    <w:name w:val="xl2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32">
    <w:name w:val="xl2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3">
    <w:name w:val="xl2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4">
    <w:name w:val="xl2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5">
    <w:name w:val="标题6"/>
    <w:basedOn w:val="7"/>
    <w:qFormat/>
    <w:uiPriority w:val="0"/>
    <w:pPr>
      <w:numPr>
        <w:ilvl w:val="0"/>
        <w:numId w:val="0"/>
      </w:numPr>
      <w:ind w:left="315" w:hanging="315" w:hangingChars="150"/>
    </w:pPr>
  </w:style>
  <w:style w:type="paragraph" w:styleId="436">
    <w:name w:val="List Paragraph"/>
    <w:basedOn w:val="1"/>
    <w:qFormat/>
    <w:uiPriority w:val="34"/>
    <w:pPr>
      <w:ind w:firstLine="420" w:firstLineChars="200"/>
    </w:pPr>
  </w:style>
  <w:style w:type="paragraph" w:customStyle="1" w:styleId="437">
    <w:name w:val="1"/>
    <w:basedOn w:val="1"/>
    <w:next w:val="1"/>
    <w:qFormat/>
    <w:uiPriority w:val="39"/>
    <w:pPr>
      <w:tabs>
        <w:tab w:val="left" w:pos="840"/>
        <w:tab w:val="right" w:leader="dot" w:pos="8835"/>
      </w:tabs>
      <w:ind w:left="200" w:leftChars="200"/>
    </w:pPr>
  </w:style>
  <w:style w:type="character" w:customStyle="1" w:styleId="438">
    <w:name w:val="签名 字符1"/>
    <w:basedOn w:val="43"/>
    <w:semiHidden/>
    <w:qFormat/>
    <w:uiPriority w:val="99"/>
    <w:rPr>
      <w:kern w:val="20"/>
      <w:sz w:val="21"/>
      <w:lang w:val="zh-CN"/>
    </w:rPr>
  </w:style>
  <w:style w:type="character" w:customStyle="1" w:styleId="439">
    <w:name w:val="font41"/>
    <w:qFormat/>
    <w:uiPriority w:val="0"/>
    <w:rPr>
      <w:rFonts w:hint="eastAsia" w:ascii="宋体" w:hAnsi="宋体" w:eastAsia="宋体" w:cs="宋体"/>
      <w:color w:val="000000"/>
      <w:sz w:val="20"/>
      <w:szCs w:val="20"/>
      <w:u w:val="none"/>
    </w:rPr>
  </w:style>
  <w:style w:type="character" w:customStyle="1" w:styleId="440">
    <w:name w:val="font111"/>
    <w:qFormat/>
    <w:uiPriority w:val="0"/>
    <w:rPr>
      <w:rFonts w:hint="eastAsia" w:ascii="宋体" w:hAnsi="宋体" w:eastAsia="宋体" w:cs="宋体"/>
      <w:b/>
      <w:color w:val="000000"/>
      <w:sz w:val="24"/>
      <w:szCs w:val="24"/>
      <w:u w:val="none"/>
    </w:rPr>
  </w:style>
  <w:style w:type="character" w:customStyle="1" w:styleId="441">
    <w:name w:val="font31"/>
    <w:qFormat/>
    <w:uiPriority w:val="0"/>
    <w:rPr>
      <w:rFonts w:hint="default" w:ascii="Times New Roman" w:hAnsi="Times New Roman" w:cs="Times New Roman"/>
      <w:color w:val="000000"/>
      <w:sz w:val="20"/>
      <w:szCs w:val="20"/>
      <w:u w:val="none"/>
    </w:rPr>
  </w:style>
  <w:style w:type="character" w:customStyle="1" w:styleId="442">
    <w:name w:val="font81"/>
    <w:qFormat/>
    <w:uiPriority w:val="0"/>
    <w:rPr>
      <w:rFonts w:hint="default" w:ascii="Times New Roman" w:hAnsi="Times New Roman" w:cs="Times New Roman"/>
      <w:color w:val="000000"/>
      <w:sz w:val="20"/>
      <w:szCs w:val="20"/>
      <w:u w:val="none"/>
    </w:rPr>
  </w:style>
  <w:style w:type="character" w:customStyle="1" w:styleId="443">
    <w:name w:val="font21"/>
    <w:qFormat/>
    <w:uiPriority w:val="0"/>
    <w:rPr>
      <w:rFonts w:hint="eastAsia" w:ascii="宋体" w:hAnsi="宋体" w:eastAsia="宋体" w:cs="宋体"/>
      <w:b/>
      <w:color w:val="000000"/>
      <w:sz w:val="28"/>
      <w:szCs w:val="28"/>
      <w:u w:val="none"/>
    </w:rPr>
  </w:style>
  <w:style w:type="character" w:customStyle="1" w:styleId="444">
    <w:name w:val="font112"/>
    <w:qFormat/>
    <w:uiPriority w:val="0"/>
    <w:rPr>
      <w:rFonts w:hint="default" w:ascii="Times New Roman" w:hAnsi="Times New Roman" w:cs="Times New Roman"/>
      <w:color w:val="000000"/>
      <w:sz w:val="22"/>
      <w:szCs w:val="22"/>
      <w:u w:val="none"/>
      <w:vertAlign w:val="superscript"/>
    </w:rPr>
  </w:style>
  <w:style w:type="character" w:customStyle="1" w:styleId="445">
    <w:name w:val="font101"/>
    <w:qFormat/>
    <w:uiPriority w:val="0"/>
    <w:rPr>
      <w:rFonts w:hint="default" w:ascii="Times New Roman" w:hAnsi="Times New Roman" w:cs="Times New Roman"/>
      <w:color w:val="000000"/>
      <w:sz w:val="24"/>
      <w:szCs w:val="24"/>
      <w:u w:val="none"/>
    </w:rPr>
  </w:style>
  <w:style w:type="character" w:customStyle="1" w:styleId="446">
    <w:name w:val="font71"/>
    <w:qFormat/>
    <w:uiPriority w:val="0"/>
    <w:rPr>
      <w:rFonts w:hint="eastAsia" w:ascii="宋体" w:hAnsi="宋体" w:eastAsia="宋体" w:cs="宋体"/>
      <w:color w:val="000000"/>
      <w:sz w:val="15"/>
      <w:szCs w:val="15"/>
      <w:u w:val="none"/>
    </w:rPr>
  </w:style>
  <w:style w:type="character" w:customStyle="1" w:styleId="447">
    <w:name w:val="font61"/>
    <w:qFormat/>
    <w:uiPriority w:val="0"/>
    <w:rPr>
      <w:rFonts w:hint="default" w:ascii="Times New Roman" w:hAnsi="Times New Roman" w:cs="Times New Roman"/>
      <w:color w:val="000000"/>
      <w:sz w:val="15"/>
      <w:szCs w:val="15"/>
      <w:u w:val="none"/>
    </w:rPr>
  </w:style>
  <w:style w:type="character" w:customStyle="1" w:styleId="448">
    <w:name w:val="未处理的提及2"/>
    <w:unhideWhenUsed/>
    <w:qFormat/>
    <w:uiPriority w:val="99"/>
    <w:rPr>
      <w:color w:val="605E5C"/>
      <w:shd w:val="clear" w:color="auto" w:fill="E1DFDD"/>
    </w:rPr>
  </w:style>
  <w:style w:type="character" w:customStyle="1" w:styleId="449">
    <w:name w:val="font121"/>
    <w:qFormat/>
    <w:uiPriority w:val="0"/>
    <w:rPr>
      <w:rFonts w:hint="eastAsia" w:ascii="宋体" w:hAnsi="宋体" w:eastAsia="宋体" w:cs="宋体"/>
      <w:color w:val="000000"/>
      <w:sz w:val="24"/>
      <w:szCs w:val="24"/>
      <w:u w:val="none"/>
    </w:rPr>
  </w:style>
  <w:style w:type="character" w:customStyle="1" w:styleId="450">
    <w:name w:val="font91"/>
    <w:qFormat/>
    <w:uiPriority w:val="0"/>
    <w:rPr>
      <w:rFonts w:hint="default" w:ascii="Times New Roman" w:hAnsi="Times New Roman" w:cs="Times New Roman"/>
      <w:color w:val="000000"/>
      <w:sz w:val="24"/>
      <w:szCs w:val="24"/>
      <w:u w:val="none"/>
    </w:rPr>
  </w:style>
  <w:style w:type="character" w:customStyle="1" w:styleId="451">
    <w:name w:val="font51"/>
    <w:qFormat/>
    <w:uiPriority w:val="0"/>
    <w:rPr>
      <w:rFonts w:hint="default" w:ascii="Times New Roman" w:hAnsi="Times New Roman" w:cs="Times New Roman"/>
      <w:color w:val="000000"/>
      <w:sz w:val="15"/>
      <w:szCs w:val="15"/>
      <w:u w:val="none"/>
    </w:rPr>
  </w:style>
  <w:style w:type="character" w:customStyle="1" w:styleId="452">
    <w:name w:val="font161"/>
    <w:qFormat/>
    <w:uiPriority w:val="0"/>
    <w:rPr>
      <w:rFonts w:hint="eastAsia" w:ascii="宋体" w:hAnsi="宋体" w:eastAsia="宋体" w:cs="宋体"/>
      <w:b/>
      <w:color w:val="000000"/>
      <w:sz w:val="24"/>
      <w:szCs w:val="24"/>
      <w:u w:val="none"/>
    </w:rPr>
  </w:style>
  <w:style w:type="paragraph" w:customStyle="1" w:styleId="453">
    <w:name w:val="正文表标题"/>
    <w:next w:val="454"/>
    <w:qFormat/>
    <w:uiPriority w:val="0"/>
    <w:pPr>
      <w:tabs>
        <w:tab w:val="left" w:pos="1440"/>
      </w:tabs>
      <w:spacing w:before="156" w:beforeLines="50" w:after="156" w:afterLines="50"/>
      <w:ind w:left="1440" w:hanging="360"/>
      <w:jc w:val="center"/>
    </w:pPr>
    <w:rPr>
      <w:rFonts w:ascii="黑体" w:hAnsi="Times New Roman" w:eastAsia="黑体" w:cs="Times New Roman"/>
      <w:sz w:val="21"/>
      <w:lang w:val="en-US" w:eastAsia="zh-CN" w:bidi="ar-SA"/>
    </w:rPr>
  </w:style>
  <w:style w:type="paragraph" w:customStyle="1" w:styleId="45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455">
    <w:name w:val="TOC 标题2"/>
    <w:basedOn w:val="3"/>
    <w:next w:val="1"/>
    <w:qFormat/>
    <w:uiPriority w:val="39"/>
    <w:pPr>
      <w:keepNext/>
      <w:keepLines/>
      <w:pageBreakBefore w:val="0"/>
      <w:widowControl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456">
    <w:name w:val="一级条标题"/>
    <w:next w:val="454"/>
    <w:qFormat/>
    <w:uiPriority w:val="0"/>
    <w:pPr>
      <w:spacing w:before="156" w:beforeLines="50" w:after="156" w:afterLines="50"/>
      <w:ind w:left="882" w:hanging="576"/>
      <w:outlineLvl w:val="2"/>
    </w:pPr>
    <w:rPr>
      <w:rFonts w:ascii="黑体" w:hAnsi="Times New Roman" w:eastAsia="黑体" w:cs="Times New Roman"/>
      <w:sz w:val="21"/>
      <w:szCs w:val="21"/>
      <w:lang w:val="en-US" w:eastAsia="zh-CN" w:bidi="ar-SA"/>
    </w:rPr>
  </w:style>
  <w:style w:type="paragraph" w:customStyle="1" w:styleId="457">
    <w:name w:val="TOC5"/>
    <w:basedOn w:val="1"/>
    <w:next w:val="1"/>
    <w:qFormat/>
    <w:uiPriority w:val="0"/>
    <w:pPr>
      <w:keepNext/>
      <w:keepLines/>
      <w:widowControl w:val="0"/>
      <w:ind w:left="1680" w:leftChars="800" w:hanging="840" w:hangingChars="400"/>
      <w:jc w:val="both"/>
      <w:textAlignment w:val="baseline"/>
    </w:pPr>
    <w:rPr>
      <w:rFonts w:ascii="Calibri" w:hAnsi="Calibri"/>
      <w:kern w:val="2"/>
      <w:szCs w:val="22"/>
      <w:lang w:val="en-US"/>
    </w:rPr>
  </w:style>
  <w:style w:type="paragraph" w:customStyle="1" w:styleId="458">
    <w:name w:val="paragraphindent"/>
    <w:basedOn w:val="1"/>
    <w:qFormat/>
    <w:uiPriority w:val="0"/>
    <w:pPr>
      <w:keepNext/>
      <w:keepLines/>
      <w:widowControl w:val="0"/>
      <w:spacing w:before="75" w:after="75"/>
    </w:pPr>
    <w:rPr>
      <w:rFonts w:ascii="宋体" w:hAnsi="宋体" w:cs="宋体"/>
      <w:kern w:val="0"/>
      <w:sz w:val="24"/>
      <w:szCs w:val="24"/>
      <w:lang w:val="en-US"/>
    </w:rPr>
  </w:style>
  <w:style w:type="character" w:customStyle="1" w:styleId="459">
    <w:name w:val="case31"/>
    <w:qFormat/>
    <w:uiPriority w:val="0"/>
    <w:rPr>
      <w:rFonts w:hint="default"/>
      <w:sz w:val="21"/>
      <w:szCs w:val="21"/>
    </w:rPr>
  </w:style>
  <w:style w:type="character" w:customStyle="1" w:styleId="460">
    <w:name w:val="纯文本 Char"/>
    <w:qFormat/>
    <w:uiPriority w:val="0"/>
    <w:rPr>
      <w:rFonts w:ascii="宋体" w:hAnsi="Courier New"/>
      <w:kern w:val="2"/>
      <w:sz w:val="21"/>
    </w:rPr>
  </w:style>
  <w:style w:type="character" w:customStyle="1" w:styleId="461">
    <w:name w:val="font131"/>
    <w:basedOn w:val="43"/>
    <w:qFormat/>
    <w:uiPriority w:val="0"/>
    <w:rPr>
      <w:rFonts w:hint="eastAsia" w:ascii="宋体" w:hAnsi="宋体" w:eastAsia="宋体" w:cs="宋体"/>
      <w:color w:val="auto"/>
      <w:sz w:val="21"/>
      <w:szCs w:val="21"/>
      <w:u w:val="none"/>
    </w:rPr>
  </w:style>
  <w:style w:type="character" w:customStyle="1" w:styleId="462">
    <w:name w:val="NormalCharacter"/>
    <w:qFormat/>
    <w:uiPriority w:val="0"/>
  </w:style>
  <w:style w:type="paragraph" w:customStyle="1" w:styleId="463">
    <w:name w:val="UserStyle_25"/>
    <w:basedOn w:val="1"/>
    <w:qFormat/>
    <w:uiPriority w:val="0"/>
    <w:pPr>
      <w:keepNext/>
      <w:keepLines/>
      <w:tabs>
        <w:tab w:val="left" w:pos="0"/>
      </w:tabs>
      <w:spacing w:after="120"/>
      <w:ind w:left="709"/>
      <w:jc w:val="both"/>
      <w:textAlignment w:val="baseline"/>
    </w:pPr>
    <w:rPr>
      <w:color w:val="000000"/>
    </w:rPr>
  </w:style>
  <w:style w:type="paragraph" w:customStyle="1" w:styleId="464">
    <w:name w:val="GP（正文）"/>
    <w:basedOn w:val="1"/>
    <w:qFormat/>
    <w:uiPriority w:val="0"/>
    <w:pPr>
      <w:adjustRightInd w:val="0"/>
      <w:snapToGrid w:val="0"/>
      <w:spacing w:beforeLines="30"/>
      <w:ind w:firstLine="200" w:firstLineChars="200"/>
    </w:pPr>
    <w:rPr>
      <w:rFonts w:ascii="Arial" w:hAnsi="Arial" w:eastAsia="微软雅黑"/>
    </w:rPr>
  </w:style>
  <w:style w:type="character" w:customStyle="1" w:styleId="465">
    <w:name w:val="15"/>
    <w:basedOn w:val="43"/>
    <w:uiPriority w:val="0"/>
    <w:rPr>
      <w:rFonts w:hint="default" w:ascii="Times New Roman" w:hAnsi="Times New Roman" w:cs="Times New Roman"/>
      <w:color w:val="0563C1"/>
      <w:u w:val="single"/>
    </w:rPr>
  </w:style>
  <w:style w:type="paragraph" w:customStyle="1" w:styleId="466">
    <w:name w:val="列出段落7"/>
    <w:basedOn w:val="1"/>
    <w:uiPriority w:val="0"/>
    <w:pPr>
      <w:ind w:firstLine="420" w:firstLineChars="200"/>
    </w:pPr>
    <w:rPr>
      <w:szCs w:val="21"/>
      <w:lang w:val="en-US"/>
    </w:rPr>
  </w:style>
  <w:style w:type="paragraph" w:customStyle="1" w:styleId="467">
    <w:name w:val="List Paragraph1"/>
    <w:basedOn w:val="1"/>
    <w:uiPriority w:val="0"/>
    <w:pPr>
      <w:ind w:firstLine="420" w:firstLineChars="200"/>
    </w:pPr>
    <w:rPr>
      <w:szCs w:val="21"/>
      <w:lang w:val="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2" Type="http://schemas.openxmlformats.org/officeDocument/2006/relationships/fontTable" Target="fontTable.xml"/><Relationship Id="rId61" Type="http://schemas.openxmlformats.org/officeDocument/2006/relationships/customXml" Target="../customXml/item2.xml"/><Relationship Id="rId60" Type="http://schemas.openxmlformats.org/officeDocument/2006/relationships/numbering" Target="numbering.xml"/><Relationship Id="rId6" Type="http://schemas.openxmlformats.org/officeDocument/2006/relationships/footer" Target="footer2.xml"/><Relationship Id="rId59" Type="http://schemas.openxmlformats.org/officeDocument/2006/relationships/customXml" Target="../customXml/item1.xml"/><Relationship Id="rId58" Type="http://schemas.openxmlformats.org/officeDocument/2006/relationships/image" Target="media/image42.jpeg"/><Relationship Id="rId57" Type="http://schemas.openxmlformats.org/officeDocument/2006/relationships/image" Target="media/image41.jpeg"/><Relationship Id="rId56" Type="http://schemas.openxmlformats.org/officeDocument/2006/relationships/image" Target="media/image40.jpeg"/><Relationship Id="rId55" Type="http://schemas.openxmlformats.org/officeDocument/2006/relationships/image" Target="media/image39.jpeg"/><Relationship Id="rId54" Type="http://schemas.openxmlformats.org/officeDocument/2006/relationships/image" Target="media/image38.jpeg"/><Relationship Id="rId53" Type="http://schemas.openxmlformats.org/officeDocument/2006/relationships/image" Target="media/image37.jpeg"/><Relationship Id="rId52" Type="http://schemas.openxmlformats.org/officeDocument/2006/relationships/image" Target="media/image36.jpeg"/><Relationship Id="rId51" Type="http://schemas.openxmlformats.org/officeDocument/2006/relationships/image" Target="media/image35.jpeg"/><Relationship Id="rId50" Type="http://schemas.openxmlformats.org/officeDocument/2006/relationships/image" Target="media/image34.jpeg"/><Relationship Id="rId5" Type="http://schemas.openxmlformats.org/officeDocument/2006/relationships/header" Target="header2.xml"/><Relationship Id="rId49" Type="http://schemas.openxmlformats.org/officeDocument/2006/relationships/image" Target="media/image33.jpeg"/><Relationship Id="rId48" Type="http://schemas.openxmlformats.org/officeDocument/2006/relationships/image" Target="media/image32.jpeg"/><Relationship Id="rId47" Type="http://schemas.openxmlformats.org/officeDocument/2006/relationships/image" Target="media/image31.jpeg"/><Relationship Id="rId46" Type="http://schemas.openxmlformats.org/officeDocument/2006/relationships/image" Target="media/image30.jpeg"/><Relationship Id="rId45" Type="http://schemas.openxmlformats.org/officeDocument/2006/relationships/image" Target="media/image29.jpeg"/><Relationship Id="rId44" Type="http://schemas.openxmlformats.org/officeDocument/2006/relationships/image" Target="media/image28.jpeg"/><Relationship Id="rId43" Type="http://schemas.openxmlformats.org/officeDocument/2006/relationships/image" Target="media/image27.jpeg"/><Relationship Id="rId42" Type="http://schemas.openxmlformats.org/officeDocument/2006/relationships/image" Target="media/image26.png"/><Relationship Id="rId41" Type="http://schemas.openxmlformats.org/officeDocument/2006/relationships/image" Target="media/image25.png"/><Relationship Id="rId40" Type="http://schemas.openxmlformats.org/officeDocument/2006/relationships/image" Target="media/image24.png"/><Relationship Id="rId4" Type="http://schemas.openxmlformats.org/officeDocument/2006/relationships/header" Target="header1.xml"/><Relationship Id="rId39" Type="http://schemas.openxmlformats.org/officeDocument/2006/relationships/image" Target="media/image23.pn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er" Target="footer1.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jpeg"/><Relationship Id="rId22" Type="http://schemas.openxmlformats.org/officeDocument/2006/relationships/image" Target="media/image6.jpeg"/><Relationship Id="rId21" Type="http://schemas.openxmlformats.org/officeDocument/2006/relationships/image" Target="media/image5.jpeg"/><Relationship Id="rId20" Type="http://schemas.openxmlformats.org/officeDocument/2006/relationships/image" Target="media/image4.jpeg"/><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929D58-D638-4694-A17E-3B8C7517BFA9}">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67</Pages>
  <Words>34708</Words>
  <Characters>36753</Characters>
  <Lines>320</Lines>
  <Paragraphs>90</Paragraphs>
  <TotalTime>1013</TotalTime>
  <ScaleCrop>false</ScaleCrop>
  <LinksUpToDate>false</LinksUpToDate>
  <CharactersWithSpaces>38491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2023-07-28T00:22:00Z</dcterms:created>
  <dc:creator>xuzhifeng</dc:creator>
  <cp:lastModifiedBy>admin</cp:lastModifiedBy>
  <cp:lastPrinted>2023-08-04T06:07:00Z</cp:lastPrinted>
  <dcterms:modified xsi:type="dcterms:W3CDTF">2023-09-15T01:00:54Z</dcterms:modified>
  <dc:title>徐志凤</dc:title>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74B605246B8B44A896107F9C37908562</vt:lpwstr>
  </property>
</Properties>
</file>